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jc w:val="center"/>
        <w:rPr>
          <w:rFonts w:ascii="华文新魏" w:eastAsia="华文新魏"/>
          <w:b/>
          <w:bCs/>
          <w:color w:val="auto"/>
          <w:sz w:val="52"/>
          <w:szCs w:val="52"/>
          <w:highlight w:val="none"/>
        </w:rPr>
      </w:pPr>
    </w:p>
    <w:p>
      <w:pPr>
        <w:pStyle w:val="9"/>
        <w:jc w:val="center"/>
        <w:rPr>
          <w:rFonts w:ascii="华文新魏" w:eastAsia="华文新魏"/>
          <w:b/>
          <w:bCs/>
          <w:color w:val="auto"/>
          <w:spacing w:val="60"/>
          <w:sz w:val="72"/>
          <w:highlight w:val="none"/>
        </w:rPr>
      </w:pPr>
      <w:r>
        <w:rPr>
          <w:color w:val="auto"/>
          <w:sz w:val="72"/>
          <w:highlight w:val="none"/>
        </w:rPr>
        <mc:AlternateContent>
          <mc:Choice Requires="wps">
            <w:drawing>
              <wp:anchor distT="0" distB="0" distL="114300" distR="114300" simplePos="0" relativeHeight="251660288" behindDoc="0" locked="0" layoutInCell="1" allowOverlap="1">
                <wp:simplePos x="0" y="0"/>
                <wp:positionH relativeFrom="column">
                  <wp:posOffset>84455</wp:posOffset>
                </wp:positionH>
                <wp:positionV relativeFrom="paragraph">
                  <wp:posOffset>565785</wp:posOffset>
                </wp:positionV>
                <wp:extent cx="5842000" cy="12065"/>
                <wp:effectExtent l="0" t="0" r="0" b="0"/>
                <wp:wrapNone/>
                <wp:docPr id="1" name="直线 176"/>
                <wp:cNvGraphicFramePr/>
                <a:graphic xmlns:a="http://schemas.openxmlformats.org/drawingml/2006/main">
                  <a:graphicData uri="http://schemas.microsoft.com/office/word/2010/wordprocessingShape">
                    <wps:wsp>
                      <wps:cNvCnPr/>
                      <wps:spPr>
                        <a:xfrm flipV="1">
                          <a:off x="0" y="0"/>
                          <a:ext cx="5842000" cy="12065"/>
                        </a:xfrm>
                        <a:prstGeom prst="line">
                          <a:avLst/>
                        </a:prstGeom>
                        <a:ln w="12700" cap="flat" cmpd="sng">
                          <a:solidFill>
                            <a:srgbClr val="000000"/>
                          </a:solidFill>
                          <a:prstDash val="solid"/>
                          <a:headEnd type="none" w="med" len="med"/>
                          <a:tailEnd type="none" w="med" len="med"/>
                        </a:ln>
                        <a:effectLst/>
                      </wps:spPr>
                      <wps:bodyPr upright="1"/>
                    </wps:wsp>
                  </a:graphicData>
                </a:graphic>
              </wp:anchor>
            </w:drawing>
          </mc:Choice>
          <mc:Fallback>
            <w:pict>
              <v:line id="直线 176" o:spid="_x0000_s1026" o:spt="20" style="position:absolute;left:0pt;flip:y;margin-left:6.65pt;margin-top:44.55pt;height:0.95pt;width:460pt;z-index:251660288;mso-width-relative:page;mso-height-relative:page;" filled="f" stroked="t" coordsize="21600,21600" o:gfxdata="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S4QIfdYAAAAIAQAADwAAAAAAAAAB&#10;ACAAAAAiAAAAZHJzL2Rvd25yZXYueG1sUEsBAhQAFAAAAAgAh07iQLKKQdLZAQAArAMAAA4AAAAA&#10;AAAAAQAgAAAAJQEAAGRycy9lMm9Eb2MueG1sUEsFBgAAAAAGAAYAWQEAAHAFAAAAAA==&#10;">
                <v:fill on="f" focussize="0,0"/>
                <v:stroke weight="1pt" color="#000000" joinstyle="round"/>
                <v:imagedata o:title=""/>
                <o:lock v:ext="edit" aspectratio="f"/>
              </v:line>
            </w:pict>
          </mc:Fallback>
        </mc:AlternateContent>
      </w:r>
      <w:r>
        <w:rPr>
          <w:rFonts w:hint="eastAsia" w:ascii="华文新魏" w:eastAsia="华文新魏"/>
          <w:b/>
          <w:bCs/>
          <w:color w:val="auto"/>
          <w:sz w:val="52"/>
          <w:szCs w:val="52"/>
          <w:highlight w:val="none"/>
        </w:rPr>
        <w:t>广西桂林华禹水利水电工程咨询有限公司</w:t>
      </w:r>
    </w:p>
    <w:p>
      <w:pPr>
        <w:pStyle w:val="9"/>
        <w:jc w:val="center"/>
        <w:rPr>
          <w:rFonts w:ascii="华文新魏" w:eastAsia="华文新魏"/>
          <w:b/>
          <w:bCs/>
          <w:color w:val="auto"/>
          <w:spacing w:val="80"/>
          <w:sz w:val="64"/>
          <w:highlight w:val="none"/>
        </w:rPr>
      </w:pPr>
    </w:p>
    <w:p>
      <w:pPr>
        <w:pStyle w:val="9"/>
        <w:jc w:val="center"/>
        <w:rPr>
          <w:rFonts w:ascii="华文新魏" w:eastAsia="华文新魏"/>
          <w:b/>
          <w:bCs/>
          <w:color w:val="auto"/>
          <w:spacing w:val="80"/>
          <w:sz w:val="64"/>
          <w:highlight w:val="none"/>
        </w:rPr>
      </w:pPr>
    </w:p>
    <w:p>
      <w:pPr>
        <w:pStyle w:val="9"/>
        <w:jc w:val="center"/>
        <w:rPr>
          <w:color w:val="auto"/>
          <w:highlight w:val="none"/>
        </w:rPr>
      </w:pPr>
    </w:p>
    <w:p>
      <w:pPr>
        <w:jc w:val="center"/>
        <w:rPr>
          <w:rFonts w:ascii="宋体" w:hAnsi="宋体"/>
          <w:b/>
          <w:color w:val="auto"/>
          <w:sz w:val="96"/>
          <w:szCs w:val="96"/>
          <w:highlight w:val="none"/>
        </w:rPr>
      </w:pPr>
      <w:r>
        <w:rPr>
          <w:rFonts w:hint="eastAsia" w:ascii="宋体" w:hAnsi="宋体"/>
          <w:bCs/>
          <w:color w:val="auto"/>
          <w:sz w:val="112"/>
          <w:szCs w:val="112"/>
          <w:highlight w:val="none"/>
        </w:rPr>
        <w:t xml:space="preserve"> </w:t>
      </w:r>
      <w:r>
        <w:rPr>
          <w:rFonts w:hint="eastAsia" w:ascii="宋体" w:hAnsi="宋体"/>
          <w:bCs/>
          <w:color w:val="auto"/>
          <w:sz w:val="96"/>
          <w:szCs w:val="96"/>
          <w:highlight w:val="none"/>
        </w:rPr>
        <w:t>招标文件</w:t>
      </w:r>
    </w:p>
    <w:p>
      <w:pPr>
        <w:pStyle w:val="9"/>
        <w:rPr>
          <w:color w:val="auto"/>
          <w:highlight w:val="none"/>
        </w:rPr>
      </w:pPr>
    </w:p>
    <w:p>
      <w:pPr>
        <w:pStyle w:val="9"/>
        <w:ind w:firstLine="3885" w:firstLineChars="1850"/>
        <w:jc w:val="center"/>
        <w:rPr>
          <w:color w:val="auto"/>
          <w:highlight w:val="none"/>
        </w:rPr>
      </w:pPr>
    </w:p>
    <w:p>
      <w:pPr>
        <w:pStyle w:val="9"/>
        <w:jc w:val="center"/>
        <w:rPr>
          <w:color w:val="auto"/>
          <w:highlight w:val="none"/>
        </w:rPr>
      </w:pPr>
    </w:p>
    <w:p>
      <w:pPr>
        <w:pStyle w:val="9"/>
        <w:jc w:val="center"/>
        <w:rPr>
          <w:color w:val="auto"/>
          <w:highlight w:val="none"/>
        </w:rPr>
      </w:pPr>
    </w:p>
    <w:p>
      <w:pPr>
        <w:pStyle w:val="9"/>
        <w:jc w:val="center"/>
        <w:rPr>
          <w:color w:val="auto"/>
          <w:highlight w:val="none"/>
        </w:rPr>
      </w:pPr>
    </w:p>
    <w:p>
      <w:pPr>
        <w:pStyle w:val="9"/>
        <w:jc w:val="center"/>
        <w:rPr>
          <w:color w:val="auto"/>
          <w:highlight w:val="none"/>
        </w:rPr>
      </w:pPr>
    </w:p>
    <w:p>
      <w:pPr>
        <w:pStyle w:val="9"/>
        <w:jc w:val="center"/>
        <w:rPr>
          <w:color w:val="auto"/>
          <w:highlight w:val="none"/>
        </w:rPr>
      </w:pPr>
    </w:p>
    <w:p>
      <w:pPr>
        <w:spacing w:line="360" w:lineRule="auto"/>
        <w:ind w:firstLine="643" w:firstLineChars="200"/>
        <w:jc w:val="left"/>
        <w:rPr>
          <w:rFonts w:ascii="宋体" w:hAnsi="宋体"/>
          <w:b/>
          <w:color w:val="auto"/>
          <w:sz w:val="32"/>
          <w:szCs w:val="32"/>
          <w:highlight w:val="none"/>
        </w:rPr>
      </w:pPr>
      <w:r>
        <w:rPr>
          <w:rFonts w:hint="eastAsia" w:ascii="宋体" w:hAnsi="宋体"/>
          <w:b/>
          <w:bCs/>
          <w:color w:val="auto"/>
          <w:sz w:val="32"/>
          <w:szCs w:val="32"/>
          <w:highlight w:val="none"/>
        </w:rPr>
        <w:t>项目名称：兴安县水安全保障“十四五”规划报告</w:t>
      </w:r>
    </w:p>
    <w:p>
      <w:pPr>
        <w:spacing w:line="360" w:lineRule="auto"/>
        <w:ind w:firstLine="643" w:firstLineChars="200"/>
        <w:jc w:val="left"/>
        <w:rPr>
          <w:rFonts w:ascii="宋体" w:hAnsi="宋体"/>
          <w:b/>
          <w:bCs/>
          <w:color w:val="auto"/>
          <w:sz w:val="32"/>
          <w:szCs w:val="32"/>
          <w:highlight w:val="none"/>
        </w:rPr>
      </w:pPr>
      <w:r>
        <w:rPr>
          <w:rFonts w:hint="eastAsia" w:ascii="宋体" w:hAnsi="宋体"/>
          <w:b/>
          <w:bCs/>
          <w:color w:val="auto"/>
          <w:sz w:val="32"/>
          <w:szCs w:val="32"/>
          <w:highlight w:val="none"/>
        </w:rPr>
        <w:t>项目编号：GLZC2021-G3-250012-GLHY</w:t>
      </w:r>
    </w:p>
    <w:p>
      <w:pPr>
        <w:spacing w:line="360" w:lineRule="auto"/>
        <w:jc w:val="center"/>
        <w:rPr>
          <w:rFonts w:ascii="宋体" w:hAnsi="宋体"/>
          <w:b/>
          <w:color w:val="auto"/>
          <w:sz w:val="32"/>
          <w:szCs w:val="32"/>
          <w:highlight w:val="none"/>
        </w:rPr>
      </w:pPr>
    </w:p>
    <w:p>
      <w:pPr>
        <w:ind w:left="-2" w:leftChars="-1" w:firstLine="840" w:firstLineChars="400"/>
        <w:jc w:val="center"/>
        <w:rPr>
          <w:color w:val="auto"/>
          <w:highlight w:val="none"/>
        </w:rPr>
      </w:pPr>
      <w:r>
        <w:rPr>
          <w:rFonts w:hint="eastAsia"/>
          <w:color w:val="auto"/>
          <w:highlight w:val="none"/>
        </w:rPr>
        <w:cr/>
      </w:r>
    </w:p>
    <w:p>
      <w:pPr>
        <w:ind w:left="-2" w:leftChars="-1" w:firstLine="840" w:firstLineChars="400"/>
        <w:rPr>
          <w:color w:val="auto"/>
          <w:highlight w:val="none"/>
        </w:rPr>
      </w:pPr>
    </w:p>
    <w:p>
      <w:pPr>
        <w:ind w:left="-2" w:leftChars="-1" w:firstLine="840" w:firstLineChars="400"/>
        <w:rPr>
          <w:color w:val="auto"/>
          <w:highlight w:val="none"/>
        </w:rPr>
      </w:pPr>
    </w:p>
    <w:p>
      <w:pPr>
        <w:ind w:left="-2" w:leftChars="-1" w:firstLine="840" w:firstLineChars="400"/>
        <w:rPr>
          <w:color w:val="auto"/>
          <w:highlight w:val="none"/>
        </w:rPr>
      </w:pPr>
    </w:p>
    <w:p>
      <w:pPr>
        <w:ind w:left="-2" w:leftChars="-1" w:firstLine="630" w:firstLineChars="300"/>
        <w:rPr>
          <w:color w:val="auto"/>
          <w:highlight w:val="none"/>
        </w:rPr>
      </w:pPr>
    </w:p>
    <w:p>
      <w:pPr>
        <w:ind w:left="-2" w:leftChars="-1" w:firstLine="630" w:firstLineChars="300"/>
        <w:rPr>
          <w:color w:val="auto"/>
          <w:highlight w:val="none"/>
        </w:rPr>
      </w:pPr>
    </w:p>
    <w:p>
      <w:pPr>
        <w:ind w:left="638" w:leftChars="304"/>
        <w:jc w:val="left"/>
        <w:rPr>
          <w:rFonts w:ascii="宋体" w:hAnsi="宋体"/>
          <w:b/>
          <w:color w:val="auto"/>
          <w:spacing w:val="-10"/>
          <w:sz w:val="32"/>
          <w:szCs w:val="32"/>
          <w:highlight w:val="none"/>
        </w:rPr>
      </w:pPr>
      <w:r>
        <w:rPr>
          <w:rFonts w:hint="eastAsia" w:ascii="宋体" w:hAnsi="宋体"/>
          <w:b/>
          <w:color w:val="auto"/>
          <w:spacing w:val="-10"/>
          <w:sz w:val="32"/>
          <w:szCs w:val="32"/>
          <w:highlight w:val="none"/>
        </w:rPr>
        <w:t>采   购   人：兴安县水利局</w:t>
      </w:r>
      <w:r>
        <w:rPr>
          <w:rFonts w:ascii="宋体" w:hAnsi="宋体"/>
          <w:b/>
          <w:color w:val="auto"/>
          <w:spacing w:val="-10"/>
          <w:sz w:val="32"/>
          <w:szCs w:val="32"/>
          <w:highlight w:val="none"/>
        </w:rPr>
        <w:cr/>
      </w:r>
      <w:r>
        <w:rPr>
          <w:rFonts w:hint="eastAsia" w:ascii="宋体" w:hAnsi="宋体"/>
          <w:b/>
          <w:color w:val="auto"/>
          <w:spacing w:val="-10"/>
          <w:sz w:val="32"/>
          <w:szCs w:val="32"/>
          <w:highlight w:val="none"/>
        </w:rPr>
        <w:t>采购代理机构：广西桂林华禹水利水电工程咨询有限公司</w:t>
      </w:r>
    </w:p>
    <w:p>
      <w:pPr>
        <w:jc w:val="center"/>
        <w:rPr>
          <w:rFonts w:ascii="华文新魏" w:eastAsia="华文新魏"/>
          <w:b/>
          <w:bCs/>
          <w:color w:val="auto"/>
          <w:sz w:val="52"/>
          <w:szCs w:val="52"/>
          <w:highlight w:val="none"/>
        </w:rPr>
      </w:pPr>
      <w:r>
        <w:rPr>
          <w:rFonts w:hint="eastAsia" w:ascii="宋体" w:hAnsi="宋体"/>
          <w:b/>
          <w:color w:val="auto"/>
          <w:spacing w:val="-10"/>
          <w:sz w:val="32"/>
          <w:szCs w:val="32"/>
          <w:highlight w:val="none"/>
        </w:rPr>
        <w:t>二〇二一年二</w:t>
      </w:r>
      <w:r>
        <w:rPr>
          <w:rFonts w:hint="eastAsia" w:ascii="宋体" w:hAnsi="宋体"/>
          <w:b/>
          <w:color w:val="auto"/>
          <w:sz w:val="32"/>
          <w:szCs w:val="32"/>
          <w:highlight w:val="none"/>
        </w:rPr>
        <w:t>月</w:t>
      </w:r>
    </w:p>
    <w:p>
      <w:pPr>
        <w:spacing w:line="720" w:lineRule="auto"/>
        <w:jc w:val="center"/>
        <w:rPr>
          <w:b/>
          <w:color w:val="auto"/>
          <w:sz w:val="44"/>
          <w:szCs w:val="44"/>
          <w:highlight w:val="none"/>
        </w:rPr>
      </w:pPr>
      <w:r>
        <w:rPr>
          <w:rFonts w:hint="eastAsia"/>
          <w:b/>
          <w:color w:val="auto"/>
          <w:sz w:val="44"/>
          <w:szCs w:val="44"/>
          <w:highlight w:val="none"/>
        </w:rPr>
        <w:t>目  录</w:t>
      </w:r>
    </w:p>
    <w:p>
      <w:pPr>
        <w:pStyle w:val="13"/>
        <w:tabs>
          <w:tab w:val="right" w:leader="dot" w:pos="9628"/>
        </w:tabs>
        <w:spacing w:line="720" w:lineRule="auto"/>
        <w:rPr>
          <w:color w:val="auto"/>
          <w:sz w:val="32"/>
          <w:szCs w:val="32"/>
          <w:highlight w:val="none"/>
        </w:rPr>
      </w:pPr>
      <w:r>
        <w:rPr>
          <w:color w:val="auto"/>
          <w:sz w:val="32"/>
          <w:szCs w:val="32"/>
          <w:highlight w:val="none"/>
        </w:rPr>
        <w:fldChar w:fldCharType="begin"/>
      </w:r>
      <w:r>
        <w:rPr>
          <w:color w:val="auto"/>
          <w:sz w:val="32"/>
          <w:szCs w:val="32"/>
          <w:highlight w:val="none"/>
        </w:rPr>
        <w:instrText xml:space="preserve"> </w:instrText>
      </w:r>
      <w:r>
        <w:rPr>
          <w:rFonts w:hint="eastAsia"/>
          <w:color w:val="auto"/>
          <w:sz w:val="32"/>
          <w:szCs w:val="32"/>
          <w:highlight w:val="none"/>
        </w:rPr>
        <w:instrText xml:space="preserve">TOC \o "1-1" \h \z \u</w:instrText>
      </w:r>
      <w:r>
        <w:rPr>
          <w:color w:val="auto"/>
          <w:sz w:val="32"/>
          <w:szCs w:val="32"/>
          <w:highlight w:val="none"/>
        </w:rPr>
        <w:instrText xml:space="preserve"> </w:instrText>
      </w:r>
      <w:r>
        <w:rPr>
          <w:color w:val="auto"/>
          <w:sz w:val="32"/>
          <w:szCs w:val="32"/>
          <w:highlight w:val="none"/>
        </w:rPr>
        <w:fldChar w:fldCharType="separate"/>
      </w:r>
      <w:r>
        <w:rPr>
          <w:color w:val="auto"/>
          <w:highlight w:val="none"/>
        </w:rPr>
        <w:fldChar w:fldCharType="begin"/>
      </w:r>
      <w:r>
        <w:rPr>
          <w:color w:val="auto"/>
          <w:highlight w:val="none"/>
        </w:rPr>
        <w:instrText xml:space="preserve"> HYPERLINK \l "_Toc53136852" </w:instrText>
      </w:r>
      <w:r>
        <w:rPr>
          <w:color w:val="auto"/>
          <w:highlight w:val="none"/>
        </w:rPr>
        <w:fldChar w:fldCharType="separate"/>
      </w:r>
      <w:r>
        <w:rPr>
          <w:rStyle w:val="17"/>
          <w:rFonts w:hint="eastAsia"/>
          <w:color w:val="auto"/>
          <w:sz w:val="32"/>
          <w:szCs w:val="32"/>
          <w:highlight w:val="none"/>
        </w:rPr>
        <w:t>第一章</w:t>
      </w:r>
      <w:r>
        <w:rPr>
          <w:rStyle w:val="17"/>
          <w:color w:val="auto"/>
          <w:sz w:val="32"/>
          <w:szCs w:val="32"/>
          <w:highlight w:val="none"/>
        </w:rPr>
        <w:t xml:space="preserve"> </w:t>
      </w:r>
      <w:r>
        <w:rPr>
          <w:rStyle w:val="17"/>
          <w:rFonts w:hint="eastAsia"/>
          <w:color w:val="auto"/>
          <w:sz w:val="32"/>
          <w:szCs w:val="32"/>
          <w:highlight w:val="none"/>
        </w:rPr>
        <w:t>公开招标公告</w:t>
      </w:r>
      <w:r>
        <w:rPr>
          <w:color w:val="auto"/>
          <w:sz w:val="32"/>
          <w:szCs w:val="32"/>
          <w:highlight w:val="none"/>
        </w:rPr>
        <w:tab/>
      </w:r>
      <w:r>
        <w:rPr>
          <w:color w:val="auto"/>
          <w:sz w:val="32"/>
          <w:szCs w:val="32"/>
          <w:highlight w:val="none"/>
        </w:rPr>
        <w:fldChar w:fldCharType="begin"/>
      </w:r>
      <w:r>
        <w:rPr>
          <w:color w:val="auto"/>
          <w:sz w:val="32"/>
          <w:szCs w:val="32"/>
          <w:highlight w:val="none"/>
        </w:rPr>
        <w:instrText xml:space="preserve"> PAGEREF _Toc53136852 \h </w:instrText>
      </w:r>
      <w:r>
        <w:rPr>
          <w:color w:val="auto"/>
          <w:sz w:val="32"/>
          <w:szCs w:val="32"/>
          <w:highlight w:val="none"/>
        </w:rPr>
        <w:fldChar w:fldCharType="separate"/>
      </w:r>
      <w:r>
        <w:rPr>
          <w:color w:val="auto"/>
          <w:sz w:val="32"/>
          <w:szCs w:val="32"/>
          <w:highlight w:val="none"/>
        </w:rPr>
        <w:t>3</w:t>
      </w:r>
      <w:r>
        <w:rPr>
          <w:color w:val="auto"/>
          <w:sz w:val="32"/>
          <w:szCs w:val="32"/>
          <w:highlight w:val="none"/>
        </w:rPr>
        <w:fldChar w:fldCharType="end"/>
      </w:r>
      <w:r>
        <w:rPr>
          <w:color w:val="auto"/>
          <w:sz w:val="32"/>
          <w:szCs w:val="32"/>
          <w:highlight w:val="none"/>
        </w:rPr>
        <w:fldChar w:fldCharType="end"/>
      </w:r>
    </w:p>
    <w:p>
      <w:pPr>
        <w:pStyle w:val="13"/>
        <w:tabs>
          <w:tab w:val="right" w:leader="dot" w:pos="9628"/>
        </w:tabs>
        <w:spacing w:line="720" w:lineRule="auto"/>
        <w:rPr>
          <w:color w:val="auto"/>
          <w:sz w:val="32"/>
          <w:szCs w:val="32"/>
          <w:highlight w:val="none"/>
        </w:rPr>
      </w:pPr>
      <w:r>
        <w:rPr>
          <w:color w:val="auto"/>
          <w:highlight w:val="none"/>
        </w:rPr>
        <w:fldChar w:fldCharType="begin"/>
      </w:r>
      <w:r>
        <w:rPr>
          <w:color w:val="auto"/>
          <w:highlight w:val="none"/>
        </w:rPr>
        <w:instrText xml:space="preserve"> HYPERLINK \l "_Toc53136853" </w:instrText>
      </w:r>
      <w:r>
        <w:rPr>
          <w:color w:val="auto"/>
          <w:highlight w:val="none"/>
        </w:rPr>
        <w:fldChar w:fldCharType="separate"/>
      </w:r>
      <w:r>
        <w:rPr>
          <w:rStyle w:val="17"/>
          <w:rFonts w:hint="eastAsia"/>
          <w:color w:val="auto"/>
          <w:sz w:val="32"/>
          <w:szCs w:val="32"/>
          <w:highlight w:val="none"/>
        </w:rPr>
        <w:t>第二章</w:t>
      </w:r>
      <w:r>
        <w:rPr>
          <w:rStyle w:val="17"/>
          <w:color w:val="auto"/>
          <w:sz w:val="32"/>
          <w:szCs w:val="32"/>
          <w:highlight w:val="none"/>
        </w:rPr>
        <w:t xml:space="preserve"> </w:t>
      </w:r>
      <w:r>
        <w:rPr>
          <w:rStyle w:val="17"/>
          <w:rFonts w:hint="eastAsia"/>
          <w:color w:val="auto"/>
          <w:sz w:val="32"/>
          <w:szCs w:val="32"/>
          <w:highlight w:val="none"/>
        </w:rPr>
        <w:t>投标人须知</w:t>
      </w:r>
      <w:r>
        <w:rPr>
          <w:color w:val="auto"/>
          <w:sz w:val="32"/>
          <w:szCs w:val="32"/>
          <w:highlight w:val="none"/>
        </w:rPr>
        <w:tab/>
      </w:r>
      <w:r>
        <w:rPr>
          <w:color w:val="auto"/>
          <w:sz w:val="32"/>
          <w:szCs w:val="32"/>
          <w:highlight w:val="none"/>
        </w:rPr>
        <w:fldChar w:fldCharType="begin"/>
      </w:r>
      <w:r>
        <w:rPr>
          <w:color w:val="auto"/>
          <w:sz w:val="32"/>
          <w:szCs w:val="32"/>
          <w:highlight w:val="none"/>
        </w:rPr>
        <w:instrText xml:space="preserve"> PAGEREF _Toc53136853 \h </w:instrText>
      </w:r>
      <w:r>
        <w:rPr>
          <w:color w:val="auto"/>
          <w:sz w:val="32"/>
          <w:szCs w:val="32"/>
          <w:highlight w:val="none"/>
        </w:rPr>
        <w:fldChar w:fldCharType="separate"/>
      </w:r>
      <w:r>
        <w:rPr>
          <w:color w:val="auto"/>
          <w:sz w:val="32"/>
          <w:szCs w:val="32"/>
          <w:highlight w:val="none"/>
        </w:rPr>
        <w:t>6</w:t>
      </w:r>
      <w:r>
        <w:rPr>
          <w:color w:val="auto"/>
          <w:sz w:val="32"/>
          <w:szCs w:val="32"/>
          <w:highlight w:val="none"/>
        </w:rPr>
        <w:fldChar w:fldCharType="end"/>
      </w:r>
      <w:r>
        <w:rPr>
          <w:color w:val="auto"/>
          <w:sz w:val="32"/>
          <w:szCs w:val="32"/>
          <w:highlight w:val="none"/>
        </w:rPr>
        <w:fldChar w:fldCharType="end"/>
      </w:r>
    </w:p>
    <w:p>
      <w:pPr>
        <w:pStyle w:val="13"/>
        <w:tabs>
          <w:tab w:val="right" w:leader="dot" w:pos="9628"/>
        </w:tabs>
        <w:spacing w:line="720" w:lineRule="auto"/>
        <w:rPr>
          <w:color w:val="auto"/>
          <w:sz w:val="32"/>
          <w:szCs w:val="32"/>
          <w:highlight w:val="none"/>
        </w:rPr>
      </w:pPr>
      <w:r>
        <w:rPr>
          <w:color w:val="auto"/>
          <w:highlight w:val="none"/>
        </w:rPr>
        <w:fldChar w:fldCharType="begin"/>
      </w:r>
      <w:r>
        <w:rPr>
          <w:color w:val="auto"/>
          <w:highlight w:val="none"/>
        </w:rPr>
        <w:instrText xml:space="preserve"> HYPERLINK \l "_Toc53136854" </w:instrText>
      </w:r>
      <w:r>
        <w:rPr>
          <w:color w:val="auto"/>
          <w:highlight w:val="none"/>
        </w:rPr>
        <w:fldChar w:fldCharType="separate"/>
      </w:r>
      <w:r>
        <w:rPr>
          <w:rStyle w:val="17"/>
          <w:rFonts w:hint="eastAsia"/>
          <w:color w:val="auto"/>
          <w:sz w:val="32"/>
          <w:szCs w:val="32"/>
          <w:highlight w:val="none"/>
        </w:rPr>
        <w:t>第三章</w:t>
      </w:r>
      <w:r>
        <w:rPr>
          <w:rStyle w:val="17"/>
          <w:color w:val="auto"/>
          <w:sz w:val="32"/>
          <w:szCs w:val="32"/>
          <w:highlight w:val="none"/>
        </w:rPr>
        <w:t xml:space="preserve"> </w:t>
      </w:r>
      <w:r>
        <w:rPr>
          <w:rStyle w:val="17"/>
          <w:rFonts w:hint="eastAsia"/>
          <w:color w:val="auto"/>
          <w:sz w:val="32"/>
          <w:szCs w:val="32"/>
          <w:highlight w:val="none"/>
        </w:rPr>
        <w:t>项目采购需求</w:t>
      </w:r>
      <w:r>
        <w:rPr>
          <w:color w:val="auto"/>
          <w:sz w:val="32"/>
          <w:szCs w:val="32"/>
          <w:highlight w:val="none"/>
        </w:rPr>
        <w:tab/>
      </w:r>
      <w:r>
        <w:rPr>
          <w:color w:val="auto"/>
          <w:sz w:val="32"/>
          <w:szCs w:val="32"/>
          <w:highlight w:val="none"/>
        </w:rPr>
        <w:fldChar w:fldCharType="begin"/>
      </w:r>
      <w:r>
        <w:rPr>
          <w:color w:val="auto"/>
          <w:sz w:val="32"/>
          <w:szCs w:val="32"/>
          <w:highlight w:val="none"/>
        </w:rPr>
        <w:instrText xml:space="preserve"> PAGEREF _Toc53136854 \h </w:instrText>
      </w:r>
      <w:r>
        <w:rPr>
          <w:color w:val="auto"/>
          <w:sz w:val="32"/>
          <w:szCs w:val="32"/>
          <w:highlight w:val="none"/>
        </w:rPr>
        <w:fldChar w:fldCharType="separate"/>
      </w:r>
      <w:r>
        <w:rPr>
          <w:color w:val="auto"/>
          <w:sz w:val="32"/>
          <w:szCs w:val="32"/>
          <w:highlight w:val="none"/>
        </w:rPr>
        <w:t>22</w:t>
      </w:r>
      <w:r>
        <w:rPr>
          <w:color w:val="auto"/>
          <w:sz w:val="32"/>
          <w:szCs w:val="32"/>
          <w:highlight w:val="none"/>
        </w:rPr>
        <w:fldChar w:fldCharType="end"/>
      </w:r>
      <w:r>
        <w:rPr>
          <w:color w:val="auto"/>
          <w:sz w:val="32"/>
          <w:szCs w:val="32"/>
          <w:highlight w:val="none"/>
        </w:rPr>
        <w:fldChar w:fldCharType="end"/>
      </w:r>
    </w:p>
    <w:p>
      <w:pPr>
        <w:pStyle w:val="13"/>
        <w:tabs>
          <w:tab w:val="right" w:leader="dot" w:pos="9628"/>
        </w:tabs>
        <w:spacing w:line="720" w:lineRule="auto"/>
        <w:rPr>
          <w:color w:val="auto"/>
          <w:sz w:val="32"/>
          <w:szCs w:val="32"/>
          <w:highlight w:val="none"/>
        </w:rPr>
      </w:pPr>
      <w:r>
        <w:rPr>
          <w:color w:val="auto"/>
          <w:highlight w:val="none"/>
        </w:rPr>
        <w:fldChar w:fldCharType="begin"/>
      </w:r>
      <w:r>
        <w:rPr>
          <w:color w:val="auto"/>
          <w:highlight w:val="none"/>
        </w:rPr>
        <w:instrText xml:space="preserve"> HYPERLINK \l "_Toc53136855" </w:instrText>
      </w:r>
      <w:r>
        <w:rPr>
          <w:color w:val="auto"/>
          <w:highlight w:val="none"/>
        </w:rPr>
        <w:fldChar w:fldCharType="separate"/>
      </w:r>
      <w:r>
        <w:rPr>
          <w:rStyle w:val="17"/>
          <w:rFonts w:hint="eastAsia"/>
          <w:color w:val="auto"/>
          <w:sz w:val="32"/>
          <w:szCs w:val="32"/>
          <w:highlight w:val="none"/>
        </w:rPr>
        <w:t>第四章</w:t>
      </w:r>
      <w:r>
        <w:rPr>
          <w:rStyle w:val="17"/>
          <w:color w:val="auto"/>
          <w:sz w:val="32"/>
          <w:szCs w:val="32"/>
          <w:highlight w:val="none"/>
        </w:rPr>
        <w:t xml:space="preserve"> </w:t>
      </w:r>
      <w:r>
        <w:rPr>
          <w:rStyle w:val="17"/>
          <w:rFonts w:hint="eastAsia"/>
          <w:color w:val="auto"/>
          <w:sz w:val="32"/>
          <w:szCs w:val="32"/>
          <w:highlight w:val="none"/>
        </w:rPr>
        <w:t>评标办法</w:t>
      </w:r>
      <w:r>
        <w:rPr>
          <w:color w:val="auto"/>
          <w:sz w:val="32"/>
          <w:szCs w:val="32"/>
          <w:highlight w:val="none"/>
        </w:rPr>
        <w:tab/>
      </w:r>
      <w:r>
        <w:rPr>
          <w:color w:val="auto"/>
          <w:sz w:val="32"/>
          <w:szCs w:val="32"/>
          <w:highlight w:val="none"/>
        </w:rPr>
        <w:fldChar w:fldCharType="begin"/>
      </w:r>
      <w:r>
        <w:rPr>
          <w:color w:val="auto"/>
          <w:sz w:val="32"/>
          <w:szCs w:val="32"/>
          <w:highlight w:val="none"/>
        </w:rPr>
        <w:instrText xml:space="preserve"> PAGEREF _Toc53136855 \h </w:instrText>
      </w:r>
      <w:r>
        <w:rPr>
          <w:color w:val="auto"/>
          <w:sz w:val="32"/>
          <w:szCs w:val="32"/>
          <w:highlight w:val="none"/>
        </w:rPr>
        <w:fldChar w:fldCharType="separate"/>
      </w:r>
      <w:r>
        <w:rPr>
          <w:color w:val="auto"/>
          <w:sz w:val="32"/>
          <w:szCs w:val="32"/>
          <w:highlight w:val="none"/>
        </w:rPr>
        <w:t>23</w:t>
      </w:r>
      <w:r>
        <w:rPr>
          <w:color w:val="auto"/>
          <w:sz w:val="32"/>
          <w:szCs w:val="32"/>
          <w:highlight w:val="none"/>
        </w:rPr>
        <w:fldChar w:fldCharType="end"/>
      </w:r>
      <w:r>
        <w:rPr>
          <w:color w:val="auto"/>
          <w:sz w:val="32"/>
          <w:szCs w:val="32"/>
          <w:highlight w:val="none"/>
        </w:rPr>
        <w:fldChar w:fldCharType="end"/>
      </w:r>
    </w:p>
    <w:p>
      <w:pPr>
        <w:pStyle w:val="13"/>
        <w:tabs>
          <w:tab w:val="right" w:leader="dot" w:pos="9628"/>
        </w:tabs>
        <w:spacing w:line="720" w:lineRule="auto"/>
        <w:rPr>
          <w:color w:val="auto"/>
          <w:sz w:val="32"/>
          <w:szCs w:val="32"/>
          <w:highlight w:val="none"/>
        </w:rPr>
      </w:pPr>
      <w:r>
        <w:rPr>
          <w:color w:val="auto"/>
          <w:highlight w:val="none"/>
        </w:rPr>
        <w:fldChar w:fldCharType="begin"/>
      </w:r>
      <w:r>
        <w:rPr>
          <w:color w:val="auto"/>
          <w:highlight w:val="none"/>
        </w:rPr>
        <w:instrText xml:space="preserve"> HYPERLINK \l "_Toc53136856" </w:instrText>
      </w:r>
      <w:r>
        <w:rPr>
          <w:color w:val="auto"/>
          <w:highlight w:val="none"/>
        </w:rPr>
        <w:fldChar w:fldCharType="separate"/>
      </w:r>
      <w:r>
        <w:rPr>
          <w:rStyle w:val="17"/>
          <w:rFonts w:hint="eastAsia"/>
          <w:color w:val="auto"/>
          <w:sz w:val="32"/>
          <w:szCs w:val="32"/>
          <w:highlight w:val="none"/>
        </w:rPr>
        <w:t>第五章</w:t>
      </w:r>
      <w:r>
        <w:rPr>
          <w:rStyle w:val="17"/>
          <w:color w:val="auto"/>
          <w:sz w:val="32"/>
          <w:szCs w:val="32"/>
          <w:highlight w:val="none"/>
        </w:rPr>
        <w:t xml:space="preserve"> </w:t>
      </w:r>
      <w:r>
        <w:rPr>
          <w:rStyle w:val="17"/>
          <w:rFonts w:hint="eastAsia"/>
          <w:color w:val="auto"/>
          <w:sz w:val="32"/>
          <w:szCs w:val="32"/>
          <w:highlight w:val="none"/>
        </w:rPr>
        <w:t>合同主要条款及格式</w:t>
      </w:r>
      <w:r>
        <w:rPr>
          <w:color w:val="auto"/>
          <w:sz w:val="32"/>
          <w:szCs w:val="32"/>
          <w:highlight w:val="none"/>
        </w:rPr>
        <w:tab/>
      </w:r>
      <w:r>
        <w:rPr>
          <w:color w:val="auto"/>
          <w:sz w:val="32"/>
          <w:szCs w:val="32"/>
          <w:highlight w:val="none"/>
        </w:rPr>
        <w:fldChar w:fldCharType="begin"/>
      </w:r>
      <w:r>
        <w:rPr>
          <w:color w:val="auto"/>
          <w:sz w:val="32"/>
          <w:szCs w:val="32"/>
          <w:highlight w:val="none"/>
        </w:rPr>
        <w:instrText xml:space="preserve"> PAGEREF _Toc53136856 \h </w:instrText>
      </w:r>
      <w:r>
        <w:rPr>
          <w:color w:val="auto"/>
          <w:sz w:val="32"/>
          <w:szCs w:val="32"/>
          <w:highlight w:val="none"/>
        </w:rPr>
        <w:fldChar w:fldCharType="separate"/>
      </w:r>
      <w:r>
        <w:rPr>
          <w:color w:val="auto"/>
          <w:sz w:val="32"/>
          <w:szCs w:val="32"/>
          <w:highlight w:val="none"/>
        </w:rPr>
        <w:t>26</w:t>
      </w:r>
      <w:r>
        <w:rPr>
          <w:color w:val="auto"/>
          <w:sz w:val="32"/>
          <w:szCs w:val="32"/>
          <w:highlight w:val="none"/>
        </w:rPr>
        <w:fldChar w:fldCharType="end"/>
      </w:r>
      <w:r>
        <w:rPr>
          <w:color w:val="auto"/>
          <w:sz w:val="32"/>
          <w:szCs w:val="32"/>
          <w:highlight w:val="none"/>
        </w:rPr>
        <w:fldChar w:fldCharType="end"/>
      </w:r>
    </w:p>
    <w:p>
      <w:pPr>
        <w:pStyle w:val="13"/>
        <w:tabs>
          <w:tab w:val="right" w:leader="dot" w:pos="9628"/>
        </w:tabs>
        <w:spacing w:line="720" w:lineRule="auto"/>
        <w:rPr>
          <w:color w:val="auto"/>
          <w:sz w:val="32"/>
          <w:szCs w:val="32"/>
          <w:highlight w:val="none"/>
        </w:rPr>
      </w:pPr>
      <w:r>
        <w:rPr>
          <w:color w:val="auto"/>
          <w:highlight w:val="none"/>
        </w:rPr>
        <w:fldChar w:fldCharType="begin"/>
      </w:r>
      <w:r>
        <w:rPr>
          <w:color w:val="auto"/>
          <w:highlight w:val="none"/>
        </w:rPr>
        <w:instrText xml:space="preserve"> HYPERLINK \l "_Toc53136857" </w:instrText>
      </w:r>
      <w:r>
        <w:rPr>
          <w:color w:val="auto"/>
          <w:highlight w:val="none"/>
        </w:rPr>
        <w:fldChar w:fldCharType="separate"/>
      </w:r>
      <w:r>
        <w:rPr>
          <w:rStyle w:val="17"/>
          <w:rFonts w:hint="eastAsia"/>
          <w:color w:val="auto"/>
          <w:sz w:val="32"/>
          <w:szCs w:val="32"/>
          <w:highlight w:val="none"/>
        </w:rPr>
        <w:t>第六章</w:t>
      </w:r>
      <w:r>
        <w:rPr>
          <w:rStyle w:val="17"/>
          <w:color w:val="auto"/>
          <w:sz w:val="32"/>
          <w:szCs w:val="32"/>
          <w:highlight w:val="none"/>
        </w:rPr>
        <w:t xml:space="preserve"> </w:t>
      </w:r>
      <w:r>
        <w:rPr>
          <w:rStyle w:val="17"/>
          <w:rFonts w:hint="eastAsia"/>
          <w:color w:val="auto"/>
          <w:sz w:val="32"/>
          <w:szCs w:val="32"/>
          <w:highlight w:val="none"/>
        </w:rPr>
        <w:t>投标文件格式</w:t>
      </w:r>
      <w:r>
        <w:rPr>
          <w:color w:val="auto"/>
          <w:sz w:val="32"/>
          <w:szCs w:val="32"/>
          <w:highlight w:val="none"/>
        </w:rPr>
        <w:tab/>
      </w:r>
      <w:r>
        <w:rPr>
          <w:color w:val="auto"/>
          <w:sz w:val="32"/>
          <w:szCs w:val="32"/>
          <w:highlight w:val="none"/>
        </w:rPr>
        <w:fldChar w:fldCharType="begin"/>
      </w:r>
      <w:r>
        <w:rPr>
          <w:color w:val="auto"/>
          <w:sz w:val="32"/>
          <w:szCs w:val="32"/>
          <w:highlight w:val="none"/>
        </w:rPr>
        <w:instrText xml:space="preserve"> PAGEREF _Toc53136857 \h </w:instrText>
      </w:r>
      <w:r>
        <w:rPr>
          <w:color w:val="auto"/>
          <w:sz w:val="32"/>
          <w:szCs w:val="32"/>
          <w:highlight w:val="none"/>
        </w:rPr>
        <w:fldChar w:fldCharType="separate"/>
      </w:r>
      <w:r>
        <w:rPr>
          <w:color w:val="auto"/>
          <w:sz w:val="32"/>
          <w:szCs w:val="32"/>
          <w:highlight w:val="none"/>
        </w:rPr>
        <w:t>29</w:t>
      </w:r>
      <w:r>
        <w:rPr>
          <w:color w:val="auto"/>
          <w:sz w:val="32"/>
          <w:szCs w:val="32"/>
          <w:highlight w:val="none"/>
        </w:rPr>
        <w:fldChar w:fldCharType="end"/>
      </w:r>
      <w:r>
        <w:rPr>
          <w:color w:val="auto"/>
          <w:sz w:val="32"/>
          <w:szCs w:val="32"/>
          <w:highlight w:val="none"/>
        </w:rPr>
        <w:fldChar w:fldCharType="end"/>
      </w:r>
    </w:p>
    <w:p>
      <w:pPr>
        <w:spacing w:line="720" w:lineRule="auto"/>
        <w:rPr>
          <w:color w:val="auto"/>
          <w:highlight w:val="none"/>
        </w:rPr>
      </w:pPr>
      <w:r>
        <w:rPr>
          <w:color w:val="auto"/>
          <w:sz w:val="32"/>
          <w:szCs w:val="32"/>
          <w:highlight w:val="none"/>
        </w:rPr>
        <w:fldChar w:fldCharType="end"/>
      </w:r>
    </w:p>
    <w:p>
      <w:pPr>
        <w:rPr>
          <w:color w:val="auto"/>
          <w:highlight w:val="none"/>
        </w:rPr>
      </w:pPr>
    </w:p>
    <w:p>
      <w:pPr>
        <w:widowControl/>
        <w:jc w:val="left"/>
        <w:rPr>
          <w:color w:val="auto"/>
          <w:highlight w:val="none"/>
        </w:rPr>
      </w:pPr>
      <w:r>
        <w:rPr>
          <w:color w:val="auto"/>
          <w:highlight w:val="none"/>
        </w:rPr>
        <w:br w:type="page"/>
      </w:r>
    </w:p>
    <w:p>
      <w:pPr>
        <w:pStyle w:val="3"/>
        <w:rPr>
          <w:color w:val="auto"/>
          <w:highlight w:val="none"/>
        </w:rPr>
      </w:pPr>
      <w:bookmarkStart w:id="0" w:name="_Toc53136852"/>
      <w:r>
        <w:rPr>
          <w:rFonts w:hint="eastAsia"/>
          <w:color w:val="auto"/>
          <w:highlight w:val="none"/>
        </w:rPr>
        <w:t>第一章 公开招标公告</w:t>
      </w:r>
      <w:bookmarkEnd w:id="0"/>
    </w:p>
    <w:p>
      <w:pPr>
        <w:pBdr>
          <w:top w:val="single" w:color="auto" w:sz="4" w:space="0"/>
          <w:left w:val="single" w:color="auto" w:sz="4" w:space="0"/>
          <w:bottom w:val="single" w:color="auto" w:sz="4" w:space="0"/>
          <w:right w:val="single" w:color="auto" w:sz="4" w:space="0"/>
        </w:pBdr>
        <w:spacing w:line="400" w:lineRule="exact"/>
        <w:rPr>
          <w:rFonts w:ascii="宋体" w:hAnsi="宋体" w:cs="宋体"/>
          <w:b/>
          <w:bCs/>
          <w:color w:val="auto"/>
          <w:sz w:val="24"/>
          <w:highlight w:val="none"/>
        </w:rPr>
      </w:pPr>
      <w:r>
        <w:rPr>
          <w:rFonts w:hint="eastAsia" w:ascii="宋体" w:hAnsi="宋体" w:cs="宋体"/>
          <w:b/>
          <w:bCs/>
          <w:color w:val="auto"/>
          <w:sz w:val="24"/>
          <w:highlight w:val="none"/>
        </w:rPr>
        <w:t>项目概况</w:t>
      </w:r>
    </w:p>
    <w:p>
      <w:pPr>
        <w:pBdr>
          <w:top w:val="single" w:color="auto" w:sz="4" w:space="0"/>
          <w:left w:val="single" w:color="auto" w:sz="4" w:space="0"/>
          <w:bottom w:val="single" w:color="auto" w:sz="4" w:space="0"/>
          <w:right w:val="single" w:color="auto" w:sz="4" w:space="0"/>
        </w:pBdr>
        <w:spacing w:line="360" w:lineRule="auto"/>
        <w:ind w:firstLine="420" w:firstLineChars="200"/>
        <w:rPr>
          <w:color w:val="auto"/>
          <w:highlight w:val="none"/>
        </w:rPr>
      </w:pPr>
      <w:r>
        <w:rPr>
          <w:rFonts w:hint="eastAsia" w:ascii="宋体" w:hAnsi="宋体" w:cs="宋体"/>
          <w:color w:val="auto"/>
          <w:szCs w:val="21"/>
          <w:highlight w:val="none"/>
          <w:u w:val="single"/>
        </w:rPr>
        <w:t>兴安县水安全保障“十四五”规划报告</w:t>
      </w:r>
      <w:r>
        <w:rPr>
          <w:rFonts w:hint="eastAsia" w:ascii="宋体" w:hAnsi="宋体" w:cs="宋体"/>
          <w:color w:val="auto"/>
          <w:szCs w:val="21"/>
          <w:highlight w:val="none"/>
        </w:rPr>
        <w:t>招标项目的潜在投标人应在http://gl.zfcg.zcygov.cn/（桂林市政府采购网）或</w:t>
      </w:r>
      <w:r>
        <w:rPr>
          <w:color w:val="auto"/>
          <w:highlight w:val="none"/>
        </w:rPr>
        <w:fldChar w:fldCharType="begin"/>
      </w:r>
      <w:r>
        <w:rPr>
          <w:color w:val="auto"/>
          <w:highlight w:val="none"/>
        </w:rPr>
        <w:instrText xml:space="preserve"> HYPERLINK "http://www.glggzy.org.cn/" </w:instrText>
      </w:r>
      <w:r>
        <w:rPr>
          <w:color w:val="auto"/>
          <w:highlight w:val="none"/>
        </w:rPr>
        <w:fldChar w:fldCharType="separate"/>
      </w:r>
      <w:r>
        <w:rPr>
          <w:rFonts w:hint="eastAsia" w:ascii="宋体" w:hAnsi="宋体" w:cs="宋体"/>
          <w:color w:val="auto"/>
          <w:szCs w:val="21"/>
          <w:highlight w:val="none"/>
        </w:rPr>
        <w:t>http://glggzy.org.cn/</w:t>
      </w:r>
      <w:r>
        <w:rPr>
          <w:rFonts w:hint="eastAsia" w:ascii="宋体" w:hAnsi="宋体" w:cs="宋体"/>
          <w:color w:val="auto"/>
          <w:szCs w:val="21"/>
          <w:highlight w:val="none"/>
        </w:rPr>
        <w:fldChar w:fldCharType="end"/>
      </w:r>
      <w:r>
        <w:rPr>
          <w:rFonts w:hint="eastAsia" w:ascii="宋体" w:hAnsi="宋体" w:cs="宋体"/>
          <w:color w:val="auto"/>
          <w:szCs w:val="21"/>
          <w:highlight w:val="none"/>
        </w:rPr>
        <w:t>（桂林市公共资源交易中心网）免费下载获取招标文件，并于2021年</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22</w:t>
      </w:r>
      <w:r>
        <w:rPr>
          <w:rFonts w:hint="eastAsia" w:ascii="宋体" w:hAnsi="宋体" w:cs="宋体"/>
          <w:color w:val="auto"/>
          <w:szCs w:val="21"/>
          <w:highlight w:val="none"/>
        </w:rPr>
        <w:t>日9点30分（北京时间）前递交投标文件。</w:t>
      </w:r>
    </w:p>
    <w:p>
      <w:pPr>
        <w:pStyle w:val="5"/>
        <w:rPr>
          <w:color w:val="auto"/>
          <w:highlight w:val="none"/>
        </w:rPr>
      </w:pPr>
      <w:r>
        <w:rPr>
          <w:rFonts w:hint="eastAsia"/>
          <w:color w:val="auto"/>
          <w:highlight w:val="none"/>
        </w:rPr>
        <w:t>一、项目基本情况</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1.项目编号：GLZC2021-G3-250012-GLHY</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2.项目名称：兴安县水安全保障“十四五”规划报告</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3.采购方式：公开招标</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4.预算金额：</w:t>
      </w:r>
      <w:r>
        <w:rPr>
          <w:rFonts w:hint="eastAsia" w:ascii="宋体" w:hAnsi="宋体" w:cs="宋体"/>
          <w:color w:val="auto"/>
          <w:szCs w:val="21"/>
          <w:highlight w:val="none"/>
          <w:lang w:val="en-US" w:eastAsia="zh-CN"/>
        </w:rPr>
        <w:t>壹佰柒拾伍万</w:t>
      </w:r>
      <w:r>
        <w:rPr>
          <w:rFonts w:hint="eastAsia" w:ascii="宋体" w:hAnsi="宋体" w:cs="宋体"/>
          <w:color w:val="auto"/>
          <w:szCs w:val="21"/>
          <w:highlight w:val="none"/>
        </w:rPr>
        <w:t>元整（￥1</w:t>
      </w:r>
      <w:r>
        <w:rPr>
          <w:rFonts w:hint="eastAsia" w:ascii="宋体" w:hAnsi="宋体" w:cs="宋体"/>
          <w:color w:val="auto"/>
          <w:szCs w:val="21"/>
          <w:highlight w:val="none"/>
          <w:lang w:val="en-US" w:eastAsia="zh-CN"/>
        </w:rPr>
        <w:t>75</w:t>
      </w:r>
      <w:r>
        <w:rPr>
          <w:rFonts w:hint="eastAsia" w:ascii="宋体" w:hAnsi="宋体" w:cs="宋体"/>
          <w:color w:val="auto"/>
          <w:szCs w:val="21"/>
          <w:highlight w:val="none"/>
        </w:rPr>
        <w:t>0000.00元）</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5.采购需求：标的名称、数量、简要技术需求或服务要求详见“第三章采购需求”。</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6.合同履行期限：合同签订后7个月内提交规划报告。</w:t>
      </w:r>
    </w:p>
    <w:p>
      <w:pPr>
        <w:pStyle w:val="5"/>
        <w:rPr>
          <w:color w:val="auto"/>
          <w:highlight w:val="none"/>
        </w:rPr>
      </w:pPr>
      <w:r>
        <w:rPr>
          <w:rFonts w:hint="eastAsia"/>
          <w:color w:val="auto"/>
          <w:highlight w:val="none"/>
        </w:rPr>
        <w:t>二、投标人的资格要求</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1.符合《中华人民共和国政府采购法》第二十二条规定，具备合法资格的供应商且具有工程咨询单位乙级资信证书（水利水电专业资信）及以上资质，并在人员、设备、资金等方面具有相应的能力。</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3.投标人拟投入的项目负责人具备水利水电工程相关专业高级及以上技术职称。</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4.本项目不接受联合体投标。</w:t>
      </w:r>
    </w:p>
    <w:p>
      <w:pPr>
        <w:pStyle w:val="5"/>
        <w:rPr>
          <w:color w:val="auto"/>
          <w:highlight w:val="none"/>
        </w:rPr>
      </w:pPr>
      <w:r>
        <w:rPr>
          <w:rFonts w:hint="eastAsia"/>
          <w:color w:val="auto"/>
          <w:highlight w:val="none"/>
        </w:rPr>
        <w:t>三、获取招标文件</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1.时间：2021年</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日至2021年</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22</w:t>
      </w:r>
      <w:r>
        <w:rPr>
          <w:rFonts w:hint="eastAsia" w:ascii="宋体" w:hAnsi="宋体" w:cs="宋体"/>
          <w:color w:val="auto"/>
          <w:szCs w:val="21"/>
          <w:highlight w:val="none"/>
        </w:rPr>
        <w:t>日。</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地点：潜在供应商登陆桂林市公共资源交易中心网（http://glggzy.org.cn/）或桂林市政府采购网（http://gl.zfcg.zcygov.cn/），从网上免费下载招标文件电子版；并根据招标文件规定的投标截止时间和地点直接提交投标文件参与投标。</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3.方式：网上下载。</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4.售价：0元。</w:t>
      </w:r>
    </w:p>
    <w:p>
      <w:pPr>
        <w:pStyle w:val="5"/>
        <w:rPr>
          <w:color w:val="auto"/>
          <w:highlight w:val="none"/>
        </w:rPr>
      </w:pPr>
      <w:r>
        <w:rPr>
          <w:rFonts w:hint="eastAsia"/>
          <w:color w:val="auto"/>
          <w:highlight w:val="none"/>
        </w:rPr>
        <w:t>四、提交投标文件截止时间、开标时间和地点</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1.提交投标文件截止时间、开标时间：2021年</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22</w:t>
      </w:r>
      <w:r>
        <w:rPr>
          <w:rFonts w:hint="eastAsia" w:ascii="宋体" w:hAnsi="宋体" w:cs="宋体"/>
          <w:color w:val="auto"/>
          <w:szCs w:val="21"/>
          <w:highlight w:val="none"/>
        </w:rPr>
        <w:t>日9点30分（北京时间）</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2.提交投标文件地点：投标人应于2021年</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22</w:t>
      </w:r>
      <w:r>
        <w:rPr>
          <w:rFonts w:hint="eastAsia" w:ascii="宋体" w:hAnsi="宋体" w:cs="宋体"/>
          <w:color w:val="auto"/>
          <w:szCs w:val="21"/>
          <w:highlight w:val="none"/>
        </w:rPr>
        <w:t>日上午9时00分至9时30分止，将投标文件密封提交至桂林市公共资源交易中心</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号开标室（广西桂林市临桂区西城中路69号创业大厦西辅楼4楼北区），逾期送达的或未按照招标文件要求密封的投标文件将予以拒收。</w:t>
      </w:r>
    </w:p>
    <w:p>
      <w:pPr>
        <w:pStyle w:val="5"/>
        <w:rPr>
          <w:color w:val="auto"/>
          <w:highlight w:val="none"/>
        </w:rPr>
      </w:pPr>
      <w:r>
        <w:rPr>
          <w:rFonts w:hint="eastAsia"/>
          <w:color w:val="auto"/>
          <w:highlight w:val="none"/>
        </w:rPr>
        <w:t>五、公告期限</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自本公告发布之日起5个工作日。</w:t>
      </w:r>
    </w:p>
    <w:p>
      <w:pPr>
        <w:pStyle w:val="5"/>
        <w:rPr>
          <w:color w:val="auto"/>
          <w:highlight w:val="none"/>
        </w:rPr>
      </w:pPr>
      <w:r>
        <w:rPr>
          <w:rFonts w:hint="eastAsia"/>
          <w:color w:val="auto"/>
          <w:highlight w:val="none"/>
        </w:rPr>
        <w:t>六、其他补充事宜</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1.投标人可以由法定代表人、负责人、自然人或其委托代理人出席开标会议。</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2.本项目需要落实的政府采购政策：</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（1）政府采购促进中小企业发展。</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（2）政府采购支持采用本国产品的政策。</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（3）本项目采购内容不涉及强制采购节能产品；优先采购节能产品、环境标志产品。</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（4）政府采购促进残疾人就业政策。</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（5）政府采购支持监狱企业发展。</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3.信息公告发布媒体：</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桂林市公共资源交易中心网（http://glggzy.org.cn/）</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桂林市政府采购网（http://gl.zfcg.zcygov.cn/）</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广西壮族自治区政府采购网（http://zfcg.gxzf.gov.cn/）</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中国政府采购网（http://www.ccgp.gov.cn/）</w:t>
      </w:r>
    </w:p>
    <w:p>
      <w:pPr>
        <w:pStyle w:val="5"/>
        <w:rPr>
          <w:color w:val="auto"/>
          <w:highlight w:val="none"/>
        </w:rPr>
      </w:pPr>
      <w:r>
        <w:rPr>
          <w:rFonts w:hint="eastAsia"/>
          <w:color w:val="auto"/>
          <w:highlight w:val="none"/>
        </w:rPr>
        <w:t>七、对本次招标提出询问，请按以下方式联系</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1.采购人信息：</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名 称：兴安县水利局</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地址：桂林市兴安县兴桂路15号</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联系方式：</w:t>
      </w:r>
      <w:r>
        <w:rPr>
          <w:rFonts w:hint="eastAsia" w:ascii="宋体" w:hAnsi="宋体" w:cs="宋体"/>
          <w:color w:val="auto"/>
          <w:szCs w:val="21"/>
          <w:highlight w:val="none"/>
          <w:lang w:val="en-US" w:eastAsia="zh-CN"/>
        </w:rPr>
        <w:t>李工  0773-6216250</w:t>
      </w:r>
      <w:r>
        <w:rPr>
          <w:rFonts w:hint="eastAsia" w:ascii="宋体" w:hAnsi="宋体" w:cs="宋体"/>
          <w:color w:val="auto"/>
          <w:szCs w:val="21"/>
          <w:highlight w:val="none"/>
        </w:rPr>
        <w:t xml:space="preserve"> </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2.采购代理机构信息：</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名 称：广西桂林华禹水利水电工程咨询有限公司</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地　址：桂林市秀峰区骝马山北巷4号</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联系方式：0773-2831282</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3.项目联系方式：</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项目联系人：左工</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 xml:space="preserve">电  话：0773-2831282 </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4.政府采购监督管理部门：</w:t>
      </w:r>
    </w:p>
    <w:p>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兴安县人民政府采购管理办公室   电话：0773-6220651</w:t>
      </w:r>
    </w:p>
    <w:p>
      <w:pPr>
        <w:spacing w:line="400" w:lineRule="exact"/>
        <w:ind w:firstLine="210" w:firstLineChars="100"/>
        <w:rPr>
          <w:rFonts w:ascii="宋体" w:hAnsi="宋体" w:cs="宋体"/>
          <w:color w:val="auto"/>
          <w:szCs w:val="21"/>
          <w:highlight w:val="none"/>
        </w:rPr>
      </w:pPr>
    </w:p>
    <w:p>
      <w:pPr>
        <w:spacing w:line="400" w:lineRule="exact"/>
        <w:ind w:firstLine="210" w:firstLineChars="100"/>
        <w:rPr>
          <w:rFonts w:ascii="宋体" w:hAnsi="宋体" w:cs="宋体"/>
          <w:color w:val="auto"/>
          <w:szCs w:val="21"/>
          <w:highlight w:val="none"/>
        </w:rPr>
      </w:pPr>
    </w:p>
    <w:p>
      <w:pPr>
        <w:spacing w:line="400" w:lineRule="exact"/>
        <w:ind w:firstLine="210" w:firstLineChars="100"/>
        <w:jc w:val="right"/>
        <w:rPr>
          <w:rFonts w:ascii="宋体" w:hAnsi="宋体" w:cs="宋体"/>
          <w:color w:val="auto"/>
          <w:szCs w:val="21"/>
          <w:highlight w:val="none"/>
        </w:rPr>
      </w:pPr>
      <w:r>
        <w:rPr>
          <w:rFonts w:hint="eastAsia" w:ascii="宋体" w:hAnsi="宋体" w:cs="宋体"/>
          <w:color w:val="auto"/>
          <w:szCs w:val="21"/>
          <w:highlight w:val="none"/>
        </w:rPr>
        <w:t>广西桂林华禹水利水电工程咨询有限公司</w:t>
      </w:r>
    </w:p>
    <w:p>
      <w:pPr>
        <w:spacing w:line="400" w:lineRule="exact"/>
        <w:ind w:right="-1"/>
        <w:jc w:val="right"/>
        <w:rPr>
          <w:rFonts w:ascii="宋体" w:hAnsi="宋体"/>
          <w:color w:val="auto"/>
          <w:szCs w:val="21"/>
          <w:highlight w:val="none"/>
        </w:rPr>
      </w:pPr>
      <w:r>
        <w:rPr>
          <w:rFonts w:hint="eastAsia" w:ascii="宋体" w:hAnsi="宋体" w:cs="宋体"/>
          <w:color w:val="auto"/>
          <w:szCs w:val="21"/>
          <w:highlight w:val="none"/>
        </w:rPr>
        <w:t>2021年</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日</w:t>
      </w:r>
    </w:p>
    <w:p>
      <w:pPr>
        <w:rPr>
          <w:color w:val="auto"/>
          <w:highlight w:val="none"/>
        </w:rPr>
      </w:pPr>
    </w:p>
    <w:p>
      <w:pPr>
        <w:widowControl/>
        <w:jc w:val="left"/>
        <w:rPr>
          <w:color w:val="auto"/>
          <w:highlight w:val="none"/>
        </w:rPr>
      </w:pPr>
      <w:r>
        <w:rPr>
          <w:color w:val="auto"/>
          <w:highlight w:val="none"/>
        </w:rPr>
        <w:br w:type="page"/>
      </w:r>
    </w:p>
    <w:p>
      <w:pPr>
        <w:pStyle w:val="3"/>
        <w:rPr>
          <w:color w:val="auto"/>
          <w:szCs w:val="32"/>
          <w:highlight w:val="none"/>
        </w:rPr>
      </w:pPr>
      <w:bookmarkStart w:id="1" w:name="_Toc53136853"/>
      <w:r>
        <w:rPr>
          <w:rFonts w:hint="eastAsia"/>
          <w:color w:val="auto"/>
          <w:szCs w:val="32"/>
          <w:highlight w:val="none"/>
        </w:rPr>
        <w:t>第二章 投标人须知</w:t>
      </w:r>
      <w:bookmarkEnd w:id="1"/>
    </w:p>
    <w:p>
      <w:pPr>
        <w:tabs>
          <w:tab w:val="left" w:pos="1065"/>
          <w:tab w:val="center" w:pos="4411"/>
        </w:tabs>
        <w:spacing w:line="440" w:lineRule="exact"/>
        <w:jc w:val="center"/>
        <w:rPr>
          <w:rFonts w:ascii="宋体" w:hAnsi="宋体"/>
          <w:b/>
          <w:color w:val="auto"/>
          <w:sz w:val="24"/>
          <w:highlight w:val="none"/>
        </w:rPr>
      </w:pPr>
      <w:r>
        <w:rPr>
          <w:rFonts w:hint="eastAsia" w:ascii="宋体" w:hAnsi="宋体"/>
          <w:b/>
          <w:color w:val="auto"/>
          <w:sz w:val="24"/>
          <w:highlight w:val="none"/>
        </w:rPr>
        <w:t>投 标 人 须 知 前 附 表</w:t>
      </w:r>
    </w:p>
    <w:tbl>
      <w:tblPr>
        <w:tblStyle w:val="1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982"/>
        <w:gridCol w:w="1759"/>
        <w:gridCol w:w="64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序号</w:t>
            </w:r>
          </w:p>
        </w:tc>
        <w:tc>
          <w:tcPr>
            <w:tcW w:w="982"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条款号</w:t>
            </w:r>
          </w:p>
        </w:tc>
        <w:tc>
          <w:tcPr>
            <w:tcW w:w="175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条款名称</w:t>
            </w:r>
          </w:p>
        </w:tc>
        <w:tc>
          <w:tcPr>
            <w:tcW w:w="6433"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内容、要求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jc w:val="center"/>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1</w:t>
            </w:r>
          </w:p>
        </w:tc>
        <w:tc>
          <w:tcPr>
            <w:tcW w:w="982"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1</w:t>
            </w:r>
          </w:p>
        </w:tc>
        <w:tc>
          <w:tcPr>
            <w:tcW w:w="175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项目名称及项目</w:t>
            </w:r>
          </w:p>
          <w:p>
            <w:pPr>
              <w:spacing w:line="360" w:lineRule="auto"/>
              <w:jc w:val="center"/>
              <w:rPr>
                <w:rFonts w:ascii="宋体" w:hAnsi="宋体"/>
                <w:color w:val="auto"/>
                <w:szCs w:val="21"/>
                <w:highlight w:val="none"/>
              </w:rPr>
            </w:pPr>
            <w:r>
              <w:rPr>
                <w:rFonts w:hint="eastAsia" w:ascii="宋体" w:hAnsi="宋体"/>
                <w:color w:val="auto"/>
                <w:szCs w:val="21"/>
                <w:highlight w:val="none"/>
              </w:rPr>
              <w:t>编号</w:t>
            </w:r>
          </w:p>
        </w:tc>
        <w:tc>
          <w:tcPr>
            <w:tcW w:w="6433" w:type="dxa"/>
            <w:vAlign w:val="center"/>
          </w:tcPr>
          <w:p>
            <w:pPr>
              <w:spacing w:line="360" w:lineRule="auto"/>
              <w:rPr>
                <w:rFonts w:ascii="宋体" w:hAnsi="宋体"/>
                <w:color w:val="auto"/>
                <w:szCs w:val="21"/>
                <w:highlight w:val="none"/>
              </w:rPr>
            </w:pPr>
            <w:r>
              <w:rPr>
                <w:rFonts w:hint="eastAsia" w:ascii="宋体" w:hAnsi="宋体"/>
                <w:color w:val="auto"/>
                <w:szCs w:val="21"/>
                <w:highlight w:val="none"/>
              </w:rPr>
              <w:t>项目名称：兴安县水安全保障“十四五”规划报告</w:t>
            </w:r>
          </w:p>
          <w:p>
            <w:pPr>
              <w:spacing w:line="360" w:lineRule="auto"/>
              <w:rPr>
                <w:rFonts w:ascii="宋体" w:hAnsi="宋体"/>
                <w:color w:val="auto"/>
                <w:szCs w:val="21"/>
                <w:highlight w:val="none"/>
              </w:rPr>
            </w:pPr>
            <w:r>
              <w:rPr>
                <w:rFonts w:hint="eastAsia" w:ascii="宋体" w:hAnsi="宋体"/>
                <w:color w:val="auto"/>
                <w:szCs w:val="21"/>
                <w:highlight w:val="none"/>
              </w:rPr>
              <w:t>项目编号：GLZC2021-G3-250012-GLHY</w:t>
            </w:r>
            <w:r>
              <w:rPr>
                <w:rFonts w:hint="eastAsia" w:ascii="宋体" w:hAnsi="宋体" w:cs="宋体"/>
                <w:color w:val="auto"/>
                <w:szCs w:val="21"/>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2</w:t>
            </w:r>
          </w:p>
        </w:tc>
        <w:tc>
          <w:tcPr>
            <w:tcW w:w="982"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5</w:t>
            </w:r>
          </w:p>
        </w:tc>
        <w:tc>
          <w:tcPr>
            <w:tcW w:w="175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投标人资格</w:t>
            </w:r>
          </w:p>
        </w:tc>
        <w:tc>
          <w:tcPr>
            <w:tcW w:w="6433" w:type="dxa"/>
            <w:vAlign w:val="center"/>
          </w:tcPr>
          <w:p>
            <w:pPr>
              <w:widowControl/>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5.1</w:t>
            </w:r>
            <w:r>
              <w:rPr>
                <w:rFonts w:hint="eastAsia" w:ascii="宋体" w:hAnsi="宋体" w:cs="宋体"/>
                <w:color w:val="auto"/>
                <w:szCs w:val="21"/>
                <w:highlight w:val="none"/>
              </w:rPr>
              <w:t>符合《中华人民共和国政府采购法》第二十二条规定，具备合法资格的供应商且具有工程咨询单位乙级资信证书（水利水电专业资信）及以上资质，并在人员、设备、资金等方面具有相应的能力。</w:t>
            </w:r>
          </w:p>
          <w:p>
            <w:pPr>
              <w:widowControl/>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5.2对在“</w:t>
            </w:r>
            <w:r>
              <w:rPr>
                <w:rFonts w:ascii="宋体" w:hAnsi="宋体"/>
                <w:color w:val="auto"/>
                <w:szCs w:val="21"/>
                <w:highlight w:val="none"/>
              </w:rPr>
              <w:t>信用中国</w:t>
            </w:r>
            <w:r>
              <w:rPr>
                <w:rFonts w:hint="eastAsia" w:ascii="宋体" w:hAnsi="宋体"/>
                <w:color w:val="auto"/>
                <w:szCs w:val="21"/>
                <w:highlight w:val="none"/>
              </w:rPr>
              <w:t>”</w:t>
            </w:r>
            <w:r>
              <w:rPr>
                <w:rFonts w:ascii="宋体" w:hAnsi="宋体"/>
                <w:color w:val="auto"/>
                <w:szCs w:val="21"/>
                <w:highlight w:val="none"/>
              </w:rPr>
              <w:t>网站(www.creditchina.gov.cn)、中国政府采购网(www.ccgp.gov.cn)等渠道</w:t>
            </w:r>
            <w:r>
              <w:rPr>
                <w:rFonts w:hint="eastAsia" w:ascii="宋体" w:hAnsi="宋体"/>
                <w:color w:val="auto"/>
                <w:szCs w:val="21"/>
                <w:highlight w:val="none"/>
              </w:rPr>
              <w:t>列入失信被执行人、重大税收违法案件当事人名单、政府采购严重违法失信行为记录名单及其他不符合《中华人民共和国政府采购法》第二十二条规定条件的供应商，不得参与政府采购活动；</w:t>
            </w:r>
          </w:p>
          <w:p>
            <w:pPr>
              <w:widowControl/>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5.3投标人拟投入的项目负责人具备</w:t>
            </w:r>
            <w:r>
              <w:rPr>
                <w:rFonts w:hint="eastAsia" w:ascii="宋体" w:hAnsi="宋体" w:cs="宋体"/>
                <w:color w:val="auto"/>
                <w:szCs w:val="21"/>
                <w:highlight w:val="none"/>
              </w:rPr>
              <w:t>水利水电工程相关专业</w:t>
            </w:r>
            <w:r>
              <w:rPr>
                <w:rFonts w:hint="eastAsia" w:ascii="宋体" w:hAnsi="宋体"/>
                <w:color w:val="auto"/>
                <w:szCs w:val="21"/>
                <w:highlight w:val="none"/>
              </w:rPr>
              <w:t>高级及以上技术职称；</w:t>
            </w:r>
          </w:p>
          <w:p>
            <w:pPr>
              <w:widowControl/>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 xml:space="preserve">5.4本项目不接受联合体竞标。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3</w:t>
            </w:r>
          </w:p>
        </w:tc>
        <w:tc>
          <w:tcPr>
            <w:tcW w:w="982"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6</w:t>
            </w:r>
          </w:p>
        </w:tc>
        <w:tc>
          <w:tcPr>
            <w:tcW w:w="1759" w:type="dxa"/>
            <w:vAlign w:val="center"/>
          </w:tcPr>
          <w:p>
            <w:pPr>
              <w:spacing w:line="360" w:lineRule="auto"/>
              <w:jc w:val="center"/>
              <w:rPr>
                <w:rFonts w:ascii="宋体" w:hAnsi="宋体"/>
                <w:color w:val="auto"/>
                <w:position w:val="-2"/>
                <w:szCs w:val="21"/>
                <w:highlight w:val="none"/>
              </w:rPr>
            </w:pPr>
            <w:r>
              <w:rPr>
                <w:rFonts w:hint="eastAsia" w:ascii="宋体" w:hAnsi="宋体"/>
                <w:color w:val="auto"/>
                <w:szCs w:val="21"/>
                <w:highlight w:val="none"/>
              </w:rPr>
              <w:t>投标费用</w:t>
            </w:r>
          </w:p>
        </w:tc>
        <w:tc>
          <w:tcPr>
            <w:tcW w:w="6433" w:type="dxa"/>
            <w:vAlign w:val="center"/>
          </w:tcPr>
          <w:p>
            <w:pPr>
              <w:spacing w:line="360" w:lineRule="auto"/>
              <w:rPr>
                <w:rFonts w:ascii="宋体" w:hAnsi="宋体"/>
                <w:color w:val="auto"/>
                <w:szCs w:val="21"/>
                <w:highlight w:val="none"/>
              </w:rPr>
            </w:pPr>
            <w:r>
              <w:rPr>
                <w:rFonts w:hint="eastAsia" w:ascii="宋体" w:hAnsi="宋体"/>
                <w:color w:val="auto"/>
                <w:szCs w:val="21"/>
                <w:highlight w:val="none"/>
              </w:rPr>
              <w:t>不论投标结果如何，投标人均应自行承担所有与投标有关的全部费用。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4</w:t>
            </w:r>
          </w:p>
        </w:tc>
        <w:tc>
          <w:tcPr>
            <w:tcW w:w="982" w:type="dxa"/>
            <w:vAlign w:val="center"/>
          </w:tcPr>
          <w:p>
            <w:pPr>
              <w:spacing w:line="360" w:lineRule="auto"/>
              <w:jc w:val="center"/>
              <w:rPr>
                <w:rFonts w:ascii="宋体" w:hAnsi="宋体"/>
                <w:color w:val="auto"/>
                <w:position w:val="-2"/>
                <w:szCs w:val="21"/>
                <w:highlight w:val="none"/>
              </w:rPr>
            </w:pPr>
            <w:r>
              <w:rPr>
                <w:rFonts w:hint="eastAsia" w:ascii="宋体" w:hAnsi="宋体"/>
                <w:color w:val="auto"/>
                <w:position w:val="-2"/>
                <w:szCs w:val="21"/>
                <w:highlight w:val="none"/>
              </w:rPr>
              <w:t>15</w:t>
            </w:r>
          </w:p>
        </w:tc>
        <w:tc>
          <w:tcPr>
            <w:tcW w:w="175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投标报价</w:t>
            </w:r>
          </w:p>
        </w:tc>
        <w:tc>
          <w:tcPr>
            <w:tcW w:w="6433" w:type="dxa"/>
            <w:vAlign w:val="center"/>
          </w:tcPr>
          <w:p>
            <w:pPr>
              <w:spacing w:line="360" w:lineRule="auto"/>
              <w:ind w:firstLine="420" w:firstLineChars="200"/>
              <w:jc w:val="left"/>
              <w:rPr>
                <w:rFonts w:ascii="宋体" w:hAnsi="宋体" w:cs="宋体"/>
                <w:color w:val="auto"/>
                <w:szCs w:val="21"/>
                <w:highlight w:val="none"/>
              </w:rPr>
            </w:pPr>
            <w:r>
              <w:rPr>
                <w:rFonts w:hint="eastAsia" w:ascii="宋体" w:hAnsi="宋体"/>
                <w:color w:val="auto"/>
                <w:szCs w:val="21"/>
                <w:highlight w:val="none"/>
              </w:rPr>
              <w:t>15.1本项目采购预算：</w:t>
            </w:r>
            <w:r>
              <w:rPr>
                <w:rFonts w:hint="eastAsia" w:ascii="宋体" w:hAnsi="宋体" w:cs="宋体"/>
                <w:color w:val="auto"/>
                <w:szCs w:val="21"/>
                <w:highlight w:val="none"/>
                <w:lang w:eastAsia="zh-CN"/>
              </w:rPr>
              <w:t>壹佰柒拾伍万</w:t>
            </w:r>
            <w:r>
              <w:rPr>
                <w:rFonts w:hint="eastAsia" w:ascii="宋体" w:hAnsi="宋体" w:cs="宋体"/>
                <w:color w:val="auto"/>
                <w:szCs w:val="21"/>
                <w:highlight w:val="none"/>
              </w:rPr>
              <w:t>元整（￥1</w:t>
            </w:r>
            <w:r>
              <w:rPr>
                <w:rFonts w:hint="eastAsia" w:ascii="宋体" w:hAnsi="宋体" w:cs="宋体"/>
                <w:color w:val="auto"/>
                <w:szCs w:val="21"/>
                <w:highlight w:val="none"/>
                <w:lang w:val="en-US" w:eastAsia="zh-CN"/>
              </w:rPr>
              <w:t>75</w:t>
            </w:r>
            <w:r>
              <w:rPr>
                <w:rFonts w:hint="eastAsia" w:ascii="宋体" w:hAnsi="宋体" w:cs="宋体"/>
                <w:color w:val="auto"/>
                <w:szCs w:val="21"/>
                <w:highlight w:val="none"/>
              </w:rPr>
              <w:t>0000.00元）</w:t>
            </w:r>
            <w:r>
              <w:rPr>
                <w:rFonts w:hint="eastAsia" w:ascii="宋体" w:hAnsi="宋体"/>
                <w:b/>
                <w:bCs/>
                <w:color w:val="auto"/>
                <w:szCs w:val="21"/>
                <w:highlight w:val="none"/>
              </w:rPr>
              <w:t>。</w:t>
            </w:r>
          </w:p>
          <w:p>
            <w:pPr>
              <w:spacing w:line="360" w:lineRule="auto"/>
              <w:ind w:firstLine="420" w:firstLineChars="200"/>
              <w:rPr>
                <w:rFonts w:ascii="宋体" w:hAnsi="宋体"/>
                <w:color w:val="auto"/>
                <w:szCs w:val="21"/>
                <w:highlight w:val="none"/>
              </w:rPr>
            </w:pPr>
            <w:r>
              <w:rPr>
                <w:rFonts w:hint="eastAsia" w:ascii="宋体" w:hAnsi="宋体"/>
                <w:color w:val="auto"/>
                <w:kern w:val="0"/>
                <w:szCs w:val="21"/>
                <w:highlight w:val="none"/>
              </w:rPr>
              <w:t>投标报价超过采购预算的，投标</w:t>
            </w:r>
            <w:r>
              <w:rPr>
                <w:rFonts w:hint="eastAsia" w:ascii="宋体" w:hAnsi="宋体"/>
                <w:color w:val="auto"/>
                <w:szCs w:val="21"/>
                <w:highlight w:val="none"/>
              </w:rPr>
              <w:t>文件作无效处理。</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15.2 投标人必须就“项目采购需求”中全部采购内容作完整唯一报价，否则，其投标将被拒绝。投标文件只允许有一个报价。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jc w:val="center"/>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5</w:t>
            </w:r>
          </w:p>
        </w:tc>
        <w:tc>
          <w:tcPr>
            <w:tcW w:w="982"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16.1</w:t>
            </w:r>
          </w:p>
        </w:tc>
        <w:tc>
          <w:tcPr>
            <w:tcW w:w="175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投标有效期</w:t>
            </w:r>
          </w:p>
        </w:tc>
        <w:tc>
          <w:tcPr>
            <w:tcW w:w="6433" w:type="dxa"/>
            <w:vAlign w:val="center"/>
          </w:tcPr>
          <w:p>
            <w:pPr>
              <w:spacing w:line="360" w:lineRule="auto"/>
              <w:rPr>
                <w:rFonts w:ascii="宋体" w:hAnsi="宋体"/>
                <w:color w:val="auto"/>
                <w:szCs w:val="21"/>
                <w:highlight w:val="none"/>
              </w:rPr>
            </w:pPr>
            <w:r>
              <w:rPr>
                <w:rFonts w:hint="eastAsia" w:ascii="宋体" w:hAnsi="宋体"/>
                <w:color w:val="auto"/>
                <w:szCs w:val="21"/>
                <w:highlight w:val="none"/>
              </w:rPr>
              <w:t>投标截止时间之日起90天。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6</w:t>
            </w:r>
          </w:p>
        </w:tc>
        <w:tc>
          <w:tcPr>
            <w:tcW w:w="982"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17</w:t>
            </w:r>
          </w:p>
        </w:tc>
        <w:tc>
          <w:tcPr>
            <w:tcW w:w="175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投标保证金</w:t>
            </w:r>
          </w:p>
        </w:tc>
        <w:tc>
          <w:tcPr>
            <w:tcW w:w="6433" w:type="dxa"/>
            <w:vAlign w:val="center"/>
          </w:tcPr>
          <w:p>
            <w:pPr>
              <w:spacing w:line="360" w:lineRule="auto"/>
              <w:rPr>
                <w:rFonts w:ascii="宋体" w:hAnsi="宋体"/>
                <w:color w:val="auto"/>
                <w:szCs w:val="21"/>
                <w:highlight w:val="none"/>
              </w:rPr>
            </w:pPr>
            <w:r>
              <w:rPr>
                <w:rFonts w:hint="eastAsia" w:ascii="宋体" w:hAnsi="宋体"/>
                <w:color w:val="auto"/>
                <w:szCs w:val="21"/>
                <w:highlight w:val="none"/>
              </w:rPr>
              <w:t>无要求。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jc w:val="center"/>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7</w:t>
            </w:r>
          </w:p>
        </w:tc>
        <w:tc>
          <w:tcPr>
            <w:tcW w:w="982"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18.1</w:t>
            </w:r>
          </w:p>
        </w:tc>
        <w:tc>
          <w:tcPr>
            <w:tcW w:w="175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投标文件份数</w:t>
            </w:r>
          </w:p>
        </w:tc>
        <w:tc>
          <w:tcPr>
            <w:tcW w:w="6433" w:type="dxa"/>
            <w:vAlign w:val="center"/>
          </w:tcPr>
          <w:p>
            <w:pPr>
              <w:spacing w:line="360" w:lineRule="auto"/>
              <w:rPr>
                <w:rFonts w:ascii="宋体" w:hAnsi="宋体"/>
                <w:color w:val="auto"/>
                <w:szCs w:val="21"/>
                <w:highlight w:val="none"/>
              </w:rPr>
            </w:pPr>
            <w:r>
              <w:rPr>
                <w:rFonts w:hint="eastAsia" w:ascii="宋体" w:hAnsi="宋体"/>
                <w:color w:val="auto"/>
                <w:szCs w:val="21"/>
                <w:highlight w:val="none"/>
              </w:rPr>
              <w:t>正本壹册，副本肆册，须完整提交。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jc w:val="center"/>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8</w:t>
            </w:r>
          </w:p>
        </w:tc>
        <w:tc>
          <w:tcPr>
            <w:tcW w:w="982" w:type="dxa"/>
            <w:vAlign w:val="center"/>
          </w:tcPr>
          <w:p>
            <w:pPr>
              <w:spacing w:line="360" w:lineRule="auto"/>
              <w:jc w:val="center"/>
              <w:rPr>
                <w:rFonts w:ascii="宋体" w:hAnsi="宋体"/>
                <w:color w:val="auto"/>
                <w:position w:val="10"/>
                <w:szCs w:val="21"/>
                <w:highlight w:val="none"/>
              </w:rPr>
            </w:pPr>
            <w:r>
              <w:rPr>
                <w:rFonts w:hint="eastAsia" w:ascii="宋体" w:hAnsi="宋体"/>
                <w:color w:val="auto"/>
                <w:szCs w:val="21"/>
                <w:highlight w:val="none"/>
              </w:rPr>
              <w:t>18.2</w:t>
            </w:r>
          </w:p>
        </w:tc>
        <w:tc>
          <w:tcPr>
            <w:tcW w:w="1759" w:type="dxa"/>
            <w:vAlign w:val="center"/>
          </w:tcPr>
          <w:p>
            <w:pPr>
              <w:spacing w:line="360" w:lineRule="auto"/>
              <w:jc w:val="center"/>
              <w:rPr>
                <w:rFonts w:ascii="宋体" w:hAnsi="宋体"/>
                <w:color w:val="auto"/>
                <w:position w:val="10"/>
                <w:szCs w:val="21"/>
                <w:highlight w:val="none"/>
              </w:rPr>
            </w:pPr>
            <w:r>
              <w:rPr>
                <w:rFonts w:hint="eastAsia" w:ascii="宋体" w:hAnsi="宋体"/>
                <w:color w:val="auto"/>
                <w:szCs w:val="21"/>
                <w:highlight w:val="none"/>
              </w:rPr>
              <w:t>投标文件装订</w:t>
            </w:r>
          </w:p>
        </w:tc>
        <w:tc>
          <w:tcPr>
            <w:tcW w:w="6433" w:type="dxa"/>
            <w:vAlign w:val="center"/>
          </w:tcPr>
          <w:p>
            <w:pPr>
              <w:spacing w:line="360" w:lineRule="auto"/>
              <w:rPr>
                <w:rFonts w:ascii="宋体" w:hAnsi="宋体"/>
                <w:color w:val="auto"/>
                <w:szCs w:val="21"/>
                <w:highlight w:val="none"/>
              </w:rPr>
            </w:pPr>
            <w:r>
              <w:rPr>
                <w:rFonts w:hint="eastAsia" w:ascii="宋体" w:hAnsi="宋体"/>
                <w:color w:val="auto"/>
                <w:szCs w:val="21"/>
                <w:highlight w:val="none"/>
              </w:rPr>
              <w:t>投标人应按投标人须知第</w:t>
            </w:r>
            <w:r>
              <w:rPr>
                <w:rFonts w:ascii="宋体" w:hAnsi="宋体"/>
                <w:color w:val="auto"/>
                <w:szCs w:val="21"/>
                <w:highlight w:val="none"/>
              </w:rPr>
              <w:t>1</w:t>
            </w:r>
            <w:r>
              <w:rPr>
                <w:rFonts w:hint="eastAsia" w:ascii="宋体" w:hAnsi="宋体"/>
                <w:color w:val="auto"/>
                <w:szCs w:val="21"/>
                <w:highlight w:val="none"/>
              </w:rPr>
              <w:t>3.1款“投标文件组成”规定的顺序自编目录及页码，投标文件的“正本”、“副本”应当单独装订成册并标注页码，装订应牢固，不易拆散和换页（</w:t>
            </w:r>
            <w:r>
              <w:rPr>
                <w:rFonts w:ascii="宋体" w:hAnsi="宋体"/>
                <w:color w:val="auto"/>
                <w:szCs w:val="21"/>
                <w:highlight w:val="none"/>
              </w:rPr>
              <w:t>A4</w:t>
            </w:r>
            <w:r>
              <w:rPr>
                <w:rFonts w:hint="eastAsia" w:ascii="宋体" w:hAnsi="宋体"/>
                <w:color w:val="auto"/>
                <w:szCs w:val="21"/>
                <w:highlight w:val="none"/>
              </w:rPr>
              <w:t>标准纸装订）。封面应注明“正本”、“副本”字样，封面上写明项目名称、项目编号、采购代理机构、投标单位名称。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jc w:val="center"/>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9</w:t>
            </w:r>
          </w:p>
        </w:tc>
        <w:tc>
          <w:tcPr>
            <w:tcW w:w="982"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18.6</w:t>
            </w:r>
          </w:p>
        </w:tc>
        <w:tc>
          <w:tcPr>
            <w:tcW w:w="175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投标人公章</w:t>
            </w:r>
          </w:p>
        </w:tc>
        <w:tc>
          <w:tcPr>
            <w:tcW w:w="6433" w:type="dxa"/>
            <w:vAlign w:val="center"/>
          </w:tcPr>
          <w:p>
            <w:pPr>
              <w:spacing w:line="360" w:lineRule="auto"/>
              <w:rPr>
                <w:rFonts w:ascii="宋体" w:hAnsi="宋体"/>
                <w:color w:val="auto"/>
                <w:szCs w:val="21"/>
                <w:highlight w:val="none"/>
              </w:rPr>
            </w:pPr>
            <w:r>
              <w:rPr>
                <w:rFonts w:ascii="宋体" w:hAnsi="宋体" w:cs="宋体"/>
                <w:color w:val="auto"/>
                <w:szCs w:val="21"/>
                <w:highlight w:val="none"/>
              </w:rPr>
              <w:t>本招标文件中描述投标</w:t>
            </w:r>
            <w:r>
              <w:rPr>
                <w:rFonts w:hint="eastAsia" w:ascii="宋体" w:hAnsi="宋体" w:cs="宋体"/>
                <w:color w:val="auto"/>
                <w:szCs w:val="21"/>
                <w:highlight w:val="none"/>
              </w:rPr>
              <w:t>人</w:t>
            </w:r>
            <w:r>
              <w:rPr>
                <w:rFonts w:ascii="宋体" w:hAnsi="宋体" w:cs="宋体"/>
                <w:color w:val="auto"/>
                <w:szCs w:val="21"/>
                <w:highlight w:val="none"/>
              </w:rPr>
              <w:t>的“公章”是指根据我国对公章的管理规定，用投标</w:t>
            </w:r>
            <w:r>
              <w:rPr>
                <w:rFonts w:hint="eastAsia" w:ascii="宋体" w:hAnsi="宋体" w:cs="宋体"/>
                <w:color w:val="auto"/>
                <w:szCs w:val="21"/>
                <w:highlight w:val="none"/>
              </w:rPr>
              <w:t>人</w:t>
            </w:r>
            <w:r>
              <w:rPr>
                <w:rFonts w:ascii="宋体" w:hAnsi="宋体" w:cs="宋体"/>
                <w:color w:val="auto"/>
                <w:szCs w:val="21"/>
                <w:highlight w:val="none"/>
              </w:rPr>
              <w:t>法定主体行为名称制作的印章，除本招标文件有特殊规定外，投标</w:t>
            </w:r>
            <w:r>
              <w:rPr>
                <w:rFonts w:hint="eastAsia" w:ascii="宋体" w:hAnsi="宋体" w:cs="宋体"/>
                <w:color w:val="auto"/>
                <w:szCs w:val="21"/>
                <w:highlight w:val="none"/>
              </w:rPr>
              <w:t>人</w:t>
            </w:r>
            <w:r>
              <w:rPr>
                <w:rFonts w:ascii="宋体" w:hAnsi="宋体" w:cs="宋体"/>
                <w:color w:val="auto"/>
                <w:szCs w:val="21"/>
                <w:highlight w:val="none"/>
              </w:rPr>
              <w:t>的财务章、部门章、分公司章、工会章、合同章、投标专用章、业务专用章等其它形式印章均不能代替公章。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jc w:val="center"/>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10</w:t>
            </w:r>
          </w:p>
        </w:tc>
        <w:tc>
          <w:tcPr>
            <w:tcW w:w="982"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18.7</w:t>
            </w:r>
          </w:p>
        </w:tc>
        <w:tc>
          <w:tcPr>
            <w:tcW w:w="175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 xml:space="preserve">投标文件包装、密封                  </w:t>
            </w:r>
          </w:p>
        </w:tc>
        <w:tc>
          <w:tcPr>
            <w:tcW w:w="6433" w:type="dxa"/>
            <w:vAlign w:val="center"/>
          </w:tcPr>
          <w:p>
            <w:pPr>
              <w:spacing w:line="360" w:lineRule="auto"/>
              <w:rPr>
                <w:rFonts w:ascii="宋体" w:hAnsi="宋体"/>
                <w:color w:val="auto"/>
                <w:szCs w:val="21"/>
                <w:highlight w:val="none"/>
              </w:rPr>
            </w:pPr>
            <w:r>
              <w:rPr>
                <w:rFonts w:hint="eastAsia" w:ascii="宋体" w:hAnsi="宋体"/>
                <w:color w:val="auto"/>
                <w:szCs w:val="21"/>
                <w:highlight w:val="none"/>
              </w:rPr>
              <w:t>将投标文件“正本”、“副本”及投标文件电子版u盘一并装入并密封在一个投标文件袋（盒、箱）中，并在密封处密封签章【公章、密封章、法定代表人、负责人、自然人或相应的授权委托代理人签字均可】。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jc w:val="center"/>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11</w:t>
            </w:r>
          </w:p>
        </w:tc>
        <w:tc>
          <w:tcPr>
            <w:tcW w:w="982"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18.8</w:t>
            </w:r>
          </w:p>
        </w:tc>
        <w:tc>
          <w:tcPr>
            <w:tcW w:w="175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投标文件袋标记</w:t>
            </w:r>
          </w:p>
        </w:tc>
        <w:tc>
          <w:tcPr>
            <w:tcW w:w="6433" w:type="dxa"/>
            <w:vAlign w:val="center"/>
          </w:tcPr>
          <w:p>
            <w:pPr>
              <w:spacing w:line="360" w:lineRule="auto"/>
              <w:rPr>
                <w:rFonts w:ascii="宋体" w:hAnsi="宋体"/>
                <w:color w:val="auto"/>
                <w:szCs w:val="21"/>
                <w:highlight w:val="none"/>
              </w:rPr>
            </w:pPr>
            <w:r>
              <w:rPr>
                <w:rFonts w:hint="eastAsia" w:ascii="宋体" w:hAnsi="宋体"/>
                <w:color w:val="auto"/>
                <w:szCs w:val="21"/>
                <w:highlight w:val="none"/>
              </w:rPr>
              <w:t xml:space="preserve">项目名称： </w:t>
            </w:r>
          </w:p>
          <w:p>
            <w:pPr>
              <w:spacing w:line="360" w:lineRule="auto"/>
              <w:rPr>
                <w:rFonts w:ascii="宋体" w:hAnsi="宋体"/>
                <w:color w:val="auto"/>
                <w:szCs w:val="21"/>
                <w:highlight w:val="none"/>
              </w:rPr>
            </w:pPr>
            <w:r>
              <w:rPr>
                <w:rFonts w:hint="eastAsia" w:ascii="宋体" w:hAnsi="宋体"/>
                <w:color w:val="auto"/>
                <w:szCs w:val="21"/>
                <w:highlight w:val="none"/>
              </w:rPr>
              <w:t>项目编号：</w:t>
            </w:r>
          </w:p>
          <w:p>
            <w:pPr>
              <w:spacing w:line="360" w:lineRule="auto"/>
              <w:rPr>
                <w:rFonts w:ascii="宋体" w:hAnsi="宋体"/>
                <w:color w:val="auto"/>
                <w:szCs w:val="21"/>
                <w:highlight w:val="none"/>
              </w:rPr>
            </w:pPr>
            <w:r>
              <w:rPr>
                <w:rFonts w:hint="eastAsia" w:ascii="宋体" w:hAnsi="宋体"/>
                <w:color w:val="auto"/>
                <w:szCs w:val="21"/>
                <w:highlight w:val="none"/>
              </w:rPr>
              <w:t>采购代理机构：广西桂林华禹水利水电工程咨询有限公司</w:t>
            </w:r>
          </w:p>
          <w:p>
            <w:pPr>
              <w:spacing w:line="360" w:lineRule="auto"/>
              <w:rPr>
                <w:rFonts w:ascii="宋体" w:hAnsi="宋体"/>
                <w:color w:val="auto"/>
                <w:szCs w:val="21"/>
                <w:highlight w:val="none"/>
              </w:rPr>
            </w:pPr>
            <w:r>
              <w:rPr>
                <w:rFonts w:hint="eastAsia" w:ascii="宋体" w:hAnsi="宋体"/>
                <w:color w:val="auto"/>
                <w:szCs w:val="21"/>
                <w:highlight w:val="none"/>
              </w:rPr>
              <w:t>投标单位名称：</w:t>
            </w:r>
          </w:p>
          <w:p>
            <w:pPr>
              <w:spacing w:line="360" w:lineRule="auto"/>
              <w:rPr>
                <w:rFonts w:ascii="宋体" w:hAnsi="宋体"/>
                <w:color w:val="auto"/>
                <w:szCs w:val="21"/>
                <w:highlight w:val="none"/>
              </w:rPr>
            </w:pPr>
            <w:r>
              <w:rPr>
                <w:rFonts w:hint="eastAsia" w:ascii="宋体" w:hAnsi="宋体"/>
                <w:color w:val="auto"/>
                <w:szCs w:val="21"/>
                <w:highlight w:val="none"/>
              </w:rPr>
              <w:t xml:space="preserve">在   年  月  日  时  分前不得开启（此处投标人填写投标截止时间）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12</w:t>
            </w:r>
          </w:p>
        </w:tc>
        <w:tc>
          <w:tcPr>
            <w:tcW w:w="982" w:type="dxa"/>
            <w:vAlign w:val="center"/>
          </w:tcPr>
          <w:p>
            <w:pPr>
              <w:spacing w:line="360" w:lineRule="auto"/>
              <w:jc w:val="center"/>
              <w:rPr>
                <w:rFonts w:ascii="宋体" w:hAnsi="宋体"/>
                <w:color w:val="auto"/>
                <w:position w:val="-2"/>
                <w:szCs w:val="21"/>
                <w:highlight w:val="none"/>
              </w:rPr>
            </w:pPr>
            <w:r>
              <w:rPr>
                <w:rFonts w:hint="eastAsia" w:ascii="宋体" w:hAnsi="宋体"/>
                <w:color w:val="auto"/>
                <w:szCs w:val="21"/>
                <w:highlight w:val="none"/>
              </w:rPr>
              <w:t>20.1</w:t>
            </w:r>
          </w:p>
        </w:tc>
        <w:tc>
          <w:tcPr>
            <w:tcW w:w="1759" w:type="dxa"/>
            <w:vAlign w:val="center"/>
          </w:tcPr>
          <w:p>
            <w:pPr>
              <w:spacing w:line="360" w:lineRule="auto"/>
              <w:jc w:val="center"/>
              <w:rPr>
                <w:rFonts w:ascii="宋体" w:hAnsi="宋体"/>
                <w:color w:val="auto"/>
                <w:position w:val="-2"/>
                <w:szCs w:val="21"/>
                <w:highlight w:val="none"/>
              </w:rPr>
            </w:pPr>
            <w:r>
              <w:rPr>
                <w:rFonts w:hint="eastAsia" w:ascii="宋体" w:hAnsi="宋体"/>
                <w:color w:val="auto"/>
                <w:szCs w:val="21"/>
                <w:highlight w:val="none"/>
              </w:rPr>
              <w:t>投标文件递交起止时间及投标截止时间</w:t>
            </w:r>
          </w:p>
        </w:tc>
        <w:tc>
          <w:tcPr>
            <w:tcW w:w="6433" w:type="dxa"/>
            <w:vAlign w:val="center"/>
          </w:tcPr>
          <w:p>
            <w:pPr>
              <w:spacing w:line="360" w:lineRule="auto"/>
              <w:rPr>
                <w:rFonts w:ascii="宋体" w:hAnsi="宋体"/>
                <w:color w:val="auto"/>
                <w:szCs w:val="21"/>
                <w:highlight w:val="none"/>
              </w:rPr>
            </w:pPr>
            <w:r>
              <w:rPr>
                <w:rFonts w:hint="eastAsia" w:ascii="宋体" w:hAnsi="宋体"/>
                <w:b/>
                <w:color w:val="auto"/>
                <w:szCs w:val="21"/>
                <w:highlight w:val="none"/>
              </w:rPr>
              <w:t>投标文件递交起止时间：</w:t>
            </w:r>
            <w:r>
              <w:rPr>
                <w:rFonts w:hint="eastAsia" w:ascii="宋体" w:hAnsi="宋体"/>
                <w:color w:val="auto"/>
                <w:szCs w:val="21"/>
                <w:highlight w:val="none"/>
              </w:rPr>
              <w:t>2021年</w:t>
            </w:r>
            <w:r>
              <w:rPr>
                <w:rFonts w:hint="eastAsia" w:ascii="宋体" w:hAnsi="宋体"/>
                <w:color w:val="auto"/>
                <w:szCs w:val="21"/>
                <w:highlight w:val="none"/>
                <w:lang w:val="en-US" w:eastAsia="zh-CN"/>
              </w:rPr>
              <w:t>3</w:t>
            </w:r>
            <w:r>
              <w:rPr>
                <w:rFonts w:hint="eastAsia" w:ascii="宋体" w:hAnsi="宋体"/>
                <w:color w:val="auto"/>
                <w:szCs w:val="21"/>
                <w:highlight w:val="none"/>
              </w:rPr>
              <w:t>月</w:t>
            </w:r>
            <w:r>
              <w:rPr>
                <w:rFonts w:hint="eastAsia" w:ascii="宋体" w:hAnsi="宋体"/>
                <w:color w:val="auto"/>
                <w:szCs w:val="21"/>
                <w:highlight w:val="none"/>
                <w:lang w:val="en-US" w:eastAsia="zh-CN"/>
              </w:rPr>
              <w:t>22</w:t>
            </w:r>
            <w:r>
              <w:rPr>
                <w:rFonts w:hint="eastAsia" w:ascii="宋体" w:hAnsi="宋体"/>
                <w:color w:val="auto"/>
                <w:szCs w:val="21"/>
                <w:highlight w:val="none"/>
              </w:rPr>
              <w:t xml:space="preserve">日9时00分至9时30分；      </w:t>
            </w:r>
          </w:p>
          <w:p>
            <w:pPr>
              <w:spacing w:line="360" w:lineRule="auto"/>
              <w:rPr>
                <w:rFonts w:ascii="宋体" w:hAnsi="宋体"/>
                <w:color w:val="auto"/>
                <w:szCs w:val="21"/>
                <w:highlight w:val="none"/>
              </w:rPr>
            </w:pPr>
            <w:r>
              <w:rPr>
                <w:rFonts w:hint="eastAsia" w:ascii="宋体" w:hAnsi="宋体"/>
                <w:b/>
                <w:color w:val="auto"/>
                <w:szCs w:val="21"/>
                <w:highlight w:val="none"/>
              </w:rPr>
              <w:t>投标截止时间：</w:t>
            </w:r>
            <w:r>
              <w:rPr>
                <w:rFonts w:hint="eastAsia" w:ascii="宋体" w:hAnsi="宋体"/>
                <w:color w:val="auto"/>
                <w:szCs w:val="21"/>
                <w:highlight w:val="none"/>
              </w:rPr>
              <w:t>2021年</w:t>
            </w:r>
            <w:r>
              <w:rPr>
                <w:rFonts w:hint="eastAsia" w:ascii="宋体" w:hAnsi="宋体"/>
                <w:color w:val="auto"/>
                <w:szCs w:val="21"/>
                <w:highlight w:val="none"/>
                <w:lang w:val="en-US" w:eastAsia="zh-CN"/>
              </w:rPr>
              <w:t>3</w:t>
            </w:r>
            <w:r>
              <w:rPr>
                <w:rFonts w:hint="eastAsia" w:ascii="宋体" w:hAnsi="宋体"/>
                <w:color w:val="auto"/>
                <w:szCs w:val="21"/>
                <w:highlight w:val="none"/>
              </w:rPr>
              <w:t>月</w:t>
            </w:r>
            <w:r>
              <w:rPr>
                <w:rFonts w:hint="eastAsia" w:ascii="宋体" w:hAnsi="宋体"/>
                <w:color w:val="auto"/>
                <w:szCs w:val="21"/>
                <w:highlight w:val="none"/>
                <w:lang w:val="en-US" w:eastAsia="zh-CN"/>
              </w:rPr>
              <w:t>22</w:t>
            </w:r>
            <w:r>
              <w:rPr>
                <w:rFonts w:hint="eastAsia" w:ascii="宋体" w:hAnsi="宋体"/>
                <w:color w:val="auto"/>
                <w:szCs w:val="21"/>
                <w:highlight w:val="none"/>
              </w:rPr>
              <w:t>日9时30分。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13</w:t>
            </w:r>
          </w:p>
        </w:tc>
        <w:tc>
          <w:tcPr>
            <w:tcW w:w="982" w:type="dxa"/>
            <w:vAlign w:val="center"/>
          </w:tcPr>
          <w:p>
            <w:pPr>
              <w:spacing w:line="360" w:lineRule="auto"/>
              <w:jc w:val="center"/>
              <w:rPr>
                <w:rFonts w:ascii="宋体" w:hAnsi="宋体"/>
                <w:color w:val="auto"/>
                <w:position w:val="-2"/>
                <w:szCs w:val="21"/>
                <w:highlight w:val="none"/>
              </w:rPr>
            </w:pPr>
            <w:r>
              <w:rPr>
                <w:rFonts w:hint="eastAsia" w:ascii="宋体" w:hAnsi="宋体"/>
                <w:color w:val="auto"/>
                <w:szCs w:val="21"/>
                <w:highlight w:val="none"/>
              </w:rPr>
              <w:t>20.2</w:t>
            </w:r>
          </w:p>
        </w:tc>
        <w:tc>
          <w:tcPr>
            <w:tcW w:w="175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投标文件递交地点</w:t>
            </w:r>
          </w:p>
        </w:tc>
        <w:tc>
          <w:tcPr>
            <w:tcW w:w="6433" w:type="dxa"/>
            <w:vAlign w:val="center"/>
          </w:tcPr>
          <w:p>
            <w:pPr>
              <w:spacing w:line="360" w:lineRule="auto"/>
              <w:rPr>
                <w:rFonts w:ascii="宋体" w:hAnsi="宋体"/>
                <w:color w:val="auto"/>
                <w:szCs w:val="21"/>
                <w:highlight w:val="none"/>
              </w:rPr>
            </w:pPr>
            <w:r>
              <w:rPr>
                <w:rFonts w:hint="eastAsia" w:ascii="宋体" w:hAnsi="宋体"/>
                <w:color w:val="auto"/>
                <w:szCs w:val="21"/>
                <w:highlight w:val="none"/>
              </w:rPr>
              <w:t>投标人应于2021年</w:t>
            </w:r>
            <w:r>
              <w:rPr>
                <w:rFonts w:hint="eastAsia" w:ascii="宋体" w:hAnsi="宋体"/>
                <w:color w:val="auto"/>
                <w:szCs w:val="21"/>
                <w:highlight w:val="none"/>
                <w:lang w:val="en-US" w:eastAsia="zh-CN"/>
              </w:rPr>
              <w:t>3</w:t>
            </w:r>
            <w:r>
              <w:rPr>
                <w:rFonts w:hint="eastAsia" w:ascii="宋体" w:hAnsi="宋体"/>
                <w:color w:val="auto"/>
                <w:szCs w:val="21"/>
                <w:highlight w:val="none"/>
              </w:rPr>
              <w:t>月</w:t>
            </w:r>
            <w:r>
              <w:rPr>
                <w:rFonts w:hint="eastAsia" w:ascii="宋体" w:hAnsi="宋体"/>
                <w:color w:val="auto"/>
                <w:szCs w:val="21"/>
                <w:highlight w:val="none"/>
                <w:lang w:val="en-US" w:eastAsia="zh-CN"/>
              </w:rPr>
              <w:t>22</w:t>
            </w:r>
            <w:r>
              <w:rPr>
                <w:rFonts w:hint="eastAsia" w:ascii="宋体" w:hAnsi="宋体"/>
                <w:color w:val="auto"/>
                <w:szCs w:val="21"/>
                <w:highlight w:val="none"/>
              </w:rPr>
              <w:t>日9时30分前，将投标文件密封提交至到</w:t>
            </w:r>
            <w:r>
              <w:rPr>
                <w:rFonts w:hint="eastAsia" w:ascii="宋体" w:hAnsi="宋体" w:cs="宋体"/>
                <w:color w:val="auto"/>
                <w:szCs w:val="21"/>
                <w:highlight w:val="none"/>
              </w:rPr>
              <w:t>桂林市公共资源交易中心</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号开标室（广西桂林市临桂区西城中路69号创业大厦西辅楼4楼北区）。</w:t>
            </w:r>
            <w:r>
              <w:rPr>
                <w:rFonts w:hint="eastAsia" w:ascii="宋体" w:hAnsi="宋体"/>
                <w:color w:val="auto"/>
                <w:szCs w:val="21"/>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14</w:t>
            </w:r>
          </w:p>
        </w:tc>
        <w:tc>
          <w:tcPr>
            <w:tcW w:w="982"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21.1</w:t>
            </w:r>
          </w:p>
        </w:tc>
        <w:tc>
          <w:tcPr>
            <w:tcW w:w="175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开标时间及地点</w:t>
            </w:r>
          </w:p>
        </w:tc>
        <w:tc>
          <w:tcPr>
            <w:tcW w:w="6433" w:type="dxa"/>
          </w:tcPr>
          <w:p>
            <w:pPr>
              <w:spacing w:line="360" w:lineRule="auto"/>
              <w:rPr>
                <w:rFonts w:ascii="宋体" w:hAnsi="宋体"/>
                <w:color w:val="auto"/>
                <w:szCs w:val="21"/>
                <w:highlight w:val="none"/>
                <w:u w:val="single"/>
              </w:rPr>
            </w:pPr>
            <w:r>
              <w:rPr>
                <w:rFonts w:hint="eastAsia" w:ascii="宋体" w:hAnsi="宋体"/>
                <w:color w:val="auto"/>
                <w:szCs w:val="21"/>
                <w:highlight w:val="none"/>
              </w:rPr>
              <w:t>开标时间：</w:t>
            </w:r>
            <w:r>
              <w:rPr>
                <w:rFonts w:hint="eastAsia" w:ascii="宋体" w:hAnsi="宋体"/>
                <w:color w:val="auto"/>
                <w:szCs w:val="21"/>
                <w:highlight w:val="none"/>
                <w:u w:val="single"/>
              </w:rPr>
              <w:t>同投标截止时间</w:t>
            </w:r>
            <w:r>
              <w:rPr>
                <w:rFonts w:hint="eastAsia" w:ascii="宋体" w:hAnsi="宋体"/>
                <w:color w:val="auto"/>
                <w:szCs w:val="21"/>
                <w:highlight w:val="none"/>
              </w:rPr>
              <w:t>；</w:t>
            </w:r>
          </w:p>
          <w:p>
            <w:pPr>
              <w:spacing w:line="360" w:lineRule="auto"/>
              <w:rPr>
                <w:rFonts w:ascii="宋体" w:hAnsi="宋体"/>
                <w:color w:val="auto"/>
                <w:szCs w:val="21"/>
                <w:highlight w:val="none"/>
                <w:u w:val="single"/>
              </w:rPr>
            </w:pPr>
            <w:r>
              <w:rPr>
                <w:rFonts w:hint="eastAsia" w:ascii="宋体" w:hAnsi="宋体"/>
                <w:color w:val="auto"/>
                <w:szCs w:val="21"/>
                <w:highlight w:val="none"/>
                <w:u w:val="single"/>
              </w:rPr>
              <w:t>开标地点：桂林市公共资源交易中心</w:t>
            </w:r>
            <w:r>
              <w:rPr>
                <w:rFonts w:hint="eastAsia" w:ascii="宋体" w:hAnsi="宋体"/>
                <w:color w:val="auto"/>
                <w:szCs w:val="21"/>
                <w:highlight w:val="none"/>
                <w:u w:val="single"/>
                <w:lang w:val="en-US" w:eastAsia="zh-CN"/>
              </w:rPr>
              <w:t>2</w:t>
            </w:r>
            <w:r>
              <w:rPr>
                <w:rFonts w:hint="eastAsia" w:ascii="宋体" w:hAnsi="宋体"/>
                <w:color w:val="auto"/>
                <w:szCs w:val="21"/>
                <w:highlight w:val="none"/>
                <w:u w:val="single"/>
              </w:rPr>
              <w:t>号开标室（广西桂林市临桂区西城中路69号创业大厦西辅楼4楼北区）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jc w:val="center"/>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15</w:t>
            </w:r>
          </w:p>
        </w:tc>
        <w:tc>
          <w:tcPr>
            <w:tcW w:w="982"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23</w:t>
            </w:r>
          </w:p>
        </w:tc>
        <w:tc>
          <w:tcPr>
            <w:tcW w:w="1759" w:type="dxa"/>
            <w:vAlign w:val="center"/>
          </w:tcPr>
          <w:p>
            <w:pPr>
              <w:pStyle w:val="9"/>
              <w:spacing w:line="360" w:lineRule="auto"/>
              <w:rPr>
                <w:rFonts w:hAnsi="宋体" w:cs="Arial"/>
                <w:color w:val="auto"/>
                <w:kern w:val="0"/>
                <w:szCs w:val="21"/>
                <w:highlight w:val="none"/>
              </w:rPr>
            </w:pPr>
            <w:r>
              <w:rPr>
                <w:rFonts w:hint="eastAsia" w:hAnsi="宋体" w:cs="Arial"/>
                <w:color w:val="auto"/>
                <w:kern w:val="0"/>
                <w:szCs w:val="21"/>
                <w:highlight w:val="none"/>
              </w:rPr>
              <w:t>评标委员会组成</w:t>
            </w:r>
          </w:p>
        </w:tc>
        <w:tc>
          <w:tcPr>
            <w:tcW w:w="6433" w:type="dxa"/>
            <w:vAlign w:val="center"/>
          </w:tcPr>
          <w:p>
            <w:pPr>
              <w:spacing w:line="360" w:lineRule="auto"/>
              <w:rPr>
                <w:rFonts w:ascii="宋体" w:hAnsi="宋体"/>
                <w:color w:val="auto"/>
                <w:szCs w:val="21"/>
                <w:highlight w:val="none"/>
              </w:rPr>
            </w:pPr>
            <w:r>
              <w:rPr>
                <w:rFonts w:hint="eastAsia" w:ascii="宋体" w:hAnsi="宋体"/>
                <w:color w:val="auto"/>
                <w:szCs w:val="21"/>
                <w:highlight w:val="none"/>
              </w:rPr>
              <w:t>评标委员会由采购人代表和有关技术、经济等方面的专家组成，其中采购人代表</w:t>
            </w:r>
            <w:r>
              <w:rPr>
                <w:rFonts w:hint="eastAsia" w:ascii="宋体" w:hAnsi="宋体"/>
                <w:color w:val="auto"/>
                <w:szCs w:val="21"/>
                <w:highlight w:val="none"/>
                <w:u w:val="single"/>
              </w:rPr>
              <w:t>1</w:t>
            </w:r>
            <w:r>
              <w:rPr>
                <w:rFonts w:hint="eastAsia" w:ascii="宋体" w:hAnsi="宋体"/>
                <w:color w:val="auto"/>
                <w:szCs w:val="21"/>
                <w:highlight w:val="none"/>
              </w:rPr>
              <w:t>人，技术、经济等专家</w:t>
            </w:r>
            <w:r>
              <w:rPr>
                <w:rFonts w:hint="eastAsia" w:ascii="宋体" w:hAnsi="宋体"/>
                <w:color w:val="auto"/>
                <w:szCs w:val="21"/>
                <w:highlight w:val="none"/>
                <w:u w:val="single"/>
              </w:rPr>
              <w:t>4</w:t>
            </w:r>
            <w:r>
              <w:rPr>
                <w:rFonts w:hint="eastAsia" w:ascii="宋体" w:hAnsi="宋体"/>
                <w:color w:val="auto"/>
                <w:szCs w:val="21"/>
                <w:highlight w:val="none"/>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16</w:t>
            </w:r>
          </w:p>
        </w:tc>
        <w:tc>
          <w:tcPr>
            <w:tcW w:w="982"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24.2</w:t>
            </w:r>
          </w:p>
        </w:tc>
        <w:tc>
          <w:tcPr>
            <w:tcW w:w="175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评标办法</w:t>
            </w:r>
          </w:p>
        </w:tc>
        <w:tc>
          <w:tcPr>
            <w:tcW w:w="6433" w:type="dxa"/>
            <w:vAlign w:val="center"/>
          </w:tcPr>
          <w:p>
            <w:pPr>
              <w:spacing w:line="360" w:lineRule="auto"/>
              <w:rPr>
                <w:rFonts w:ascii="宋体" w:hAnsi="宋体"/>
                <w:color w:val="auto"/>
                <w:szCs w:val="21"/>
                <w:highlight w:val="none"/>
              </w:rPr>
            </w:pPr>
            <w:r>
              <w:rPr>
                <w:rFonts w:hint="eastAsia" w:ascii="宋体" w:hAnsi="宋体"/>
                <w:color w:val="auto"/>
                <w:szCs w:val="21"/>
                <w:highlight w:val="none"/>
              </w:rPr>
              <w:t>综合评分法，具体评标内容及标准详见第四章：评标办法。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17</w:t>
            </w:r>
          </w:p>
        </w:tc>
        <w:tc>
          <w:tcPr>
            <w:tcW w:w="982"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32</w:t>
            </w:r>
          </w:p>
        </w:tc>
        <w:tc>
          <w:tcPr>
            <w:tcW w:w="175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信用查询</w:t>
            </w:r>
          </w:p>
        </w:tc>
        <w:tc>
          <w:tcPr>
            <w:tcW w:w="6433" w:type="dxa"/>
            <w:vAlign w:val="center"/>
          </w:tcPr>
          <w:p>
            <w:pPr>
              <w:autoSpaceDE w:val="0"/>
              <w:autoSpaceDN w:val="0"/>
              <w:snapToGrid w:val="0"/>
              <w:spacing w:line="360" w:lineRule="auto"/>
              <w:textAlignment w:val="bottom"/>
              <w:rPr>
                <w:rFonts w:ascii="宋体" w:hAnsi="宋体"/>
                <w:color w:val="auto"/>
                <w:highlight w:val="none"/>
              </w:rPr>
            </w:pPr>
            <w:r>
              <w:rPr>
                <w:rFonts w:hint="eastAsia" w:ascii="宋体" w:hAnsi="宋体"/>
                <w:color w:val="auto"/>
                <w:highlight w:val="none"/>
              </w:rPr>
              <w:t>根据《关于做好政府采购有关信用主体标识码登记及在政府采购活动中查询使用信用记录有关问题的通知》桂财采〔2016〕37号的通知，由采购代理机构对第一中标候选人进行信用查询：</w:t>
            </w:r>
          </w:p>
          <w:p>
            <w:pPr>
              <w:autoSpaceDE w:val="0"/>
              <w:autoSpaceDN w:val="0"/>
              <w:snapToGrid w:val="0"/>
              <w:spacing w:line="360" w:lineRule="auto"/>
              <w:textAlignment w:val="bottom"/>
              <w:rPr>
                <w:rFonts w:ascii="宋体" w:hAnsi="宋体"/>
                <w:color w:val="auto"/>
                <w:highlight w:val="none"/>
              </w:rPr>
            </w:pPr>
            <w:r>
              <w:rPr>
                <w:rFonts w:hint="eastAsia" w:ascii="宋体" w:hAnsi="宋体"/>
                <w:color w:val="auto"/>
                <w:highlight w:val="none"/>
              </w:rPr>
              <w:t>⑴查询渠道：“信用中国”网站(www.creditchina.gov.cn)、中国政府采购网(www.ccgp.gov.cn)等；</w:t>
            </w:r>
          </w:p>
          <w:p>
            <w:pPr>
              <w:autoSpaceDE w:val="0"/>
              <w:autoSpaceDN w:val="0"/>
              <w:snapToGrid w:val="0"/>
              <w:spacing w:line="360" w:lineRule="auto"/>
              <w:textAlignment w:val="bottom"/>
              <w:rPr>
                <w:rFonts w:ascii="宋体" w:hAnsi="宋体"/>
                <w:color w:val="auto"/>
                <w:highlight w:val="none"/>
              </w:rPr>
            </w:pPr>
            <w:r>
              <w:rPr>
                <w:rFonts w:hint="eastAsia" w:ascii="宋体" w:hAnsi="宋体"/>
                <w:color w:val="auto"/>
                <w:highlight w:val="none"/>
              </w:rPr>
              <w:t>⑵查询截止时点：中标通知书发出前；</w:t>
            </w:r>
          </w:p>
          <w:p>
            <w:pPr>
              <w:autoSpaceDE w:val="0"/>
              <w:autoSpaceDN w:val="0"/>
              <w:snapToGrid w:val="0"/>
              <w:spacing w:line="360" w:lineRule="auto"/>
              <w:textAlignment w:val="bottom"/>
              <w:rPr>
                <w:rFonts w:ascii="宋体" w:hAnsi="宋体"/>
                <w:color w:val="auto"/>
                <w:highlight w:val="none"/>
              </w:rPr>
            </w:pPr>
            <w:r>
              <w:rPr>
                <w:rFonts w:hint="eastAsia" w:ascii="宋体" w:hAnsi="宋体"/>
                <w:color w:val="auto"/>
                <w:highlight w:val="none"/>
              </w:rPr>
              <w:t>⑶信用信息查询记录和证据留存方式：在查询网站中直接打印查询记录，打印材料作为采购活动资料保存。</w:t>
            </w:r>
          </w:p>
          <w:p>
            <w:pPr>
              <w:pStyle w:val="27"/>
              <w:spacing w:line="360" w:lineRule="auto"/>
              <w:rPr>
                <w:rFonts w:hAnsi="宋体"/>
                <w:color w:val="auto"/>
                <w:highlight w:val="none"/>
              </w:rPr>
            </w:pPr>
            <w:r>
              <w:rPr>
                <w:rFonts w:hint="eastAsia" w:hAnsi="宋体"/>
                <w:color w:val="auto"/>
                <w:highlight w:val="none"/>
              </w:rPr>
              <w:t>⑷信用信息使用规则：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取消其中标候选人资格。</w:t>
            </w:r>
          </w:p>
          <w:p>
            <w:pPr>
              <w:spacing w:line="360" w:lineRule="auto"/>
              <w:rPr>
                <w:rFonts w:ascii="宋体" w:hAnsi="宋体"/>
                <w:color w:val="auto"/>
                <w:szCs w:val="21"/>
                <w:highlight w:val="none"/>
              </w:rPr>
            </w:pPr>
            <w:r>
              <w:rPr>
                <w:rFonts w:hint="eastAsia"/>
                <w:color w:val="auto"/>
                <w:highlight w:val="none"/>
              </w:rPr>
              <w:t>两个以上的自然人、法人或者其他组织组成一个联合体，以一个供应商的身份共同参加政府采购活动的，对所有联合体成员进行信用记录查询，联合体成员存在不良信用记录的，视同联合体存在不良信用记录。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18</w:t>
            </w:r>
          </w:p>
        </w:tc>
        <w:tc>
          <w:tcPr>
            <w:tcW w:w="982"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33</w:t>
            </w:r>
          </w:p>
        </w:tc>
        <w:tc>
          <w:tcPr>
            <w:tcW w:w="175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中标公告及中标通知书</w:t>
            </w:r>
          </w:p>
        </w:tc>
        <w:tc>
          <w:tcPr>
            <w:tcW w:w="6433" w:type="dxa"/>
          </w:tcPr>
          <w:p>
            <w:pPr>
              <w:pStyle w:val="9"/>
              <w:tabs>
                <w:tab w:val="left" w:pos="455"/>
              </w:tabs>
              <w:spacing w:line="360" w:lineRule="auto"/>
              <w:rPr>
                <w:rFonts w:hAnsi="宋体"/>
                <w:color w:val="auto"/>
                <w:szCs w:val="21"/>
                <w:highlight w:val="none"/>
              </w:rPr>
            </w:pPr>
            <w:r>
              <w:rPr>
                <w:rFonts w:hint="eastAsia" w:hAnsi="宋体"/>
                <w:color w:val="auto"/>
                <w:szCs w:val="21"/>
                <w:highlight w:val="none"/>
              </w:rPr>
              <w:t>33.1 采购代理机构于评标结束后两个工作日内将评审报告送交采购人，采购人应当自收到评标报告五个工作日内在评标报告推荐的中标候选供应商中按顺序确定中标供应商，采购代理机构在中标供应商确定之日起两个工作日内发出中标通知书，并在指定媒体上公告中标信息。</w:t>
            </w:r>
          </w:p>
          <w:p>
            <w:pPr>
              <w:pStyle w:val="9"/>
              <w:spacing w:line="360" w:lineRule="auto"/>
              <w:rPr>
                <w:rFonts w:hAnsi="宋体"/>
                <w:color w:val="auto"/>
                <w:szCs w:val="21"/>
                <w:highlight w:val="none"/>
              </w:rPr>
            </w:pPr>
            <w:r>
              <w:rPr>
                <w:rFonts w:hint="eastAsia" w:hAnsi="宋体"/>
                <w:color w:val="auto"/>
                <w:szCs w:val="21"/>
                <w:highlight w:val="none"/>
              </w:rPr>
              <w:t>33.2 中标供应商应自接到通知之日起七个工作日内，办理中标通知书领取手续。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19</w:t>
            </w:r>
          </w:p>
        </w:tc>
        <w:tc>
          <w:tcPr>
            <w:tcW w:w="982"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34</w:t>
            </w:r>
          </w:p>
        </w:tc>
        <w:tc>
          <w:tcPr>
            <w:tcW w:w="175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履约保证金</w:t>
            </w:r>
          </w:p>
        </w:tc>
        <w:tc>
          <w:tcPr>
            <w:tcW w:w="6433" w:type="dxa"/>
            <w:vAlign w:val="center"/>
          </w:tcPr>
          <w:p>
            <w:pPr>
              <w:spacing w:line="360" w:lineRule="auto"/>
              <w:rPr>
                <w:rFonts w:ascii="宋体" w:hAnsi="宋体" w:eastAsia="宋体" w:cs="宋体"/>
                <w:color w:val="auto"/>
                <w:szCs w:val="21"/>
                <w:highlight w:val="none"/>
              </w:rPr>
            </w:pPr>
            <w:r>
              <w:rPr>
                <w:rFonts w:hint="eastAsia" w:ascii="宋体" w:hAnsi="宋体" w:eastAsia="宋体" w:cs="宋体"/>
                <w:color w:val="auto"/>
                <w:szCs w:val="21"/>
                <w:highlight w:val="none"/>
              </w:rPr>
              <w:t>履约保证金金额按中标价的5%(人民币,四舍五入到元)以转账电汇、保险,保函等非现金形式缴纳,由中标供应商在领取中标通知书前将约保证金以转账、电汇、保险、保函等非现金形式缴纳。缴入采购人指定履约保证金账户。</w:t>
            </w:r>
          </w:p>
          <w:p>
            <w:pPr>
              <w:spacing w:line="360" w:lineRule="auto"/>
              <w:rPr>
                <w:rFonts w:ascii="宋体" w:hAnsi="宋体" w:eastAsia="宋体" w:cs="宋体"/>
                <w:color w:val="auto"/>
                <w:szCs w:val="21"/>
                <w:highlight w:val="none"/>
              </w:rPr>
            </w:pPr>
            <w:r>
              <w:rPr>
                <w:rFonts w:hint="eastAsia" w:ascii="宋体" w:hAnsi="宋体" w:eastAsia="宋体" w:cs="宋体"/>
                <w:color w:val="auto"/>
                <w:szCs w:val="21"/>
                <w:highlight w:val="none"/>
              </w:rPr>
              <w:t>开户名称：</w:t>
            </w:r>
            <w:r>
              <w:rPr>
                <w:rFonts w:hint="eastAsia" w:ascii="宋体" w:hAnsi="宋体" w:eastAsia="宋体" w:cs="宋体"/>
                <w:color w:val="auto"/>
                <w:szCs w:val="21"/>
                <w:highlight w:val="none"/>
                <w:lang w:val="en-US" w:eastAsia="zh-CN"/>
              </w:rPr>
              <w:t>兴安县采购中心</w:t>
            </w:r>
            <w:r>
              <w:rPr>
                <w:rFonts w:hint="eastAsia" w:ascii="宋体" w:hAnsi="宋体" w:eastAsia="宋体" w:cs="宋体"/>
                <w:color w:val="auto"/>
                <w:szCs w:val="21"/>
                <w:highlight w:val="none"/>
              </w:rPr>
              <w:t xml:space="preserve"> </w:t>
            </w:r>
          </w:p>
          <w:p>
            <w:pPr>
              <w:spacing w:line="360" w:lineRule="auto"/>
              <w:rPr>
                <w:rFonts w:ascii="宋体" w:hAnsi="宋体" w:eastAsia="宋体" w:cs="宋体"/>
                <w:color w:val="auto"/>
                <w:szCs w:val="21"/>
                <w:highlight w:val="none"/>
              </w:rPr>
            </w:pPr>
            <w:r>
              <w:rPr>
                <w:rFonts w:hint="eastAsia" w:ascii="宋体" w:hAnsi="宋体" w:eastAsia="宋体" w:cs="宋体"/>
                <w:color w:val="auto"/>
                <w:szCs w:val="21"/>
                <w:highlight w:val="none"/>
              </w:rPr>
              <w:t>开户银行：</w:t>
            </w:r>
            <w:r>
              <w:rPr>
                <w:rFonts w:hint="eastAsia" w:ascii="宋体" w:hAnsi="宋体" w:eastAsia="宋体" w:cs="宋体"/>
                <w:color w:val="auto"/>
                <w:szCs w:val="21"/>
                <w:highlight w:val="none"/>
                <w:lang w:val="en-US" w:eastAsia="zh-CN"/>
              </w:rPr>
              <w:t>广西兴安民兴村镇银行兴桂支行</w:t>
            </w:r>
            <w:r>
              <w:rPr>
                <w:rFonts w:hint="eastAsia" w:ascii="宋体" w:hAnsi="宋体" w:eastAsia="宋体" w:cs="宋体"/>
                <w:color w:val="auto"/>
                <w:szCs w:val="21"/>
                <w:highlight w:val="none"/>
              </w:rPr>
              <w:t xml:space="preserve"> </w:t>
            </w:r>
          </w:p>
          <w:p>
            <w:pPr>
              <w:spacing w:line="360" w:lineRule="auto"/>
              <w:rPr>
                <w:rFonts w:ascii="宋体" w:hAnsi="宋体" w:eastAsia="宋体" w:cs="宋体"/>
                <w:color w:val="auto"/>
                <w:szCs w:val="21"/>
                <w:highlight w:val="none"/>
              </w:rPr>
            </w:pPr>
            <w:r>
              <w:rPr>
                <w:rFonts w:hint="eastAsia" w:ascii="宋体" w:hAnsi="宋体" w:eastAsia="宋体" w:cs="宋体"/>
                <w:color w:val="auto"/>
                <w:szCs w:val="21"/>
                <w:highlight w:val="none"/>
              </w:rPr>
              <w:t>账号：</w:t>
            </w:r>
            <w:r>
              <w:rPr>
                <w:rFonts w:hint="eastAsia" w:ascii="宋体" w:hAnsi="宋体" w:eastAsia="宋体" w:cs="宋体"/>
                <w:color w:val="auto"/>
                <w:szCs w:val="21"/>
                <w:highlight w:val="none"/>
                <w:lang w:val="en-US" w:eastAsia="zh-CN"/>
              </w:rPr>
              <w:t>1000 0107 0700 020</w:t>
            </w:r>
            <w:r>
              <w:rPr>
                <w:rFonts w:hint="eastAsia" w:ascii="宋体" w:hAnsi="宋体" w:eastAsia="宋体" w:cs="宋体"/>
                <w:color w:val="auto"/>
                <w:szCs w:val="21"/>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20</w:t>
            </w:r>
          </w:p>
        </w:tc>
        <w:tc>
          <w:tcPr>
            <w:tcW w:w="982"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35.1</w:t>
            </w:r>
          </w:p>
        </w:tc>
        <w:tc>
          <w:tcPr>
            <w:tcW w:w="175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签订合同时间</w:t>
            </w:r>
          </w:p>
        </w:tc>
        <w:tc>
          <w:tcPr>
            <w:tcW w:w="6433" w:type="dxa"/>
            <w:vAlign w:val="center"/>
          </w:tcPr>
          <w:p>
            <w:pPr>
              <w:spacing w:line="360" w:lineRule="auto"/>
              <w:rPr>
                <w:rFonts w:ascii="宋体" w:hAnsi="宋体"/>
                <w:color w:val="auto"/>
                <w:szCs w:val="21"/>
                <w:highlight w:val="none"/>
              </w:rPr>
            </w:pPr>
            <w:r>
              <w:rPr>
                <w:rFonts w:hint="eastAsia" w:ascii="宋体" w:hAnsi="宋体"/>
                <w:color w:val="auto"/>
                <w:szCs w:val="21"/>
                <w:highlight w:val="none"/>
              </w:rPr>
              <w:t>中标通知书发出之日起二十五日内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21</w:t>
            </w:r>
          </w:p>
        </w:tc>
        <w:tc>
          <w:tcPr>
            <w:tcW w:w="982"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35.3</w:t>
            </w:r>
          </w:p>
        </w:tc>
        <w:tc>
          <w:tcPr>
            <w:tcW w:w="175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合同备案存档</w:t>
            </w:r>
          </w:p>
        </w:tc>
        <w:tc>
          <w:tcPr>
            <w:tcW w:w="6433" w:type="dxa"/>
            <w:vAlign w:val="center"/>
          </w:tcPr>
          <w:p>
            <w:pPr>
              <w:spacing w:line="360" w:lineRule="auto"/>
              <w:rPr>
                <w:rFonts w:ascii="宋体" w:hAnsi="宋体"/>
                <w:color w:val="auto"/>
                <w:szCs w:val="21"/>
                <w:highlight w:val="none"/>
              </w:rPr>
            </w:pPr>
            <w:r>
              <w:rPr>
                <w:rFonts w:hint="eastAsia" w:ascii="宋体" w:hAnsi="宋体"/>
                <w:color w:val="auto"/>
                <w:szCs w:val="21"/>
                <w:highlight w:val="none"/>
              </w:rPr>
              <w:t>政府采购合同双方自签订之日起1个工作日内将合同原件两份交采购代理机构。采购代理机构将政府采购合同在省级以上人民政府财政部门指定媒体上公告并于合同签订之日起7个工作日内将一份合同原件送兴安县人民政府采购管理办公室备案，一份由采购代理机构存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22</w:t>
            </w:r>
          </w:p>
        </w:tc>
        <w:tc>
          <w:tcPr>
            <w:tcW w:w="982"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36</w:t>
            </w:r>
          </w:p>
        </w:tc>
        <w:tc>
          <w:tcPr>
            <w:tcW w:w="175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招标代理服务费</w:t>
            </w:r>
          </w:p>
        </w:tc>
        <w:tc>
          <w:tcPr>
            <w:tcW w:w="6433" w:type="dxa"/>
            <w:vAlign w:val="center"/>
          </w:tcPr>
          <w:p>
            <w:pPr>
              <w:pStyle w:val="9"/>
              <w:spacing w:line="360" w:lineRule="auto"/>
              <w:ind w:firstLine="420" w:firstLineChars="200"/>
              <w:rPr>
                <w:rFonts w:hAnsi="宋体"/>
                <w:color w:val="auto"/>
                <w:szCs w:val="21"/>
                <w:highlight w:val="none"/>
              </w:rPr>
            </w:pPr>
            <w:r>
              <w:rPr>
                <w:rFonts w:hint="eastAsia" w:hAnsi="宋体"/>
                <w:color w:val="auto"/>
                <w:highlight w:val="none"/>
              </w:rPr>
              <w:t>中标</w:t>
            </w:r>
            <w:r>
              <w:rPr>
                <w:rFonts w:hint="eastAsia" w:hAnsi="宋体"/>
                <w:color w:val="auto"/>
                <w:szCs w:val="21"/>
                <w:highlight w:val="none"/>
              </w:rPr>
              <w:t>供应商</w:t>
            </w:r>
            <w:r>
              <w:rPr>
                <w:rFonts w:hint="eastAsia" w:hAnsi="宋体"/>
                <w:color w:val="auto"/>
                <w:highlight w:val="none"/>
              </w:rPr>
              <w:t>领取中标通知书前，</w:t>
            </w:r>
            <w:r>
              <w:rPr>
                <w:rFonts w:hint="eastAsia" w:hAnsi="宋体"/>
                <w:color w:val="auto"/>
                <w:szCs w:val="21"/>
                <w:highlight w:val="none"/>
              </w:rPr>
              <w:t>参照计价格[2002]1980号《招标代理服务收费管理暂行办法》服务类收费标准向</w:t>
            </w:r>
            <w:r>
              <w:rPr>
                <w:rFonts w:hint="eastAsia" w:hAnsi="宋体"/>
                <w:color w:val="auto"/>
                <w:highlight w:val="none"/>
              </w:rPr>
              <w:t>广西桂林华禹水利水电工程咨询有限公司一次性付清代理服务费及中标服务费。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23</w:t>
            </w:r>
          </w:p>
        </w:tc>
        <w:tc>
          <w:tcPr>
            <w:tcW w:w="982"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38</w:t>
            </w:r>
          </w:p>
        </w:tc>
        <w:tc>
          <w:tcPr>
            <w:tcW w:w="1759" w:type="dxa"/>
            <w:vAlign w:val="center"/>
          </w:tcPr>
          <w:p>
            <w:pPr>
              <w:spacing w:line="360" w:lineRule="auto"/>
              <w:jc w:val="center"/>
              <w:rPr>
                <w:rFonts w:ascii="宋体" w:hAnsi="宋体"/>
                <w:color w:val="auto"/>
                <w:szCs w:val="21"/>
                <w:highlight w:val="none"/>
              </w:rPr>
            </w:pPr>
            <w:r>
              <w:rPr>
                <w:rFonts w:hint="eastAsia" w:ascii="宋体" w:hAnsi="宋体" w:cs="Courier New"/>
                <w:color w:val="auto"/>
                <w:szCs w:val="21"/>
                <w:highlight w:val="none"/>
              </w:rPr>
              <w:t>投标文件电子版</w:t>
            </w:r>
          </w:p>
        </w:tc>
        <w:tc>
          <w:tcPr>
            <w:tcW w:w="6433" w:type="dxa"/>
            <w:vAlign w:val="center"/>
          </w:tcPr>
          <w:p>
            <w:pPr>
              <w:spacing w:line="360" w:lineRule="auto"/>
              <w:rPr>
                <w:rFonts w:ascii="宋体" w:hAnsi="宋体"/>
                <w:color w:val="auto"/>
                <w:szCs w:val="21"/>
                <w:highlight w:val="none"/>
              </w:rPr>
            </w:pPr>
            <w:r>
              <w:rPr>
                <w:rFonts w:hint="eastAsia" w:ascii="宋体" w:hAnsi="宋体"/>
                <w:color w:val="auto"/>
                <w:szCs w:val="21"/>
                <w:highlight w:val="none"/>
              </w:rPr>
              <w:t>投标人在递交投标文件时，同时递交投标文件电子版。</w:t>
            </w:r>
          </w:p>
          <w:p>
            <w:pPr>
              <w:spacing w:line="360" w:lineRule="auto"/>
              <w:rPr>
                <w:rFonts w:ascii="宋体" w:hAnsi="宋体"/>
                <w:color w:val="auto"/>
                <w:szCs w:val="21"/>
                <w:highlight w:val="none"/>
              </w:rPr>
            </w:pPr>
            <w:r>
              <w:rPr>
                <w:rFonts w:hint="eastAsia" w:ascii="宋体" w:hAnsi="宋体"/>
                <w:color w:val="auto"/>
                <w:szCs w:val="21"/>
                <w:highlight w:val="none"/>
              </w:rPr>
              <w:t>（1）投标文件电子版内容：投标函、投标报价表（包括产品的名称、规格型号、数量、单价），售后服务承诺书。</w:t>
            </w:r>
          </w:p>
          <w:p>
            <w:pPr>
              <w:spacing w:line="360" w:lineRule="auto"/>
              <w:rPr>
                <w:rFonts w:ascii="宋体" w:hAnsi="宋体"/>
                <w:color w:val="auto"/>
                <w:szCs w:val="21"/>
                <w:highlight w:val="none"/>
              </w:rPr>
            </w:pPr>
            <w:r>
              <w:rPr>
                <w:rFonts w:hint="eastAsia" w:ascii="宋体" w:hAnsi="宋体"/>
                <w:color w:val="auto"/>
                <w:szCs w:val="21"/>
                <w:highlight w:val="none"/>
              </w:rPr>
              <w:t>（2）投标文件电子版份数：1份。</w:t>
            </w:r>
          </w:p>
          <w:p>
            <w:pPr>
              <w:spacing w:line="360" w:lineRule="auto"/>
              <w:rPr>
                <w:rFonts w:ascii="宋体" w:hAnsi="宋体"/>
                <w:color w:val="auto"/>
                <w:szCs w:val="21"/>
                <w:highlight w:val="none"/>
              </w:rPr>
            </w:pPr>
            <w:r>
              <w:rPr>
                <w:rFonts w:hint="eastAsia" w:ascii="宋体" w:hAnsi="宋体"/>
                <w:color w:val="auto"/>
                <w:szCs w:val="21"/>
                <w:highlight w:val="none"/>
              </w:rPr>
              <w:t>（3）投标文件电子版形式：可编辑的word文档格式。</w:t>
            </w:r>
          </w:p>
          <w:p>
            <w:pPr>
              <w:spacing w:line="360" w:lineRule="auto"/>
              <w:rPr>
                <w:rFonts w:ascii="宋体" w:hAnsi="宋体"/>
                <w:color w:val="auto"/>
                <w:szCs w:val="21"/>
                <w:highlight w:val="none"/>
              </w:rPr>
            </w:pPr>
            <w:r>
              <w:rPr>
                <w:rFonts w:hint="eastAsia" w:ascii="宋体" w:hAnsi="宋体"/>
                <w:color w:val="auto"/>
                <w:szCs w:val="21"/>
                <w:highlight w:val="none"/>
              </w:rPr>
              <w:t>（4）投标文件电子版密封方式：投标文件电子版U盘与纸质版投标文件一并装入投标文件袋中。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4" w:hRule="atLeast"/>
          <w:jc w:val="center"/>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24</w:t>
            </w:r>
          </w:p>
        </w:tc>
        <w:tc>
          <w:tcPr>
            <w:tcW w:w="982"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39</w:t>
            </w:r>
          </w:p>
        </w:tc>
        <w:tc>
          <w:tcPr>
            <w:tcW w:w="175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解释权</w:t>
            </w:r>
          </w:p>
        </w:tc>
        <w:tc>
          <w:tcPr>
            <w:tcW w:w="6433" w:type="dxa"/>
            <w:vAlign w:val="center"/>
          </w:tcPr>
          <w:p>
            <w:pPr>
              <w:spacing w:line="360" w:lineRule="auto"/>
              <w:rPr>
                <w:rFonts w:ascii="宋体" w:hAnsi="宋体"/>
                <w:color w:val="auto"/>
                <w:szCs w:val="21"/>
                <w:highlight w:val="none"/>
              </w:rPr>
            </w:pPr>
            <w:r>
              <w:rPr>
                <w:rFonts w:hint="eastAsia" w:ascii="宋体" w:hAnsi="宋体"/>
                <w:color w:val="auto"/>
                <w:szCs w:val="21"/>
                <w:highlight w:val="none"/>
              </w:rPr>
              <w:t>本招标文件是根据《中华人民共和国政府采购法》、《中华人民共和国政府采购法实施条例》和政府采购管理有关规定编制，本招标文件的解释权属于采购代理机构。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25</w:t>
            </w:r>
          </w:p>
        </w:tc>
        <w:tc>
          <w:tcPr>
            <w:tcW w:w="982"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40</w:t>
            </w:r>
          </w:p>
        </w:tc>
        <w:tc>
          <w:tcPr>
            <w:tcW w:w="1759" w:type="dxa"/>
            <w:vAlign w:val="center"/>
          </w:tcPr>
          <w:p>
            <w:pPr>
              <w:spacing w:line="360" w:lineRule="auto"/>
              <w:jc w:val="center"/>
              <w:rPr>
                <w:rFonts w:ascii="宋体" w:hAnsi="宋体"/>
                <w:color w:val="auto"/>
                <w:position w:val="10"/>
                <w:szCs w:val="21"/>
                <w:highlight w:val="none"/>
              </w:rPr>
            </w:pPr>
            <w:r>
              <w:rPr>
                <w:rFonts w:hint="eastAsia" w:ascii="宋体" w:hAnsi="宋体"/>
                <w:color w:val="auto"/>
                <w:szCs w:val="21"/>
                <w:highlight w:val="none"/>
              </w:rPr>
              <w:t>监督管理部门</w:t>
            </w:r>
          </w:p>
        </w:tc>
        <w:tc>
          <w:tcPr>
            <w:tcW w:w="6433" w:type="dxa"/>
            <w:vAlign w:val="center"/>
          </w:tcPr>
          <w:p>
            <w:pPr>
              <w:spacing w:line="360" w:lineRule="auto"/>
              <w:rPr>
                <w:rFonts w:ascii="宋体" w:hAnsi="宋体"/>
                <w:color w:val="auto"/>
                <w:szCs w:val="21"/>
                <w:highlight w:val="none"/>
              </w:rPr>
            </w:pPr>
            <w:r>
              <w:rPr>
                <w:rFonts w:hint="eastAsia" w:ascii="宋体" w:hAnsi="宋体"/>
                <w:color w:val="auto"/>
                <w:szCs w:val="21"/>
                <w:highlight w:val="none"/>
              </w:rPr>
              <w:t>兴安县人民政府采购管理办公室   电话：0773-6220651</w:t>
            </w:r>
          </w:p>
        </w:tc>
      </w:tr>
    </w:tbl>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sectPr>
          <w:footerReference r:id="rId3" w:type="default"/>
          <w:pgSz w:w="11906" w:h="16838"/>
          <w:pgMar w:top="1440" w:right="1134" w:bottom="1440" w:left="1134" w:header="851" w:footer="992" w:gutter="0"/>
          <w:cols w:space="425" w:num="1"/>
          <w:docGrid w:type="lines" w:linePitch="312" w:charSpace="0"/>
        </w:sectPr>
      </w:pPr>
    </w:p>
    <w:p>
      <w:pPr>
        <w:pStyle w:val="4"/>
        <w:rPr>
          <w:color w:val="auto"/>
          <w:highlight w:val="none"/>
        </w:rPr>
      </w:pPr>
      <w:r>
        <w:rPr>
          <w:rFonts w:hint="eastAsia"/>
          <w:color w:val="auto"/>
          <w:highlight w:val="none"/>
        </w:rPr>
        <w:t>一、总则</w:t>
      </w:r>
    </w:p>
    <w:p>
      <w:pPr>
        <w:pStyle w:val="5"/>
        <w:rPr>
          <w:color w:val="auto"/>
          <w:highlight w:val="none"/>
        </w:rPr>
      </w:pPr>
      <w:r>
        <w:rPr>
          <w:rFonts w:hint="eastAsia"/>
          <w:color w:val="auto"/>
          <w:highlight w:val="none"/>
        </w:rPr>
        <w:t>1. 项目名称及项目编号</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项目名称：兴安县水安全保障“十四五”规划报告</w:t>
      </w:r>
    </w:p>
    <w:p>
      <w:pPr>
        <w:spacing w:line="360" w:lineRule="auto"/>
        <w:ind w:firstLine="426" w:firstLineChars="200"/>
        <w:rPr>
          <w:rFonts w:ascii="宋体" w:hAnsi="宋体"/>
          <w:b/>
          <w:color w:val="auto"/>
          <w:szCs w:val="21"/>
          <w:highlight w:val="none"/>
        </w:rPr>
      </w:pPr>
      <w:r>
        <w:rPr>
          <w:rFonts w:hint="eastAsia" w:ascii="宋体" w:hAnsi="宋体"/>
          <w:color w:val="auto"/>
          <w:szCs w:val="21"/>
          <w:highlight w:val="none"/>
        </w:rPr>
        <w:t>项目编号：GLZC2021-G3-250012-GLHY</w:t>
      </w:r>
      <w:r>
        <w:rPr>
          <w:rFonts w:hint="eastAsia" w:ascii="宋体" w:hAnsi="宋体" w:cs="宋体"/>
          <w:color w:val="auto"/>
          <w:szCs w:val="21"/>
          <w:highlight w:val="none"/>
        </w:rPr>
        <w:t xml:space="preserve"> </w:t>
      </w:r>
    </w:p>
    <w:p>
      <w:pPr>
        <w:pStyle w:val="5"/>
        <w:rPr>
          <w:color w:val="auto"/>
          <w:highlight w:val="none"/>
        </w:rPr>
      </w:pPr>
      <w:r>
        <w:rPr>
          <w:rFonts w:hint="eastAsia"/>
          <w:color w:val="auto"/>
          <w:highlight w:val="none"/>
        </w:rPr>
        <w:t>2. 适应范围</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本招标文件适用本招标采购项目的招标、投标、评标、合同履约、验收、付款等行为（法律、法规另有规定的，从其规定）。</w:t>
      </w:r>
    </w:p>
    <w:p>
      <w:pPr>
        <w:pStyle w:val="5"/>
        <w:rPr>
          <w:color w:val="auto"/>
          <w:highlight w:val="none"/>
        </w:rPr>
      </w:pPr>
      <w:r>
        <w:rPr>
          <w:rFonts w:hint="eastAsia"/>
          <w:color w:val="auto"/>
          <w:highlight w:val="none"/>
        </w:rPr>
        <w:t>3. 定义</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3.1“招标采购单位”是指组织本次招标的采购人和采购代理机构。</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3.2“投标人”是指向招标方提交投标文件的供应商。</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3.3“货物”系指按招标文件规定，投标人须向采购人提供的一切设备、保险、税金、备品备件、工具、手册及其它有关技术资料和材料。</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3.4“服务”系指招标文件规定，投标人须承担的安装、调试、技术协助、校准、培训、技术指导以及其他类似的义务。</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3.5“项目”系指投标人按招标文件规定向采购人提供的货物和服务。</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3.6“书面形式”包括信函、传真、电报。</w:t>
      </w:r>
    </w:p>
    <w:p>
      <w:pPr>
        <w:pStyle w:val="5"/>
        <w:rPr>
          <w:color w:val="auto"/>
          <w:highlight w:val="none"/>
        </w:rPr>
      </w:pPr>
      <w:r>
        <w:rPr>
          <w:rFonts w:hint="eastAsia"/>
          <w:color w:val="auto"/>
          <w:highlight w:val="none"/>
        </w:rPr>
        <w:t>4. 招标方式</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公开招标方式。</w:t>
      </w:r>
    </w:p>
    <w:p>
      <w:pPr>
        <w:pStyle w:val="5"/>
        <w:rPr>
          <w:color w:val="auto"/>
          <w:highlight w:val="none"/>
        </w:rPr>
      </w:pPr>
      <w:r>
        <w:rPr>
          <w:rFonts w:hint="eastAsia"/>
          <w:color w:val="auto"/>
          <w:highlight w:val="none"/>
        </w:rPr>
        <w:t>5. 投标人资格</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5.1符合《中华人民共和国政府采购法》第二十二条规定，</w:t>
      </w:r>
      <w:r>
        <w:rPr>
          <w:rFonts w:hint="eastAsia" w:ascii="宋体" w:hAnsi="宋体" w:cs="宋体"/>
          <w:color w:val="auto"/>
          <w:szCs w:val="21"/>
          <w:highlight w:val="none"/>
        </w:rPr>
        <w:t>具备合法资格的供应商且具有工程咨询单位乙级资信证书（水利水电专业资信）及以上资质，</w:t>
      </w:r>
      <w:r>
        <w:rPr>
          <w:rFonts w:hint="eastAsia" w:ascii="宋体" w:hAnsi="宋体"/>
          <w:color w:val="auto"/>
          <w:szCs w:val="21"/>
          <w:highlight w:val="none"/>
        </w:rPr>
        <w:t>并在人员、设备、资金等方面具有相应的能力。</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5.2对在“</w:t>
      </w:r>
      <w:r>
        <w:rPr>
          <w:rFonts w:ascii="宋体" w:hAnsi="宋体"/>
          <w:color w:val="auto"/>
          <w:szCs w:val="21"/>
          <w:highlight w:val="none"/>
        </w:rPr>
        <w:t>信用中国</w:t>
      </w:r>
      <w:r>
        <w:rPr>
          <w:rFonts w:hint="eastAsia" w:ascii="宋体" w:hAnsi="宋体"/>
          <w:color w:val="auto"/>
          <w:szCs w:val="21"/>
          <w:highlight w:val="none"/>
        </w:rPr>
        <w:t>”</w:t>
      </w:r>
      <w:r>
        <w:rPr>
          <w:rFonts w:ascii="宋体" w:hAnsi="宋体"/>
          <w:color w:val="auto"/>
          <w:szCs w:val="21"/>
          <w:highlight w:val="none"/>
        </w:rPr>
        <w:t>网站(www.creditchina.gov.cn)、中国政府采购网(www.ccgp.gov.cn)等渠道</w:t>
      </w:r>
      <w:r>
        <w:rPr>
          <w:rFonts w:hint="eastAsia" w:ascii="宋体" w:hAnsi="宋体"/>
          <w:color w:val="auto"/>
          <w:szCs w:val="21"/>
          <w:highlight w:val="none"/>
        </w:rPr>
        <w:t>列入失信被执行人、重大税收违法案件当事人名单、政府采购严重违法失信行为记录名单及其他不符合《中华人民共和国政府采购法》第二十二条规定条件的供应商，不得参与政府采购活动；</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5.3投标人拟投入的项目负责人具备水利水电工程相关专业高级及以上技术职称；</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 xml:space="preserve">5.4本项目不接受联合体竞标。 </w:t>
      </w:r>
    </w:p>
    <w:p>
      <w:pPr>
        <w:pStyle w:val="5"/>
        <w:rPr>
          <w:color w:val="auto"/>
          <w:highlight w:val="none"/>
        </w:rPr>
      </w:pPr>
      <w:r>
        <w:rPr>
          <w:rFonts w:hint="eastAsia"/>
          <w:color w:val="auto"/>
          <w:highlight w:val="none"/>
        </w:rPr>
        <w:t>6. 投标费用</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不论投标结果如何，投标人均应自行承担所有与投标有关的全部费用。</w:t>
      </w:r>
    </w:p>
    <w:p>
      <w:pPr>
        <w:pStyle w:val="5"/>
        <w:rPr>
          <w:color w:val="auto"/>
          <w:highlight w:val="none"/>
        </w:rPr>
      </w:pPr>
      <w:r>
        <w:rPr>
          <w:rFonts w:hint="eastAsia"/>
          <w:color w:val="auto"/>
          <w:highlight w:val="none"/>
        </w:rPr>
        <w:t>7. 联合体投标要求</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本项目不接受联合体投标。</w:t>
      </w:r>
    </w:p>
    <w:p>
      <w:pPr>
        <w:pStyle w:val="5"/>
        <w:rPr>
          <w:color w:val="auto"/>
          <w:highlight w:val="none"/>
        </w:rPr>
      </w:pPr>
      <w:r>
        <w:rPr>
          <w:rFonts w:hint="eastAsia"/>
          <w:color w:val="auto"/>
          <w:highlight w:val="none"/>
        </w:rPr>
        <w:t>8. 转包与分包</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8.1本项目不允许转包。</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8.2本项目不可以分包。</w:t>
      </w:r>
    </w:p>
    <w:p>
      <w:pPr>
        <w:pStyle w:val="5"/>
        <w:rPr>
          <w:color w:val="auto"/>
          <w:highlight w:val="none"/>
        </w:rPr>
      </w:pPr>
      <w:r>
        <w:rPr>
          <w:rFonts w:hint="eastAsia"/>
          <w:color w:val="auto"/>
          <w:highlight w:val="none"/>
        </w:rPr>
        <w:t>9. 特别说明</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9.1关联供应商不得参加同一合同项下政府采购活动，否则投标文件将被视为无效：</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（1）单位负责人为同一人或者存在直接控股、管理关系的，不得参加同一合同项下的政府采购活动。</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（2）生产厂商授权给供应商后自己不得参加同一合同项下的政府采购活动；生产厂商对同一品牌同一型号的货物，仅能委托一个代理商参加投标。</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（3）为本采购项目提供整体设计、规范编制或者项目管理、监理、检测等服务的供应商，不得再参加本次采购活动。</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4）提供相同品牌产品的不同投标人参加同一合同项下投标的，以其中通过资格审查、符合性审查且报价最低的参加评标，报价相同的，由采购人自主选择确定一个参加评标的投标人，其他投标无效。非单一产品采购项目中，多家投标人提供的核心产品品牌相同的，视为提供相同品牌产品。</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9.2投标人投标所使用的资格、信誉、荣誉、业绩与企业认证必须为本法人所拥有，投标人投标所使用的采购项目实施人员必须为投标人员工。</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9.3投标人应仔细阅读招标文件的所有内容，按照招标文件的要求提交投标文件，并对所提供的全部资料的真实性承担法律责任。</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9.4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pPr>
        <w:pStyle w:val="5"/>
        <w:rPr>
          <w:color w:val="auto"/>
          <w:highlight w:val="none"/>
        </w:rPr>
      </w:pPr>
      <w:r>
        <w:rPr>
          <w:rFonts w:hint="eastAsia"/>
          <w:color w:val="auto"/>
          <w:highlight w:val="none"/>
        </w:rPr>
        <w:t>10. 质疑和投诉</w:t>
      </w:r>
      <w:r>
        <w:rPr>
          <w:color w:val="auto"/>
          <w:highlight w:val="none"/>
        </w:rPr>
        <w:tab/>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10.1投标人认为招标文件使自己的合法权益受到损害的，应当在购买招标文件之日起7个工作日内以书面形式向采购代理机构提出质疑。投标人认为招标过程或中标结果使自己的合法权益受到损害的，应当在各采购程序环节结束之日或中标公告期限届满之日起七个工作日内，以书面形式向采购代理机构提出质疑。采购代理机构应认真做好质疑处理工作。</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10.2投标人对采购代理机构的答复不满意或者采购代理机构未在规定的时间内作出答复的，可以在答复期满后十五个工作日内向监督管理部门投诉。</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10.3质疑、投诉应当采用书面形式，质疑书、投诉书实行实名制，均应明确阐述招标文件、招标过程或中标结果中使自己合法权益受到损害的实质性内容，并提供必要的证明材料。</w:t>
      </w:r>
    </w:p>
    <w:p>
      <w:pPr>
        <w:pStyle w:val="4"/>
        <w:rPr>
          <w:color w:val="auto"/>
          <w:highlight w:val="none"/>
        </w:rPr>
      </w:pPr>
      <w:r>
        <w:rPr>
          <w:rFonts w:hint="eastAsia"/>
          <w:color w:val="auto"/>
          <w:highlight w:val="none"/>
        </w:rPr>
        <w:t>二、招标文件</w:t>
      </w:r>
    </w:p>
    <w:p>
      <w:pPr>
        <w:pStyle w:val="5"/>
        <w:rPr>
          <w:color w:val="auto"/>
          <w:highlight w:val="none"/>
        </w:rPr>
      </w:pPr>
      <w:r>
        <w:rPr>
          <w:rFonts w:hint="eastAsia"/>
          <w:color w:val="auto"/>
          <w:highlight w:val="none"/>
        </w:rPr>
        <w:t>11. 招标文件的构成</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（1）招标公告；</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（2）投标人须知；</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（3）项目采购需求（“项目采购需求”中标注★号项的要求为实质性要求）；</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（4）评标办法；</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（5）采购合同（合同主要条款及格式）；</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（6）投标文件格式。</w:t>
      </w:r>
    </w:p>
    <w:p>
      <w:pPr>
        <w:pStyle w:val="5"/>
        <w:rPr>
          <w:color w:val="auto"/>
          <w:highlight w:val="none"/>
        </w:rPr>
      </w:pPr>
      <w:r>
        <w:rPr>
          <w:rFonts w:hint="eastAsia"/>
          <w:color w:val="auto"/>
          <w:highlight w:val="none"/>
        </w:rPr>
        <w:t>12. 招标文件的澄清与修改</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12.1 投标人应认真阅读招标文件，发现其中有误或有不合理要求的，投标人必须在购买招标文件之日起7个工作日内以书面形式要求采购代理机构澄清。</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12.2 采购代理机构可以对已发出的招标文件进行必要澄清、修改。澄清或者修改的内容可能影响投标文件编制的，代理机构应当在投标截止时间至少十五日前在本招标项目招标公告发布的同一媒体上发布更正公告；不足十五日的，采购代理机构应当顺延投标文件的截止时间。</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12.3 供应商购买招标文件后应实时关注相关网站了解澄清、修改等与项目有关的内容，如因供应商未及时登录相关网站了解澄清、修改等与项目有关的内容，从而导致投标无效的，由供应商自行承担责任。</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12.4 必要的澄清、修改的内容为招标文件的组成部分。当澄清、修改通知就同一内容的表述不一致时，以最后发出的书面文件为准。</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12.5 招标文件的澄清、修改都应该通过采购代理机构以法定形式发布，采购人非通过本机构，不得擅自澄清、修改招标文件。</w:t>
      </w:r>
    </w:p>
    <w:p>
      <w:pPr>
        <w:pStyle w:val="4"/>
        <w:rPr>
          <w:color w:val="auto"/>
          <w:highlight w:val="none"/>
        </w:rPr>
      </w:pPr>
      <w:r>
        <w:rPr>
          <w:rFonts w:hint="eastAsia"/>
          <w:color w:val="auto"/>
          <w:highlight w:val="none"/>
        </w:rPr>
        <w:t>三、投标文件的编制</w:t>
      </w:r>
    </w:p>
    <w:p>
      <w:pPr>
        <w:pStyle w:val="5"/>
        <w:rPr>
          <w:color w:val="auto"/>
          <w:highlight w:val="none"/>
        </w:rPr>
      </w:pPr>
      <w:r>
        <w:rPr>
          <w:rFonts w:hint="eastAsia"/>
          <w:color w:val="auto"/>
          <w:highlight w:val="none"/>
        </w:rPr>
        <w:t>13. 投标文件的组成及要求</w:t>
      </w:r>
    </w:p>
    <w:p>
      <w:pPr>
        <w:tabs>
          <w:tab w:val="left" w:pos="2190"/>
        </w:tabs>
        <w:spacing w:line="400" w:lineRule="exact"/>
        <w:ind w:firstLine="435"/>
        <w:rPr>
          <w:rFonts w:ascii="宋体" w:hAnsi="宋体"/>
          <w:color w:val="auto"/>
          <w:szCs w:val="21"/>
          <w:highlight w:val="none"/>
        </w:rPr>
      </w:pPr>
      <w:r>
        <w:rPr>
          <w:rFonts w:hint="eastAsia" w:ascii="宋体" w:hAnsi="宋体"/>
          <w:b/>
          <w:color w:val="auto"/>
          <w:szCs w:val="21"/>
          <w:highlight w:val="none"/>
        </w:rPr>
        <w:t>13.1投标文件的组成【格式见第六章“投标文件格式”】</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（1）投标函（</w:t>
      </w:r>
      <w:r>
        <w:rPr>
          <w:rFonts w:hint="eastAsia" w:ascii="宋体" w:hAnsi="宋体"/>
          <w:b/>
          <w:color w:val="auto"/>
          <w:szCs w:val="21"/>
          <w:highlight w:val="none"/>
        </w:rPr>
        <w:t>必须提供</w:t>
      </w:r>
      <w:r>
        <w:rPr>
          <w:rFonts w:hint="eastAsia" w:ascii="宋体" w:hAnsi="宋体"/>
          <w:color w:val="auto"/>
          <w:szCs w:val="21"/>
          <w:highlight w:val="none"/>
        </w:rPr>
        <w:t>）；</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（2）投标人相应的法定代表人（负责人或自然人）身份证正反面复印件（</w:t>
      </w:r>
      <w:r>
        <w:rPr>
          <w:rFonts w:hint="eastAsia" w:ascii="宋体" w:hAnsi="宋体"/>
          <w:b/>
          <w:color w:val="auto"/>
          <w:szCs w:val="21"/>
          <w:highlight w:val="none"/>
        </w:rPr>
        <w:t>必须提供</w:t>
      </w:r>
      <w:r>
        <w:rPr>
          <w:rFonts w:hint="eastAsia" w:ascii="宋体" w:hAnsi="宋体"/>
          <w:color w:val="auto"/>
          <w:szCs w:val="21"/>
          <w:highlight w:val="none"/>
        </w:rPr>
        <w:t>）；</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（3）投标人的授权委托书原件、委托代理人身份证正反面复印件</w:t>
      </w:r>
      <w:r>
        <w:rPr>
          <w:rFonts w:hint="eastAsia" w:ascii="宋体" w:hAnsi="宋体"/>
          <w:b/>
          <w:color w:val="auto"/>
          <w:szCs w:val="21"/>
          <w:highlight w:val="none"/>
        </w:rPr>
        <w:t xml:space="preserve"> [委托代理时（或自然人投标时）必须提供]</w:t>
      </w:r>
      <w:r>
        <w:rPr>
          <w:rFonts w:hint="eastAsia" w:ascii="宋体" w:hAnsi="宋体"/>
          <w:color w:val="auto"/>
          <w:szCs w:val="21"/>
          <w:highlight w:val="none"/>
        </w:rPr>
        <w:t>；</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（4）投标人</w:t>
      </w:r>
      <w:r>
        <w:rPr>
          <w:rFonts w:hint="eastAsia" w:ascii="宋体" w:hAnsi="宋体" w:cs="宋体"/>
          <w:color w:val="auto"/>
          <w:szCs w:val="21"/>
          <w:highlight w:val="none"/>
        </w:rPr>
        <w:t>在“信用中国”网站(www.creditchina.gov.cn)、中国政府采购网(www.ccgp.gov.cn)等渠道查询的信用记录和</w:t>
      </w:r>
      <w:r>
        <w:rPr>
          <w:rFonts w:hint="eastAsia" w:ascii="宋体" w:hAnsi="宋体"/>
          <w:color w:val="auto"/>
          <w:szCs w:val="21"/>
          <w:highlight w:val="none"/>
        </w:rPr>
        <w:t>参加政府采购活动前3年内在经营活动中没有重大违法记录的书面声明</w:t>
      </w:r>
      <w:r>
        <w:rPr>
          <w:rFonts w:hint="eastAsia" w:ascii="宋体" w:hAnsi="宋体"/>
          <w:b/>
          <w:color w:val="auto"/>
          <w:szCs w:val="21"/>
          <w:highlight w:val="none"/>
        </w:rPr>
        <w:t>（必须提供）</w:t>
      </w:r>
      <w:r>
        <w:rPr>
          <w:rFonts w:hint="eastAsia" w:ascii="宋体" w:hAnsi="宋体"/>
          <w:color w:val="auto"/>
          <w:szCs w:val="21"/>
          <w:highlight w:val="none"/>
        </w:rPr>
        <w:t>；</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（5）投标人的法人或者其他组织营业执照等证明文件</w:t>
      </w:r>
      <w:r>
        <w:rPr>
          <w:rFonts w:hint="eastAsia" w:ascii="宋体" w:hAnsi="宋体"/>
          <w:b/>
          <w:color w:val="auto"/>
          <w:szCs w:val="21"/>
          <w:highlight w:val="none"/>
        </w:rPr>
        <w:t>（必须提供，自然人除外）</w:t>
      </w:r>
      <w:r>
        <w:rPr>
          <w:rFonts w:hint="eastAsia" w:ascii="宋体" w:hAnsi="宋体"/>
          <w:color w:val="auto"/>
          <w:szCs w:val="21"/>
          <w:highlight w:val="none"/>
        </w:rPr>
        <w:t>；</w:t>
      </w:r>
    </w:p>
    <w:p>
      <w:pPr>
        <w:tabs>
          <w:tab w:val="left" w:pos="1305"/>
        </w:tabs>
        <w:spacing w:line="360" w:lineRule="auto"/>
        <w:ind w:firstLine="426" w:firstLineChars="200"/>
        <w:rPr>
          <w:rFonts w:ascii="宋体" w:hAnsi="宋体"/>
          <w:b/>
          <w:color w:val="auto"/>
          <w:szCs w:val="21"/>
          <w:highlight w:val="none"/>
        </w:rPr>
      </w:pPr>
      <w:r>
        <w:rPr>
          <w:rFonts w:hint="eastAsia" w:ascii="宋体" w:hAnsi="宋体"/>
          <w:b/>
          <w:color w:val="auto"/>
          <w:szCs w:val="21"/>
          <w:highlight w:val="none"/>
        </w:rPr>
        <w:t>注：①法人包括企业法人、机关法人、事业单位法人和社会团体法人；其他组织主要包括合伙企业、非企业专业服务机构、个体工商户、农村承包经营户。②如供应商为企业（包括合伙企业），应提供工商部门注册的有效“企业法人营业执照”或“营业执照；供应商为事业单位，应提供有效的“事业单位法人证书”；供应商为非企业专业服务机构的，应提供执业许可证等证明文件；供应商为个体工商户，应提供有效的“个体工商户营业执照”。</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（6）投标人有效的组织机构代码证复印件</w:t>
      </w:r>
      <w:r>
        <w:rPr>
          <w:rFonts w:hint="eastAsia" w:ascii="宋体" w:hAnsi="宋体"/>
          <w:b/>
          <w:color w:val="auto"/>
          <w:szCs w:val="21"/>
          <w:highlight w:val="none"/>
        </w:rPr>
        <w:t>（必须提供，已经取得“三证合一”的或为自然人的除外）</w:t>
      </w:r>
      <w:r>
        <w:rPr>
          <w:rFonts w:hint="eastAsia" w:ascii="宋体" w:hAnsi="宋体"/>
          <w:color w:val="auto"/>
          <w:szCs w:val="21"/>
          <w:highlight w:val="none"/>
        </w:rPr>
        <w:t>；</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（7）投标人的税务登记证复印件</w:t>
      </w:r>
      <w:r>
        <w:rPr>
          <w:rFonts w:hint="eastAsia" w:ascii="宋体" w:hAnsi="宋体"/>
          <w:b/>
          <w:color w:val="auto"/>
          <w:szCs w:val="21"/>
          <w:highlight w:val="none"/>
        </w:rPr>
        <w:t>（投标人为从事生产经营的纳税人必须提供，已经取得“三证合一”的或为自然人的除外）</w:t>
      </w:r>
      <w:r>
        <w:rPr>
          <w:rFonts w:hint="eastAsia" w:ascii="宋体" w:hAnsi="宋体"/>
          <w:color w:val="auto"/>
          <w:szCs w:val="21"/>
          <w:highlight w:val="none"/>
        </w:rPr>
        <w:t>；</w:t>
      </w:r>
    </w:p>
    <w:p>
      <w:pPr>
        <w:spacing w:line="360" w:lineRule="auto"/>
        <w:ind w:firstLine="426" w:firstLineChars="200"/>
        <w:rPr>
          <w:b/>
          <w:color w:val="auto"/>
          <w:highlight w:val="none"/>
        </w:rPr>
      </w:pPr>
      <w:r>
        <w:rPr>
          <w:rFonts w:hint="eastAsia"/>
          <w:color w:val="auto"/>
          <w:highlight w:val="none"/>
        </w:rPr>
        <w:t>（8）投标人符合投标人资格要求的资质证书复印件</w:t>
      </w:r>
      <w:r>
        <w:rPr>
          <w:rFonts w:hint="eastAsia"/>
          <w:b/>
          <w:color w:val="auto"/>
          <w:highlight w:val="none"/>
        </w:rPr>
        <w:t>（必须提供）；</w:t>
      </w:r>
    </w:p>
    <w:p>
      <w:pPr>
        <w:pStyle w:val="9"/>
        <w:spacing w:line="360" w:lineRule="auto"/>
        <w:ind w:firstLine="426" w:firstLineChars="200"/>
        <w:rPr>
          <w:b/>
          <w:color w:val="auto"/>
          <w:highlight w:val="none"/>
        </w:rPr>
      </w:pPr>
      <w:r>
        <w:rPr>
          <w:rFonts w:hint="eastAsia"/>
          <w:color w:val="auto"/>
          <w:highlight w:val="none"/>
        </w:rPr>
        <w:t>（9）投标报价表</w:t>
      </w:r>
      <w:r>
        <w:rPr>
          <w:rFonts w:hint="eastAsia"/>
          <w:b/>
          <w:color w:val="auto"/>
          <w:highlight w:val="none"/>
        </w:rPr>
        <w:t>（必须提供）；</w:t>
      </w:r>
    </w:p>
    <w:p>
      <w:pPr>
        <w:pStyle w:val="9"/>
        <w:spacing w:line="360" w:lineRule="auto"/>
        <w:ind w:firstLine="426" w:firstLineChars="200"/>
        <w:rPr>
          <w:b/>
          <w:color w:val="auto"/>
          <w:highlight w:val="none"/>
        </w:rPr>
      </w:pPr>
      <w:r>
        <w:rPr>
          <w:rFonts w:hint="eastAsia" w:hAnsi="宋体"/>
          <w:color w:val="auto"/>
          <w:szCs w:val="21"/>
          <w:highlight w:val="none"/>
        </w:rPr>
        <w:t>（10）本项目技术方案</w:t>
      </w:r>
      <w:r>
        <w:rPr>
          <w:rFonts w:hint="eastAsia"/>
          <w:b/>
          <w:color w:val="auto"/>
          <w:highlight w:val="none"/>
        </w:rPr>
        <w:t>（必须提供）</w:t>
      </w:r>
      <w:r>
        <w:rPr>
          <w:rFonts w:hint="eastAsia" w:hAnsi="宋体"/>
          <w:color w:val="auto"/>
          <w:szCs w:val="21"/>
          <w:highlight w:val="none"/>
        </w:rPr>
        <w:t>；</w:t>
      </w:r>
    </w:p>
    <w:p>
      <w:pPr>
        <w:tabs>
          <w:tab w:val="left" w:pos="1305"/>
        </w:tabs>
        <w:spacing w:line="360" w:lineRule="auto"/>
        <w:ind w:firstLine="426" w:firstLineChars="200"/>
        <w:rPr>
          <w:rFonts w:ascii="宋体" w:hAnsi="宋体"/>
          <w:b/>
          <w:color w:val="auto"/>
          <w:szCs w:val="21"/>
          <w:highlight w:val="none"/>
        </w:rPr>
      </w:pPr>
      <w:r>
        <w:rPr>
          <w:rFonts w:hint="eastAsia" w:ascii="宋体" w:hAnsi="宋体"/>
          <w:color w:val="auto"/>
          <w:szCs w:val="21"/>
          <w:highlight w:val="none"/>
        </w:rPr>
        <w:t>（11）投标人项目质量保证措施及服务承诺</w:t>
      </w:r>
      <w:r>
        <w:rPr>
          <w:rFonts w:hint="eastAsia"/>
          <w:b/>
          <w:color w:val="auto"/>
          <w:highlight w:val="none"/>
        </w:rPr>
        <w:t>（必须提供）；</w:t>
      </w:r>
    </w:p>
    <w:p>
      <w:pPr>
        <w:tabs>
          <w:tab w:val="left" w:pos="1305"/>
        </w:tabs>
        <w:spacing w:line="360" w:lineRule="auto"/>
        <w:ind w:firstLine="426" w:firstLineChars="200"/>
        <w:jc w:val="left"/>
        <w:rPr>
          <w:rFonts w:ascii="宋体" w:hAnsi="宋体"/>
          <w:color w:val="auto"/>
          <w:szCs w:val="21"/>
          <w:highlight w:val="none"/>
        </w:rPr>
      </w:pPr>
      <w:r>
        <w:rPr>
          <w:rFonts w:hint="eastAsia" w:ascii="宋体" w:hAnsi="宋体"/>
          <w:color w:val="auto"/>
          <w:szCs w:val="21"/>
          <w:highlight w:val="none"/>
        </w:rPr>
        <w:t>（12）投标人完成同类项目业绩的相关证明材料</w:t>
      </w:r>
      <w:r>
        <w:rPr>
          <w:rFonts w:hint="eastAsia" w:ascii="宋体" w:hAnsi="宋体"/>
          <w:b/>
          <w:color w:val="auto"/>
          <w:szCs w:val="21"/>
          <w:highlight w:val="none"/>
        </w:rPr>
        <w:t>（如有，请提供）</w:t>
      </w:r>
      <w:r>
        <w:rPr>
          <w:rFonts w:hint="eastAsia" w:ascii="宋体" w:hAnsi="宋体"/>
          <w:color w:val="auto"/>
          <w:szCs w:val="21"/>
          <w:highlight w:val="none"/>
        </w:rPr>
        <w:t>；</w:t>
      </w:r>
    </w:p>
    <w:p>
      <w:pPr>
        <w:tabs>
          <w:tab w:val="left" w:pos="1305"/>
        </w:tabs>
        <w:spacing w:line="360" w:lineRule="auto"/>
        <w:ind w:firstLine="426" w:firstLineChars="200"/>
        <w:jc w:val="left"/>
        <w:rPr>
          <w:rFonts w:ascii="宋体" w:hAnsi="宋体"/>
          <w:color w:val="auto"/>
          <w:szCs w:val="21"/>
          <w:highlight w:val="none"/>
        </w:rPr>
      </w:pPr>
      <w:r>
        <w:rPr>
          <w:rFonts w:hint="eastAsia" w:ascii="宋体" w:hAnsi="宋体"/>
          <w:color w:val="auto"/>
          <w:szCs w:val="21"/>
          <w:highlight w:val="none"/>
        </w:rPr>
        <w:t>（13）投标人相关获奖证书、认证证书等</w:t>
      </w:r>
      <w:r>
        <w:rPr>
          <w:rFonts w:hint="eastAsia" w:ascii="宋体" w:hAnsi="宋体"/>
          <w:b/>
          <w:color w:val="auto"/>
          <w:szCs w:val="21"/>
          <w:highlight w:val="none"/>
        </w:rPr>
        <w:t>（如有，请提供）；</w:t>
      </w:r>
    </w:p>
    <w:p>
      <w:pPr>
        <w:tabs>
          <w:tab w:val="left" w:pos="1305"/>
        </w:tabs>
        <w:spacing w:line="360" w:lineRule="auto"/>
        <w:ind w:firstLine="426" w:firstLineChars="200"/>
        <w:jc w:val="left"/>
        <w:rPr>
          <w:rFonts w:ascii="宋体" w:hAnsi="宋体"/>
          <w:color w:val="auto"/>
          <w:szCs w:val="21"/>
          <w:highlight w:val="none"/>
        </w:rPr>
      </w:pPr>
      <w:r>
        <w:rPr>
          <w:rFonts w:hint="eastAsia" w:ascii="宋体" w:hAnsi="宋体"/>
          <w:color w:val="auto"/>
          <w:szCs w:val="21"/>
          <w:highlight w:val="none"/>
        </w:rPr>
        <w:t>（14）投标人可结合本项目的评标办法视自身情况自行提交相关证明材料。</w:t>
      </w:r>
    </w:p>
    <w:p>
      <w:pPr>
        <w:tabs>
          <w:tab w:val="left" w:pos="1305"/>
        </w:tabs>
        <w:spacing w:line="360" w:lineRule="auto"/>
        <w:ind w:firstLine="426" w:firstLineChars="200"/>
        <w:rPr>
          <w:rFonts w:ascii="宋体" w:hAnsi="宋体"/>
          <w:b/>
          <w:color w:val="auto"/>
          <w:szCs w:val="21"/>
          <w:highlight w:val="none"/>
        </w:rPr>
      </w:pPr>
      <w:r>
        <w:rPr>
          <w:rFonts w:hint="eastAsia" w:ascii="宋体" w:hAnsi="宋体"/>
          <w:b/>
          <w:color w:val="auto"/>
          <w:szCs w:val="21"/>
          <w:highlight w:val="none"/>
        </w:rPr>
        <w:t>投标人提供的相关材料应真实有效，属于“必须提供”的文件应加盖投标人公章（扫描公章无效，自然人除外），否则投标无效。</w:t>
      </w:r>
    </w:p>
    <w:p>
      <w:pPr>
        <w:tabs>
          <w:tab w:val="left" w:pos="1305"/>
        </w:tabs>
        <w:spacing w:line="360" w:lineRule="auto"/>
        <w:ind w:firstLine="426" w:firstLineChars="200"/>
        <w:rPr>
          <w:rFonts w:ascii="宋体" w:hAnsi="宋体"/>
          <w:bCs/>
          <w:color w:val="auto"/>
          <w:szCs w:val="21"/>
          <w:highlight w:val="none"/>
        </w:rPr>
      </w:pPr>
      <w:r>
        <w:rPr>
          <w:rFonts w:hint="eastAsia" w:hAnsi="宋体"/>
          <w:color w:val="auto"/>
          <w:szCs w:val="21"/>
          <w:highlight w:val="none"/>
        </w:rPr>
        <w:t>13.2投标人应按招标文件第六章“投标文件格式”编制投标文件。</w:t>
      </w:r>
    </w:p>
    <w:p>
      <w:pPr>
        <w:pStyle w:val="5"/>
        <w:rPr>
          <w:color w:val="auto"/>
          <w:highlight w:val="none"/>
        </w:rPr>
      </w:pPr>
      <w:r>
        <w:rPr>
          <w:rFonts w:hint="eastAsia"/>
          <w:color w:val="auto"/>
          <w:highlight w:val="none"/>
        </w:rPr>
        <w:t>14. 投标文件的语言及计量</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14.1投标文件以及投标人与招标采购单位就有关投标事宜的所有来往函电，均应以中文汉语书写。投标人提交的支持文件和印刷的文献可以使用别的语言，但其相应内容必须附有中文翻译文本，在解释投标文件时以中文翻译文本为主。</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14.2投标计量单位，招标文件已有明确规定的，使用招标文件规定的计量单位；招标文件没有规定的，应采用中华人民共和国法定计量单位（货币单位：人民币元），否则视同未响应。</w:t>
      </w:r>
    </w:p>
    <w:p>
      <w:pPr>
        <w:pStyle w:val="5"/>
        <w:rPr>
          <w:color w:val="auto"/>
          <w:highlight w:val="none"/>
        </w:rPr>
      </w:pPr>
      <w:r>
        <w:rPr>
          <w:rFonts w:hint="eastAsia"/>
          <w:color w:val="auto"/>
          <w:highlight w:val="none"/>
        </w:rPr>
        <w:t>15. 投标报价</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15.1投标报价应按招标文件中第六章“投标文件格式”填写，投标报价超过采购预算费率的，投标文件按无效处理。</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15.2投标人必须就“项目采购需求”中全部采购内容作完整唯一报价，否则，其投标将被拒绝。投标文件只允许有一个报价。</w:t>
      </w:r>
    </w:p>
    <w:p>
      <w:pPr>
        <w:spacing w:line="360" w:lineRule="auto"/>
        <w:ind w:firstLine="426" w:firstLineChars="200"/>
        <w:rPr>
          <w:rFonts w:ascii="宋体"/>
          <w:color w:val="auto"/>
          <w:szCs w:val="21"/>
          <w:highlight w:val="none"/>
        </w:rPr>
      </w:pPr>
      <w:r>
        <w:rPr>
          <w:rFonts w:hint="eastAsia" w:ascii="宋体"/>
          <w:color w:val="auto"/>
          <w:szCs w:val="21"/>
          <w:highlight w:val="none"/>
        </w:rPr>
        <w:t>15.3投标报价应包括本次采购范围内服务价款、技术及服务培训、服务保障、验收检验及税金等所有费用总和；投标供应商综合考虑在报价中。</w:t>
      </w:r>
    </w:p>
    <w:p>
      <w:pPr>
        <w:pStyle w:val="5"/>
        <w:rPr>
          <w:color w:val="auto"/>
          <w:highlight w:val="none"/>
        </w:rPr>
      </w:pPr>
      <w:r>
        <w:rPr>
          <w:rFonts w:hint="eastAsia"/>
          <w:color w:val="auto"/>
          <w:highlight w:val="none"/>
        </w:rPr>
        <w:t>16. 投标有效期</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16.1投标有效期：投标截止时间之日起9</w:t>
      </w:r>
      <w:r>
        <w:rPr>
          <w:rFonts w:ascii="宋体" w:hAnsi="宋体"/>
          <w:color w:val="auto"/>
          <w:szCs w:val="21"/>
          <w:highlight w:val="none"/>
        </w:rPr>
        <w:t>0</w:t>
      </w:r>
      <w:r>
        <w:rPr>
          <w:rFonts w:hint="eastAsia" w:ascii="宋体" w:hAnsi="宋体"/>
          <w:color w:val="auto"/>
          <w:szCs w:val="21"/>
          <w:highlight w:val="none"/>
        </w:rPr>
        <w:t>天。</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16.2出现特殊情况，需要延长投标有效期的，采购代理机构以书面形式通知投标人延长投标有效期。投标人同意延长的，但不能修改投标文件。投标人拒绝延长的，其投标无效。</w:t>
      </w:r>
    </w:p>
    <w:p>
      <w:pPr>
        <w:pStyle w:val="5"/>
        <w:rPr>
          <w:color w:val="auto"/>
          <w:highlight w:val="none"/>
        </w:rPr>
      </w:pPr>
      <w:r>
        <w:rPr>
          <w:rFonts w:hint="eastAsia"/>
          <w:color w:val="auto"/>
          <w:highlight w:val="none"/>
        </w:rPr>
        <w:t>17. 投标保证金：</w:t>
      </w:r>
    </w:p>
    <w:p>
      <w:pPr>
        <w:tabs>
          <w:tab w:val="left" w:pos="1305"/>
        </w:tabs>
        <w:spacing w:line="400" w:lineRule="exact"/>
        <w:ind w:firstLine="426" w:firstLineChars="200"/>
        <w:rPr>
          <w:rFonts w:ascii="宋体" w:hAnsi="宋体"/>
          <w:color w:val="auto"/>
          <w:szCs w:val="21"/>
          <w:highlight w:val="none"/>
        </w:rPr>
      </w:pPr>
      <w:r>
        <w:rPr>
          <w:rFonts w:hint="eastAsia" w:ascii="宋体" w:hAnsi="宋体"/>
          <w:color w:val="auto"/>
          <w:szCs w:val="21"/>
          <w:highlight w:val="none"/>
        </w:rPr>
        <w:t>无要求。</w:t>
      </w:r>
    </w:p>
    <w:p>
      <w:pPr>
        <w:pStyle w:val="5"/>
        <w:rPr>
          <w:color w:val="auto"/>
          <w:highlight w:val="none"/>
        </w:rPr>
      </w:pPr>
      <w:r>
        <w:rPr>
          <w:rFonts w:hint="eastAsia"/>
          <w:color w:val="auto"/>
          <w:highlight w:val="none"/>
        </w:rPr>
        <w:t>18. 投标文件的份数、装订、</w:t>
      </w:r>
      <w:r>
        <w:rPr>
          <w:rFonts w:hint="eastAsia" w:cs="Courier New"/>
          <w:color w:val="auto"/>
          <w:highlight w:val="none"/>
        </w:rPr>
        <w:t>签署和包装、</w:t>
      </w:r>
      <w:r>
        <w:rPr>
          <w:rFonts w:hint="eastAsia"/>
          <w:color w:val="auto"/>
          <w:highlight w:val="none"/>
        </w:rPr>
        <w:t>密封</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18.1</w:t>
      </w:r>
      <w:r>
        <w:rPr>
          <w:rFonts w:hint="eastAsia" w:ascii="宋体" w:hAnsi="宋体"/>
          <w:b/>
          <w:color w:val="auto"/>
          <w:szCs w:val="21"/>
          <w:highlight w:val="none"/>
        </w:rPr>
        <w:t>投标文件份数：</w:t>
      </w:r>
      <w:r>
        <w:rPr>
          <w:rFonts w:hint="eastAsia" w:ascii="宋体" w:hAnsi="宋体"/>
          <w:color w:val="auto"/>
          <w:szCs w:val="21"/>
          <w:highlight w:val="none"/>
        </w:rPr>
        <w:t>正本壹册，副本肆册，须完整提交。</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18.2</w:t>
      </w:r>
      <w:r>
        <w:rPr>
          <w:rFonts w:hint="eastAsia" w:ascii="宋体" w:hAnsi="宋体"/>
          <w:b/>
          <w:color w:val="auto"/>
          <w:szCs w:val="21"/>
          <w:highlight w:val="none"/>
        </w:rPr>
        <w:t>投标文件装订：</w:t>
      </w:r>
      <w:r>
        <w:rPr>
          <w:rFonts w:hint="eastAsia" w:ascii="宋体" w:hAnsi="宋体"/>
          <w:color w:val="auto"/>
          <w:szCs w:val="21"/>
          <w:highlight w:val="none"/>
        </w:rPr>
        <w:t>投标人应按投标人须知第13.1款“投标文件的组成”规定的顺序自编目录及页码。投标文件的“正本”、“副本”应当单独装订成册并标注页码，装订应牢固，不易拆散和换页（A4标准纸装订）。封面应注明“正本”、“副本”字样，封面上写明项目名称、项目编号、采购代理机构、投标单位名称。</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18.3投标文件的正本需打印或用不褪色的墨水填写，投标文件正本除本招标文件中规定的可提供复印件外均须提供原件。</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18.4投标文件须由投标人在规定位置盖投标人公章</w:t>
      </w:r>
      <w:r>
        <w:rPr>
          <w:rFonts w:hint="eastAsia" w:ascii="宋体" w:hAnsi="宋体"/>
          <w:bCs/>
          <w:color w:val="auto"/>
          <w:szCs w:val="21"/>
          <w:highlight w:val="none"/>
        </w:rPr>
        <w:t>（扫描公章无效，自然人除外）</w:t>
      </w:r>
      <w:r>
        <w:rPr>
          <w:rFonts w:hint="eastAsia" w:ascii="宋体" w:hAnsi="宋体"/>
          <w:color w:val="auto"/>
          <w:szCs w:val="21"/>
          <w:highlight w:val="none"/>
        </w:rPr>
        <w:t>并由法定代表人、负责人、自然人或相应的授权委托代理人签字，投标人应写全称，投标文件副本可以是加盖公章的正本的复印件，当正本与副本不一致时，以正本为准。</w:t>
      </w:r>
    </w:p>
    <w:p>
      <w:pPr>
        <w:snapToGrid w:val="0"/>
        <w:spacing w:line="360" w:lineRule="auto"/>
        <w:ind w:firstLine="426" w:firstLineChars="200"/>
        <w:jc w:val="left"/>
        <w:rPr>
          <w:rFonts w:ascii="宋体" w:hAnsi="宋体"/>
          <w:color w:val="auto"/>
          <w:szCs w:val="21"/>
          <w:highlight w:val="none"/>
        </w:rPr>
      </w:pPr>
      <w:r>
        <w:rPr>
          <w:rFonts w:hint="eastAsia" w:ascii="宋体" w:hAnsi="宋体"/>
          <w:color w:val="auto"/>
          <w:szCs w:val="21"/>
          <w:highlight w:val="none"/>
        </w:rPr>
        <w:t>18.5投标文件不得涂改，若有修改，须在修改处加盖投标人公章（自然人除外）及法定代表人、负责人、自然人或相应的授权委托代理人签字。投标文件因字迹潦草或表达不清所引起的后果由投标人负责。</w:t>
      </w:r>
    </w:p>
    <w:p>
      <w:pPr>
        <w:tabs>
          <w:tab w:val="left" w:pos="1305"/>
        </w:tabs>
        <w:spacing w:line="360" w:lineRule="auto"/>
        <w:ind w:firstLine="426" w:firstLineChars="200"/>
        <w:rPr>
          <w:rFonts w:ascii="宋体" w:hAnsi="宋体"/>
          <w:b/>
          <w:color w:val="auto"/>
          <w:szCs w:val="21"/>
          <w:highlight w:val="none"/>
        </w:rPr>
      </w:pPr>
      <w:r>
        <w:rPr>
          <w:rFonts w:hint="eastAsia" w:ascii="宋体" w:hAnsi="宋体"/>
          <w:color w:val="auto"/>
          <w:szCs w:val="21"/>
          <w:highlight w:val="none"/>
        </w:rPr>
        <w:t>18.6</w:t>
      </w:r>
      <w:r>
        <w:rPr>
          <w:rFonts w:hint="eastAsia" w:ascii="宋体" w:hAnsi="宋体"/>
          <w:b/>
          <w:color w:val="auto"/>
          <w:szCs w:val="21"/>
          <w:highlight w:val="none"/>
        </w:rPr>
        <w:t>投标人公章：</w:t>
      </w:r>
      <w:r>
        <w:rPr>
          <w:rFonts w:ascii="宋体" w:hAnsi="宋体" w:cs="宋体"/>
          <w:color w:val="auto"/>
          <w:szCs w:val="21"/>
          <w:highlight w:val="none"/>
        </w:rPr>
        <w:t>本招标文件中描述投标</w:t>
      </w:r>
      <w:r>
        <w:rPr>
          <w:rFonts w:hint="eastAsia" w:ascii="宋体" w:hAnsi="宋体" w:cs="宋体"/>
          <w:color w:val="auto"/>
          <w:szCs w:val="21"/>
          <w:highlight w:val="none"/>
        </w:rPr>
        <w:t>人</w:t>
      </w:r>
      <w:r>
        <w:rPr>
          <w:rFonts w:ascii="宋体" w:hAnsi="宋体" w:cs="宋体"/>
          <w:color w:val="auto"/>
          <w:szCs w:val="21"/>
          <w:highlight w:val="none"/>
        </w:rPr>
        <w:t>的“公章”是指根据我国对公章的管理规定，用投标</w:t>
      </w:r>
      <w:r>
        <w:rPr>
          <w:rFonts w:hint="eastAsia" w:ascii="宋体" w:hAnsi="宋体" w:cs="宋体"/>
          <w:color w:val="auto"/>
          <w:szCs w:val="21"/>
          <w:highlight w:val="none"/>
        </w:rPr>
        <w:t>人</w:t>
      </w:r>
      <w:r>
        <w:rPr>
          <w:rFonts w:ascii="宋体" w:hAnsi="宋体" w:cs="宋体"/>
          <w:color w:val="auto"/>
          <w:szCs w:val="21"/>
          <w:highlight w:val="none"/>
        </w:rPr>
        <w:t>法定主体行为名称制作的印章，除本招标文件有特殊规定外，投标</w:t>
      </w:r>
      <w:r>
        <w:rPr>
          <w:rFonts w:hint="eastAsia" w:ascii="宋体" w:hAnsi="宋体" w:cs="宋体"/>
          <w:color w:val="auto"/>
          <w:szCs w:val="21"/>
          <w:highlight w:val="none"/>
        </w:rPr>
        <w:t>人</w:t>
      </w:r>
      <w:r>
        <w:rPr>
          <w:rFonts w:ascii="宋体" w:hAnsi="宋体" w:cs="宋体"/>
          <w:color w:val="auto"/>
          <w:szCs w:val="21"/>
          <w:highlight w:val="none"/>
        </w:rPr>
        <w:t>的财务章、部门章、分公司章、工会章、合同章、投标专用章、业务专用章等其它形式印章均不能代替公章。</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18.7</w:t>
      </w:r>
      <w:r>
        <w:rPr>
          <w:rFonts w:hint="eastAsia" w:ascii="宋体" w:hAnsi="宋体"/>
          <w:b/>
          <w:color w:val="auto"/>
          <w:szCs w:val="21"/>
          <w:highlight w:val="none"/>
        </w:rPr>
        <w:t>投标文件包装、密封：</w:t>
      </w:r>
      <w:r>
        <w:rPr>
          <w:rFonts w:hint="eastAsia" w:ascii="宋体" w:hAnsi="宋体"/>
          <w:color w:val="auto"/>
          <w:szCs w:val="21"/>
          <w:highlight w:val="none"/>
        </w:rPr>
        <w:t>将投标文件“正本”、“副本”及投标文件电子版U盘一并装入并密封在一个投标文件袋（盒、箱）中，并在密封处密封签章【公章、密封章、法定代表人、负责人、自然人或相应的授权委托代理人签字均可】。</w:t>
      </w:r>
    </w:p>
    <w:p>
      <w:pPr>
        <w:spacing w:line="360" w:lineRule="auto"/>
        <w:ind w:firstLine="426" w:firstLineChars="200"/>
        <w:rPr>
          <w:rFonts w:ascii="宋体" w:hAnsi="宋体"/>
          <w:b/>
          <w:color w:val="auto"/>
          <w:szCs w:val="21"/>
          <w:highlight w:val="none"/>
        </w:rPr>
      </w:pPr>
      <w:r>
        <w:rPr>
          <w:rFonts w:hint="eastAsia" w:ascii="宋体" w:hAnsi="宋体"/>
          <w:color w:val="auto"/>
          <w:szCs w:val="21"/>
          <w:highlight w:val="none"/>
        </w:rPr>
        <w:t>18.8</w:t>
      </w:r>
      <w:r>
        <w:rPr>
          <w:rFonts w:hint="eastAsia" w:ascii="宋体" w:hAnsi="宋体"/>
          <w:b/>
          <w:color w:val="auto"/>
          <w:szCs w:val="21"/>
          <w:highlight w:val="none"/>
        </w:rPr>
        <w:t>投标文件袋标记：</w:t>
      </w:r>
    </w:p>
    <w:p>
      <w:pPr>
        <w:spacing w:line="360" w:lineRule="auto"/>
        <w:ind w:firstLine="625" w:firstLineChars="294"/>
        <w:rPr>
          <w:rFonts w:ascii="宋体" w:hAnsi="宋体"/>
          <w:color w:val="auto"/>
          <w:szCs w:val="21"/>
          <w:highlight w:val="none"/>
        </w:rPr>
      </w:pPr>
      <w:r>
        <w:rPr>
          <w:rFonts w:hint="eastAsia" w:ascii="宋体" w:hAnsi="宋体"/>
          <w:color w:val="auto"/>
          <w:szCs w:val="21"/>
          <w:highlight w:val="none"/>
        </w:rPr>
        <w:t xml:space="preserve">项目名称： </w:t>
      </w:r>
    </w:p>
    <w:p>
      <w:pPr>
        <w:spacing w:line="360" w:lineRule="auto"/>
        <w:ind w:firstLine="639" w:firstLineChars="300"/>
        <w:rPr>
          <w:rFonts w:ascii="宋体" w:hAnsi="宋体"/>
          <w:color w:val="auto"/>
          <w:szCs w:val="21"/>
          <w:highlight w:val="none"/>
        </w:rPr>
      </w:pPr>
      <w:r>
        <w:rPr>
          <w:rFonts w:hint="eastAsia" w:ascii="宋体" w:hAnsi="宋体"/>
          <w:color w:val="auto"/>
          <w:szCs w:val="21"/>
          <w:highlight w:val="none"/>
        </w:rPr>
        <w:t xml:space="preserve">项目编号： </w:t>
      </w:r>
    </w:p>
    <w:p>
      <w:pPr>
        <w:spacing w:line="360" w:lineRule="auto"/>
        <w:ind w:firstLine="639" w:firstLineChars="300"/>
        <w:rPr>
          <w:rFonts w:ascii="宋体" w:hAnsi="宋体"/>
          <w:color w:val="auto"/>
          <w:szCs w:val="21"/>
          <w:highlight w:val="none"/>
        </w:rPr>
      </w:pPr>
      <w:r>
        <w:rPr>
          <w:rFonts w:hint="eastAsia" w:ascii="宋体" w:hAnsi="宋体"/>
          <w:color w:val="auto"/>
          <w:szCs w:val="21"/>
          <w:highlight w:val="none"/>
        </w:rPr>
        <w:t xml:space="preserve">采购代理机构： </w:t>
      </w:r>
    </w:p>
    <w:p>
      <w:pPr>
        <w:spacing w:line="360" w:lineRule="auto"/>
        <w:ind w:firstLine="639" w:firstLineChars="300"/>
        <w:rPr>
          <w:rFonts w:ascii="宋体" w:hAnsi="宋体"/>
          <w:color w:val="auto"/>
          <w:szCs w:val="21"/>
          <w:highlight w:val="none"/>
        </w:rPr>
      </w:pPr>
      <w:r>
        <w:rPr>
          <w:rFonts w:hint="eastAsia" w:ascii="宋体" w:hAnsi="宋体"/>
          <w:color w:val="auto"/>
          <w:szCs w:val="21"/>
          <w:highlight w:val="none"/>
        </w:rPr>
        <w:t>投标单位名称：</w:t>
      </w:r>
    </w:p>
    <w:p>
      <w:pPr>
        <w:tabs>
          <w:tab w:val="left" w:pos="1305"/>
        </w:tabs>
        <w:spacing w:line="360" w:lineRule="auto"/>
        <w:ind w:firstLine="639" w:firstLineChars="300"/>
        <w:rPr>
          <w:rFonts w:ascii="宋体" w:hAnsi="宋体"/>
          <w:color w:val="auto"/>
          <w:szCs w:val="21"/>
          <w:highlight w:val="none"/>
        </w:rPr>
      </w:pPr>
      <w:r>
        <w:rPr>
          <w:rFonts w:hint="eastAsia" w:ascii="宋体" w:hAnsi="宋体"/>
          <w:color w:val="auto"/>
          <w:szCs w:val="21"/>
          <w:highlight w:val="none"/>
        </w:rPr>
        <w:t>在     年   月   日   时   分前不得开启（此处投标人填写投标截止时间）</w:t>
      </w:r>
    </w:p>
    <w:p>
      <w:pPr>
        <w:pStyle w:val="5"/>
        <w:rPr>
          <w:color w:val="auto"/>
          <w:highlight w:val="none"/>
        </w:rPr>
      </w:pPr>
      <w:r>
        <w:rPr>
          <w:rFonts w:hint="eastAsia"/>
          <w:color w:val="auto"/>
          <w:highlight w:val="none"/>
        </w:rPr>
        <w:t>19. 投标文件的修改和撤回</w:t>
      </w:r>
    </w:p>
    <w:p>
      <w:pPr>
        <w:spacing w:line="400" w:lineRule="exact"/>
        <w:ind w:firstLine="435"/>
        <w:rPr>
          <w:rFonts w:ascii="宋体" w:hAnsi="宋体"/>
          <w:color w:val="auto"/>
          <w:szCs w:val="21"/>
          <w:highlight w:val="none"/>
        </w:rPr>
      </w:pPr>
      <w:r>
        <w:rPr>
          <w:rFonts w:hint="eastAsia" w:ascii="宋体" w:hAnsi="宋体"/>
          <w:color w:val="auto"/>
          <w:szCs w:val="21"/>
          <w:highlight w:val="none"/>
        </w:rPr>
        <w:t>投标人在投标截止时间之前，可以对已递交的投标文件进行修改或撤回，并书面通知采购代理机构。</w:t>
      </w:r>
    </w:p>
    <w:p>
      <w:pPr>
        <w:pStyle w:val="5"/>
        <w:rPr>
          <w:color w:val="auto"/>
          <w:highlight w:val="none"/>
        </w:rPr>
      </w:pPr>
      <w:r>
        <w:rPr>
          <w:rFonts w:hint="eastAsia"/>
          <w:color w:val="auto"/>
          <w:highlight w:val="none"/>
        </w:rPr>
        <w:t>20. 投标文件的递交</w:t>
      </w:r>
    </w:p>
    <w:p>
      <w:pPr>
        <w:spacing w:line="360" w:lineRule="auto"/>
        <w:ind w:firstLine="426" w:firstLineChars="200"/>
        <w:rPr>
          <w:rFonts w:ascii="宋体" w:hAnsi="宋体"/>
          <w:b/>
          <w:color w:val="auto"/>
          <w:szCs w:val="21"/>
          <w:highlight w:val="none"/>
        </w:rPr>
      </w:pPr>
      <w:r>
        <w:rPr>
          <w:rFonts w:hint="eastAsia" w:ascii="宋体" w:hAnsi="宋体"/>
          <w:color w:val="auto"/>
          <w:szCs w:val="21"/>
          <w:highlight w:val="none"/>
        </w:rPr>
        <w:t>20.1</w:t>
      </w:r>
      <w:r>
        <w:rPr>
          <w:rFonts w:hint="eastAsia" w:ascii="宋体" w:hAnsi="宋体"/>
          <w:b/>
          <w:color w:val="auto"/>
          <w:szCs w:val="21"/>
          <w:highlight w:val="none"/>
        </w:rPr>
        <w:t>投标文件递交起止时间及投标截止时间</w:t>
      </w:r>
    </w:p>
    <w:p>
      <w:pPr>
        <w:spacing w:line="360" w:lineRule="auto"/>
        <w:ind w:firstLine="426" w:firstLineChars="200"/>
        <w:rPr>
          <w:rFonts w:ascii="宋体" w:hAnsi="宋体"/>
          <w:color w:val="auto"/>
          <w:szCs w:val="21"/>
          <w:highlight w:val="none"/>
        </w:rPr>
      </w:pPr>
      <w:r>
        <w:rPr>
          <w:rFonts w:hint="eastAsia" w:ascii="宋体" w:hAnsi="宋体"/>
          <w:b/>
          <w:color w:val="auto"/>
          <w:szCs w:val="21"/>
          <w:highlight w:val="none"/>
        </w:rPr>
        <w:t>投标文件递交起止时间：</w:t>
      </w:r>
      <w:r>
        <w:rPr>
          <w:rFonts w:hint="eastAsia" w:ascii="宋体" w:hAnsi="宋体"/>
          <w:color w:val="auto"/>
          <w:szCs w:val="21"/>
          <w:highlight w:val="none"/>
        </w:rPr>
        <w:t>2021年</w:t>
      </w:r>
      <w:r>
        <w:rPr>
          <w:rFonts w:hint="eastAsia" w:ascii="宋体" w:hAnsi="宋体"/>
          <w:color w:val="auto"/>
          <w:szCs w:val="21"/>
          <w:highlight w:val="none"/>
          <w:lang w:val="en-US" w:eastAsia="zh-CN"/>
        </w:rPr>
        <w:t>3</w:t>
      </w:r>
      <w:r>
        <w:rPr>
          <w:rFonts w:hint="eastAsia" w:ascii="宋体" w:hAnsi="宋体"/>
          <w:color w:val="auto"/>
          <w:szCs w:val="21"/>
          <w:highlight w:val="none"/>
        </w:rPr>
        <w:t>月</w:t>
      </w:r>
      <w:r>
        <w:rPr>
          <w:rFonts w:hint="eastAsia" w:ascii="宋体" w:hAnsi="宋体"/>
          <w:color w:val="auto"/>
          <w:szCs w:val="21"/>
          <w:highlight w:val="none"/>
          <w:lang w:val="en-US" w:eastAsia="zh-CN"/>
        </w:rPr>
        <w:t>22</w:t>
      </w:r>
      <w:r>
        <w:rPr>
          <w:rFonts w:hint="eastAsia" w:ascii="宋体" w:hAnsi="宋体"/>
          <w:color w:val="auto"/>
          <w:szCs w:val="21"/>
          <w:highlight w:val="none"/>
        </w:rPr>
        <w:t>日9时00分至9时30分；</w:t>
      </w:r>
    </w:p>
    <w:p>
      <w:pPr>
        <w:spacing w:line="360" w:lineRule="auto"/>
        <w:ind w:firstLine="426" w:firstLineChars="200"/>
        <w:rPr>
          <w:rFonts w:ascii="宋体" w:hAnsi="宋体"/>
          <w:color w:val="auto"/>
          <w:szCs w:val="21"/>
          <w:highlight w:val="none"/>
        </w:rPr>
      </w:pPr>
      <w:r>
        <w:rPr>
          <w:rFonts w:hint="eastAsia" w:ascii="宋体" w:hAnsi="宋体"/>
          <w:b/>
          <w:color w:val="auto"/>
          <w:szCs w:val="21"/>
          <w:highlight w:val="none"/>
        </w:rPr>
        <w:t>投标截止时间：</w:t>
      </w:r>
      <w:r>
        <w:rPr>
          <w:rFonts w:hint="eastAsia" w:ascii="宋体" w:hAnsi="宋体"/>
          <w:color w:val="auto"/>
          <w:szCs w:val="21"/>
          <w:highlight w:val="none"/>
        </w:rPr>
        <w:t>2021年</w:t>
      </w:r>
      <w:r>
        <w:rPr>
          <w:rFonts w:hint="eastAsia" w:ascii="宋体" w:hAnsi="宋体"/>
          <w:color w:val="auto"/>
          <w:szCs w:val="21"/>
          <w:highlight w:val="none"/>
          <w:lang w:val="en-US" w:eastAsia="zh-CN"/>
        </w:rPr>
        <w:t>3</w:t>
      </w:r>
      <w:r>
        <w:rPr>
          <w:rFonts w:hint="eastAsia" w:ascii="宋体" w:hAnsi="宋体"/>
          <w:color w:val="auto"/>
          <w:szCs w:val="21"/>
          <w:highlight w:val="none"/>
        </w:rPr>
        <w:t>月</w:t>
      </w:r>
      <w:r>
        <w:rPr>
          <w:rFonts w:hint="eastAsia" w:ascii="宋体" w:hAnsi="宋体"/>
          <w:color w:val="auto"/>
          <w:szCs w:val="21"/>
          <w:highlight w:val="none"/>
          <w:lang w:val="en-US" w:eastAsia="zh-CN"/>
        </w:rPr>
        <w:t>22</w:t>
      </w:r>
      <w:r>
        <w:rPr>
          <w:rFonts w:hint="eastAsia" w:ascii="宋体" w:hAnsi="宋体"/>
          <w:color w:val="auto"/>
          <w:szCs w:val="21"/>
          <w:highlight w:val="none"/>
        </w:rPr>
        <w:t>日9时30分。投标人应在投标截止时间前递交投标文件。</w:t>
      </w:r>
    </w:p>
    <w:p>
      <w:pPr>
        <w:spacing w:line="360" w:lineRule="auto"/>
        <w:ind w:firstLine="435"/>
        <w:rPr>
          <w:rFonts w:ascii="宋体" w:hAnsi="宋体"/>
          <w:color w:val="auto"/>
          <w:szCs w:val="21"/>
          <w:highlight w:val="none"/>
          <w:u w:val="single"/>
        </w:rPr>
      </w:pPr>
      <w:r>
        <w:rPr>
          <w:rFonts w:hint="eastAsia" w:ascii="宋体" w:hAnsi="宋体"/>
          <w:color w:val="auto"/>
          <w:szCs w:val="21"/>
          <w:highlight w:val="none"/>
        </w:rPr>
        <w:t>20.2投标文件递交地点：</w:t>
      </w:r>
      <w:r>
        <w:rPr>
          <w:rFonts w:hint="eastAsia" w:ascii="宋体" w:hAnsi="宋体" w:cs="宋体"/>
          <w:color w:val="auto"/>
          <w:szCs w:val="21"/>
          <w:highlight w:val="none"/>
        </w:rPr>
        <w:t>桂林市公共资源交易中心</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号开标室（广西桂林市临桂区西城中路69号创业大厦西辅楼4楼北区）。</w:t>
      </w:r>
    </w:p>
    <w:p>
      <w:pPr>
        <w:spacing w:line="360" w:lineRule="auto"/>
        <w:ind w:firstLine="435"/>
        <w:rPr>
          <w:rFonts w:ascii="宋体" w:hAnsi="宋体"/>
          <w:color w:val="auto"/>
          <w:szCs w:val="21"/>
          <w:highlight w:val="none"/>
        </w:rPr>
      </w:pPr>
      <w:r>
        <w:rPr>
          <w:rFonts w:hint="eastAsia" w:ascii="宋体" w:hAnsi="宋体"/>
          <w:color w:val="auto"/>
          <w:szCs w:val="21"/>
          <w:highlight w:val="none"/>
        </w:rPr>
        <w:t>20.3除招标文件另有规定外，投标人所递交的投标文件不予退还。</w:t>
      </w:r>
    </w:p>
    <w:p>
      <w:pPr>
        <w:spacing w:line="360" w:lineRule="auto"/>
        <w:ind w:firstLine="435"/>
        <w:rPr>
          <w:rFonts w:ascii="宋体" w:hAnsi="宋体"/>
          <w:color w:val="auto"/>
          <w:szCs w:val="21"/>
          <w:highlight w:val="none"/>
        </w:rPr>
      </w:pPr>
      <w:r>
        <w:rPr>
          <w:rFonts w:hint="eastAsia" w:ascii="宋体" w:hAnsi="宋体"/>
          <w:color w:val="auto"/>
          <w:szCs w:val="21"/>
          <w:highlight w:val="none"/>
        </w:rPr>
        <w:t>20.4逾期送达的或者未送达指定地点的投标文件，采购代理机构将予以拒收。</w:t>
      </w:r>
    </w:p>
    <w:p>
      <w:pPr>
        <w:pStyle w:val="4"/>
        <w:rPr>
          <w:color w:val="auto"/>
          <w:highlight w:val="none"/>
        </w:rPr>
      </w:pPr>
      <w:r>
        <w:rPr>
          <w:rFonts w:hint="eastAsia"/>
          <w:color w:val="auto"/>
          <w:highlight w:val="none"/>
        </w:rPr>
        <w:t>四、开标</w:t>
      </w:r>
    </w:p>
    <w:p>
      <w:pPr>
        <w:pStyle w:val="5"/>
        <w:rPr>
          <w:color w:val="auto"/>
          <w:highlight w:val="none"/>
        </w:rPr>
      </w:pPr>
      <w:r>
        <w:rPr>
          <w:rFonts w:hint="eastAsia"/>
          <w:color w:val="auto"/>
          <w:highlight w:val="none"/>
        </w:rPr>
        <w:t>21. 开标时间及地点</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21.1开标时间及地点：</w:t>
      </w:r>
    </w:p>
    <w:p>
      <w:pPr>
        <w:spacing w:line="360" w:lineRule="auto"/>
        <w:ind w:firstLine="426" w:firstLineChars="200"/>
        <w:rPr>
          <w:rFonts w:ascii="宋体" w:hAnsi="宋体"/>
          <w:color w:val="auto"/>
          <w:szCs w:val="21"/>
          <w:highlight w:val="none"/>
          <w:u w:val="single"/>
        </w:rPr>
      </w:pPr>
      <w:r>
        <w:rPr>
          <w:rFonts w:hint="eastAsia" w:ascii="宋体" w:hAnsi="宋体"/>
          <w:color w:val="auto"/>
          <w:szCs w:val="21"/>
          <w:highlight w:val="none"/>
        </w:rPr>
        <w:t>开标时间：同投标截止时间；</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开标地点：</w:t>
      </w:r>
      <w:r>
        <w:rPr>
          <w:rFonts w:hint="eastAsia" w:ascii="宋体" w:hAnsi="宋体" w:cs="宋体"/>
          <w:color w:val="auto"/>
          <w:szCs w:val="21"/>
          <w:highlight w:val="none"/>
        </w:rPr>
        <w:t>桂林市公共资源交易中心</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号开标室（广西桂林市临桂区西城中路69号创业大厦西辅楼4楼北区）</w:t>
      </w:r>
      <w:r>
        <w:rPr>
          <w:rFonts w:hint="eastAsia" w:ascii="宋体" w:hAnsi="宋体"/>
          <w:color w:val="auto"/>
          <w:szCs w:val="21"/>
          <w:highlight w:val="none"/>
        </w:rPr>
        <w:t>；</w:t>
      </w:r>
    </w:p>
    <w:p>
      <w:pPr>
        <w:spacing w:line="360" w:lineRule="auto"/>
        <w:ind w:firstLine="426" w:firstLineChars="200"/>
        <w:rPr>
          <w:rFonts w:ascii="宋体" w:hAnsi="宋体"/>
          <w:b/>
          <w:color w:val="auto"/>
          <w:szCs w:val="21"/>
          <w:highlight w:val="none"/>
        </w:rPr>
      </w:pPr>
      <w:r>
        <w:rPr>
          <w:rFonts w:hint="eastAsia" w:ascii="宋体" w:hAnsi="宋体"/>
          <w:color w:val="auto"/>
          <w:szCs w:val="21"/>
          <w:highlight w:val="none"/>
        </w:rPr>
        <w:t>采购代理机构按以上规定的开标时间和地点进行公开开标，投标人准时参加开标会并签字，未按时参加开标会或未按时签字的，视同认可开标结果。</w:t>
      </w:r>
      <w:r>
        <w:rPr>
          <w:rFonts w:hint="eastAsia" w:ascii="宋体" w:hAnsi="宋体"/>
          <w:b/>
          <w:color w:val="auto"/>
          <w:szCs w:val="21"/>
          <w:highlight w:val="none"/>
        </w:rPr>
        <w:t xml:space="preserve"> </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21.2投标人少于3家的，不得开标，招标采购单位应当重新组织采购。</w:t>
      </w:r>
    </w:p>
    <w:p>
      <w:pPr>
        <w:pStyle w:val="5"/>
        <w:rPr>
          <w:color w:val="auto"/>
          <w:highlight w:val="none"/>
        </w:rPr>
      </w:pPr>
      <w:r>
        <w:rPr>
          <w:rFonts w:hint="eastAsia"/>
          <w:color w:val="auto"/>
          <w:highlight w:val="none"/>
        </w:rPr>
        <w:t>22. 开标程序</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（1）采购代理机构组织投标供应商签到，接收投标文件。主持人宣布开标程序、开标纪律；</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（2）在投标文件递交截止时间由主持人宣布开标会正式开始，介绍项目情况和到会人员，宣布开标纪律；</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（3）投标人代表共同检查投标文件的密封情况并签字确认；</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（4）按各投标人提交投标文件时间的先后顺序打开投标文件外包装；</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（5）唱标；宣读投标截止时间前接收的所有投标文件的投标人名称，投标函的投标报价、折扣，只有在开标时唱出的报价、折扣等实质性内容，评标时才予以采纳；</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（6）采购代理机构做开标记录，投标人代表对开标记录进行当场校核及勘误并签字确认；同时由记录人、监督人（如有）当场签字确认；</w:t>
      </w:r>
    </w:p>
    <w:p>
      <w:pPr>
        <w:pStyle w:val="9"/>
        <w:snapToGrid w:val="0"/>
        <w:spacing w:line="360" w:lineRule="auto"/>
        <w:ind w:left="698" w:leftChars="228" w:hanging="213" w:hangingChars="100"/>
        <w:rPr>
          <w:rFonts w:hAnsi="宋体"/>
          <w:b/>
          <w:color w:val="auto"/>
          <w:szCs w:val="21"/>
          <w:highlight w:val="none"/>
        </w:rPr>
      </w:pPr>
      <w:r>
        <w:rPr>
          <w:rFonts w:hint="eastAsia" w:hAnsi="宋体"/>
          <w:color w:val="auto"/>
          <w:szCs w:val="21"/>
          <w:highlight w:val="none"/>
        </w:rPr>
        <w:t>（7</w:t>
      </w:r>
      <w:r>
        <w:rPr>
          <w:rFonts w:hAnsi="宋体"/>
          <w:color w:val="auto"/>
          <w:szCs w:val="21"/>
          <w:highlight w:val="none"/>
        </w:rPr>
        <w:t>）</w:t>
      </w:r>
      <w:r>
        <w:rPr>
          <w:rFonts w:hint="eastAsia" w:hAnsi="宋体"/>
          <w:color w:val="auto"/>
          <w:szCs w:val="21"/>
          <w:highlight w:val="none"/>
        </w:rPr>
        <w:t>勘误修正原则</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投标文件如果出现计算或表达上的错误，修正错误的原则如下：投标文件中投标函内容与投标文件</w:t>
      </w:r>
    </w:p>
    <w:p>
      <w:pPr>
        <w:tabs>
          <w:tab w:val="left" w:pos="1305"/>
        </w:tabs>
        <w:spacing w:line="360" w:lineRule="auto"/>
        <w:ind w:firstLine="200"/>
        <w:rPr>
          <w:rFonts w:ascii="宋体" w:hAnsi="宋体"/>
          <w:color w:val="auto"/>
          <w:szCs w:val="21"/>
          <w:highlight w:val="none"/>
        </w:rPr>
      </w:pPr>
      <w:r>
        <w:rPr>
          <w:rFonts w:hint="eastAsia" w:ascii="宋体" w:hAnsi="宋体"/>
          <w:color w:val="auto"/>
          <w:szCs w:val="21"/>
          <w:highlight w:val="none"/>
        </w:rPr>
        <w:t>中投标报价表内容不一致的，以投标函为准；投标文件的大写金额和小写金额不一致的，以大写金额为准；总价金额与按单价汇总金额不一致的，以单价金额计算结果为准；单价金额小数点明显错位的，应以总价为准，并修改单价；对不同文字文本投标文件的解释发生异议的，以中文文本为准。</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按上述勘误修正原则及方法调整或修正投标文件的投标报价，投标人签字确认。</w:t>
      </w:r>
    </w:p>
    <w:p>
      <w:pPr>
        <w:tabs>
          <w:tab w:val="left" w:pos="1305"/>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（8）宣布开标结束，采购人、投标供应商和有关方面代表退场，由工作人员将投标文件等材料移交评标室。</w:t>
      </w:r>
    </w:p>
    <w:p>
      <w:pPr>
        <w:pStyle w:val="4"/>
        <w:rPr>
          <w:color w:val="auto"/>
          <w:highlight w:val="none"/>
        </w:rPr>
      </w:pPr>
      <w:r>
        <w:rPr>
          <w:rFonts w:hint="eastAsia"/>
          <w:color w:val="auto"/>
          <w:highlight w:val="none"/>
        </w:rPr>
        <w:t>五、评标</w:t>
      </w:r>
      <w:r>
        <w:rPr>
          <w:color w:val="auto"/>
          <w:highlight w:val="none"/>
        </w:rPr>
        <w:tab/>
      </w:r>
    </w:p>
    <w:p>
      <w:pPr>
        <w:pStyle w:val="5"/>
        <w:rPr>
          <w:color w:val="auto"/>
          <w:highlight w:val="none"/>
        </w:rPr>
      </w:pPr>
      <w:r>
        <w:rPr>
          <w:rFonts w:hint="eastAsia"/>
          <w:color w:val="auto"/>
          <w:highlight w:val="none"/>
        </w:rPr>
        <w:t>23. 评标委员会组成</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评标工作由采购代理机构负责组织，具体评标工作由依法组建的评标委员会负责，评标委员会由采购人代表和有关技术、经济等方面的专家组成，其中采购人代表</w:t>
      </w:r>
      <w:r>
        <w:rPr>
          <w:rFonts w:hint="eastAsia" w:ascii="宋体" w:hAnsi="宋体"/>
          <w:color w:val="auto"/>
          <w:szCs w:val="21"/>
          <w:highlight w:val="none"/>
          <w:u w:val="single"/>
        </w:rPr>
        <w:t>1</w:t>
      </w:r>
      <w:r>
        <w:rPr>
          <w:rFonts w:hint="eastAsia" w:ascii="宋体" w:hAnsi="宋体"/>
          <w:color w:val="auto"/>
          <w:szCs w:val="21"/>
          <w:highlight w:val="none"/>
        </w:rPr>
        <w:t>人，技术、经济等专家</w:t>
      </w:r>
      <w:r>
        <w:rPr>
          <w:rFonts w:hint="eastAsia" w:ascii="宋体" w:hAnsi="宋体"/>
          <w:color w:val="auto"/>
          <w:szCs w:val="21"/>
          <w:highlight w:val="none"/>
          <w:u w:val="single"/>
        </w:rPr>
        <w:t>4</w:t>
      </w:r>
      <w:r>
        <w:rPr>
          <w:rFonts w:hint="eastAsia" w:ascii="宋体" w:hAnsi="宋体"/>
          <w:color w:val="auto"/>
          <w:szCs w:val="21"/>
          <w:highlight w:val="none"/>
        </w:rPr>
        <w:t xml:space="preserve">人。 </w:t>
      </w:r>
    </w:p>
    <w:p>
      <w:pPr>
        <w:pStyle w:val="5"/>
        <w:rPr>
          <w:color w:val="auto"/>
          <w:highlight w:val="none"/>
        </w:rPr>
      </w:pPr>
      <w:r>
        <w:rPr>
          <w:rFonts w:hint="eastAsia"/>
          <w:color w:val="auto"/>
          <w:highlight w:val="none"/>
        </w:rPr>
        <w:t>24. 评标原则和评标办法</w:t>
      </w:r>
    </w:p>
    <w:p>
      <w:pPr>
        <w:tabs>
          <w:tab w:val="left" w:pos="1140"/>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24.1评标委员会必须坚持公平、公正、科学和择优的原则。</w:t>
      </w:r>
    </w:p>
    <w:p>
      <w:pPr>
        <w:tabs>
          <w:tab w:val="left" w:pos="1140"/>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24.2评标办法：综合评分法，具体评标内容及标准详见第四章：评标办法。</w:t>
      </w:r>
    </w:p>
    <w:p>
      <w:pPr>
        <w:pStyle w:val="9"/>
        <w:spacing w:line="360" w:lineRule="auto"/>
        <w:ind w:firstLine="426" w:firstLineChars="200"/>
        <w:rPr>
          <w:rFonts w:hAnsi="宋体"/>
          <w:color w:val="auto"/>
          <w:szCs w:val="21"/>
          <w:highlight w:val="none"/>
        </w:rPr>
      </w:pPr>
      <w:r>
        <w:rPr>
          <w:rFonts w:hint="eastAsia" w:hAnsi="宋体"/>
          <w:color w:val="auto"/>
          <w:szCs w:val="21"/>
          <w:highlight w:val="none"/>
        </w:rPr>
        <w:t>24.3评标委员会应按招标文件进行评标，不得擅自更改评标办法。</w:t>
      </w:r>
    </w:p>
    <w:p>
      <w:pPr>
        <w:pStyle w:val="9"/>
        <w:spacing w:line="360" w:lineRule="auto"/>
        <w:ind w:firstLine="426" w:firstLineChars="200"/>
        <w:rPr>
          <w:rFonts w:hAnsi="宋体"/>
          <w:color w:val="auto"/>
          <w:szCs w:val="21"/>
          <w:highlight w:val="none"/>
        </w:rPr>
      </w:pPr>
      <w:r>
        <w:rPr>
          <w:rFonts w:hint="eastAsia" w:hAnsi="宋体"/>
          <w:color w:val="auto"/>
          <w:szCs w:val="21"/>
          <w:highlight w:val="none"/>
        </w:rPr>
        <w:t>24.4在评标过程中，评标委员会任何人不得对某个投标人发表任何倾向性意见，不得向其他专家评委明示或者暗示自己的评审意见。</w:t>
      </w:r>
    </w:p>
    <w:p>
      <w:pPr>
        <w:tabs>
          <w:tab w:val="left" w:pos="1140"/>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24.5 评标委员会成员对需要共同认定的事项存在争议的，按照少数服从多数的原则作出结论。持不同意见的评标委员会成员应当在评标报告上签署不同意见并说明理由，否则视为同意。</w:t>
      </w:r>
    </w:p>
    <w:p>
      <w:pPr>
        <w:pStyle w:val="5"/>
        <w:rPr>
          <w:color w:val="auto"/>
          <w:highlight w:val="none"/>
        </w:rPr>
      </w:pPr>
      <w:r>
        <w:rPr>
          <w:rFonts w:hint="eastAsia"/>
          <w:color w:val="auto"/>
          <w:highlight w:val="none"/>
        </w:rPr>
        <w:t>25. 评标程序及要求</w:t>
      </w:r>
    </w:p>
    <w:p>
      <w:pPr>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25.1组织评标专家、采购人代表及相关监督人员签到，核实身份并发放标识证件，告知回避要求，统一保管通讯工具或相关电子设备，宣布评标工作纪律和程序，推选评标委员会组长。</w:t>
      </w:r>
    </w:p>
    <w:p>
      <w:pPr>
        <w:tabs>
          <w:tab w:val="left" w:pos="1140"/>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25.2评标委员会依据法律法规和招标文件的规定，对投标文件中的资格证明、投标保证金等进行资格性审查，以确定投标供应商是否具备投标资格。</w:t>
      </w:r>
    </w:p>
    <w:p>
      <w:pPr>
        <w:tabs>
          <w:tab w:val="left" w:pos="1140"/>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25.3评标委员会依据招标文件的规定，从投标文件的有效性、完整性和对招标文件的响应程度进行符合性审查，以确定是否对招标文件的实质性要求作出响应。</w:t>
      </w:r>
    </w:p>
    <w:p>
      <w:pPr>
        <w:tabs>
          <w:tab w:val="left" w:pos="1140"/>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25.4评标委员会按招标文件中规定的评标办法，对资格性审查和符合性审查合格的投标文件进行商务和技术评估，综合比较与评价。</w:t>
      </w:r>
    </w:p>
    <w:p>
      <w:pPr>
        <w:pStyle w:val="9"/>
        <w:spacing w:line="360" w:lineRule="auto"/>
        <w:ind w:firstLine="416" w:firstLineChars="196"/>
        <w:rPr>
          <w:rFonts w:hAnsi="宋体"/>
          <w:color w:val="auto"/>
          <w:szCs w:val="21"/>
          <w:highlight w:val="none"/>
        </w:rPr>
      </w:pPr>
      <w:r>
        <w:rPr>
          <w:rFonts w:hint="eastAsia" w:hAnsi="宋体"/>
          <w:color w:val="auto"/>
          <w:szCs w:val="21"/>
          <w:highlight w:val="none"/>
        </w:rPr>
        <w:t>25.5采购代理机构对评标数据进行校对、核对，对畸高、畸低的重大差异评分提示评标委员会复核或书面说明理由。</w:t>
      </w:r>
    </w:p>
    <w:p>
      <w:pPr>
        <w:pStyle w:val="9"/>
        <w:spacing w:line="360" w:lineRule="auto"/>
        <w:ind w:firstLine="200"/>
        <w:rPr>
          <w:rFonts w:hAnsi="宋体"/>
          <w:b/>
          <w:bCs/>
          <w:color w:val="auto"/>
          <w:szCs w:val="21"/>
          <w:highlight w:val="none"/>
        </w:rPr>
      </w:pPr>
      <w:r>
        <w:rPr>
          <w:rFonts w:hint="eastAsia" w:hAnsi="宋体"/>
          <w:color w:val="auto"/>
          <w:szCs w:val="21"/>
          <w:highlight w:val="none"/>
        </w:rPr>
        <w:t>25.6采购代理机构发现评标委员会有明显的违规倾向或歧视现象，或不按评标办法进行，或其他不正常行为的，应当及时制止。如制止无效，应及时向监督管理部门报告。</w:t>
      </w:r>
    </w:p>
    <w:p>
      <w:pPr>
        <w:pStyle w:val="5"/>
        <w:rPr>
          <w:color w:val="auto"/>
          <w:highlight w:val="none"/>
        </w:rPr>
      </w:pPr>
      <w:r>
        <w:rPr>
          <w:rFonts w:hint="eastAsia"/>
          <w:color w:val="auto"/>
          <w:highlight w:val="none"/>
        </w:rPr>
        <w:t>26. 澄清问题的形式</w:t>
      </w:r>
    </w:p>
    <w:p>
      <w:pPr>
        <w:pStyle w:val="9"/>
        <w:spacing w:line="360" w:lineRule="auto"/>
        <w:ind w:firstLine="426" w:firstLineChars="200"/>
        <w:rPr>
          <w:rFonts w:hAnsi="宋体"/>
          <w:color w:val="auto"/>
          <w:szCs w:val="21"/>
          <w:highlight w:val="none"/>
        </w:rPr>
      </w:pPr>
      <w:r>
        <w:rPr>
          <w:rFonts w:hint="eastAsia" w:hAnsi="宋体"/>
          <w:color w:val="auto"/>
          <w:szCs w:val="21"/>
          <w:highlight w:val="none"/>
        </w:rPr>
        <w:t>对投标文件中含义不明确、同类问题表述不一致或者有明显文字和计算错误的内容，评标委员会可以书面形式要求投标人作出必要的澄清、说明或者纠正。投标人的澄清、说明或者纠正应当采用书面形式，由法定代表人、负责人、自然人或相应的委托代理人签字或盖章确认，并不得超出投标文件的范围或者改变投标文件实质性内容。</w:t>
      </w:r>
    </w:p>
    <w:p>
      <w:pPr>
        <w:pStyle w:val="5"/>
        <w:rPr>
          <w:color w:val="auto"/>
          <w:highlight w:val="none"/>
        </w:rPr>
      </w:pPr>
      <w:r>
        <w:rPr>
          <w:rFonts w:hint="eastAsia"/>
          <w:color w:val="auto"/>
          <w:highlight w:val="none"/>
        </w:rPr>
        <w:t>27. 推荐中标候选供应商原则</w:t>
      </w:r>
    </w:p>
    <w:p>
      <w:pPr>
        <w:pStyle w:val="9"/>
        <w:tabs>
          <w:tab w:val="left" w:pos="4214"/>
        </w:tabs>
        <w:spacing w:line="360" w:lineRule="auto"/>
        <w:ind w:firstLine="426" w:firstLineChars="200"/>
        <w:rPr>
          <w:rFonts w:hAnsi="宋体"/>
          <w:color w:val="auto"/>
          <w:szCs w:val="21"/>
          <w:highlight w:val="none"/>
        </w:rPr>
      </w:pPr>
      <w:r>
        <w:rPr>
          <w:rFonts w:hint="eastAsia" w:hAnsi="宋体"/>
          <w:color w:val="auto"/>
          <w:szCs w:val="21"/>
          <w:highlight w:val="none"/>
        </w:rPr>
        <w:t>（1）评标委员会根据综合得分由高到低排列次序，若得分相同时，以评标报价由低到高顺序排列；若得分相同且评标报价相同的，以投标报价由低到高顺序排列；若仍相同的，按技术参数分由高到低顺序排列并推荐中标候选供应商。</w:t>
      </w:r>
    </w:p>
    <w:p>
      <w:pPr>
        <w:pStyle w:val="9"/>
        <w:tabs>
          <w:tab w:val="left" w:pos="4214"/>
        </w:tabs>
        <w:spacing w:line="360" w:lineRule="auto"/>
        <w:ind w:firstLine="426" w:firstLineChars="200"/>
        <w:rPr>
          <w:rFonts w:hAnsi="宋体"/>
          <w:color w:val="auto"/>
          <w:szCs w:val="21"/>
          <w:highlight w:val="none"/>
        </w:rPr>
      </w:pPr>
      <w:r>
        <w:rPr>
          <w:rFonts w:hint="eastAsia" w:hAnsi="宋体"/>
          <w:color w:val="auto"/>
          <w:szCs w:val="21"/>
          <w:highlight w:val="none"/>
        </w:rPr>
        <w:t>（2）进入详评的投标人为五家以上(含五家)的，可推荐前三名为中标候选供应商，进入详评的投标人为四家以下(含四家)的，可推荐前两名为中标候选供应商。招标采购单位应当确定评标委员会推荐排名第一的中标候选供应商为中标供应商。</w:t>
      </w:r>
    </w:p>
    <w:p>
      <w:pPr>
        <w:pStyle w:val="9"/>
        <w:spacing w:line="360" w:lineRule="auto"/>
        <w:ind w:firstLine="453" w:firstLineChars="213"/>
        <w:rPr>
          <w:rFonts w:hAnsi="宋体"/>
          <w:color w:val="auto"/>
          <w:szCs w:val="21"/>
          <w:highlight w:val="none"/>
        </w:rPr>
      </w:pPr>
      <w:r>
        <w:rPr>
          <w:rFonts w:hint="eastAsia" w:hAnsi="宋体"/>
          <w:color w:val="auto"/>
          <w:szCs w:val="21"/>
          <w:highlight w:val="none"/>
        </w:rPr>
        <w:t>（3）排名第一的中标候选供应商放弃中标、因不可抗力提出不能履行合同，或者招标文件规定应当提交履约保证金而在规定的期限内未能提交的，招标采购单位可以确定排名第二的中标候选供应商为中标供应商。</w:t>
      </w:r>
    </w:p>
    <w:p>
      <w:pPr>
        <w:pStyle w:val="9"/>
        <w:spacing w:line="360" w:lineRule="auto"/>
        <w:ind w:firstLine="426" w:firstLineChars="200"/>
        <w:rPr>
          <w:rFonts w:hAnsi="宋体"/>
          <w:color w:val="auto"/>
          <w:szCs w:val="21"/>
          <w:highlight w:val="none"/>
        </w:rPr>
      </w:pPr>
      <w:r>
        <w:rPr>
          <w:rFonts w:hint="eastAsia" w:hAnsi="宋体"/>
          <w:color w:val="auto"/>
          <w:szCs w:val="21"/>
          <w:highlight w:val="none"/>
        </w:rPr>
        <w:t>（4</w:t>
      </w:r>
      <w:r>
        <w:rPr>
          <w:rFonts w:hAnsi="宋体"/>
          <w:color w:val="auto"/>
          <w:szCs w:val="21"/>
          <w:highlight w:val="none"/>
        </w:rPr>
        <w:t>）</w:t>
      </w:r>
      <w:r>
        <w:rPr>
          <w:rFonts w:hint="eastAsia" w:hAnsi="宋体"/>
          <w:color w:val="auto"/>
          <w:szCs w:val="21"/>
          <w:highlight w:val="none"/>
        </w:rPr>
        <w:t>排名第二的中标候选供应商因前款规定的同样原因不能签订合同的，招标采购单位可以确定排名第三的中标候选供应商为中标供应商。</w:t>
      </w:r>
    </w:p>
    <w:p>
      <w:pPr>
        <w:pStyle w:val="5"/>
        <w:rPr>
          <w:color w:val="auto"/>
          <w:highlight w:val="none"/>
        </w:rPr>
      </w:pPr>
      <w:r>
        <w:rPr>
          <w:rFonts w:hint="eastAsia"/>
          <w:color w:val="auto"/>
          <w:highlight w:val="none"/>
        </w:rPr>
        <w:t>28. 属于下列情况之一者，投标无效：</w:t>
      </w:r>
    </w:p>
    <w:p>
      <w:pPr>
        <w:pStyle w:val="9"/>
        <w:spacing w:line="360" w:lineRule="auto"/>
        <w:ind w:firstLine="426" w:firstLineChars="200"/>
        <w:rPr>
          <w:rFonts w:hAnsi="宋体"/>
          <w:color w:val="auto"/>
          <w:szCs w:val="21"/>
          <w:highlight w:val="none"/>
        </w:rPr>
      </w:pPr>
      <w:r>
        <w:rPr>
          <w:rFonts w:hAnsi="宋体"/>
          <w:color w:val="auto"/>
          <w:szCs w:val="21"/>
          <w:highlight w:val="none"/>
        </w:rPr>
        <w:t>（</w:t>
      </w:r>
      <w:r>
        <w:rPr>
          <w:rFonts w:hint="eastAsia" w:hAnsi="宋体"/>
          <w:color w:val="auto"/>
          <w:szCs w:val="21"/>
          <w:highlight w:val="none"/>
        </w:rPr>
        <w:t>1</w:t>
      </w:r>
      <w:r>
        <w:rPr>
          <w:rFonts w:hAnsi="宋体"/>
          <w:color w:val="auto"/>
          <w:szCs w:val="21"/>
          <w:highlight w:val="none"/>
        </w:rPr>
        <w:t>）未按照招标文件规定要求签字、盖章的；</w:t>
      </w:r>
    </w:p>
    <w:p>
      <w:pPr>
        <w:pStyle w:val="9"/>
        <w:spacing w:line="360" w:lineRule="auto"/>
        <w:ind w:firstLine="426" w:firstLineChars="200"/>
        <w:rPr>
          <w:rFonts w:hAnsi="宋体"/>
          <w:color w:val="auto"/>
          <w:szCs w:val="21"/>
          <w:highlight w:val="none"/>
        </w:rPr>
      </w:pPr>
      <w:r>
        <w:rPr>
          <w:rFonts w:hAnsi="宋体"/>
          <w:color w:val="auto"/>
          <w:szCs w:val="21"/>
          <w:highlight w:val="none"/>
        </w:rPr>
        <w:t>（</w:t>
      </w:r>
      <w:r>
        <w:rPr>
          <w:rFonts w:hint="eastAsia" w:hAnsi="宋体"/>
          <w:color w:val="auto"/>
          <w:szCs w:val="21"/>
          <w:highlight w:val="none"/>
        </w:rPr>
        <w:t>2</w:t>
      </w:r>
      <w:r>
        <w:rPr>
          <w:rFonts w:hAnsi="宋体"/>
          <w:color w:val="auto"/>
          <w:szCs w:val="21"/>
          <w:highlight w:val="none"/>
        </w:rPr>
        <w:t>）报价超过招标文件中规定的预算金额的；</w:t>
      </w:r>
    </w:p>
    <w:p>
      <w:pPr>
        <w:pStyle w:val="9"/>
        <w:spacing w:line="360" w:lineRule="auto"/>
        <w:ind w:firstLine="426" w:firstLineChars="200"/>
        <w:rPr>
          <w:rFonts w:hAnsi="宋体"/>
          <w:color w:val="auto"/>
          <w:szCs w:val="21"/>
          <w:highlight w:val="none"/>
        </w:rPr>
      </w:pPr>
      <w:r>
        <w:rPr>
          <w:rFonts w:hAnsi="宋体"/>
          <w:color w:val="auto"/>
          <w:szCs w:val="21"/>
          <w:highlight w:val="none"/>
        </w:rPr>
        <w:t>（</w:t>
      </w:r>
      <w:r>
        <w:rPr>
          <w:rFonts w:hint="eastAsia" w:hAnsi="宋体"/>
          <w:color w:val="auto"/>
          <w:szCs w:val="21"/>
          <w:highlight w:val="none"/>
        </w:rPr>
        <w:t>3</w:t>
      </w:r>
      <w:r>
        <w:rPr>
          <w:rFonts w:hAnsi="宋体"/>
          <w:color w:val="auto"/>
          <w:szCs w:val="21"/>
          <w:highlight w:val="none"/>
        </w:rPr>
        <w:t>）不具备招标文件中规定的资格要求的；</w:t>
      </w:r>
    </w:p>
    <w:p>
      <w:pPr>
        <w:pStyle w:val="9"/>
        <w:spacing w:line="360" w:lineRule="auto"/>
        <w:ind w:firstLine="426" w:firstLineChars="200"/>
        <w:rPr>
          <w:rFonts w:hAnsi="宋体"/>
          <w:color w:val="auto"/>
          <w:szCs w:val="21"/>
          <w:highlight w:val="none"/>
        </w:rPr>
      </w:pPr>
      <w:r>
        <w:rPr>
          <w:rFonts w:hAnsi="宋体"/>
          <w:color w:val="auto"/>
          <w:szCs w:val="21"/>
          <w:highlight w:val="none"/>
        </w:rPr>
        <w:t>（</w:t>
      </w:r>
      <w:r>
        <w:rPr>
          <w:rFonts w:hint="eastAsia" w:hAnsi="宋体"/>
          <w:color w:val="auto"/>
          <w:szCs w:val="21"/>
          <w:highlight w:val="none"/>
        </w:rPr>
        <w:t>4</w:t>
      </w:r>
      <w:r>
        <w:rPr>
          <w:rFonts w:hAnsi="宋体"/>
          <w:color w:val="auto"/>
          <w:szCs w:val="21"/>
          <w:highlight w:val="none"/>
        </w:rPr>
        <w:t>）投标文件含有采购人不能接受的附加条件的；</w:t>
      </w:r>
    </w:p>
    <w:p>
      <w:pPr>
        <w:pStyle w:val="9"/>
        <w:spacing w:line="360" w:lineRule="auto"/>
        <w:ind w:firstLine="426" w:firstLineChars="200"/>
        <w:rPr>
          <w:rFonts w:hAnsi="宋体"/>
          <w:color w:val="auto"/>
          <w:szCs w:val="21"/>
          <w:highlight w:val="none"/>
        </w:rPr>
      </w:pPr>
      <w:r>
        <w:rPr>
          <w:rFonts w:hAnsi="宋体"/>
          <w:color w:val="auto"/>
          <w:szCs w:val="21"/>
          <w:highlight w:val="none"/>
        </w:rPr>
        <w:t>（</w:t>
      </w:r>
      <w:r>
        <w:rPr>
          <w:rFonts w:hint="eastAsia" w:hAnsi="宋体"/>
          <w:color w:val="auto"/>
          <w:szCs w:val="21"/>
          <w:highlight w:val="none"/>
        </w:rPr>
        <w:t>5</w:t>
      </w:r>
      <w:r>
        <w:rPr>
          <w:rFonts w:hAnsi="宋体"/>
          <w:color w:val="auto"/>
          <w:szCs w:val="21"/>
          <w:highlight w:val="none"/>
        </w:rPr>
        <w:t>）投标文件未按招标文件的内容和要求编制，或提供虚假或无效材料的；</w:t>
      </w:r>
    </w:p>
    <w:p>
      <w:pPr>
        <w:pStyle w:val="9"/>
        <w:spacing w:line="360" w:lineRule="auto"/>
        <w:ind w:firstLine="426" w:firstLineChars="200"/>
        <w:rPr>
          <w:rFonts w:hAnsi="宋体"/>
          <w:color w:val="auto"/>
          <w:szCs w:val="21"/>
          <w:highlight w:val="none"/>
        </w:rPr>
      </w:pPr>
      <w:r>
        <w:rPr>
          <w:rFonts w:hAnsi="宋体"/>
          <w:color w:val="auto"/>
          <w:szCs w:val="21"/>
          <w:highlight w:val="none"/>
        </w:rPr>
        <w:t>（</w:t>
      </w:r>
      <w:r>
        <w:rPr>
          <w:rFonts w:hint="eastAsia" w:hAnsi="宋体"/>
          <w:color w:val="auto"/>
          <w:szCs w:val="21"/>
          <w:highlight w:val="none"/>
        </w:rPr>
        <w:t>6</w:t>
      </w:r>
      <w:r>
        <w:rPr>
          <w:rFonts w:hAnsi="宋体"/>
          <w:color w:val="auto"/>
          <w:szCs w:val="21"/>
          <w:highlight w:val="none"/>
        </w:rPr>
        <w:t>）投标人未就“采购需求”中的所有内容作完整唯一报价的；</w:t>
      </w:r>
    </w:p>
    <w:p>
      <w:pPr>
        <w:pStyle w:val="9"/>
        <w:spacing w:line="360" w:lineRule="auto"/>
        <w:ind w:firstLine="426" w:firstLineChars="200"/>
        <w:rPr>
          <w:rFonts w:hAnsi="宋体"/>
          <w:color w:val="auto"/>
          <w:szCs w:val="21"/>
          <w:highlight w:val="none"/>
        </w:rPr>
      </w:pPr>
      <w:r>
        <w:rPr>
          <w:rFonts w:hAnsi="宋体"/>
          <w:color w:val="auto"/>
          <w:szCs w:val="21"/>
          <w:highlight w:val="none"/>
        </w:rPr>
        <w:t>（</w:t>
      </w:r>
      <w:r>
        <w:rPr>
          <w:rFonts w:hint="eastAsia" w:hAnsi="宋体"/>
          <w:color w:val="auto"/>
          <w:szCs w:val="21"/>
          <w:highlight w:val="none"/>
        </w:rPr>
        <w:t>7</w:t>
      </w:r>
      <w:r>
        <w:rPr>
          <w:rFonts w:hAnsi="宋体"/>
          <w:color w:val="auto"/>
          <w:szCs w:val="21"/>
          <w:highlight w:val="none"/>
        </w:rPr>
        <w:t>）未完全响应招标文件实质性要求的；</w:t>
      </w:r>
    </w:p>
    <w:p>
      <w:pPr>
        <w:pStyle w:val="9"/>
        <w:spacing w:line="360" w:lineRule="auto"/>
        <w:ind w:firstLine="426" w:firstLineChars="200"/>
        <w:rPr>
          <w:rFonts w:hAnsi="宋体"/>
          <w:color w:val="auto"/>
          <w:szCs w:val="21"/>
          <w:highlight w:val="none"/>
        </w:rPr>
      </w:pPr>
      <w:r>
        <w:rPr>
          <w:rFonts w:hAnsi="宋体"/>
          <w:color w:val="auto"/>
          <w:szCs w:val="21"/>
          <w:highlight w:val="none"/>
        </w:rPr>
        <w:t>（</w:t>
      </w:r>
      <w:r>
        <w:rPr>
          <w:rFonts w:hint="eastAsia" w:hAnsi="宋体"/>
          <w:color w:val="auto"/>
          <w:szCs w:val="21"/>
          <w:highlight w:val="none"/>
        </w:rPr>
        <w:t>8</w:t>
      </w:r>
      <w:r>
        <w:rPr>
          <w:rFonts w:hAnsi="宋体"/>
          <w:color w:val="auto"/>
          <w:szCs w:val="21"/>
          <w:highlight w:val="none"/>
        </w:rPr>
        <w:t>）法律、法规和招标文件规定的其他无效情形。</w:t>
      </w:r>
    </w:p>
    <w:p>
      <w:pPr>
        <w:pStyle w:val="5"/>
        <w:rPr>
          <w:color w:val="auto"/>
          <w:highlight w:val="none"/>
        </w:rPr>
      </w:pPr>
      <w:r>
        <w:rPr>
          <w:rFonts w:hint="eastAsia"/>
          <w:color w:val="auto"/>
          <w:highlight w:val="none"/>
        </w:rPr>
        <w:t>29. 投标人有下列情形之一的，视为串通投标，投标文件将被视为无效：</w:t>
      </w:r>
    </w:p>
    <w:p>
      <w:pPr>
        <w:pStyle w:val="9"/>
        <w:spacing w:line="360" w:lineRule="auto"/>
        <w:ind w:firstLine="426" w:firstLineChars="200"/>
        <w:rPr>
          <w:rFonts w:hAnsi="宋体"/>
          <w:color w:val="auto"/>
          <w:szCs w:val="21"/>
          <w:highlight w:val="none"/>
        </w:rPr>
      </w:pPr>
      <w:r>
        <w:rPr>
          <w:rFonts w:hint="eastAsia" w:hAnsi="宋体"/>
          <w:color w:val="auto"/>
          <w:szCs w:val="21"/>
          <w:highlight w:val="none"/>
        </w:rPr>
        <w:t>（1）不同投标人的投标文件由同一单位或者个人编制；或不同投标人报名的IP地址一致的；</w:t>
      </w:r>
    </w:p>
    <w:p>
      <w:pPr>
        <w:pStyle w:val="9"/>
        <w:spacing w:line="360" w:lineRule="auto"/>
        <w:ind w:firstLine="426" w:firstLineChars="200"/>
        <w:rPr>
          <w:rFonts w:hAnsi="宋体"/>
          <w:color w:val="auto"/>
          <w:szCs w:val="21"/>
          <w:highlight w:val="none"/>
        </w:rPr>
      </w:pPr>
      <w:r>
        <w:rPr>
          <w:rFonts w:hint="eastAsia" w:hAnsi="宋体"/>
          <w:color w:val="auto"/>
          <w:szCs w:val="21"/>
          <w:highlight w:val="none"/>
        </w:rPr>
        <w:t>（2）不同投标人委托同一单位或者个人办理投标事宜；</w:t>
      </w:r>
    </w:p>
    <w:p>
      <w:pPr>
        <w:pStyle w:val="9"/>
        <w:spacing w:line="360" w:lineRule="auto"/>
        <w:ind w:firstLine="426" w:firstLineChars="200"/>
        <w:rPr>
          <w:rFonts w:hAnsi="宋体"/>
          <w:color w:val="auto"/>
          <w:szCs w:val="21"/>
          <w:highlight w:val="none"/>
        </w:rPr>
      </w:pPr>
      <w:r>
        <w:rPr>
          <w:rFonts w:hint="eastAsia" w:hAnsi="宋体"/>
          <w:color w:val="auto"/>
          <w:szCs w:val="21"/>
          <w:highlight w:val="none"/>
        </w:rPr>
        <w:t>（3）不同的投标人的投标文件载明的项目管理员为同一个人；</w:t>
      </w:r>
    </w:p>
    <w:p>
      <w:pPr>
        <w:pStyle w:val="9"/>
        <w:spacing w:line="360" w:lineRule="auto"/>
        <w:ind w:firstLine="426" w:firstLineChars="200"/>
        <w:rPr>
          <w:rFonts w:hAnsi="宋体"/>
          <w:color w:val="auto"/>
          <w:szCs w:val="21"/>
          <w:highlight w:val="none"/>
        </w:rPr>
      </w:pPr>
      <w:r>
        <w:rPr>
          <w:rFonts w:hint="eastAsia" w:hAnsi="宋体"/>
          <w:color w:val="auto"/>
          <w:szCs w:val="21"/>
          <w:highlight w:val="none"/>
        </w:rPr>
        <w:t xml:space="preserve">（4）不同投标人的投标文件异常一致或投标报价呈规律性差异； </w:t>
      </w:r>
    </w:p>
    <w:p>
      <w:pPr>
        <w:pStyle w:val="9"/>
        <w:spacing w:line="360" w:lineRule="auto"/>
        <w:ind w:firstLine="426" w:firstLineChars="200"/>
        <w:rPr>
          <w:rFonts w:hAnsi="宋体"/>
          <w:color w:val="auto"/>
          <w:szCs w:val="21"/>
          <w:highlight w:val="none"/>
        </w:rPr>
      </w:pPr>
      <w:r>
        <w:rPr>
          <w:rFonts w:hint="eastAsia" w:hAnsi="宋体"/>
          <w:color w:val="auto"/>
          <w:szCs w:val="21"/>
          <w:highlight w:val="none"/>
        </w:rPr>
        <w:t>（5）不同投标人的投标文件相互混装；</w:t>
      </w:r>
    </w:p>
    <w:p>
      <w:pPr>
        <w:pStyle w:val="5"/>
        <w:rPr>
          <w:color w:val="auto"/>
          <w:highlight w:val="none"/>
        </w:rPr>
      </w:pPr>
      <w:r>
        <w:rPr>
          <w:rFonts w:hint="eastAsia"/>
          <w:color w:val="auto"/>
          <w:highlight w:val="none"/>
        </w:rPr>
        <w:t>30. 属于下列情形之一的，应予废标：</w:t>
      </w:r>
    </w:p>
    <w:p>
      <w:pPr>
        <w:tabs>
          <w:tab w:val="left" w:pos="840"/>
        </w:tabs>
        <w:snapToGrid w:val="0"/>
        <w:spacing w:line="360" w:lineRule="auto"/>
        <w:ind w:left="334" w:leftChars="157" w:firstLine="103" w:firstLineChars="49"/>
        <w:outlineLvl w:val="4"/>
        <w:rPr>
          <w:rFonts w:ascii="宋体" w:hAnsi="宋体"/>
          <w:color w:val="auto"/>
          <w:szCs w:val="21"/>
          <w:highlight w:val="none"/>
        </w:rPr>
      </w:pPr>
      <w:r>
        <w:rPr>
          <w:rFonts w:hint="eastAsia" w:ascii="宋体" w:hAnsi="宋体"/>
          <w:color w:val="auto"/>
          <w:szCs w:val="21"/>
          <w:highlight w:val="none"/>
        </w:rPr>
        <w:t>（1）符合专业条件的供应商或者对招标文件作实质响应的供应商不足3家的；</w:t>
      </w:r>
    </w:p>
    <w:p>
      <w:pPr>
        <w:tabs>
          <w:tab w:val="left" w:pos="840"/>
        </w:tabs>
        <w:snapToGrid w:val="0"/>
        <w:spacing w:line="360" w:lineRule="auto"/>
        <w:ind w:left="334" w:leftChars="157" w:firstLine="106" w:firstLineChars="50"/>
        <w:outlineLvl w:val="4"/>
        <w:rPr>
          <w:rFonts w:ascii="宋体" w:hAnsi="宋体"/>
          <w:color w:val="auto"/>
          <w:szCs w:val="21"/>
          <w:highlight w:val="none"/>
        </w:rPr>
      </w:pPr>
      <w:r>
        <w:rPr>
          <w:rFonts w:hint="eastAsia" w:ascii="宋体" w:hAnsi="宋体"/>
          <w:color w:val="auto"/>
          <w:szCs w:val="21"/>
          <w:highlight w:val="none"/>
        </w:rPr>
        <w:t>（2）出现影响采购公正的违法、违规行为的；</w:t>
      </w:r>
    </w:p>
    <w:p>
      <w:pPr>
        <w:tabs>
          <w:tab w:val="left" w:pos="840"/>
        </w:tabs>
        <w:snapToGrid w:val="0"/>
        <w:spacing w:line="360" w:lineRule="auto"/>
        <w:ind w:left="334" w:leftChars="157" w:firstLine="106" w:firstLineChars="50"/>
        <w:outlineLvl w:val="4"/>
        <w:rPr>
          <w:rFonts w:ascii="宋体" w:hAnsi="宋体"/>
          <w:color w:val="auto"/>
          <w:szCs w:val="21"/>
          <w:highlight w:val="none"/>
        </w:rPr>
      </w:pPr>
      <w:r>
        <w:rPr>
          <w:rFonts w:hint="eastAsia" w:ascii="宋体" w:hAnsi="宋体"/>
          <w:color w:val="auto"/>
          <w:szCs w:val="21"/>
          <w:highlight w:val="none"/>
        </w:rPr>
        <w:t>（3）采购文件内容违反国家有关强制性规定的；</w:t>
      </w:r>
    </w:p>
    <w:p>
      <w:pPr>
        <w:tabs>
          <w:tab w:val="left" w:pos="840"/>
        </w:tabs>
        <w:snapToGrid w:val="0"/>
        <w:spacing w:line="360" w:lineRule="auto"/>
        <w:ind w:left="334" w:leftChars="157" w:firstLine="106" w:firstLineChars="50"/>
        <w:outlineLvl w:val="4"/>
        <w:rPr>
          <w:rFonts w:ascii="宋体" w:hAnsi="宋体"/>
          <w:color w:val="auto"/>
          <w:szCs w:val="21"/>
          <w:highlight w:val="none"/>
        </w:rPr>
      </w:pPr>
      <w:r>
        <w:rPr>
          <w:rFonts w:hint="eastAsia" w:ascii="宋体" w:hAnsi="宋体"/>
          <w:color w:val="auto"/>
          <w:szCs w:val="21"/>
          <w:highlight w:val="none"/>
        </w:rPr>
        <w:t>（4）因重大变故，采购任务取消的。</w:t>
      </w:r>
    </w:p>
    <w:p>
      <w:pPr>
        <w:pStyle w:val="5"/>
        <w:rPr>
          <w:color w:val="auto"/>
          <w:highlight w:val="none"/>
        </w:rPr>
      </w:pPr>
      <w:r>
        <w:rPr>
          <w:rFonts w:hint="eastAsia"/>
          <w:color w:val="auto"/>
          <w:highlight w:val="none"/>
        </w:rPr>
        <w:t>31. 评标过程的监控</w:t>
      </w:r>
    </w:p>
    <w:p>
      <w:pPr>
        <w:pStyle w:val="9"/>
        <w:spacing w:line="360" w:lineRule="auto"/>
        <w:ind w:firstLine="416" w:firstLineChars="196"/>
        <w:rPr>
          <w:rFonts w:hAnsi="宋体"/>
          <w:color w:val="auto"/>
          <w:szCs w:val="21"/>
          <w:highlight w:val="none"/>
        </w:rPr>
      </w:pPr>
      <w:r>
        <w:rPr>
          <w:rFonts w:hint="eastAsia" w:hAnsi="宋体"/>
          <w:color w:val="auto"/>
          <w:szCs w:val="21"/>
          <w:highlight w:val="none"/>
        </w:rPr>
        <w:t>本项目评标过程实行全程录音、录像监控，投标人在评标过程中所进行的试图影响评标结果的不公正活动，可能导致其投标被拒绝。</w:t>
      </w:r>
    </w:p>
    <w:p>
      <w:pPr>
        <w:pStyle w:val="5"/>
        <w:rPr>
          <w:color w:val="auto"/>
          <w:highlight w:val="none"/>
        </w:rPr>
      </w:pPr>
      <w:r>
        <w:rPr>
          <w:rFonts w:hint="eastAsia"/>
          <w:color w:val="auto"/>
          <w:highlight w:val="none"/>
        </w:rPr>
        <w:t>32.信用查询</w:t>
      </w:r>
    </w:p>
    <w:p>
      <w:pPr>
        <w:autoSpaceDE w:val="0"/>
        <w:autoSpaceDN w:val="0"/>
        <w:snapToGrid w:val="0"/>
        <w:spacing w:line="360" w:lineRule="auto"/>
        <w:ind w:firstLine="426" w:firstLineChars="200"/>
        <w:textAlignment w:val="bottom"/>
        <w:rPr>
          <w:rFonts w:ascii="宋体" w:hAnsi="宋体"/>
          <w:color w:val="auto"/>
          <w:highlight w:val="none"/>
        </w:rPr>
      </w:pPr>
      <w:r>
        <w:rPr>
          <w:rFonts w:hint="eastAsia" w:ascii="宋体" w:hAnsi="宋体"/>
          <w:color w:val="auto"/>
          <w:highlight w:val="none"/>
        </w:rPr>
        <w:t>根据《关于做好政府采购有关信用主体标识码登记及在政府采购活动中查询使用信用记录有关问题的通知》桂财采〔2016〕37号的通知，由采购代理机构对第一中标候选人进行信用查询：</w:t>
      </w:r>
    </w:p>
    <w:p>
      <w:pPr>
        <w:numPr>
          <w:ilvl w:val="0"/>
          <w:numId w:val="1"/>
        </w:numPr>
        <w:autoSpaceDE w:val="0"/>
        <w:autoSpaceDN w:val="0"/>
        <w:snapToGrid w:val="0"/>
        <w:spacing w:line="360" w:lineRule="auto"/>
        <w:textAlignment w:val="bottom"/>
        <w:rPr>
          <w:rFonts w:ascii="宋体" w:hAnsi="宋体"/>
          <w:color w:val="auto"/>
          <w:highlight w:val="none"/>
        </w:rPr>
      </w:pPr>
      <w:r>
        <w:rPr>
          <w:rFonts w:hint="eastAsia" w:ascii="宋体" w:hAnsi="宋体"/>
          <w:color w:val="auto"/>
          <w:highlight w:val="none"/>
        </w:rPr>
        <w:t>询渠道：“信用中国”网站(www.creditchina.gov.cn)、中国政府采购网(www.ccgp.gov.cn)等；</w:t>
      </w:r>
    </w:p>
    <w:p>
      <w:pPr>
        <w:numPr>
          <w:ilvl w:val="0"/>
          <w:numId w:val="1"/>
        </w:numPr>
        <w:autoSpaceDE w:val="0"/>
        <w:autoSpaceDN w:val="0"/>
        <w:snapToGrid w:val="0"/>
        <w:spacing w:line="360" w:lineRule="auto"/>
        <w:textAlignment w:val="bottom"/>
        <w:rPr>
          <w:rFonts w:ascii="宋体" w:hAnsi="宋体"/>
          <w:color w:val="auto"/>
          <w:highlight w:val="none"/>
        </w:rPr>
      </w:pPr>
      <w:r>
        <w:rPr>
          <w:rFonts w:hint="eastAsia" w:ascii="宋体" w:hAnsi="宋体"/>
          <w:color w:val="auto"/>
          <w:highlight w:val="none"/>
        </w:rPr>
        <w:t>询截止时点：中标通知书发出前；</w:t>
      </w:r>
    </w:p>
    <w:p>
      <w:pPr>
        <w:autoSpaceDE w:val="0"/>
        <w:autoSpaceDN w:val="0"/>
        <w:snapToGrid w:val="0"/>
        <w:spacing w:line="360" w:lineRule="auto"/>
        <w:ind w:left="420"/>
        <w:textAlignment w:val="bottom"/>
        <w:rPr>
          <w:rFonts w:ascii="宋体" w:hAnsi="宋体"/>
          <w:color w:val="auto"/>
          <w:highlight w:val="none"/>
        </w:rPr>
      </w:pPr>
      <w:r>
        <w:rPr>
          <w:rFonts w:hint="eastAsia" w:ascii="宋体" w:hAnsi="宋体"/>
          <w:color w:val="auto"/>
          <w:highlight w:val="none"/>
        </w:rPr>
        <w:t>⑶信用信息查询记录和证据留存方式：在查询网站中直接打印查询记录，打印材料作为采购活动资料保存。</w:t>
      </w:r>
    </w:p>
    <w:p>
      <w:pPr>
        <w:pStyle w:val="27"/>
        <w:spacing w:line="360" w:lineRule="auto"/>
        <w:ind w:firstLine="426" w:firstLineChars="200"/>
        <w:rPr>
          <w:rFonts w:hAnsi="宋体"/>
          <w:color w:val="auto"/>
          <w:highlight w:val="none"/>
        </w:rPr>
      </w:pPr>
      <w:r>
        <w:rPr>
          <w:rFonts w:hint="eastAsia" w:hAnsi="宋体"/>
          <w:color w:val="auto"/>
          <w:highlight w:val="none"/>
        </w:rPr>
        <w:t>⑷信用信息使用规则：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取消其中标候选人资格。</w:t>
      </w:r>
    </w:p>
    <w:p>
      <w:pPr>
        <w:pStyle w:val="9"/>
        <w:spacing w:line="360" w:lineRule="auto"/>
        <w:ind w:firstLine="416" w:firstLineChars="196"/>
        <w:rPr>
          <w:color w:val="auto"/>
          <w:highlight w:val="none"/>
        </w:rPr>
      </w:pPr>
      <w:r>
        <w:rPr>
          <w:rFonts w:hint="eastAsia"/>
          <w:color w:val="auto"/>
          <w:highlight w:val="none"/>
        </w:rPr>
        <w:t>两个以上的自然人、法人或者其他组织组成一个联合体，以一个供应商的身份共同参加政府采购活动的，对所有联合体成员进行信用记录查询，联合体成员存在不良信用记录的，视同联合体存在不良信用记录。</w:t>
      </w:r>
    </w:p>
    <w:p>
      <w:pPr>
        <w:pStyle w:val="5"/>
        <w:rPr>
          <w:color w:val="auto"/>
          <w:highlight w:val="none"/>
        </w:rPr>
      </w:pPr>
      <w:r>
        <w:rPr>
          <w:rFonts w:hint="eastAsia"/>
          <w:color w:val="auto"/>
          <w:highlight w:val="none"/>
        </w:rPr>
        <w:t>33. 中标公告及中标通知书</w:t>
      </w:r>
    </w:p>
    <w:p>
      <w:pPr>
        <w:pStyle w:val="9"/>
        <w:tabs>
          <w:tab w:val="left" w:pos="455"/>
        </w:tabs>
        <w:spacing w:line="360" w:lineRule="auto"/>
        <w:ind w:firstLine="426" w:firstLineChars="200"/>
        <w:rPr>
          <w:rFonts w:hAnsi="宋体"/>
          <w:color w:val="auto"/>
          <w:szCs w:val="21"/>
          <w:highlight w:val="none"/>
        </w:rPr>
      </w:pPr>
      <w:r>
        <w:rPr>
          <w:rFonts w:hint="eastAsia" w:hAnsi="宋体"/>
          <w:color w:val="auto"/>
          <w:szCs w:val="21"/>
          <w:highlight w:val="none"/>
        </w:rPr>
        <w:t>33.1采购代理机构于评标结束后两个工作日内将评审报告送交采购人，采购人应当自收到评审报告五个工作日内在评审报告推荐的中标候选供应商中按顺序确定中标供应商，采购代理机构在中标供应商确定之日起两个工作日内发出中标通知书，并在指定媒体上公告中标信息。</w:t>
      </w:r>
    </w:p>
    <w:p>
      <w:pPr>
        <w:pStyle w:val="9"/>
        <w:spacing w:line="360" w:lineRule="auto"/>
        <w:ind w:firstLine="426" w:firstLineChars="200"/>
        <w:rPr>
          <w:rFonts w:hAnsi="宋体"/>
          <w:color w:val="auto"/>
          <w:szCs w:val="21"/>
          <w:highlight w:val="none"/>
        </w:rPr>
      </w:pPr>
      <w:r>
        <w:rPr>
          <w:rFonts w:hint="eastAsia" w:hAnsi="宋体"/>
          <w:color w:val="auto"/>
          <w:szCs w:val="21"/>
          <w:highlight w:val="none"/>
        </w:rPr>
        <w:t>33.2中标供应商应自接到通知之日起七个工作日内，办理中标通知书领取手续。</w:t>
      </w:r>
    </w:p>
    <w:p>
      <w:pPr>
        <w:pStyle w:val="9"/>
        <w:spacing w:line="360" w:lineRule="auto"/>
        <w:ind w:firstLine="426" w:firstLineChars="200"/>
        <w:rPr>
          <w:rFonts w:hAnsi="宋体"/>
          <w:color w:val="auto"/>
          <w:szCs w:val="21"/>
          <w:highlight w:val="none"/>
        </w:rPr>
      </w:pPr>
      <w:r>
        <w:rPr>
          <w:rFonts w:hint="eastAsia" w:hAnsi="宋体"/>
          <w:color w:val="auto"/>
          <w:szCs w:val="21"/>
          <w:highlight w:val="none"/>
        </w:rPr>
        <w:t>33.3采购代理机构无义务向未中标投标人解释未中标原因和退还投标文件。</w:t>
      </w:r>
    </w:p>
    <w:p>
      <w:pPr>
        <w:pStyle w:val="4"/>
        <w:rPr>
          <w:color w:val="auto"/>
          <w:highlight w:val="none"/>
        </w:rPr>
      </w:pPr>
      <w:r>
        <w:rPr>
          <w:rFonts w:hint="eastAsia"/>
          <w:color w:val="auto"/>
          <w:highlight w:val="none"/>
        </w:rPr>
        <w:t>六、履约保证金及签订合同</w:t>
      </w:r>
    </w:p>
    <w:p>
      <w:pPr>
        <w:pStyle w:val="5"/>
        <w:rPr>
          <w:color w:val="auto"/>
          <w:highlight w:val="none"/>
        </w:rPr>
      </w:pPr>
      <w:r>
        <w:rPr>
          <w:rFonts w:hint="eastAsia"/>
          <w:color w:val="auto"/>
          <w:highlight w:val="none"/>
        </w:rPr>
        <w:t>34. 履约保证金</w:t>
      </w:r>
    </w:p>
    <w:p>
      <w:pPr>
        <w:pStyle w:val="9"/>
        <w:spacing w:line="360" w:lineRule="auto"/>
        <w:ind w:left="2" w:leftChars="1" w:firstLine="426" w:firstLineChars="200"/>
        <w:rPr>
          <w:rFonts w:hAnsi="宋体"/>
          <w:color w:val="auto"/>
          <w:szCs w:val="21"/>
          <w:highlight w:val="none"/>
        </w:rPr>
      </w:pPr>
      <w:r>
        <w:rPr>
          <w:rFonts w:hAnsi="宋体"/>
          <w:color w:val="auto"/>
          <w:szCs w:val="21"/>
          <w:highlight w:val="none"/>
        </w:rPr>
        <w:t>3</w:t>
      </w:r>
      <w:r>
        <w:rPr>
          <w:rFonts w:hint="eastAsia" w:hAnsi="宋体"/>
          <w:color w:val="auto"/>
          <w:szCs w:val="21"/>
          <w:highlight w:val="none"/>
        </w:rPr>
        <w:t>4</w:t>
      </w:r>
      <w:r>
        <w:rPr>
          <w:rFonts w:hAnsi="宋体"/>
          <w:color w:val="auto"/>
          <w:szCs w:val="21"/>
          <w:highlight w:val="none"/>
        </w:rPr>
        <w:t>.1、</w:t>
      </w:r>
      <w:r>
        <w:rPr>
          <w:rFonts w:hint="eastAsia" w:hAnsi="宋体"/>
          <w:color w:val="auto"/>
          <w:szCs w:val="21"/>
          <w:highlight w:val="none"/>
        </w:rPr>
        <w:t>本项目的履约保证金金额为中标合</w:t>
      </w:r>
      <w:r>
        <w:rPr>
          <w:rFonts w:hint="eastAsia" w:hAnsi="宋体" w:eastAsia="宋体" w:cs="宋体"/>
          <w:color w:val="auto"/>
          <w:szCs w:val="21"/>
          <w:highlight w:val="none"/>
        </w:rPr>
        <w:t>同金额的5% ，保证金应从投标人银行基本账户转出，履约保函应由投标人基本账户所在银行开具。</w:t>
      </w:r>
    </w:p>
    <w:p>
      <w:pPr>
        <w:pStyle w:val="9"/>
        <w:spacing w:line="360" w:lineRule="auto"/>
        <w:ind w:left="2" w:leftChars="1" w:firstLine="426" w:firstLineChars="200"/>
        <w:rPr>
          <w:rFonts w:hAnsi="宋体"/>
          <w:color w:val="auto"/>
          <w:szCs w:val="21"/>
          <w:highlight w:val="none"/>
        </w:rPr>
      </w:pPr>
      <w:r>
        <w:rPr>
          <w:rFonts w:hAnsi="宋体"/>
          <w:color w:val="auto"/>
          <w:szCs w:val="21"/>
          <w:highlight w:val="none"/>
        </w:rPr>
        <w:t>3</w:t>
      </w:r>
      <w:r>
        <w:rPr>
          <w:rFonts w:hint="eastAsia" w:hAnsi="宋体"/>
          <w:color w:val="auto"/>
          <w:szCs w:val="21"/>
          <w:highlight w:val="none"/>
        </w:rPr>
        <w:t>4</w:t>
      </w:r>
      <w:r>
        <w:rPr>
          <w:rFonts w:hAnsi="宋体"/>
          <w:color w:val="auto"/>
          <w:szCs w:val="21"/>
          <w:highlight w:val="none"/>
        </w:rPr>
        <w:t>.2、如果</w:t>
      </w:r>
      <w:r>
        <w:rPr>
          <w:rFonts w:hint="eastAsia" w:hAnsi="宋体"/>
          <w:color w:val="auto"/>
          <w:szCs w:val="21"/>
          <w:highlight w:val="none"/>
        </w:rPr>
        <w:t>中标</w:t>
      </w:r>
      <w:r>
        <w:rPr>
          <w:rFonts w:hAnsi="宋体"/>
          <w:color w:val="auto"/>
          <w:szCs w:val="21"/>
          <w:highlight w:val="none"/>
        </w:rPr>
        <w:t>供应商没能按上述第32.1款规定执行，</w:t>
      </w:r>
      <w:r>
        <w:rPr>
          <w:rFonts w:hint="eastAsia" w:hAnsi="宋体"/>
          <w:color w:val="auto"/>
          <w:szCs w:val="21"/>
          <w:highlight w:val="none"/>
        </w:rPr>
        <w:t>取消该中标资格，其投标保证金不予退还，并有权授予第二成交候选人为中标供应商资格或重新组织采购。</w:t>
      </w:r>
      <w:r>
        <w:rPr>
          <w:rFonts w:hAnsi="宋体"/>
          <w:color w:val="auto"/>
          <w:szCs w:val="21"/>
          <w:highlight w:val="none"/>
        </w:rPr>
        <w:t>。</w:t>
      </w:r>
    </w:p>
    <w:p>
      <w:pPr>
        <w:pStyle w:val="9"/>
        <w:spacing w:line="360" w:lineRule="auto"/>
        <w:ind w:left="2" w:leftChars="1" w:firstLine="426" w:firstLineChars="200"/>
        <w:rPr>
          <w:rFonts w:hAnsi="宋体"/>
          <w:color w:val="auto"/>
          <w:szCs w:val="21"/>
          <w:highlight w:val="none"/>
        </w:rPr>
      </w:pPr>
      <w:r>
        <w:rPr>
          <w:rFonts w:hAnsi="宋体"/>
          <w:color w:val="auto"/>
          <w:szCs w:val="21"/>
          <w:highlight w:val="none"/>
        </w:rPr>
        <w:t>3</w:t>
      </w:r>
      <w:r>
        <w:rPr>
          <w:rFonts w:hint="eastAsia" w:hAnsi="宋体"/>
          <w:color w:val="auto"/>
          <w:szCs w:val="21"/>
          <w:highlight w:val="none"/>
        </w:rPr>
        <w:t>4</w:t>
      </w:r>
      <w:r>
        <w:rPr>
          <w:rFonts w:hAnsi="宋体"/>
          <w:color w:val="auto"/>
          <w:szCs w:val="21"/>
          <w:highlight w:val="none"/>
        </w:rPr>
        <w:t>.3、项目验收合格后，</w:t>
      </w:r>
      <w:r>
        <w:rPr>
          <w:rFonts w:hint="eastAsia" w:hAnsi="宋体"/>
          <w:color w:val="auto"/>
          <w:szCs w:val="21"/>
          <w:highlight w:val="none"/>
        </w:rPr>
        <w:t>中标供应商凭《验收报告单》和履约保证金收据原件办理履约保证金退款手续。如中标供应商不按双方签订的合同规定履约，则没收其全部履约保证金，履约保证金不足以赔偿损失的，按实际损失赔偿。</w:t>
      </w:r>
    </w:p>
    <w:p>
      <w:pPr>
        <w:pStyle w:val="9"/>
        <w:spacing w:line="360" w:lineRule="auto"/>
        <w:ind w:left="2" w:leftChars="1" w:firstLine="426" w:firstLineChars="200"/>
        <w:rPr>
          <w:rFonts w:hAnsi="宋体"/>
          <w:color w:val="auto"/>
          <w:szCs w:val="21"/>
          <w:highlight w:val="none"/>
        </w:rPr>
      </w:pPr>
      <w:r>
        <w:rPr>
          <w:rFonts w:hint="eastAsia" w:hAnsi="宋体"/>
          <w:color w:val="auto"/>
          <w:szCs w:val="21"/>
          <w:highlight w:val="none"/>
        </w:rPr>
        <w:t>34</w:t>
      </w:r>
      <w:r>
        <w:rPr>
          <w:rFonts w:hAnsi="宋体"/>
          <w:color w:val="auto"/>
          <w:szCs w:val="21"/>
          <w:highlight w:val="none"/>
        </w:rPr>
        <w:t>.4</w:t>
      </w:r>
      <w:r>
        <w:rPr>
          <w:rFonts w:hint="eastAsia" w:hAnsi="宋体"/>
          <w:color w:val="auto"/>
          <w:szCs w:val="21"/>
          <w:highlight w:val="none"/>
        </w:rPr>
        <w:t>、在履约保证金到期退还前，若中标供应商的开户名称、开户银行、账号有变动的，以书面形式通知采购人，否则由此产生的后果由中标供应商自负。</w:t>
      </w:r>
    </w:p>
    <w:p>
      <w:pPr>
        <w:pStyle w:val="5"/>
        <w:rPr>
          <w:color w:val="auto"/>
          <w:highlight w:val="none"/>
        </w:rPr>
      </w:pPr>
      <w:r>
        <w:rPr>
          <w:rFonts w:hint="eastAsia"/>
          <w:color w:val="auto"/>
          <w:highlight w:val="none"/>
        </w:rPr>
        <w:t>35. 签订合同</w:t>
      </w:r>
    </w:p>
    <w:p>
      <w:pPr>
        <w:pStyle w:val="9"/>
        <w:spacing w:line="360" w:lineRule="auto"/>
        <w:ind w:left="2" w:leftChars="1" w:firstLine="426" w:firstLineChars="200"/>
        <w:rPr>
          <w:rFonts w:hAnsi="宋体"/>
          <w:color w:val="auto"/>
          <w:szCs w:val="21"/>
          <w:highlight w:val="none"/>
        </w:rPr>
      </w:pPr>
      <w:r>
        <w:rPr>
          <w:rFonts w:hint="eastAsia" w:hAnsi="宋体"/>
          <w:color w:val="auto"/>
          <w:szCs w:val="21"/>
          <w:highlight w:val="none"/>
        </w:rPr>
        <w:t>35.1签订合同时间：中标通知书发出之日起二十五日内。中标供应商领取中标通知书后，应按规定与采购人签订合同。</w:t>
      </w:r>
    </w:p>
    <w:p>
      <w:pPr>
        <w:pStyle w:val="9"/>
        <w:spacing w:line="360" w:lineRule="auto"/>
        <w:ind w:left="2" w:leftChars="1" w:firstLine="426" w:firstLineChars="200"/>
        <w:rPr>
          <w:rFonts w:hAnsi="宋体"/>
          <w:color w:val="auto"/>
          <w:szCs w:val="21"/>
          <w:highlight w:val="none"/>
        </w:rPr>
      </w:pPr>
      <w:r>
        <w:rPr>
          <w:rFonts w:hint="eastAsia" w:hAnsi="宋体"/>
          <w:color w:val="auto"/>
          <w:szCs w:val="21"/>
          <w:highlight w:val="none"/>
        </w:rPr>
        <w:t>35.2如中标供应商有下列情形之一的，中标供应商所投相应标的投标保证金不予退还，并上缴同级财政国库，情节严重的，由财政部门将其列入不良行为记录名单，在一至三年内禁止参加政府采购活动，并予以通报。招标采购单位可从评标委员会推荐的中标候选供应商中按顺序重新确定中标供应商或重新组织招标。</w:t>
      </w:r>
    </w:p>
    <w:p>
      <w:pPr>
        <w:pStyle w:val="9"/>
        <w:spacing w:line="360" w:lineRule="auto"/>
        <w:ind w:firstLine="319" w:firstLineChars="150"/>
        <w:rPr>
          <w:rFonts w:hAnsi="宋体"/>
          <w:color w:val="auto"/>
          <w:szCs w:val="21"/>
          <w:highlight w:val="none"/>
        </w:rPr>
      </w:pPr>
      <w:r>
        <w:rPr>
          <w:rFonts w:hint="eastAsia" w:hAnsi="宋体"/>
          <w:color w:val="auto"/>
          <w:szCs w:val="21"/>
          <w:highlight w:val="none"/>
        </w:rPr>
        <w:t>（1）中标后不与采购人签订合同的（不可抗力除外）；</w:t>
      </w:r>
    </w:p>
    <w:p>
      <w:pPr>
        <w:pStyle w:val="9"/>
        <w:spacing w:line="360" w:lineRule="auto"/>
        <w:ind w:left="2" w:leftChars="1" w:firstLine="319" w:firstLineChars="150"/>
        <w:rPr>
          <w:rFonts w:hAnsi="宋体"/>
          <w:color w:val="auto"/>
          <w:szCs w:val="21"/>
          <w:highlight w:val="none"/>
        </w:rPr>
      </w:pPr>
      <w:r>
        <w:rPr>
          <w:rFonts w:hint="eastAsia" w:hAnsi="宋体"/>
          <w:color w:val="auto"/>
          <w:szCs w:val="21"/>
          <w:highlight w:val="none"/>
        </w:rPr>
        <w:t>（2）将中标项目转让给他人，或者在投标文件中未说明，且未经采购人同意，将中标项目分包给他人的；</w:t>
      </w:r>
    </w:p>
    <w:p>
      <w:pPr>
        <w:pStyle w:val="9"/>
        <w:spacing w:line="360" w:lineRule="auto"/>
        <w:ind w:firstLine="319" w:firstLineChars="150"/>
        <w:rPr>
          <w:rFonts w:hAnsi="宋体"/>
          <w:color w:val="auto"/>
          <w:szCs w:val="21"/>
          <w:highlight w:val="none"/>
        </w:rPr>
      </w:pPr>
      <w:r>
        <w:rPr>
          <w:rFonts w:hint="eastAsia" w:hAnsi="宋体"/>
          <w:color w:val="auto"/>
          <w:szCs w:val="21"/>
          <w:highlight w:val="none"/>
        </w:rPr>
        <w:t>（3）拒绝履行合同义务的。</w:t>
      </w:r>
    </w:p>
    <w:p>
      <w:pPr>
        <w:pStyle w:val="9"/>
        <w:spacing w:line="360" w:lineRule="auto"/>
        <w:ind w:left="2" w:leftChars="1" w:firstLine="426" w:firstLineChars="200"/>
        <w:rPr>
          <w:rFonts w:hAnsi="宋体"/>
          <w:color w:val="auto"/>
          <w:szCs w:val="21"/>
          <w:highlight w:val="none"/>
        </w:rPr>
      </w:pPr>
      <w:r>
        <w:rPr>
          <w:rFonts w:hint="eastAsia" w:hAnsi="宋体"/>
          <w:color w:val="auto"/>
          <w:szCs w:val="21"/>
          <w:highlight w:val="none"/>
        </w:rPr>
        <w:t xml:space="preserve"> 35.3合同备案存档：政府采购合同双方自签订之日起1个工作日内将合同原件两份交采购代理机构。采购代理机构将政府采购合同在省级以上人民政府财政部门指定媒体上公告并于合同签订之日起7个工作日内将一份合同原件送兴安县人民政府采购管理办公室备案，一份由采购代理机构存档。</w:t>
      </w:r>
    </w:p>
    <w:p>
      <w:pPr>
        <w:pStyle w:val="4"/>
        <w:spacing w:line="400" w:lineRule="exact"/>
        <w:rPr>
          <w:color w:val="auto"/>
          <w:highlight w:val="none"/>
        </w:rPr>
      </w:pPr>
      <w:r>
        <w:rPr>
          <w:rFonts w:hint="eastAsia"/>
          <w:color w:val="auto"/>
          <w:highlight w:val="none"/>
        </w:rPr>
        <w:t>七、其他事项</w:t>
      </w:r>
    </w:p>
    <w:p>
      <w:pPr>
        <w:pStyle w:val="5"/>
        <w:spacing w:line="400" w:lineRule="exact"/>
        <w:rPr>
          <w:color w:val="auto"/>
          <w:highlight w:val="none"/>
        </w:rPr>
      </w:pPr>
      <w:r>
        <w:rPr>
          <w:rFonts w:hint="eastAsia"/>
          <w:color w:val="auto"/>
          <w:highlight w:val="none"/>
        </w:rPr>
        <w:t>36. 招标代理服务费</w:t>
      </w:r>
    </w:p>
    <w:p>
      <w:pPr>
        <w:pStyle w:val="9"/>
        <w:spacing w:line="400" w:lineRule="exact"/>
        <w:ind w:firstLine="426" w:firstLineChars="200"/>
        <w:rPr>
          <w:rFonts w:hAnsi="宋体"/>
          <w:color w:val="auto"/>
          <w:szCs w:val="21"/>
          <w:highlight w:val="none"/>
        </w:rPr>
      </w:pPr>
      <w:r>
        <w:rPr>
          <w:rFonts w:hint="eastAsia" w:hAnsi="宋体"/>
          <w:color w:val="auto"/>
          <w:highlight w:val="none"/>
        </w:rPr>
        <w:t>中标</w:t>
      </w:r>
      <w:r>
        <w:rPr>
          <w:rFonts w:hint="eastAsia" w:hAnsi="宋体"/>
          <w:color w:val="auto"/>
          <w:szCs w:val="21"/>
          <w:highlight w:val="none"/>
        </w:rPr>
        <w:t>供应商</w:t>
      </w:r>
      <w:r>
        <w:rPr>
          <w:rFonts w:hint="eastAsia" w:hAnsi="宋体"/>
          <w:color w:val="auto"/>
          <w:highlight w:val="none"/>
        </w:rPr>
        <w:t>领取中标通知书前，</w:t>
      </w:r>
      <w:r>
        <w:rPr>
          <w:rFonts w:hint="eastAsia" w:hAnsi="宋体"/>
          <w:color w:val="auto"/>
          <w:szCs w:val="21"/>
          <w:highlight w:val="none"/>
        </w:rPr>
        <w:t>参照计价格[2002]1980号《招标代理服务收费管理暂行办法》服务类收费标准向</w:t>
      </w:r>
      <w:r>
        <w:rPr>
          <w:rFonts w:hint="eastAsia" w:hAnsi="宋体"/>
          <w:color w:val="auto"/>
          <w:highlight w:val="none"/>
        </w:rPr>
        <w:t>广西桂林华禹水利水电工程咨询有限公司一次性付清代理服务费及中标服务费。</w:t>
      </w:r>
    </w:p>
    <w:p>
      <w:pPr>
        <w:spacing w:line="400" w:lineRule="exact"/>
        <w:jc w:val="center"/>
        <w:rPr>
          <w:rFonts w:ascii="宋体" w:hAnsi="宋体"/>
          <w:color w:val="auto"/>
          <w:szCs w:val="21"/>
          <w:highlight w:val="none"/>
        </w:rPr>
      </w:pPr>
      <w:r>
        <w:rPr>
          <w:rFonts w:hint="eastAsia" w:ascii="宋体" w:hAnsi="宋体"/>
          <w:color w:val="auto"/>
          <w:szCs w:val="21"/>
          <w:highlight w:val="none"/>
        </w:rPr>
        <w:t>招标代理服务收费标准</w:t>
      </w:r>
    </w:p>
    <w:tbl>
      <w:tblPr>
        <w:tblStyle w:val="14"/>
        <w:tblW w:w="0" w:type="auto"/>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80"/>
        <w:gridCol w:w="1841"/>
        <w:gridCol w:w="1992"/>
        <w:gridCol w:w="22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2880" w:type="dxa"/>
          </w:tcPr>
          <w:p>
            <w:pPr>
              <w:pStyle w:val="9"/>
              <w:spacing w:line="400" w:lineRule="exact"/>
              <w:ind w:left="25"/>
              <w:rPr>
                <w:rFonts w:hAnsi="宋体"/>
                <w:color w:val="auto"/>
                <w:szCs w:val="21"/>
                <w:highlight w:val="none"/>
              </w:rPr>
            </w:pPr>
            <w:r>
              <w:rPr>
                <w:rFonts w:hAnsi="宋体"/>
                <w:color w:val="auto"/>
                <w:szCs w:val="21"/>
                <w:highlight w:val="none"/>
              </w:rPr>
              <mc:AlternateContent>
                <mc:Choice Requires="wps">
                  <w:drawing>
                    <wp:anchor distT="0" distB="0" distL="114300" distR="114300" simplePos="0" relativeHeight="251665408" behindDoc="0" locked="0" layoutInCell="1" allowOverlap="1">
                      <wp:simplePos x="0" y="0"/>
                      <wp:positionH relativeFrom="column">
                        <wp:posOffset>296545</wp:posOffset>
                      </wp:positionH>
                      <wp:positionV relativeFrom="paragraph">
                        <wp:posOffset>10795</wp:posOffset>
                      </wp:positionV>
                      <wp:extent cx="1463675" cy="653415"/>
                      <wp:effectExtent l="1905" t="4445" r="20320" b="8890"/>
                      <wp:wrapNone/>
                      <wp:docPr id="2" name="直线 109"/>
                      <wp:cNvGraphicFramePr/>
                      <a:graphic xmlns:a="http://schemas.openxmlformats.org/drawingml/2006/main">
                        <a:graphicData uri="http://schemas.microsoft.com/office/word/2010/wordprocessingShape">
                          <wps:wsp>
                            <wps:cNvCnPr/>
                            <wps:spPr>
                              <a:xfrm>
                                <a:off x="0" y="0"/>
                                <a:ext cx="1463675" cy="653415"/>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直线 109" o:spid="_x0000_s1026" o:spt="20" style="position:absolute;left:0pt;margin-left:23.35pt;margin-top:0.85pt;height:51.45pt;width:115.25pt;z-index:251665408;mso-width-relative:page;mso-height-relative:page;" filled="f" stroked="t" coordsize="21600,21600" o:gfxdata="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FIBUzTWAAAACAEAAA8AAAAAAAAAAQAg&#10;AAAAIgAAAGRycy9kb3ducmV2LnhtbFBLAQIUABQAAAAIAIdO4kCPoDtb1wEAAKIDAAAOAAAAAAAA&#10;AAEAIAAAACUBAABkcnMvZTJvRG9jLnhtbFBLBQYAAAAABgAGAFkBAABuBQAAAAA=&#10;">
                      <v:fill on="f" focussize="0,0"/>
                      <v:stroke color="#000000" joinstyle="round"/>
                      <v:imagedata o:title=""/>
                      <o:lock v:ext="edit" aspectratio="f"/>
                    </v:line>
                  </w:pict>
                </mc:Fallback>
              </mc:AlternateContent>
            </w:r>
            <w:r>
              <w:rPr>
                <w:rFonts w:hint="eastAsia" w:hAnsi="宋体"/>
                <w:color w:val="auto"/>
                <w:szCs w:val="21"/>
                <w:highlight w:val="none"/>
              </w:rPr>
              <w:t>费率           服务类型</w:t>
            </w:r>
          </w:p>
          <w:p>
            <w:pPr>
              <w:pStyle w:val="9"/>
              <w:spacing w:line="400" w:lineRule="exact"/>
              <w:ind w:left="25"/>
              <w:rPr>
                <w:rFonts w:hAnsi="宋体"/>
                <w:color w:val="auto"/>
                <w:szCs w:val="21"/>
                <w:highlight w:val="none"/>
              </w:rPr>
            </w:pPr>
            <w:r>
              <w:rPr>
                <w:rFonts w:hAnsi="宋体"/>
                <w:color w:val="auto"/>
                <w:szCs w:val="21"/>
                <w:highlight w:val="none"/>
              </w:rPr>
              <mc:AlternateContent>
                <mc:Choice Requires="wps">
                  <w:drawing>
                    <wp:anchor distT="0" distB="0" distL="114300" distR="114300" simplePos="0" relativeHeight="251666432" behindDoc="0" locked="0" layoutInCell="1" allowOverlap="1">
                      <wp:simplePos x="0" y="0"/>
                      <wp:positionH relativeFrom="column">
                        <wp:posOffset>-68580</wp:posOffset>
                      </wp:positionH>
                      <wp:positionV relativeFrom="paragraph">
                        <wp:posOffset>39370</wp:posOffset>
                      </wp:positionV>
                      <wp:extent cx="1828800" cy="396240"/>
                      <wp:effectExtent l="1270" t="4445" r="17780" b="18415"/>
                      <wp:wrapNone/>
                      <wp:docPr id="3" name="直线 110"/>
                      <wp:cNvGraphicFramePr/>
                      <a:graphic xmlns:a="http://schemas.openxmlformats.org/drawingml/2006/main">
                        <a:graphicData uri="http://schemas.microsoft.com/office/word/2010/wordprocessingShape">
                          <wps:wsp>
                            <wps:cNvCnPr/>
                            <wps:spPr>
                              <a:xfrm>
                                <a:off x="0" y="0"/>
                                <a:ext cx="1828800" cy="396240"/>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直线 110" o:spid="_x0000_s1026" o:spt="20" style="position:absolute;left:0pt;margin-left:-5.4pt;margin-top:3.1pt;height:31.2pt;width:144pt;z-index:251666432;mso-width-relative:page;mso-height-relative:page;" filled="f" stroked="t" coordsize="21600,21600" o:gfxdata="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QA6vRNYAAAAIAQAADwAAAAAAAAAB&#10;ACAAAAAiAAAAZHJzL2Rvd25yZXYueG1sUEsBAhQAFAAAAAgAh07iQGNfGfPZAQAAogMAAA4AAAAA&#10;AAAAAQAgAAAAJQEAAGRycy9lMm9Eb2MueG1sUEsFBgAAAAAGAAYAWQEAAHAFAAAAAA==&#10;">
                      <v:fill on="f" focussize="0,0"/>
                      <v:stroke color="#000000" joinstyle="round"/>
                      <v:imagedata o:title=""/>
                      <o:lock v:ext="edit" aspectratio="f"/>
                    </v:line>
                  </w:pict>
                </mc:Fallback>
              </mc:AlternateContent>
            </w:r>
          </w:p>
          <w:p>
            <w:pPr>
              <w:pStyle w:val="9"/>
              <w:spacing w:line="400" w:lineRule="exact"/>
              <w:ind w:left="25"/>
              <w:rPr>
                <w:rFonts w:hAnsi="宋体"/>
                <w:color w:val="auto"/>
                <w:szCs w:val="21"/>
                <w:highlight w:val="none"/>
              </w:rPr>
            </w:pPr>
            <w:r>
              <w:rPr>
                <w:rFonts w:hint="eastAsia" w:hAnsi="宋体"/>
                <w:color w:val="auto"/>
                <w:szCs w:val="21"/>
                <w:highlight w:val="none"/>
              </w:rPr>
              <w:t>中标金额（万元）</w:t>
            </w:r>
          </w:p>
        </w:tc>
        <w:tc>
          <w:tcPr>
            <w:tcW w:w="1841" w:type="dxa"/>
            <w:vAlign w:val="center"/>
          </w:tcPr>
          <w:p>
            <w:pPr>
              <w:pStyle w:val="9"/>
              <w:spacing w:line="400" w:lineRule="exact"/>
              <w:ind w:left="25"/>
              <w:jc w:val="center"/>
              <w:rPr>
                <w:rFonts w:hAnsi="宋体"/>
                <w:color w:val="auto"/>
                <w:szCs w:val="21"/>
                <w:highlight w:val="none"/>
              </w:rPr>
            </w:pPr>
            <w:r>
              <w:rPr>
                <w:rFonts w:hint="eastAsia" w:hAnsi="宋体"/>
                <w:color w:val="auto"/>
                <w:szCs w:val="21"/>
                <w:highlight w:val="none"/>
              </w:rPr>
              <w:t>货物招标</w:t>
            </w:r>
          </w:p>
        </w:tc>
        <w:tc>
          <w:tcPr>
            <w:tcW w:w="1992" w:type="dxa"/>
            <w:vAlign w:val="center"/>
          </w:tcPr>
          <w:p>
            <w:pPr>
              <w:pStyle w:val="9"/>
              <w:spacing w:line="400" w:lineRule="exact"/>
              <w:ind w:left="25"/>
              <w:jc w:val="center"/>
              <w:rPr>
                <w:rFonts w:hAnsi="宋体"/>
                <w:color w:val="auto"/>
                <w:szCs w:val="21"/>
                <w:highlight w:val="none"/>
              </w:rPr>
            </w:pPr>
            <w:r>
              <w:rPr>
                <w:rFonts w:hint="eastAsia" w:hAnsi="宋体"/>
                <w:color w:val="auto"/>
                <w:szCs w:val="21"/>
                <w:highlight w:val="none"/>
              </w:rPr>
              <w:t>服务招标</w:t>
            </w:r>
          </w:p>
        </w:tc>
        <w:tc>
          <w:tcPr>
            <w:tcW w:w="2293" w:type="dxa"/>
            <w:vAlign w:val="center"/>
          </w:tcPr>
          <w:p>
            <w:pPr>
              <w:pStyle w:val="9"/>
              <w:spacing w:line="400" w:lineRule="exact"/>
              <w:ind w:left="25"/>
              <w:jc w:val="center"/>
              <w:rPr>
                <w:rFonts w:hAnsi="宋体"/>
                <w:color w:val="auto"/>
                <w:szCs w:val="21"/>
                <w:highlight w:val="none"/>
              </w:rPr>
            </w:pPr>
            <w:r>
              <w:rPr>
                <w:rFonts w:hint="eastAsia" w:hAnsi="宋体"/>
                <w:color w:val="auto"/>
                <w:szCs w:val="21"/>
                <w:highlight w:val="none"/>
              </w:rPr>
              <w:t>工程招标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 w:hRule="atLeast"/>
        </w:trPr>
        <w:tc>
          <w:tcPr>
            <w:tcW w:w="2880" w:type="dxa"/>
          </w:tcPr>
          <w:p>
            <w:pPr>
              <w:pStyle w:val="9"/>
              <w:spacing w:line="400" w:lineRule="exact"/>
              <w:ind w:left="25"/>
              <w:rPr>
                <w:rFonts w:hAnsi="宋体"/>
                <w:color w:val="auto"/>
                <w:szCs w:val="21"/>
                <w:highlight w:val="none"/>
              </w:rPr>
            </w:pPr>
            <w:r>
              <w:rPr>
                <w:rFonts w:hint="eastAsia" w:hAnsi="宋体"/>
                <w:color w:val="auto"/>
                <w:szCs w:val="21"/>
                <w:highlight w:val="none"/>
              </w:rPr>
              <w:t>100以下</w:t>
            </w:r>
          </w:p>
        </w:tc>
        <w:tc>
          <w:tcPr>
            <w:tcW w:w="1841" w:type="dxa"/>
          </w:tcPr>
          <w:p>
            <w:pPr>
              <w:pStyle w:val="9"/>
              <w:spacing w:line="400" w:lineRule="exact"/>
              <w:ind w:left="25"/>
              <w:jc w:val="center"/>
              <w:rPr>
                <w:rFonts w:hAnsi="宋体"/>
                <w:color w:val="auto"/>
                <w:szCs w:val="21"/>
                <w:highlight w:val="none"/>
              </w:rPr>
            </w:pPr>
            <w:r>
              <w:rPr>
                <w:rFonts w:hint="eastAsia" w:hAnsi="宋体"/>
                <w:color w:val="auto"/>
                <w:szCs w:val="21"/>
                <w:highlight w:val="none"/>
              </w:rPr>
              <w:t>1.5%</w:t>
            </w:r>
          </w:p>
        </w:tc>
        <w:tc>
          <w:tcPr>
            <w:tcW w:w="1992" w:type="dxa"/>
          </w:tcPr>
          <w:p>
            <w:pPr>
              <w:pStyle w:val="9"/>
              <w:spacing w:line="400" w:lineRule="exact"/>
              <w:ind w:left="25"/>
              <w:jc w:val="center"/>
              <w:rPr>
                <w:rFonts w:hAnsi="宋体"/>
                <w:color w:val="auto"/>
                <w:szCs w:val="21"/>
                <w:highlight w:val="none"/>
              </w:rPr>
            </w:pPr>
            <w:r>
              <w:rPr>
                <w:rFonts w:hint="eastAsia" w:hAnsi="宋体"/>
                <w:color w:val="auto"/>
                <w:szCs w:val="21"/>
                <w:highlight w:val="none"/>
              </w:rPr>
              <w:t>1.5%</w:t>
            </w:r>
          </w:p>
        </w:tc>
        <w:tc>
          <w:tcPr>
            <w:tcW w:w="2293" w:type="dxa"/>
          </w:tcPr>
          <w:p>
            <w:pPr>
              <w:pStyle w:val="9"/>
              <w:spacing w:line="400" w:lineRule="exact"/>
              <w:ind w:left="25"/>
              <w:jc w:val="center"/>
              <w:rPr>
                <w:rFonts w:hAnsi="宋体"/>
                <w:color w:val="auto"/>
                <w:szCs w:val="21"/>
                <w:highlight w:val="none"/>
              </w:rPr>
            </w:pPr>
            <w:r>
              <w:rPr>
                <w:rFonts w:hint="eastAsia" w:hAnsi="宋体"/>
                <w:color w:val="auto"/>
                <w:szCs w:val="21"/>
                <w:highlight w:val="none"/>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 w:hRule="atLeast"/>
        </w:trPr>
        <w:tc>
          <w:tcPr>
            <w:tcW w:w="2880" w:type="dxa"/>
          </w:tcPr>
          <w:p>
            <w:pPr>
              <w:pStyle w:val="9"/>
              <w:spacing w:line="400" w:lineRule="exact"/>
              <w:ind w:left="25"/>
              <w:rPr>
                <w:rFonts w:hAnsi="宋体"/>
                <w:color w:val="auto"/>
                <w:szCs w:val="21"/>
                <w:highlight w:val="none"/>
              </w:rPr>
            </w:pPr>
            <w:r>
              <w:rPr>
                <w:rFonts w:hint="eastAsia" w:hAnsi="宋体"/>
                <w:color w:val="auto"/>
                <w:szCs w:val="21"/>
                <w:highlight w:val="none"/>
              </w:rPr>
              <w:t>100-500</w:t>
            </w:r>
          </w:p>
        </w:tc>
        <w:tc>
          <w:tcPr>
            <w:tcW w:w="1841" w:type="dxa"/>
          </w:tcPr>
          <w:p>
            <w:pPr>
              <w:pStyle w:val="9"/>
              <w:spacing w:line="400" w:lineRule="exact"/>
              <w:ind w:left="25"/>
              <w:jc w:val="center"/>
              <w:rPr>
                <w:rFonts w:hAnsi="宋体"/>
                <w:color w:val="auto"/>
                <w:szCs w:val="21"/>
                <w:highlight w:val="none"/>
              </w:rPr>
            </w:pPr>
            <w:r>
              <w:rPr>
                <w:rFonts w:hint="eastAsia" w:hAnsi="宋体"/>
                <w:color w:val="auto"/>
                <w:szCs w:val="21"/>
                <w:highlight w:val="none"/>
              </w:rPr>
              <w:t>1.1%</w:t>
            </w:r>
          </w:p>
        </w:tc>
        <w:tc>
          <w:tcPr>
            <w:tcW w:w="1992" w:type="dxa"/>
          </w:tcPr>
          <w:p>
            <w:pPr>
              <w:pStyle w:val="9"/>
              <w:spacing w:line="400" w:lineRule="exact"/>
              <w:ind w:left="25"/>
              <w:jc w:val="center"/>
              <w:rPr>
                <w:rFonts w:hAnsi="宋体"/>
                <w:color w:val="auto"/>
                <w:szCs w:val="21"/>
                <w:highlight w:val="none"/>
              </w:rPr>
            </w:pPr>
            <w:r>
              <w:rPr>
                <w:rFonts w:hint="eastAsia" w:hAnsi="宋体"/>
                <w:color w:val="auto"/>
                <w:szCs w:val="21"/>
                <w:highlight w:val="none"/>
              </w:rPr>
              <w:t>0.8%</w:t>
            </w:r>
          </w:p>
        </w:tc>
        <w:tc>
          <w:tcPr>
            <w:tcW w:w="2293" w:type="dxa"/>
          </w:tcPr>
          <w:p>
            <w:pPr>
              <w:pStyle w:val="9"/>
              <w:spacing w:line="400" w:lineRule="exact"/>
              <w:ind w:left="25"/>
              <w:jc w:val="center"/>
              <w:rPr>
                <w:rFonts w:hAnsi="宋体"/>
                <w:color w:val="auto"/>
                <w:szCs w:val="21"/>
                <w:highlight w:val="none"/>
              </w:rPr>
            </w:pPr>
            <w:r>
              <w:rPr>
                <w:rFonts w:hint="eastAsia" w:hAnsi="宋体"/>
                <w:color w:val="auto"/>
                <w:szCs w:val="21"/>
                <w:highlight w:val="none"/>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trPr>
        <w:tc>
          <w:tcPr>
            <w:tcW w:w="2880" w:type="dxa"/>
          </w:tcPr>
          <w:p>
            <w:pPr>
              <w:pStyle w:val="9"/>
              <w:spacing w:line="400" w:lineRule="exact"/>
              <w:ind w:left="25"/>
              <w:rPr>
                <w:rFonts w:hAnsi="宋体"/>
                <w:color w:val="auto"/>
                <w:szCs w:val="21"/>
                <w:highlight w:val="none"/>
              </w:rPr>
            </w:pPr>
            <w:r>
              <w:rPr>
                <w:rFonts w:hint="eastAsia" w:hAnsi="宋体"/>
                <w:color w:val="auto"/>
                <w:szCs w:val="21"/>
                <w:highlight w:val="none"/>
              </w:rPr>
              <w:t>500-1000</w:t>
            </w:r>
          </w:p>
        </w:tc>
        <w:tc>
          <w:tcPr>
            <w:tcW w:w="1841" w:type="dxa"/>
          </w:tcPr>
          <w:p>
            <w:pPr>
              <w:pStyle w:val="9"/>
              <w:spacing w:line="400" w:lineRule="exact"/>
              <w:ind w:left="25"/>
              <w:jc w:val="center"/>
              <w:rPr>
                <w:rFonts w:hAnsi="宋体"/>
                <w:color w:val="auto"/>
                <w:szCs w:val="21"/>
                <w:highlight w:val="none"/>
              </w:rPr>
            </w:pPr>
            <w:r>
              <w:rPr>
                <w:rFonts w:hint="eastAsia" w:hAnsi="宋体"/>
                <w:color w:val="auto"/>
                <w:szCs w:val="21"/>
                <w:highlight w:val="none"/>
              </w:rPr>
              <w:t>0.8%</w:t>
            </w:r>
          </w:p>
        </w:tc>
        <w:tc>
          <w:tcPr>
            <w:tcW w:w="1992" w:type="dxa"/>
          </w:tcPr>
          <w:p>
            <w:pPr>
              <w:pStyle w:val="9"/>
              <w:spacing w:line="400" w:lineRule="exact"/>
              <w:ind w:left="25"/>
              <w:jc w:val="center"/>
              <w:rPr>
                <w:rFonts w:hAnsi="宋体"/>
                <w:color w:val="auto"/>
                <w:szCs w:val="21"/>
                <w:highlight w:val="none"/>
              </w:rPr>
            </w:pPr>
            <w:r>
              <w:rPr>
                <w:rFonts w:hint="eastAsia" w:hAnsi="宋体"/>
                <w:color w:val="auto"/>
                <w:szCs w:val="21"/>
                <w:highlight w:val="none"/>
              </w:rPr>
              <w:t>0.45%</w:t>
            </w:r>
          </w:p>
        </w:tc>
        <w:tc>
          <w:tcPr>
            <w:tcW w:w="2293" w:type="dxa"/>
          </w:tcPr>
          <w:p>
            <w:pPr>
              <w:pStyle w:val="9"/>
              <w:spacing w:line="400" w:lineRule="exact"/>
              <w:ind w:left="25"/>
              <w:jc w:val="center"/>
              <w:rPr>
                <w:rFonts w:hAnsi="宋体"/>
                <w:color w:val="auto"/>
                <w:szCs w:val="21"/>
                <w:highlight w:val="none"/>
              </w:rPr>
            </w:pPr>
            <w:r>
              <w:rPr>
                <w:rFonts w:hint="eastAsia" w:hAnsi="宋体"/>
                <w:color w:val="auto"/>
                <w:szCs w:val="21"/>
                <w:highlight w:val="none"/>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trPr>
        <w:tc>
          <w:tcPr>
            <w:tcW w:w="2880" w:type="dxa"/>
          </w:tcPr>
          <w:p>
            <w:pPr>
              <w:pStyle w:val="9"/>
              <w:spacing w:line="400" w:lineRule="exact"/>
              <w:ind w:left="25"/>
              <w:rPr>
                <w:rFonts w:hAnsi="宋体"/>
                <w:color w:val="auto"/>
                <w:szCs w:val="21"/>
                <w:highlight w:val="none"/>
              </w:rPr>
            </w:pPr>
            <w:r>
              <w:rPr>
                <w:rFonts w:hint="eastAsia" w:hAnsi="宋体"/>
                <w:color w:val="auto"/>
                <w:szCs w:val="21"/>
                <w:highlight w:val="none"/>
              </w:rPr>
              <w:t>1000-5000</w:t>
            </w:r>
          </w:p>
        </w:tc>
        <w:tc>
          <w:tcPr>
            <w:tcW w:w="1841" w:type="dxa"/>
          </w:tcPr>
          <w:p>
            <w:pPr>
              <w:pStyle w:val="9"/>
              <w:spacing w:line="400" w:lineRule="exact"/>
              <w:ind w:left="25"/>
              <w:jc w:val="center"/>
              <w:rPr>
                <w:rFonts w:hAnsi="宋体"/>
                <w:color w:val="auto"/>
                <w:szCs w:val="21"/>
                <w:highlight w:val="none"/>
              </w:rPr>
            </w:pPr>
            <w:r>
              <w:rPr>
                <w:rFonts w:hint="eastAsia" w:hAnsi="宋体"/>
                <w:color w:val="auto"/>
                <w:szCs w:val="21"/>
                <w:highlight w:val="none"/>
              </w:rPr>
              <w:t>0.5%</w:t>
            </w:r>
          </w:p>
        </w:tc>
        <w:tc>
          <w:tcPr>
            <w:tcW w:w="1992" w:type="dxa"/>
          </w:tcPr>
          <w:p>
            <w:pPr>
              <w:pStyle w:val="9"/>
              <w:spacing w:line="400" w:lineRule="exact"/>
              <w:ind w:left="25"/>
              <w:jc w:val="center"/>
              <w:rPr>
                <w:rFonts w:hAnsi="宋体"/>
                <w:color w:val="auto"/>
                <w:szCs w:val="21"/>
                <w:highlight w:val="none"/>
              </w:rPr>
            </w:pPr>
            <w:r>
              <w:rPr>
                <w:rFonts w:hint="eastAsia" w:hAnsi="宋体"/>
                <w:color w:val="auto"/>
                <w:szCs w:val="21"/>
                <w:highlight w:val="none"/>
              </w:rPr>
              <w:t>0.25%</w:t>
            </w:r>
          </w:p>
        </w:tc>
        <w:tc>
          <w:tcPr>
            <w:tcW w:w="2293" w:type="dxa"/>
          </w:tcPr>
          <w:p>
            <w:pPr>
              <w:pStyle w:val="9"/>
              <w:spacing w:line="400" w:lineRule="exact"/>
              <w:ind w:left="25"/>
              <w:jc w:val="center"/>
              <w:rPr>
                <w:rFonts w:hAnsi="宋体"/>
                <w:color w:val="auto"/>
                <w:szCs w:val="21"/>
                <w:highlight w:val="none"/>
              </w:rPr>
            </w:pPr>
            <w:r>
              <w:rPr>
                <w:rFonts w:hint="eastAsia" w:hAnsi="宋体"/>
                <w:color w:val="auto"/>
                <w:szCs w:val="21"/>
                <w:highlight w:val="none"/>
              </w:rPr>
              <w:t>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trPr>
        <w:tc>
          <w:tcPr>
            <w:tcW w:w="2880" w:type="dxa"/>
          </w:tcPr>
          <w:p>
            <w:pPr>
              <w:pStyle w:val="9"/>
              <w:spacing w:line="400" w:lineRule="exact"/>
              <w:ind w:left="25"/>
              <w:rPr>
                <w:rFonts w:hAnsi="宋体"/>
                <w:color w:val="auto"/>
                <w:szCs w:val="21"/>
                <w:highlight w:val="none"/>
              </w:rPr>
            </w:pPr>
            <w:r>
              <w:rPr>
                <w:rFonts w:hint="eastAsia" w:hAnsi="宋体"/>
                <w:color w:val="auto"/>
                <w:szCs w:val="21"/>
                <w:highlight w:val="none"/>
              </w:rPr>
              <w:t>5000-10000</w:t>
            </w:r>
          </w:p>
        </w:tc>
        <w:tc>
          <w:tcPr>
            <w:tcW w:w="1841" w:type="dxa"/>
          </w:tcPr>
          <w:p>
            <w:pPr>
              <w:pStyle w:val="9"/>
              <w:spacing w:line="400" w:lineRule="exact"/>
              <w:ind w:left="25"/>
              <w:jc w:val="center"/>
              <w:rPr>
                <w:rFonts w:hAnsi="宋体"/>
                <w:color w:val="auto"/>
                <w:szCs w:val="21"/>
                <w:highlight w:val="none"/>
              </w:rPr>
            </w:pPr>
            <w:r>
              <w:rPr>
                <w:rFonts w:hint="eastAsia" w:hAnsi="宋体"/>
                <w:color w:val="auto"/>
                <w:szCs w:val="21"/>
                <w:highlight w:val="none"/>
              </w:rPr>
              <w:t>0.25%</w:t>
            </w:r>
          </w:p>
        </w:tc>
        <w:tc>
          <w:tcPr>
            <w:tcW w:w="1992" w:type="dxa"/>
          </w:tcPr>
          <w:p>
            <w:pPr>
              <w:pStyle w:val="9"/>
              <w:spacing w:line="400" w:lineRule="exact"/>
              <w:ind w:left="25"/>
              <w:jc w:val="center"/>
              <w:rPr>
                <w:rFonts w:hAnsi="宋体"/>
                <w:color w:val="auto"/>
                <w:szCs w:val="21"/>
                <w:highlight w:val="none"/>
              </w:rPr>
            </w:pPr>
            <w:r>
              <w:rPr>
                <w:rFonts w:hint="eastAsia" w:hAnsi="宋体"/>
                <w:color w:val="auto"/>
                <w:szCs w:val="21"/>
                <w:highlight w:val="none"/>
              </w:rPr>
              <w:t>0.1%</w:t>
            </w:r>
          </w:p>
        </w:tc>
        <w:tc>
          <w:tcPr>
            <w:tcW w:w="2293" w:type="dxa"/>
          </w:tcPr>
          <w:p>
            <w:pPr>
              <w:pStyle w:val="9"/>
              <w:spacing w:line="400" w:lineRule="exact"/>
              <w:ind w:left="25"/>
              <w:jc w:val="center"/>
              <w:rPr>
                <w:rFonts w:hAnsi="宋体"/>
                <w:color w:val="auto"/>
                <w:szCs w:val="21"/>
                <w:highlight w:val="none"/>
              </w:rPr>
            </w:pPr>
            <w:r>
              <w:rPr>
                <w:rFonts w:hint="eastAsia" w:hAnsi="宋体"/>
                <w:color w:val="auto"/>
                <w:szCs w:val="21"/>
                <w:highlight w:val="none"/>
              </w:rPr>
              <w:t>0.2%</w:t>
            </w:r>
          </w:p>
        </w:tc>
      </w:tr>
    </w:tbl>
    <w:p>
      <w:pPr>
        <w:pStyle w:val="9"/>
        <w:spacing w:line="400" w:lineRule="exact"/>
        <w:ind w:left="25"/>
        <w:rPr>
          <w:rFonts w:hAnsi="宋体"/>
          <w:color w:val="auto"/>
          <w:szCs w:val="21"/>
          <w:highlight w:val="none"/>
        </w:rPr>
      </w:pPr>
      <w:r>
        <w:rPr>
          <w:rFonts w:hint="eastAsia" w:hAnsi="宋体"/>
          <w:color w:val="auto"/>
          <w:szCs w:val="21"/>
          <w:highlight w:val="none"/>
        </w:rPr>
        <w:t xml:space="preserve">  注：招标代理服务收费按差额定率累进法计算。</w:t>
      </w:r>
    </w:p>
    <w:p>
      <w:pPr>
        <w:pStyle w:val="5"/>
        <w:spacing w:line="400" w:lineRule="exact"/>
        <w:rPr>
          <w:color w:val="auto"/>
          <w:szCs w:val="21"/>
          <w:highlight w:val="none"/>
        </w:rPr>
      </w:pPr>
      <w:r>
        <w:rPr>
          <w:rFonts w:hint="eastAsia"/>
          <w:color w:val="auto"/>
          <w:highlight w:val="none"/>
        </w:rPr>
        <w:t>37.招标代理服务费缴纳账户：</w:t>
      </w:r>
    </w:p>
    <w:p>
      <w:pPr>
        <w:widowControl/>
        <w:spacing w:line="400" w:lineRule="exact"/>
        <w:ind w:firstLine="420"/>
        <w:jc w:val="left"/>
        <w:rPr>
          <w:rFonts w:ascii="宋体"/>
          <w:color w:val="auto"/>
          <w:highlight w:val="none"/>
        </w:rPr>
      </w:pPr>
      <w:r>
        <w:rPr>
          <w:rFonts w:hint="eastAsia" w:ascii="宋体"/>
          <w:color w:val="auto"/>
          <w:highlight w:val="none"/>
        </w:rPr>
        <w:t xml:space="preserve">  账户名称：广西桂林华禹水利水电工程咨询有限公司</w:t>
      </w:r>
    </w:p>
    <w:p>
      <w:pPr>
        <w:widowControl/>
        <w:spacing w:line="400" w:lineRule="exact"/>
        <w:ind w:firstLine="420"/>
        <w:jc w:val="left"/>
        <w:rPr>
          <w:rFonts w:ascii="宋体"/>
          <w:color w:val="auto"/>
          <w:highlight w:val="none"/>
        </w:rPr>
      </w:pPr>
      <w:r>
        <w:rPr>
          <w:rFonts w:hint="eastAsia" w:ascii="宋体"/>
          <w:color w:val="auto"/>
          <w:highlight w:val="none"/>
        </w:rPr>
        <w:t xml:space="preserve">  开户行：广西桂林漓江农村合作银行解西支行</w:t>
      </w:r>
    </w:p>
    <w:p>
      <w:pPr>
        <w:widowControl/>
        <w:spacing w:line="400" w:lineRule="exact"/>
        <w:ind w:firstLine="420"/>
        <w:jc w:val="left"/>
        <w:rPr>
          <w:rFonts w:ascii="宋体"/>
          <w:color w:val="auto"/>
          <w:highlight w:val="none"/>
        </w:rPr>
      </w:pPr>
      <w:r>
        <w:rPr>
          <w:rFonts w:hint="eastAsia" w:ascii="宋体"/>
          <w:color w:val="auto"/>
          <w:highlight w:val="none"/>
        </w:rPr>
        <w:t xml:space="preserve">  账  号：3607 0120 4000 1078</w:t>
      </w:r>
    </w:p>
    <w:p>
      <w:pPr>
        <w:pStyle w:val="5"/>
        <w:spacing w:line="400" w:lineRule="exact"/>
        <w:rPr>
          <w:color w:val="auto"/>
          <w:highlight w:val="none"/>
        </w:rPr>
      </w:pPr>
      <w:r>
        <w:rPr>
          <w:rFonts w:hint="eastAsia"/>
          <w:color w:val="auto"/>
          <w:highlight w:val="none"/>
        </w:rPr>
        <w:t>38. 投标文件电子版：</w:t>
      </w:r>
    </w:p>
    <w:p>
      <w:pPr>
        <w:pStyle w:val="9"/>
        <w:snapToGrid w:val="0"/>
        <w:spacing w:line="400" w:lineRule="exact"/>
        <w:ind w:firstLine="426" w:firstLineChars="200"/>
        <w:rPr>
          <w:rFonts w:hAnsi="宋体"/>
          <w:b/>
          <w:color w:val="auto"/>
          <w:szCs w:val="21"/>
          <w:highlight w:val="none"/>
        </w:rPr>
      </w:pPr>
      <w:r>
        <w:rPr>
          <w:rFonts w:hint="eastAsia" w:hAnsi="宋体"/>
          <w:color w:val="auto"/>
          <w:szCs w:val="21"/>
          <w:highlight w:val="none"/>
        </w:rPr>
        <w:t>投标人在递交投标文件时，同时递交投标文件电子版。具体要求详见“投标人须知前附表”。</w:t>
      </w:r>
    </w:p>
    <w:p>
      <w:pPr>
        <w:pStyle w:val="5"/>
        <w:spacing w:line="400" w:lineRule="exact"/>
        <w:rPr>
          <w:color w:val="auto"/>
          <w:highlight w:val="none"/>
        </w:rPr>
      </w:pPr>
      <w:r>
        <w:rPr>
          <w:rFonts w:hint="eastAsia"/>
          <w:color w:val="auto"/>
          <w:highlight w:val="none"/>
        </w:rPr>
        <w:t>39. 解释权：</w:t>
      </w:r>
    </w:p>
    <w:p>
      <w:pPr>
        <w:pStyle w:val="9"/>
        <w:snapToGrid w:val="0"/>
        <w:spacing w:line="400" w:lineRule="exact"/>
        <w:ind w:firstLine="426" w:firstLineChars="200"/>
        <w:rPr>
          <w:rFonts w:hAnsi="宋体"/>
          <w:color w:val="auto"/>
          <w:szCs w:val="21"/>
          <w:highlight w:val="none"/>
        </w:rPr>
      </w:pPr>
      <w:r>
        <w:rPr>
          <w:rFonts w:hint="eastAsia" w:hAnsi="宋体"/>
          <w:color w:val="auto"/>
          <w:szCs w:val="21"/>
          <w:highlight w:val="none"/>
        </w:rPr>
        <w:t>本招标文件是根据《中华人民共和国政府采购法》、《中华人民共和国政府采购法实施条例》和政府采购管理有关规定编制，本招标文件的解释权属于采购代理机构。</w:t>
      </w:r>
    </w:p>
    <w:p>
      <w:pPr>
        <w:pStyle w:val="5"/>
        <w:spacing w:line="400" w:lineRule="exact"/>
        <w:rPr>
          <w:color w:val="auto"/>
          <w:highlight w:val="none"/>
        </w:rPr>
      </w:pPr>
      <w:r>
        <w:rPr>
          <w:rFonts w:hint="eastAsia"/>
          <w:color w:val="auto"/>
          <w:highlight w:val="none"/>
        </w:rPr>
        <w:t>40. 监督管理机构：</w:t>
      </w:r>
    </w:p>
    <w:p>
      <w:pPr>
        <w:spacing w:line="400" w:lineRule="exact"/>
        <w:ind w:firstLine="426" w:firstLineChars="200"/>
        <w:rPr>
          <w:rFonts w:hAnsi="宋体"/>
          <w:color w:val="auto"/>
          <w:szCs w:val="21"/>
          <w:highlight w:val="none"/>
        </w:rPr>
      </w:pPr>
      <w:r>
        <w:rPr>
          <w:rFonts w:hint="eastAsia" w:hAnsi="宋体"/>
          <w:color w:val="auto"/>
          <w:szCs w:val="21"/>
          <w:highlight w:val="none"/>
        </w:rPr>
        <w:t>兴安县人民政府采购管理办公室</w:t>
      </w:r>
      <w:r>
        <w:rPr>
          <w:rFonts w:hAnsi="宋体"/>
          <w:color w:val="auto"/>
          <w:szCs w:val="21"/>
          <w:highlight w:val="none"/>
        </w:rPr>
        <w:t xml:space="preserve">   </w:t>
      </w:r>
      <w:r>
        <w:rPr>
          <w:rFonts w:hint="eastAsia" w:ascii="宋体" w:hAnsi="宋体" w:eastAsia="宋体" w:cs="宋体"/>
          <w:color w:val="auto"/>
          <w:szCs w:val="21"/>
          <w:highlight w:val="none"/>
        </w:rPr>
        <w:t xml:space="preserve">   电话：0773-6220651。</w:t>
      </w:r>
      <w:r>
        <w:rPr>
          <w:rFonts w:hAnsi="宋体"/>
          <w:color w:val="auto"/>
          <w:szCs w:val="21"/>
          <w:highlight w:val="none"/>
        </w:rPr>
        <w:br w:type="page"/>
      </w:r>
    </w:p>
    <w:p>
      <w:pPr>
        <w:pStyle w:val="3"/>
        <w:rPr>
          <w:color w:val="auto"/>
          <w:highlight w:val="none"/>
        </w:rPr>
      </w:pPr>
      <w:bookmarkStart w:id="2" w:name="_Toc53136854"/>
      <w:r>
        <w:rPr>
          <w:rFonts w:hint="eastAsia"/>
          <w:color w:val="auto"/>
          <w:highlight w:val="none"/>
        </w:rPr>
        <w:t>第三章 采购需求</w:t>
      </w:r>
      <w:bookmarkEnd w:id="2"/>
    </w:p>
    <w:p>
      <w:pPr>
        <w:pStyle w:val="4"/>
        <w:jc w:val="left"/>
        <w:rPr>
          <w:color w:val="auto"/>
          <w:highlight w:val="none"/>
        </w:rPr>
      </w:pPr>
      <w:r>
        <w:rPr>
          <w:rFonts w:hint="eastAsia"/>
          <w:color w:val="auto"/>
          <w:highlight w:val="none"/>
        </w:rPr>
        <w:t>一、规划编写内容</w:t>
      </w:r>
    </w:p>
    <w:p>
      <w:pPr>
        <w:widowControl/>
        <w:spacing w:line="360" w:lineRule="auto"/>
        <w:jc w:val="left"/>
        <w:rPr>
          <w:color w:val="auto"/>
          <w:highlight w:val="none"/>
        </w:rPr>
      </w:pPr>
      <w:r>
        <w:rPr>
          <w:rFonts w:hint="eastAsia"/>
          <w:color w:val="auto"/>
          <w:highlight w:val="none"/>
        </w:rPr>
        <w:t>《</w:t>
      </w:r>
      <w:r>
        <w:rPr>
          <w:rFonts w:hint="eastAsia" w:ascii="宋体" w:hAnsi="宋体" w:cs="宋体"/>
          <w:color w:val="auto"/>
          <w:szCs w:val="21"/>
          <w:highlight w:val="none"/>
        </w:rPr>
        <w:t>兴安县水安全保障“十四五”规划报告</w:t>
      </w:r>
      <w:r>
        <w:rPr>
          <w:rFonts w:hint="eastAsia"/>
          <w:color w:val="auto"/>
          <w:highlight w:val="none"/>
        </w:rPr>
        <w:t>》（以下简称《规划》）编写内容包括兴安县范围内防洪治涝、供水安全、水生态环境保护与修复、灌区提档升级、水文化挖掘、智慧河湖管理等。</w:t>
      </w:r>
    </w:p>
    <w:p>
      <w:pPr>
        <w:pStyle w:val="4"/>
        <w:jc w:val="left"/>
        <w:rPr>
          <w:color w:val="auto"/>
          <w:highlight w:val="none"/>
        </w:rPr>
      </w:pPr>
      <w:r>
        <w:rPr>
          <w:rFonts w:hint="eastAsia"/>
          <w:color w:val="auto"/>
          <w:highlight w:val="none"/>
        </w:rPr>
        <w:t>二、规划编写质量要求</w:t>
      </w:r>
    </w:p>
    <w:p>
      <w:pPr>
        <w:widowControl/>
        <w:spacing w:line="360" w:lineRule="auto"/>
        <w:jc w:val="left"/>
        <w:rPr>
          <w:color w:val="auto"/>
          <w:highlight w:val="none"/>
        </w:rPr>
      </w:pPr>
      <w:r>
        <w:rPr>
          <w:rFonts w:hint="eastAsia"/>
          <w:color w:val="auto"/>
          <w:highlight w:val="none"/>
        </w:rPr>
        <w:t>《规划》完成后，须提交桂林市水利局审查，并取得审查批文。</w:t>
      </w:r>
    </w:p>
    <w:p>
      <w:pPr>
        <w:pStyle w:val="4"/>
        <w:jc w:val="left"/>
        <w:rPr>
          <w:color w:val="auto"/>
          <w:highlight w:val="none"/>
        </w:rPr>
      </w:pPr>
      <w:r>
        <w:rPr>
          <w:rFonts w:hint="eastAsia"/>
          <w:color w:val="auto"/>
          <w:highlight w:val="none"/>
        </w:rPr>
        <w:t>三、费用要求</w:t>
      </w:r>
    </w:p>
    <w:p>
      <w:pPr>
        <w:pStyle w:val="2"/>
        <w:spacing w:line="360" w:lineRule="auto"/>
        <w:rPr>
          <w:color w:val="auto"/>
          <w:highlight w:val="none"/>
        </w:rPr>
      </w:pPr>
      <w:r>
        <w:rPr>
          <w:rFonts w:hint="eastAsia"/>
          <w:color w:val="auto"/>
          <w:highlight w:val="none"/>
        </w:rPr>
        <w:t>招标代理服务费及《规划》评审费用均由中标方承担。</w:t>
      </w:r>
    </w:p>
    <w:p>
      <w:pPr>
        <w:pStyle w:val="2"/>
        <w:rPr>
          <w:color w:val="auto"/>
          <w:highlight w:val="none"/>
        </w:rPr>
      </w:pPr>
    </w:p>
    <w:p>
      <w:pPr>
        <w:widowControl/>
        <w:jc w:val="left"/>
        <w:rPr>
          <w:color w:val="auto"/>
          <w:highlight w:val="none"/>
        </w:rPr>
      </w:pPr>
      <w:r>
        <w:rPr>
          <w:color w:val="auto"/>
          <w:highlight w:val="none"/>
        </w:rPr>
        <w:br w:type="page"/>
      </w:r>
    </w:p>
    <w:p>
      <w:pPr>
        <w:pStyle w:val="3"/>
        <w:rPr>
          <w:color w:val="auto"/>
          <w:highlight w:val="none"/>
        </w:rPr>
      </w:pPr>
      <w:bookmarkStart w:id="3" w:name="_Toc53136855"/>
      <w:r>
        <w:rPr>
          <w:rFonts w:hint="eastAsia"/>
          <w:color w:val="auto"/>
          <w:highlight w:val="none"/>
        </w:rPr>
        <w:t>第四章 评标办法</w:t>
      </w:r>
      <w:bookmarkEnd w:id="3"/>
    </w:p>
    <w:p>
      <w:pPr>
        <w:pStyle w:val="4"/>
        <w:spacing w:line="400" w:lineRule="exact"/>
        <w:jc w:val="left"/>
        <w:rPr>
          <w:color w:val="auto"/>
          <w:highlight w:val="none"/>
        </w:rPr>
      </w:pPr>
      <w:r>
        <w:rPr>
          <w:rFonts w:hint="eastAsia"/>
          <w:color w:val="auto"/>
          <w:highlight w:val="none"/>
        </w:rPr>
        <w:t>一、评标原则</w:t>
      </w:r>
    </w:p>
    <w:p>
      <w:pPr>
        <w:pStyle w:val="9"/>
        <w:spacing w:line="400" w:lineRule="exact"/>
        <w:ind w:firstLine="426" w:firstLineChars="200"/>
        <w:rPr>
          <w:rFonts w:hAnsi="宋体"/>
          <w:color w:val="auto"/>
          <w:szCs w:val="21"/>
          <w:highlight w:val="none"/>
        </w:rPr>
      </w:pPr>
      <w:r>
        <w:rPr>
          <w:rFonts w:hint="eastAsia" w:hAnsi="宋体"/>
          <w:color w:val="auto"/>
          <w:szCs w:val="21"/>
          <w:highlight w:val="none"/>
        </w:rPr>
        <w:t>(一)“评标委员会”构成</w:t>
      </w:r>
    </w:p>
    <w:p>
      <w:pPr>
        <w:pStyle w:val="9"/>
        <w:spacing w:line="400" w:lineRule="exact"/>
        <w:ind w:firstLine="426" w:firstLineChars="200"/>
        <w:rPr>
          <w:rFonts w:hAnsi="宋体"/>
          <w:color w:val="auto"/>
          <w:szCs w:val="21"/>
          <w:highlight w:val="none"/>
        </w:rPr>
      </w:pPr>
      <w:r>
        <w:rPr>
          <w:rFonts w:hint="eastAsia" w:hAnsi="宋体"/>
          <w:color w:val="auto"/>
          <w:szCs w:val="21"/>
          <w:highlight w:val="none"/>
        </w:rPr>
        <w:t>本采购项目的“评标委员会”分别由聘请的专家、招标单位代表等有关人员构成。</w:t>
      </w:r>
      <w:r>
        <w:rPr>
          <w:rFonts w:hint="eastAsia" w:hAnsi="宋体"/>
          <w:bCs/>
          <w:color w:val="auto"/>
          <w:szCs w:val="21"/>
          <w:highlight w:val="none"/>
        </w:rPr>
        <w:t>成员人数为5人单数，其中</w:t>
      </w:r>
      <w:r>
        <w:rPr>
          <w:rFonts w:hint="eastAsia" w:hAnsi="宋体"/>
          <w:color w:val="auto"/>
          <w:szCs w:val="21"/>
          <w:highlight w:val="none"/>
        </w:rPr>
        <w:t>采购人指定代表1人，其余4人由</w:t>
      </w:r>
      <w:r>
        <w:rPr>
          <w:rFonts w:hAnsi="宋体"/>
          <w:color w:val="auto"/>
          <w:szCs w:val="21"/>
          <w:highlight w:val="none"/>
        </w:rPr>
        <w:t>于开标</w:t>
      </w:r>
      <w:r>
        <w:rPr>
          <w:rFonts w:hint="eastAsia" w:hAnsi="宋体"/>
          <w:color w:val="auto"/>
          <w:szCs w:val="21"/>
          <w:highlight w:val="none"/>
        </w:rPr>
        <w:t>的当</w:t>
      </w:r>
      <w:r>
        <w:rPr>
          <w:rFonts w:hAnsi="宋体"/>
          <w:color w:val="auto"/>
          <w:szCs w:val="21"/>
          <w:highlight w:val="none"/>
        </w:rPr>
        <w:t>天</w:t>
      </w:r>
      <w:r>
        <w:rPr>
          <w:rFonts w:hint="eastAsia" w:hAnsi="宋体"/>
          <w:color w:val="auto"/>
          <w:szCs w:val="21"/>
          <w:highlight w:val="none"/>
        </w:rPr>
        <w:t>从政府采购云平台中通过电脑随机抽取。</w:t>
      </w:r>
    </w:p>
    <w:p>
      <w:pPr>
        <w:pStyle w:val="9"/>
        <w:spacing w:line="400" w:lineRule="exact"/>
        <w:ind w:firstLine="426" w:firstLineChars="200"/>
        <w:rPr>
          <w:rFonts w:hAnsi="宋体"/>
          <w:color w:val="auto"/>
          <w:szCs w:val="21"/>
          <w:highlight w:val="none"/>
        </w:rPr>
      </w:pPr>
      <w:r>
        <w:rPr>
          <w:rFonts w:hint="eastAsia" w:hAnsi="宋体"/>
          <w:color w:val="auto"/>
          <w:szCs w:val="21"/>
          <w:highlight w:val="none"/>
        </w:rPr>
        <w:t xml:space="preserve"> (二)评标依据</w:t>
      </w:r>
    </w:p>
    <w:p>
      <w:pPr>
        <w:pStyle w:val="9"/>
        <w:spacing w:line="400" w:lineRule="exact"/>
        <w:ind w:firstLine="426" w:firstLineChars="200"/>
        <w:rPr>
          <w:rFonts w:hAnsi="宋体"/>
          <w:color w:val="auto"/>
          <w:szCs w:val="21"/>
          <w:highlight w:val="none"/>
        </w:rPr>
      </w:pPr>
      <w:r>
        <w:rPr>
          <w:rFonts w:hint="eastAsia" w:hAnsi="宋体"/>
          <w:color w:val="auto"/>
          <w:szCs w:val="21"/>
          <w:highlight w:val="none"/>
        </w:rPr>
        <w:t>“评标委员会”将以招标文件、投标文件为评标依据，对投标人的</w:t>
      </w:r>
      <w:r>
        <w:rPr>
          <w:rFonts w:hint="eastAsia" w:hAnsi="宋体"/>
          <w:b/>
          <w:color w:val="auto"/>
          <w:highlight w:val="none"/>
        </w:rPr>
        <w:t>价格分</w:t>
      </w:r>
      <w:r>
        <w:rPr>
          <w:rFonts w:hint="eastAsia" w:hAnsi="宋体"/>
          <w:b/>
          <w:color w:val="auto"/>
          <w:kern w:val="28"/>
          <w:szCs w:val="21"/>
          <w:highlight w:val="none"/>
        </w:rPr>
        <w:t>、</w:t>
      </w:r>
      <w:r>
        <w:rPr>
          <w:rFonts w:hint="eastAsia" w:hAnsi="宋体"/>
          <w:b/>
          <w:color w:val="auto"/>
          <w:highlight w:val="none"/>
        </w:rPr>
        <w:t>综合实力分</w:t>
      </w:r>
      <w:r>
        <w:rPr>
          <w:rFonts w:hint="eastAsia" w:hAnsi="宋体"/>
          <w:b/>
          <w:color w:val="auto"/>
          <w:szCs w:val="21"/>
          <w:highlight w:val="none"/>
        </w:rPr>
        <w:t>、</w:t>
      </w:r>
      <w:r>
        <w:rPr>
          <w:rFonts w:hint="eastAsia" w:hAnsi="宋体"/>
          <w:b/>
          <w:color w:val="auto"/>
          <w:highlight w:val="none"/>
        </w:rPr>
        <w:t>技术方案分、项目质量保证措施及服务承诺</w:t>
      </w:r>
      <w:r>
        <w:rPr>
          <w:rFonts w:hint="eastAsia" w:hAnsi="宋体"/>
          <w:color w:val="auto"/>
          <w:szCs w:val="21"/>
          <w:highlight w:val="none"/>
        </w:rPr>
        <w:t>等方面内容进行评审,</w:t>
      </w:r>
      <w:r>
        <w:rPr>
          <w:rFonts w:hint="eastAsia" w:hAnsi="宋体"/>
          <w:bCs/>
          <w:color w:val="auto"/>
          <w:szCs w:val="21"/>
          <w:highlight w:val="none"/>
        </w:rPr>
        <w:t xml:space="preserve"> 按百分制打分，满分100分。</w:t>
      </w:r>
    </w:p>
    <w:p>
      <w:pPr>
        <w:pStyle w:val="9"/>
        <w:spacing w:line="400" w:lineRule="exact"/>
        <w:ind w:firstLine="426" w:firstLineChars="200"/>
        <w:rPr>
          <w:rFonts w:hAnsi="宋体"/>
          <w:color w:val="auto"/>
          <w:szCs w:val="21"/>
          <w:highlight w:val="none"/>
        </w:rPr>
      </w:pPr>
      <w:r>
        <w:rPr>
          <w:rFonts w:hint="eastAsia" w:hAnsi="宋体"/>
          <w:color w:val="auto"/>
          <w:szCs w:val="21"/>
          <w:highlight w:val="none"/>
        </w:rPr>
        <w:t>(三)评标方式</w:t>
      </w:r>
    </w:p>
    <w:p>
      <w:pPr>
        <w:pStyle w:val="9"/>
        <w:spacing w:line="400" w:lineRule="exact"/>
        <w:ind w:firstLine="426" w:firstLineChars="200"/>
        <w:rPr>
          <w:rFonts w:hAnsi="宋体"/>
          <w:color w:val="auto"/>
          <w:szCs w:val="21"/>
          <w:highlight w:val="none"/>
        </w:rPr>
      </w:pPr>
      <w:r>
        <w:rPr>
          <w:rFonts w:hint="eastAsia" w:hAnsi="宋体"/>
          <w:color w:val="auto"/>
          <w:szCs w:val="21"/>
          <w:highlight w:val="none"/>
        </w:rPr>
        <w:t>以封闭方式进行评标。评标全过程中不允许投标人与“评标委员会”之间有可能影响到评标结果公正性的会面与谈话，以体现公平、公正的基本原则。</w:t>
      </w:r>
    </w:p>
    <w:p>
      <w:pPr>
        <w:pStyle w:val="4"/>
        <w:spacing w:line="400" w:lineRule="exact"/>
        <w:jc w:val="left"/>
        <w:rPr>
          <w:color w:val="auto"/>
          <w:highlight w:val="none"/>
        </w:rPr>
      </w:pPr>
      <w:r>
        <w:rPr>
          <w:rFonts w:hint="eastAsia"/>
          <w:color w:val="auto"/>
          <w:highlight w:val="none"/>
        </w:rPr>
        <w:t>二、评标办法</w:t>
      </w:r>
    </w:p>
    <w:p>
      <w:pPr>
        <w:pStyle w:val="9"/>
        <w:spacing w:line="400" w:lineRule="exact"/>
        <w:ind w:firstLine="320"/>
        <w:rPr>
          <w:rFonts w:hAnsi="宋体"/>
          <w:b/>
          <w:color w:val="auto"/>
          <w:szCs w:val="21"/>
          <w:highlight w:val="none"/>
        </w:rPr>
      </w:pPr>
      <w:r>
        <w:rPr>
          <w:rFonts w:hint="eastAsia" w:hAnsi="宋体"/>
          <w:b/>
          <w:color w:val="auto"/>
          <w:szCs w:val="21"/>
          <w:highlight w:val="none"/>
        </w:rPr>
        <w:t>采用综合评分法</w:t>
      </w:r>
    </w:p>
    <w:p>
      <w:pPr>
        <w:pStyle w:val="9"/>
        <w:spacing w:line="400" w:lineRule="exact"/>
        <w:ind w:firstLine="320"/>
        <w:rPr>
          <w:rFonts w:hAnsi="宋体"/>
          <w:color w:val="auto"/>
          <w:szCs w:val="21"/>
          <w:highlight w:val="none"/>
        </w:rPr>
      </w:pPr>
      <w:r>
        <w:rPr>
          <w:rFonts w:hint="eastAsia" w:hAnsi="宋体"/>
          <w:color w:val="auto"/>
          <w:szCs w:val="21"/>
          <w:highlight w:val="none"/>
        </w:rPr>
        <w:t>评审主要内容和分值范围如下：</w:t>
      </w:r>
    </w:p>
    <w:p>
      <w:pPr>
        <w:spacing w:line="400" w:lineRule="exact"/>
        <w:rPr>
          <w:rFonts w:hAnsi="宋体"/>
          <w:b/>
          <w:color w:val="auto"/>
          <w:highlight w:val="none"/>
        </w:rPr>
      </w:pPr>
      <w:r>
        <w:rPr>
          <w:rFonts w:hint="eastAsia" w:hAnsi="宋体"/>
          <w:b/>
          <w:color w:val="auto"/>
          <w:highlight w:val="none"/>
        </w:rPr>
        <w:t>1.价格分……………………………………………………………………………………………………30分</w:t>
      </w:r>
    </w:p>
    <w:p>
      <w:pPr>
        <w:spacing w:line="400" w:lineRule="exact"/>
        <w:ind w:firstLine="426" w:firstLineChars="200"/>
        <w:rPr>
          <w:rFonts w:ascii="宋体" w:hAnsi="宋体"/>
          <w:color w:val="auto"/>
          <w:szCs w:val="20"/>
          <w:highlight w:val="none"/>
        </w:rPr>
      </w:pPr>
      <w:r>
        <w:rPr>
          <w:rFonts w:hint="eastAsia" w:ascii="宋体" w:hAnsi="宋体"/>
          <w:color w:val="auto"/>
          <w:szCs w:val="20"/>
          <w:highlight w:val="none"/>
        </w:rPr>
        <w:t>（1）按照《政府采购促进中小企业发展暂行办法》（财库[2011]181号）规定：</w:t>
      </w:r>
    </w:p>
    <w:p>
      <w:pPr>
        <w:spacing w:line="400" w:lineRule="exact"/>
        <w:ind w:firstLine="426" w:firstLineChars="200"/>
        <w:rPr>
          <w:rFonts w:ascii="宋体" w:hAnsi="宋体"/>
          <w:color w:val="auto"/>
          <w:szCs w:val="20"/>
          <w:highlight w:val="none"/>
        </w:rPr>
      </w:pPr>
      <w:r>
        <w:rPr>
          <w:rFonts w:hint="eastAsia" w:ascii="宋体" w:hAnsi="宋体"/>
          <w:color w:val="auto"/>
          <w:szCs w:val="20"/>
          <w:highlight w:val="none"/>
        </w:rPr>
        <w:t>①对供应商认定为小型和微型企业且所投产品均为小型、微型企业产品的（以响应文件提供的符合规定的有关证明材料为准），投标报价给予10%的扣除，扣除后的价格为评标报价，即评标报价费率=投标报价费率×（1-10%）；</w:t>
      </w:r>
    </w:p>
    <w:p>
      <w:pPr>
        <w:spacing w:line="400" w:lineRule="exact"/>
        <w:ind w:firstLine="426" w:firstLineChars="200"/>
        <w:rPr>
          <w:rFonts w:ascii="宋体" w:hAnsi="宋体"/>
          <w:color w:val="auto"/>
          <w:szCs w:val="20"/>
          <w:highlight w:val="none"/>
        </w:rPr>
      </w:pPr>
      <w:r>
        <w:rPr>
          <w:rFonts w:hint="eastAsia" w:ascii="宋体" w:hAnsi="宋体"/>
          <w:color w:val="auto"/>
          <w:szCs w:val="20"/>
          <w:highlight w:val="none"/>
        </w:rPr>
        <w:t>②除上述情况外，评标报价费率=投标报价费率。</w:t>
      </w:r>
    </w:p>
    <w:p>
      <w:pPr>
        <w:spacing w:line="400" w:lineRule="exact"/>
        <w:ind w:firstLine="426" w:firstLineChars="200"/>
        <w:rPr>
          <w:rFonts w:ascii="宋体" w:hAnsi="宋体"/>
          <w:color w:val="auto"/>
          <w:highlight w:val="none"/>
        </w:rPr>
      </w:pPr>
      <w:r>
        <w:rPr>
          <w:rFonts w:hint="eastAsia" w:ascii="宋体" w:hAnsi="宋体"/>
          <w:b/>
          <w:color w:val="auto"/>
          <w:highlight w:val="none"/>
        </w:rPr>
        <w:t>注：小型、微型企业提供中型企业制造的货物的，视同为中型企业。</w:t>
      </w:r>
    </w:p>
    <w:p>
      <w:pPr>
        <w:spacing w:line="400" w:lineRule="exact"/>
        <w:ind w:firstLine="426" w:firstLineChars="200"/>
        <w:rPr>
          <w:rFonts w:ascii="宋体" w:hAnsi="宋体"/>
          <w:color w:val="auto"/>
          <w:szCs w:val="20"/>
          <w:highlight w:val="none"/>
        </w:rPr>
      </w:pPr>
      <w:r>
        <w:rPr>
          <w:rFonts w:hint="eastAsia" w:ascii="宋体" w:hAnsi="宋体"/>
          <w:color w:val="auto"/>
          <w:szCs w:val="20"/>
          <w:highlight w:val="none"/>
        </w:rPr>
        <w:t>（2）根据财政部、司法部关于政府采购支持监狱企业发展有关问题的通知（财库[2014]68号），监狱企业视同小型、微型企业，享受小型、微型企业评审中价格扣除的政府采购政策。</w:t>
      </w:r>
    </w:p>
    <w:p>
      <w:pPr>
        <w:spacing w:line="400" w:lineRule="exact"/>
        <w:ind w:firstLine="426" w:firstLineChars="200"/>
        <w:rPr>
          <w:rFonts w:ascii="宋体" w:hAnsi="宋体"/>
          <w:color w:val="auto"/>
          <w:szCs w:val="20"/>
          <w:highlight w:val="none"/>
        </w:rPr>
      </w:pPr>
      <w:r>
        <w:rPr>
          <w:rFonts w:hint="eastAsia" w:ascii="宋体" w:hAnsi="宋体"/>
          <w:color w:val="auto"/>
          <w:szCs w:val="20"/>
          <w:highlight w:val="none"/>
        </w:rPr>
        <w:t>（3）以进入评标的最低的评标报价费率为30分。</w:t>
      </w:r>
    </w:p>
    <w:p>
      <w:pPr>
        <w:spacing w:line="400" w:lineRule="exact"/>
        <w:ind w:firstLine="426" w:firstLineChars="200"/>
        <w:rPr>
          <w:rFonts w:ascii="宋体" w:hAnsi="宋体"/>
          <w:color w:val="auto"/>
          <w:szCs w:val="20"/>
          <w:highlight w:val="none"/>
        </w:rPr>
      </w:pPr>
      <w:r>
        <w:rPr>
          <w:rFonts w:hint="eastAsia" w:ascii="等线" w:hAnsi="等线"/>
          <w:color w:val="auto"/>
          <w:highlight w:val="none"/>
        </w:rPr>
        <w:t>投标基准价为</w:t>
      </w:r>
      <w:r>
        <w:rPr>
          <w:rFonts w:hint="eastAsia" w:ascii="宋体" w:hAnsi="宋体"/>
          <w:color w:val="auto"/>
          <w:szCs w:val="20"/>
          <w:highlight w:val="none"/>
        </w:rPr>
        <w:t xml:space="preserve">最低供应商评标报价费率。          </w:t>
      </w:r>
    </w:p>
    <w:p>
      <w:pPr>
        <w:spacing w:line="400" w:lineRule="exact"/>
        <w:ind w:firstLine="426" w:firstLineChars="200"/>
        <w:rPr>
          <w:rFonts w:ascii="宋体" w:hAnsi="宋体" w:eastAsia="宋体" w:cs="宋体"/>
          <w:bCs/>
          <w:color w:val="auto"/>
          <w:highlight w:val="none"/>
        </w:rPr>
      </w:pPr>
      <w:r>
        <w:rPr>
          <w:rFonts w:hint="eastAsia" w:ascii="宋体" w:hAnsi="宋体" w:eastAsia="宋体" w:cs="宋体"/>
          <w:color w:val="auto"/>
          <w:szCs w:val="20"/>
          <w:highlight w:val="none"/>
        </w:rPr>
        <w:t xml:space="preserve">（4）供应商价格分 = </w:t>
      </w:r>
      <w:r>
        <w:rPr>
          <w:rFonts w:hint="eastAsia" w:ascii="宋体" w:hAnsi="宋体" w:eastAsia="宋体" w:cs="宋体"/>
          <w:bCs/>
          <w:color w:val="auto"/>
          <w:highlight w:val="none"/>
        </w:rPr>
        <w:t xml:space="preserve">     </w:t>
      </w:r>
      <w:bookmarkStart w:id="4" w:name="_Hlk508704847"/>
      <w:r>
        <w:rPr>
          <w:rFonts w:hint="eastAsia" w:ascii="宋体" w:hAnsi="宋体" w:eastAsia="宋体" w:cs="宋体"/>
          <w:bCs/>
          <w:color w:val="auto"/>
          <w:highlight w:val="none"/>
        </w:rPr>
        <w:t>投标</w:t>
      </w:r>
      <w:r>
        <w:rPr>
          <w:rFonts w:hint="eastAsia" w:ascii="宋体" w:hAnsi="宋体" w:eastAsia="宋体" w:cs="宋体"/>
          <w:color w:val="auto"/>
          <w:highlight w:val="none"/>
        </w:rPr>
        <w:t>基准价</w:t>
      </w:r>
      <w:bookmarkEnd w:id="4"/>
      <w:r>
        <w:rPr>
          <w:rFonts w:hint="eastAsia" w:ascii="宋体" w:hAnsi="宋体" w:eastAsia="宋体" w:cs="宋体"/>
          <w:color w:val="auto"/>
          <w:szCs w:val="20"/>
          <w:highlight w:val="none"/>
        </w:rPr>
        <w:t>费率</w:t>
      </w:r>
      <w:r>
        <w:rPr>
          <w:rFonts w:hint="eastAsia" w:ascii="宋体" w:hAnsi="宋体" w:eastAsia="宋体" w:cs="宋体"/>
          <w:color w:val="auto"/>
          <w:highlight w:val="none"/>
        </w:rPr>
        <w:t xml:space="preserve">（%） </w:t>
      </w:r>
      <w:r>
        <w:rPr>
          <w:rFonts w:hint="eastAsia" w:ascii="宋体" w:hAnsi="宋体" w:eastAsia="宋体" w:cs="宋体"/>
          <w:bCs/>
          <w:color w:val="auto"/>
          <w:highlight w:val="none"/>
        </w:rPr>
        <w:t xml:space="preserve">    ×30分</w:t>
      </w:r>
    </w:p>
    <w:p>
      <w:pPr>
        <w:spacing w:line="400" w:lineRule="exact"/>
        <w:rPr>
          <w:rFonts w:ascii="宋体" w:hAnsi="宋体" w:eastAsia="宋体" w:cs="宋体"/>
          <w:bCs/>
          <w:color w:val="auto"/>
          <w:highlight w:val="none"/>
        </w:rPr>
      </w:pPr>
      <w:r>
        <w:rPr>
          <w:rFonts w:ascii="宋体" w:hAnsi="宋体" w:eastAsia="宋体" w:cs="宋体"/>
          <w:color w:val="auto"/>
          <w:highlight w:val="none"/>
        </w:rPr>
        <mc:AlternateContent>
          <mc:Choice Requires="wps">
            <w:drawing>
              <wp:anchor distT="0" distB="0" distL="114300" distR="114300" simplePos="0" relativeHeight="251668480" behindDoc="0" locked="0" layoutInCell="1" allowOverlap="1">
                <wp:simplePos x="0" y="0"/>
                <wp:positionH relativeFrom="column">
                  <wp:posOffset>1682115</wp:posOffset>
                </wp:positionH>
                <wp:positionV relativeFrom="paragraph">
                  <wp:posOffset>6350</wp:posOffset>
                </wp:positionV>
                <wp:extent cx="1725295" cy="10795"/>
                <wp:effectExtent l="0" t="4445" r="8255" b="13335"/>
                <wp:wrapNone/>
                <wp:docPr id="4" name="直接连接符 3"/>
                <wp:cNvGraphicFramePr/>
                <a:graphic xmlns:a="http://schemas.openxmlformats.org/drawingml/2006/main">
                  <a:graphicData uri="http://schemas.microsoft.com/office/word/2010/wordprocessingShape">
                    <wps:wsp>
                      <wps:cNvCnPr>
                        <a:cxnSpLocks noChangeShapeType="1"/>
                      </wps:cNvCnPr>
                      <wps:spPr bwMode="auto">
                        <a:xfrm>
                          <a:off x="0" y="0"/>
                          <a:ext cx="1725386" cy="10886"/>
                        </a:xfrm>
                        <a:prstGeom prst="line">
                          <a:avLst/>
                        </a:prstGeom>
                        <a:noFill/>
                        <a:ln w="9525">
                          <a:solidFill>
                            <a:srgbClr val="000000"/>
                          </a:solidFill>
                          <a:round/>
                        </a:ln>
                        <a:effectLst/>
                      </wps:spPr>
                      <wps:bodyPr/>
                    </wps:wsp>
                  </a:graphicData>
                </a:graphic>
              </wp:anchor>
            </w:drawing>
          </mc:Choice>
          <mc:Fallback>
            <w:pict>
              <v:line id="直接连接符 3" o:spid="_x0000_s1026" o:spt="20" style="position:absolute;left:0pt;margin-left:132.45pt;margin-top:0.5pt;height:0.85pt;width:135.85pt;z-index:251668480;mso-width-relative:page;mso-height-relative:page;" filled="f" stroked="t" coordsize="21600,21600" o:gfxdata="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pao5odQAAAAHAQAADwAAAAAAAAABACAAAAAiAAAA&#10;ZHJzL2Rvd25yZXYueG1sUEsBAhQAFAAAAAgAh07iQOUiKFTSAQAAbgMAAA4AAAAAAAAAAQAgAAAA&#10;IwEAAGRycy9lMm9Eb2MueG1sUEsFBgAAAAAGAAYAWQEAAGcFAAAAAA==&#10;">
                <v:fill on="f" focussize="0,0"/>
                <v:stroke color="#000000" joinstyle="round"/>
                <v:imagedata o:title=""/>
                <o:lock v:ext="edit" aspectratio="f"/>
              </v:line>
            </w:pict>
          </mc:Fallback>
        </mc:AlternateContent>
      </w:r>
      <w:r>
        <w:rPr>
          <w:rFonts w:hint="eastAsia" w:ascii="宋体" w:hAnsi="宋体" w:eastAsia="宋体" w:cs="宋体"/>
          <w:bCs/>
          <w:color w:val="auto"/>
          <w:highlight w:val="none"/>
        </w:rPr>
        <w:t xml:space="preserve">                           供应商</w:t>
      </w:r>
      <w:r>
        <w:rPr>
          <w:rFonts w:hint="eastAsia" w:ascii="宋体" w:hAnsi="宋体" w:eastAsia="宋体" w:cs="宋体"/>
          <w:color w:val="auto"/>
          <w:highlight w:val="none"/>
        </w:rPr>
        <w:t>评标报价</w:t>
      </w:r>
      <w:r>
        <w:rPr>
          <w:rFonts w:hint="eastAsia" w:ascii="宋体" w:hAnsi="宋体" w:eastAsia="宋体" w:cs="宋体"/>
          <w:color w:val="auto"/>
          <w:szCs w:val="20"/>
          <w:highlight w:val="none"/>
        </w:rPr>
        <w:t>费率</w:t>
      </w:r>
      <w:r>
        <w:rPr>
          <w:rFonts w:hint="eastAsia" w:ascii="宋体" w:hAnsi="宋体" w:eastAsia="宋体" w:cs="宋体"/>
          <w:color w:val="auto"/>
          <w:highlight w:val="none"/>
        </w:rPr>
        <w:t>（%）</w:t>
      </w:r>
      <w:r>
        <w:rPr>
          <w:rFonts w:hint="eastAsia" w:ascii="宋体" w:hAnsi="宋体" w:eastAsia="宋体" w:cs="宋体"/>
          <w:bCs/>
          <w:color w:val="auto"/>
          <w:highlight w:val="none"/>
        </w:rPr>
        <w:t xml:space="preserve">  </w:t>
      </w:r>
    </w:p>
    <w:p>
      <w:pPr>
        <w:spacing w:line="400" w:lineRule="exact"/>
        <w:rPr>
          <w:rFonts w:hAnsi="宋体"/>
          <w:b/>
          <w:color w:val="auto"/>
          <w:highlight w:val="none"/>
        </w:rPr>
      </w:pPr>
      <w:r>
        <w:rPr>
          <w:rFonts w:hint="eastAsia" w:hAnsi="宋体"/>
          <w:b/>
          <w:color w:val="auto"/>
          <w:highlight w:val="none"/>
        </w:rPr>
        <w:t>2.综合实力分</w:t>
      </w:r>
      <w:r>
        <w:rPr>
          <w:rFonts w:hAnsi="宋体"/>
          <w:b/>
          <w:color w:val="auto"/>
          <w:highlight w:val="none"/>
        </w:rPr>
        <w:t>……………………………………………………………</w:t>
      </w:r>
      <w:r>
        <w:rPr>
          <w:rFonts w:hint="eastAsia" w:hAnsi="宋体"/>
          <w:b/>
          <w:color w:val="auto"/>
          <w:highlight w:val="none"/>
        </w:rPr>
        <w:t>……………………………………45</w:t>
      </w:r>
      <w:r>
        <w:rPr>
          <w:rFonts w:hAnsi="宋体"/>
          <w:b/>
          <w:color w:val="auto"/>
          <w:highlight w:val="none"/>
        </w:rPr>
        <w:t>分</w:t>
      </w:r>
    </w:p>
    <w:p>
      <w:pPr>
        <w:spacing w:line="400" w:lineRule="exact"/>
        <w:ind w:firstLine="426" w:firstLineChars="200"/>
        <w:rPr>
          <w:rFonts w:ascii="宋体" w:hAnsi="宋体"/>
          <w:b/>
          <w:color w:val="auto"/>
          <w:highlight w:val="none"/>
        </w:rPr>
      </w:pPr>
      <w:r>
        <w:rPr>
          <w:rFonts w:hint="eastAsia" w:ascii="宋体" w:hAnsi="宋体"/>
          <w:b/>
          <w:color w:val="auto"/>
          <w:highlight w:val="none"/>
        </w:rPr>
        <w:t>（1）投标人类似业绩（满分13分）</w:t>
      </w:r>
    </w:p>
    <w:p>
      <w:pPr>
        <w:snapToGrid w:val="0"/>
        <w:spacing w:line="400" w:lineRule="exact"/>
        <w:ind w:firstLine="426" w:firstLineChars="200"/>
        <w:jc w:val="left"/>
        <w:rPr>
          <w:rFonts w:ascii="宋体" w:hAnsi="宋体"/>
          <w:color w:val="auto"/>
          <w:szCs w:val="20"/>
          <w:highlight w:val="none"/>
        </w:rPr>
      </w:pPr>
      <w:r>
        <w:rPr>
          <w:rFonts w:hint="eastAsia" w:ascii="宋体" w:hAnsi="宋体"/>
          <w:color w:val="auto"/>
          <w:szCs w:val="20"/>
          <w:highlight w:val="none"/>
        </w:rPr>
        <w:t>1）投标人2015年1月1日至今承担过水利工程设计项目业绩或水利工程规划项目业绩的每项得2分，最多得10分；若承担的业绩中有水安全规划业绩或水安全保证规划业绩的每项加1分，最多加3分。</w:t>
      </w:r>
    </w:p>
    <w:p>
      <w:pPr>
        <w:snapToGrid w:val="0"/>
        <w:spacing w:line="400" w:lineRule="exact"/>
        <w:ind w:firstLine="426" w:firstLineChars="200"/>
        <w:jc w:val="left"/>
        <w:rPr>
          <w:rFonts w:ascii="宋体" w:hAnsi="宋体"/>
          <w:color w:val="auto"/>
          <w:szCs w:val="20"/>
          <w:highlight w:val="none"/>
        </w:rPr>
      </w:pPr>
      <w:r>
        <w:rPr>
          <w:rFonts w:hint="eastAsia" w:ascii="宋体" w:hAnsi="宋体"/>
          <w:color w:val="auto"/>
          <w:szCs w:val="20"/>
          <w:highlight w:val="none"/>
        </w:rPr>
        <w:t>注：需提供合同复印件并加盖单位公章，否则不得分。</w:t>
      </w:r>
    </w:p>
    <w:p>
      <w:pPr>
        <w:spacing w:line="400" w:lineRule="exact"/>
        <w:ind w:firstLine="426" w:firstLineChars="200"/>
        <w:rPr>
          <w:rFonts w:ascii="宋体" w:hAnsi="宋体"/>
          <w:b/>
          <w:color w:val="auto"/>
          <w:highlight w:val="none"/>
        </w:rPr>
      </w:pPr>
      <w:r>
        <w:rPr>
          <w:rFonts w:hint="eastAsia" w:ascii="宋体" w:hAnsi="宋体"/>
          <w:b/>
          <w:color w:val="auto"/>
          <w:highlight w:val="none"/>
        </w:rPr>
        <w:t>（2）企业资信（满分10分）</w:t>
      </w:r>
    </w:p>
    <w:p>
      <w:pPr>
        <w:snapToGrid w:val="0"/>
        <w:spacing w:line="400" w:lineRule="exact"/>
        <w:ind w:firstLine="426" w:firstLineChars="200"/>
        <w:jc w:val="left"/>
        <w:rPr>
          <w:rFonts w:hAnsi="宋体" w:cs="宋体"/>
          <w:color w:val="auto"/>
          <w:szCs w:val="21"/>
          <w:highlight w:val="none"/>
          <w:shd w:val="clear" w:color="auto" w:fill="FFFFFF"/>
        </w:rPr>
      </w:pPr>
      <w:r>
        <w:rPr>
          <w:rFonts w:hint="eastAsia" w:ascii="宋体" w:hAnsi="宋体"/>
          <w:color w:val="auto"/>
          <w:szCs w:val="21"/>
          <w:highlight w:val="none"/>
        </w:rPr>
        <w:t>1）</w:t>
      </w:r>
      <w:r>
        <w:rPr>
          <w:rFonts w:hint="eastAsia" w:hAnsi="宋体" w:cs="宋体"/>
          <w:color w:val="auto"/>
          <w:szCs w:val="21"/>
          <w:highlight w:val="none"/>
          <w:shd w:val="clear" w:color="auto" w:fill="FFFFFF"/>
        </w:rPr>
        <w:t>具有工程咨询单位乙级资信证书（水利水电专业资信）的得2分；具有工程咨询单位甲级资信证书（水利水电专业资信）的得3分；具有工程咨询单位甲级资信证书（综合资信）的得4分；最高得</w:t>
      </w:r>
      <w:r>
        <w:rPr>
          <w:rFonts w:hint="eastAsia" w:hAnsi="宋体" w:cs="宋体"/>
          <w:color w:val="auto"/>
          <w:szCs w:val="21"/>
          <w:highlight w:val="none"/>
          <w:shd w:val="clear" w:color="auto" w:fill="FFFFFF"/>
          <w:lang w:val="en-US" w:eastAsia="zh-CN"/>
        </w:rPr>
        <w:t>4</w:t>
      </w:r>
      <w:r>
        <w:rPr>
          <w:rFonts w:hint="eastAsia" w:hAnsi="宋体" w:cs="宋体"/>
          <w:color w:val="auto"/>
          <w:szCs w:val="21"/>
          <w:highlight w:val="none"/>
          <w:shd w:val="clear" w:color="auto" w:fill="FFFFFF"/>
        </w:rPr>
        <w:t>分。</w:t>
      </w:r>
    </w:p>
    <w:p>
      <w:pPr>
        <w:snapToGrid w:val="0"/>
        <w:spacing w:line="400" w:lineRule="exact"/>
        <w:ind w:firstLine="426" w:firstLineChars="200"/>
        <w:jc w:val="left"/>
        <w:rPr>
          <w:rFonts w:hAnsi="宋体" w:cs="宋体"/>
          <w:color w:val="auto"/>
          <w:szCs w:val="21"/>
          <w:highlight w:val="none"/>
          <w:shd w:val="clear" w:color="auto" w:fill="FFFFFF"/>
        </w:rPr>
      </w:pPr>
      <w:r>
        <w:rPr>
          <w:rFonts w:hint="eastAsia" w:hAnsi="宋体" w:cs="宋体"/>
          <w:color w:val="auto"/>
          <w:szCs w:val="21"/>
          <w:highlight w:val="none"/>
          <w:shd w:val="clear" w:color="auto" w:fill="FFFFFF"/>
        </w:rPr>
        <w:t>2）具有城乡规划编制乙</w:t>
      </w:r>
      <w:bookmarkStart w:id="7" w:name="_GoBack"/>
      <w:bookmarkEnd w:id="7"/>
      <w:r>
        <w:rPr>
          <w:rFonts w:hint="eastAsia" w:hAnsi="宋体" w:cs="宋体"/>
          <w:color w:val="auto"/>
          <w:szCs w:val="21"/>
          <w:highlight w:val="none"/>
          <w:shd w:val="clear" w:color="auto" w:fill="FFFFFF"/>
        </w:rPr>
        <w:t>级资质的得1分；具有城乡规划编制甲级资质的得3分；最高得3分。</w:t>
      </w:r>
    </w:p>
    <w:p>
      <w:pPr>
        <w:snapToGrid w:val="0"/>
        <w:spacing w:line="400" w:lineRule="exact"/>
        <w:ind w:firstLine="426" w:firstLineChars="200"/>
        <w:jc w:val="left"/>
        <w:rPr>
          <w:color w:val="auto"/>
          <w:highlight w:val="none"/>
        </w:rPr>
      </w:pPr>
      <w:r>
        <w:rPr>
          <w:rFonts w:hint="eastAsia" w:hAnsi="宋体" w:cs="宋体"/>
          <w:color w:val="auto"/>
          <w:szCs w:val="21"/>
          <w:highlight w:val="none"/>
          <w:shd w:val="clear" w:color="auto" w:fill="FFFFFF"/>
        </w:rPr>
        <w:t>3）具有工程设计水利行业乙级资质的得1分；具有工程设计水利行业甲级资质的得2分；具有工程设计综合资质甲级的得3分；最高得3分。</w:t>
      </w:r>
    </w:p>
    <w:p>
      <w:pPr>
        <w:snapToGrid w:val="0"/>
        <w:spacing w:line="400" w:lineRule="exact"/>
        <w:ind w:firstLine="426" w:firstLineChars="200"/>
        <w:jc w:val="left"/>
        <w:rPr>
          <w:rFonts w:ascii="宋体" w:hAnsi="宋体"/>
          <w:color w:val="auto"/>
          <w:szCs w:val="20"/>
          <w:highlight w:val="none"/>
        </w:rPr>
      </w:pPr>
      <w:r>
        <w:rPr>
          <w:rFonts w:hint="eastAsia" w:ascii="宋体" w:hAnsi="宋体"/>
          <w:color w:val="auto"/>
          <w:szCs w:val="20"/>
          <w:highlight w:val="none"/>
        </w:rPr>
        <w:t>评审依据：提供资质证书清晰复印件并加盖单位公章，否则不得分。</w:t>
      </w:r>
    </w:p>
    <w:p>
      <w:pPr>
        <w:spacing w:line="400" w:lineRule="exact"/>
        <w:ind w:firstLine="426" w:firstLineChars="200"/>
        <w:rPr>
          <w:rFonts w:ascii="宋体" w:hAnsi="宋体"/>
          <w:b/>
          <w:color w:val="auto"/>
          <w:highlight w:val="none"/>
        </w:rPr>
      </w:pPr>
      <w:r>
        <w:rPr>
          <w:rFonts w:hint="eastAsia" w:ascii="宋体" w:hAnsi="宋体"/>
          <w:b/>
          <w:color w:val="auto"/>
          <w:highlight w:val="none"/>
        </w:rPr>
        <w:t>（3）拟投入本项目专业负责人（专总） （满分12分）</w:t>
      </w:r>
    </w:p>
    <w:p>
      <w:pPr>
        <w:snapToGrid w:val="0"/>
        <w:spacing w:line="400" w:lineRule="exact"/>
        <w:jc w:val="left"/>
        <w:rPr>
          <w:rFonts w:ascii="宋体" w:hAnsi="宋体"/>
          <w:color w:val="auto"/>
          <w:szCs w:val="20"/>
          <w:highlight w:val="none"/>
        </w:rPr>
      </w:pPr>
      <w:r>
        <w:rPr>
          <w:rFonts w:hint="eastAsia" w:ascii="宋体" w:hAnsi="宋体"/>
          <w:color w:val="auto"/>
          <w:szCs w:val="20"/>
          <w:highlight w:val="none"/>
        </w:rPr>
        <w:t xml:space="preserve">    拟派遣本项目专业负责人（专总）中工程地质、工程测量、水文水资源、水利工程规划设计（或水利水电工程规划）、水工（或水工结构）、环境工程（或环评）、水土保持、工程造价8个主要专业。每一个专业配备有人事主管部门颁发的工程师职称的得1分；每一个专业配备有人事主管部门颁发的高级工程师及以上职称的得1.5分。（同一个人只计最高分，同一个专业只计一次分，最多得10分。）（以职称证或注册证上注明的专业和等级为准，提供职称证或注册证复印件并加盖公章，否则不得分。提供社保部门出具最近三个月社保证明</w:t>
      </w:r>
      <w:r>
        <w:rPr>
          <w:rFonts w:ascii="宋体" w:hAnsi="宋体"/>
          <w:color w:val="auto"/>
          <w:szCs w:val="20"/>
          <w:highlight w:val="none"/>
        </w:rPr>
        <w:t>）</w:t>
      </w:r>
      <w:r>
        <w:rPr>
          <w:rFonts w:hint="eastAsia" w:ascii="宋体" w:hAnsi="宋体"/>
          <w:color w:val="auto"/>
          <w:szCs w:val="20"/>
          <w:highlight w:val="none"/>
        </w:rPr>
        <w:t>。</w:t>
      </w:r>
    </w:p>
    <w:p>
      <w:pPr>
        <w:spacing w:line="400" w:lineRule="exact"/>
        <w:ind w:firstLine="426" w:firstLineChars="200"/>
        <w:rPr>
          <w:rFonts w:ascii="宋体" w:hAnsi="宋体"/>
          <w:b/>
          <w:color w:val="auto"/>
          <w:highlight w:val="none"/>
        </w:rPr>
      </w:pPr>
      <w:r>
        <w:rPr>
          <w:rFonts w:hint="eastAsia" w:ascii="宋体" w:hAnsi="宋体"/>
          <w:b/>
          <w:color w:val="auto"/>
          <w:highlight w:val="none"/>
        </w:rPr>
        <w:t>（4）企业荣誉（满分10分）</w:t>
      </w:r>
    </w:p>
    <w:p>
      <w:pPr>
        <w:snapToGrid w:val="0"/>
        <w:spacing w:line="400" w:lineRule="exact"/>
        <w:ind w:firstLine="426" w:firstLineChars="200"/>
        <w:jc w:val="left"/>
        <w:rPr>
          <w:rFonts w:ascii="宋体" w:hAnsi="宋体"/>
          <w:color w:val="auto"/>
          <w:szCs w:val="20"/>
          <w:highlight w:val="none"/>
        </w:rPr>
      </w:pPr>
      <w:r>
        <w:rPr>
          <w:rFonts w:hint="eastAsia" w:ascii="宋体" w:hAnsi="宋体"/>
          <w:color w:val="auto"/>
          <w:szCs w:val="20"/>
          <w:highlight w:val="none"/>
        </w:rPr>
        <w:t>1）</w:t>
      </w:r>
      <w:r>
        <w:rPr>
          <w:rFonts w:ascii="宋体" w:hAnsi="宋体"/>
          <w:color w:val="auto"/>
          <w:szCs w:val="20"/>
          <w:highlight w:val="none"/>
        </w:rPr>
        <w:t>投标人</w:t>
      </w:r>
      <w:r>
        <w:rPr>
          <w:rFonts w:hint="eastAsia" w:ascii="宋体" w:hAnsi="宋体"/>
          <w:color w:val="auto"/>
          <w:szCs w:val="20"/>
          <w:highlight w:val="none"/>
        </w:rPr>
        <w:t>2015</w:t>
      </w:r>
      <w:r>
        <w:rPr>
          <w:rFonts w:ascii="宋体" w:hAnsi="宋体"/>
          <w:color w:val="auto"/>
          <w:szCs w:val="20"/>
          <w:highlight w:val="none"/>
        </w:rPr>
        <w:t>年</w:t>
      </w:r>
      <w:r>
        <w:rPr>
          <w:rFonts w:hint="eastAsia" w:ascii="宋体" w:hAnsi="宋体"/>
          <w:color w:val="auto"/>
          <w:szCs w:val="20"/>
          <w:highlight w:val="none"/>
        </w:rPr>
        <w:t>1</w:t>
      </w:r>
      <w:r>
        <w:rPr>
          <w:rFonts w:ascii="宋体" w:hAnsi="宋体"/>
          <w:color w:val="auto"/>
          <w:szCs w:val="20"/>
          <w:highlight w:val="none"/>
        </w:rPr>
        <w:t>月1日至</w:t>
      </w:r>
      <w:r>
        <w:rPr>
          <w:rFonts w:hint="eastAsia" w:ascii="宋体" w:hAnsi="宋体"/>
          <w:color w:val="auto"/>
          <w:szCs w:val="20"/>
          <w:highlight w:val="none"/>
        </w:rPr>
        <w:t>今（</w:t>
      </w:r>
      <w:r>
        <w:rPr>
          <w:rFonts w:ascii="宋体" w:hAnsi="宋体"/>
          <w:color w:val="auto"/>
          <w:szCs w:val="20"/>
          <w:highlight w:val="none"/>
        </w:rPr>
        <w:t>以</w:t>
      </w:r>
      <w:r>
        <w:rPr>
          <w:rFonts w:hint="eastAsia" w:ascii="宋体" w:hAnsi="宋体"/>
          <w:color w:val="auto"/>
          <w:szCs w:val="20"/>
          <w:highlight w:val="none"/>
        </w:rPr>
        <w:t>获奖证书上</w:t>
      </w:r>
      <w:r>
        <w:rPr>
          <w:rFonts w:ascii="宋体" w:hAnsi="宋体"/>
          <w:color w:val="auto"/>
          <w:szCs w:val="20"/>
          <w:highlight w:val="none"/>
        </w:rPr>
        <w:t>时间为准）</w:t>
      </w:r>
      <w:r>
        <w:rPr>
          <w:rFonts w:hint="eastAsia" w:ascii="宋体" w:hAnsi="宋体"/>
          <w:color w:val="auto"/>
          <w:szCs w:val="20"/>
          <w:highlight w:val="none"/>
        </w:rPr>
        <w:t>获得过省部级奖项的每项得1分，本项最多得4分。</w:t>
      </w:r>
    </w:p>
    <w:p>
      <w:pPr>
        <w:snapToGrid w:val="0"/>
        <w:spacing w:line="400" w:lineRule="exact"/>
        <w:ind w:firstLine="426" w:firstLineChars="200"/>
        <w:jc w:val="left"/>
        <w:rPr>
          <w:rFonts w:ascii="宋体" w:hAnsi="宋体"/>
          <w:color w:val="auto"/>
          <w:szCs w:val="20"/>
          <w:highlight w:val="none"/>
        </w:rPr>
      </w:pPr>
      <w:r>
        <w:rPr>
          <w:rFonts w:hint="eastAsia" w:ascii="宋体" w:hAnsi="宋体"/>
          <w:color w:val="auto"/>
          <w:szCs w:val="20"/>
          <w:highlight w:val="none"/>
        </w:rPr>
        <w:t>2）</w:t>
      </w:r>
      <w:r>
        <w:rPr>
          <w:rFonts w:ascii="宋体" w:hAnsi="宋体"/>
          <w:color w:val="auto"/>
          <w:szCs w:val="20"/>
          <w:highlight w:val="none"/>
        </w:rPr>
        <w:t>投标人</w:t>
      </w:r>
      <w:r>
        <w:rPr>
          <w:rFonts w:hint="eastAsia" w:ascii="宋体" w:hAnsi="宋体"/>
          <w:color w:val="auto"/>
          <w:szCs w:val="20"/>
          <w:highlight w:val="none"/>
        </w:rPr>
        <w:t>2015</w:t>
      </w:r>
      <w:r>
        <w:rPr>
          <w:rFonts w:ascii="宋体" w:hAnsi="宋体"/>
          <w:color w:val="auto"/>
          <w:szCs w:val="20"/>
          <w:highlight w:val="none"/>
        </w:rPr>
        <w:t>年</w:t>
      </w:r>
      <w:r>
        <w:rPr>
          <w:rFonts w:hint="eastAsia" w:ascii="宋体" w:hAnsi="宋体"/>
          <w:color w:val="auto"/>
          <w:szCs w:val="20"/>
          <w:highlight w:val="none"/>
        </w:rPr>
        <w:t>1</w:t>
      </w:r>
      <w:r>
        <w:rPr>
          <w:rFonts w:ascii="宋体" w:hAnsi="宋体"/>
          <w:color w:val="auto"/>
          <w:szCs w:val="20"/>
          <w:highlight w:val="none"/>
        </w:rPr>
        <w:t>月1日至</w:t>
      </w:r>
      <w:r>
        <w:rPr>
          <w:rFonts w:hint="eastAsia" w:ascii="宋体" w:hAnsi="宋体"/>
          <w:color w:val="auto"/>
          <w:szCs w:val="20"/>
          <w:highlight w:val="none"/>
        </w:rPr>
        <w:t>今（</w:t>
      </w:r>
      <w:r>
        <w:rPr>
          <w:rFonts w:ascii="宋体" w:hAnsi="宋体"/>
          <w:color w:val="auto"/>
          <w:szCs w:val="20"/>
          <w:highlight w:val="none"/>
        </w:rPr>
        <w:t>以</w:t>
      </w:r>
      <w:r>
        <w:rPr>
          <w:rFonts w:hint="eastAsia" w:ascii="宋体" w:hAnsi="宋体"/>
          <w:color w:val="auto"/>
          <w:szCs w:val="20"/>
          <w:highlight w:val="none"/>
        </w:rPr>
        <w:t>获奖证书上</w:t>
      </w:r>
      <w:r>
        <w:rPr>
          <w:rFonts w:ascii="宋体" w:hAnsi="宋体"/>
          <w:color w:val="auto"/>
          <w:szCs w:val="20"/>
          <w:highlight w:val="none"/>
        </w:rPr>
        <w:t>时间为准）</w:t>
      </w:r>
      <w:r>
        <w:rPr>
          <w:rFonts w:hint="eastAsia" w:ascii="宋体" w:hAnsi="宋体"/>
          <w:color w:val="auto"/>
          <w:szCs w:val="20"/>
          <w:highlight w:val="none"/>
        </w:rPr>
        <w:t>获得过由由国务院颁发的国家科技进步奖的每项得2分，本项最多得6分。</w:t>
      </w:r>
    </w:p>
    <w:p>
      <w:pPr>
        <w:spacing w:line="400" w:lineRule="exact"/>
        <w:rPr>
          <w:rFonts w:hAnsi="宋体"/>
          <w:b/>
          <w:color w:val="auto"/>
          <w:highlight w:val="none"/>
        </w:rPr>
      </w:pPr>
      <w:r>
        <w:rPr>
          <w:rFonts w:hint="eastAsia" w:hAnsi="宋体"/>
          <w:b/>
          <w:color w:val="auto"/>
          <w:highlight w:val="none"/>
        </w:rPr>
        <w:t>3. 技术方案分………………………………………………………………………………………………20分</w:t>
      </w:r>
    </w:p>
    <w:p>
      <w:pPr>
        <w:spacing w:line="400" w:lineRule="exact"/>
        <w:ind w:firstLine="430" w:firstLineChars="202"/>
        <w:rPr>
          <w:rFonts w:ascii="宋体" w:hAnsi="宋体"/>
          <w:b/>
          <w:color w:val="auto"/>
          <w:highlight w:val="none"/>
        </w:rPr>
      </w:pPr>
      <w:r>
        <w:rPr>
          <w:rFonts w:hint="eastAsia" w:ascii="宋体" w:hAnsi="宋体"/>
          <w:b/>
          <w:color w:val="auto"/>
          <w:highlight w:val="none"/>
        </w:rPr>
        <w:t>（1）该项目情况的了解和认识（满分5分）</w:t>
      </w:r>
    </w:p>
    <w:p>
      <w:pPr>
        <w:spacing w:line="400" w:lineRule="exact"/>
        <w:ind w:firstLine="430" w:firstLineChars="202"/>
        <w:rPr>
          <w:rFonts w:ascii="宋体" w:hAnsi="宋体"/>
          <w:b/>
          <w:color w:val="auto"/>
          <w:highlight w:val="none"/>
        </w:rPr>
      </w:pPr>
      <w:r>
        <w:rPr>
          <w:rFonts w:hint="eastAsia" w:ascii="宋体" w:hAnsi="宋体"/>
          <w:color w:val="auto"/>
          <w:szCs w:val="20"/>
          <w:highlight w:val="none"/>
        </w:rPr>
        <w:t>一档（0～1.5分），</w:t>
      </w:r>
      <w:r>
        <w:rPr>
          <w:rFonts w:hint="eastAsia" w:ascii="宋体" w:hAnsi="宋体"/>
          <w:color w:val="auto"/>
          <w:highlight w:val="none"/>
        </w:rPr>
        <w:t>对项目理解和把握一般的。</w:t>
      </w:r>
    </w:p>
    <w:p>
      <w:pPr>
        <w:spacing w:line="400" w:lineRule="exact"/>
        <w:ind w:firstLine="430" w:firstLineChars="202"/>
        <w:rPr>
          <w:rFonts w:ascii="宋体" w:hAnsi="宋体"/>
          <w:b/>
          <w:color w:val="auto"/>
          <w:highlight w:val="none"/>
        </w:rPr>
      </w:pPr>
      <w:r>
        <w:rPr>
          <w:rFonts w:hint="eastAsia" w:ascii="宋体" w:hAnsi="宋体"/>
          <w:color w:val="auto"/>
          <w:szCs w:val="20"/>
          <w:highlight w:val="none"/>
        </w:rPr>
        <w:t>二档（1.6～3.5分），规划</w:t>
      </w:r>
      <w:r>
        <w:rPr>
          <w:rFonts w:hint="eastAsia" w:ascii="宋体" w:hAnsi="宋体"/>
          <w:color w:val="auto"/>
          <w:highlight w:val="none"/>
        </w:rPr>
        <w:t>内容与深度基本符合磋商文件要求，对项目理解和把握较准确的。</w:t>
      </w:r>
    </w:p>
    <w:p>
      <w:pPr>
        <w:spacing w:line="400" w:lineRule="exact"/>
        <w:ind w:firstLine="430" w:firstLineChars="202"/>
        <w:rPr>
          <w:rFonts w:ascii="宋体" w:hAnsi="宋体"/>
          <w:b/>
          <w:color w:val="auto"/>
          <w:highlight w:val="none"/>
        </w:rPr>
      </w:pPr>
      <w:r>
        <w:rPr>
          <w:rFonts w:hint="eastAsia" w:ascii="宋体" w:hAnsi="宋体"/>
          <w:color w:val="auto"/>
          <w:szCs w:val="20"/>
          <w:highlight w:val="none"/>
        </w:rPr>
        <w:t>三档（3.6～5分），规划</w:t>
      </w:r>
      <w:r>
        <w:rPr>
          <w:rFonts w:hint="eastAsia" w:ascii="宋体" w:hAnsi="宋体"/>
          <w:color w:val="auto"/>
          <w:highlight w:val="none"/>
        </w:rPr>
        <w:t>内容与深度符合磋商文件要求，对项目理解、把握准确的。</w:t>
      </w:r>
    </w:p>
    <w:p>
      <w:pPr>
        <w:spacing w:line="400" w:lineRule="exact"/>
        <w:ind w:firstLine="430" w:firstLineChars="202"/>
        <w:jc w:val="left"/>
        <w:rPr>
          <w:rFonts w:ascii="宋体" w:hAnsi="宋体"/>
          <w:b/>
          <w:color w:val="auto"/>
          <w:highlight w:val="none"/>
        </w:rPr>
      </w:pPr>
      <w:r>
        <w:rPr>
          <w:rFonts w:hint="eastAsia" w:ascii="宋体" w:hAnsi="宋体"/>
          <w:b/>
          <w:color w:val="auto"/>
          <w:highlight w:val="none"/>
        </w:rPr>
        <w:t>（2）规划方案符合国家的各项政策、法规，具有全面性、优越性、可行性、科学性、可靠性（满分7分）</w:t>
      </w:r>
    </w:p>
    <w:p>
      <w:pPr>
        <w:spacing w:line="400" w:lineRule="exact"/>
        <w:ind w:firstLine="430" w:firstLineChars="202"/>
        <w:rPr>
          <w:rFonts w:ascii="宋体" w:hAnsi="宋体"/>
          <w:color w:val="auto"/>
          <w:highlight w:val="none"/>
        </w:rPr>
      </w:pPr>
      <w:r>
        <w:rPr>
          <w:rFonts w:hint="eastAsia" w:ascii="宋体" w:hAnsi="宋体"/>
          <w:color w:val="auto"/>
          <w:szCs w:val="20"/>
          <w:highlight w:val="none"/>
        </w:rPr>
        <w:t>一档（0～2.5分），规划</w:t>
      </w:r>
      <w:r>
        <w:rPr>
          <w:rFonts w:hint="eastAsia" w:ascii="宋体" w:hAnsi="宋体"/>
          <w:color w:val="auto"/>
          <w:highlight w:val="none"/>
        </w:rPr>
        <w:t>方案一般，可行性、科学性、可靠性研究一般的。</w:t>
      </w:r>
    </w:p>
    <w:p>
      <w:pPr>
        <w:spacing w:line="400" w:lineRule="exact"/>
        <w:ind w:firstLine="430" w:firstLineChars="202"/>
        <w:rPr>
          <w:rFonts w:ascii="宋体" w:hAnsi="宋体"/>
          <w:color w:val="auto"/>
          <w:highlight w:val="none"/>
        </w:rPr>
      </w:pPr>
      <w:r>
        <w:rPr>
          <w:rFonts w:hint="eastAsia" w:ascii="宋体" w:hAnsi="宋体"/>
          <w:color w:val="auto"/>
          <w:szCs w:val="20"/>
          <w:highlight w:val="none"/>
        </w:rPr>
        <w:t>二档（2.6～5分），规划</w:t>
      </w:r>
      <w:r>
        <w:rPr>
          <w:rFonts w:hint="eastAsia" w:ascii="宋体" w:hAnsi="宋体"/>
          <w:color w:val="auto"/>
          <w:highlight w:val="none"/>
        </w:rPr>
        <w:t>方案较全面，可行性、科学性、可靠性研究较好的。</w:t>
      </w:r>
    </w:p>
    <w:p>
      <w:pPr>
        <w:spacing w:line="400" w:lineRule="exact"/>
        <w:ind w:firstLine="430" w:firstLineChars="202"/>
        <w:rPr>
          <w:rFonts w:ascii="宋体" w:hAnsi="宋体"/>
          <w:color w:val="auto"/>
          <w:highlight w:val="none"/>
        </w:rPr>
      </w:pPr>
      <w:r>
        <w:rPr>
          <w:rFonts w:hint="eastAsia" w:ascii="宋体" w:hAnsi="宋体"/>
          <w:color w:val="auto"/>
          <w:szCs w:val="20"/>
          <w:highlight w:val="none"/>
        </w:rPr>
        <w:t>三档（5.1～7分），规划</w:t>
      </w:r>
      <w:r>
        <w:rPr>
          <w:rFonts w:hint="eastAsia" w:ascii="宋体" w:hAnsi="宋体"/>
          <w:color w:val="auto"/>
          <w:highlight w:val="none"/>
        </w:rPr>
        <w:t xml:space="preserve">方案具有明显的全面性、优越性、可行性、科学性、可靠性的。 </w:t>
      </w:r>
    </w:p>
    <w:p>
      <w:pPr>
        <w:spacing w:line="400" w:lineRule="exact"/>
        <w:ind w:firstLine="430" w:firstLineChars="202"/>
        <w:rPr>
          <w:rFonts w:ascii="宋体" w:hAnsi="宋体"/>
          <w:b/>
          <w:color w:val="auto"/>
          <w:highlight w:val="none"/>
        </w:rPr>
      </w:pPr>
      <w:r>
        <w:rPr>
          <w:rFonts w:hint="eastAsia" w:ascii="宋体" w:hAnsi="宋体"/>
          <w:b/>
          <w:color w:val="auto"/>
          <w:highlight w:val="none"/>
        </w:rPr>
        <w:t>（3）对项目的重点、难点分析、认识及对策措施，工作计划安排的合理性、项目总结和建议（满分8分）</w:t>
      </w:r>
    </w:p>
    <w:p>
      <w:pPr>
        <w:spacing w:line="400" w:lineRule="exact"/>
        <w:ind w:firstLine="426" w:firstLineChars="200"/>
        <w:rPr>
          <w:rFonts w:ascii="宋体" w:hAnsi="宋体"/>
          <w:color w:val="auto"/>
          <w:szCs w:val="20"/>
          <w:highlight w:val="none"/>
        </w:rPr>
      </w:pPr>
      <w:r>
        <w:rPr>
          <w:rFonts w:hint="eastAsia" w:ascii="宋体" w:hAnsi="宋体"/>
          <w:color w:val="auto"/>
          <w:szCs w:val="20"/>
          <w:highlight w:val="none"/>
        </w:rPr>
        <w:t>一档（0～3分），</w:t>
      </w:r>
      <w:r>
        <w:rPr>
          <w:rFonts w:hint="eastAsia" w:ascii="宋体" w:hAnsi="宋体"/>
          <w:color w:val="auto"/>
          <w:highlight w:val="none"/>
        </w:rPr>
        <w:t>重点不突出、技术建议叙述一般以及工作进度安排不够合理，较难满足磋商要求的。</w:t>
      </w:r>
    </w:p>
    <w:p>
      <w:pPr>
        <w:spacing w:line="400" w:lineRule="exact"/>
        <w:ind w:firstLine="426" w:firstLineChars="200"/>
        <w:rPr>
          <w:rFonts w:ascii="宋体" w:hAnsi="宋体"/>
          <w:color w:val="auto"/>
          <w:highlight w:val="none"/>
        </w:rPr>
      </w:pPr>
      <w:r>
        <w:rPr>
          <w:rFonts w:hint="eastAsia" w:ascii="宋体" w:hAnsi="宋体"/>
          <w:color w:val="auto"/>
          <w:szCs w:val="20"/>
          <w:highlight w:val="none"/>
        </w:rPr>
        <w:t>二档（3.1～5.5分），</w:t>
      </w:r>
      <w:r>
        <w:rPr>
          <w:rFonts w:hint="eastAsia" w:ascii="宋体" w:hAnsi="宋体"/>
          <w:color w:val="auto"/>
          <w:highlight w:val="none"/>
        </w:rPr>
        <w:t>重点较为突出、技术建议叙述较全面、合理的以及工作进度安排较合理，基本满足磋商要求的。</w:t>
      </w:r>
    </w:p>
    <w:p>
      <w:pPr>
        <w:spacing w:line="400" w:lineRule="exact"/>
        <w:ind w:firstLine="426" w:firstLineChars="200"/>
        <w:rPr>
          <w:rFonts w:ascii="宋体" w:hAnsi="宋体"/>
          <w:color w:val="auto"/>
          <w:highlight w:val="none"/>
        </w:rPr>
      </w:pPr>
      <w:r>
        <w:rPr>
          <w:rFonts w:hint="eastAsia" w:ascii="宋体" w:hAnsi="宋体"/>
          <w:color w:val="auto"/>
          <w:szCs w:val="20"/>
          <w:highlight w:val="none"/>
        </w:rPr>
        <w:t>三档（5.6～8分），</w:t>
      </w:r>
      <w:r>
        <w:rPr>
          <w:rFonts w:hint="eastAsia" w:ascii="宋体" w:hAnsi="宋体"/>
          <w:color w:val="auto"/>
          <w:highlight w:val="none"/>
        </w:rPr>
        <w:t>重点突出、技术建议叙述全面、合理的以及工作进度安排具体、合理、可行，完全满足磋商要求的。</w:t>
      </w:r>
    </w:p>
    <w:p>
      <w:pPr>
        <w:spacing w:line="400" w:lineRule="exact"/>
        <w:rPr>
          <w:rFonts w:hAnsi="宋体"/>
          <w:b/>
          <w:color w:val="auto"/>
          <w:highlight w:val="none"/>
        </w:rPr>
      </w:pPr>
      <w:r>
        <w:rPr>
          <w:rFonts w:hint="eastAsia" w:hAnsi="宋体"/>
          <w:b/>
          <w:color w:val="auto"/>
          <w:highlight w:val="none"/>
        </w:rPr>
        <w:t>4. 项目质量保证措施及服务承诺………………………………………………………………………</w:t>
      </w:r>
      <w:r>
        <w:rPr>
          <w:rFonts w:hAnsi="宋体"/>
          <w:b/>
          <w:color w:val="auto"/>
          <w:highlight w:val="none"/>
        </w:rPr>
        <w:t>…</w:t>
      </w:r>
      <w:r>
        <w:rPr>
          <w:rFonts w:hint="eastAsia" w:hAnsi="宋体"/>
          <w:b/>
          <w:color w:val="auto"/>
          <w:highlight w:val="none"/>
        </w:rPr>
        <w:t>5分</w:t>
      </w:r>
    </w:p>
    <w:p>
      <w:pPr>
        <w:spacing w:line="400" w:lineRule="exact"/>
        <w:ind w:firstLine="426" w:firstLineChars="200"/>
        <w:rPr>
          <w:rFonts w:ascii="宋体" w:hAnsi="宋体"/>
          <w:color w:val="auto"/>
          <w:szCs w:val="20"/>
          <w:highlight w:val="none"/>
        </w:rPr>
      </w:pPr>
      <w:r>
        <w:rPr>
          <w:rFonts w:hint="eastAsia" w:ascii="宋体" w:hAnsi="宋体"/>
          <w:color w:val="auto"/>
          <w:szCs w:val="20"/>
          <w:highlight w:val="none"/>
        </w:rPr>
        <w:t>一档（0～1.5分），</w:t>
      </w:r>
      <w:r>
        <w:rPr>
          <w:rFonts w:hint="eastAsia" w:ascii="宋体" w:hAnsi="宋体"/>
          <w:color w:val="auto"/>
          <w:highlight w:val="none"/>
        </w:rPr>
        <w:t>项目质量的保障措施及服务一般的。</w:t>
      </w:r>
    </w:p>
    <w:p>
      <w:pPr>
        <w:spacing w:line="400" w:lineRule="exact"/>
        <w:ind w:firstLine="426" w:firstLineChars="200"/>
        <w:rPr>
          <w:rFonts w:ascii="宋体" w:hAnsi="宋体"/>
          <w:color w:val="auto"/>
          <w:highlight w:val="none"/>
        </w:rPr>
      </w:pPr>
      <w:r>
        <w:rPr>
          <w:rFonts w:hint="eastAsia" w:ascii="宋体" w:hAnsi="宋体"/>
          <w:color w:val="auto"/>
          <w:szCs w:val="20"/>
          <w:highlight w:val="none"/>
        </w:rPr>
        <w:t>二档（1.6～3.5分），</w:t>
      </w:r>
      <w:r>
        <w:rPr>
          <w:rFonts w:hint="eastAsia" w:ascii="宋体" w:hAnsi="宋体"/>
          <w:color w:val="auto"/>
          <w:highlight w:val="none"/>
        </w:rPr>
        <w:t>项目质量的保障措施及服务较好的。</w:t>
      </w:r>
    </w:p>
    <w:p>
      <w:pPr>
        <w:spacing w:line="400" w:lineRule="exact"/>
        <w:ind w:firstLine="426" w:firstLineChars="200"/>
        <w:rPr>
          <w:rFonts w:ascii="宋体" w:hAnsi="宋体"/>
          <w:color w:val="auto"/>
          <w:highlight w:val="none"/>
        </w:rPr>
      </w:pPr>
      <w:r>
        <w:rPr>
          <w:rFonts w:hint="eastAsia" w:ascii="宋体" w:hAnsi="宋体"/>
          <w:color w:val="auto"/>
          <w:szCs w:val="20"/>
          <w:highlight w:val="none"/>
        </w:rPr>
        <w:t>三档（3.6～5分），</w:t>
      </w:r>
      <w:r>
        <w:rPr>
          <w:rFonts w:hint="eastAsia" w:ascii="宋体" w:hAnsi="宋体"/>
          <w:color w:val="auto"/>
          <w:highlight w:val="none"/>
        </w:rPr>
        <w:t>项目质量的保障措施及服务具体、合理、可行的。</w:t>
      </w:r>
    </w:p>
    <w:p>
      <w:pPr>
        <w:spacing w:line="400" w:lineRule="exact"/>
        <w:rPr>
          <w:rFonts w:hAnsi="宋体"/>
          <w:b/>
          <w:color w:val="auto"/>
          <w:highlight w:val="none"/>
        </w:rPr>
      </w:pPr>
      <w:r>
        <w:rPr>
          <w:rFonts w:hint="eastAsia" w:hAnsi="宋体"/>
          <w:b/>
          <w:color w:val="auto"/>
          <w:highlight w:val="none"/>
        </w:rPr>
        <w:t>5. 综合得分＝</w:t>
      </w:r>
      <w:r>
        <w:rPr>
          <w:rFonts w:hint="eastAsia" w:ascii="宋体" w:hAnsi="宋体" w:eastAsia="宋体" w:cs="宋体"/>
          <w:b/>
          <w:color w:val="auto"/>
          <w:highlight w:val="none"/>
        </w:rPr>
        <w:t>1+2+3+4</w:t>
      </w:r>
    </w:p>
    <w:p>
      <w:pPr>
        <w:autoSpaceDE w:val="0"/>
        <w:autoSpaceDN w:val="0"/>
        <w:adjustRightInd w:val="0"/>
        <w:spacing w:line="400" w:lineRule="exact"/>
        <w:ind w:firstLine="101" w:firstLineChars="48"/>
        <w:rPr>
          <w:rFonts w:ascii="宋体" w:hAnsi="宋体" w:cs="宋体"/>
          <w:b/>
          <w:bCs/>
          <w:color w:val="auto"/>
          <w:kern w:val="0"/>
          <w:szCs w:val="21"/>
          <w:highlight w:val="none"/>
        </w:rPr>
      </w:pPr>
      <w:r>
        <w:rPr>
          <w:rFonts w:hint="eastAsia" w:ascii="宋体" w:hAnsi="宋体"/>
          <w:color w:val="auto"/>
          <w:szCs w:val="21"/>
          <w:highlight w:val="none"/>
        </w:rPr>
        <w:t>注：所有计算数据保留至小数点后两位，小数点后第三位四舍五入。</w:t>
      </w:r>
    </w:p>
    <w:p>
      <w:pPr>
        <w:pStyle w:val="4"/>
        <w:spacing w:line="400" w:lineRule="exact"/>
        <w:jc w:val="left"/>
        <w:rPr>
          <w:color w:val="auto"/>
          <w:highlight w:val="none"/>
        </w:rPr>
      </w:pPr>
      <w:r>
        <w:rPr>
          <w:rFonts w:hint="eastAsia"/>
          <w:color w:val="auto"/>
          <w:highlight w:val="none"/>
        </w:rPr>
        <w:t>三、中标人推荐原则</w:t>
      </w:r>
    </w:p>
    <w:p>
      <w:pPr>
        <w:spacing w:line="400" w:lineRule="exact"/>
        <w:ind w:firstLine="213" w:firstLineChars="100"/>
        <w:rPr>
          <w:rFonts w:ascii="宋体" w:hAnsi="宋体"/>
          <w:color w:val="auto"/>
          <w:szCs w:val="21"/>
          <w:highlight w:val="none"/>
        </w:rPr>
      </w:pPr>
      <w:r>
        <w:rPr>
          <w:rFonts w:hint="eastAsia" w:ascii="宋体" w:hAnsi="宋体"/>
          <w:color w:val="auto"/>
          <w:szCs w:val="21"/>
          <w:highlight w:val="none"/>
        </w:rPr>
        <w:t>（1）评标委员会</w:t>
      </w:r>
      <w:r>
        <w:rPr>
          <w:rFonts w:hint="eastAsia" w:hAnsi="宋体"/>
          <w:color w:val="auto"/>
          <w:szCs w:val="21"/>
          <w:highlight w:val="none"/>
        </w:rPr>
        <w:t>按综合得分</w:t>
      </w:r>
      <w:r>
        <w:rPr>
          <w:rFonts w:hint="eastAsia" w:ascii="宋体" w:hAnsi="宋体"/>
          <w:color w:val="auto"/>
          <w:szCs w:val="21"/>
          <w:highlight w:val="none"/>
        </w:rPr>
        <w:t>由高分至低分顺序排出第一、第二、第三的名次并推荐中标候选人3名。得分相同的，投标报价低的排序在前；得分相同且投标报价相同，则在现场监督人员的监督下，由采购人随机抽签的方式确定排序的位置。采购人原则上应当确定评标委员会推荐排名第一的中标候选人为中标人。</w:t>
      </w:r>
    </w:p>
    <w:p>
      <w:pPr>
        <w:spacing w:line="400" w:lineRule="exact"/>
        <w:rPr>
          <w:rFonts w:hAnsi="宋体"/>
          <w:color w:val="auto"/>
          <w:szCs w:val="21"/>
          <w:highlight w:val="none"/>
        </w:rPr>
      </w:pPr>
      <w:r>
        <w:rPr>
          <w:rFonts w:hint="eastAsia" w:ascii="宋体" w:hAnsi="宋体" w:eastAsia="宋体" w:cs="宋体"/>
          <w:color w:val="auto"/>
          <w:szCs w:val="21"/>
          <w:highlight w:val="none"/>
        </w:rPr>
        <w:t>（2）排</w:t>
      </w:r>
      <w:r>
        <w:rPr>
          <w:rFonts w:hint="eastAsia" w:hAnsi="宋体"/>
          <w:color w:val="auto"/>
          <w:szCs w:val="21"/>
          <w:highlight w:val="none"/>
        </w:rPr>
        <w:t>名第一的中标候选人放弃中标资格，因不可抗力提出不能履行合同，或者招标文件规定应当提交履约保证金而在规定的期限内未能提交的，</w:t>
      </w:r>
      <w:r>
        <w:rPr>
          <w:rFonts w:hint="eastAsia" w:ascii="宋体" w:hAnsi="宋体"/>
          <w:color w:val="auto"/>
          <w:szCs w:val="21"/>
          <w:highlight w:val="none"/>
        </w:rPr>
        <w:t>采购人</w:t>
      </w:r>
      <w:r>
        <w:rPr>
          <w:rFonts w:hint="eastAsia" w:hAnsi="宋体"/>
          <w:color w:val="auto"/>
          <w:szCs w:val="21"/>
          <w:highlight w:val="none"/>
        </w:rPr>
        <w:t>可以确定排名第二的中标候选人为中标人。</w:t>
      </w:r>
    </w:p>
    <w:p>
      <w:pPr>
        <w:pStyle w:val="9"/>
        <w:spacing w:line="400" w:lineRule="exact"/>
        <w:rPr>
          <w:bCs/>
          <w:color w:val="auto"/>
          <w:szCs w:val="21"/>
          <w:highlight w:val="none"/>
        </w:rPr>
      </w:pPr>
      <w:r>
        <w:rPr>
          <w:rFonts w:hint="eastAsia" w:hAnsi="宋体"/>
          <w:color w:val="auto"/>
          <w:szCs w:val="21"/>
          <w:highlight w:val="none"/>
        </w:rPr>
        <w:t>（3）排名第二的中标候选人因前款规定的同样原因不能签订合同的，采购人可以确定排名第三的中标候选人为中标人。</w:t>
      </w:r>
    </w:p>
    <w:p>
      <w:pPr>
        <w:pStyle w:val="4"/>
        <w:spacing w:line="400" w:lineRule="exact"/>
        <w:jc w:val="left"/>
        <w:rPr>
          <w:color w:val="auto"/>
          <w:highlight w:val="none"/>
        </w:rPr>
      </w:pPr>
      <w:r>
        <w:rPr>
          <w:rFonts w:hint="eastAsia"/>
          <w:color w:val="auto"/>
          <w:highlight w:val="none"/>
        </w:rPr>
        <w:t>四、其他</w:t>
      </w:r>
    </w:p>
    <w:p>
      <w:pPr>
        <w:pStyle w:val="9"/>
        <w:spacing w:line="400" w:lineRule="exact"/>
        <w:ind w:firstLine="420"/>
        <w:rPr>
          <w:rFonts w:hAnsi="宋体"/>
          <w:color w:val="auto"/>
          <w:szCs w:val="21"/>
          <w:highlight w:val="none"/>
        </w:rPr>
      </w:pPr>
      <w:r>
        <w:rPr>
          <w:rFonts w:hint="eastAsia" w:hAnsi="宋体"/>
          <w:color w:val="auto"/>
          <w:szCs w:val="21"/>
          <w:highlight w:val="none"/>
        </w:rPr>
        <w:t>1、评标委员会应按招标文件公布的评标方法和标准进行评标，不得擅自更改招标文件的评标方法和标准。</w:t>
      </w:r>
    </w:p>
    <w:p>
      <w:pPr>
        <w:pStyle w:val="9"/>
        <w:spacing w:line="400" w:lineRule="exact"/>
        <w:ind w:firstLine="420"/>
        <w:rPr>
          <w:rFonts w:hAnsi="宋体"/>
          <w:color w:val="auto"/>
          <w:szCs w:val="21"/>
          <w:highlight w:val="none"/>
        </w:rPr>
      </w:pPr>
      <w:r>
        <w:rPr>
          <w:rFonts w:hint="eastAsia" w:hAnsi="宋体"/>
          <w:color w:val="auto"/>
          <w:szCs w:val="21"/>
          <w:highlight w:val="none"/>
        </w:rPr>
        <w:t>2、在评审过程中，评标委员会任何人不得对某个投标人发表任何倾向性意见，不得向其他专家评委明示或者暗示自己的评审意见。</w:t>
      </w:r>
    </w:p>
    <w:p>
      <w:pPr>
        <w:pStyle w:val="9"/>
        <w:spacing w:line="400" w:lineRule="exact"/>
        <w:ind w:firstLine="420"/>
        <w:rPr>
          <w:color w:val="auto"/>
          <w:highlight w:val="none"/>
        </w:rPr>
      </w:pPr>
      <w:r>
        <w:rPr>
          <w:rFonts w:hint="eastAsia"/>
          <w:color w:val="auto"/>
          <w:szCs w:val="21"/>
          <w:highlight w:val="none"/>
        </w:rPr>
        <w:t>3、采购代理机构或现场监督人员发现评标委员会有明显的违规倾向或歧视现象，或不按规定的评标办法和标准进行，或其他不正常行为的，应当及时制止和纠正。如制止无效，应及时向同级监督管理部门报告，由监督管理部门依照法律、法规规章做出处理。</w:t>
      </w:r>
    </w:p>
    <w:p>
      <w:pPr>
        <w:rPr>
          <w:color w:val="auto"/>
          <w:highlight w:val="none"/>
        </w:rPr>
      </w:pPr>
    </w:p>
    <w:p>
      <w:pPr>
        <w:widowControl/>
        <w:jc w:val="left"/>
        <w:rPr>
          <w:color w:val="auto"/>
          <w:highlight w:val="none"/>
        </w:rPr>
      </w:pPr>
      <w:r>
        <w:rPr>
          <w:color w:val="auto"/>
          <w:highlight w:val="none"/>
        </w:rPr>
        <w:br w:type="page"/>
      </w:r>
    </w:p>
    <w:p>
      <w:pPr>
        <w:pStyle w:val="3"/>
        <w:rPr>
          <w:color w:val="auto"/>
          <w:highlight w:val="none"/>
        </w:rPr>
      </w:pPr>
      <w:bookmarkStart w:id="5" w:name="_Toc53136856"/>
      <w:r>
        <w:rPr>
          <w:rFonts w:hint="eastAsia"/>
          <w:color w:val="auto"/>
          <w:highlight w:val="none"/>
        </w:rPr>
        <w:t>第五章 合同主要条款及格式</w:t>
      </w:r>
      <w:bookmarkEnd w:id="5"/>
    </w:p>
    <w:p>
      <w:pPr>
        <w:spacing w:line="400" w:lineRule="exact"/>
        <w:rPr>
          <w:rFonts w:ascii="宋体" w:hAnsi="宋体"/>
          <w:color w:val="auto"/>
          <w:highlight w:val="none"/>
          <w:u w:val="single"/>
        </w:rPr>
      </w:pPr>
      <w:r>
        <w:rPr>
          <w:rFonts w:hint="eastAsia" w:ascii="宋体" w:hAnsi="宋体"/>
          <w:color w:val="auto"/>
          <w:highlight w:val="none"/>
        </w:rPr>
        <w:t>项目名称：</w:t>
      </w:r>
      <w:r>
        <w:rPr>
          <w:rFonts w:hint="eastAsia" w:ascii="宋体" w:hAnsi="宋体"/>
          <w:color w:val="auto"/>
          <w:highlight w:val="none"/>
          <w:u w:val="single"/>
        </w:rPr>
        <w:t xml:space="preserve">                                   </w:t>
      </w:r>
    </w:p>
    <w:p>
      <w:pPr>
        <w:spacing w:line="400" w:lineRule="exact"/>
        <w:rPr>
          <w:rFonts w:ascii="宋体" w:hAnsi="宋体"/>
          <w:color w:val="auto"/>
          <w:highlight w:val="none"/>
          <w:u w:val="single"/>
        </w:rPr>
      </w:pPr>
      <w:r>
        <w:rPr>
          <w:rFonts w:hint="eastAsia" w:ascii="宋体" w:hAnsi="宋体"/>
          <w:color w:val="auto"/>
          <w:highlight w:val="none"/>
        </w:rPr>
        <w:t>项目编号：</w:t>
      </w:r>
      <w:r>
        <w:rPr>
          <w:rFonts w:hint="eastAsia" w:ascii="宋体" w:hAnsi="宋体"/>
          <w:color w:val="auto"/>
          <w:highlight w:val="none"/>
          <w:u w:val="single"/>
        </w:rPr>
        <w:t xml:space="preserve">                                   </w:t>
      </w:r>
    </w:p>
    <w:p>
      <w:pPr>
        <w:spacing w:line="400" w:lineRule="exact"/>
        <w:rPr>
          <w:rFonts w:ascii="宋体" w:hAnsi="宋体"/>
          <w:color w:val="auto"/>
          <w:highlight w:val="none"/>
        </w:rPr>
      </w:pPr>
      <w:r>
        <w:rPr>
          <w:rFonts w:hint="eastAsia" w:ascii="宋体" w:hAnsi="宋体"/>
          <w:color w:val="auto"/>
          <w:highlight w:val="none"/>
        </w:rPr>
        <w:t>甲方：</w:t>
      </w:r>
      <w:r>
        <w:rPr>
          <w:rFonts w:hint="eastAsia" w:ascii="宋体" w:hAnsi="宋体"/>
          <w:color w:val="auto"/>
          <w:highlight w:val="none"/>
          <w:u w:val="single"/>
        </w:rPr>
        <w:t xml:space="preserve">                                                      </w:t>
      </w:r>
      <w:r>
        <w:rPr>
          <w:rFonts w:hint="eastAsia" w:ascii="宋体" w:hAnsi="宋体"/>
          <w:color w:val="auto"/>
          <w:highlight w:val="none"/>
        </w:rPr>
        <w:t>（采购人）</w:t>
      </w:r>
    </w:p>
    <w:p>
      <w:pPr>
        <w:spacing w:line="400" w:lineRule="exact"/>
        <w:rPr>
          <w:rFonts w:ascii="宋体" w:hAnsi="宋体"/>
          <w:color w:val="auto"/>
          <w:highlight w:val="none"/>
        </w:rPr>
      </w:pPr>
      <w:r>
        <w:rPr>
          <w:rFonts w:hint="eastAsia" w:ascii="宋体" w:hAnsi="宋体"/>
          <w:color w:val="auto"/>
          <w:highlight w:val="none"/>
        </w:rPr>
        <w:t>乙方：</w:t>
      </w:r>
      <w:r>
        <w:rPr>
          <w:rFonts w:hint="eastAsia" w:ascii="宋体" w:hAnsi="宋体"/>
          <w:color w:val="auto"/>
          <w:highlight w:val="none"/>
          <w:u w:val="single"/>
        </w:rPr>
        <w:t xml:space="preserve">                                                      </w:t>
      </w:r>
      <w:r>
        <w:rPr>
          <w:rFonts w:hint="eastAsia" w:ascii="宋体" w:hAnsi="宋体"/>
          <w:color w:val="auto"/>
          <w:highlight w:val="none"/>
        </w:rPr>
        <w:t>（成交供应商）</w:t>
      </w:r>
    </w:p>
    <w:p>
      <w:pPr>
        <w:spacing w:line="400" w:lineRule="exact"/>
        <w:rPr>
          <w:rFonts w:ascii="宋体" w:hAnsi="宋体"/>
          <w:color w:val="auto"/>
          <w:highlight w:val="none"/>
        </w:rPr>
      </w:pPr>
    </w:p>
    <w:p>
      <w:pPr>
        <w:spacing w:line="400" w:lineRule="exact"/>
        <w:ind w:firstLine="426" w:firstLineChars="200"/>
        <w:rPr>
          <w:rFonts w:ascii="宋体" w:hAnsi="宋体"/>
          <w:color w:val="auto"/>
          <w:szCs w:val="21"/>
          <w:highlight w:val="none"/>
        </w:rPr>
      </w:pPr>
      <w:r>
        <w:rPr>
          <w:rFonts w:hint="eastAsia" w:ascii="宋体" w:hAnsi="宋体"/>
          <w:color w:val="auto"/>
          <w:szCs w:val="21"/>
          <w:highlight w:val="none"/>
        </w:rPr>
        <w:t>根据《中华人民共和国政府采购法》、《中华人民共和国民法典》等法律、法规规定，按照招投标文件规定条款和中标供应商承诺、甲乙双方签订本合同。</w:t>
      </w:r>
    </w:p>
    <w:p>
      <w:pPr>
        <w:spacing w:line="400" w:lineRule="exact"/>
        <w:ind w:firstLine="426" w:firstLineChars="200"/>
        <w:rPr>
          <w:rFonts w:ascii="宋体" w:hAnsi="宋体"/>
          <w:color w:val="auto"/>
          <w:szCs w:val="21"/>
          <w:highlight w:val="none"/>
        </w:rPr>
      </w:pPr>
      <w:r>
        <w:rPr>
          <w:rFonts w:hint="eastAsia" w:ascii="宋体" w:hAnsi="宋体"/>
          <w:b/>
          <w:bCs/>
          <w:color w:val="auto"/>
          <w:szCs w:val="21"/>
          <w:highlight w:val="none"/>
        </w:rPr>
        <w:t>第一条</w:t>
      </w:r>
      <w:r>
        <w:rPr>
          <w:rFonts w:hint="eastAsia" w:ascii="宋体" w:hAnsi="宋体"/>
          <w:b/>
          <w:bCs/>
          <w:color w:val="auto"/>
          <w:szCs w:val="21"/>
          <w:highlight w:val="none"/>
        </w:rPr>
        <w:tab/>
      </w:r>
      <w:r>
        <w:rPr>
          <w:rFonts w:hint="eastAsia" w:ascii="宋体" w:hAnsi="宋体"/>
          <w:b/>
          <w:bCs/>
          <w:color w:val="auto"/>
          <w:szCs w:val="21"/>
          <w:highlight w:val="none"/>
        </w:rPr>
        <w:t>合同标的及合同金额</w:t>
      </w:r>
    </w:p>
    <w:tbl>
      <w:tblPr>
        <w:tblStyle w:val="14"/>
        <w:tblW w:w="0" w:type="auto"/>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107"/>
        <w:gridCol w:w="3859"/>
        <w:gridCol w:w="1848"/>
        <w:gridCol w:w="183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8" w:hRule="atLeast"/>
        </w:trPr>
        <w:tc>
          <w:tcPr>
            <w:tcW w:w="2107" w:type="dxa"/>
            <w:noWrap/>
            <w:vAlign w:val="center"/>
          </w:tcPr>
          <w:p>
            <w:pPr>
              <w:pStyle w:val="30"/>
              <w:spacing w:before="123"/>
              <w:jc w:val="center"/>
              <w:rPr>
                <w:rFonts w:ascii="宋体" w:hAnsi="宋体"/>
                <w:color w:val="auto"/>
                <w:szCs w:val="21"/>
                <w:highlight w:val="none"/>
              </w:rPr>
            </w:pPr>
            <w:r>
              <w:rPr>
                <w:rFonts w:hint="eastAsia" w:ascii="宋体" w:hAnsi="宋体"/>
                <w:color w:val="auto"/>
                <w:szCs w:val="21"/>
                <w:highlight w:val="none"/>
              </w:rPr>
              <w:t>服务名称</w:t>
            </w:r>
          </w:p>
        </w:tc>
        <w:tc>
          <w:tcPr>
            <w:tcW w:w="3859" w:type="dxa"/>
            <w:noWrap/>
            <w:vAlign w:val="center"/>
          </w:tcPr>
          <w:p>
            <w:pPr>
              <w:pStyle w:val="30"/>
              <w:spacing w:before="123"/>
              <w:ind w:left="1170" w:right="1159"/>
              <w:jc w:val="center"/>
              <w:rPr>
                <w:rFonts w:ascii="宋体" w:hAnsi="宋体"/>
                <w:color w:val="auto"/>
                <w:szCs w:val="21"/>
                <w:highlight w:val="none"/>
              </w:rPr>
            </w:pPr>
            <w:r>
              <w:rPr>
                <w:rFonts w:hint="eastAsia" w:ascii="宋体" w:hAnsi="宋体"/>
                <w:color w:val="auto"/>
                <w:szCs w:val="21"/>
                <w:highlight w:val="none"/>
              </w:rPr>
              <w:t>服务内容及承诺</w:t>
            </w:r>
          </w:p>
        </w:tc>
        <w:tc>
          <w:tcPr>
            <w:tcW w:w="1848" w:type="dxa"/>
            <w:noWrap/>
            <w:vAlign w:val="center"/>
          </w:tcPr>
          <w:p>
            <w:pPr>
              <w:pStyle w:val="30"/>
              <w:spacing w:before="123"/>
              <w:ind w:left="466" w:right="460"/>
              <w:jc w:val="center"/>
              <w:rPr>
                <w:rFonts w:ascii="宋体" w:hAnsi="宋体"/>
                <w:color w:val="auto"/>
                <w:szCs w:val="21"/>
                <w:highlight w:val="none"/>
              </w:rPr>
            </w:pPr>
            <w:r>
              <w:rPr>
                <w:rFonts w:hint="eastAsia" w:ascii="宋体" w:hAnsi="宋体"/>
                <w:color w:val="auto"/>
                <w:szCs w:val="21"/>
                <w:highlight w:val="none"/>
              </w:rPr>
              <w:t>数量</w:t>
            </w:r>
          </w:p>
        </w:tc>
        <w:tc>
          <w:tcPr>
            <w:tcW w:w="1834" w:type="dxa"/>
            <w:noWrap/>
            <w:vAlign w:val="center"/>
          </w:tcPr>
          <w:p>
            <w:pPr>
              <w:pStyle w:val="30"/>
              <w:spacing w:before="123"/>
              <w:ind w:left="685" w:right="674"/>
              <w:jc w:val="center"/>
              <w:rPr>
                <w:rFonts w:ascii="宋体" w:hAnsi="宋体"/>
                <w:color w:val="auto"/>
                <w:szCs w:val="21"/>
                <w:highlight w:val="none"/>
              </w:rPr>
            </w:pPr>
            <w:r>
              <w:rPr>
                <w:rFonts w:hint="eastAsia" w:ascii="宋体" w:hAnsi="宋体"/>
                <w:color w:val="auto"/>
                <w:szCs w:val="21"/>
                <w:highlight w:val="none"/>
              </w:rPr>
              <w:t>单位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3" w:hRule="atLeast"/>
        </w:trPr>
        <w:tc>
          <w:tcPr>
            <w:tcW w:w="2107" w:type="dxa"/>
            <w:noWrap/>
            <w:vAlign w:val="center"/>
          </w:tcPr>
          <w:p>
            <w:pPr>
              <w:pStyle w:val="30"/>
              <w:jc w:val="center"/>
              <w:rPr>
                <w:rFonts w:ascii="宋体" w:hAnsi="宋体"/>
                <w:color w:val="auto"/>
                <w:szCs w:val="21"/>
                <w:highlight w:val="none"/>
              </w:rPr>
            </w:pPr>
            <w:r>
              <w:rPr>
                <w:rFonts w:hint="eastAsia" w:ascii="宋体" w:hAnsi="宋体"/>
                <w:color w:val="auto"/>
                <w:szCs w:val="21"/>
                <w:highlight w:val="none"/>
              </w:rPr>
              <w:t>兴安县水安全保障“十四五”规划报告</w:t>
            </w:r>
          </w:p>
        </w:tc>
        <w:tc>
          <w:tcPr>
            <w:tcW w:w="3859" w:type="dxa"/>
            <w:noWrap/>
            <w:vAlign w:val="center"/>
          </w:tcPr>
          <w:p>
            <w:pPr>
              <w:pStyle w:val="30"/>
              <w:ind w:right="1159"/>
              <w:jc w:val="center"/>
              <w:rPr>
                <w:rFonts w:ascii="宋体" w:hAnsi="宋体"/>
                <w:color w:val="auto"/>
                <w:szCs w:val="21"/>
                <w:highlight w:val="none"/>
              </w:rPr>
            </w:pPr>
            <w:r>
              <w:rPr>
                <w:rFonts w:hint="eastAsia" w:ascii="宋体" w:hAnsi="宋体"/>
                <w:color w:val="auto"/>
                <w:szCs w:val="21"/>
                <w:highlight w:val="none"/>
              </w:rPr>
              <w:t xml:space="preserve">            详见招标文件</w:t>
            </w:r>
          </w:p>
        </w:tc>
        <w:tc>
          <w:tcPr>
            <w:tcW w:w="1848" w:type="dxa"/>
            <w:noWrap/>
            <w:vAlign w:val="center"/>
          </w:tcPr>
          <w:p>
            <w:pPr>
              <w:pStyle w:val="30"/>
              <w:ind w:left="6"/>
              <w:jc w:val="center"/>
              <w:rPr>
                <w:rFonts w:ascii="宋体" w:hAnsi="宋体"/>
                <w:color w:val="auto"/>
                <w:szCs w:val="21"/>
                <w:highlight w:val="none"/>
              </w:rPr>
            </w:pPr>
            <w:r>
              <w:rPr>
                <w:rFonts w:hint="eastAsia" w:ascii="宋体" w:hAnsi="宋体"/>
                <w:color w:val="auto"/>
                <w:szCs w:val="21"/>
                <w:highlight w:val="none"/>
              </w:rPr>
              <w:t>1</w:t>
            </w:r>
          </w:p>
        </w:tc>
        <w:tc>
          <w:tcPr>
            <w:tcW w:w="1834" w:type="dxa"/>
            <w:noWrap/>
            <w:vAlign w:val="center"/>
          </w:tcPr>
          <w:p>
            <w:pPr>
              <w:pStyle w:val="30"/>
              <w:ind w:left="7"/>
              <w:jc w:val="center"/>
              <w:rPr>
                <w:rFonts w:ascii="宋体" w:hAnsi="宋体"/>
                <w:color w:val="auto"/>
                <w:szCs w:val="21"/>
                <w:highlight w:val="none"/>
              </w:rPr>
            </w:pPr>
            <w:r>
              <w:rPr>
                <w:rFonts w:hint="eastAsia" w:ascii="宋体" w:hAnsi="宋体"/>
                <w:color w:val="auto"/>
                <w:szCs w:val="21"/>
                <w:highlight w:val="none"/>
              </w:rPr>
              <w:t>项</w:t>
            </w:r>
          </w:p>
        </w:tc>
      </w:tr>
    </w:tbl>
    <w:p>
      <w:pPr>
        <w:pStyle w:val="2"/>
        <w:tabs>
          <w:tab w:val="left" w:pos="9953"/>
        </w:tabs>
        <w:spacing w:before="95"/>
        <w:ind w:firstLine="420"/>
        <w:rPr>
          <w:rFonts w:ascii="宋体" w:hAnsi="宋体"/>
          <w:color w:val="auto"/>
          <w:highlight w:val="none"/>
        </w:rPr>
      </w:pPr>
      <w:r>
        <w:rPr>
          <w:rFonts w:hint="eastAsia" w:ascii="宋体" w:hAnsi="宋体"/>
          <w:color w:val="auto"/>
          <w:highlight w:val="none"/>
        </w:rPr>
        <w:t>根据《中标通知书》的中标内容，合同的总价为（人民币）：</w:t>
      </w:r>
      <w:r>
        <w:rPr>
          <w:rFonts w:hint="eastAsia" w:ascii="宋体" w:hAnsi="宋体"/>
          <w:color w:val="auto"/>
          <w:highlight w:val="none"/>
          <w:u w:val="single"/>
        </w:rPr>
        <w:t xml:space="preserve">           </w:t>
      </w:r>
      <w:r>
        <w:rPr>
          <w:rFonts w:hint="eastAsia" w:ascii="宋体" w:hAnsi="宋体"/>
          <w:color w:val="auto"/>
          <w:highlight w:val="none"/>
        </w:rPr>
        <w:t>（合同金额包括本次采购范围内的服务价款、服务所用耗材、人工费、管理费用、专用工具、保险、报送、验收、维护、评审费、税金等全部费用）。</w:t>
      </w:r>
    </w:p>
    <w:p>
      <w:pPr>
        <w:pStyle w:val="7"/>
        <w:tabs>
          <w:tab w:val="left" w:pos="1549"/>
        </w:tabs>
        <w:spacing w:before="2"/>
        <w:ind w:left="217" w:leftChars="102" w:firstLine="142" w:firstLineChars="67"/>
        <w:rPr>
          <w:rFonts w:ascii="宋体" w:hAnsi="宋体"/>
          <w:color w:val="auto"/>
          <w:szCs w:val="21"/>
          <w:highlight w:val="none"/>
        </w:rPr>
      </w:pPr>
      <w:r>
        <w:rPr>
          <w:rFonts w:hint="eastAsia" w:ascii="宋体" w:hAnsi="宋体" w:eastAsia="宋体"/>
          <w:color w:val="auto"/>
          <w:sz w:val="21"/>
          <w:szCs w:val="21"/>
          <w:highlight w:val="none"/>
        </w:rPr>
        <w:t>第二条  甲方责任</w:t>
      </w:r>
    </w:p>
    <w:p>
      <w:pPr>
        <w:pStyle w:val="2"/>
        <w:tabs>
          <w:tab w:val="left" w:pos="9953"/>
        </w:tabs>
        <w:spacing w:before="95"/>
        <w:ind w:firstLine="420"/>
        <w:rPr>
          <w:rFonts w:ascii="宋体" w:hAnsi="宋体"/>
          <w:color w:val="auto"/>
          <w:highlight w:val="none"/>
        </w:rPr>
      </w:pPr>
      <w:r>
        <w:rPr>
          <w:rFonts w:hint="eastAsia" w:ascii="宋体" w:hAnsi="宋体"/>
          <w:color w:val="auto"/>
          <w:highlight w:val="none"/>
        </w:rPr>
        <w:t>1.甲方在规定的时间内向乙方提交资料及文件，并对其完整性、正确性及时限负责，甲方不得要求乙方违反国家有关标准进行服务工作。</w:t>
      </w:r>
    </w:p>
    <w:p>
      <w:pPr>
        <w:pStyle w:val="2"/>
        <w:tabs>
          <w:tab w:val="left" w:pos="9953"/>
        </w:tabs>
        <w:spacing w:before="95"/>
        <w:ind w:firstLine="420"/>
        <w:rPr>
          <w:rFonts w:ascii="宋体" w:hAnsi="宋体"/>
          <w:color w:val="auto"/>
          <w:highlight w:val="none"/>
        </w:rPr>
      </w:pPr>
      <w:r>
        <w:rPr>
          <w:rFonts w:hint="eastAsia" w:ascii="宋体" w:hAnsi="宋体"/>
          <w:color w:val="auto"/>
          <w:highlight w:val="none"/>
        </w:rPr>
        <w:t>2.甲方变更委托规划项目、规模、条件或补充资料，导致规划报告需作修改调整应及时通知乙方。</w:t>
      </w:r>
    </w:p>
    <w:p>
      <w:pPr>
        <w:pStyle w:val="2"/>
        <w:tabs>
          <w:tab w:val="left" w:pos="9953"/>
        </w:tabs>
        <w:spacing w:before="95"/>
        <w:ind w:firstLine="420"/>
        <w:rPr>
          <w:rFonts w:ascii="宋体" w:hAnsi="宋体"/>
          <w:color w:val="auto"/>
          <w:highlight w:val="none"/>
        </w:rPr>
      </w:pPr>
      <w:r>
        <w:rPr>
          <w:rFonts w:hint="eastAsia" w:ascii="宋体" w:hAnsi="宋体"/>
          <w:color w:val="auto"/>
          <w:highlight w:val="none"/>
        </w:rPr>
        <w:t>3.甲方应保护乙方的规划设计成果文件和专利技术。未经乙方同意，甲方对乙方交付的资料及文件不得擅自修改、复制或向第三人转让或用于本合同外的项目，如发生以上情况，甲方应负法律责任，乙方有权向甲方提出索赔。</w:t>
      </w:r>
    </w:p>
    <w:p>
      <w:pPr>
        <w:spacing w:line="400" w:lineRule="exact"/>
        <w:ind w:firstLine="416" w:firstLineChars="196"/>
        <w:rPr>
          <w:rFonts w:ascii="宋体" w:hAnsi="宋体"/>
          <w:b/>
          <w:color w:val="auto"/>
          <w:szCs w:val="21"/>
          <w:highlight w:val="none"/>
        </w:rPr>
      </w:pPr>
      <w:r>
        <w:rPr>
          <w:rFonts w:hint="eastAsia" w:ascii="宋体" w:hAnsi="宋体"/>
          <w:b/>
          <w:bCs/>
          <w:color w:val="auto"/>
          <w:szCs w:val="21"/>
          <w:highlight w:val="none"/>
        </w:rPr>
        <w:t>第三条  乙方责任</w:t>
      </w:r>
    </w:p>
    <w:p>
      <w:pPr>
        <w:pStyle w:val="2"/>
        <w:tabs>
          <w:tab w:val="left" w:pos="9953"/>
        </w:tabs>
        <w:spacing w:before="95"/>
        <w:ind w:firstLine="420"/>
        <w:rPr>
          <w:rFonts w:ascii="宋体" w:hAnsi="宋体"/>
          <w:color w:val="auto"/>
          <w:highlight w:val="none"/>
        </w:rPr>
      </w:pPr>
      <w:r>
        <w:rPr>
          <w:rFonts w:hint="eastAsia" w:ascii="宋体" w:hAnsi="宋体"/>
          <w:color w:val="auto"/>
          <w:highlight w:val="none"/>
        </w:rPr>
        <w:t>1.乙方应按国家技术规范、标准、规程及甲方提出的工作要求开展工作，按合同规定的进度要求提交质量合格的规划成果文件，并对其负责。</w:t>
      </w:r>
    </w:p>
    <w:p>
      <w:pPr>
        <w:pStyle w:val="2"/>
        <w:tabs>
          <w:tab w:val="left" w:pos="9953"/>
        </w:tabs>
        <w:spacing w:before="95"/>
        <w:ind w:firstLine="420"/>
        <w:rPr>
          <w:rFonts w:ascii="宋体" w:hAnsi="宋体"/>
          <w:color w:val="auto"/>
          <w:highlight w:val="none"/>
        </w:rPr>
      </w:pPr>
      <w:r>
        <w:rPr>
          <w:rFonts w:hint="eastAsia" w:ascii="宋体" w:hAnsi="宋体"/>
          <w:color w:val="auto"/>
          <w:highlight w:val="none"/>
        </w:rPr>
        <w:t>2.乙方应做好后期的服务工作，如：现场处理有关的规划设计技术问题，验收等相关需要乙方参与的工作的相关费用自行负责。3. 乙方在接收甲方的修改调整通知后，应按时、按量对甲方提出的修改调整内容进行编制，并配合甲方做好修改调整内容的报送工作。</w:t>
      </w:r>
    </w:p>
    <w:p>
      <w:pPr>
        <w:pStyle w:val="2"/>
        <w:tabs>
          <w:tab w:val="left" w:pos="9953"/>
        </w:tabs>
        <w:spacing w:before="95"/>
        <w:ind w:firstLine="420"/>
        <w:rPr>
          <w:rFonts w:ascii="宋体" w:hAnsi="宋体"/>
          <w:color w:val="auto"/>
          <w:highlight w:val="none"/>
        </w:rPr>
      </w:pPr>
      <w:r>
        <w:rPr>
          <w:rFonts w:hint="eastAsia" w:ascii="宋体" w:hAnsi="宋体"/>
          <w:color w:val="auto"/>
          <w:highlight w:val="none"/>
        </w:rPr>
        <w:t xml:space="preserve">4.本项目乙方项目负责人： </w:t>
      </w:r>
      <w:r>
        <w:rPr>
          <w:rFonts w:hint="eastAsia" w:ascii="宋体" w:hAnsi="宋体"/>
          <w:color w:val="auto"/>
          <w:highlight w:val="none"/>
        </w:rPr>
        <w:tab/>
      </w:r>
      <w:r>
        <w:rPr>
          <w:rFonts w:hint="eastAsia" w:ascii="宋体" w:hAnsi="宋体"/>
          <w:color w:val="auto"/>
          <w:highlight w:val="none"/>
        </w:rPr>
        <w:t>。</w:t>
      </w:r>
    </w:p>
    <w:p>
      <w:pPr>
        <w:pStyle w:val="2"/>
        <w:tabs>
          <w:tab w:val="left" w:pos="9953"/>
        </w:tabs>
        <w:spacing w:before="95"/>
        <w:ind w:firstLine="420"/>
        <w:rPr>
          <w:rFonts w:ascii="宋体" w:hAnsi="宋体"/>
          <w:color w:val="auto"/>
          <w:highlight w:val="none"/>
        </w:rPr>
      </w:pPr>
      <w:r>
        <w:rPr>
          <w:rFonts w:hint="eastAsia" w:ascii="宋体" w:hAnsi="宋体"/>
          <w:color w:val="auto"/>
          <w:highlight w:val="none"/>
        </w:rPr>
        <w:t>5.乙方按本合同规定的内容、进度及份数向甲方交付资料及文件。</w:t>
      </w:r>
    </w:p>
    <w:p>
      <w:pPr>
        <w:pStyle w:val="2"/>
        <w:tabs>
          <w:tab w:val="left" w:pos="9953"/>
        </w:tabs>
        <w:spacing w:before="95"/>
        <w:ind w:firstLine="420"/>
        <w:rPr>
          <w:rFonts w:ascii="宋体" w:hAnsi="宋体"/>
          <w:color w:val="auto"/>
          <w:highlight w:val="none"/>
        </w:rPr>
      </w:pPr>
      <w:r>
        <w:rPr>
          <w:rFonts w:hint="eastAsia" w:ascii="宋体" w:hAnsi="宋体"/>
          <w:color w:val="auto"/>
          <w:highlight w:val="none"/>
        </w:rPr>
        <w:t>6.乙方交付规划设计成果文件后，按规定参加有关的规划设计审查，并根据审查结论负责对不超出原定范围的内容做必要调整补充</w:t>
      </w:r>
    </w:p>
    <w:p>
      <w:pPr>
        <w:pStyle w:val="2"/>
        <w:tabs>
          <w:tab w:val="left" w:pos="9953"/>
        </w:tabs>
        <w:spacing w:before="95"/>
        <w:ind w:firstLine="420"/>
        <w:rPr>
          <w:rFonts w:ascii="宋体" w:hAnsi="宋体"/>
          <w:color w:val="auto"/>
          <w:highlight w:val="none"/>
        </w:rPr>
      </w:pPr>
      <w:r>
        <w:rPr>
          <w:rFonts w:hint="eastAsia" w:ascii="宋体" w:hAnsi="宋体"/>
          <w:color w:val="auto"/>
          <w:highlight w:val="none"/>
        </w:rPr>
        <w:t>7.乙方应保护甲方的知识产权，不得向第三人泄露、转让甲方提交的产品图纸等技术经济资料。如发生以上情况并给甲方造成经济损失，甲方有权向乙方索赔。</w:t>
      </w:r>
    </w:p>
    <w:p>
      <w:pPr>
        <w:spacing w:line="400" w:lineRule="exact"/>
        <w:ind w:firstLine="416" w:firstLineChars="196"/>
        <w:rPr>
          <w:rFonts w:ascii="宋体" w:hAnsi="宋体"/>
          <w:b/>
          <w:color w:val="auto"/>
          <w:szCs w:val="21"/>
          <w:highlight w:val="none"/>
        </w:rPr>
      </w:pPr>
      <w:r>
        <w:rPr>
          <w:rFonts w:hint="eastAsia" w:ascii="宋体" w:hAnsi="宋体"/>
          <w:b/>
          <w:bCs/>
          <w:color w:val="auto"/>
          <w:szCs w:val="21"/>
          <w:highlight w:val="none"/>
        </w:rPr>
        <w:t>第四条</w:t>
      </w:r>
      <w:r>
        <w:rPr>
          <w:rFonts w:hint="eastAsia" w:ascii="宋体" w:hAnsi="宋体"/>
          <w:b/>
          <w:bCs/>
          <w:color w:val="auto"/>
          <w:szCs w:val="21"/>
          <w:highlight w:val="none"/>
        </w:rPr>
        <w:tab/>
      </w:r>
      <w:r>
        <w:rPr>
          <w:rFonts w:hint="eastAsia" w:ascii="宋体" w:hAnsi="宋体"/>
          <w:b/>
          <w:bCs/>
          <w:color w:val="auto"/>
          <w:szCs w:val="21"/>
          <w:highlight w:val="none"/>
        </w:rPr>
        <w:t>项目规模</w:t>
      </w:r>
    </w:p>
    <w:p>
      <w:pPr>
        <w:spacing w:line="400" w:lineRule="exact"/>
        <w:ind w:firstLine="416" w:firstLineChars="196"/>
        <w:rPr>
          <w:rFonts w:ascii="宋体" w:hAnsi="宋体"/>
          <w:color w:val="auto"/>
          <w:szCs w:val="21"/>
          <w:highlight w:val="none"/>
        </w:rPr>
      </w:pPr>
      <w:r>
        <w:rPr>
          <w:rFonts w:hint="eastAsia" w:ascii="宋体" w:hAnsi="宋体"/>
          <w:color w:val="auto"/>
          <w:szCs w:val="21"/>
          <w:highlight w:val="none"/>
        </w:rPr>
        <w:t>详见招标文件中采购服务需求要求。</w:t>
      </w:r>
    </w:p>
    <w:p>
      <w:pPr>
        <w:spacing w:line="400" w:lineRule="exact"/>
        <w:ind w:firstLine="416" w:firstLineChars="196"/>
        <w:rPr>
          <w:rFonts w:ascii="宋体" w:hAnsi="宋体"/>
          <w:color w:val="auto"/>
          <w:szCs w:val="21"/>
          <w:highlight w:val="none"/>
        </w:rPr>
      </w:pPr>
      <w:r>
        <w:rPr>
          <w:rFonts w:hint="eastAsia" w:ascii="宋体" w:hAnsi="宋体"/>
          <w:b/>
          <w:bCs/>
          <w:color w:val="auto"/>
          <w:szCs w:val="21"/>
          <w:highlight w:val="none"/>
        </w:rPr>
        <w:t>第五条</w:t>
      </w:r>
      <w:r>
        <w:rPr>
          <w:rFonts w:hint="eastAsia" w:ascii="宋体" w:hAnsi="宋体"/>
          <w:b/>
          <w:bCs/>
          <w:color w:val="auto"/>
          <w:szCs w:val="21"/>
          <w:highlight w:val="none"/>
        </w:rPr>
        <w:tab/>
      </w:r>
      <w:r>
        <w:rPr>
          <w:rFonts w:hint="eastAsia" w:ascii="宋体" w:hAnsi="宋体"/>
          <w:b/>
          <w:bCs/>
          <w:color w:val="auto"/>
          <w:szCs w:val="21"/>
          <w:highlight w:val="none"/>
        </w:rPr>
        <w:t>技术标准</w:t>
      </w:r>
    </w:p>
    <w:p>
      <w:pPr>
        <w:spacing w:line="400" w:lineRule="exact"/>
        <w:ind w:firstLine="416" w:firstLineChars="196"/>
        <w:rPr>
          <w:rFonts w:ascii="宋体" w:hAnsi="宋体"/>
          <w:color w:val="auto"/>
          <w:szCs w:val="21"/>
          <w:highlight w:val="none"/>
        </w:rPr>
      </w:pPr>
      <w:r>
        <w:rPr>
          <w:rFonts w:hint="eastAsia" w:ascii="宋体" w:hAnsi="宋体"/>
          <w:color w:val="auto"/>
          <w:szCs w:val="21"/>
          <w:highlight w:val="none"/>
        </w:rPr>
        <w:t>采用现行的国家及行业的相关规范。</w:t>
      </w:r>
    </w:p>
    <w:p>
      <w:pPr>
        <w:spacing w:line="400" w:lineRule="exact"/>
        <w:ind w:firstLine="416" w:firstLineChars="196"/>
        <w:rPr>
          <w:rFonts w:ascii="宋体" w:hAnsi="宋体"/>
          <w:b/>
          <w:bCs/>
          <w:color w:val="auto"/>
          <w:szCs w:val="21"/>
          <w:highlight w:val="none"/>
        </w:rPr>
      </w:pPr>
      <w:r>
        <w:rPr>
          <w:rFonts w:hint="eastAsia" w:ascii="宋体" w:hAnsi="宋体"/>
          <w:b/>
          <w:bCs/>
          <w:color w:val="auto"/>
          <w:szCs w:val="21"/>
          <w:highlight w:val="none"/>
        </w:rPr>
        <w:t>第六条</w:t>
      </w:r>
      <w:r>
        <w:rPr>
          <w:rFonts w:hint="eastAsia" w:ascii="宋体" w:hAnsi="宋体"/>
          <w:b/>
          <w:bCs/>
          <w:color w:val="auto"/>
          <w:szCs w:val="21"/>
          <w:highlight w:val="none"/>
        </w:rPr>
        <w:tab/>
      </w:r>
      <w:r>
        <w:rPr>
          <w:rFonts w:hint="eastAsia" w:ascii="宋体" w:hAnsi="宋体"/>
          <w:b/>
          <w:bCs/>
          <w:color w:val="auto"/>
          <w:szCs w:val="21"/>
          <w:highlight w:val="none"/>
        </w:rPr>
        <w:t>完成时间</w:t>
      </w:r>
    </w:p>
    <w:p>
      <w:pPr>
        <w:pStyle w:val="2"/>
        <w:tabs>
          <w:tab w:val="left" w:pos="9953"/>
        </w:tabs>
        <w:spacing w:before="95"/>
        <w:ind w:firstLine="420"/>
        <w:rPr>
          <w:rFonts w:ascii="宋体" w:hAnsi="宋体"/>
          <w:color w:val="auto"/>
          <w:highlight w:val="none"/>
        </w:rPr>
      </w:pPr>
      <w:r>
        <w:rPr>
          <w:rFonts w:hint="eastAsia" w:ascii="宋体" w:hAnsi="宋体"/>
          <w:color w:val="auto"/>
          <w:highlight w:val="none"/>
        </w:rPr>
        <w:t>1. 最终成果提交时间：2021年   月   日；</w:t>
      </w:r>
    </w:p>
    <w:p>
      <w:pPr>
        <w:pStyle w:val="2"/>
        <w:tabs>
          <w:tab w:val="left" w:pos="9953"/>
        </w:tabs>
        <w:spacing w:before="95"/>
        <w:ind w:firstLine="420"/>
        <w:rPr>
          <w:rFonts w:ascii="宋体" w:hAnsi="宋体"/>
          <w:color w:val="auto"/>
          <w:highlight w:val="none"/>
        </w:rPr>
      </w:pPr>
      <w:r>
        <w:rPr>
          <w:rFonts w:hint="eastAsia" w:ascii="宋体" w:hAnsi="宋体"/>
          <w:color w:val="auto"/>
          <w:highlight w:val="none"/>
        </w:rPr>
        <w:t>2. 乙方提交四份成果给甲方</w:t>
      </w:r>
    </w:p>
    <w:p>
      <w:pPr>
        <w:pStyle w:val="2"/>
        <w:tabs>
          <w:tab w:val="left" w:pos="9953"/>
        </w:tabs>
        <w:spacing w:before="95"/>
        <w:ind w:firstLine="420"/>
        <w:rPr>
          <w:rFonts w:ascii="宋体" w:hAnsi="宋体"/>
          <w:color w:val="auto"/>
          <w:highlight w:val="none"/>
        </w:rPr>
      </w:pPr>
      <w:r>
        <w:rPr>
          <w:rFonts w:hint="eastAsia" w:ascii="宋体" w:hAnsi="宋体"/>
          <w:color w:val="auto"/>
          <w:highlight w:val="none"/>
        </w:rPr>
        <w:t>3. 因委托方提交资料、反馈信息延迟，或者由于政策方向变动等不可抗力因素影响工作进程，成果提交时间顺延。</w:t>
      </w:r>
    </w:p>
    <w:p>
      <w:pPr>
        <w:spacing w:line="400" w:lineRule="exact"/>
        <w:ind w:firstLine="416" w:firstLineChars="196"/>
        <w:rPr>
          <w:rFonts w:ascii="宋体" w:hAnsi="宋体"/>
          <w:color w:val="auto"/>
          <w:szCs w:val="21"/>
          <w:highlight w:val="none"/>
        </w:rPr>
      </w:pPr>
      <w:r>
        <w:rPr>
          <w:rFonts w:hint="eastAsia" w:ascii="宋体" w:hAnsi="宋体"/>
          <w:b/>
          <w:bCs/>
          <w:color w:val="auto"/>
          <w:szCs w:val="21"/>
          <w:highlight w:val="none"/>
        </w:rPr>
        <w:t>第七条</w:t>
      </w:r>
      <w:r>
        <w:rPr>
          <w:rFonts w:hint="eastAsia" w:ascii="宋体" w:hAnsi="宋体"/>
          <w:b/>
          <w:bCs/>
          <w:color w:val="auto"/>
          <w:szCs w:val="21"/>
          <w:highlight w:val="none"/>
        </w:rPr>
        <w:tab/>
      </w:r>
      <w:r>
        <w:rPr>
          <w:rFonts w:hint="eastAsia" w:ascii="宋体" w:hAnsi="宋体"/>
          <w:b/>
          <w:bCs/>
          <w:color w:val="auto"/>
          <w:szCs w:val="21"/>
          <w:highlight w:val="none"/>
        </w:rPr>
        <w:t>付款方式</w:t>
      </w:r>
    </w:p>
    <w:p>
      <w:pPr>
        <w:spacing w:line="400" w:lineRule="exact"/>
        <w:ind w:firstLine="416" w:firstLineChars="196"/>
        <w:rPr>
          <w:rFonts w:ascii="宋体" w:hAnsi="宋体"/>
          <w:color w:val="auto"/>
          <w:szCs w:val="21"/>
          <w:highlight w:val="none"/>
        </w:rPr>
      </w:pPr>
      <w:r>
        <w:rPr>
          <w:rFonts w:hint="eastAsia" w:ascii="宋体" w:hAnsi="宋体"/>
          <w:color w:val="auto"/>
          <w:szCs w:val="21"/>
          <w:highlight w:val="none"/>
        </w:rPr>
        <w:t>1、合同签订后7个工作日内，甲方凭乙方开具发票的发票向乙方支付30%的签约合同价款。</w:t>
      </w:r>
    </w:p>
    <w:p>
      <w:pPr>
        <w:spacing w:line="400" w:lineRule="exact"/>
        <w:ind w:firstLine="416" w:firstLineChars="196"/>
        <w:rPr>
          <w:rFonts w:ascii="宋体" w:hAnsi="宋体"/>
          <w:color w:val="auto"/>
          <w:szCs w:val="21"/>
          <w:highlight w:val="none"/>
        </w:rPr>
      </w:pPr>
      <w:r>
        <w:rPr>
          <w:rFonts w:hint="eastAsia" w:ascii="宋体" w:hAnsi="宋体"/>
          <w:color w:val="auto"/>
          <w:szCs w:val="21"/>
          <w:highlight w:val="none"/>
        </w:rPr>
        <w:t>2、完成初步成果后，甲方凭乙方开具发票的发票向乙方支付50%的签约合同价款。</w:t>
      </w:r>
    </w:p>
    <w:p>
      <w:pPr>
        <w:spacing w:line="400" w:lineRule="exact"/>
        <w:ind w:firstLine="416" w:firstLineChars="196"/>
        <w:rPr>
          <w:rFonts w:ascii="宋体" w:hAnsi="宋体"/>
          <w:color w:val="auto"/>
          <w:szCs w:val="21"/>
          <w:highlight w:val="none"/>
        </w:rPr>
      </w:pPr>
      <w:r>
        <w:rPr>
          <w:rFonts w:hint="eastAsia" w:ascii="宋体" w:hAnsi="宋体"/>
          <w:color w:val="auto"/>
          <w:szCs w:val="21"/>
          <w:highlight w:val="none"/>
        </w:rPr>
        <w:t>3、完成业主审查验收后，甲方凭乙方开具发票的发票向乙方支付剩余的20%的签约合同价款。</w:t>
      </w:r>
    </w:p>
    <w:p>
      <w:pPr>
        <w:adjustRightInd w:val="0"/>
        <w:spacing w:line="400" w:lineRule="exact"/>
        <w:ind w:left="420"/>
        <w:textAlignment w:val="baseline"/>
        <w:rPr>
          <w:rFonts w:ascii="宋体" w:hAnsi="宋体"/>
          <w:color w:val="auto"/>
          <w:szCs w:val="21"/>
          <w:highlight w:val="none"/>
        </w:rPr>
      </w:pPr>
      <w:r>
        <w:rPr>
          <w:rFonts w:hint="eastAsia" w:ascii="宋体" w:hAnsi="宋体"/>
          <w:b/>
          <w:bCs/>
          <w:color w:val="auto"/>
          <w:szCs w:val="21"/>
          <w:highlight w:val="none"/>
        </w:rPr>
        <w:t>第八条</w:t>
      </w:r>
      <w:r>
        <w:rPr>
          <w:rFonts w:hint="eastAsia" w:ascii="宋体" w:hAnsi="宋体"/>
          <w:b/>
          <w:bCs/>
          <w:color w:val="auto"/>
          <w:szCs w:val="21"/>
          <w:highlight w:val="none"/>
        </w:rPr>
        <w:tab/>
      </w:r>
      <w:r>
        <w:rPr>
          <w:rFonts w:hint="eastAsia" w:ascii="宋体" w:hAnsi="宋体"/>
          <w:b/>
          <w:bCs/>
          <w:color w:val="auto"/>
          <w:szCs w:val="21"/>
          <w:highlight w:val="none"/>
        </w:rPr>
        <w:t>税费</w:t>
      </w:r>
    </w:p>
    <w:p>
      <w:pPr>
        <w:adjustRightInd w:val="0"/>
        <w:spacing w:line="400" w:lineRule="exact"/>
        <w:ind w:left="420"/>
        <w:textAlignment w:val="baseline"/>
        <w:rPr>
          <w:rFonts w:ascii="宋体" w:hAnsi="宋体"/>
          <w:color w:val="auto"/>
          <w:szCs w:val="21"/>
          <w:highlight w:val="none"/>
        </w:rPr>
      </w:pPr>
      <w:r>
        <w:rPr>
          <w:rFonts w:hint="eastAsia" w:ascii="宋体" w:hAnsi="宋体"/>
          <w:color w:val="auto"/>
          <w:szCs w:val="21"/>
          <w:highlight w:val="none"/>
        </w:rPr>
        <w:t>本合同执行中相关的一切税费按国家相关要求执行。</w:t>
      </w:r>
    </w:p>
    <w:p>
      <w:pPr>
        <w:adjustRightInd w:val="0"/>
        <w:spacing w:line="400" w:lineRule="exact"/>
        <w:ind w:left="420"/>
        <w:textAlignment w:val="baseline"/>
        <w:rPr>
          <w:rFonts w:ascii="宋体" w:hAnsi="宋体"/>
          <w:color w:val="auto"/>
          <w:szCs w:val="21"/>
          <w:highlight w:val="none"/>
        </w:rPr>
      </w:pPr>
      <w:r>
        <w:rPr>
          <w:rFonts w:hint="eastAsia" w:ascii="宋体" w:hAnsi="宋体"/>
          <w:b/>
          <w:bCs/>
          <w:color w:val="auto"/>
          <w:szCs w:val="21"/>
          <w:highlight w:val="none"/>
        </w:rPr>
        <w:t>第九条  验收要求</w:t>
      </w:r>
    </w:p>
    <w:p>
      <w:pPr>
        <w:spacing w:line="400" w:lineRule="exact"/>
        <w:ind w:firstLine="416" w:firstLineChars="196"/>
        <w:rPr>
          <w:rFonts w:ascii="宋体" w:hAnsi="宋体"/>
          <w:color w:val="auto"/>
          <w:szCs w:val="21"/>
          <w:highlight w:val="none"/>
        </w:rPr>
      </w:pPr>
      <w:r>
        <w:rPr>
          <w:rFonts w:hint="eastAsia" w:ascii="宋体" w:hAnsi="宋体"/>
          <w:color w:val="auto"/>
          <w:szCs w:val="21"/>
          <w:highlight w:val="none"/>
        </w:rPr>
        <w:t>按照招标文件规定、投标文件承诺、工作进度以及合同条款等提供规划设计成果。验收时间：按合同工作进度要求验收。</w:t>
      </w:r>
    </w:p>
    <w:p>
      <w:pPr>
        <w:spacing w:line="400" w:lineRule="exact"/>
        <w:ind w:firstLine="416" w:firstLineChars="196"/>
        <w:rPr>
          <w:rFonts w:ascii="宋体" w:hAnsi="宋体"/>
          <w:color w:val="auto"/>
          <w:szCs w:val="21"/>
          <w:highlight w:val="none"/>
        </w:rPr>
      </w:pPr>
      <w:r>
        <w:rPr>
          <w:rFonts w:hint="eastAsia" w:ascii="宋体" w:hAnsi="宋体"/>
          <w:color w:val="auto"/>
          <w:szCs w:val="21"/>
          <w:highlight w:val="none"/>
        </w:rPr>
        <w:t>验收标准：招标文件、投标文件、专家评审意见，国家及地方相关规范、规定、标准等。验收方式：由采购人组织，按规划设计成果相关验收标准和合同条款进行。</w:t>
      </w:r>
    </w:p>
    <w:p>
      <w:pPr>
        <w:spacing w:line="400" w:lineRule="exact"/>
        <w:ind w:left="435"/>
        <w:rPr>
          <w:rFonts w:ascii="宋体" w:hAnsi="宋体"/>
          <w:b/>
          <w:bCs/>
          <w:color w:val="auto"/>
          <w:szCs w:val="21"/>
          <w:highlight w:val="none"/>
        </w:rPr>
      </w:pPr>
      <w:r>
        <w:rPr>
          <w:rFonts w:hint="eastAsia" w:ascii="宋体" w:hAnsi="宋体"/>
          <w:b/>
          <w:bCs/>
          <w:color w:val="auto"/>
          <w:szCs w:val="21"/>
          <w:highlight w:val="none"/>
        </w:rPr>
        <w:t>第十条  甲方的责任</w:t>
      </w:r>
    </w:p>
    <w:p>
      <w:pPr>
        <w:tabs>
          <w:tab w:val="left" w:pos="540"/>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1.甲方应在签订合同</w:t>
      </w:r>
      <w:r>
        <w:rPr>
          <w:rFonts w:ascii="宋体" w:hAnsi="宋体"/>
          <w:color w:val="auto"/>
          <w:szCs w:val="21"/>
          <w:highlight w:val="none"/>
        </w:rPr>
        <w:t>10天</w:t>
      </w:r>
      <w:r>
        <w:rPr>
          <w:rFonts w:hint="eastAsia" w:ascii="宋体" w:hAnsi="宋体"/>
          <w:color w:val="auto"/>
          <w:szCs w:val="21"/>
          <w:highlight w:val="none"/>
        </w:rPr>
        <w:t>内向乙方提供</w:t>
      </w:r>
      <w:r>
        <w:rPr>
          <w:rFonts w:ascii="宋体" w:hAnsi="宋体"/>
          <w:color w:val="auto"/>
          <w:szCs w:val="21"/>
          <w:highlight w:val="none"/>
        </w:rPr>
        <w:t>工程</w:t>
      </w:r>
      <w:r>
        <w:rPr>
          <w:rFonts w:hint="eastAsia" w:ascii="宋体" w:hAnsi="宋体"/>
          <w:color w:val="auto"/>
          <w:szCs w:val="21"/>
          <w:highlight w:val="none"/>
        </w:rPr>
        <w:t>区域</w:t>
      </w:r>
      <w:r>
        <w:rPr>
          <w:rFonts w:ascii="宋体" w:hAnsi="宋体"/>
          <w:color w:val="auto"/>
          <w:szCs w:val="21"/>
          <w:highlight w:val="none"/>
        </w:rPr>
        <w:t>的水文气象资料</w:t>
      </w:r>
      <w:r>
        <w:rPr>
          <w:rFonts w:hint="eastAsia" w:ascii="宋体" w:hAnsi="宋体"/>
          <w:color w:val="auto"/>
          <w:szCs w:val="21"/>
          <w:highlight w:val="none"/>
        </w:rPr>
        <w:t>、</w:t>
      </w:r>
      <w:r>
        <w:rPr>
          <w:rFonts w:ascii="宋体" w:hAnsi="宋体"/>
          <w:color w:val="auto"/>
          <w:szCs w:val="21"/>
          <w:highlight w:val="none"/>
        </w:rPr>
        <w:t>地形图资料</w:t>
      </w:r>
      <w:r>
        <w:rPr>
          <w:rFonts w:hint="eastAsia" w:ascii="宋体" w:hAnsi="宋体"/>
          <w:color w:val="auto"/>
          <w:szCs w:val="21"/>
          <w:highlight w:val="none"/>
        </w:rPr>
        <w:t>、工程地质水文地质</w:t>
      </w:r>
      <w:r>
        <w:rPr>
          <w:rFonts w:ascii="宋体" w:hAnsi="宋体"/>
          <w:color w:val="auto"/>
          <w:szCs w:val="21"/>
          <w:highlight w:val="none"/>
        </w:rPr>
        <w:t>资料</w:t>
      </w:r>
      <w:r>
        <w:rPr>
          <w:rFonts w:hint="eastAsia" w:ascii="宋体" w:hAnsi="宋体"/>
          <w:color w:val="auto"/>
          <w:szCs w:val="21"/>
          <w:highlight w:val="none"/>
        </w:rPr>
        <w:t>，工程所在</w:t>
      </w:r>
      <w:r>
        <w:rPr>
          <w:rFonts w:ascii="宋体" w:hAnsi="宋体"/>
          <w:color w:val="auto"/>
          <w:szCs w:val="21"/>
          <w:highlight w:val="none"/>
        </w:rPr>
        <w:t>江段</w:t>
      </w:r>
      <w:r>
        <w:rPr>
          <w:rFonts w:hint="eastAsia" w:ascii="宋体" w:hAnsi="宋体"/>
          <w:color w:val="auto"/>
          <w:szCs w:val="21"/>
          <w:highlight w:val="none"/>
        </w:rPr>
        <w:t>及蓄滞洪区的社会经济、水资源、防洪、航运、河道整治等</w:t>
      </w:r>
      <w:r>
        <w:rPr>
          <w:rFonts w:ascii="宋体" w:hAnsi="宋体"/>
          <w:color w:val="auto"/>
          <w:szCs w:val="21"/>
          <w:highlight w:val="none"/>
        </w:rPr>
        <w:t>相关基础资料</w:t>
      </w:r>
      <w:r>
        <w:rPr>
          <w:rFonts w:hint="eastAsia" w:ascii="宋体" w:hAnsi="宋体"/>
          <w:color w:val="auto"/>
          <w:szCs w:val="21"/>
          <w:highlight w:val="none"/>
        </w:rPr>
        <w:t>，如因甲方未能及时提供基础资料而影响乙方正常开展设计工作的，乙方提交成果时间相应顺延。</w:t>
      </w:r>
    </w:p>
    <w:p>
      <w:pPr>
        <w:tabs>
          <w:tab w:val="left" w:pos="540"/>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2.甲方变更委托设计项目、规模、条件或因提交的资料错误，或所提交资料作较大修改，以致造成乙方设计返工时，相关方除另行协商签订补充协议（或另订合同）、重新明确有关条款外，甲方应按乙方所耗工作量，同意向乙方支付返工费。</w:t>
      </w:r>
    </w:p>
    <w:p>
      <w:pPr>
        <w:tabs>
          <w:tab w:val="left" w:pos="540"/>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3.在合同履行期间，甲方要求终止或解除合同，乙方已开始设计工作的，甲方应根据乙方已进行的实际工作量，不足一半时，按该阶段设计费的一半支付；超过一半时，按该阶段设计费的全部支付。</w:t>
      </w:r>
    </w:p>
    <w:p>
      <w:pPr>
        <w:tabs>
          <w:tab w:val="left" w:pos="540"/>
        </w:tabs>
        <w:spacing w:line="520" w:lineRule="exact"/>
        <w:ind w:firstLine="426" w:firstLineChars="200"/>
        <w:rPr>
          <w:rFonts w:ascii="宋体" w:hAnsi="宋体"/>
          <w:color w:val="auto"/>
          <w:szCs w:val="21"/>
          <w:highlight w:val="none"/>
        </w:rPr>
      </w:pPr>
      <w:r>
        <w:rPr>
          <w:rFonts w:hint="eastAsia" w:ascii="宋体" w:hAnsi="宋体"/>
          <w:color w:val="auto"/>
          <w:szCs w:val="21"/>
          <w:highlight w:val="none"/>
        </w:rPr>
        <w:t>4.甲方要求乙方比合同规定时间提前交付设计文件时，须征得乙方同意，不得严重背离合理设计周期，且甲方应支付赶工费。</w:t>
      </w:r>
    </w:p>
    <w:p>
      <w:pPr>
        <w:tabs>
          <w:tab w:val="left" w:pos="540"/>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5.甲方必须按合同约定按时支付费用，乙方收到付款后启动相应工作。如甲方未按时支付费用，则乙方有权推迟开始工作时间，且提交成果的时间相应顺延。如费用支付</w:t>
      </w:r>
      <w:r>
        <w:rPr>
          <w:rFonts w:ascii="宋体" w:hAnsi="宋体"/>
          <w:color w:val="auto"/>
          <w:szCs w:val="21"/>
          <w:highlight w:val="none"/>
        </w:rPr>
        <w:t>逾期超过30天以上时</w:t>
      </w:r>
      <w:r>
        <w:rPr>
          <w:rFonts w:hint="eastAsia" w:ascii="宋体" w:hAnsi="宋体"/>
          <w:color w:val="auto"/>
          <w:szCs w:val="21"/>
          <w:highlight w:val="none"/>
        </w:rPr>
        <w:t>，</w:t>
      </w:r>
      <w:r>
        <w:rPr>
          <w:rFonts w:ascii="宋体" w:hAnsi="宋体"/>
          <w:color w:val="auto"/>
          <w:szCs w:val="21"/>
          <w:highlight w:val="none"/>
        </w:rPr>
        <w:t>乙方有权暂停履行下阶段工作</w:t>
      </w:r>
      <w:r>
        <w:rPr>
          <w:rFonts w:hint="eastAsia" w:ascii="宋体" w:hAnsi="宋体"/>
          <w:color w:val="auto"/>
          <w:szCs w:val="21"/>
          <w:highlight w:val="none"/>
        </w:rPr>
        <w:t>，</w:t>
      </w:r>
      <w:r>
        <w:rPr>
          <w:rFonts w:ascii="宋体" w:hAnsi="宋体"/>
          <w:color w:val="auto"/>
          <w:szCs w:val="21"/>
          <w:highlight w:val="none"/>
        </w:rPr>
        <w:t>并书面通知甲方</w:t>
      </w:r>
      <w:r>
        <w:rPr>
          <w:rFonts w:hint="eastAsia" w:ascii="宋体" w:hAnsi="宋体"/>
          <w:color w:val="auto"/>
          <w:szCs w:val="21"/>
          <w:highlight w:val="none"/>
        </w:rPr>
        <w:t>。</w:t>
      </w:r>
    </w:p>
    <w:p>
      <w:pPr>
        <w:tabs>
          <w:tab w:val="left" w:pos="540"/>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6．按照合同要求向乙方支付合同协议经费。</w:t>
      </w:r>
    </w:p>
    <w:p>
      <w:pPr>
        <w:tabs>
          <w:tab w:val="left" w:pos="540"/>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7.甲方不得要求乙方违反国家有关规程、规范及标准进行设计。</w:t>
      </w:r>
    </w:p>
    <w:p>
      <w:pPr>
        <w:spacing w:line="400" w:lineRule="exact"/>
        <w:ind w:firstLine="416" w:firstLineChars="196"/>
        <w:rPr>
          <w:rFonts w:ascii="宋体" w:hAnsi="宋体"/>
          <w:color w:val="auto"/>
          <w:szCs w:val="21"/>
          <w:highlight w:val="none"/>
        </w:rPr>
      </w:pPr>
      <w:r>
        <w:rPr>
          <w:rFonts w:hint="eastAsia" w:ascii="宋体" w:hAnsi="宋体"/>
          <w:b/>
          <w:bCs/>
          <w:color w:val="auto"/>
          <w:szCs w:val="21"/>
          <w:highlight w:val="none"/>
        </w:rPr>
        <w:t>第十一条  乙方的责任</w:t>
      </w:r>
    </w:p>
    <w:p>
      <w:pPr>
        <w:tabs>
          <w:tab w:val="left" w:pos="540"/>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1.</w:t>
      </w:r>
      <w:r>
        <w:rPr>
          <w:rFonts w:ascii="宋体" w:hAnsi="宋体"/>
          <w:color w:val="auto"/>
          <w:szCs w:val="21"/>
          <w:highlight w:val="none"/>
        </w:rPr>
        <w:t>按本</w:t>
      </w:r>
      <w:r>
        <w:rPr>
          <w:rFonts w:hint="eastAsia" w:ascii="宋体" w:hAnsi="宋体"/>
          <w:color w:val="auto"/>
          <w:szCs w:val="21"/>
          <w:highlight w:val="none"/>
        </w:rPr>
        <w:t>合同规定的内容、时间及份数向甲方交付工作成果，并对成果的完整性、准确性负责。</w:t>
      </w:r>
    </w:p>
    <w:p>
      <w:pPr>
        <w:tabs>
          <w:tab w:val="left" w:pos="540"/>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2.工作</w:t>
      </w:r>
      <w:r>
        <w:rPr>
          <w:rFonts w:ascii="宋体" w:hAnsi="宋体"/>
          <w:color w:val="auto"/>
          <w:szCs w:val="21"/>
          <w:highlight w:val="none"/>
        </w:rPr>
        <w:t>成果符合国家</w:t>
      </w:r>
      <w:r>
        <w:rPr>
          <w:rFonts w:hint="eastAsia" w:ascii="宋体" w:hAnsi="宋体"/>
          <w:color w:val="auto"/>
          <w:szCs w:val="21"/>
          <w:highlight w:val="none"/>
        </w:rPr>
        <w:t>水利行业</w:t>
      </w:r>
      <w:r>
        <w:rPr>
          <w:rFonts w:ascii="宋体" w:hAnsi="宋体"/>
          <w:color w:val="auto"/>
          <w:szCs w:val="21"/>
          <w:highlight w:val="none"/>
        </w:rPr>
        <w:t>现行有效的法律、法规、规章、标准、规程和本协议的要求；</w:t>
      </w:r>
    </w:p>
    <w:p>
      <w:pPr>
        <w:tabs>
          <w:tab w:val="left" w:pos="540"/>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3.乙方应按时参加甲方组织的成果报告审查会、咨询会和工作协调会，负责介绍设计情况，回答专家提出的有关技术问题。并根据审查、咨询意见做必要调整、修改、补充和完善，直至通过审查。</w:t>
      </w:r>
    </w:p>
    <w:p>
      <w:pPr>
        <w:tabs>
          <w:tab w:val="left" w:pos="540"/>
        </w:tabs>
        <w:spacing w:line="360" w:lineRule="auto"/>
        <w:ind w:firstLine="426" w:firstLineChars="200"/>
        <w:rPr>
          <w:rFonts w:ascii="宋体" w:hAnsi="宋体"/>
          <w:color w:val="auto"/>
          <w:szCs w:val="21"/>
          <w:highlight w:val="none"/>
        </w:rPr>
      </w:pPr>
      <w:r>
        <w:rPr>
          <w:rFonts w:ascii="宋体" w:hAnsi="宋体"/>
          <w:color w:val="auto"/>
          <w:szCs w:val="21"/>
          <w:highlight w:val="none"/>
        </w:rPr>
        <w:t>4</w:t>
      </w:r>
      <w:r>
        <w:rPr>
          <w:rFonts w:hint="eastAsia" w:ascii="宋体" w:hAnsi="宋体"/>
          <w:color w:val="auto"/>
          <w:szCs w:val="21"/>
          <w:highlight w:val="none"/>
        </w:rPr>
        <w:t>.</w:t>
      </w:r>
      <w:r>
        <w:rPr>
          <w:rFonts w:ascii="宋体" w:hAnsi="宋体"/>
          <w:color w:val="auto"/>
          <w:szCs w:val="21"/>
          <w:highlight w:val="none"/>
        </w:rPr>
        <w:t>根据审查意见或甲方要求，及时修改和完善</w:t>
      </w:r>
      <w:r>
        <w:rPr>
          <w:rFonts w:hint="eastAsia" w:ascii="宋体" w:hAnsi="宋体"/>
          <w:color w:val="auto"/>
          <w:szCs w:val="21"/>
          <w:highlight w:val="none"/>
        </w:rPr>
        <w:t>设计</w:t>
      </w:r>
      <w:r>
        <w:rPr>
          <w:rFonts w:ascii="宋体" w:hAnsi="宋体"/>
          <w:color w:val="auto"/>
          <w:szCs w:val="21"/>
          <w:highlight w:val="none"/>
        </w:rPr>
        <w:t>成果。</w:t>
      </w:r>
    </w:p>
    <w:p>
      <w:pPr>
        <w:tabs>
          <w:tab w:val="left" w:pos="540"/>
        </w:tabs>
        <w:spacing w:line="360" w:lineRule="auto"/>
        <w:ind w:firstLine="426" w:firstLineChars="200"/>
        <w:rPr>
          <w:rFonts w:ascii="宋体" w:hAnsi="宋体"/>
          <w:color w:val="auto"/>
          <w:szCs w:val="21"/>
          <w:highlight w:val="none"/>
        </w:rPr>
      </w:pPr>
      <w:r>
        <w:rPr>
          <w:rFonts w:ascii="宋体" w:hAnsi="宋体"/>
          <w:color w:val="auto"/>
          <w:szCs w:val="21"/>
          <w:highlight w:val="none"/>
        </w:rPr>
        <w:t>5</w:t>
      </w:r>
      <w:r>
        <w:rPr>
          <w:rFonts w:hint="eastAsia" w:ascii="宋体" w:hAnsi="宋体"/>
          <w:color w:val="auto"/>
          <w:szCs w:val="21"/>
          <w:highlight w:val="none"/>
        </w:rPr>
        <w:t>.按照甲方要求，及时提交合同项目要求</w:t>
      </w:r>
      <w:r>
        <w:rPr>
          <w:rFonts w:ascii="宋体" w:hAnsi="宋体"/>
          <w:color w:val="auto"/>
          <w:szCs w:val="21"/>
          <w:highlight w:val="none"/>
        </w:rPr>
        <w:t>的成果资料</w:t>
      </w:r>
      <w:r>
        <w:rPr>
          <w:rFonts w:hint="eastAsia" w:ascii="宋体" w:hAnsi="宋体"/>
          <w:color w:val="auto"/>
          <w:szCs w:val="21"/>
          <w:highlight w:val="none"/>
        </w:rPr>
        <w:t>。</w:t>
      </w:r>
    </w:p>
    <w:p>
      <w:pPr>
        <w:tabs>
          <w:tab w:val="left" w:pos="540"/>
        </w:tabs>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6.合同生效后，乙方要求终止或解除合同，乙方应返还已支付的全部款项。</w:t>
      </w:r>
    </w:p>
    <w:p>
      <w:pPr>
        <w:spacing w:line="400" w:lineRule="exact"/>
        <w:ind w:firstLine="416" w:firstLineChars="196"/>
        <w:rPr>
          <w:rFonts w:ascii="宋体" w:hAnsi="宋体"/>
          <w:color w:val="auto"/>
          <w:szCs w:val="21"/>
          <w:highlight w:val="none"/>
        </w:rPr>
      </w:pPr>
      <w:r>
        <w:rPr>
          <w:rFonts w:hint="eastAsia" w:ascii="宋体" w:hAnsi="宋体"/>
          <w:color w:val="auto"/>
          <w:szCs w:val="21"/>
          <w:highlight w:val="none"/>
        </w:rPr>
        <w:t>7.本合同提及的甲方或政府主管部门的确认或批准，并不免除或降低乙方在本合同下应承担的任何义务或责任。</w:t>
      </w:r>
      <w:r>
        <w:rPr>
          <w:rFonts w:hint="eastAsia" w:ascii="宋体" w:hAnsi="宋体"/>
          <w:color w:val="auto"/>
          <w:sz w:val="28"/>
          <w:szCs w:val="28"/>
          <w:highlight w:val="none"/>
        </w:rPr>
        <w:br w:type="textWrapping"/>
      </w:r>
      <w:r>
        <w:rPr>
          <w:rFonts w:hint="eastAsia" w:ascii="宋体" w:hAnsi="宋体"/>
          <w:color w:val="auto"/>
          <w:szCs w:val="21"/>
          <w:highlight w:val="none"/>
        </w:rPr>
        <w:t xml:space="preserve">   此页以下无正文。</w:t>
      </w:r>
    </w:p>
    <w:p>
      <w:pPr>
        <w:snapToGrid w:val="0"/>
        <w:spacing w:line="600" w:lineRule="exact"/>
        <w:rPr>
          <w:rFonts w:ascii="宋体" w:hAnsi="宋体"/>
          <w:color w:val="auto"/>
          <w:sz w:val="24"/>
          <w:highlight w:val="none"/>
        </w:rPr>
      </w:pPr>
      <w:r>
        <w:rPr>
          <w:rFonts w:hint="eastAsia" w:ascii="宋体" w:hAnsi="宋体"/>
          <w:color w:val="auto"/>
          <w:sz w:val="24"/>
          <w:highlight w:val="none"/>
        </w:rPr>
        <w:t>甲  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ascii="宋体" w:hAnsi="宋体"/>
          <w:color w:val="auto"/>
          <w:sz w:val="24"/>
          <w:highlight w:val="none"/>
        </w:rPr>
        <w:t>（盖单位章）</w:t>
      </w:r>
      <w:r>
        <w:rPr>
          <w:rFonts w:hint="eastAsia" w:ascii="宋体" w:hAnsi="宋体"/>
          <w:color w:val="auto"/>
          <w:sz w:val="24"/>
          <w:highlight w:val="none"/>
        </w:rPr>
        <w:t xml:space="preserve">     </w:t>
      </w:r>
    </w:p>
    <w:p>
      <w:pPr>
        <w:snapToGrid w:val="0"/>
        <w:spacing w:line="600" w:lineRule="exact"/>
        <w:rPr>
          <w:rFonts w:ascii="宋体" w:hAnsi="宋体"/>
          <w:color w:val="auto"/>
          <w:sz w:val="24"/>
          <w:highlight w:val="none"/>
        </w:rPr>
      </w:pPr>
      <w:r>
        <w:rPr>
          <w:rFonts w:ascii="宋体" w:hAnsi="宋体"/>
          <w:color w:val="auto"/>
          <w:sz w:val="24"/>
          <w:highlight w:val="none"/>
        </w:rPr>
        <w:t>法定代表人或其委托代理人：</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ascii="宋体" w:hAnsi="宋体"/>
          <w:color w:val="auto"/>
          <w:sz w:val="24"/>
          <w:highlight w:val="none"/>
        </w:rPr>
        <w:t>（签字</w:t>
      </w:r>
      <w:r>
        <w:rPr>
          <w:rFonts w:hint="eastAsia" w:ascii="宋体" w:hAnsi="宋体"/>
          <w:color w:val="auto"/>
          <w:sz w:val="24"/>
          <w:highlight w:val="none"/>
        </w:rPr>
        <w:t>或盖章</w:t>
      </w:r>
      <w:r>
        <w:rPr>
          <w:rFonts w:ascii="宋体" w:hAnsi="宋体"/>
          <w:color w:val="auto"/>
          <w:sz w:val="24"/>
          <w:highlight w:val="none"/>
        </w:rPr>
        <w:t>）</w:t>
      </w:r>
      <w:r>
        <w:rPr>
          <w:rFonts w:hint="eastAsia" w:ascii="宋体" w:hAnsi="宋体"/>
          <w:color w:val="auto"/>
          <w:sz w:val="24"/>
          <w:highlight w:val="none"/>
        </w:rPr>
        <w:t xml:space="preserve">   </w:t>
      </w:r>
    </w:p>
    <w:p>
      <w:pPr>
        <w:snapToGrid w:val="0"/>
        <w:spacing w:line="600" w:lineRule="exact"/>
        <w:rPr>
          <w:rFonts w:ascii="宋体" w:hAnsi="宋体"/>
          <w:color w:val="auto"/>
          <w:sz w:val="24"/>
          <w:highlight w:val="none"/>
        </w:rPr>
      </w:pPr>
      <w:r>
        <w:rPr>
          <w:rFonts w:hint="eastAsia" w:ascii="宋体" w:hAnsi="宋体"/>
          <w:color w:val="auto"/>
          <w:sz w:val="24"/>
          <w:highlight w:val="none"/>
        </w:rPr>
        <w:t>地址：</w:t>
      </w:r>
    </w:p>
    <w:p>
      <w:pPr>
        <w:snapToGrid w:val="0"/>
        <w:spacing w:line="600" w:lineRule="exact"/>
        <w:rPr>
          <w:rFonts w:ascii="宋体" w:hAnsi="宋体"/>
          <w:color w:val="auto"/>
          <w:sz w:val="24"/>
          <w:highlight w:val="none"/>
        </w:rPr>
      </w:pPr>
      <w:r>
        <w:rPr>
          <w:rFonts w:hint="eastAsia" w:ascii="宋体" w:hAnsi="宋体"/>
          <w:color w:val="auto"/>
          <w:sz w:val="24"/>
          <w:highlight w:val="none"/>
        </w:rPr>
        <w:t>法定代表人：</w:t>
      </w:r>
    </w:p>
    <w:p>
      <w:pPr>
        <w:snapToGrid w:val="0"/>
        <w:spacing w:line="600" w:lineRule="exact"/>
        <w:rPr>
          <w:rFonts w:ascii="宋体" w:hAnsi="宋体"/>
          <w:color w:val="auto"/>
          <w:sz w:val="24"/>
          <w:highlight w:val="none"/>
        </w:rPr>
      </w:pPr>
      <w:r>
        <w:rPr>
          <w:rFonts w:hint="eastAsia" w:ascii="宋体" w:hAnsi="宋体"/>
          <w:color w:val="auto"/>
          <w:sz w:val="24"/>
          <w:highlight w:val="none"/>
        </w:rPr>
        <w:t>开户银行：</w:t>
      </w:r>
    </w:p>
    <w:p>
      <w:pPr>
        <w:snapToGrid w:val="0"/>
        <w:spacing w:line="600" w:lineRule="exact"/>
        <w:rPr>
          <w:rFonts w:ascii="宋体" w:hAnsi="宋体"/>
          <w:color w:val="auto"/>
          <w:sz w:val="24"/>
          <w:highlight w:val="none"/>
        </w:rPr>
      </w:pPr>
      <w:r>
        <w:rPr>
          <w:rFonts w:hint="eastAsia" w:ascii="宋体" w:hAnsi="宋体"/>
          <w:color w:val="auto"/>
          <w:sz w:val="24"/>
          <w:highlight w:val="none"/>
        </w:rPr>
        <w:t>账号：</w:t>
      </w:r>
    </w:p>
    <w:p>
      <w:pPr>
        <w:snapToGrid w:val="0"/>
        <w:spacing w:line="600" w:lineRule="exact"/>
        <w:rPr>
          <w:rFonts w:ascii="宋体" w:hAnsi="宋体"/>
          <w:color w:val="auto"/>
          <w:sz w:val="24"/>
          <w:highlight w:val="none"/>
        </w:rPr>
      </w:pPr>
      <w:r>
        <w:rPr>
          <w:rFonts w:hint="eastAsia" w:ascii="宋体" w:hAnsi="宋体"/>
          <w:color w:val="auto"/>
          <w:sz w:val="24"/>
          <w:highlight w:val="none"/>
        </w:rPr>
        <w:t xml:space="preserve">联系电话：  </w:t>
      </w:r>
    </w:p>
    <w:p>
      <w:pPr>
        <w:snapToGrid w:val="0"/>
        <w:spacing w:line="600" w:lineRule="exact"/>
        <w:jc w:val="left"/>
        <w:rPr>
          <w:rFonts w:ascii="宋体" w:hAnsi="宋体"/>
          <w:color w:val="auto"/>
          <w:sz w:val="24"/>
          <w:highlight w:val="none"/>
        </w:rPr>
      </w:pPr>
      <w:r>
        <w:rPr>
          <w:rFonts w:hint="eastAsia" w:ascii="宋体" w:hAnsi="宋体"/>
          <w:color w:val="auto"/>
          <w:sz w:val="24"/>
          <w:highlight w:val="none"/>
        </w:rPr>
        <w:t>日期：</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ascii="宋体" w:hAnsi="宋体"/>
          <w:color w:val="auto"/>
          <w:sz w:val="24"/>
          <w:highlight w:val="none"/>
        </w:rPr>
        <w:t>年</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ascii="宋体" w:hAnsi="宋体"/>
          <w:color w:val="auto"/>
          <w:sz w:val="24"/>
          <w:highlight w:val="none"/>
        </w:rPr>
        <w:t>月</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ascii="宋体" w:hAnsi="宋体"/>
          <w:color w:val="auto"/>
          <w:sz w:val="24"/>
          <w:highlight w:val="none"/>
        </w:rPr>
        <w:t>日</w:t>
      </w:r>
      <w:r>
        <w:rPr>
          <w:rFonts w:hint="eastAsia" w:ascii="宋体" w:hAnsi="宋体"/>
          <w:color w:val="auto"/>
          <w:sz w:val="24"/>
          <w:highlight w:val="none"/>
        </w:rPr>
        <w:t xml:space="preserve">                       </w:t>
      </w:r>
    </w:p>
    <w:p>
      <w:pPr>
        <w:snapToGrid w:val="0"/>
        <w:spacing w:line="600" w:lineRule="exact"/>
        <w:rPr>
          <w:rFonts w:ascii="宋体" w:hAnsi="宋体"/>
          <w:color w:val="auto"/>
          <w:sz w:val="24"/>
          <w:highlight w:val="none"/>
        </w:rPr>
      </w:pPr>
      <w:r>
        <w:rPr>
          <w:rFonts w:hint="eastAsia" w:ascii="宋体" w:hAnsi="宋体"/>
          <w:color w:val="auto"/>
          <w:sz w:val="24"/>
          <w:highlight w:val="none"/>
        </w:rPr>
        <w:t>乙  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kern w:val="0"/>
          <w:sz w:val="24"/>
          <w:highlight w:val="none"/>
          <w:u w:val="single"/>
        </w:rPr>
        <w:t xml:space="preserve">                             </w:t>
      </w:r>
      <w:r>
        <w:rPr>
          <w:rFonts w:hint="eastAsia" w:ascii="宋体" w:hAnsi="宋体"/>
          <w:color w:val="auto"/>
          <w:sz w:val="24"/>
          <w:highlight w:val="none"/>
          <w:u w:val="single"/>
        </w:rPr>
        <w:t xml:space="preserve"> </w:t>
      </w:r>
      <w:r>
        <w:rPr>
          <w:rFonts w:ascii="宋体" w:hAnsi="宋体"/>
          <w:color w:val="auto"/>
          <w:sz w:val="24"/>
          <w:highlight w:val="none"/>
        </w:rPr>
        <w:t>（盖单位章）</w:t>
      </w:r>
    </w:p>
    <w:p>
      <w:pPr>
        <w:snapToGrid w:val="0"/>
        <w:spacing w:line="600" w:lineRule="exact"/>
        <w:rPr>
          <w:rFonts w:ascii="宋体" w:hAnsi="宋体"/>
          <w:color w:val="auto"/>
          <w:sz w:val="24"/>
          <w:highlight w:val="none"/>
        </w:rPr>
      </w:pPr>
      <w:r>
        <w:rPr>
          <w:rFonts w:ascii="宋体" w:hAnsi="宋体"/>
          <w:color w:val="auto"/>
          <w:sz w:val="24"/>
          <w:highlight w:val="none"/>
        </w:rPr>
        <w:t>法定代表人或其委托代理人：</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ascii="宋体" w:hAnsi="宋体"/>
          <w:color w:val="auto"/>
          <w:sz w:val="24"/>
          <w:highlight w:val="none"/>
        </w:rPr>
        <w:t>（签字</w:t>
      </w:r>
      <w:r>
        <w:rPr>
          <w:rFonts w:hint="eastAsia" w:ascii="宋体" w:hAnsi="宋体"/>
          <w:color w:val="auto"/>
          <w:sz w:val="24"/>
          <w:highlight w:val="none"/>
        </w:rPr>
        <w:t>或盖章</w:t>
      </w:r>
      <w:r>
        <w:rPr>
          <w:rFonts w:ascii="宋体" w:hAnsi="宋体"/>
          <w:color w:val="auto"/>
          <w:sz w:val="24"/>
          <w:highlight w:val="none"/>
        </w:rPr>
        <w:t>）</w:t>
      </w:r>
    </w:p>
    <w:p>
      <w:pPr>
        <w:snapToGrid w:val="0"/>
        <w:spacing w:line="600" w:lineRule="exact"/>
        <w:rPr>
          <w:rFonts w:ascii="宋体" w:hAnsi="宋体"/>
          <w:color w:val="auto"/>
          <w:sz w:val="24"/>
          <w:highlight w:val="none"/>
        </w:rPr>
      </w:pPr>
      <w:r>
        <w:rPr>
          <w:rFonts w:hint="eastAsia" w:ascii="宋体" w:hAnsi="宋体"/>
          <w:color w:val="auto"/>
          <w:sz w:val="24"/>
          <w:highlight w:val="none"/>
        </w:rPr>
        <w:t>地址：</w:t>
      </w:r>
    </w:p>
    <w:p>
      <w:pPr>
        <w:snapToGrid w:val="0"/>
        <w:spacing w:line="600" w:lineRule="exact"/>
        <w:rPr>
          <w:rFonts w:ascii="宋体" w:hAnsi="宋体"/>
          <w:color w:val="auto"/>
          <w:sz w:val="24"/>
          <w:highlight w:val="none"/>
        </w:rPr>
      </w:pPr>
      <w:r>
        <w:rPr>
          <w:rFonts w:hint="eastAsia" w:ascii="宋体" w:hAnsi="宋体"/>
          <w:color w:val="auto"/>
          <w:sz w:val="24"/>
          <w:highlight w:val="none"/>
        </w:rPr>
        <w:t>法定代表人：</w:t>
      </w:r>
    </w:p>
    <w:p>
      <w:pPr>
        <w:snapToGrid w:val="0"/>
        <w:spacing w:line="600" w:lineRule="exact"/>
        <w:rPr>
          <w:rFonts w:ascii="宋体" w:hAnsi="宋体"/>
          <w:color w:val="auto"/>
          <w:sz w:val="24"/>
          <w:highlight w:val="none"/>
        </w:rPr>
      </w:pPr>
      <w:r>
        <w:rPr>
          <w:rFonts w:hint="eastAsia" w:ascii="宋体" w:hAnsi="宋体"/>
          <w:color w:val="auto"/>
          <w:sz w:val="24"/>
          <w:highlight w:val="none"/>
        </w:rPr>
        <w:t>开户银行：</w:t>
      </w:r>
    </w:p>
    <w:p>
      <w:pPr>
        <w:snapToGrid w:val="0"/>
        <w:spacing w:line="600" w:lineRule="exact"/>
        <w:rPr>
          <w:rFonts w:ascii="宋体" w:hAnsi="宋体"/>
          <w:color w:val="auto"/>
          <w:sz w:val="24"/>
          <w:highlight w:val="none"/>
        </w:rPr>
      </w:pPr>
      <w:r>
        <w:rPr>
          <w:rFonts w:hint="eastAsia" w:ascii="宋体" w:hAnsi="宋体"/>
          <w:color w:val="auto"/>
          <w:sz w:val="24"/>
          <w:highlight w:val="none"/>
        </w:rPr>
        <w:t>账号：</w:t>
      </w:r>
    </w:p>
    <w:p>
      <w:pPr>
        <w:snapToGrid w:val="0"/>
        <w:spacing w:line="600" w:lineRule="exact"/>
        <w:rPr>
          <w:rFonts w:ascii="宋体" w:hAnsi="宋体"/>
          <w:color w:val="auto"/>
          <w:sz w:val="24"/>
          <w:highlight w:val="none"/>
        </w:rPr>
      </w:pPr>
      <w:r>
        <w:rPr>
          <w:rFonts w:hint="eastAsia" w:ascii="宋体" w:hAnsi="宋体"/>
          <w:color w:val="auto"/>
          <w:sz w:val="24"/>
          <w:highlight w:val="none"/>
        </w:rPr>
        <w:t xml:space="preserve">联系电话：  </w:t>
      </w:r>
    </w:p>
    <w:p>
      <w:pPr>
        <w:snapToGrid w:val="0"/>
        <w:spacing w:line="600" w:lineRule="exact"/>
        <w:rPr>
          <w:rFonts w:ascii="宋体" w:hAnsi="宋体"/>
          <w:color w:val="auto"/>
          <w:sz w:val="24"/>
          <w:highlight w:val="none"/>
        </w:rPr>
      </w:pPr>
      <w:r>
        <w:rPr>
          <w:rFonts w:hint="eastAsia" w:ascii="宋体" w:hAnsi="宋体"/>
          <w:color w:val="auto"/>
          <w:sz w:val="24"/>
          <w:highlight w:val="none"/>
        </w:rPr>
        <w:t>日期：</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ascii="宋体" w:hAnsi="宋体"/>
          <w:color w:val="auto"/>
          <w:sz w:val="24"/>
          <w:highlight w:val="none"/>
        </w:rPr>
        <w:t>年</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ascii="宋体" w:hAnsi="宋体"/>
          <w:color w:val="auto"/>
          <w:sz w:val="24"/>
          <w:highlight w:val="none"/>
        </w:rPr>
        <w:t>月</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ascii="宋体" w:hAnsi="宋体"/>
          <w:color w:val="auto"/>
          <w:sz w:val="24"/>
          <w:highlight w:val="none"/>
        </w:rPr>
        <w:t>日</w:t>
      </w:r>
      <w:r>
        <w:rPr>
          <w:rFonts w:hint="eastAsia" w:ascii="宋体" w:hAnsi="宋体"/>
          <w:color w:val="auto"/>
          <w:sz w:val="24"/>
          <w:highlight w:val="none"/>
        </w:rPr>
        <w:t xml:space="preserve">       </w:t>
      </w:r>
    </w:p>
    <w:p>
      <w:pPr>
        <w:spacing w:line="440" w:lineRule="atLeast"/>
        <w:jc w:val="center"/>
        <w:rPr>
          <w:rFonts w:ascii="宋体" w:hAnsi="宋体"/>
          <w:b/>
          <w:color w:val="auto"/>
          <w:sz w:val="32"/>
          <w:szCs w:val="32"/>
          <w:highlight w:val="none"/>
        </w:rPr>
      </w:pPr>
    </w:p>
    <w:p>
      <w:pPr>
        <w:spacing w:line="440" w:lineRule="atLeast"/>
        <w:jc w:val="center"/>
        <w:rPr>
          <w:rFonts w:ascii="宋体" w:hAnsi="宋体"/>
          <w:b/>
          <w:color w:val="auto"/>
          <w:sz w:val="32"/>
          <w:szCs w:val="32"/>
          <w:highlight w:val="none"/>
        </w:rPr>
      </w:pPr>
    </w:p>
    <w:p>
      <w:pPr>
        <w:widowControl/>
        <w:jc w:val="left"/>
        <w:rPr>
          <w:color w:val="auto"/>
          <w:highlight w:val="none"/>
        </w:rPr>
      </w:pPr>
      <w:r>
        <w:rPr>
          <w:color w:val="auto"/>
          <w:highlight w:val="none"/>
        </w:rPr>
        <w:br w:type="page"/>
      </w:r>
    </w:p>
    <w:p>
      <w:pPr>
        <w:rPr>
          <w:color w:val="auto"/>
          <w:sz w:val="72"/>
          <w:szCs w:val="72"/>
          <w:highlight w:val="none"/>
        </w:rPr>
      </w:pPr>
    </w:p>
    <w:p>
      <w:pPr>
        <w:rPr>
          <w:color w:val="auto"/>
          <w:sz w:val="72"/>
          <w:szCs w:val="72"/>
          <w:highlight w:val="none"/>
        </w:rPr>
      </w:pPr>
    </w:p>
    <w:p>
      <w:pPr>
        <w:rPr>
          <w:color w:val="auto"/>
          <w:sz w:val="72"/>
          <w:szCs w:val="72"/>
          <w:highlight w:val="none"/>
        </w:rPr>
      </w:pPr>
    </w:p>
    <w:p>
      <w:pPr>
        <w:rPr>
          <w:color w:val="auto"/>
          <w:sz w:val="72"/>
          <w:szCs w:val="72"/>
          <w:highlight w:val="none"/>
        </w:rPr>
      </w:pPr>
    </w:p>
    <w:p>
      <w:pPr>
        <w:rPr>
          <w:color w:val="auto"/>
          <w:sz w:val="72"/>
          <w:szCs w:val="72"/>
          <w:highlight w:val="none"/>
        </w:rPr>
      </w:pPr>
    </w:p>
    <w:p>
      <w:pPr>
        <w:rPr>
          <w:color w:val="auto"/>
          <w:sz w:val="72"/>
          <w:szCs w:val="72"/>
          <w:highlight w:val="none"/>
        </w:rPr>
      </w:pPr>
    </w:p>
    <w:p>
      <w:pPr>
        <w:rPr>
          <w:color w:val="auto"/>
          <w:sz w:val="72"/>
          <w:szCs w:val="72"/>
          <w:highlight w:val="none"/>
        </w:rPr>
      </w:pPr>
    </w:p>
    <w:p>
      <w:pPr>
        <w:pStyle w:val="3"/>
        <w:rPr>
          <w:color w:val="auto"/>
          <w:highlight w:val="none"/>
        </w:rPr>
      </w:pPr>
      <w:bookmarkStart w:id="6" w:name="_Toc53136857"/>
      <w:r>
        <w:rPr>
          <w:rFonts w:hint="eastAsia"/>
          <w:color w:val="auto"/>
          <w:highlight w:val="none"/>
        </w:rPr>
        <w:t>第六章 投标文件格式</w:t>
      </w:r>
      <w:bookmarkEnd w:id="6"/>
    </w:p>
    <w:p>
      <w:pPr>
        <w:widowControl/>
        <w:jc w:val="left"/>
        <w:rPr>
          <w:color w:val="auto"/>
          <w:highlight w:val="none"/>
        </w:rPr>
      </w:pPr>
      <w:r>
        <w:rPr>
          <w:color w:val="auto"/>
          <w:highlight w:val="none"/>
        </w:rPr>
        <w:br w:type="page"/>
      </w:r>
    </w:p>
    <w:p>
      <w:pPr>
        <w:spacing w:line="440" w:lineRule="atLeast"/>
        <w:jc w:val="left"/>
        <w:rPr>
          <w:rFonts w:ascii="宋体" w:hAnsi="宋体"/>
          <w:b/>
          <w:color w:val="auto"/>
          <w:sz w:val="32"/>
          <w:szCs w:val="32"/>
          <w:highlight w:val="none"/>
        </w:rPr>
      </w:pPr>
      <w:r>
        <w:rPr>
          <w:rFonts w:hint="eastAsia" w:ascii="宋体" w:hAnsi="宋体"/>
          <w:b/>
          <w:color w:val="auto"/>
          <w:sz w:val="32"/>
          <w:szCs w:val="32"/>
          <w:highlight w:val="none"/>
        </w:rPr>
        <w:t>封面（格式）                                    正/副本</w:t>
      </w:r>
    </w:p>
    <w:p>
      <w:pPr>
        <w:spacing w:line="440" w:lineRule="atLeast"/>
        <w:jc w:val="left"/>
        <w:rPr>
          <w:rFonts w:ascii="宋体" w:hAnsi="宋体"/>
          <w:b/>
          <w:color w:val="auto"/>
          <w:sz w:val="32"/>
          <w:szCs w:val="32"/>
          <w:highlight w:val="none"/>
        </w:rPr>
      </w:pPr>
    </w:p>
    <w:p>
      <w:pPr>
        <w:spacing w:line="440" w:lineRule="atLeast"/>
        <w:jc w:val="left"/>
        <w:rPr>
          <w:rFonts w:ascii="宋体" w:hAnsi="宋体"/>
          <w:b/>
          <w:color w:val="auto"/>
          <w:sz w:val="32"/>
          <w:szCs w:val="32"/>
          <w:highlight w:val="none"/>
        </w:rPr>
      </w:pPr>
    </w:p>
    <w:p>
      <w:pPr>
        <w:spacing w:line="440" w:lineRule="atLeast"/>
        <w:jc w:val="left"/>
        <w:rPr>
          <w:rFonts w:ascii="宋体" w:hAnsi="宋体"/>
          <w:b/>
          <w:color w:val="auto"/>
          <w:sz w:val="32"/>
          <w:szCs w:val="32"/>
          <w:highlight w:val="none"/>
        </w:rPr>
      </w:pPr>
    </w:p>
    <w:p>
      <w:pPr>
        <w:spacing w:line="440" w:lineRule="atLeast"/>
        <w:jc w:val="left"/>
        <w:rPr>
          <w:rFonts w:ascii="宋体" w:hAnsi="宋体"/>
          <w:b/>
          <w:color w:val="auto"/>
          <w:sz w:val="32"/>
          <w:szCs w:val="32"/>
          <w:highlight w:val="none"/>
        </w:rPr>
      </w:pPr>
    </w:p>
    <w:p>
      <w:pPr>
        <w:spacing w:line="440" w:lineRule="atLeast"/>
        <w:jc w:val="left"/>
        <w:rPr>
          <w:rFonts w:ascii="宋体" w:hAnsi="宋体"/>
          <w:b/>
          <w:color w:val="auto"/>
          <w:sz w:val="96"/>
          <w:szCs w:val="96"/>
          <w:highlight w:val="none"/>
        </w:rPr>
      </w:pPr>
      <w:r>
        <w:rPr>
          <w:rFonts w:hint="eastAsia" w:ascii="宋体" w:hAnsi="宋体"/>
          <w:b/>
          <w:color w:val="auto"/>
          <w:sz w:val="32"/>
          <w:szCs w:val="32"/>
          <w:highlight w:val="none"/>
        </w:rPr>
        <w:t xml:space="preserve">          </w:t>
      </w:r>
      <w:r>
        <w:rPr>
          <w:rFonts w:hint="eastAsia" w:ascii="宋体" w:hAnsi="宋体"/>
          <w:b/>
          <w:color w:val="auto"/>
          <w:sz w:val="96"/>
          <w:szCs w:val="96"/>
          <w:highlight w:val="none"/>
        </w:rPr>
        <w:t xml:space="preserve">  投标文件</w:t>
      </w:r>
    </w:p>
    <w:p>
      <w:pPr>
        <w:spacing w:line="480" w:lineRule="auto"/>
        <w:jc w:val="left"/>
        <w:rPr>
          <w:rFonts w:ascii="宋体" w:hAnsi="宋体"/>
          <w:b/>
          <w:color w:val="auto"/>
          <w:sz w:val="44"/>
          <w:szCs w:val="44"/>
          <w:highlight w:val="none"/>
        </w:rPr>
      </w:pPr>
    </w:p>
    <w:p>
      <w:pPr>
        <w:spacing w:line="480" w:lineRule="auto"/>
        <w:jc w:val="left"/>
        <w:rPr>
          <w:rFonts w:ascii="宋体" w:hAnsi="宋体"/>
          <w:b/>
          <w:color w:val="auto"/>
          <w:sz w:val="44"/>
          <w:szCs w:val="44"/>
          <w:highlight w:val="none"/>
        </w:rPr>
      </w:pPr>
    </w:p>
    <w:p>
      <w:pPr>
        <w:spacing w:line="480" w:lineRule="auto"/>
        <w:jc w:val="left"/>
        <w:rPr>
          <w:rFonts w:ascii="宋体" w:hAnsi="宋体"/>
          <w:b/>
          <w:color w:val="auto"/>
          <w:sz w:val="44"/>
          <w:szCs w:val="44"/>
          <w:highlight w:val="none"/>
        </w:rPr>
      </w:pPr>
    </w:p>
    <w:p>
      <w:pPr>
        <w:spacing w:line="480" w:lineRule="auto"/>
        <w:jc w:val="left"/>
        <w:rPr>
          <w:rFonts w:ascii="宋体" w:hAnsi="宋体"/>
          <w:b/>
          <w:color w:val="auto"/>
          <w:sz w:val="44"/>
          <w:szCs w:val="44"/>
          <w:highlight w:val="none"/>
        </w:rPr>
      </w:pPr>
    </w:p>
    <w:p>
      <w:pPr>
        <w:spacing w:line="720" w:lineRule="auto"/>
        <w:ind w:firstLine="1066" w:firstLineChars="294"/>
        <w:rPr>
          <w:rFonts w:ascii="宋体" w:hAnsi="宋体"/>
          <w:b/>
          <w:bCs/>
          <w:color w:val="auto"/>
          <w:sz w:val="36"/>
          <w:szCs w:val="36"/>
          <w:highlight w:val="none"/>
        </w:rPr>
      </w:pPr>
      <w:r>
        <w:rPr>
          <w:rFonts w:hint="eastAsia" w:ascii="宋体" w:hAnsi="宋体"/>
          <w:b/>
          <w:bCs/>
          <w:color w:val="auto"/>
          <w:sz w:val="36"/>
          <w:szCs w:val="36"/>
          <w:highlight w:val="none"/>
        </w:rPr>
        <w:t xml:space="preserve">项目名称： </w:t>
      </w:r>
    </w:p>
    <w:p>
      <w:pPr>
        <w:spacing w:line="720" w:lineRule="auto"/>
        <w:ind w:firstLine="1089" w:firstLineChars="300"/>
        <w:rPr>
          <w:rFonts w:ascii="宋体" w:hAnsi="宋体"/>
          <w:b/>
          <w:bCs/>
          <w:color w:val="auto"/>
          <w:sz w:val="36"/>
          <w:szCs w:val="36"/>
          <w:highlight w:val="none"/>
        </w:rPr>
      </w:pPr>
      <w:r>
        <w:rPr>
          <w:rFonts w:hint="eastAsia" w:ascii="宋体" w:hAnsi="宋体"/>
          <w:b/>
          <w:bCs/>
          <w:color w:val="auto"/>
          <w:sz w:val="36"/>
          <w:szCs w:val="36"/>
          <w:highlight w:val="none"/>
        </w:rPr>
        <w:t xml:space="preserve">项目编号： </w:t>
      </w:r>
    </w:p>
    <w:p>
      <w:pPr>
        <w:spacing w:line="720" w:lineRule="auto"/>
        <w:ind w:firstLine="1089" w:firstLineChars="300"/>
        <w:rPr>
          <w:rFonts w:ascii="宋体" w:hAnsi="宋体"/>
          <w:b/>
          <w:bCs/>
          <w:color w:val="auto"/>
          <w:sz w:val="36"/>
          <w:szCs w:val="36"/>
          <w:highlight w:val="none"/>
        </w:rPr>
      </w:pPr>
      <w:r>
        <w:rPr>
          <w:rFonts w:hint="eastAsia" w:ascii="宋体" w:hAnsi="宋体"/>
          <w:b/>
          <w:bCs/>
          <w:color w:val="auto"/>
          <w:sz w:val="36"/>
          <w:szCs w:val="36"/>
          <w:highlight w:val="none"/>
        </w:rPr>
        <w:t>采购代理机构：</w:t>
      </w:r>
    </w:p>
    <w:p>
      <w:pPr>
        <w:spacing w:line="720" w:lineRule="auto"/>
        <w:ind w:firstLine="1089" w:firstLineChars="300"/>
        <w:rPr>
          <w:rFonts w:ascii="宋体" w:hAnsi="宋体"/>
          <w:b/>
          <w:bCs/>
          <w:color w:val="auto"/>
          <w:sz w:val="36"/>
          <w:szCs w:val="36"/>
          <w:highlight w:val="none"/>
        </w:rPr>
      </w:pPr>
      <w:r>
        <w:rPr>
          <w:rFonts w:hint="eastAsia" w:ascii="宋体" w:hAnsi="宋体"/>
          <w:b/>
          <w:bCs/>
          <w:color w:val="auto"/>
          <w:sz w:val="36"/>
          <w:szCs w:val="36"/>
          <w:highlight w:val="none"/>
        </w:rPr>
        <w:t>投标单位名称：</w:t>
      </w:r>
    </w:p>
    <w:p>
      <w:pPr>
        <w:spacing w:line="720" w:lineRule="auto"/>
        <w:jc w:val="left"/>
        <w:rPr>
          <w:rFonts w:ascii="宋体" w:hAnsi="宋体"/>
          <w:b/>
          <w:bCs/>
          <w:color w:val="auto"/>
          <w:sz w:val="36"/>
          <w:szCs w:val="36"/>
          <w:highlight w:val="none"/>
        </w:rPr>
      </w:pPr>
      <w:r>
        <w:rPr>
          <w:rFonts w:hint="eastAsia" w:ascii="宋体" w:hAnsi="宋体"/>
          <w:b/>
          <w:bCs/>
          <w:color w:val="auto"/>
          <w:sz w:val="36"/>
          <w:szCs w:val="36"/>
          <w:highlight w:val="none"/>
        </w:rPr>
        <w:t xml:space="preserve">      日期</w:t>
      </w:r>
    </w:p>
    <w:p>
      <w:pPr>
        <w:spacing w:line="440" w:lineRule="atLeast"/>
        <w:jc w:val="left"/>
        <w:rPr>
          <w:rFonts w:ascii="宋体" w:hAnsi="宋体"/>
          <w:b/>
          <w:color w:val="auto"/>
          <w:sz w:val="32"/>
          <w:szCs w:val="32"/>
          <w:highlight w:val="none"/>
        </w:rPr>
      </w:pPr>
    </w:p>
    <w:p>
      <w:pPr>
        <w:spacing w:line="440" w:lineRule="atLeast"/>
        <w:jc w:val="left"/>
        <w:rPr>
          <w:rFonts w:ascii="宋体" w:hAnsi="宋体"/>
          <w:b/>
          <w:color w:val="auto"/>
          <w:sz w:val="32"/>
          <w:szCs w:val="32"/>
          <w:highlight w:val="none"/>
        </w:rPr>
      </w:pPr>
    </w:p>
    <w:p>
      <w:pPr>
        <w:spacing w:line="440" w:lineRule="atLeast"/>
        <w:jc w:val="left"/>
        <w:rPr>
          <w:rFonts w:ascii="宋体" w:hAnsi="宋体"/>
          <w:b/>
          <w:color w:val="auto"/>
          <w:sz w:val="32"/>
          <w:szCs w:val="32"/>
          <w:highlight w:val="none"/>
        </w:rPr>
      </w:pPr>
    </w:p>
    <w:p>
      <w:pPr>
        <w:spacing w:line="440" w:lineRule="atLeast"/>
        <w:jc w:val="left"/>
        <w:rPr>
          <w:rFonts w:ascii="宋体" w:hAnsi="宋体"/>
          <w:b/>
          <w:color w:val="auto"/>
          <w:sz w:val="44"/>
          <w:szCs w:val="44"/>
          <w:highlight w:val="none"/>
        </w:rPr>
      </w:pPr>
    </w:p>
    <w:p>
      <w:pPr>
        <w:spacing w:line="440" w:lineRule="atLeast"/>
        <w:jc w:val="center"/>
        <w:rPr>
          <w:rFonts w:ascii="宋体" w:hAnsi="宋体"/>
          <w:b/>
          <w:color w:val="auto"/>
          <w:sz w:val="44"/>
          <w:szCs w:val="44"/>
          <w:highlight w:val="none"/>
        </w:rPr>
      </w:pPr>
      <w:r>
        <w:rPr>
          <w:rFonts w:hint="eastAsia" w:ascii="宋体" w:hAnsi="宋体"/>
          <w:b/>
          <w:color w:val="auto"/>
          <w:sz w:val="44"/>
          <w:szCs w:val="44"/>
          <w:highlight w:val="none"/>
        </w:rPr>
        <w:t>目录</w:t>
      </w:r>
    </w:p>
    <w:p>
      <w:pPr>
        <w:spacing w:line="440" w:lineRule="atLeast"/>
        <w:jc w:val="left"/>
        <w:rPr>
          <w:rFonts w:ascii="宋体" w:hAnsi="宋体"/>
          <w:b/>
          <w:color w:val="auto"/>
          <w:sz w:val="32"/>
          <w:szCs w:val="32"/>
          <w:highlight w:val="none"/>
        </w:rPr>
      </w:pPr>
    </w:p>
    <w:p>
      <w:pPr>
        <w:spacing w:line="440" w:lineRule="atLeast"/>
        <w:ind w:firstLine="646" w:firstLineChars="200"/>
        <w:jc w:val="center"/>
        <w:rPr>
          <w:rFonts w:ascii="宋体" w:hAnsi="宋体"/>
          <w:b/>
          <w:color w:val="auto"/>
          <w:sz w:val="32"/>
          <w:szCs w:val="32"/>
          <w:highlight w:val="none"/>
        </w:rPr>
      </w:pPr>
      <w:r>
        <w:rPr>
          <w:rFonts w:hint="eastAsia" w:ascii="宋体" w:hAnsi="宋体"/>
          <w:b/>
          <w:color w:val="auto"/>
          <w:sz w:val="32"/>
          <w:szCs w:val="32"/>
          <w:highlight w:val="none"/>
        </w:rPr>
        <w:t>（投标人自拟）</w:t>
      </w:r>
    </w:p>
    <w:p>
      <w:pPr>
        <w:spacing w:line="440" w:lineRule="atLeast"/>
        <w:jc w:val="left"/>
        <w:rPr>
          <w:rFonts w:ascii="宋体" w:hAnsi="宋体"/>
          <w:b/>
          <w:color w:val="auto"/>
          <w:sz w:val="32"/>
          <w:szCs w:val="32"/>
          <w:highlight w:val="none"/>
        </w:rPr>
      </w:pPr>
    </w:p>
    <w:p>
      <w:pPr>
        <w:spacing w:line="440" w:lineRule="atLeast"/>
        <w:jc w:val="left"/>
        <w:rPr>
          <w:rFonts w:ascii="宋体" w:hAnsi="宋体"/>
          <w:b/>
          <w:color w:val="auto"/>
          <w:sz w:val="32"/>
          <w:szCs w:val="32"/>
          <w:highlight w:val="none"/>
        </w:rPr>
      </w:pPr>
    </w:p>
    <w:p>
      <w:pPr>
        <w:spacing w:line="440" w:lineRule="atLeast"/>
        <w:jc w:val="left"/>
        <w:rPr>
          <w:rFonts w:ascii="宋体" w:hAnsi="宋体"/>
          <w:b/>
          <w:color w:val="auto"/>
          <w:sz w:val="32"/>
          <w:szCs w:val="32"/>
          <w:highlight w:val="none"/>
        </w:rPr>
      </w:pPr>
    </w:p>
    <w:p>
      <w:pPr>
        <w:spacing w:line="440" w:lineRule="atLeast"/>
        <w:jc w:val="left"/>
        <w:rPr>
          <w:rFonts w:ascii="宋体" w:hAnsi="宋体"/>
          <w:b/>
          <w:color w:val="auto"/>
          <w:sz w:val="32"/>
          <w:szCs w:val="32"/>
          <w:highlight w:val="none"/>
        </w:rPr>
      </w:pPr>
    </w:p>
    <w:p>
      <w:pPr>
        <w:spacing w:line="440" w:lineRule="atLeast"/>
        <w:jc w:val="left"/>
        <w:rPr>
          <w:rFonts w:ascii="宋体" w:hAnsi="宋体"/>
          <w:b/>
          <w:color w:val="auto"/>
          <w:sz w:val="32"/>
          <w:szCs w:val="32"/>
          <w:highlight w:val="none"/>
        </w:rPr>
      </w:pPr>
    </w:p>
    <w:p>
      <w:pPr>
        <w:spacing w:line="440" w:lineRule="atLeast"/>
        <w:jc w:val="left"/>
        <w:rPr>
          <w:rFonts w:ascii="宋体" w:hAnsi="宋体"/>
          <w:b/>
          <w:color w:val="auto"/>
          <w:sz w:val="32"/>
          <w:szCs w:val="32"/>
          <w:highlight w:val="none"/>
        </w:rPr>
      </w:pPr>
    </w:p>
    <w:p>
      <w:pPr>
        <w:spacing w:line="440" w:lineRule="atLeast"/>
        <w:jc w:val="left"/>
        <w:rPr>
          <w:rFonts w:ascii="宋体" w:hAnsi="宋体"/>
          <w:b/>
          <w:color w:val="auto"/>
          <w:sz w:val="32"/>
          <w:szCs w:val="32"/>
          <w:highlight w:val="none"/>
        </w:rPr>
      </w:pPr>
    </w:p>
    <w:p>
      <w:pPr>
        <w:spacing w:line="440" w:lineRule="atLeast"/>
        <w:jc w:val="left"/>
        <w:rPr>
          <w:rFonts w:ascii="宋体" w:hAnsi="宋体"/>
          <w:b/>
          <w:color w:val="auto"/>
          <w:sz w:val="32"/>
          <w:szCs w:val="32"/>
          <w:highlight w:val="none"/>
        </w:rPr>
      </w:pPr>
    </w:p>
    <w:p>
      <w:pPr>
        <w:spacing w:line="440" w:lineRule="atLeast"/>
        <w:jc w:val="left"/>
        <w:rPr>
          <w:rFonts w:ascii="宋体" w:hAnsi="宋体"/>
          <w:b/>
          <w:color w:val="auto"/>
          <w:sz w:val="32"/>
          <w:szCs w:val="32"/>
          <w:highlight w:val="none"/>
        </w:rPr>
      </w:pPr>
    </w:p>
    <w:p>
      <w:pPr>
        <w:spacing w:line="440" w:lineRule="atLeast"/>
        <w:jc w:val="left"/>
        <w:rPr>
          <w:rFonts w:ascii="宋体" w:hAnsi="宋体"/>
          <w:b/>
          <w:color w:val="auto"/>
          <w:sz w:val="32"/>
          <w:szCs w:val="32"/>
          <w:highlight w:val="none"/>
        </w:rPr>
      </w:pPr>
    </w:p>
    <w:p>
      <w:pPr>
        <w:spacing w:line="440" w:lineRule="atLeast"/>
        <w:jc w:val="left"/>
        <w:rPr>
          <w:rFonts w:ascii="宋体" w:hAnsi="宋体"/>
          <w:b/>
          <w:color w:val="auto"/>
          <w:sz w:val="32"/>
          <w:szCs w:val="32"/>
          <w:highlight w:val="none"/>
        </w:rPr>
      </w:pPr>
    </w:p>
    <w:p>
      <w:pPr>
        <w:spacing w:line="440" w:lineRule="atLeast"/>
        <w:jc w:val="left"/>
        <w:rPr>
          <w:rFonts w:ascii="宋体" w:hAnsi="宋体"/>
          <w:b/>
          <w:color w:val="auto"/>
          <w:sz w:val="32"/>
          <w:szCs w:val="32"/>
          <w:highlight w:val="none"/>
        </w:rPr>
      </w:pPr>
    </w:p>
    <w:p>
      <w:pPr>
        <w:spacing w:line="440" w:lineRule="atLeast"/>
        <w:jc w:val="left"/>
        <w:rPr>
          <w:rFonts w:ascii="宋体" w:hAnsi="宋体"/>
          <w:b/>
          <w:color w:val="auto"/>
          <w:sz w:val="32"/>
          <w:szCs w:val="32"/>
          <w:highlight w:val="none"/>
        </w:rPr>
      </w:pPr>
    </w:p>
    <w:p>
      <w:pPr>
        <w:spacing w:line="440" w:lineRule="atLeast"/>
        <w:jc w:val="left"/>
        <w:rPr>
          <w:rFonts w:ascii="宋体" w:hAnsi="宋体"/>
          <w:b/>
          <w:color w:val="auto"/>
          <w:sz w:val="32"/>
          <w:szCs w:val="32"/>
          <w:highlight w:val="none"/>
        </w:rPr>
      </w:pPr>
    </w:p>
    <w:p>
      <w:pPr>
        <w:spacing w:line="440" w:lineRule="atLeast"/>
        <w:jc w:val="left"/>
        <w:rPr>
          <w:rFonts w:ascii="宋体" w:hAnsi="宋体"/>
          <w:b/>
          <w:color w:val="auto"/>
          <w:sz w:val="32"/>
          <w:szCs w:val="32"/>
          <w:highlight w:val="none"/>
        </w:rPr>
      </w:pPr>
    </w:p>
    <w:p>
      <w:pPr>
        <w:spacing w:line="440" w:lineRule="atLeast"/>
        <w:jc w:val="left"/>
        <w:rPr>
          <w:rFonts w:ascii="宋体" w:hAnsi="宋体"/>
          <w:b/>
          <w:color w:val="auto"/>
          <w:sz w:val="32"/>
          <w:szCs w:val="32"/>
          <w:highlight w:val="none"/>
        </w:rPr>
      </w:pPr>
    </w:p>
    <w:p>
      <w:pPr>
        <w:spacing w:line="440" w:lineRule="atLeast"/>
        <w:jc w:val="left"/>
        <w:rPr>
          <w:rFonts w:ascii="宋体" w:hAnsi="宋体"/>
          <w:b/>
          <w:color w:val="auto"/>
          <w:sz w:val="32"/>
          <w:szCs w:val="32"/>
          <w:highlight w:val="none"/>
        </w:rPr>
      </w:pPr>
    </w:p>
    <w:p>
      <w:pPr>
        <w:spacing w:line="440" w:lineRule="atLeast"/>
        <w:jc w:val="left"/>
        <w:rPr>
          <w:rFonts w:ascii="宋体" w:hAnsi="宋体"/>
          <w:b/>
          <w:color w:val="auto"/>
          <w:sz w:val="32"/>
          <w:szCs w:val="32"/>
          <w:highlight w:val="none"/>
        </w:rPr>
      </w:pPr>
    </w:p>
    <w:p>
      <w:pPr>
        <w:pStyle w:val="9"/>
        <w:numPr>
          <w:ilvl w:val="0"/>
          <w:numId w:val="2"/>
        </w:numPr>
        <w:spacing w:line="400" w:lineRule="exact"/>
        <w:ind w:left="426" w:leftChars="200" w:firstLine="157" w:firstLineChars="49"/>
        <w:rPr>
          <w:rFonts w:hAnsi="宋体"/>
          <w:b/>
          <w:color w:val="auto"/>
          <w:sz w:val="32"/>
          <w:szCs w:val="32"/>
          <w:highlight w:val="none"/>
        </w:rPr>
      </w:pPr>
      <w:r>
        <w:rPr>
          <w:rFonts w:hint="eastAsia" w:hAnsi="宋体"/>
          <w:b/>
          <w:color w:val="auto"/>
          <w:sz w:val="32"/>
          <w:szCs w:val="32"/>
          <w:highlight w:val="none"/>
        </w:rPr>
        <w:t>投标函</w:t>
      </w:r>
    </w:p>
    <w:p>
      <w:pPr>
        <w:pStyle w:val="9"/>
        <w:spacing w:line="400" w:lineRule="exact"/>
        <w:ind w:left="530" w:leftChars="249"/>
        <w:rPr>
          <w:rFonts w:hAnsi="宋体"/>
          <w:b/>
          <w:color w:val="auto"/>
          <w:sz w:val="32"/>
          <w:szCs w:val="32"/>
          <w:highlight w:val="none"/>
        </w:rPr>
      </w:pPr>
    </w:p>
    <w:p>
      <w:pPr>
        <w:pStyle w:val="9"/>
        <w:spacing w:line="400" w:lineRule="exact"/>
        <w:ind w:left="426" w:leftChars="200" w:firstLine="157" w:firstLineChars="49"/>
        <w:rPr>
          <w:rFonts w:hAnsi="宋体"/>
          <w:b/>
          <w:color w:val="auto"/>
          <w:sz w:val="32"/>
          <w:szCs w:val="32"/>
          <w:highlight w:val="none"/>
        </w:rPr>
      </w:pPr>
      <w:r>
        <w:rPr>
          <w:rFonts w:hint="eastAsia" w:hAnsi="宋体"/>
          <w:b/>
          <w:color w:val="auto"/>
          <w:sz w:val="32"/>
          <w:szCs w:val="32"/>
          <w:highlight w:val="none"/>
        </w:rPr>
        <w:t>附件：</w:t>
      </w:r>
    </w:p>
    <w:p>
      <w:pPr>
        <w:pStyle w:val="9"/>
        <w:ind w:firstLine="807" w:firstLineChars="250"/>
        <w:jc w:val="center"/>
        <w:rPr>
          <w:rFonts w:hAnsi="宋体"/>
          <w:b/>
          <w:color w:val="auto"/>
          <w:sz w:val="32"/>
          <w:highlight w:val="none"/>
        </w:rPr>
      </w:pPr>
      <w:r>
        <w:rPr>
          <w:rFonts w:hint="eastAsia" w:hAnsi="宋体"/>
          <w:b/>
          <w:color w:val="auto"/>
          <w:sz w:val="32"/>
          <w:highlight w:val="none"/>
        </w:rPr>
        <w:t>投 标 函 （格 式）</w:t>
      </w:r>
    </w:p>
    <w:p>
      <w:pPr>
        <w:spacing w:line="240" w:lineRule="exact"/>
        <w:jc w:val="center"/>
        <w:rPr>
          <w:rFonts w:ascii="宋体" w:hAnsi="宋体"/>
          <w:color w:val="auto"/>
          <w:sz w:val="32"/>
          <w:highlight w:val="none"/>
        </w:rPr>
      </w:pPr>
    </w:p>
    <w:p>
      <w:pPr>
        <w:spacing w:line="400" w:lineRule="exact"/>
        <w:rPr>
          <w:rFonts w:ascii="宋体" w:hAnsi="宋体"/>
          <w:color w:val="auto"/>
          <w:highlight w:val="none"/>
        </w:rPr>
      </w:pPr>
      <w:r>
        <w:rPr>
          <w:rFonts w:hint="eastAsia" w:ascii="宋体" w:hAnsi="宋体"/>
          <w:color w:val="auto"/>
          <w:szCs w:val="21"/>
          <w:highlight w:val="none"/>
        </w:rPr>
        <w:t>致：</w:t>
      </w:r>
      <w:r>
        <w:rPr>
          <w:rFonts w:hint="eastAsia" w:ascii="宋体" w:hAnsi="宋体"/>
          <w:color w:val="auto"/>
          <w:highlight w:val="none"/>
          <w:u w:val="single"/>
        </w:rPr>
        <w:t>广西桂林华禹水利水电工程咨询有限公司</w:t>
      </w:r>
    </w:p>
    <w:p>
      <w:pPr>
        <w:spacing w:line="400" w:lineRule="exact"/>
        <w:rPr>
          <w:rFonts w:ascii="宋体" w:hAnsi="宋体"/>
          <w:color w:val="auto"/>
          <w:szCs w:val="21"/>
          <w:highlight w:val="none"/>
        </w:rPr>
      </w:pPr>
    </w:p>
    <w:p>
      <w:pPr>
        <w:pStyle w:val="9"/>
        <w:spacing w:line="360" w:lineRule="exact"/>
        <w:ind w:firstLine="420"/>
        <w:rPr>
          <w:rFonts w:hAnsi="宋体"/>
          <w:color w:val="auto"/>
          <w:highlight w:val="none"/>
        </w:rPr>
      </w:pPr>
      <w:r>
        <w:rPr>
          <w:rFonts w:hint="eastAsia" w:hAnsi="宋体"/>
          <w:color w:val="auto"/>
          <w:highlight w:val="none"/>
        </w:rPr>
        <w:t>根据贵方</w:t>
      </w:r>
      <w:r>
        <w:rPr>
          <w:rFonts w:hint="eastAsia" w:hAnsi="宋体"/>
          <w:color w:val="auto"/>
          <w:highlight w:val="none"/>
          <w:u w:val="single"/>
        </w:rPr>
        <w:t xml:space="preserve">           </w:t>
      </w:r>
      <w:r>
        <w:rPr>
          <w:rFonts w:hint="eastAsia" w:hAnsi="宋体"/>
          <w:color w:val="auto"/>
          <w:highlight w:val="none"/>
        </w:rPr>
        <w:t>项目招标文件，项目编号</w:t>
      </w:r>
      <w:r>
        <w:rPr>
          <w:rFonts w:hint="eastAsia" w:hAnsi="宋体"/>
          <w:color w:val="auto"/>
          <w:szCs w:val="21"/>
          <w:highlight w:val="none"/>
          <w:u w:val="single"/>
        </w:rPr>
        <w:t xml:space="preserve">            </w:t>
      </w:r>
      <w:r>
        <w:rPr>
          <w:rFonts w:hint="eastAsia" w:hAnsi="宋体"/>
          <w:color w:val="auto"/>
          <w:szCs w:val="21"/>
          <w:highlight w:val="none"/>
        </w:rPr>
        <w:t>，签字代表</w:t>
      </w:r>
      <w:r>
        <w:rPr>
          <w:rFonts w:hint="eastAsia" w:hAnsi="宋体"/>
          <w:color w:val="auto"/>
          <w:highlight w:val="none"/>
          <w:u w:val="single"/>
        </w:rPr>
        <w:t xml:space="preserve">         </w:t>
      </w:r>
      <w:r>
        <w:rPr>
          <w:rFonts w:hint="eastAsia" w:hAnsi="宋体"/>
          <w:color w:val="auto"/>
          <w:highlight w:val="none"/>
        </w:rPr>
        <w:t xml:space="preserve">（姓名）经正式授权并代表投标人 </w:t>
      </w:r>
      <w:r>
        <w:rPr>
          <w:rFonts w:hint="eastAsia" w:hAnsi="宋体"/>
          <w:color w:val="auto"/>
          <w:highlight w:val="none"/>
          <w:u w:val="single"/>
        </w:rPr>
        <w:t xml:space="preserve">                                   （</w:t>
      </w:r>
      <w:r>
        <w:rPr>
          <w:rFonts w:hint="eastAsia" w:hAnsi="宋体"/>
          <w:color w:val="auto"/>
          <w:highlight w:val="none"/>
        </w:rPr>
        <w:t>投标单位名称，</w:t>
      </w:r>
      <w:r>
        <w:rPr>
          <w:rFonts w:hint="eastAsia" w:hAnsi="宋体"/>
          <w:b/>
          <w:color w:val="auto"/>
          <w:highlight w:val="none"/>
        </w:rPr>
        <w:t>如为联合体的，则为联合体各成员的单位名称</w:t>
      </w:r>
      <w:r>
        <w:rPr>
          <w:rFonts w:hint="eastAsia" w:hAnsi="宋体"/>
          <w:color w:val="auto"/>
          <w:highlight w:val="none"/>
        </w:rPr>
        <w:t>），提交投标文件正本一份，副本四份。</w:t>
      </w:r>
    </w:p>
    <w:p>
      <w:pPr>
        <w:pStyle w:val="9"/>
        <w:spacing w:line="360" w:lineRule="exact"/>
        <w:ind w:firstLine="420"/>
        <w:rPr>
          <w:rFonts w:hAnsi="宋体"/>
          <w:color w:val="auto"/>
          <w:highlight w:val="none"/>
        </w:rPr>
      </w:pPr>
      <w:r>
        <w:rPr>
          <w:rFonts w:hint="eastAsia" w:hAnsi="宋体"/>
          <w:color w:val="auto"/>
          <w:highlight w:val="none"/>
        </w:rPr>
        <w:t>据此函，签字代表宣布同意如下：</w:t>
      </w:r>
    </w:p>
    <w:p>
      <w:pPr>
        <w:pStyle w:val="9"/>
        <w:spacing w:line="360" w:lineRule="exact"/>
        <w:ind w:firstLine="420"/>
        <w:rPr>
          <w:rFonts w:hAnsi="宋体"/>
          <w:color w:val="auto"/>
          <w:highlight w:val="none"/>
        </w:rPr>
      </w:pPr>
      <w:r>
        <w:rPr>
          <w:rFonts w:hint="eastAsia" w:hAnsi="宋体"/>
          <w:color w:val="auto"/>
          <w:highlight w:val="none"/>
        </w:rPr>
        <w:t>1.投标报价（元）：</w:t>
      </w:r>
    </w:p>
    <w:p>
      <w:pPr>
        <w:pStyle w:val="9"/>
        <w:spacing w:line="360" w:lineRule="exact"/>
        <w:ind w:firstLine="639" w:firstLineChars="300"/>
        <w:rPr>
          <w:rFonts w:hAnsi="宋体"/>
          <w:color w:val="auto"/>
          <w:highlight w:val="none"/>
        </w:rPr>
      </w:pPr>
      <w:r>
        <w:rPr>
          <w:rFonts w:hint="eastAsia" w:hAnsi="宋体" w:cs="宋体"/>
          <w:color w:val="auto"/>
          <w:szCs w:val="21"/>
          <w:highlight w:val="none"/>
        </w:rPr>
        <w:t>投标报价（大写）</w:t>
      </w:r>
      <w:r>
        <w:rPr>
          <w:rFonts w:hint="eastAsia" w:hAnsi="宋体" w:cs="宋体"/>
          <w:color w:val="auto"/>
          <w:szCs w:val="21"/>
          <w:highlight w:val="none"/>
          <w:u w:val="single"/>
        </w:rPr>
        <w:t xml:space="preserve">                </w:t>
      </w:r>
      <w:r>
        <w:rPr>
          <w:rFonts w:hint="eastAsia" w:hAnsi="宋体" w:cs="宋体"/>
          <w:color w:val="auto"/>
          <w:szCs w:val="21"/>
          <w:highlight w:val="none"/>
        </w:rPr>
        <w:t>元人民币(￥</w:t>
      </w:r>
      <w:r>
        <w:rPr>
          <w:rFonts w:hint="eastAsia" w:hAnsi="宋体" w:cs="宋体"/>
          <w:color w:val="auto"/>
          <w:szCs w:val="21"/>
          <w:highlight w:val="none"/>
          <w:u w:val="single"/>
        </w:rPr>
        <w:t xml:space="preserve">              </w:t>
      </w:r>
      <w:r>
        <w:rPr>
          <w:rFonts w:hint="eastAsia" w:hAnsi="宋体" w:cs="宋体"/>
          <w:color w:val="auto"/>
          <w:szCs w:val="21"/>
          <w:highlight w:val="none"/>
        </w:rPr>
        <w:t>)</w:t>
      </w:r>
      <w:r>
        <w:rPr>
          <w:rFonts w:hint="eastAsia" w:hAnsi="宋体"/>
          <w:color w:val="auto"/>
          <w:highlight w:val="none"/>
        </w:rPr>
        <w:t>。</w:t>
      </w:r>
    </w:p>
    <w:p>
      <w:pPr>
        <w:pStyle w:val="9"/>
        <w:spacing w:line="360" w:lineRule="exact"/>
        <w:ind w:firstLine="360"/>
        <w:rPr>
          <w:rFonts w:hAnsi="宋体"/>
          <w:color w:val="auto"/>
          <w:highlight w:val="none"/>
        </w:rPr>
      </w:pPr>
      <w:r>
        <w:rPr>
          <w:rFonts w:hint="eastAsia" w:hAnsi="宋体"/>
          <w:color w:val="auto"/>
          <w:highlight w:val="none"/>
        </w:rPr>
        <w:t>2.我方承诺已具备招标文件规定的投标人资格条件。</w:t>
      </w:r>
    </w:p>
    <w:p>
      <w:pPr>
        <w:pStyle w:val="9"/>
        <w:spacing w:line="360" w:lineRule="exact"/>
        <w:ind w:firstLine="360"/>
        <w:rPr>
          <w:rFonts w:hAnsi="宋体"/>
          <w:color w:val="auto"/>
          <w:highlight w:val="none"/>
        </w:rPr>
      </w:pPr>
      <w:r>
        <w:rPr>
          <w:rFonts w:hint="eastAsia" w:hAnsi="宋体"/>
          <w:color w:val="auto"/>
          <w:highlight w:val="none"/>
        </w:rPr>
        <w:t>3.我方已详细审核招标文件，包括修改文件（如有的话）和有关附件，将自行承担因对全部招标文件理解不正确或误解而产生的相应后果。</w:t>
      </w:r>
    </w:p>
    <w:p>
      <w:pPr>
        <w:pStyle w:val="9"/>
        <w:spacing w:line="360" w:lineRule="exact"/>
        <w:ind w:firstLine="360"/>
        <w:rPr>
          <w:rFonts w:hAnsi="宋体"/>
          <w:color w:val="auto"/>
          <w:highlight w:val="none"/>
        </w:rPr>
      </w:pPr>
      <w:r>
        <w:rPr>
          <w:rFonts w:hint="eastAsia" w:hAnsi="宋体"/>
          <w:color w:val="auto"/>
          <w:highlight w:val="none"/>
        </w:rPr>
        <w:t>4.本项目投标有效期为投标截止时间之日起90天。</w:t>
      </w:r>
    </w:p>
    <w:p>
      <w:pPr>
        <w:pStyle w:val="9"/>
        <w:spacing w:line="360" w:lineRule="exact"/>
        <w:ind w:firstLine="360"/>
        <w:rPr>
          <w:rFonts w:hAnsi="宋体"/>
          <w:color w:val="auto"/>
          <w:highlight w:val="none"/>
        </w:rPr>
      </w:pPr>
      <w:r>
        <w:rPr>
          <w:rFonts w:hint="eastAsia" w:hAnsi="宋体"/>
          <w:color w:val="auto"/>
          <w:highlight w:val="none"/>
        </w:rPr>
        <w:t>5.如我方中标：</w:t>
      </w:r>
    </w:p>
    <w:p>
      <w:pPr>
        <w:pStyle w:val="9"/>
        <w:spacing w:line="360" w:lineRule="exact"/>
        <w:ind w:firstLine="420"/>
        <w:rPr>
          <w:rFonts w:hAnsi="宋体"/>
          <w:color w:val="auto"/>
          <w:highlight w:val="none"/>
        </w:rPr>
      </w:pPr>
      <w:r>
        <w:rPr>
          <w:rFonts w:hint="eastAsia" w:hAnsi="宋体"/>
          <w:color w:val="auto"/>
          <w:highlight w:val="none"/>
        </w:rPr>
        <w:t>（1）我方承诺在收到中标通知书后，在中标通知书规定的期限内与采购人签订政府采购合同。</w:t>
      </w:r>
    </w:p>
    <w:p>
      <w:pPr>
        <w:pStyle w:val="9"/>
        <w:spacing w:line="360" w:lineRule="exact"/>
        <w:ind w:firstLine="420"/>
        <w:rPr>
          <w:rFonts w:hAnsi="宋体"/>
          <w:color w:val="auto"/>
          <w:highlight w:val="none"/>
        </w:rPr>
      </w:pPr>
      <w:r>
        <w:rPr>
          <w:rFonts w:hint="eastAsia" w:hAnsi="宋体"/>
          <w:color w:val="auto"/>
          <w:highlight w:val="none"/>
        </w:rPr>
        <w:t>（2）我方承诺按照招标文件规定递交</w:t>
      </w:r>
      <w:r>
        <w:rPr>
          <w:rFonts w:hint="eastAsia" w:hAnsi="宋体"/>
          <w:color w:val="auto"/>
          <w:szCs w:val="21"/>
          <w:highlight w:val="none"/>
        </w:rPr>
        <w:t>履约保证金</w:t>
      </w:r>
      <w:r>
        <w:rPr>
          <w:rFonts w:hint="eastAsia" w:hAnsi="宋体"/>
          <w:color w:val="auto"/>
          <w:highlight w:val="none"/>
        </w:rPr>
        <w:t>。</w:t>
      </w:r>
    </w:p>
    <w:p>
      <w:pPr>
        <w:pStyle w:val="9"/>
        <w:spacing w:line="360" w:lineRule="exact"/>
        <w:ind w:firstLine="420"/>
        <w:rPr>
          <w:rFonts w:hAnsi="宋体"/>
          <w:color w:val="auto"/>
          <w:highlight w:val="none"/>
        </w:rPr>
      </w:pPr>
      <w:r>
        <w:rPr>
          <w:rFonts w:hint="eastAsia" w:hAnsi="宋体"/>
          <w:color w:val="auto"/>
          <w:highlight w:val="none"/>
        </w:rPr>
        <w:t>（3）我方承诺本投标文件至本项目合同履行完毕止均保持有效，按招标文件及政府采购法律、法规的规定履行合同责任和义务。</w:t>
      </w:r>
    </w:p>
    <w:p>
      <w:pPr>
        <w:pStyle w:val="9"/>
        <w:spacing w:line="360" w:lineRule="exact"/>
        <w:ind w:firstLine="420"/>
        <w:rPr>
          <w:rFonts w:hAnsi="宋体"/>
          <w:color w:val="auto"/>
          <w:highlight w:val="none"/>
        </w:rPr>
      </w:pPr>
      <w:r>
        <w:rPr>
          <w:rFonts w:hint="eastAsia" w:hAnsi="宋体"/>
          <w:color w:val="auto"/>
          <w:highlight w:val="none"/>
        </w:rPr>
        <w:t>与本投标有关的正式通讯地址为：</w:t>
      </w:r>
    </w:p>
    <w:p>
      <w:pPr>
        <w:pStyle w:val="9"/>
        <w:spacing w:line="360" w:lineRule="exact"/>
        <w:ind w:firstLine="420"/>
        <w:rPr>
          <w:rFonts w:hAnsi="宋体"/>
          <w:color w:val="auto"/>
          <w:highlight w:val="none"/>
          <w:u w:val="single"/>
        </w:rPr>
      </w:pPr>
      <w:r>
        <w:rPr>
          <w:rFonts w:hint="eastAsia" w:hAnsi="宋体"/>
          <w:color w:val="auto"/>
          <w:highlight w:val="none"/>
        </w:rPr>
        <w:t>地址：</w:t>
      </w:r>
      <w:r>
        <w:rPr>
          <w:rFonts w:hint="eastAsia" w:hAnsi="宋体"/>
          <w:color w:val="auto"/>
          <w:highlight w:val="none"/>
          <w:u w:val="single"/>
        </w:rPr>
        <w:t xml:space="preserve">                                   </w:t>
      </w:r>
      <w:r>
        <w:rPr>
          <w:rFonts w:hint="eastAsia" w:hAnsi="宋体"/>
          <w:color w:val="auto"/>
          <w:highlight w:val="none"/>
        </w:rPr>
        <w:t xml:space="preserve"> 邮编：</w:t>
      </w:r>
      <w:r>
        <w:rPr>
          <w:rFonts w:hint="eastAsia" w:hAnsi="宋体"/>
          <w:color w:val="auto"/>
          <w:highlight w:val="none"/>
          <w:u w:val="single"/>
        </w:rPr>
        <w:t xml:space="preserve">          </w:t>
      </w:r>
      <w:r>
        <w:rPr>
          <w:rFonts w:hint="eastAsia" w:hAnsi="宋体"/>
          <w:color w:val="auto"/>
          <w:highlight w:val="none"/>
        </w:rPr>
        <w:t xml:space="preserve">  电话、传真：</w:t>
      </w:r>
      <w:r>
        <w:rPr>
          <w:rFonts w:hint="eastAsia" w:hAnsi="宋体"/>
          <w:color w:val="auto"/>
          <w:highlight w:val="none"/>
          <w:u w:val="single"/>
        </w:rPr>
        <w:t xml:space="preserve">            </w:t>
      </w:r>
    </w:p>
    <w:p>
      <w:pPr>
        <w:pStyle w:val="9"/>
        <w:spacing w:line="360" w:lineRule="exact"/>
        <w:ind w:firstLine="420"/>
        <w:rPr>
          <w:rFonts w:hAnsi="宋体"/>
          <w:color w:val="auto"/>
          <w:highlight w:val="none"/>
        </w:rPr>
      </w:pPr>
      <w:r>
        <w:rPr>
          <w:rFonts w:hint="eastAsia" w:hAnsi="宋体"/>
          <w:color w:val="auto"/>
          <w:highlight w:val="none"/>
        </w:rPr>
        <w:t>开户名称：</w:t>
      </w:r>
      <w:r>
        <w:rPr>
          <w:rFonts w:hint="eastAsia" w:hAnsi="宋体"/>
          <w:color w:val="auto"/>
          <w:highlight w:val="none"/>
          <w:u w:val="single"/>
        </w:rPr>
        <w:t xml:space="preserve">                                        </w:t>
      </w:r>
    </w:p>
    <w:p>
      <w:pPr>
        <w:pStyle w:val="9"/>
        <w:spacing w:line="360" w:lineRule="exact"/>
        <w:ind w:firstLine="420"/>
        <w:rPr>
          <w:rFonts w:hAnsi="宋体"/>
          <w:color w:val="auto"/>
          <w:highlight w:val="none"/>
        </w:rPr>
      </w:pPr>
      <w:r>
        <w:rPr>
          <w:rFonts w:hint="eastAsia" w:hAnsi="宋体"/>
          <w:color w:val="auto"/>
          <w:highlight w:val="none"/>
        </w:rPr>
        <w:t>开户银行：</w:t>
      </w:r>
      <w:r>
        <w:rPr>
          <w:rFonts w:hint="eastAsia" w:hAnsi="宋体"/>
          <w:color w:val="auto"/>
          <w:highlight w:val="none"/>
          <w:u w:val="single"/>
        </w:rPr>
        <w:t xml:space="preserve">                               　       </w:t>
      </w:r>
    </w:p>
    <w:p>
      <w:pPr>
        <w:pStyle w:val="9"/>
        <w:spacing w:line="360" w:lineRule="exact"/>
        <w:ind w:firstLine="420"/>
        <w:rPr>
          <w:rFonts w:hAnsi="宋体"/>
          <w:color w:val="auto"/>
          <w:highlight w:val="none"/>
        </w:rPr>
      </w:pPr>
      <w:r>
        <w:rPr>
          <w:rFonts w:hint="eastAsia" w:hAnsi="宋体"/>
          <w:color w:val="auto"/>
          <w:highlight w:val="none"/>
        </w:rPr>
        <w:t>账号：</w:t>
      </w:r>
      <w:r>
        <w:rPr>
          <w:rFonts w:hint="eastAsia" w:hAnsi="宋体"/>
          <w:color w:val="auto"/>
          <w:highlight w:val="none"/>
          <w:u w:val="single"/>
        </w:rPr>
        <w:t xml:space="preserve">                                   　　　   </w:t>
      </w:r>
    </w:p>
    <w:p>
      <w:pPr>
        <w:pStyle w:val="9"/>
        <w:spacing w:line="360" w:lineRule="exact"/>
        <w:ind w:firstLine="420"/>
        <w:rPr>
          <w:rFonts w:hAnsi="宋体"/>
          <w:color w:val="auto"/>
          <w:highlight w:val="none"/>
        </w:rPr>
      </w:pPr>
      <w:r>
        <w:rPr>
          <w:rFonts w:hint="eastAsia" w:hAnsi="宋体"/>
          <w:color w:val="auto"/>
          <w:highlight w:val="none"/>
        </w:rPr>
        <w:t>投标人（公章，自然人除外）：</w:t>
      </w:r>
      <w:r>
        <w:rPr>
          <w:rFonts w:hint="eastAsia" w:hAnsi="宋体"/>
          <w:color w:val="auto"/>
          <w:highlight w:val="none"/>
          <w:u w:val="single"/>
        </w:rPr>
        <w:t xml:space="preserve">                                              </w:t>
      </w:r>
    </w:p>
    <w:p>
      <w:pPr>
        <w:pStyle w:val="9"/>
        <w:spacing w:line="360" w:lineRule="exact"/>
        <w:ind w:firstLine="420"/>
        <w:rPr>
          <w:rFonts w:hAnsi="宋体"/>
          <w:color w:val="auto"/>
          <w:highlight w:val="none"/>
        </w:rPr>
      </w:pPr>
      <w:r>
        <w:rPr>
          <w:rFonts w:hint="eastAsia" w:hAnsi="宋体"/>
          <w:color w:val="auto"/>
          <w:highlight w:val="none"/>
        </w:rPr>
        <w:t>法定代表人、负责人、自然人或相应的委托代理人签字（或盖章）</w:t>
      </w:r>
    </w:p>
    <w:p>
      <w:pPr>
        <w:pStyle w:val="9"/>
        <w:spacing w:line="360" w:lineRule="exact"/>
        <w:ind w:firstLine="420"/>
        <w:rPr>
          <w:rFonts w:hAnsi="宋体"/>
          <w:color w:val="auto"/>
          <w:highlight w:val="none"/>
          <w:u w:val="single"/>
        </w:rPr>
      </w:pPr>
      <w:r>
        <w:rPr>
          <w:rFonts w:hint="eastAsia" w:hAnsi="宋体"/>
          <w:color w:val="auto"/>
          <w:highlight w:val="none"/>
        </w:rPr>
        <w:t>（属自然人的应在签名处加盖食指指印）：</w:t>
      </w:r>
      <w:r>
        <w:rPr>
          <w:rFonts w:hint="eastAsia" w:hAnsi="宋体"/>
          <w:color w:val="auto"/>
          <w:highlight w:val="none"/>
          <w:u w:val="single"/>
        </w:rPr>
        <w:t xml:space="preserve">                       </w:t>
      </w:r>
    </w:p>
    <w:p>
      <w:pPr>
        <w:pStyle w:val="9"/>
        <w:spacing w:line="360" w:lineRule="exact"/>
        <w:ind w:firstLine="420"/>
        <w:rPr>
          <w:rFonts w:hAnsi="宋体"/>
          <w:color w:val="auto"/>
          <w:highlight w:val="none"/>
        </w:rPr>
      </w:pPr>
      <w:r>
        <w:rPr>
          <w:rFonts w:hint="eastAsia" w:hAnsi="宋体"/>
          <w:color w:val="auto"/>
          <w:highlight w:val="none"/>
        </w:rPr>
        <w:t>投标日期：</w:t>
      </w:r>
      <w:r>
        <w:rPr>
          <w:rFonts w:hint="eastAsia" w:hAnsi="宋体"/>
          <w:color w:val="auto"/>
          <w:highlight w:val="none"/>
          <w:u w:val="single"/>
        </w:rPr>
        <w:t xml:space="preserve">                               </w:t>
      </w:r>
    </w:p>
    <w:p>
      <w:pPr>
        <w:pStyle w:val="9"/>
        <w:spacing w:line="400" w:lineRule="exact"/>
        <w:rPr>
          <w:rFonts w:hAnsi="宋体"/>
          <w:b/>
          <w:bCs/>
          <w:color w:val="auto"/>
          <w:highlight w:val="none"/>
        </w:rPr>
      </w:pPr>
    </w:p>
    <w:p>
      <w:pPr>
        <w:pStyle w:val="9"/>
        <w:spacing w:line="400" w:lineRule="exact"/>
        <w:ind w:left="852" w:leftChars="200" w:hanging="426" w:hangingChars="200"/>
        <w:rPr>
          <w:rFonts w:hAnsi="宋体"/>
          <w:bCs/>
          <w:color w:val="auto"/>
          <w:szCs w:val="21"/>
          <w:highlight w:val="none"/>
        </w:rPr>
      </w:pPr>
      <w:r>
        <w:rPr>
          <w:rFonts w:hint="eastAsia" w:hAnsi="宋体"/>
          <w:bCs/>
          <w:color w:val="auto"/>
          <w:highlight w:val="none"/>
        </w:rPr>
        <w:t>注：投标函须由</w:t>
      </w:r>
      <w:r>
        <w:rPr>
          <w:rFonts w:hint="eastAsia" w:hAnsi="宋体"/>
          <w:bCs/>
          <w:color w:val="auto"/>
          <w:szCs w:val="21"/>
          <w:highlight w:val="none"/>
        </w:rPr>
        <w:t>法定代表人、负责人、自然人或相应的委托代理人签字（或盖章）（</w:t>
      </w:r>
      <w:r>
        <w:rPr>
          <w:rFonts w:hint="eastAsia" w:hAnsi="宋体"/>
          <w:color w:val="auto"/>
          <w:highlight w:val="none"/>
        </w:rPr>
        <w:t>属自然人的应在签名处加盖食指指印</w:t>
      </w:r>
      <w:r>
        <w:rPr>
          <w:rFonts w:hint="eastAsia" w:hAnsi="宋体"/>
          <w:bCs/>
          <w:color w:val="auto"/>
          <w:szCs w:val="21"/>
          <w:highlight w:val="none"/>
        </w:rPr>
        <w:t>）并加盖投标人公章（自然人除外）。</w:t>
      </w:r>
    </w:p>
    <w:p>
      <w:pPr>
        <w:tabs>
          <w:tab w:val="left" w:pos="1305"/>
        </w:tabs>
        <w:spacing w:line="400" w:lineRule="exact"/>
        <w:ind w:firstLine="646" w:firstLineChars="200"/>
        <w:rPr>
          <w:rFonts w:ascii="宋体" w:hAnsi="宋体"/>
          <w:b/>
          <w:color w:val="auto"/>
          <w:sz w:val="32"/>
          <w:szCs w:val="32"/>
          <w:highlight w:val="none"/>
        </w:rPr>
      </w:pPr>
    </w:p>
    <w:p>
      <w:pPr>
        <w:tabs>
          <w:tab w:val="left" w:pos="1305"/>
        </w:tabs>
        <w:spacing w:line="400" w:lineRule="exact"/>
        <w:ind w:firstLine="646" w:firstLineChars="200"/>
        <w:rPr>
          <w:rFonts w:ascii="宋体" w:hAnsi="宋体"/>
          <w:b/>
          <w:color w:val="auto"/>
          <w:sz w:val="32"/>
          <w:szCs w:val="32"/>
          <w:highlight w:val="none"/>
        </w:rPr>
      </w:pPr>
    </w:p>
    <w:p>
      <w:pPr>
        <w:tabs>
          <w:tab w:val="left" w:pos="1305"/>
        </w:tabs>
        <w:spacing w:line="400" w:lineRule="exact"/>
        <w:ind w:firstLine="646" w:firstLineChars="200"/>
        <w:rPr>
          <w:rFonts w:ascii="宋体" w:hAnsi="宋体"/>
          <w:b/>
          <w:color w:val="auto"/>
          <w:sz w:val="32"/>
          <w:szCs w:val="32"/>
          <w:highlight w:val="none"/>
        </w:rPr>
      </w:pPr>
    </w:p>
    <w:p>
      <w:pPr>
        <w:pStyle w:val="2"/>
        <w:rPr>
          <w:color w:val="auto"/>
          <w:highlight w:val="none"/>
        </w:rPr>
      </w:pPr>
    </w:p>
    <w:p>
      <w:pPr>
        <w:pStyle w:val="2"/>
        <w:rPr>
          <w:color w:val="auto"/>
          <w:highlight w:val="none"/>
        </w:rPr>
      </w:pPr>
    </w:p>
    <w:p>
      <w:pPr>
        <w:tabs>
          <w:tab w:val="left" w:pos="1305"/>
        </w:tabs>
        <w:spacing w:line="400" w:lineRule="exact"/>
        <w:ind w:firstLine="646" w:firstLineChars="200"/>
        <w:rPr>
          <w:rFonts w:ascii="宋体" w:hAnsi="宋体"/>
          <w:b/>
          <w:color w:val="auto"/>
          <w:sz w:val="32"/>
          <w:szCs w:val="32"/>
          <w:highlight w:val="none"/>
        </w:rPr>
      </w:pPr>
      <w:r>
        <w:rPr>
          <w:rFonts w:hint="eastAsia" w:ascii="宋体" w:hAnsi="宋体"/>
          <w:b/>
          <w:color w:val="auto"/>
          <w:sz w:val="32"/>
          <w:szCs w:val="32"/>
          <w:highlight w:val="none"/>
        </w:rPr>
        <w:t>2.投标人相应的法定代表人（负责人或自然人）身份证正反面复印件（必须提供）</w:t>
      </w:r>
    </w:p>
    <w:p>
      <w:pPr>
        <w:tabs>
          <w:tab w:val="left" w:pos="1305"/>
        </w:tabs>
        <w:spacing w:line="400" w:lineRule="exact"/>
        <w:ind w:firstLine="646" w:firstLineChars="200"/>
        <w:rPr>
          <w:rFonts w:ascii="宋体" w:hAnsi="宋体"/>
          <w:b/>
          <w:color w:val="auto"/>
          <w:sz w:val="32"/>
          <w:szCs w:val="32"/>
          <w:highlight w:val="none"/>
        </w:rPr>
      </w:pPr>
    </w:p>
    <w:p>
      <w:pPr>
        <w:tabs>
          <w:tab w:val="left" w:pos="1305"/>
        </w:tabs>
        <w:spacing w:line="400" w:lineRule="exact"/>
        <w:ind w:firstLine="646" w:firstLineChars="200"/>
        <w:rPr>
          <w:rFonts w:ascii="宋体" w:hAnsi="宋体"/>
          <w:b/>
          <w:color w:val="auto"/>
          <w:sz w:val="32"/>
          <w:szCs w:val="32"/>
          <w:highlight w:val="none"/>
        </w:rPr>
      </w:pPr>
    </w:p>
    <w:p>
      <w:pPr>
        <w:tabs>
          <w:tab w:val="left" w:pos="1305"/>
        </w:tabs>
        <w:spacing w:line="400" w:lineRule="exact"/>
        <w:ind w:firstLine="646" w:firstLineChars="200"/>
        <w:rPr>
          <w:rFonts w:ascii="宋体" w:hAnsi="宋体"/>
          <w:b/>
          <w:color w:val="auto"/>
          <w:sz w:val="32"/>
          <w:szCs w:val="32"/>
          <w:highlight w:val="none"/>
        </w:rPr>
      </w:pPr>
    </w:p>
    <w:p>
      <w:pPr>
        <w:tabs>
          <w:tab w:val="left" w:pos="1305"/>
        </w:tabs>
        <w:spacing w:line="400" w:lineRule="exact"/>
        <w:rPr>
          <w:rFonts w:ascii="宋体" w:hAnsi="宋体"/>
          <w:b/>
          <w:color w:val="auto"/>
          <w:sz w:val="32"/>
          <w:szCs w:val="32"/>
          <w:highlight w:val="none"/>
        </w:rPr>
      </w:pPr>
    </w:p>
    <w:p>
      <w:pPr>
        <w:tabs>
          <w:tab w:val="left" w:pos="1305"/>
        </w:tabs>
        <w:spacing w:line="400" w:lineRule="exact"/>
        <w:ind w:firstLine="646" w:firstLineChars="200"/>
        <w:rPr>
          <w:rFonts w:ascii="宋体" w:hAnsi="宋体"/>
          <w:b/>
          <w:color w:val="auto"/>
          <w:sz w:val="32"/>
          <w:szCs w:val="32"/>
          <w:highlight w:val="none"/>
        </w:rPr>
      </w:pPr>
      <w:r>
        <w:rPr>
          <w:rFonts w:hint="eastAsia" w:ascii="宋体" w:hAnsi="宋体"/>
          <w:b/>
          <w:color w:val="auto"/>
          <w:sz w:val="32"/>
          <w:szCs w:val="32"/>
          <w:highlight w:val="none"/>
        </w:rPr>
        <w:t>3.投标人的授权委托书原件、委托代理人身份证正反面复印件[委托代理时(或自然人投标时)必须提供]</w:t>
      </w:r>
    </w:p>
    <w:p>
      <w:pPr>
        <w:pStyle w:val="9"/>
        <w:spacing w:line="400" w:lineRule="exact"/>
        <w:ind w:left="426" w:leftChars="200" w:firstLine="157" w:firstLineChars="49"/>
        <w:rPr>
          <w:rFonts w:hAnsi="宋体"/>
          <w:b/>
          <w:color w:val="auto"/>
          <w:sz w:val="32"/>
          <w:szCs w:val="32"/>
          <w:highlight w:val="none"/>
        </w:rPr>
      </w:pPr>
    </w:p>
    <w:p>
      <w:pPr>
        <w:pStyle w:val="9"/>
        <w:spacing w:line="400" w:lineRule="exact"/>
        <w:ind w:left="426" w:leftChars="200" w:firstLine="157" w:firstLineChars="49"/>
        <w:rPr>
          <w:rFonts w:hAnsi="宋体"/>
          <w:b/>
          <w:color w:val="auto"/>
          <w:sz w:val="24"/>
          <w:szCs w:val="24"/>
          <w:highlight w:val="none"/>
        </w:rPr>
      </w:pPr>
      <w:r>
        <w:rPr>
          <w:rFonts w:hint="eastAsia" w:hAnsi="宋体"/>
          <w:b/>
          <w:color w:val="auto"/>
          <w:sz w:val="32"/>
          <w:szCs w:val="32"/>
          <w:highlight w:val="none"/>
        </w:rPr>
        <w:t>附件：</w:t>
      </w:r>
    </w:p>
    <w:p>
      <w:pPr>
        <w:pStyle w:val="9"/>
        <w:jc w:val="center"/>
        <w:rPr>
          <w:rFonts w:hAnsi="宋体"/>
          <w:b/>
          <w:color w:val="auto"/>
          <w:sz w:val="32"/>
          <w:highlight w:val="none"/>
        </w:rPr>
      </w:pPr>
      <w:r>
        <w:rPr>
          <w:rFonts w:hint="eastAsia" w:hAnsi="宋体"/>
          <w:b/>
          <w:color w:val="auto"/>
          <w:sz w:val="32"/>
          <w:highlight w:val="none"/>
        </w:rPr>
        <w:t xml:space="preserve">  授权委托书（格式一）</w:t>
      </w:r>
    </w:p>
    <w:p>
      <w:pPr>
        <w:rPr>
          <w:color w:val="auto"/>
          <w:highlight w:val="none"/>
        </w:rPr>
      </w:pPr>
      <w:r>
        <w:rPr>
          <w:rFonts w:hint="eastAsia"/>
          <w:b/>
          <w:color w:val="auto"/>
          <w:szCs w:val="21"/>
          <w:highlight w:val="none"/>
        </w:rPr>
        <w:t>致</w:t>
      </w:r>
      <w:r>
        <w:rPr>
          <w:rFonts w:hint="eastAsia"/>
          <w:color w:val="auto"/>
          <w:szCs w:val="21"/>
          <w:highlight w:val="none"/>
        </w:rPr>
        <w:t>：</w:t>
      </w:r>
      <w:r>
        <w:rPr>
          <w:rFonts w:hint="eastAsia"/>
          <w:color w:val="auto"/>
          <w:highlight w:val="none"/>
          <w:u w:val="single"/>
        </w:rPr>
        <w:t>广西桂林华禹水利水电工程咨询有限公司</w:t>
      </w:r>
    </w:p>
    <w:p>
      <w:pPr>
        <w:snapToGrid w:val="0"/>
        <w:spacing w:line="400" w:lineRule="exact"/>
        <w:outlineLvl w:val="4"/>
        <w:rPr>
          <w:rFonts w:ascii="宋体" w:hAnsi="宋体"/>
          <w:color w:val="auto"/>
          <w:szCs w:val="21"/>
          <w:highlight w:val="none"/>
          <w:u w:val="single"/>
        </w:rPr>
      </w:pPr>
    </w:p>
    <w:p>
      <w:pPr>
        <w:pStyle w:val="9"/>
        <w:spacing w:line="400" w:lineRule="exact"/>
        <w:ind w:firstLine="532" w:firstLineChars="250"/>
        <w:rPr>
          <w:rFonts w:hAnsi="宋体"/>
          <w:color w:val="auto"/>
          <w:highlight w:val="none"/>
        </w:rPr>
      </w:pPr>
      <w:r>
        <w:rPr>
          <w:rFonts w:hint="eastAsia" w:hAnsi="宋体"/>
          <w:color w:val="auto"/>
          <w:kern w:val="0"/>
          <w:highlight w:val="none"/>
        </w:rPr>
        <w:t>我</w:t>
      </w:r>
      <w:r>
        <w:rPr>
          <w:rFonts w:hint="eastAsia" w:hAnsi="宋体"/>
          <w:color w:val="auto"/>
          <w:kern w:val="0"/>
          <w:highlight w:val="none"/>
          <w:u w:val="single"/>
        </w:rPr>
        <w:t xml:space="preserve">              </w:t>
      </w:r>
      <w:r>
        <w:rPr>
          <w:rFonts w:hint="eastAsia" w:hAnsi="宋体"/>
          <w:color w:val="auto"/>
          <w:kern w:val="0"/>
          <w:highlight w:val="none"/>
        </w:rPr>
        <w:t>（姓名）系</w:t>
      </w:r>
      <w:r>
        <w:rPr>
          <w:rFonts w:hint="eastAsia" w:hAnsi="宋体"/>
          <w:color w:val="auto"/>
          <w:kern w:val="0"/>
          <w:highlight w:val="none"/>
          <w:u w:val="single"/>
        </w:rPr>
        <w:t xml:space="preserve">                              </w:t>
      </w:r>
      <w:r>
        <w:rPr>
          <w:rFonts w:hint="eastAsia" w:hAnsi="宋体"/>
          <w:color w:val="auto"/>
          <w:kern w:val="0"/>
          <w:highlight w:val="none"/>
        </w:rPr>
        <w:t>（投标人名称）的法定代表人（负责人），现授权委托本单位在职职工</w:t>
      </w:r>
      <w:r>
        <w:rPr>
          <w:rFonts w:hint="eastAsia" w:hAnsi="宋体"/>
          <w:color w:val="auto"/>
          <w:kern w:val="0"/>
          <w:highlight w:val="none"/>
          <w:u w:val="single"/>
        </w:rPr>
        <w:t xml:space="preserve">            </w:t>
      </w:r>
      <w:r>
        <w:rPr>
          <w:rFonts w:hint="eastAsia" w:hAnsi="宋体"/>
          <w:color w:val="auto"/>
          <w:kern w:val="0"/>
          <w:highlight w:val="none"/>
        </w:rPr>
        <w:t>（姓名）以我公司名义参加</w:t>
      </w:r>
      <w:r>
        <w:rPr>
          <w:rFonts w:hint="eastAsia" w:hAnsi="宋体"/>
          <w:color w:val="auto"/>
          <w:kern w:val="0"/>
          <w:highlight w:val="none"/>
          <w:u w:val="single"/>
        </w:rPr>
        <w:t xml:space="preserve">      </w:t>
      </w:r>
      <w:r>
        <w:rPr>
          <w:rFonts w:hint="eastAsia" w:hAnsi="宋体"/>
          <w:color w:val="auto"/>
          <w:highlight w:val="none"/>
          <w:u w:val="single"/>
        </w:rPr>
        <w:t xml:space="preserve">（项目名称及项目编号）        </w:t>
      </w:r>
      <w:r>
        <w:rPr>
          <w:rFonts w:hint="eastAsia" w:hAnsi="宋体"/>
          <w:color w:val="auto"/>
          <w:highlight w:val="none"/>
        </w:rPr>
        <w:t>项目的投标活动，并代表我方全权办理针对上述项目的投标、开标、评标、签约等具体事务和签署相关文件。</w:t>
      </w:r>
    </w:p>
    <w:p>
      <w:pPr>
        <w:pStyle w:val="9"/>
        <w:spacing w:line="400" w:lineRule="exact"/>
        <w:ind w:firstLine="426" w:firstLineChars="200"/>
        <w:rPr>
          <w:rFonts w:hAnsi="宋体"/>
          <w:color w:val="auto"/>
          <w:highlight w:val="none"/>
        </w:rPr>
      </w:pPr>
      <w:r>
        <w:rPr>
          <w:rFonts w:hint="eastAsia" w:hAnsi="宋体"/>
          <w:color w:val="auto"/>
          <w:highlight w:val="none"/>
        </w:rPr>
        <w:t>我方对被授权人的签字事项负全部责任。</w:t>
      </w:r>
    </w:p>
    <w:p>
      <w:pPr>
        <w:pStyle w:val="9"/>
        <w:spacing w:line="400" w:lineRule="exact"/>
        <w:ind w:firstLine="426" w:firstLineChars="200"/>
        <w:rPr>
          <w:rFonts w:hAnsi="宋体"/>
          <w:color w:val="auto"/>
          <w:highlight w:val="none"/>
          <w:u w:val="single"/>
        </w:rPr>
      </w:pPr>
      <w:r>
        <w:rPr>
          <w:rFonts w:hint="eastAsia" w:hAnsi="宋体"/>
          <w:color w:val="auto"/>
          <w:highlight w:val="none"/>
        </w:rPr>
        <w:t>授权委托代理期限：从</w:t>
      </w:r>
      <w:r>
        <w:rPr>
          <w:rFonts w:hint="eastAsia" w:hAnsi="宋体"/>
          <w:color w:val="auto"/>
          <w:highlight w:val="none"/>
          <w:u w:val="single"/>
        </w:rPr>
        <w:t xml:space="preserve">       </w:t>
      </w:r>
      <w:r>
        <w:rPr>
          <w:rFonts w:hint="eastAsia" w:hAnsi="宋体"/>
          <w:color w:val="auto"/>
          <w:highlight w:val="none"/>
        </w:rPr>
        <w:t>年</w:t>
      </w:r>
      <w:r>
        <w:rPr>
          <w:rFonts w:hint="eastAsia" w:hAnsi="宋体"/>
          <w:color w:val="auto"/>
          <w:highlight w:val="none"/>
          <w:u w:val="single"/>
        </w:rPr>
        <w:t xml:space="preserve">     </w:t>
      </w:r>
      <w:r>
        <w:rPr>
          <w:rFonts w:hint="eastAsia" w:hAnsi="宋体"/>
          <w:color w:val="auto"/>
          <w:highlight w:val="none"/>
        </w:rPr>
        <w:t xml:space="preserve">月 </w:t>
      </w:r>
      <w:r>
        <w:rPr>
          <w:rFonts w:hint="eastAsia" w:hAnsi="宋体"/>
          <w:color w:val="auto"/>
          <w:highlight w:val="none"/>
          <w:u w:val="single"/>
        </w:rPr>
        <w:t xml:space="preserve">    </w:t>
      </w:r>
      <w:r>
        <w:rPr>
          <w:rFonts w:hint="eastAsia" w:hAnsi="宋体"/>
          <w:color w:val="auto"/>
          <w:highlight w:val="none"/>
        </w:rPr>
        <w:t xml:space="preserve"> 日起至</w:t>
      </w:r>
      <w:r>
        <w:rPr>
          <w:rFonts w:hint="eastAsia" w:hAnsi="宋体"/>
          <w:color w:val="auto"/>
          <w:highlight w:val="none"/>
          <w:u w:val="single"/>
        </w:rPr>
        <w:t xml:space="preserve">         </w:t>
      </w:r>
      <w:r>
        <w:rPr>
          <w:rFonts w:hint="eastAsia" w:hAnsi="宋体"/>
          <w:color w:val="auto"/>
          <w:highlight w:val="none"/>
        </w:rPr>
        <w:t>年</w:t>
      </w:r>
      <w:r>
        <w:rPr>
          <w:rFonts w:hint="eastAsia" w:hAnsi="宋体"/>
          <w:color w:val="auto"/>
          <w:highlight w:val="none"/>
          <w:u w:val="single"/>
        </w:rPr>
        <w:t xml:space="preserve">     </w:t>
      </w:r>
      <w:r>
        <w:rPr>
          <w:rFonts w:hint="eastAsia" w:hAnsi="宋体"/>
          <w:color w:val="auto"/>
          <w:highlight w:val="none"/>
        </w:rPr>
        <w:t xml:space="preserve">月 </w:t>
      </w:r>
      <w:r>
        <w:rPr>
          <w:rFonts w:hint="eastAsia" w:hAnsi="宋体"/>
          <w:color w:val="auto"/>
          <w:highlight w:val="none"/>
          <w:u w:val="single"/>
        </w:rPr>
        <w:t xml:space="preserve">     </w:t>
      </w:r>
      <w:r>
        <w:rPr>
          <w:rFonts w:hint="eastAsia" w:hAnsi="宋体"/>
          <w:color w:val="auto"/>
          <w:highlight w:val="none"/>
        </w:rPr>
        <w:t>日止。</w:t>
      </w:r>
    </w:p>
    <w:p>
      <w:pPr>
        <w:pStyle w:val="9"/>
        <w:spacing w:line="400" w:lineRule="exact"/>
        <w:rPr>
          <w:rFonts w:hAnsi="宋体"/>
          <w:color w:val="auto"/>
          <w:highlight w:val="none"/>
          <w:u w:val="single"/>
        </w:rPr>
      </w:pPr>
      <w:r>
        <w:rPr>
          <w:rFonts w:hint="eastAsia" w:hAnsi="宋体"/>
          <w:color w:val="auto"/>
          <w:highlight w:val="none"/>
        </w:rPr>
        <w:t xml:space="preserve">                                                                                             </w:t>
      </w:r>
    </w:p>
    <w:p>
      <w:pPr>
        <w:spacing w:line="400" w:lineRule="exact"/>
        <w:ind w:firstLine="426" w:firstLineChars="200"/>
        <w:rPr>
          <w:rFonts w:ascii="宋体" w:hAnsi="宋体"/>
          <w:color w:val="auto"/>
          <w:kern w:val="0"/>
          <w:highlight w:val="none"/>
        </w:rPr>
      </w:pPr>
      <w:r>
        <w:rPr>
          <w:rFonts w:hint="eastAsia" w:ascii="宋体" w:hAnsi="宋体"/>
          <w:color w:val="auto"/>
          <w:kern w:val="0"/>
          <w:highlight w:val="none"/>
        </w:rPr>
        <w:t>代理人无转委托权,特此委托。</w:t>
      </w:r>
      <w:r>
        <w:rPr>
          <w:rFonts w:ascii="宋体" w:hAnsi="宋体"/>
          <w:color w:val="auto"/>
          <w:kern w:val="0"/>
          <w:highlight w:val="none"/>
        </w:rPr>
        <w:t xml:space="preserve"> </w:t>
      </w:r>
    </w:p>
    <w:p>
      <w:pPr>
        <w:snapToGrid w:val="0"/>
        <w:spacing w:line="400" w:lineRule="exact"/>
        <w:ind w:firstLine="525"/>
        <w:outlineLvl w:val="4"/>
        <w:rPr>
          <w:rFonts w:ascii="宋体" w:hAnsi="宋体"/>
          <w:color w:val="auto"/>
          <w:szCs w:val="21"/>
          <w:highlight w:val="none"/>
        </w:rPr>
      </w:pPr>
    </w:p>
    <w:p>
      <w:pPr>
        <w:ind w:firstLine="426" w:firstLineChars="200"/>
        <w:rPr>
          <w:color w:val="auto"/>
          <w:highlight w:val="none"/>
        </w:rPr>
      </w:pPr>
      <w:r>
        <w:rPr>
          <w:rFonts w:hint="eastAsia"/>
          <w:color w:val="auto"/>
          <w:highlight w:val="none"/>
        </w:rPr>
        <w:t>我已在下面签字，以资证明。</w:t>
      </w:r>
    </w:p>
    <w:p>
      <w:pPr>
        <w:snapToGrid w:val="0"/>
        <w:spacing w:line="400" w:lineRule="exact"/>
        <w:ind w:firstLine="420"/>
        <w:outlineLvl w:val="4"/>
        <w:rPr>
          <w:rFonts w:ascii="宋体" w:hAnsi="宋体"/>
          <w:color w:val="auto"/>
          <w:szCs w:val="21"/>
          <w:highlight w:val="none"/>
        </w:rPr>
      </w:pPr>
    </w:p>
    <w:p>
      <w:pPr>
        <w:snapToGrid w:val="0"/>
        <w:spacing w:line="400" w:lineRule="exact"/>
        <w:ind w:firstLine="420"/>
        <w:outlineLvl w:val="4"/>
        <w:rPr>
          <w:rFonts w:ascii="宋体" w:hAnsi="宋体"/>
          <w:color w:val="auto"/>
          <w:szCs w:val="21"/>
          <w:highlight w:val="none"/>
        </w:rPr>
      </w:pPr>
    </w:p>
    <w:p>
      <w:pPr>
        <w:ind w:firstLine="426" w:firstLineChars="200"/>
        <w:rPr>
          <w:color w:val="auto"/>
          <w:highlight w:val="none"/>
        </w:rPr>
      </w:pPr>
      <w:r>
        <w:rPr>
          <w:rFonts w:hint="eastAsia"/>
          <w:color w:val="auto"/>
          <w:highlight w:val="none"/>
        </w:rPr>
        <w:t>投标人（公章）：</w:t>
      </w:r>
      <w:r>
        <w:rPr>
          <w:rFonts w:hint="eastAsia"/>
          <w:color w:val="auto"/>
          <w:highlight w:val="none"/>
          <w:u w:val="single"/>
        </w:rPr>
        <w:t xml:space="preserve">                                   </w:t>
      </w:r>
    </w:p>
    <w:p>
      <w:pPr>
        <w:snapToGrid w:val="0"/>
        <w:spacing w:line="400" w:lineRule="exact"/>
        <w:ind w:firstLine="420"/>
        <w:outlineLvl w:val="4"/>
        <w:rPr>
          <w:rFonts w:ascii="宋体" w:hAnsi="宋体"/>
          <w:color w:val="auto"/>
          <w:szCs w:val="21"/>
          <w:highlight w:val="none"/>
        </w:rPr>
      </w:pPr>
    </w:p>
    <w:p>
      <w:pPr>
        <w:ind w:firstLine="426" w:firstLineChars="200"/>
        <w:rPr>
          <w:color w:val="auto"/>
          <w:highlight w:val="none"/>
        </w:rPr>
      </w:pPr>
      <w:r>
        <w:rPr>
          <w:rFonts w:hint="eastAsia"/>
          <w:color w:val="auto"/>
          <w:highlight w:val="none"/>
        </w:rPr>
        <w:t>法定代表人（负责人）签字（或盖章）：</w:t>
      </w:r>
      <w:r>
        <w:rPr>
          <w:rFonts w:hint="eastAsia"/>
          <w:color w:val="auto"/>
          <w:highlight w:val="none"/>
          <w:u w:val="single"/>
        </w:rPr>
        <w:t xml:space="preserve">                       </w:t>
      </w:r>
      <w:r>
        <w:rPr>
          <w:rFonts w:hint="eastAsia"/>
          <w:color w:val="auto"/>
          <w:highlight w:val="none"/>
        </w:rPr>
        <w:t>　　</w:t>
      </w:r>
      <w:r>
        <w:rPr>
          <w:rFonts w:hint="eastAsia"/>
          <w:color w:val="auto"/>
          <w:highlight w:val="none"/>
          <w:u w:val="single"/>
        </w:rPr>
        <w:t xml:space="preserve">        </w:t>
      </w:r>
      <w:r>
        <w:rPr>
          <w:rFonts w:hint="eastAsia"/>
          <w:color w:val="auto"/>
          <w:highlight w:val="none"/>
        </w:rPr>
        <w:t>年</w:t>
      </w:r>
      <w:r>
        <w:rPr>
          <w:rFonts w:hint="eastAsia"/>
          <w:color w:val="auto"/>
          <w:highlight w:val="none"/>
          <w:u w:val="single"/>
        </w:rPr>
        <w:t xml:space="preserve">      </w:t>
      </w:r>
      <w:r>
        <w:rPr>
          <w:rFonts w:hint="eastAsia"/>
          <w:color w:val="auto"/>
          <w:highlight w:val="none"/>
        </w:rPr>
        <w:t>月</w:t>
      </w:r>
      <w:r>
        <w:rPr>
          <w:rFonts w:hint="eastAsia"/>
          <w:color w:val="auto"/>
          <w:highlight w:val="none"/>
          <w:u w:val="single"/>
        </w:rPr>
        <w:t xml:space="preserve">     </w:t>
      </w:r>
      <w:r>
        <w:rPr>
          <w:rFonts w:hint="eastAsia"/>
          <w:color w:val="auto"/>
          <w:highlight w:val="none"/>
        </w:rPr>
        <w:t>日</w:t>
      </w:r>
    </w:p>
    <w:p>
      <w:pPr>
        <w:pStyle w:val="9"/>
        <w:spacing w:line="400" w:lineRule="exact"/>
        <w:ind w:firstLine="607" w:firstLineChars="250"/>
        <w:rPr>
          <w:rFonts w:hAnsi="宋体"/>
          <w:b/>
          <w:color w:val="auto"/>
          <w:sz w:val="24"/>
          <w:szCs w:val="24"/>
          <w:highlight w:val="none"/>
        </w:rPr>
      </w:pPr>
    </w:p>
    <w:p>
      <w:pPr>
        <w:rPr>
          <w:color w:val="auto"/>
          <w:highlight w:val="none"/>
        </w:rPr>
      </w:pPr>
    </w:p>
    <w:p>
      <w:pPr>
        <w:pStyle w:val="9"/>
        <w:jc w:val="center"/>
        <w:rPr>
          <w:rFonts w:hAnsi="宋体"/>
          <w:b/>
          <w:color w:val="auto"/>
          <w:sz w:val="32"/>
          <w:highlight w:val="none"/>
        </w:rPr>
      </w:pPr>
    </w:p>
    <w:p>
      <w:pPr>
        <w:widowControl/>
        <w:jc w:val="left"/>
        <w:rPr>
          <w:rFonts w:ascii="宋体" w:hAnsi="宋体"/>
          <w:b/>
          <w:color w:val="auto"/>
          <w:sz w:val="32"/>
          <w:highlight w:val="none"/>
        </w:rPr>
      </w:pPr>
      <w:r>
        <w:rPr>
          <w:rFonts w:hAnsi="宋体"/>
          <w:b/>
          <w:color w:val="auto"/>
          <w:sz w:val="32"/>
          <w:highlight w:val="none"/>
        </w:rPr>
        <w:br w:type="page"/>
      </w:r>
    </w:p>
    <w:p>
      <w:pPr>
        <w:pStyle w:val="9"/>
        <w:jc w:val="center"/>
        <w:rPr>
          <w:rFonts w:hAnsi="宋体"/>
          <w:b/>
          <w:color w:val="auto"/>
          <w:sz w:val="32"/>
          <w:highlight w:val="none"/>
        </w:rPr>
      </w:pPr>
      <w:r>
        <w:rPr>
          <w:rFonts w:hint="eastAsia" w:hAnsi="宋体"/>
          <w:b/>
          <w:color w:val="auto"/>
          <w:sz w:val="32"/>
          <w:highlight w:val="none"/>
        </w:rPr>
        <w:t>授权委托书（格式二）</w:t>
      </w:r>
    </w:p>
    <w:p>
      <w:pPr>
        <w:rPr>
          <w:color w:val="auto"/>
          <w:highlight w:val="none"/>
        </w:rPr>
      </w:pPr>
      <w:r>
        <w:rPr>
          <w:rFonts w:hint="eastAsia"/>
          <w:b/>
          <w:color w:val="auto"/>
          <w:szCs w:val="21"/>
          <w:highlight w:val="none"/>
        </w:rPr>
        <w:t>致</w:t>
      </w:r>
      <w:r>
        <w:rPr>
          <w:rFonts w:hint="eastAsia"/>
          <w:color w:val="auto"/>
          <w:szCs w:val="21"/>
          <w:highlight w:val="none"/>
        </w:rPr>
        <w:t>：</w:t>
      </w:r>
      <w:r>
        <w:rPr>
          <w:rFonts w:hint="eastAsia"/>
          <w:color w:val="auto"/>
          <w:highlight w:val="none"/>
          <w:u w:val="single"/>
        </w:rPr>
        <w:t>广西桂林华禹水利水电工程咨询有限公司</w:t>
      </w:r>
    </w:p>
    <w:p>
      <w:pPr>
        <w:snapToGrid w:val="0"/>
        <w:spacing w:line="400" w:lineRule="exact"/>
        <w:outlineLvl w:val="4"/>
        <w:rPr>
          <w:rFonts w:ascii="宋体" w:hAnsi="宋体"/>
          <w:color w:val="auto"/>
          <w:szCs w:val="21"/>
          <w:highlight w:val="none"/>
          <w:u w:val="single"/>
        </w:rPr>
      </w:pPr>
    </w:p>
    <w:p>
      <w:pPr>
        <w:pStyle w:val="9"/>
        <w:spacing w:line="340" w:lineRule="exact"/>
        <w:ind w:firstLine="426" w:firstLineChars="200"/>
        <w:rPr>
          <w:rFonts w:hAnsi="宋体"/>
          <w:color w:val="auto"/>
          <w:highlight w:val="none"/>
        </w:rPr>
      </w:pPr>
      <w:r>
        <w:rPr>
          <w:rFonts w:hint="eastAsia" w:hAnsi="宋体"/>
          <w:color w:val="auto"/>
          <w:kern w:val="0"/>
          <w:highlight w:val="none"/>
        </w:rPr>
        <w:t>我</w:t>
      </w:r>
      <w:r>
        <w:rPr>
          <w:rFonts w:hint="eastAsia" w:hAnsi="宋体"/>
          <w:color w:val="auto"/>
          <w:kern w:val="0"/>
          <w:highlight w:val="none"/>
          <w:u w:val="single"/>
        </w:rPr>
        <w:t xml:space="preserve">              </w:t>
      </w:r>
      <w:r>
        <w:rPr>
          <w:rFonts w:hint="eastAsia" w:hAnsi="宋体"/>
          <w:color w:val="auto"/>
          <w:kern w:val="0"/>
          <w:highlight w:val="none"/>
        </w:rPr>
        <w:t>（姓名）系自然人，现授权委托</w:t>
      </w:r>
      <w:r>
        <w:rPr>
          <w:rFonts w:hint="eastAsia" w:hAnsi="宋体"/>
          <w:color w:val="auto"/>
          <w:kern w:val="0"/>
          <w:highlight w:val="none"/>
          <w:u w:val="single"/>
        </w:rPr>
        <w:t xml:space="preserve">            </w:t>
      </w:r>
      <w:r>
        <w:rPr>
          <w:rFonts w:hint="eastAsia" w:hAnsi="宋体"/>
          <w:color w:val="auto"/>
          <w:kern w:val="0"/>
          <w:highlight w:val="none"/>
        </w:rPr>
        <w:t>（姓 名）以本人名义参加</w:t>
      </w:r>
      <w:r>
        <w:rPr>
          <w:rFonts w:hint="eastAsia" w:hAnsi="宋体"/>
          <w:color w:val="auto"/>
          <w:kern w:val="0"/>
          <w:highlight w:val="none"/>
          <w:u w:val="single"/>
        </w:rPr>
        <w:t xml:space="preserve">      </w:t>
      </w:r>
      <w:r>
        <w:rPr>
          <w:rFonts w:hint="eastAsia" w:hAnsi="宋体"/>
          <w:color w:val="auto"/>
          <w:highlight w:val="none"/>
          <w:u w:val="single"/>
        </w:rPr>
        <w:t xml:space="preserve">（项目名称及项目编号）        </w:t>
      </w:r>
      <w:r>
        <w:rPr>
          <w:rFonts w:hint="eastAsia" w:hAnsi="宋体"/>
          <w:color w:val="auto"/>
          <w:highlight w:val="none"/>
        </w:rPr>
        <w:t>项目的投标活动，并代表本人全权办理针对上述项目的投标、开标、评标、签约等具体事务和签署相关文件。</w:t>
      </w:r>
    </w:p>
    <w:p>
      <w:pPr>
        <w:pStyle w:val="9"/>
        <w:spacing w:line="340" w:lineRule="exact"/>
        <w:ind w:firstLine="426" w:firstLineChars="200"/>
        <w:rPr>
          <w:rFonts w:hAnsi="宋体"/>
          <w:color w:val="auto"/>
          <w:highlight w:val="none"/>
        </w:rPr>
      </w:pPr>
      <w:r>
        <w:rPr>
          <w:rFonts w:hint="eastAsia" w:hAnsi="宋体"/>
          <w:color w:val="auto"/>
          <w:highlight w:val="none"/>
        </w:rPr>
        <w:t>本人对被授权人的签字事项负全部责任。</w:t>
      </w:r>
    </w:p>
    <w:p>
      <w:pPr>
        <w:pStyle w:val="9"/>
        <w:spacing w:line="340" w:lineRule="exact"/>
        <w:ind w:firstLine="426" w:firstLineChars="200"/>
        <w:rPr>
          <w:rFonts w:hAnsi="宋体"/>
          <w:color w:val="auto"/>
          <w:highlight w:val="none"/>
          <w:u w:val="single"/>
        </w:rPr>
      </w:pPr>
      <w:r>
        <w:rPr>
          <w:rFonts w:hint="eastAsia" w:hAnsi="宋体"/>
          <w:color w:val="auto"/>
          <w:highlight w:val="none"/>
        </w:rPr>
        <w:t>授权委托代理期限：从</w:t>
      </w:r>
      <w:r>
        <w:rPr>
          <w:rFonts w:hint="eastAsia" w:hAnsi="宋体"/>
          <w:color w:val="auto"/>
          <w:highlight w:val="none"/>
          <w:u w:val="single"/>
        </w:rPr>
        <w:t xml:space="preserve">       </w:t>
      </w:r>
      <w:r>
        <w:rPr>
          <w:rFonts w:hint="eastAsia" w:hAnsi="宋体"/>
          <w:color w:val="auto"/>
          <w:highlight w:val="none"/>
        </w:rPr>
        <w:t>年</w:t>
      </w:r>
      <w:r>
        <w:rPr>
          <w:rFonts w:hint="eastAsia" w:hAnsi="宋体"/>
          <w:color w:val="auto"/>
          <w:highlight w:val="none"/>
          <w:u w:val="single"/>
        </w:rPr>
        <w:t xml:space="preserve">     </w:t>
      </w:r>
      <w:r>
        <w:rPr>
          <w:rFonts w:hint="eastAsia" w:hAnsi="宋体"/>
          <w:color w:val="auto"/>
          <w:highlight w:val="none"/>
        </w:rPr>
        <w:t xml:space="preserve">月 </w:t>
      </w:r>
      <w:r>
        <w:rPr>
          <w:rFonts w:hint="eastAsia" w:hAnsi="宋体"/>
          <w:color w:val="auto"/>
          <w:highlight w:val="none"/>
          <w:u w:val="single"/>
        </w:rPr>
        <w:t xml:space="preserve">    </w:t>
      </w:r>
      <w:r>
        <w:rPr>
          <w:rFonts w:hint="eastAsia" w:hAnsi="宋体"/>
          <w:color w:val="auto"/>
          <w:highlight w:val="none"/>
        </w:rPr>
        <w:t xml:space="preserve"> 日起至</w:t>
      </w:r>
      <w:r>
        <w:rPr>
          <w:rFonts w:hint="eastAsia" w:hAnsi="宋体"/>
          <w:color w:val="auto"/>
          <w:highlight w:val="none"/>
          <w:u w:val="single"/>
        </w:rPr>
        <w:t xml:space="preserve">         </w:t>
      </w:r>
      <w:r>
        <w:rPr>
          <w:rFonts w:hint="eastAsia" w:hAnsi="宋体"/>
          <w:color w:val="auto"/>
          <w:highlight w:val="none"/>
        </w:rPr>
        <w:t>年</w:t>
      </w:r>
      <w:r>
        <w:rPr>
          <w:rFonts w:hint="eastAsia" w:hAnsi="宋体"/>
          <w:color w:val="auto"/>
          <w:highlight w:val="none"/>
          <w:u w:val="single"/>
        </w:rPr>
        <w:t xml:space="preserve">     </w:t>
      </w:r>
      <w:r>
        <w:rPr>
          <w:rFonts w:hint="eastAsia" w:hAnsi="宋体"/>
          <w:color w:val="auto"/>
          <w:highlight w:val="none"/>
        </w:rPr>
        <w:t xml:space="preserve">月 </w:t>
      </w:r>
      <w:r>
        <w:rPr>
          <w:rFonts w:hint="eastAsia" w:hAnsi="宋体"/>
          <w:color w:val="auto"/>
          <w:highlight w:val="none"/>
          <w:u w:val="single"/>
        </w:rPr>
        <w:t xml:space="preserve">     </w:t>
      </w:r>
      <w:r>
        <w:rPr>
          <w:rFonts w:hint="eastAsia" w:hAnsi="宋体"/>
          <w:color w:val="auto"/>
          <w:highlight w:val="none"/>
        </w:rPr>
        <w:t>日止。</w:t>
      </w:r>
    </w:p>
    <w:p>
      <w:pPr>
        <w:pStyle w:val="9"/>
        <w:spacing w:line="340" w:lineRule="exact"/>
        <w:rPr>
          <w:rFonts w:hAnsi="宋体"/>
          <w:color w:val="auto"/>
          <w:highlight w:val="none"/>
          <w:u w:val="single"/>
        </w:rPr>
      </w:pPr>
      <w:r>
        <w:rPr>
          <w:rFonts w:hint="eastAsia" w:hAnsi="宋体"/>
          <w:color w:val="auto"/>
          <w:highlight w:val="none"/>
        </w:rPr>
        <w:t xml:space="preserve">                                                                                             </w:t>
      </w:r>
    </w:p>
    <w:p>
      <w:pPr>
        <w:spacing w:line="340" w:lineRule="exact"/>
        <w:ind w:firstLine="426" w:firstLineChars="200"/>
        <w:rPr>
          <w:rFonts w:ascii="宋体" w:hAnsi="宋体"/>
          <w:color w:val="auto"/>
          <w:kern w:val="0"/>
          <w:highlight w:val="none"/>
        </w:rPr>
      </w:pPr>
      <w:r>
        <w:rPr>
          <w:rFonts w:hint="eastAsia" w:ascii="宋体" w:hAnsi="宋体"/>
          <w:color w:val="auto"/>
          <w:kern w:val="0"/>
          <w:highlight w:val="none"/>
        </w:rPr>
        <w:t>代理人无转委托权,特此委托。</w:t>
      </w:r>
      <w:r>
        <w:rPr>
          <w:rFonts w:ascii="宋体" w:hAnsi="宋体"/>
          <w:color w:val="auto"/>
          <w:kern w:val="0"/>
          <w:highlight w:val="none"/>
        </w:rPr>
        <w:t xml:space="preserve"> </w:t>
      </w:r>
    </w:p>
    <w:p>
      <w:pPr>
        <w:snapToGrid w:val="0"/>
        <w:spacing w:line="340" w:lineRule="exact"/>
        <w:ind w:firstLine="525"/>
        <w:outlineLvl w:val="4"/>
        <w:rPr>
          <w:rFonts w:ascii="宋体" w:hAnsi="宋体"/>
          <w:color w:val="auto"/>
          <w:szCs w:val="21"/>
          <w:highlight w:val="none"/>
        </w:rPr>
      </w:pPr>
    </w:p>
    <w:p>
      <w:pPr>
        <w:ind w:firstLine="426" w:firstLineChars="200"/>
        <w:rPr>
          <w:color w:val="auto"/>
          <w:highlight w:val="none"/>
        </w:rPr>
      </w:pPr>
      <w:r>
        <w:rPr>
          <w:rFonts w:hint="eastAsia"/>
          <w:color w:val="auto"/>
          <w:highlight w:val="none"/>
        </w:rPr>
        <w:t>我已在下面签字，以资证明。</w:t>
      </w:r>
    </w:p>
    <w:p>
      <w:pPr>
        <w:snapToGrid w:val="0"/>
        <w:spacing w:line="340" w:lineRule="exact"/>
        <w:ind w:firstLine="420"/>
        <w:outlineLvl w:val="4"/>
        <w:rPr>
          <w:rFonts w:ascii="宋体" w:hAnsi="宋体"/>
          <w:color w:val="auto"/>
          <w:szCs w:val="21"/>
          <w:highlight w:val="none"/>
        </w:rPr>
      </w:pPr>
    </w:p>
    <w:p>
      <w:pPr>
        <w:ind w:firstLine="426" w:firstLineChars="200"/>
        <w:rPr>
          <w:color w:val="auto"/>
          <w:highlight w:val="none"/>
        </w:rPr>
      </w:pPr>
      <w:r>
        <w:rPr>
          <w:rFonts w:hint="eastAsia"/>
          <w:color w:val="auto"/>
          <w:highlight w:val="none"/>
        </w:rPr>
        <w:t>自然人签字并在签名处加盖食指指印：</w:t>
      </w:r>
      <w:r>
        <w:rPr>
          <w:rFonts w:hint="eastAsia"/>
          <w:color w:val="auto"/>
          <w:highlight w:val="none"/>
          <w:u w:val="single"/>
        </w:rPr>
        <w:t xml:space="preserve">                       </w:t>
      </w:r>
      <w:r>
        <w:rPr>
          <w:rFonts w:hint="eastAsia"/>
          <w:color w:val="auto"/>
          <w:highlight w:val="none"/>
        </w:rPr>
        <w:t>　　</w:t>
      </w:r>
      <w:r>
        <w:rPr>
          <w:rFonts w:hint="eastAsia"/>
          <w:color w:val="auto"/>
          <w:highlight w:val="none"/>
          <w:u w:val="single"/>
        </w:rPr>
        <w:t xml:space="preserve">        </w:t>
      </w:r>
      <w:r>
        <w:rPr>
          <w:rFonts w:hint="eastAsia"/>
          <w:color w:val="auto"/>
          <w:highlight w:val="none"/>
        </w:rPr>
        <w:t>年</w:t>
      </w:r>
      <w:r>
        <w:rPr>
          <w:rFonts w:hint="eastAsia"/>
          <w:color w:val="auto"/>
          <w:highlight w:val="none"/>
          <w:u w:val="single"/>
        </w:rPr>
        <w:t xml:space="preserve">      </w:t>
      </w:r>
      <w:r>
        <w:rPr>
          <w:rFonts w:hint="eastAsia"/>
          <w:color w:val="auto"/>
          <w:highlight w:val="none"/>
        </w:rPr>
        <w:t>月</w:t>
      </w:r>
      <w:r>
        <w:rPr>
          <w:rFonts w:hint="eastAsia"/>
          <w:color w:val="auto"/>
          <w:highlight w:val="none"/>
          <w:u w:val="single"/>
        </w:rPr>
        <w:t xml:space="preserve">     </w:t>
      </w:r>
      <w:r>
        <w:rPr>
          <w:rFonts w:hint="eastAsia"/>
          <w:color w:val="auto"/>
          <w:highlight w:val="none"/>
        </w:rPr>
        <w:t>日</w:t>
      </w:r>
    </w:p>
    <w:p>
      <w:pPr>
        <w:snapToGrid w:val="0"/>
        <w:spacing w:line="340" w:lineRule="exact"/>
        <w:ind w:firstLine="420"/>
        <w:outlineLvl w:val="4"/>
        <w:rPr>
          <w:rFonts w:ascii="宋体" w:hAnsi="宋体"/>
          <w:color w:val="auto"/>
          <w:szCs w:val="21"/>
          <w:highlight w:val="none"/>
        </w:rPr>
      </w:pPr>
    </w:p>
    <w:p>
      <w:pPr>
        <w:pStyle w:val="9"/>
        <w:spacing w:line="400" w:lineRule="exact"/>
        <w:ind w:left="426" w:leftChars="200" w:firstLine="157" w:firstLineChars="49"/>
        <w:rPr>
          <w:rFonts w:hAnsi="宋体"/>
          <w:b/>
          <w:color w:val="auto"/>
          <w:sz w:val="32"/>
          <w:szCs w:val="32"/>
          <w:highlight w:val="none"/>
        </w:rPr>
      </w:pPr>
    </w:p>
    <w:p>
      <w:pPr>
        <w:pStyle w:val="9"/>
        <w:spacing w:line="400" w:lineRule="exact"/>
        <w:rPr>
          <w:rFonts w:hAnsi="宋体"/>
          <w:b/>
          <w:color w:val="auto"/>
          <w:sz w:val="32"/>
          <w:szCs w:val="32"/>
          <w:highlight w:val="none"/>
        </w:rPr>
      </w:pPr>
    </w:p>
    <w:p>
      <w:pPr>
        <w:pStyle w:val="9"/>
        <w:spacing w:line="400" w:lineRule="exact"/>
        <w:ind w:left="426" w:leftChars="200" w:firstLine="157" w:firstLineChars="49"/>
        <w:rPr>
          <w:rFonts w:hAnsi="宋体"/>
          <w:b/>
          <w:color w:val="auto"/>
          <w:sz w:val="32"/>
          <w:szCs w:val="32"/>
          <w:highlight w:val="none"/>
        </w:rPr>
      </w:pPr>
      <w:r>
        <w:rPr>
          <w:rFonts w:hint="eastAsia" w:hAnsi="宋体"/>
          <w:b/>
          <w:color w:val="auto"/>
          <w:sz w:val="32"/>
          <w:szCs w:val="32"/>
          <w:highlight w:val="none"/>
        </w:rPr>
        <w:t>4. 投标人在“信用中国”网站(www.creditchina.gov.cn)、中国政府采购网(www.ccgp.gov.cn)等渠道查询的信用记录和参加政府采购活动前3年内在经营活动中没有重大违法记录的书面声明（必须提供）</w:t>
      </w:r>
    </w:p>
    <w:p>
      <w:pPr>
        <w:pStyle w:val="9"/>
        <w:spacing w:line="400" w:lineRule="exact"/>
        <w:ind w:left="426" w:leftChars="200" w:firstLine="157" w:firstLineChars="49"/>
        <w:rPr>
          <w:rFonts w:hAnsi="宋体"/>
          <w:b/>
          <w:color w:val="auto"/>
          <w:sz w:val="32"/>
          <w:szCs w:val="32"/>
          <w:highlight w:val="none"/>
        </w:rPr>
      </w:pPr>
      <w:r>
        <w:rPr>
          <w:rFonts w:hint="eastAsia" w:hAnsi="宋体"/>
          <w:b/>
          <w:color w:val="auto"/>
          <w:sz w:val="32"/>
          <w:szCs w:val="32"/>
          <w:highlight w:val="none"/>
        </w:rPr>
        <w:t xml:space="preserve">                       </w:t>
      </w:r>
    </w:p>
    <w:p>
      <w:pPr>
        <w:pStyle w:val="9"/>
        <w:spacing w:line="400" w:lineRule="exact"/>
        <w:ind w:left="426" w:leftChars="200" w:firstLine="157" w:firstLineChars="49"/>
        <w:rPr>
          <w:rFonts w:hAnsi="宋体"/>
          <w:b/>
          <w:color w:val="auto"/>
          <w:sz w:val="32"/>
          <w:szCs w:val="32"/>
          <w:highlight w:val="none"/>
        </w:rPr>
      </w:pPr>
      <w:r>
        <w:rPr>
          <w:rFonts w:hint="eastAsia" w:hAnsi="宋体"/>
          <w:b/>
          <w:color w:val="auto"/>
          <w:sz w:val="32"/>
          <w:szCs w:val="32"/>
          <w:highlight w:val="none"/>
        </w:rPr>
        <w:t>附件：</w:t>
      </w:r>
    </w:p>
    <w:p>
      <w:pPr>
        <w:pStyle w:val="9"/>
        <w:spacing w:line="400" w:lineRule="exact"/>
        <w:jc w:val="center"/>
        <w:rPr>
          <w:rFonts w:hAnsi="宋体"/>
          <w:b/>
          <w:color w:val="auto"/>
          <w:sz w:val="32"/>
          <w:szCs w:val="32"/>
          <w:highlight w:val="none"/>
        </w:rPr>
      </w:pPr>
      <w:r>
        <w:rPr>
          <w:rFonts w:hint="eastAsia" w:hAnsi="宋体"/>
          <w:b/>
          <w:color w:val="auto"/>
          <w:sz w:val="32"/>
          <w:szCs w:val="32"/>
          <w:highlight w:val="none"/>
        </w:rPr>
        <w:t>声   明</w:t>
      </w:r>
    </w:p>
    <w:p>
      <w:pPr>
        <w:rPr>
          <w:color w:val="auto"/>
          <w:highlight w:val="none"/>
        </w:rPr>
      </w:pPr>
      <w:r>
        <w:rPr>
          <w:rFonts w:hint="eastAsia"/>
          <w:b/>
          <w:color w:val="auto"/>
          <w:szCs w:val="21"/>
          <w:highlight w:val="none"/>
        </w:rPr>
        <w:t>致</w:t>
      </w:r>
      <w:r>
        <w:rPr>
          <w:rFonts w:hint="eastAsia"/>
          <w:color w:val="auto"/>
          <w:szCs w:val="21"/>
          <w:highlight w:val="none"/>
        </w:rPr>
        <w:t>：</w:t>
      </w:r>
      <w:r>
        <w:rPr>
          <w:rFonts w:hint="eastAsia"/>
          <w:color w:val="auto"/>
          <w:highlight w:val="none"/>
          <w:u w:val="single"/>
        </w:rPr>
        <w:t>广西桂林华禹水利水电工程咨询有限公司</w:t>
      </w:r>
    </w:p>
    <w:p>
      <w:pPr>
        <w:snapToGrid w:val="0"/>
        <w:spacing w:line="400" w:lineRule="exact"/>
        <w:outlineLvl w:val="4"/>
        <w:rPr>
          <w:rFonts w:ascii="宋体" w:hAnsi="宋体"/>
          <w:color w:val="auto"/>
          <w:szCs w:val="21"/>
          <w:highlight w:val="none"/>
          <w:u w:val="single"/>
        </w:rPr>
      </w:pPr>
    </w:p>
    <w:p>
      <w:pPr>
        <w:pStyle w:val="9"/>
        <w:spacing w:line="400" w:lineRule="exact"/>
        <w:ind w:firstLine="426" w:firstLineChars="200"/>
        <w:rPr>
          <w:rFonts w:hAnsi="宋体"/>
          <w:color w:val="auto"/>
          <w:highlight w:val="none"/>
        </w:rPr>
      </w:pPr>
      <w:r>
        <w:rPr>
          <w:rFonts w:hint="eastAsia" w:hAnsi="宋体"/>
          <w:color w:val="auto"/>
          <w:highlight w:val="none"/>
        </w:rPr>
        <w:t>我（公司）郑重声明，在参加政府采购活动前3年内在经营活动中没有重大违法记录（重大违法记录是指供应商因违法经营受到刑事处罚或者责令停产停业、吊销许可证或者执照、较大数额罚款等行政处罚）。</w:t>
      </w:r>
    </w:p>
    <w:p>
      <w:pPr>
        <w:snapToGrid w:val="0"/>
        <w:spacing w:line="400" w:lineRule="exact"/>
        <w:ind w:firstLine="420"/>
        <w:outlineLvl w:val="4"/>
        <w:rPr>
          <w:rFonts w:ascii="宋体" w:hAnsi="宋体"/>
          <w:color w:val="auto"/>
          <w:szCs w:val="21"/>
          <w:highlight w:val="none"/>
        </w:rPr>
      </w:pPr>
    </w:p>
    <w:p>
      <w:pPr>
        <w:spacing w:line="340" w:lineRule="exact"/>
        <w:ind w:firstLine="3408" w:firstLineChars="1600"/>
        <w:rPr>
          <w:color w:val="auto"/>
          <w:highlight w:val="none"/>
        </w:rPr>
      </w:pPr>
      <w:r>
        <w:rPr>
          <w:rFonts w:hint="eastAsia"/>
          <w:color w:val="auto"/>
          <w:highlight w:val="none"/>
        </w:rPr>
        <w:t>投标人（公章，自然人除外）：</w:t>
      </w:r>
      <w:r>
        <w:rPr>
          <w:rFonts w:hint="eastAsia"/>
          <w:color w:val="auto"/>
          <w:highlight w:val="none"/>
          <w:u w:val="single"/>
        </w:rPr>
        <w:t xml:space="preserve">                                </w:t>
      </w:r>
      <w:r>
        <w:rPr>
          <w:rFonts w:hint="eastAsia"/>
          <w:color w:val="auto"/>
          <w:highlight w:val="none"/>
        </w:rPr>
        <w:t xml:space="preserve"> </w:t>
      </w:r>
    </w:p>
    <w:p>
      <w:pPr>
        <w:rPr>
          <w:color w:val="auto"/>
          <w:highlight w:val="none"/>
        </w:rPr>
      </w:pPr>
    </w:p>
    <w:p>
      <w:pPr>
        <w:spacing w:line="340" w:lineRule="exact"/>
        <w:ind w:left="3408" w:leftChars="1600"/>
        <w:rPr>
          <w:rFonts w:ascii="宋体" w:hAnsi="宋体"/>
          <w:color w:val="auto"/>
          <w:szCs w:val="21"/>
          <w:highlight w:val="none"/>
          <w:u w:val="single"/>
        </w:rPr>
      </w:pPr>
      <w:r>
        <w:rPr>
          <w:rFonts w:hint="eastAsia" w:hAnsi="宋体"/>
          <w:color w:val="auto"/>
          <w:highlight w:val="none"/>
        </w:rPr>
        <w:t>法定代表人、负责人、自然人或相应的委托代理人签字（或盖章）（属自然人的应在签名处加盖食指指印）：</w:t>
      </w:r>
      <w:r>
        <w:rPr>
          <w:rFonts w:hint="eastAsia" w:ascii="宋体" w:hAnsi="宋体"/>
          <w:color w:val="auto"/>
          <w:szCs w:val="21"/>
          <w:highlight w:val="none"/>
          <w:u w:val="single"/>
        </w:rPr>
        <w:t xml:space="preserve">                        </w:t>
      </w:r>
    </w:p>
    <w:p>
      <w:pPr>
        <w:spacing w:line="340" w:lineRule="exact"/>
        <w:ind w:firstLine="106" w:firstLineChars="50"/>
        <w:rPr>
          <w:rFonts w:ascii="宋体" w:hAnsi="宋体"/>
          <w:color w:val="auto"/>
          <w:highlight w:val="none"/>
        </w:rPr>
      </w:pPr>
    </w:p>
    <w:p>
      <w:pPr>
        <w:spacing w:line="340" w:lineRule="exact"/>
        <w:ind w:firstLine="3408" w:firstLineChars="1600"/>
        <w:rPr>
          <w:rFonts w:ascii="宋体" w:hAnsi="宋体"/>
          <w:color w:val="auto"/>
          <w:highlight w:val="none"/>
        </w:rPr>
      </w:pPr>
      <w:r>
        <w:rPr>
          <w:rFonts w:hint="eastAsia" w:ascii="宋体" w:hAnsi="宋体"/>
          <w:color w:val="auto"/>
          <w:highlight w:val="none"/>
        </w:rPr>
        <w:t>日          期：</w:t>
      </w:r>
      <w:r>
        <w:rPr>
          <w:rFonts w:hint="eastAsia" w:ascii="宋体" w:hAnsi="宋体"/>
          <w:color w:val="auto"/>
          <w:highlight w:val="none"/>
          <w:u w:val="single"/>
        </w:rPr>
        <w:t xml:space="preserve">                                           </w:t>
      </w:r>
      <w:r>
        <w:rPr>
          <w:rFonts w:hint="eastAsia" w:ascii="宋体" w:hAnsi="宋体"/>
          <w:color w:val="auto"/>
          <w:highlight w:val="none"/>
        </w:rPr>
        <w:t xml:space="preserve">   </w:t>
      </w:r>
    </w:p>
    <w:p>
      <w:pPr>
        <w:snapToGrid w:val="0"/>
        <w:spacing w:line="400" w:lineRule="exact"/>
        <w:outlineLvl w:val="4"/>
        <w:rPr>
          <w:rFonts w:ascii="宋体" w:hAnsi="宋体"/>
          <w:color w:val="auto"/>
          <w:szCs w:val="21"/>
          <w:highlight w:val="none"/>
        </w:rPr>
      </w:pPr>
    </w:p>
    <w:p>
      <w:pPr>
        <w:snapToGrid w:val="0"/>
        <w:spacing w:line="400" w:lineRule="exact"/>
        <w:ind w:firstLine="420"/>
        <w:outlineLvl w:val="4"/>
        <w:rPr>
          <w:rFonts w:ascii="宋体" w:hAnsi="宋体"/>
          <w:color w:val="auto"/>
          <w:szCs w:val="21"/>
          <w:highlight w:val="none"/>
        </w:rPr>
      </w:pPr>
    </w:p>
    <w:p>
      <w:pPr>
        <w:snapToGrid w:val="0"/>
        <w:spacing w:line="400" w:lineRule="exact"/>
        <w:ind w:firstLine="420"/>
        <w:outlineLvl w:val="4"/>
        <w:rPr>
          <w:rFonts w:ascii="宋体" w:hAnsi="宋体"/>
          <w:color w:val="auto"/>
          <w:szCs w:val="21"/>
          <w:highlight w:val="none"/>
        </w:rPr>
      </w:pPr>
    </w:p>
    <w:p>
      <w:pPr>
        <w:pStyle w:val="9"/>
        <w:spacing w:line="400" w:lineRule="exact"/>
        <w:ind w:left="426" w:leftChars="200" w:firstLine="157" w:firstLineChars="49"/>
        <w:rPr>
          <w:rFonts w:hAnsi="宋体"/>
          <w:b/>
          <w:color w:val="auto"/>
          <w:sz w:val="32"/>
          <w:szCs w:val="32"/>
          <w:highlight w:val="none"/>
        </w:rPr>
      </w:pPr>
    </w:p>
    <w:p>
      <w:pPr>
        <w:pStyle w:val="9"/>
        <w:spacing w:line="400" w:lineRule="exact"/>
        <w:ind w:left="426" w:leftChars="200" w:firstLine="157" w:firstLineChars="49"/>
        <w:rPr>
          <w:rFonts w:hAnsi="宋体"/>
          <w:b/>
          <w:color w:val="auto"/>
          <w:sz w:val="32"/>
          <w:szCs w:val="32"/>
          <w:highlight w:val="none"/>
        </w:rPr>
      </w:pPr>
    </w:p>
    <w:p>
      <w:pPr>
        <w:pStyle w:val="9"/>
        <w:spacing w:line="400" w:lineRule="exact"/>
        <w:ind w:left="426" w:leftChars="200" w:firstLine="157" w:firstLineChars="49"/>
        <w:rPr>
          <w:rFonts w:hAnsi="宋体"/>
          <w:b/>
          <w:color w:val="auto"/>
          <w:sz w:val="32"/>
          <w:szCs w:val="32"/>
          <w:highlight w:val="none"/>
        </w:rPr>
      </w:pPr>
    </w:p>
    <w:p>
      <w:pPr>
        <w:pStyle w:val="9"/>
        <w:spacing w:line="400" w:lineRule="exact"/>
        <w:ind w:left="426" w:leftChars="200" w:firstLine="157" w:firstLineChars="49"/>
        <w:rPr>
          <w:rFonts w:hAnsi="宋体"/>
          <w:b/>
          <w:color w:val="auto"/>
          <w:sz w:val="32"/>
          <w:szCs w:val="32"/>
          <w:highlight w:val="none"/>
        </w:rPr>
      </w:pPr>
    </w:p>
    <w:p>
      <w:pPr>
        <w:pStyle w:val="9"/>
        <w:spacing w:line="400" w:lineRule="exact"/>
        <w:ind w:left="426" w:leftChars="200" w:firstLine="157" w:firstLineChars="49"/>
        <w:rPr>
          <w:rFonts w:hAnsi="宋体"/>
          <w:b/>
          <w:color w:val="auto"/>
          <w:sz w:val="32"/>
          <w:szCs w:val="32"/>
          <w:highlight w:val="none"/>
        </w:rPr>
      </w:pPr>
    </w:p>
    <w:p>
      <w:pPr>
        <w:pStyle w:val="9"/>
        <w:spacing w:line="400" w:lineRule="exact"/>
        <w:ind w:left="426" w:leftChars="200" w:firstLine="157" w:firstLineChars="49"/>
        <w:rPr>
          <w:rFonts w:hAnsi="宋体"/>
          <w:b/>
          <w:color w:val="auto"/>
          <w:sz w:val="32"/>
          <w:szCs w:val="32"/>
          <w:highlight w:val="none"/>
        </w:rPr>
      </w:pPr>
      <w:r>
        <w:rPr>
          <w:rFonts w:hint="eastAsia" w:hAnsi="宋体"/>
          <w:b/>
          <w:color w:val="auto"/>
          <w:sz w:val="32"/>
          <w:szCs w:val="32"/>
          <w:highlight w:val="none"/>
        </w:rPr>
        <w:t>5.投标人的法人或者其他组织营业执照等证明文件（必须提供，自然人除外）</w:t>
      </w:r>
    </w:p>
    <w:p>
      <w:pPr>
        <w:pStyle w:val="9"/>
        <w:spacing w:line="400" w:lineRule="exact"/>
        <w:ind w:left="426" w:leftChars="200"/>
        <w:rPr>
          <w:rFonts w:hAnsi="宋体"/>
          <w:color w:val="auto"/>
          <w:sz w:val="32"/>
          <w:szCs w:val="32"/>
          <w:highlight w:val="none"/>
        </w:rPr>
      </w:pPr>
      <w:r>
        <w:rPr>
          <w:rFonts w:hint="eastAsia" w:hAnsi="宋体"/>
          <w:color w:val="auto"/>
          <w:szCs w:val="21"/>
          <w:highlight w:val="none"/>
        </w:rPr>
        <w:t>注：①法人包括企业法人、机关法人、事业单位法人和社会团体法人；其他组织主要包括合伙企业、非企业专业服务机构、个体工商户、农村承包经营户。②如供应商为企业（包括合伙企业），应提供工商部门注册的有效“企业法人营业执照”或“营业执照；供应商为事业单位，应提供有效的“事业单位法人证书”；供应商为非企业专业服务机构的，应提供执业许可证等证明文件；供应商为个体工商户，应提供有效的“个体工商户营业执照”。</w:t>
      </w:r>
    </w:p>
    <w:p>
      <w:pPr>
        <w:pStyle w:val="9"/>
        <w:spacing w:line="400" w:lineRule="exact"/>
        <w:ind w:firstLine="807" w:firstLineChars="250"/>
        <w:rPr>
          <w:rFonts w:hAnsi="宋体"/>
          <w:b/>
          <w:color w:val="auto"/>
          <w:sz w:val="32"/>
          <w:szCs w:val="32"/>
          <w:highlight w:val="none"/>
        </w:rPr>
      </w:pPr>
    </w:p>
    <w:p>
      <w:pPr>
        <w:pStyle w:val="9"/>
        <w:spacing w:line="400" w:lineRule="exact"/>
        <w:ind w:firstLine="807" w:firstLineChars="250"/>
        <w:rPr>
          <w:rFonts w:hAnsi="宋体"/>
          <w:b/>
          <w:color w:val="auto"/>
          <w:sz w:val="32"/>
          <w:szCs w:val="32"/>
          <w:highlight w:val="none"/>
        </w:rPr>
      </w:pPr>
    </w:p>
    <w:p>
      <w:pPr>
        <w:pStyle w:val="9"/>
        <w:spacing w:line="400" w:lineRule="exact"/>
        <w:ind w:firstLine="807" w:firstLineChars="250"/>
        <w:rPr>
          <w:rFonts w:hAnsi="宋体"/>
          <w:b/>
          <w:color w:val="auto"/>
          <w:sz w:val="32"/>
          <w:szCs w:val="32"/>
          <w:highlight w:val="none"/>
        </w:rPr>
      </w:pPr>
    </w:p>
    <w:p>
      <w:pPr>
        <w:pStyle w:val="9"/>
        <w:spacing w:line="400" w:lineRule="exact"/>
        <w:ind w:firstLine="807" w:firstLineChars="250"/>
        <w:rPr>
          <w:rFonts w:hAnsi="宋体"/>
          <w:b/>
          <w:color w:val="auto"/>
          <w:sz w:val="32"/>
          <w:szCs w:val="32"/>
          <w:highlight w:val="none"/>
        </w:rPr>
      </w:pPr>
    </w:p>
    <w:p>
      <w:pPr>
        <w:tabs>
          <w:tab w:val="left" w:pos="1305"/>
        </w:tabs>
        <w:spacing w:line="400" w:lineRule="exact"/>
        <w:ind w:left="323" w:leftChars="152" w:firstLine="323" w:firstLineChars="100"/>
        <w:rPr>
          <w:rFonts w:ascii="宋体" w:hAnsi="宋体"/>
          <w:b/>
          <w:color w:val="auto"/>
          <w:sz w:val="32"/>
          <w:szCs w:val="32"/>
          <w:highlight w:val="none"/>
        </w:rPr>
      </w:pPr>
      <w:r>
        <w:rPr>
          <w:rFonts w:hint="eastAsia" w:ascii="宋体" w:hAnsi="宋体"/>
          <w:b/>
          <w:color w:val="auto"/>
          <w:sz w:val="32"/>
          <w:szCs w:val="32"/>
          <w:highlight w:val="none"/>
        </w:rPr>
        <w:t>6.投标人有效的组织机构代码证复印件（必须提供，已经取得“三证合一”的或为自然人的除外）</w:t>
      </w:r>
    </w:p>
    <w:p>
      <w:pPr>
        <w:pStyle w:val="9"/>
        <w:spacing w:line="400" w:lineRule="exact"/>
        <w:ind w:firstLine="542" w:firstLineChars="168"/>
        <w:rPr>
          <w:rFonts w:hAnsi="宋体"/>
          <w:b/>
          <w:color w:val="auto"/>
          <w:sz w:val="32"/>
          <w:szCs w:val="32"/>
          <w:highlight w:val="none"/>
        </w:rPr>
      </w:pPr>
    </w:p>
    <w:p>
      <w:pPr>
        <w:pStyle w:val="9"/>
        <w:spacing w:line="400" w:lineRule="exact"/>
        <w:ind w:firstLine="807" w:firstLineChars="250"/>
        <w:rPr>
          <w:rFonts w:hAnsi="宋体"/>
          <w:b/>
          <w:color w:val="auto"/>
          <w:sz w:val="32"/>
          <w:szCs w:val="32"/>
          <w:highlight w:val="none"/>
        </w:rPr>
      </w:pPr>
    </w:p>
    <w:p>
      <w:pPr>
        <w:pStyle w:val="9"/>
        <w:spacing w:line="400" w:lineRule="exact"/>
        <w:ind w:firstLine="807" w:firstLineChars="250"/>
        <w:rPr>
          <w:rFonts w:hAnsi="宋体"/>
          <w:b/>
          <w:color w:val="auto"/>
          <w:sz w:val="32"/>
          <w:szCs w:val="32"/>
          <w:highlight w:val="none"/>
        </w:rPr>
      </w:pPr>
    </w:p>
    <w:p>
      <w:pPr>
        <w:pStyle w:val="9"/>
        <w:spacing w:line="400" w:lineRule="exact"/>
        <w:ind w:firstLine="807" w:firstLineChars="250"/>
        <w:rPr>
          <w:rFonts w:hAnsi="宋体"/>
          <w:b/>
          <w:color w:val="auto"/>
          <w:sz w:val="32"/>
          <w:szCs w:val="32"/>
          <w:highlight w:val="none"/>
        </w:rPr>
      </w:pPr>
    </w:p>
    <w:p>
      <w:pPr>
        <w:pStyle w:val="9"/>
        <w:spacing w:line="400" w:lineRule="exact"/>
        <w:ind w:firstLine="807" w:firstLineChars="250"/>
        <w:rPr>
          <w:rFonts w:hAnsi="宋体"/>
          <w:b/>
          <w:color w:val="auto"/>
          <w:sz w:val="32"/>
          <w:szCs w:val="32"/>
          <w:highlight w:val="none"/>
        </w:rPr>
      </w:pPr>
    </w:p>
    <w:p>
      <w:pPr>
        <w:tabs>
          <w:tab w:val="left" w:pos="1305"/>
        </w:tabs>
        <w:spacing w:line="400" w:lineRule="exact"/>
        <w:ind w:left="323" w:leftChars="152" w:firstLine="323" w:firstLineChars="100"/>
        <w:rPr>
          <w:rFonts w:ascii="宋体" w:hAnsi="宋体"/>
          <w:b/>
          <w:color w:val="auto"/>
          <w:sz w:val="32"/>
          <w:szCs w:val="32"/>
          <w:highlight w:val="none"/>
        </w:rPr>
      </w:pPr>
      <w:r>
        <w:rPr>
          <w:rFonts w:hint="eastAsia" w:ascii="宋体" w:hAnsi="宋体"/>
          <w:b/>
          <w:color w:val="auto"/>
          <w:sz w:val="32"/>
          <w:szCs w:val="32"/>
          <w:highlight w:val="none"/>
        </w:rPr>
        <w:t>7.投标人的税务登记证复印件（投标人为从事生产经营的纳税人必须提供，已经取得“三证合一”的或为自然人的除外）</w:t>
      </w:r>
    </w:p>
    <w:p>
      <w:pPr>
        <w:pStyle w:val="9"/>
        <w:spacing w:line="400" w:lineRule="exact"/>
        <w:ind w:firstLine="542" w:firstLineChars="168"/>
        <w:rPr>
          <w:rFonts w:hAnsi="宋体"/>
          <w:b/>
          <w:color w:val="auto"/>
          <w:sz w:val="32"/>
          <w:szCs w:val="32"/>
          <w:highlight w:val="none"/>
        </w:rPr>
      </w:pPr>
    </w:p>
    <w:p>
      <w:pPr>
        <w:pStyle w:val="9"/>
        <w:spacing w:line="440" w:lineRule="exact"/>
        <w:ind w:firstLine="420"/>
        <w:jc w:val="center"/>
        <w:rPr>
          <w:rFonts w:hAnsi="宋体"/>
          <w:b/>
          <w:bCs/>
          <w:color w:val="auto"/>
          <w:highlight w:val="none"/>
        </w:rPr>
      </w:pPr>
    </w:p>
    <w:p>
      <w:pPr>
        <w:pStyle w:val="9"/>
        <w:spacing w:line="440" w:lineRule="exact"/>
        <w:ind w:firstLine="420"/>
        <w:jc w:val="center"/>
        <w:rPr>
          <w:rFonts w:hAnsi="宋体"/>
          <w:b/>
          <w:bCs/>
          <w:color w:val="auto"/>
          <w:highlight w:val="none"/>
        </w:rPr>
      </w:pPr>
    </w:p>
    <w:p>
      <w:pPr>
        <w:pStyle w:val="9"/>
        <w:spacing w:line="440" w:lineRule="exact"/>
        <w:ind w:firstLine="420"/>
        <w:jc w:val="center"/>
        <w:rPr>
          <w:rFonts w:hAnsi="宋体"/>
          <w:b/>
          <w:bCs/>
          <w:color w:val="auto"/>
          <w:highlight w:val="none"/>
        </w:rPr>
      </w:pPr>
    </w:p>
    <w:p>
      <w:pPr>
        <w:pStyle w:val="9"/>
        <w:spacing w:line="440" w:lineRule="exact"/>
        <w:ind w:firstLine="420"/>
        <w:jc w:val="center"/>
        <w:rPr>
          <w:rFonts w:hAnsi="宋体"/>
          <w:b/>
          <w:bCs/>
          <w:color w:val="auto"/>
          <w:highlight w:val="none"/>
        </w:rPr>
      </w:pPr>
    </w:p>
    <w:p>
      <w:pPr>
        <w:pStyle w:val="9"/>
        <w:spacing w:line="440" w:lineRule="exact"/>
        <w:ind w:firstLine="420"/>
        <w:jc w:val="center"/>
        <w:rPr>
          <w:rFonts w:hAnsi="宋体"/>
          <w:b/>
          <w:bCs/>
          <w:color w:val="auto"/>
          <w:highlight w:val="none"/>
        </w:rPr>
      </w:pPr>
    </w:p>
    <w:p>
      <w:pPr>
        <w:pStyle w:val="9"/>
        <w:spacing w:line="440" w:lineRule="exact"/>
        <w:ind w:firstLine="646" w:firstLineChars="200"/>
        <w:rPr>
          <w:rFonts w:hAnsi="宋体"/>
          <w:b/>
          <w:color w:val="auto"/>
          <w:sz w:val="32"/>
          <w:szCs w:val="32"/>
          <w:highlight w:val="none"/>
        </w:rPr>
      </w:pPr>
      <w:r>
        <w:rPr>
          <w:rFonts w:hint="eastAsia" w:hAnsi="宋体"/>
          <w:b/>
          <w:color w:val="auto"/>
          <w:sz w:val="32"/>
          <w:szCs w:val="32"/>
          <w:highlight w:val="none"/>
        </w:rPr>
        <w:t>8.投标人符合投标人资格要求的资质证书复印件（必须提供）</w:t>
      </w:r>
    </w:p>
    <w:p>
      <w:pPr>
        <w:pStyle w:val="9"/>
        <w:spacing w:line="440" w:lineRule="exact"/>
        <w:rPr>
          <w:rFonts w:hAnsi="宋体"/>
          <w:b/>
          <w:color w:val="auto"/>
          <w:sz w:val="32"/>
          <w:szCs w:val="32"/>
          <w:highlight w:val="none"/>
        </w:rPr>
      </w:pPr>
    </w:p>
    <w:p>
      <w:pPr>
        <w:pStyle w:val="9"/>
        <w:spacing w:line="360" w:lineRule="auto"/>
        <w:ind w:firstLine="646" w:firstLineChars="200"/>
        <w:rPr>
          <w:rFonts w:hAnsi="宋体"/>
          <w:b/>
          <w:color w:val="auto"/>
          <w:sz w:val="32"/>
          <w:szCs w:val="32"/>
          <w:highlight w:val="none"/>
        </w:rPr>
      </w:pPr>
    </w:p>
    <w:p>
      <w:pPr>
        <w:pStyle w:val="9"/>
        <w:spacing w:line="360" w:lineRule="auto"/>
        <w:ind w:firstLine="646" w:firstLineChars="200"/>
        <w:rPr>
          <w:rFonts w:hAnsi="宋体"/>
          <w:b/>
          <w:color w:val="auto"/>
          <w:sz w:val="32"/>
          <w:szCs w:val="32"/>
          <w:highlight w:val="none"/>
        </w:rPr>
      </w:pPr>
      <w:r>
        <w:rPr>
          <w:rFonts w:hint="eastAsia" w:hAnsi="宋体"/>
          <w:b/>
          <w:color w:val="auto"/>
          <w:sz w:val="32"/>
          <w:szCs w:val="32"/>
          <w:highlight w:val="none"/>
        </w:rPr>
        <w:t>9.投标报价表（必须提供）</w:t>
      </w:r>
    </w:p>
    <w:tbl>
      <w:tblPr>
        <w:tblStyle w:val="14"/>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01"/>
        <w:gridCol w:w="2491"/>
        <w:gridCol w:w="3103"/>
        <w:gridCol w:w="2027"/>
        <w:gridCol w:w="173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11" w:hRule="atLeast"/>
        </w:trPr>
        <w:tc>
          <w:tcPr>
            <w:tcW w:w="501"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cs="宋体"/>
                <w:color w:val="auto"/>
                <w:highlight w:val="none"/>
              </w:rPr>
            </w:pPr>
            <w:r>
              <w:rPr>
                <w:rFonts w:hint="eastAsia" w:ascii="宋体" w:hAnsi="宋体" w:cs="宋体"/>
                <w:color w:val="auto"/>
                <w:highlight w:val="none"/>
              </w:rPr>
              <w:t>项号</w:t>
            </w:r>
          </w:p>
        </w:tc>
        <w:tc>
          <w:tcPr>
            <w:tcW w:w="2491"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s="宋体"/>
                <w:color w:val="auto"/>
                <w:highlight w:val="none"/>
              </w:rPr>
            </w:pPr>
            <w:r>
              <w:rPr>
                <w:rFonts w:hint="eastAsia" w:ascii="宋体" w:hAnsi="宋体" w:cs="宋体"/>
                <w:color w:val="auto"/>
                <w:highlight w:val="none"/>
              </w:rPr>
              <w:t>服务名称</w:t>
            </w:r>
          </w:p>
        </w:tc>
        <w:tc>
          <w:tcPr>
            <w:tcW w:w="310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color w:val="auto"/>
                <w:highlight w:val="none"/>
              </w:rPr>
            </w:pPr>
            <w:r>
              <w:rPr>
                <w:rFonts w:hint="eastAsia" w:ascii="宋体" w:hAnsi="宋体" w:cs="宋体"/>
                <w:color w:val="auto"/>
                <w:szCs w:val="21"/>
                <w:highlight w:val="none"/>
              </w:rPr>
              <w:t>服务内容</w:t>
            </w:r>
          </w:p>
        </w:tc>
        <w:tc>
          <w:tcPr>
            <w:tcW w:w="202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color w:val="auto"/>
                <w:highlight w:val="none"/>
              </w:rPr>
            </w:pPr>
            <w:r>
              <w:rPr>
                <w:rFonts w:hint="eastAsia" w:ascii="宋体" w:hAnsi="宋体" w:cs="宋体"/>
                <w:color w:val="auto"/>
                <w:szCs w:val="21"/>
                <w:highlight w:val="none"/>
              </w:rPr>
              <w:t>投标报价（元）</w:t>
            </w:r>
          </w:p>
        </w:tc>
        <w:tc>
          <w:tcPr>
            <w:tcW w:w="1732" w:type="dxa"/>
            <w:tcBorders>
              <w:bottom w:val="single" w:color="auto" w:sz="4" w:space="0"/>
            </w:tcBorders>
            <w:vAlign w:val="center"/>
          </w:tcPr>
          <w:p>
            <w:pPr>
              <w:spacing w:line="300" w:lineRule="exact"/>
              <w:jc w:val="center"/>
              <w:rPr>
                <w:rFonts w:ascii="宋体" w:hAnsi="宋体" w:cs="宋体"/>
                <w:color w:val="auto"/>
                <w:highlight w:val="none"/>
              </w:rPr>
            </w:pPr>
            <w:r>
              <w:rPr>
                <w:rFonts w:hint="eastAsia" w:ascii="宋体" w:hAnsi="宋体" w:cs="宋体"/>
                <w:color w:val="auto"/>
                <w:highlight w:val="none"/>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144" w:hRule="exact"/>
        </w:trPr>
        <w:tc>
          <w:tcPr>
            <w:tcW w:w="501" w:type="dxa"/>
            <w:tcBorders>
              <w:top w:val="single" w:color="auto" w:sz="4" w:space="0"/>
              <w:left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1</w:t>
            </w:r>
          </w:p>
        </w:tc>
        <w:tc>
          <w:tcPr>
            <w:tcW w:w="249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color w:val="auto"/>
                <w:szCs w:val="21"/>
                <w:highlight w:val="none"/>
              </w:rPr>
            </w:pPr>
            <w:r>
              <w:rPr>
                <w:rFonts w:hint="eastAsia" w:ascii="宋体" w:hAnsi="宋体"/>
                <w:color w:val="auto"/>
                <w:szCs w:val="21"/>
                <w:highlight w:val="none"/>
              </w:rPr>
              <w:t>兴安县水安全保障“十四五”规划报告</w:t>
            </w:r>
          </w:p>
        </w:tc>
        <w:tc>
          <w:tcPr>
            <w:tcW w:w="310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按招标文件第三章采购需求执行</w:t>
            </w:r>
          </w:p>
        </w:tc>
        <w:tc>
          <w:tcPr>
            <w:tcW w:w="202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b/>
                <w:bCs/>
                <w:color w:val="auto"/>
                <w:highlight w:val="none"/>
              </w:rPr>
            </w:pPr>
          </w:p>
        </w:tc>
        <w:tc>
          <w:tcPr>
            <w:tcW w:w="1732" w:type="dxa"/>
            <w:tcBorders>
              <w:top w:val="single" w:color="auto" w:sz="4" w:space="0"/>
              <w:bottom w:val="single" w:color="auto" w:sz="4" w:space="0"/>
            </w:tcBorders>
            <w:vAlign w:val="center"/>
          </w:tcPr>
          <w:p>
            <w:pPr>
              <w:spacing w:line="300" w:lineRule="exact"/>
              <w:jc w:val="center"/>
              <w:rPr>
                <w:rFonts w:ascii="宋体" w:hAnsi="宋体" w:cs="宋体"/>
                <w:b/>
                <w:bCs/>
                <w:color w:val="auto"/>
                <w:highlight w:val="none"/>
              </w:rPr>
            </w:pPr>
          </w:p>
        </w:tc>
      </w:tr>
    </w:tbl>
    <w:p>
      <w:pPr>
        <w:spacing w:line="400" w:lineRule="exact"/>
        <w:rPr>
          <w:rFonts w:ascii="宋体" w:hAnsi="宋体"/>
          <w:color w:val="auto"/>
          <w:szCs w:val="21"/>
          <w:highlight w:val="none"/>
        </w:rPr>
      </w:pPr>
    </w:p>
    <w:p>
      <w:pPr>
        <w:spacing w:line="400" w:lineRule="exact"/>
        <w:rPr>
          <w:rFonts w:ascii="宋体" w:hAnsi="宋体"/>
          <w:color w:val="auto"/>
          <w:szCs w:val="21"/>
          <w:highlight w:val="none"/>
          <w:u w:val="single"/>
        </w:rPr>
      </w:pPr>
      <w:r>
        <w:rPr>
          <w:rFonts w:hint="eastAsia" w:ascii="宋体" w:hAnsi="宋体"/>
          <w:color w:val="auto"/>
          <w:szCs w:val="21"/>
          <w:highlight w:val="none"/>
        </w:rPr>
        <w:t>投标人（公章）：</w:t>
      </w:r>
      <w:r>
        <w:rPr>
          <w:rFonts w:hint="eastAsia" w:ascii="宋体" w:hAnsi="宋体"/>
          <w:color w:val="auto"/>
          <w:szCs w:val="21"/>
          <w:highlight w:val="none"/>
          <w:u w:val="single"/>
        </w:rPr>
        <w:t xml:space="preserve">                                        </w:t>
      </w:r>
    </w:p>
    <w:p>
      <w:pPr>
        <w:spacing w:line="400" w:lineRule="exact"/>
        <w:rPr>
          <w:rFonts w:ascii="宋体" w:hAnsi="宋体"/>
          <w:color w:val="auto"/>
          <w:highlight w:val="none"/>
        </w:rPr>
      </w:pPr>
      <w:r>
        <w:rPr>
          <w:rFonts w:hint="eastAsia" w:hAnsi="宋体"/>
          <w:color w:val="auto"/>
          <w:highlight w:val="none"/>
        </w:rPr>
        <w:t>法定代表人或相应的委托代理人签字或盖章</w:t>
      </w:r>
      <w:r>
        <w:rPr>
          <w:rFonts w:hint="eastAsia" w:hAnsi="宋体"/>
          <w:color w:val="auto"/>
          <w:highlight w:val="none"/>
          <w:u w:val="single"/>
        </w:rPr>
        <w:t xml:space="preserve">                              </w:t>
      </w:r>
      <w:r>
        <w:rPr>
          <w:rFonts w:hint="eastAsia" w:ascii="宋体" w:hAnsi="宋体"/>
          <w:color w:val="auto"/>
          <w:highlight w:val="none"/>
        </w:rPr>
        <w:t xml:space="preserve">  </w:t>
      </w:r>
    </w:p>
    <w:p>
      <w:pPr>
        <w:tabs>
          <w:tab w:val="left" w:pos="1305"/>
        </w:tabs>
        <w:spacing w:line="400" w:lineRule="exact"/>
        <w:rPr>
          <w:rFonts w:ascii="宋体" w:hAnsi="宋体"/>
          <w:bCs/>
          <w:color w:val="auto"/>
          <w:szCs w:val="21"/>
          <w:highlight w:val="none"/>
        </w:rPr>
      </w:pPr>
      <w:r>
        <w:rPr>
          <w:rFonts w:hint="eastAsia" w:ascii="宋体" w:hAnsi="宋体"/>
          <w:bCs/>
          <w:color w:val="auto"/>
          <w:szCs w:val="21"/>
          <w:highlight w:val="none"/>
        </w:rPr>
        <w:t>注</w:t>
      </w:r>
      <w:r>
        <w:rPr>
          <w:rFonts w:hint="eastAsia" w:ascii="宋体" w:hAnsi="宋体"/>
          <w:b/>
          <w:bCs/>
          <w:color w:val="auto"/>
          <w:szCs w:val="21"/>
          <w:highlight w:val="none"/>
        </w:rPr>
        <w:t>：</w:t>
      </w:r>
      <w:r>
        <w:rPr>
          <w:rFonts w:hint="eastAsia" w:ascii="宋体" w:hAnsi="宋体"/>
          <w:bCs/>
          <w:color w:val="auto"/>
          <w:szCs w:val="21"/>
          <w:highlight w:val="none"/>
        </w:rPr>
        <w:t>1.各投标人</w:t>
      </w:r>
      <w:r>
        <w:rPr>
          <w:rFonts w:hint="eastAsia" w:ascii="宋体" w:hAnsi="宋体"/>
          <w:color w:val="auto"/>
          <w:szCs w:val="21"/>
          <w:highlight w:val="none"/>
        </w:rPr>
        <w:t>必须就内容作完整唯一报价，否则，其投标将被拒绝。投标文件只允许有一个报价。</w:t>
      </w:r>
    </w:p>
    <w:p>
      <w:pPr>
        <w:pStyle w:val="9"/>
        <w:spacing w:line="400" w:lineRule="exact"/>
        <w:ind w:firstLine="426" w:firstLineChars="200"/>
        <w:rPr>
          <w:rFonts w:hAnsi="宋体"/>
          <w:color w:val="auto"/>
          <w:highlight w:val="none"/>
        </w:rPr>
      </w:pPr>
      <w:r>
        <w:rPr>
          <w:rFonts w:hint="eastAsia" w:hAnsi="宋体"/>
          <w:color w:val="auto"/>
          <w:highlight w:val="none"/>
        </w:rPr>
        <w:t>2.投标人应根据所投内容如实填写投标报价表</w:t>
      </w:r>
      <w:r>
        <w:rPr>
          <w:rFonts w:hint="eastAsia" w:hAnsi="宋体"/>
          <w:bCs/>
          <w:color w:val="auto"/>
          <w:szCs w:val="21"/>
          <w:highlight w:val="none"/>
        </w:rPr>
        <w:t>的各项内容。</w:t>
      </w:r>
    </w:p>
    <w:p>
      <w:pPr>
        <w:pStyle w:val="9"/>
        <w:spacing w:line="360" w:lineRule="auto"/>
        <w:ind w:firstLine="426" w:firstLineChars="200"/>
        <w:rPr>
          <w:rFonts w:hAnsi="宋体"/>
          <w:b/>
          <w:color w:val="auto"/>
          <w:sz w:val="32"/>
          <w:szCs w:val="32"/>
          <w:highlight w:val="none"/>
        </w:rPr>
      </w:pPr>
      <w:r>
        <w:rPr>
          <w:rFonts w:hint="eastAsia"/>
          <w:color w:val="auto"/>
          <w:highlight w:val="none"/>
        </w:rPr>
        <w:t>3.投标报价表须由法定代表人或相应的委托代理人签字</w:t>
      </w:r>
      <w:r>
        <w:rPr>
          <w:rFonts w:hint="eastAsia" w:hAnsi="宋体"/>
          <w:color w:val="auto"/>
          <w:highlight w:val="none"/>
        </w:rPr>
        <w:t>或盖章</w:t>
      </w:r>
      <w:r>
        <w:rPr>
          <w:rFonts w:hint="eastAsia"/>
          <w:color w:val="auto"/>
          <w:highlight w:val="none"/>
        </w:rPr>
        <w:t>并加盖投标人公章。</w:t>
      </w:r>
    </w:p>
    <w:p>
      <w:pPr>
        <w:pStyle w:val="9"/>
        <w:spacing w:line="440" w:lineRule="exact"/>
        <w:ind w:firstLine="420"/>
        <w:rPr>
          <w:rFonts w:hAnsi="宋体"/>
          <w:b/>
          <w:color w:val="auto"/>
          <w:sz w:val="32"/>
          <w:szCs w:val="32"/>
          <w:highlight w:val="none"/>
        </w:rPr>
        <w:sectPr>
          <w:footerReference r:id="rId5" w:type="first"/>
          <w:footerReference r:id="rId4" w:type="default"/>
          <w:pgSz w:w="11906" w:h="16838"/>
          <w:pgMar w:top="1134" w:right="1134" w:bottom="1134" w:left="1134" w:header="720" w:footer="720" w:gutter="0"/>
          <w:cols w:space="720" w:num="1"/>
          <w:titlePg/>
          <w:docGrid w:type="linesAndChars" w:linePitch="331" w:charSpace="819"/>
        </w:sectPr>
      </w:pPr>
    </w:p>
    <w:p>
      <w:pPr>
        <w:pStyle w:val="9"/>
        <w:spacing w:line="380" w:lineRule="exact"/>
        <w:rPr>
          <w:rFonts w:hAnsi="宋体"/>
          <w:b/>
          <w:bCs/>
          <w:color w:val="auto"/>
          <w:sz w:val="32"/>
          <w:szCs w:val="32"/>
          <w:highlight w:val="none"/>
        </w:rPr>
      </w:pPr>
    </w:p>
    <w:p>
      <w:pPr>
        <w:pStyle w:val="9"/>
        <w:spacing w:line="380" w:lineRule="exact"/>
        <w:rPr>
          <w:rFonts w:hAnsi="宋体"/>
          <w:b/>
          <w:bCs/>
          <w:color w:val="auto"/>
          <w:sz w:val="32"/>
          <w:szCs w:val="32"/>
          <w:highlight w:val="none"/>
        </w:rPr>
      </w:pPr>
    </w:p>
    <w:p>
      <w:pPr>
        <w:pStyle w:val="9"/>
        <w:spacing w:line="380" w:lineRule="exact"/>
        <w:rPr>
          <w:rFonts w:hAnsi="宋体"/>
          <w:b/>
          <w:bCs/>
          <w:color w:val="auto"/>
          <w:sz w:val="32"/>
          <w:szCs w:val="32"/>
          <w:highlight w:val="none"/>
        </w:rPr>
      </w:pPr>
    </w:p>
    <w:p>
      <w:pPr>
        <w:pStyle w:val="9"/>
        <w:spacing w:line="400" w:lineRule="exact"/>
        <w:rPr>
          <w:rFonts w:hAnsi="宋体"/>
          <w:b/>
          <w:bCs/>
          <w:color w:val="auto"/>
          <w:sz w:val="32"/>
          <w:szCs w:val="32"/>
          <w:highlight w:val="none"/>
        </w:rPr>
      </w:pPr>
      <w:r>
        <w:rPr>
          <w:rFonts w:hint="eastAsia" w:hAnsi="宋体"/>
          <w:b/>
          <w:bCs/>
          <w:color w:val="auto"/>
          <w:sz w:val="32"/>
          <w:szCs w:val="32"/>
          <w:highlight w:val="none"/>
        </w:rPr>
        <w:t>10. 本项目技术方案（必须提供）</w:t>
      </w:r>
    </w:p>
    <w:p>
      <w:pPr>
        <w:pStyle w:val="9"/>
        <w:spacing w:line="400" w:lineRule="exact"/>
        <w:rPr>
          <w:rFonts w:hAnsi="宋体"/>
          <w:b/>
          <w:bCs/>
          <w:color w:val="auto"/>
          <w:sz w:val="32"/>
          <w:szCs w:val="32"/>
          <w:highlight w:val="none"/>
        </w:rPr>
      </w:pPr>
    </w:p>
    <w:p>
      <w:pPr>
        <w:pStyle w:val="9"/>
        <w:spacing w:line="400" w:lineRule="exact"/>
        <w:rPr>
          <w:rFonts w:hAnsi="宋体"/>
          <w:b/>
          <w:bCs/>
          <w:color w:val="auto"/>
          <w:sz w:val="32"/>
          <w:szCs w:val="32"/>
          <w:highlight w:val="none"/>
        </w:rPr>
      </w:pPr>
    </w:p>
    <w:p>
      <w:pPr>
        <w:pStyle w:val="9"/>
        <w:spacing w:line="400" w:lineRule="exact"/>
        <w:rPr>
          <w:rFonts w:hAnsi="宋体"/>
          <w:b/>
          <w:bCs/>
          <w:color w:val="auto"/>
          <w:sz w:val="32"/>
          <w:szCs w:val="32"/>
          <w:highlight w:val="none"/>
        </w:rPr>
      </w:pPr>
    </w:p>
    <w:p>
      <w:pPr>
        <w:rPr>
          <w:rFonts w:ascii="宋体" w:hAnsi="宋体"/>
          <w:color w:val="auto"/>
          <w:highlight w:val="none"/>
        </w:rPr>
      </w:pPr>
    </w:p>
    <w:p>
      <w:pPr>
        <w:pStyle w:val="9"/>
        <w:spacing w:line="400" w:lineRule="exact"/>
        <w:rPr>
          <w:rFonts w:hAnsi="宋体"/>
          <w:b/>
          <w:bCs/>
          <w:color w:val="auto"/>
          <w:sz w:val="32"/>
          <w:szCs w:val="32"/>
          <w:highlight w:val="none"/>
        </w:rPr>
      </w:pPr>
    </w:p>
    <w:p>
      <w:pPr>
        <w:pStyle w:val="9"/>
        <w:spacing w:line="400" w:lineRule="exact"/>
        <w:rPr>
          <w:rFonts w:hAnsi="宋体"/>
          <w:b/>
          <w:bCs/>
          <w:color w:val="auto"/>
          <w:sz w:val="32"/>
          <w:szCs w:val="32"/>
          <w:highlight w:val="none"/>
        </w:rPr>
      </w:pPr>
    </w:p>
    <w:p>
      <w:pPr>
        <w:rPr>
          <w:rFonts w:ascii="宋体" w:hAnsi="宋体"/>
          <w:color w:val="auto"/>
          <w:highlight w:val="none"/>
        </w:rPr>
      </w:pPr>
    </w:p>
    <w:p>
      <w:pPr>
        <w:pStyle w:val="9"/>
        <w:spacing w:line="400" w:lineRule="exact"/>
        <w:rPr>
          <w:rFonts w:hAnsi="宋体"/>
          <w:b/>
          <w:bCs/>
          <w:color w:val="auto"/>
          <w:sz w:val="32"/>
          <w:szCs w:val="32"/>
          <w:highlight w:val="none"/>
        </w:rPr>
      </w:pPr>
      <w:r>
        <w:rPr>
          <w:rFonts w:hint="eastAsia" w:hAnsi="宋体"/>
          <w:b/>
          <w:bCs/>
          <w:color w:val="auto"/>
          <w:sz w:val="32"/>
          <w:szCs w:val="32"/>
          <w:highlight w:val="none"/>
        </w:rPr>
        <w:t>11. 投标人项目质量保证措施及服务承诺（必须提供）</w:t>
      </w:r>
    </w:p>
    <w:p>
      <w:pPr>
        <w:pStyle w:val="9"/>
        <w:ind w:firstLine="472" w:firstLineChars="147"/>
        <w:rPr>
          <w:rFonts w:hAnsi="宋体"/>
          <w:b/>
          <w:color w:val="auto"/>
          <w:sz w:val="32"/>
          <w:szCs w:val="32"/>
          <w:highlight w:val="none"/>
        </w:rPr>
      </w:pPr>
      <w:r>
        <w:rPr>
          <w:rFonts w:hint="eastAsia" w:hAnsi="宋体"/>
          <w:b/>
          <w:bCs/>
          <w:color w:val="auto"/>
          <w:sz w:val="32"/>
          <w:szCs w:val="32"/>
          <w:highlight w:val="none"/>
        </w:rPr>
        <w:t>附</w:t>
      </w:r>
      <w:r>
        <w:rPr>
          <w:rFonts w:hint="eastAsia" w:hAnsi="宋体"/>
          <w:b/>
          <w:color w:val="auto"/>
          <w:sz w:val="32"/>
          <w:szCs w:val="32"/>
          <w:highlight w:val="none"/>
        </w:rPr>
        <w:t>件：</w:t>
      </w:r>
    </w:p>
    <w:p>
      <w:pPr>
        <w:pStyle w:val="9"/>
        <w:ind w:firstLine="472" w:firstLineChars="147"/>
        <w:jc w:val="center"/>
        <w:rPr>
          <w:rFonts w:hAnsi="宋体"/>
          <w:b/>
          <w:bCs/>
          <w:color w:val="auto"/>
          <w:sz w:val="32"/>
          <w:highlight w:val="none"/>
        </w:rPr>
      </w:pPr>
      <w:r>
        <w:rPr>
          <w:rFonts w:hint="eastAsia" w:hAnsi="宋体"/>
          <w:b/>
          <w:bCs/>
          <w:color w:val="auto"/>
          <w:sz w:val="32"/>
          <w:szCs w:val="32"/>
          <w:highlight w:val="none"/>
        </w:rPr>
        <w:t>服务承诺书</w:t>
      </w:r>
      <w:r>
        <w:rPr>
          <w:rFonts w:hint="eastAsia" w:hAnsi="宋体"/>
          <w:b/>
          <w:bCs/>
          <w:color w:val="auto"/>
          <w:sz w:val="32"/>
          <w:highlight w:val="none"/>
        </w:rPr>
        <w:t>（格式）</w:t>
      </w:r>
    </w:p>
    <w:p>
      <w:pPr>
        <w:pStyle w:val="9"/>
        <w:spacing w:line="400" w:lineRule="exact"/>
        <w:ind w:firstLine="3520" w:firstLineChars="1100"/>
        <w:rPr>
          <w:rFonts w:hAnsi="宋体"/>
          <w:color w:val="auto"/>
          <w:sz w:val="32"/>
          <w:szCs w:val="32"/>
          <w:highlight w:val="none"/>
        </w:rPr>
      </w:pPr>
    </w:p>
    <w:p>
      <w:pPr>
        <w:pStyle w:val="9"/>
        <w:spacing w:line="400" w:lineRule="exact"/>
        <w:rPr>
          <w:rFonts w:hAnsi="宋体"/>
          <w:color w:val="auto"/>
          <w:sz w:val="32"/>
          <w:szCs w:val="32"/>
          <w:highlight w:val="none"/>
        </w:rPr>
      </w:pPr>
    </w:p>
    <w:p>
      <w:pPr>
        <w:pStyle w:val="9"/>
        <w:spacing w:line="400" w:lineRule="exact"/>
        <w:rPr>
          <w:rFonts w:hAnsi="宋体"/>
          <w:color w:val="auto"/>
          <w:sz w:val="32"/>
          <w:szCs w:val="32"/>
          <w:highlight w:val="none"/>
        </w:rPr>
      </w:pPr>
    </w:p>
    <w:p>
      <w:pPr>
        <w:pStyle w:val="9"/>
        <w:spacing w:line="400" w:lineRule="exact"/>
        <w:rPr>
          <w:rFonts w:hAnsi="宋体"/>
          <w:color w:val="auto"/>
          <w:sz w:val="32"/>
          <w:szCs w:val="32"/>
          <w:highlight w:val="none"/>
        </w:rPr>
      </w:pPr>
    </w:p>
    <w:p>
      <w:pPr>
        <w:pStyle w:val="9"/>
        <w:spacing w:line="400" w:lineRule="exact"/>
        <w:rPr>
          <w:rFonts w:hAnsi="宋体"/>
          <w:color w:val="auto"/>
          <w:sz w:val="32"/>
          <w:szCs w:val="32"/>
          <w:highlight w:val="none"/>
        </w:rPr>
      </w:pPr>
    </w:p>
    <w:p>
      <w:pPr>
        <w:pStyle w:val="9"/>
        <w:spacing w:line="400" w:lineRule="exact"/>
        <w:rPr>
          <w:rFonts w:hAnsi="宋体"/>
          <w:color w:val="auto"/>
          <w:sz w:val="32"/>
          <w:szCs w:val="32"/>
          <w:highlight w:val="none"/>
        </w:rPr>
      </w:pPr>
    </w:p>
    <w:p>
      <w:pPr>
        <w:pStyle w:val="9"/>
        <w:spacing w:line="400" w:lineRule="exact"/>
        <w:ind w:left="1680" w:leftChars="800"/>
        <w:rPr>
          <w:color w:val="auto"/>
          <w:highlight w:val="none"/>
        </w:rPr>
      </w:pPr>
      <w:r>
        <w:rPr>
          <w:rFonts w:hint="eastAsia"/>
          <w:color w:val="auto"/>
          <w:highlight w:val="none"/>
        </w:rPr>
        <w:t>投标人（公章，自然人除外）：</w:t>
      </w:r>
      <w:r>
        <w:rPr>
          <w:rFonts w:hint="eastAsia"/>
          <w:color w:val="auto"/>
          <w:highlight w:val="none"/>
          <w:u w:val="single"/>
        </w:rPr>
        <w:t xml:space="preserve">                                         </w:t>
      </w:r>
    </w:p>
    <w:p>
      <w:pPr>
        <w:rPr>
          <w:color w:val="auto"/>
          <w:highlight w:val="none"/>
        </w:rPr>
      </w:pPr>
    </w:p>
    <w:p>
      <w:pPr>
        <w:pStyle w:val="9"/>
        <w:spacing w:line="400" w:lineRule="exact"/>
        <w:ind w:left="1680" w:leftChars="800"/>
        <w:rPr>
          <w:rFonts w:hAnsi="宋体"/>
          <w:color w:val="auto"/>
          <w:highlight w:val="none"/>
          <w:u w:val="single"/>
        </w:rPr>
      </w:pPr>
      <w:r>
        <w:rPr>
          <w:rFonts w:hint="eastAsia" w:hAnsi="宋体"/>
          <w:color w:val="auto"/>
          <w:highlight w:val="none"/>
        </w:rPr>
        <w:t>法定代表人、负责人、自然人或相应的委托代理人签字或盖章（属自然人的应在签名处加盖食指指印）：</w:t>
      </w:r>
      <w:r>
        <w:rPr>
          <w:rFonts w:hint="eastAsia" w:hAnsi="宋体"/>
          <w:color w:val="auto"/>
          <w:szCs w:val="21"/>
          <w:highlight w:val="none"/>
          <w:u w:val="single"/>
        </w:rPr>
        <w:t xml:space="preserve">                                               </w:t>
      </w:r>
    </w:p>
    <w:p>
      <w:pPr>
        <w:spacing w:line="380" w:lineRule="exact"/>
        <w:rPr>
          <w:rFonts w:ascii="宋体" w:hAnsi="宋体"/>
          <w:b/>
          <w:color w:val="auto"/>
          <w:sz w:val="32"/>
          <w:szCs w:val="32"/>
          <w:highlight w:val="none"/>
        </w:rPr>
      </w:pPr>
    </w:p>
    <w:p>
      <w:pPr>
        <w:spacing w:line="380" w:lineRule="exact"/>
        <w:rPr>
          <w:rFonts w:ascii="宋体" w:hAnsi="宋体"/>
          <w:b/>
          <w:color w:val="auto"/>
          <w:sz w:val="32"/>
          <w:szCs w:val="32"/>
          <w:highlight w:val="none"/>
        </w:rPr>
      </w:pPr>
    </w:p>
    <w:p>
      <w:pPr>
        <w:spacing w:line="380" w:lineRule="exact"/>
        <w:rPr>
          <w:rFonts w:ascii="宋体" w:hAnsi="宋体"/>
          <w:b/>
          <w:color w:val="auto"/>
          <w:sz w:val="32"/>
          <w:szCs w:val="32"/>
          <w:highlight w:val="none"/>
        </w:rPr>
      </w:pPr>
    </w:p>
    <w:p>
      <w:pPr>
        <w:spacing w:line="380" w:lineRule="exact"/>
        <w:rPr>
          <w:rFonts w:ascii="宋体" w:hAnsi="宋体"/>
          <w:b/>
          <w:color w:val="auto"/>
          <w:sz w:val="32"/>
          <w:szCs w:val="32"/>
          <w:highlight w:val="none"/>
        </w:rPr>
      </w:pPr>
    </w:p>
    <w:p>
      <w:pPr>
        <w:spacing w:line="380" w:lineRule="exact"/>
        <w:rPr>
          <w:rFonts w:ascii="宋体" w:hAnsi="宋体"/>
          <w:b/>
          <w:color w:val="auto"/>
          <w:sz w:val="32"/>
          <w:szCs w:val="32"/>
          <w:highlight w:val="none"/>
        </w:rPr>
      </w:pPr>
    </w:p>
    <w:p>
      <w:pPr>
        <w:spacing w:line="380" w:lineRule="exact"/>
        <w:rPr>
          <w:rFonts w:ascii="宋体" w:hAnsi="宋体"/>
          <w:b/>
          <w:color w:val="auto"/>
          <w:sz w:val="32"/>
          <w:szCs w:val="32"/>
          <w:highlight w:val="none"/>
        </w:rPr>
      </w:pPr>
    </w:p>
    <w:p>
      <w:pPr>
        <w:spacing w:line="380" w:lineRule="exact"/>
        <w:rPr>
          <w:rFonts w:ascii="宋体" w:hAnsi="宋体"/>
          <w:b/>
          <w:color w:val="auto"/>
          <w:sz w:val="32"/>
          <w:szCs w:val="32"/>
          <w:highlight w:val="none"/>
        </w:rPr>
      </w:pPr>
    </w:p>
    <w:p>
      <w:pPr>
        <w:spacing w:line="380" w:lineRule="exact"/>
        <w:rPr>
          <w:rFonts w:ascii="宋体" w:hAnsi="宋体"/>
          <w:b/>
          <w:color w:val="auto"/>
          <w:sz w:val="32"/>
          <w:szCs w:val="32"/>
          <w:highlight w:val="none"/>
        </w:rPr>
      </w:pPr>
    </w:p>
    <w:p>
      <w:pPr>
        <w:spacing w:line="380" w:lineRule="exact"/>
        <w:rPr>
          <w:rFonts w:ascii="宋体" w:hAnsi="宋体"/>
          <w:b/>
          <w:color w:val="auto"/>
          <w:sz w:val="32"/>
          <w:szCs w:val="32"/>
          <w:highlight w:val="none"/>
        </w:rPr>
      </w:pPr>
    </w:p>
    <w:p>
      <w:pPr>
        <w:spacing w:line="380" w:lineRule="exact"/>
        <w:rPr>
          <w:rFonts w:ascii="宋体" w:hAnsi="宋体"/>
          <w:b/>
          <w:color w:val="auto"/>
          <w:sz w:val="32"/>
          <w:szCs w:val="32"/>
          <w:highlight w:val="none"/>
        </w:rPr>
      </w:pPr>
    </w:p>
    <w:p>
      <w:pPr>
        <w:rPr>
          <w:rFonts w:ascii="宋体" w:hAnsi="宋体"/>
          <w:b/>
          <w:bCs/>
          <w:color w:val="auto"/>
          <w:sz w:val="32"/>
          <w:szCs w:val="32"/>
          <w:highlight w:val="none"/>
        </w:rPr>
      </w:pPr>
    </w:p>
    <w:p>
      <w:pPr>
        <w:ind w:firstLine="321" w:firstLineChars="100"/>
        <w:rPr>
          <w:rFonts w:ascii="宋体" w:hAnsi="宋体"/>
          <w:b/>
          <w:bCs/>
          <w:color w:val="auto"/>
          <w:sz w:val="32"/>
          <w:szCs w:val="32"/>
          <w:highlight w:val="none"/>
        </w:rPr>
      </w:pPr>
      <w:r>
        <w:rPr>
          <w:rFonts w:hint="eastAsia" w:ascii="宋体" w:hAnsi="宋体"/>
          <w:b/>
          <w:bCs/>
          <w:color w:val="auto"/>
          <w:sz w:val="32"/>
          <w:szCs w:val="32"/>
          <w:highlight w:val="none"/>
        </w:rPr>
        <w:t>12.投标人完成同类项目业绩的相关证明材料（如有，请提供）</w:t>
      </w:r>
    </w:p>
    <w:p>
      <w:pPr>
        <w:rPr>
          <w:rFonts w:ascii="宋体" w:hAnsi="宋体"/>
          <w:b/>
          <w:bCs/>
          <w:color w:val="auto"/>
          <w:sz w:val="32"/>
          <w:szCs w:val="32"/>
          <w:highlight w:val="none"/>
        </w:rPr>
      </w:pPr>
    </w:p>
    <w:p>
      <w:pPr>
        <w:rPr>
          <w:rFonts w:ascii="宋体" w:hAnsi="宋体"/>
          <w:b/>
          <w:bCs/>
          <w:color w:val="auto"/>
          <w:sz w:val="32"/>
          <w:szCs w:val="32"/>
          <w:highlight w:val="none"/>
        </w:rPr>
      </w:pPr>
    </w:p>
    <w:p>
      <w:pPr>
        <w:rPr>
          <w:rFonts w:ascii="宋体" w:hAnsi="宋体"/>
          <w:b/>
          <w:bCs/>
          <w:color w:val="auto"/>
          <w:sz w:val="32"/>
          <w:szCs w:val="32"/>
          <w:highlight w:val="none"/>
        </w:rPr>
      </w:pPr>
    </w:p>
    <w:p>
      <w:pPr>
        <w:rPr>
          <w:rFonts w:ascii="宋体" w:hAnsi="宋体"/>
          <w:b/>
          <w:bCs/>
          <w:color w:val="auto"/>
          <w:sz w:val="32"/>
          <w:szCs w:val="32"/>
          <w:highlight w:val="none"/>
        </w:rPr>
      </w:pPr>
    </w:p>
    <w:p>
      <w:pPr>
        <w:rPr>
          <w:rFonts w:ascii="宋体" w:hAnsi="宋体"/>
          <w:b/>
          <w:bCs/>
          <w:color w:val="auto"/>
          <w:sz w:val="32"/>
          <w:szCs w:val="32"/>
          <w:highlight w:val="none"/>
        </w:rPr>
      </w:pPr>
    </w:p>
    <w:p>
      <w:pPr>
        <w:ind w:firstLine="321" w:firstLineChars="100"/>
        <w:rPr>
          <w:rFonts w:ascii="宋体" w:hAnsi="宋体"/>
          <w:b/>
          <w:bCs/>
          <w:color w:val="auto"/>
          <w:sz w:val="32"/>
          <w:szCs w:val="32"/>
          <w:highlight w:val="none"/>
        </w:rPr>
      </w:pPr>
      <w:r>
        <w:rPr>
          <w:rFonts w:hint="eastAsia" w:ascii="宋体" w:hAnsi="宋体"/>
          <w:b/>
          <w:bCs/>
          <w:color w:val="auto"/>
          <w:sz w:val="32"/>
          <w:szCs w:val="32"/>
          <w:highlight w:val="none"/>
        </w:rPr>
        <w:t>13.投标人相关获奖证书、认证证书等（如有，请提供）</w:t>
      </w:r>
    </w:p>
    <w:p>
      <w:pPr>
        <w:pStyle w:val="31"/>
        <w:ind w:firstLine="0" w:firstLineChars="0"/>
        <w:rPr>
          <w:color w:val="auto"/>
          <w:highlight w:val="none"/>
        </w:rPr>
      </w:pPr>
    </w:p>
    <w:p>
      <w:pPr>
        <w:pStyle w:val="31"/>
        <w:ind w:firstLine="0" w:firstLineChars="0"/>
        <w:rPr>
          <w:color w:val="auto"/>
          <w:highlight w:val="none"/>
        </w:rPr>
      </w:pPr>
    </w:p>
    <w:p>
      <w:pPr>
        <w:pStyle w:val="31"/>
        <w:ind w:firstLine="0" w:firstLineChars="0"/>
        <w:rPr>
          <w:color w:val="auto"/>
          <w:highlight w:val="none"/>
        </w:rPr>
      </w:pPr>
    </w:p>
    <w:p>
      <w:pPr>
        <w:pStyle w:val="31"/>
        <w:ind w:firstLine="0" w:firstLineChars="0"/>
        <w:rPr>
          <w:color w:val="auto"/>
          <w:highlight w:val="none"/>
        </w:rPr>
      </w:pPr>
    </w:p>
    <w:p>
      <w:pPr>
        <w:pStyle w:val="31"/>
        <w:ind w:firstLine="0" w:firstLineChars="0"/>
        <w:rPr>
          <w:color w:val="auto"/>
          <w:highlight w:val="none"/>
        </w:rPr>
      </w:pPr>
    </w:p>
    <w:p>
      <w:pPr>
        <w:pStyle w:val="31"/>
        <w:ind w:firstLine="0" w:firstLineChars="0"/>
        <w:rPr>
          <w:color w:val="auto"/>
          <w:highlight w:val="none"/>
        </w:rPr>
      </w:pPr>
    </w:p>
    <w:p>
      <w:pPr>
        <w:pStyle w:val="31"/>
        <w:ind w:firstLine="0" w:firstLineChars="0"/>
        <w:rPr>
          <w:color w:val="auto"/>
          <w:highlight w:val="none"/>
        </w:rPr>
      </w:pPr>
    </w:p>
    <w:p>
      <w:pPr>
        <w:pStyle w:val="31"/>
        <w:ind w:firstLine="0" w:firstLineChars="0"/>
        <w:rPr>
          <w:color w:val="auto"/>
          <w:highlight w:val="none"/>
        </w:rPr>
      </w:pPr>
    </w:p>
    <w:p>
      <w:pPr>
        <w:pStyle w:val="31"/>
        <w:ind w:firstLine="0" w:firstLineChars="0"/>
        <w:rPr>
          <w:color w:val="auto"/>
          <w:highlight w:val="none"/>
        </w:rPr>
      </w:pPr>
    </w:p>
    <w:p>
      <w:pPr>
        <w:pStyle w:val="31"/>
        <w:ind w:firstLine="0" w:firstLineChars="0"/>
        <w:rPr>
          <w:color w:val="auto"/>
          <w:highlight w:val="none"/>
        </w:rPr>
      </w:pPr>
    </w:p>
    <w:p>
      <w:pPr>
        <w:pStyle w:val="31"/>
        <w:ind w:firstLine="0" w:firstLineChars="0"/>
        <w:rPr>
          <w:color w:val="auto"/>
          <w:highlight w:val="none"/>
        </w:rPr>
      </w:pPr>
    </w:p>
    <w:p>
      <w:pPr>
        <w:ind w:firstLine="321" w:firstLineChars="100"/>
        <w:rPr>
          <w:rFonts w:ascii="宋体" w:hAnsi="宋体"/>
          <w:b/>
          <w:bCs/>
          <w:color w:val="auto"/>
          <w:sz w:val="32"/>
          <w:szCs w:val="32"/>
          <w:highlight w:val="none"/>
        </w:rPr>
      </w:pPr>
      <w:r>
        <w:rPr>
          <w:rFonts w:hint="eastAsia" w:ascii="宋体" w:hAnsi="宋体"/>
          <w:b/>
          <w:bCs/>
          <w:color w:val="auto"/>
          <w:sz w:val="32"/>
          <w:szCs w:val="32"/>
          <w:highlight w:val="none"/>
        </w:rPr>
        <w:t>14.投标人可结合本项目的评标办法视自身情况自行提交相关证明材料</w:t>
      </w:r>
    </w:p>
    <w:p>
      <w:pPr>
        <w:spacing w:line="380" w:lineRule="exact"/>
        <w:rPr>
          <w:rFonts w:ascii="宋体" w:hAnsi="宋体"/>
          <w:b/>
          <w:bCs/>
          <w:color w:val="auto"/>
          <w:sz w:val="32"/>
          <w:szCs w:val="32"/>
          <w:highlight w:val="none"/>
        </w:rPr>
      </w:pPr>
    </w:p>
    <w:p>
      <w:pPr>
        <w:spacing w:line="360" w:lineRule="auto"/>
        <w:rPr>
          <w:color w:val="auto"/>
          <w:highlight w:val="none"/>
        </w:rPr>
      </w:pPr>
    </w:p>
    <w:sectPr>
      <w:pgSz w:w="11906" w:h="16838"/>
      <w:pgMar w:top="1134" w:right="1134" w:bottom="1134"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华文新魏">
    <w:altName w:val="宋体"/>
    <w:panose1 w:val="02010800040101010101"/>
    <w:charset w:val="86"/>
    <w:family w:val="auto"/>
    <w:pitch w:val="default"/>
    <w:sig w:usb0="00000000" w:usb1="00000000" w:usb2="00000010" w:usb3="00000000" w:csb0="00040000"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3690445"/>
    </w:sdtPr>
    <w:sdtContent>
      <w:p>
        <w:pPr>
          <w:pStyle w:val="11"/>
          <w:jc w:val="center"/>
        </w:pPr>
        <w:r>
          <w:fldChar w:fldCharType="begin"/>
        </w:r>
        <w:r>
          <w:instrText xml:space="preserve"> PAGE   \* MERGEFORMAT </w:instrText>
        </w:r>
        <w:r>
          <w:fldChar w:fldCharType="separate"/>
        </w:r>
        <w:r>
          <w:rPr>
            <w:lang w:val="zh-CN"/>
          </w:rPr>
          <w:t>3</w:t>
        </w:r>
        <w:r>
          <w:rPr>
            <w:lang w:val="zh-CN"/>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framePr w:wrap="around" w:vAnchor="text" w:hAnchor="margin" w:xAlign="right" w:y="1"/>
      <w:rPr>
        <w:rStyle w:val="16"/>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11"/>
                            <w:jc w:val="center"/>
                            <w:rPr>
                              <w:rStyle w:val="16"/>
                            </w:rPr>
                          </w:pPr>
                          <w:r>
                            <w:fldChar w:fldCharType="begin"/>
                          </w:r>
                          <w:r>
                            <w:rPr>
                              <w:rStyle w:val="16"/>
                            </w:rPr>
                            <w:instrText xml:space="preserve">PAGE  </w:instrText>
                          </w:r>
                          <w:r>
                            <w:fldChar w:fldCharType="separate"/>
                          </w:r>
                          <w:r>
                            <w:rPr>
                              <w:rStyle w:val="16"/>
                            </w:rPr>
                            <w:t>22</w:t>
                          </w:r>
                          <w:r>
                            <w:fldChar w:fldCharType="end"/>
                          </w:r>
                        </w:p>
                        <w:p>
                          <w:pPr>
                            <w:pStyle w:val="11"/>
                            <w:rPr>
                              <w:rStyle w:val="16"/>
                            </w:rPr>
                          </w:pPr>
                        </w:p>
                      </w:txbxContent>
                    </wps:txbx>
                    <wps:bodyPr wrap="none" lIns="0" tIns="0" rIns="0" bIns="0" upright="1">
                      <a:spAutoFit/>
                    </wps:bodyPr>
                  </wps:wsp>
                </a:graphicData>
              </a:graphic>
            </wp:anchor>
          </w:drawing>
        </mc:Choice>
        <mc:Fallback>
          <w:pict>
            <v:shape id="文本框 8"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zql5uc8AAAAF&#10;AQAADwAAAAAAAAABACAAAAAiAAAAZHJzL2Rvd25yZXYueG1sUEsBAhQAFAAAAAgAh07iQGyzRz+z&#10;AQAAWQMAAA4AAAAAAAAAAQAgAAAAHgEAAGRycy9lMm9Eb2MueG1sUEsFBgAAAAAGAAYAWQEAAEMF&#10;AAAAAA==&#10;">
              <v:fill on="f" focussize="0,0"/>
              <v:stroke on="f"/>
              <v:imagedata o:title=""/>
              <o:lock v:ext="edit" aspectratio="f"/>
              <v:textbox inset="0mm,0mm,0mm,0mm" style="mso-fit-shape-to-text:t;">
                <w:txbxContent>
                  <w:p>
                    <w:pPr>
                      <w:pStyle w:val="11"/>
                      <w:jc w:val="center"/>
                      <w:rPr>
                        <w:rStyle w:val="16"/>
                      </w:rPr>
                    </w:pPr>
                    <w:r>
                      <w:fldChar w:fldCharType="begin"/>
                    </w:r>
                    <w:r>
                      <w:rPr>
                        <w:rStyle w:val="16"/>
                      </w:rPr>
                      <w:instrText xml:space="preserve">PAGE  </w:instrText>
                    </w:r>
                    <w:r>
                      <w:fldChar w:fldCharType="separate"/>
                    </w:r>
                    <w:r>
                      <w:rPr>
                        <w:rStyle w:val="16"/>
                      </w:rPr>
                      <w:t>22</w:t>
                    </w:r>
                    <w:r>
                      <w:fldChar w:fldCharType="end"/>
                    </w:r>
                  </w:p>
                  <w:p>
                    <w:pPr>
                      <w:pStyle w:val="11"/>
                      <w:rPr>
                        <w:rStyle w:val="16"/>
                      </w:rPr>
                    </w:pPr>
                  </w:p>
                </w:txbxContent>
              </v:textbox>
            </v:shape>
          </w:pict>
        </mc:Fallback>
      </mc:AlternateContent>
    </w:r>
  </w:p>
  <w:p>
    <w:pPr>
      <w:pStyle w:val="1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11"/>
                          </w:pPr>
                          <w:r>
                            <w:fldChar w:fldCharType="begin"/>
                          </w:r>
                          <w:r>
                            <w:instrText xml:space="preserve"> PAGE  \* MERGEFORMAT </w:instrText>
                          </w:r>
                          <w:r>
                            <w:fldChar w:fldCharType="separate"/>
                          </w:r>
                          <w:r>
                            <w:t>10</w:t>
                          </w:r>
                          <w:r>
                            <w:fldChar w:fldCharType="end"/>
                          </w:r>
                        </w:p>
                      </w:txbxContent>
                    </wps:txbx>
                    <wps:bodyPr wrap="none" lIns="0" tIns="0" rIns="0" bIns="0" upright="1">
                      <a:spAutoFit/>
                    </wps:bodyPr>
                  </wps:wsp>
                </a:graphicData>
              </a:graphic>
            </wp:anchor>
          </w:drawing>
        </mc:Choice>
        <mc:Fallback>
          <w:pict>
            <v:shape id="文本框 9"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DOqXm5zwAAAAUB&#10;AAAPAAAAAAAAAAEAIAAAACIAAABkcnMvZG93bnJldi54bWxQSwECFAAUAAAACACHTuJAZnoPgrIB&#10;AABZAwAADgAAAAAAAAABACAAAAAeAQAAZHJzL2Uyb0RvYy54bWxQSwUGAAAAAAYABgBZAQAAQgUA&#10;AAAA&#10;">
              <v:fill on="f" focussize="0,0"/>
              <v:stroke on="f"/>
              <v:imagedata o:title=""/>
              <o:lock v:ext="edit" aspectratio="f"/>
              <v:textbox inset="0mm,0mm,0mm,0mm" style="mso-fit-shape-to-text:t;">
                <w:txbxContent>
                  <w:p>
                    <w:pPr>
                      <w:pStyle w:val="11"/>
                    </w:pPr>
                    <w:r>
                      <w:fldChar w:fldCharType="begin"/>
                    </w:r>
                    <w:r>
                      <w:instrText xml:space="preserve"> PAGE  \* MERGEFORMAT </w:instrText>
                    </w:r>
                    <w:r>
                      <w:fldChar w:fldCharType="separate"/>
                    </w:r>
                    <w:r>
                      <w:t>10</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E615E"/>
    <w:multiLevelType w:val="multilevel"/>
    <w:tmpl w:val="00DE615E"/>
    <w:lvl w:ilvl="0" w:tentative="0">
      <w:start w:val="1"/>
      <w:numFmt w:val="decimalEnclosedParen"/>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
    <w:nsid w:val="5A3885F6"/>
    <w:multiLevelType w:val="singleLevel"/>
    <w:tmpl w:val="5A3885F6"/>
    <w:lvl w:ilvl="0" w:tentative="0">
      <w:start w:val="1"/>
      <w:numFmt w:val="decimal"/>
      <w:suff w:val="space"/>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5D1B"/>
    <w:rsid w:val="00004348"/>
    <w:rsid w:val="00005623"/>
    <w:rsid w:val="00012D2B"/>
    <w:rsid w:val="00034DA4"/>
    <w:rsid w:val="0007294B"/>
    <w:rsid w:val="000A4050"/>
    <w:rsid w:val="000F56ED"/>
    <w:rsid w:val="000F57B7"/>
    <w:rsid w:val="00101D4A"/>
    <w:rsid w:val="001145CF"/>
    <w:rsid w:val="0012580D"/>
    <w:rsid w:val="00135DF4"/>
    <w:rsid w:val="00150B0D"/>
    <w:rsid w:val="00151A02"/>
    <w:rsid w:val="001A12BF"/>
    <w:rsid w:val="001E6B06"/>
    <w:rsid w:val="001F2270"/>
    <w:rsid w:val="00200C3A"/>
    <w:rsid w:val="002031EF"/>
    <w:rsid w:val="00217462"/>
    <w:rsid w:val="00265E30"/>
    <w:rsid w:val="00280134"/>
    <w:rsid w:val="00287BEE"/>
    <w:rsid w:val="002D2493"/>
    <w:rsid w:val="003000E1"/>
    <w:rsid w:val="003608C7"/>
    <w:rsid w:val="00365C3F"/>
    <w:rsid w:val="003831EB"/>
    <w:rsid w:val="00390AA6"/>
    <w:rsid w:val="003D2539"/>
    <w:rsid w:val="003D3648"/>
    <w:rsid w:val="003D6F2F"/>
    <w:rsid w:val="003F4C4E"/>
    <w:rsid w:val="003F752B"/>
    <w:rsid w:val="00401E71"/>
    <w:rsid w:val="00425E7A"/>
    <w:rsid w:val="00434B8C"/>
    <w:rsid w:val="00444924"/>
    <w:rsid w:val="004B40DB"/>
    <w:rsid w:val="004C452B"/>
    <w:rsid w:val="004F0A13"/>
    <w:rsid w:val="00511E45"/>
    <w:rsid w:val="00522CE4"/>
    <w:rsid w:val="005404A1"/>
    <w:rsid w:val="00575719"/>
    <w:rsid w:val="005B2A55"/>
    <w:rsid w:val="005E66CD"/>
    <w:rsid w:val="005E6BEF"/>
    <w:rsid w:val="005F052E"/>
    <w:rsid w:val="005F6959"/>
    <w:rsid w:val="006319BB"/>
    <w:rsid w:val="00670054"/>
    <w:rsid w:val="00670A3D"/>
    <w:rsid w:val="006764DC"/>
    <w:rsid w:val="00676EC6"/>
    <w:rsid w:val="006807A3"/>
    <w:rsid w:val="006B3C11"/>
    <w:rsid w:val="006C3565"/>
    <w:rsid w:val="006C3C4A"/>
    <w:rsid w:val="006C7DC4"/>
    <w:rsid w:val="006D2551"/>
    <w:rsid w:val="006E02DB"/>
    <w:rsid w:val="006F5055"/>
    <w:rsid w:val="00716849"/>
    <w:rsid w:val="00717FC6"/>
    <w:rsid w:val="0072590C"/>
    <w:rsid w:val="0073440A"/>
    <w:rsid w:val="00760D39"/>
    <w:rsid w:val="00762D29"/>
    <w:rsid w:val="00767A59"/>
    <w:rsid w:val="00775AD4"/>
    <w:rsid w:val="00787C60"/>
    <w:rsid w:val="00795D1B"/>
    <w:rsid w:val="007B6CFF"/>
    <w:rsid w:val="007D43B0"/>
    <w:rsid w:val="007E2E72"/>
    <w:rsid w:val="007F73BE"/>
    <w:rsid w:val="00822ABE"/>
    <w:rsid w:val="00823D24"/>
    <w:rsid w:val="008642B0"/>
    <w:rsid w:val="0087519E"/>
    <w:rsid w:val="008A066B"/>
    <w:rsid w:val="008C646B"/>
    <w:rsid w:val="008E2B85"/>
    <w:rsid w:val="00906D68"/>
    <w:rsid w:val="00952CAD"/>
    <w:rsid w:val="00973D51"/>
    <w:rsid w:val="0099317F"/>
    <w:rsid w:val="009A3641"/>
    <w:rsid w:val="009C4606"/>
    <w:rsid w:val="009D43DC"/>
    <w:rsid w:val="009F28A0"/>
    <w:rsid w:val="009F3B99"/>
    <w:rsid w:val="009F71A5"/>
    <w:rsid w:val="00A23A0E"/>
    <w:rsid w:val="00A35BDF"/>
    <w:rsid w:val="00A36D1B"/>
    <w:rsid w:val="00A7702F"/>
    <w:rsid w:val="00A86B68"/>
    <w:rsid w:val="00AC5849"/>
    <w:rsid w:val="00B074DC"/>
    <w:rsid w:val="00B20418"/>
    <w:rsid w:val="00B57C3D"/>
    <w:rsid w:val="00B71D57"/>
    <w:rsid w:val="00B75E62"/>
    <w:rsid w:val="00B85059"/>
    <w:rsid w:val="00B96969"/>
    <w:rsid w:val="00BC3FFE"/>
    <w:rsid w:val="00BE26C8"/>
    <w:rsid w:val="00C12E93"/>
    <w:rsid w:val="00C1629A"/>
    <w:rsid w:val="00C33B7C"/>
    <w:rsid w:val="00C476D0"/>
    <w:rsid w:val="00C74141"/>
    <w:rsid w:val="00CA5F00"/>
    <w:rsid w:val="00D1374C"/>
    <w:rsid w:val="00D2471C"/>
    <w:rsid w:val="00D25888"/>
    <w:rsid w:val="00D426CA"/>
    <w:rsid w:val="00D533E4"/>
    <w:rsid w:val="00D61C94"/>
    <w:rsid w:val="00D669EC"/>
    <w:rsid w:val="00D74849"/>
    <w:rsid w:val="00D97EC2"/>
    <w:rsid w:val="00DA17DF"/>
    <w:rsid w:val="00DB669E"/>
    <w:rsid w:val="00DC1135"/>
    <w:rsid w:val="00DC7860"/>
    <w:rsid w:val="00DC7C93"/>
    <w:rsid w:val="00DF4C99"/>
    <w:rsid w:val="00E20BAF"/>
    <w:rsid w:val="00E34003"/>
    <w:rsid w:val="00E86A83"/>
    <w:rsid w:val="00E92BC5"/>
    <w:rsid w:val="00EA12BE"/>
    <w:rsid w:val="00EC2D9C"/>
    <w:rsid w:val="00EE22D3"/>
    <w:rsid w:val="00EE4F89"/>
    <w:rsid w:val="00F341BC"/>
    <w:rsid w:val="00F342C8"/>
    <w:rsid w:val="00F855BB"/>
    <w:rsid w:val="00FC5814"/>
    <w:rsid w:val="01026408"/>
    <w:rsid w:val="057F10EC"/>
    <w:rsid w:val="05B0323E"/>
    <w:rsid w:val="07273C4F"/>
    <w:rsid w:val="0789252D"/>
    <w:rsid w:val="095806E6"/>
    <w:rsid w:val="0AAA7421"/>
    <w:rsid w:val="0CA847FC"/>
    <w:rsid w:val="0E367950"/>
    <w:rsid w:val="0E973951"/>
    <w:rsid w:val="0F4B5B6A"/>
    <w:rsid w:val="102C0BF3"/>
    <w:rsid w:val="10DB5E19"/>
    <w:rsid w:val="11054E57"/>
    <w:rsid w:val="11812954"/>
    <w:rsid w:val="120A5640"/>
    <w:rsid w:val="13A5588F"/>
    <w:rsid w:val="141A7896"/>
    <w:rsid w:val="16DE531B"/>
    <w:rsid w:val="17FE2FA8"/>
    <w:rsid w:val="218E49C5"/>
    <w:rsid w:val="21D506D3"/>
    <w:rsid w:val="227A4D8E"/>
    <w:rsid w:val="22D70499"/>
    <w:rsid w:val="24033FD9"/>
    <w:rsid w:val="25484296"/>
    <w:rsid w:val="261C338E"/>
    <w:rsid w:val="28513506"/>
    <w:rsid w:val="2B4B65B8"/>
    <w:rsid w:val="2BF41A27"/>
    <w:rsid w:val="2C7F14DF"/>
    <w:rsid w:val="2D67575E"/>
    <w:rsid w:val="2DE846A3"/>
    <w:rsid w:val="304D7004"/>
    <w:rsid w:val="32EB67CC"/>
    <w:rsid w:val="33F82F45"/>
    <w:rsid w:val="347579E9"/>
    <w:rsid w:val="362A6FAA"/>
    <w:rsid w:val="36872323"/>
    <w:rsid w:val="36C2189C"/>
    <w:rsid w:val="3F0B2742"/>
    <w:rsid w:val="409C69B7"/>
    <w:rsid w:val="42E204C1"/>
    <w:rsid w:val="439F6714"/>
    <w:rsid w:val="44FF640A"/>
    <w:rsid w:val="469E1C2A"/>
    <w:rsid w:val="48E7642F"/>
    <w:rsid w:val="499B289D"/>
    <w:rsid w:val="49DB6292"/>
    <w:rsid w:val="4AC6698F"/>
    <w:rsid w:val="4AF548BB"/>
    <w:rsid w:val="51294433"/>
    <w:rsid w:val="516C5A6E"/>
    <w:rsid w:val="53BF3BEE"/>
    <w:rsid w:val="5496720D"/>
    <w:rsid w:val="610A1999"/>
    <w:rsid w:val="63DC36F1"/>
    <w:rsid w:val="642F0915"/>
    <w:rsid w:val="649B690E"/>
    <w:rsid w:val="655425A3"/>
    <w:rsid w:val="657336A6"/>
    <w:rsid w:val="6A563125"/>
    <w:rsid w:val="6C15125E"/>
    <w:rsid w:val="705C483A"/>
    <w:rsid w:val="72321F8D"/>
    <w:rsid w:val="737E624F"/>
    <w:rsid w:val="74B81EAD"/>
    <w:rsid w:val="752E4BF9"/>
    <w:rsid w:val="76A171E6"/>
    <w:rsid w:val="78371290"/>
    <w:rsid w:val="786909A7"/>
    <w:rsid w:val="79291FA3"/>
    <w:rsid w:val="7C5C5531"/>
    <w:rsid w:val="7CBB5162"/>
    <w:rsid w:val="7CCD07BE"/>
    <w:rsid w:val="7D544D46"/>
    <w:rsid w:val="7FEB657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qFormat="1"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22"/>
    <w:qFormat/>
    <w:uiPriority w:val="9"/>
    <w:pPr>
      <w:keepNext/>
      <w:keepLines/>
      <w:spacing w:before="200" w:after="200" w:line="360" w:lineRule="auto"/>
      <w:jc w:val="center"/>
      <w:outlineLvl w:val="0"/>
    </w:pPr>
    <w:rPr>
      <w:b/>
      <w:bCs/>
      <w:kern w:val="44"/>
      <w:sz w:val="44"/>
      <w:szCs w:val="44"/>
    </w:rPr>
  </w:style>
  <w:style w:type="paragraph" w:styleId="4">
    <w:name w:val="heading 2"/>
    <w:basedOn w:val="1"/>
    <w:next w:val="1"/>
    <w:link w:val="25"/>
    <w:unhideWhenUsed/>
    <w:qFormat/>
    <w:uiPriority w:val="9"/>
    <w:pPr>
      <w:keepNext/>
      <w:keepLines/>
      <w:spacing w:before="200" w:after="200" w:line="360" w:lineRule="auto"/>
      <w:jc w:val="center"/>
      <w:outlineLvl w:val="1"/>
    </w:pPr>
    <w:rPr>
      <w:rFonts w:asciiTheme="majorHAnsi" w:hAnsiTheme="majorHAnsi" w:eastAsiaTheme="majorEastAsia" w:cstheme="majorBidi"/>
      <w:b/>
      <w:bCs/>
      <w:sz w:val="30"/>
      <w:szCs w:val="32"/>
    </w:rPr>
  </w:style>
  <w:style w:type="paragraph" w:styleId="5">
    <w:name w:val="heading 3"/>
    <w:basedOn w:val="1"/>
    <w:next w:val="1"/>
    <w:link w:val="26"/>
    <w:unhideWhenUsed/>
    <w:qFormat/>
    <w:uiPriority w:val="9"/>
    <w:pPr>
      <w:keepNext/>
      <w:keepLines/>
      <w:spacing w:line="360" w:lineRule="auto"/>
      <w:jc w:val="left"/>
      <w:outlineLvl w:val="2"/>
    </w:pPr>
    <w:rPr>
      <w:b/>
      <w:bCs/>
      <w:sz w:val="28"/>
      <w:szCs w:val="32"/>
    </w:rPr>
  </w:style>
  <w:style w:type="paragraph" w:styleId="6">
    <w:name w:val="heading 4"/>
    <w:basedOn w:val="1"/>
    <w:next w:val="1"/>
    <w:link w:val="33"/>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paragraph" w:styleId="7">
    <w:name w:val="heading 6"/>
    <w:basedOn w:val="1"/>
    <w:next w:val="1"/>
    <w:link w:val="28"/>
    <w:semiHidden/>
    <w:unhideWhenUsed/>
    <w:qFormat/>
    <w:uiPriority w:val="9"/>
    <w:pPr>
      <w:keepNext/>
      <w:keepLines/>
      <w:spacing w:before="240" w:after="64" w:line="320" w:lineRule="auto"/>
      <w:outlineLvl w:val="5"/>
    </w:pPr>
    <w:rPr>
      <w:rFonts w:asciiTheme="majorHAnsi" w:hAnsiTheme="majorHAnsi" w:eastAsiaTheme="majorEastAsia" w:cstheme="majorBidi"/>
      <w:b/>
      <w:bCs/>
      <w:sz w:val="24"/>
      <w:szCs w:val="24"/>
    </w:rPr>
  </w:style>
  <w:style w:type="character" w:default="1" w:styleId="15">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29"/>
    <w:qFormat/>
    <w:uiPriority w:val="1"/>
    <w:rPr>
      <w:rFonts w:ascii="Times New Roman" w:hAnsi="Times New Roman" w:eastAsia="宋体" w:cs="Times New Roman"/>
      <w:szCs w:val="21"/>
    </w:rPr>
  </w:style>
  <w:style w:type="paragraph" w:styleId="8">
    <w:name w:val="Document Map"/>
    <w:basedOn w:val="1"/>
    <w:link w:val="23"/>
    <w:semiHidden/>
    <w:unhideWhenUsed/>
    <w:qFormat/>
    <w:uiPriority w:val="99"/>
    <w:rPr>
      <w:rFonts w:ascii="宋体" w:eastAsia="宋体"/>
      <w:sz w:val="18"/>
      <w:szCs w:val="18"/>
    </w:rPr>
  </w:style>
  <w:style w:type="paragraph" w:styleId="9">
    <w:name w:val="Plain Text"/>
    <w:basedOn w:val="1"/>
    <w:link w:val="21"/>
    <w:qFormat/>
    <w:uiPriority w:val="0"/>
    <w:rPr>
      <w:rFonts w:ascii="宋体" w:hAnsi="Courier New"/>
    </w:rPr>
  </w:style>
  <w:style w:type="paragraph" w:styleId="10">
    <w:name w:val="Balloon Text"/>
    <w:basedOn w:val="1"/>
    <w:link w:val="32"/>
    <w:semiHidden/>
    <w:unhideWhenUsed/>
    <w:qFormat/>
    <w:uiPriority w:val="99"/>
    <w:rPr>
      <w:sz w:val="18"/>
      <w:szCs w:val="18"/>
    </w:rPr>
  </w:style>
  <w:style w:type="paragraph" w:styleId="11">
    <w:name w:val="footer"/>
    <w:basedOn w:val="1"/>
    <w:link w:val="19"/>
    <w:unhideWhenUsed/>
    <w:qFormat/>
    <w:uiPriority w:val="99"/>
    <w:pPr>
      <w:tabs>
        <w:tab w:val="center" w:pos="4153"/>
        <w:tab w:val="right" w:pos="8306"/>
      </w:tabs>
      <w:snapToGrid w:val="0"/>
      <w:jc w:val="left"/>
    </w:pPr>
    <w:rPr>
      <w:sz w:val="18"/>
      <w:szCs w:val="18"/>
    </w:rPr>
  </w:style>
  <w:style w:type="paragraph" w:styleId="12">
    <w:name w:val="header"/>
    <w:basedOn w:val="1"/>
    <w:link w:val="18"/>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13">
    <w:name w:val="toc 1"/>
    <w:basedOn w:val="1"/>
    <w:next w:val="1"/>
    <w:unhideWhenUsed/>
    <w:qFormat/>
    <w:uiPriority w:val="39"/>
  </w:style>
  <w:style w:type="character" w:styleId="16">
    <w:name w:val="page number"/>
    <w:basedOn w:val="15"/>
    <w:qFormat/>
    <w:uiPriority w:val="0"/>
  </w:style>
  <w:style w:type="character" w:styleId="17">
    <w:name w:val="Hyperlink"/>
    <w:basedOn w:val="15"/>
    <w:unhideWhenUsed/>
    <w:qFormat/>
    <w:uiPriority w:val="99"/>
    <w:rPr>
      <w:color w:val="0000FF" w:themeColor="hyperlink"/>
      <w:u w:val="single"/>
      <w14:textFill>
        <w14:solidFill>
          <w14:schemeClr w14:val="hlink"/>
        </w14:solidFill>
      </w14:textFill>
    </w:rPr>
  </w:style>
  <w:style w:type="character" w:customStyle="1" w:styleId="18">
    <w:name w:val="页眉 Char"/>
    <w:basedOn w:val="15"/>
    <w:link w:val="12"/>
    <w:semiHidden/>
    <w:qFormat/>
    <w:uiPriority w:val="99"/>
    <w:rPr>
      <w:sz w:val="18"/>
      <w:szCs w:val="18"/>
    </w:rPr>
  </w:style>
  <w:style w:type="character" w:customStyle="1" w:styleId="19">
    <w:name w:val="页脚 Char"/>
    <w:basedOn w:val="15"/>
    <w:link w:val="11"/>
    <w:qFormat/>
    <w:uiPriority w:val="99"/>
    <w:rPr>
      <w:sz w:val="18"/>
      <w:szCs w:val="18"/>
    </w:rPr>
  </w:style>
  <w:style w:type="character" w:customStyle="1" w:styleId="20">
    <w:name w:val="纯文本 Char"/>
    <w:link w:val="9"/>
    <w:qFormat/>
    <w:uiPriority w:val="0"/>
    <w:rPr>
      <w:rFonts w:ascii="宋体" w:hAnsi="Courier New"/>
    </w:rPr>
  </w:style>
  <w:style w:type="character" w:customStyle="1" w:styleId="21">
    <w:name w:val="纯文本 Char1"/>
    <w:basedOn w:val="15"/>
    <w:link w:val="9"/>
    <w:semiHidden/>
    <w:qFormat/>
    <w:uiPriority w:val="99"/>
    <w:rPr>
      <w:rFonts w:ascii="宋体" w:hAnsi="Courier New" w:eastAsia="宋体" w:cs="Courier New"/>
      <w:szCs w:val="21"/>
    </w:rPr>
  </w:style>
  <w:style w:type="character" w:customStyle="1" w:styleId="22">
    <w:name w:val="标题 1 Char"/>
    <w:basedOn w:val="15"/>
    <w:link w:val="3"/>
    <w:qFormat/>
    <w:uiPriority w:val="9"/>
    <w:rPr>
      <w:b/>
      <w:bCs/>
      <w:kern w:val="44"/>
      <w:sz w:val="44"/>
      <w:szCs w:val="44"/>
    </w:rPr>
  </w:style>
  <w:style w:type="character" w:customStyle="1" w:styleId="23">
    <w:name w:val="文档结构图 Char"/>
    <w:basedOn w:val="15"/>
    <w:link w:val="8"/>
    <w:semiHidden/>
    <w:qFormat/>
    <w:uiPriority w:val="99"/>
    <w:rPr>
      <w:rFonts w:ascii="宋体" w:eastAsia="宋体"/>
      <w:sz w:val="18"/>
      <w:szCs w:val="18"/>
    </w:rPr>
  </w:style>
  <w:style w:type="paragraph" w:customStyle="1" w:styleId="24">
    <w:name w:val="段"/>
    <w:next w:val="1"/>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25">
    <w:name w:val="标题 2 Char"/>
    <w:basedOn w:val="15"/>
    <w:link w:val="4"/>
    <w:qFormat/>
    <w:uiPriority w:val="9"/>
    <w:rPr>
      <w:rFonts w:asciiTheme="majorHAnsi" w:hAnsiTheme="majorHAnsi" w:eastAsiaTheme="majorEastAsia" w:cstheme="majorBidi"/>
      <w:b/>
      <w:bCs/>
      <w:sz w:val="30"/>
      <w:szCs w:val="32"/>
    </w:rPr>
  </w:style>
  <w:style w:type="character" w:customStyle="1" w:styleId="26">
    <w:name w:val="标题 3 Char"/>
    <w:basedOn w:val="15"/>
    <w:link w:val="5"/>
    <w:qFormat/>
    <w:uiPriority w:val="9"/>
    <w:rPr>
      <w:b/>
      <w:bCs/>
      <w:sz w:val="28"/>
      <w:szCs w:val="32"/>
    </w:rPr>
  </w:style>
  <w:style w:type="paragraph" w:customStyle="1" w:styleId="27">
    <w:name w:val="1"/>
    <w:basedOn w:val="1"/>
    <w:next w:val="9"/>
    <w:qFormat/>
    <w:uiPriority w:val="0"/>
    <w:rPr>
      <w:rFonts w:ascii="宋体" w:hAnsi="Courier New" w:eastAsia="宋体" w:cs="Times New Roman"/>
      <w:szCs w:val="20"/>
    </w:rPr>
  </w:style>
  <w:style w:type="character" w:customStyle="1" w:styleId="28">
    <w:name w:val="标题 6 Char"/>
    <w:basedOn w:val="15"/>
    <w:link w:val="7"/>
    <w:semiHidden/>
    <w:qFormat/>
    <w:uiPriority w:val="9"/>
    <w:rPr>
      <w:rFonts w:asciiTheme="majorHAnsi" w:hAnsiTheme="majorHAnsi" w:eastAsiaTheme="majorEastAsia" w:cstheme="majorBidi"/>
      <w:b/>
      <w:bCs/>
      <w:sz w:val="24"/>
      <w:szCs w:val="24"/>
    </w:rPr>
  </w:style>
  <w:style w:type="character" w:customStyle="1" w:styleId="29">
    <w:name w:val="正文文本 Char"/>
    <w:basedOn w:val="15"/>
    <w:link w:val="2"/>
    <w:qFormat/>
    <w:uiPriority w:val="1"/>
    <w:rPr>
      <w:rFonts w:ascii="Times New Roman" w:hAnsi="Times New Roman" w:eastAsia="宋体" w:cs="Times New Roman"/>
      <w:szCs w:val="21"/>
    </w:rPr>
  </w:style>
  <w:style w:type="paragraph" w:customStyle="1" w:styleId="30">
    <w:name w:val="Table Paragraph"/>
    <w:basedOn w:val="1"/>
    <w:qFormat/>
    <w:uiPriority w:val="1"/>
    <w:rPr>
      <w:rFonts w:ascii="Times New Roman" w:hAnsi="Times New Roman" w:eastAsia="宋体" w:cs="Times New Roman"/>
      <w:szCs w:val="24"/>
    </w:rPr>
  </w:style>
  <w:style w:type="paragraph" w:customStyle="1" w:styleId="31">
    <w:name w:val="_Style 1"/>
    <w:basedOn w:val="1"/>
    <w:qFormat/>
    <w:uiPriority w:val="34"/>
    <w:pPr>
      <w:ind w:firstLine="420" w:firstLineChars="200"/>
    </w:pPr>
    <w:rPr>
      <w:rFonts w:ascii="Calibri" w:hAnsi="Calibri" w:eastAsia="宋体" w:cs="Times New Roman"/>
      <w:szCs w:val="24"/>
    </w:rPr>
  </w:style>
  <w:style w:type="character" w:customStyle="1" w:styleId="32">
    <w:name w:val="批注框文本 Char"/>
    <w:basedOn w:val="15"/>
    <w:link w:val="10"/>
    <w:semiHidden/>
    <w:qFormat/>
    <w:uiPriority w:val="99"/>
    <w:rPr>
      <w:rFonts w:asciiTheme="minorHAnsi" w:hAnsiTheme="minorHAnsi" w:eastAsiaTheme="minorEastAsia" w:cstheme="minorBidi"/>
      <w:kern w:val="2"/>
      <w:sz w:val="18"/>
      <w:szCs w:val="18"/>
    </w:rPr>
  </w:style>
  <w:style w:type="character" w:customStyle="1" w:styleId="33">
    <w:name w:val="标题 4 Char"/>
    <w:basedOn w:val="15"/>
    <w:link w:val="6"/>
    <w:qFormat/>
    <w:uiPriority w:val="9"/>
    <w:rPr>
      <w:rFonts w:asciiTheme="majorHAnsi" w:hAnsiTheme="majorHAnsi" w:eastAsiaTheme="majorEastAsia" w:cstheme="majorBidi"/>
      <w:b/>
      <w:bCs/>
      <w:kern w:val="2"/>
      <w:sz w:val="28"/>
      <w:szCs w:val="2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1C1B1EE-218E-497F-BCC6-0C398AB1774B}">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39</Pages>
  <Words>3586</Words>
  <Characters>20441</Characters>
  <Lines>170</Lines>
  <Paragraphs>47</Paragraphs>
  <TotalTime>13</TotalTime>
  <ScaleCrop>false</ScaleCrop>
  <LinksUpToDate>false</LinksUpToDate>
  <CharactersWithSpaces>23980</CharactersWithSpaces>
  <Application>WPS Office_11.1.0.9998_F1E327BC-269C-435d-A152-05C5408002CA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2020-10-09T03:16:00Z</dcterms:created>
  <dc:creator>yangshigong</dc:creator>
  <cp:lastModifiedBy>Lightning*</cp:lastModifiedBy>
  <cp:lastPrinted>2021-02-24T01:37:00Z</cp:lastPrinted>
  <dcterms:modified xsi:type="dcterms:W3CDTF">2021-03-01T08:07:20Z</dcterms:modified>
  <cp:revision>154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2052-11.1.0.9998</vt:lpwstr>
  </property>
</Properties>
</file>