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70" w:rightChars="0"/>
        <w:jc w:val="center"/>
        <w:rPr>
          <w:w w:val="95"/>
        </w:rPr>
      </w:pPr>
    </w:p>
    <w:p>
      <w:pPr>
        <w:pStyle w:val="6"/>
        <w:ind w:right="70" w:rightChars="0"/>
        <w:jc w:val="center"/>
      </w:pPr>
      <w:r>
        <w:rPr>
          <w:w w:val="95"/>
        </w:rPr>
        <w:t>目录</w:t>
      </w:r>
    </w:p>
    <w:p>
      <w:pPr>
        <w:spacing w:after="0"/>
        <w:rPr>
          <w:rFonts w:hint="eastAsia" w:eastAsia="宋体"/>
          <w:lang w:eastAsia="zh-CN"/>
        </w:rPr>
        <w:sectPr>
          <w:headerReference r:id="rId3" w:type="default"/>
          <w:footerReference r:id="rId4" w:type="default"/>
          <w:pgSz w:w="11910" w:h="16840"/>
          <w:pgMar w:top="1000" w:right="520" w:bottom="1477" w:left="980" w:header="808" w:footer="572" w:gutter="0"/>
        </w:sectPr>
      </w:pPr>
    </w:p>
    <w:sdt>
      <w:sdtPr>
        <w:id w:val="0"/>
        <w:docPartObj>
          <w:docPartGallery w:val="Table of Contents"/>
          <w:docPartUnique/>
        </w:docPartObj>
      </w:sdtPr>
      <w:sdtContent>
        <w:p>
          <w:pPr>
            <w:pStyle w:val="12"/>
            <w:tabs>
              <w:tab w:val="right" w:leader="dot" w:pos="10303"/>
            </w:tabs>
            <w:spacing w:before="568"/>
            <w:rPr>
              <w:rFonts w:ascii="Times New Roman" w:eastAsia="Times New Roman"/>
            </w:rPr>
          </w:pPr>
          <w:r>
            <w:rPr>
              <w:rFonts w:hint="eastAsia"/>
              <w:lang w:val="en-US" w:eastAsia="zh-CN"/>
            </w:rPr>
            <w:t xml:space="preserve">    </w:t>
          </w:r>
          <w:r>
            <w:fldChar w:fldCharType="begin"/>
          </w:r>
          <w:r>
            <w:instrText xml:space="preserve"> HYPERLINK \l "_bookmark0" </w:instrText>
          </w:r>
          <w:r>
            <w:fldChar w:fldCharType="separate"/>
          </w:r>
          <w:r>
            <w:t>第一卷</w:t>
          </w:r>
          <w:r>
            <w:tab/>
          </w:r>
          <w:r>
            <w:rPr>
              <w:rFonts w:hint="eastAsia" w:ascii="Times New Roman" w:eastAsia="宋体"/>
              <w:lang w:val="en-US" w:eastAsia="zh-CN"/>
            </w:rPr>
            <w:t>1</w:t>
          </w:r>
          <w:r>
            <w:rPr>
              <w:rFonts w:ascii="Times New Roman" w:eastAsia="Times New Roman"/>
            </w:rPr>
            <w:fldChar w:fldCharType="end"/>
          </w:r>
        </w:p>
        <w:p>
          <w:pPr>
            <w:pStyle w:val="12"/>
            <w:tabs>
              <w:tab w:val="left" w:pos="939"/>
              <w:tab w:val="right" w:leader="dot" w:pos="10303"/>
            </w:tabs>
            <w:spacing w:before="169" w:line="291" w:lineRule="exact"/>
            <w:rPr>
              <w:rFonts w:ascii="Calibri" w:eastAsia="Calibri"/>
            </w:rPr>
          </w:pPr>
          <w:r>
            <w:fldChar w:fldCharType="begin"/>
          </w:r>
          <w:r>
            <w:instrText xml:space="preserve"> HYPERLINK \l "_bookmark1" </w:instrText>
          </w:r>
          <w:r>
            <w:fldChar w:fldCharType="separate"/>
          </w:r>
          <w:r>
            <w:t>第一章</w:t>
          </w:r>
          <w:r>
            <w:tab/>
          </w:r>
          <w:r>
            <w:t>招标公告</w:t>
          </w:r>
          <w:r>
            <w:tab/>
          </w:r>
          <w:r>
            <w:rPr>
              <w:rFonts w:hint="eastAsia" w:ascii="Times New Roman" w:eastAsia="宋体"/>
              <w:lang w:val="en-US" w:eastAsia="zh-CN"/>
            </w:rPr>
            <w:t>2</w:t>
          </w:r>
          <w:r>
            <w:rPr>
              <w:rFonts w:ascii="Times New Roman" w:eastAsia="Times New Roman"/>
            </w:rPr>
            <w:fldChar w:fldCharType="end"/>
          </w:r>
        </w:p>
        <w:p>
          <w:pPr>
            <w:pStyle w:val="12"/>
            <w:tabs>
              <w:tab w:val="left" w:pos="939"/>
              <w:tab w:val="right" w:leader="dot" w:pos="10305"/>
            </w:tabs>
            <w:spacing w:before="139"/>
            <w:rPr>
              <w:rFonts w:ascii="Times New Roman" w:eastAsia="Times New Roman"/>
            </w:rPr>
          </w:pPr>
          <w:r>
            <w:fldChar w:fldCharType="begin"/>
          </w:r>
          <w:r>
            <w:instrText xml:space="preserve"> HYPERLINK \l "_bookmark14" </w:instrText>
          </w:r>
          <w:r>
            <w:fldChar w:fldCharType="separate"/>
          </w:r>
          <w:r>
            <w:t>第二章</w:t>
          </w:r>
          <w:r>
            <w:tab/>
          </w:r>
          <w:r>
            <w:t>投标人须知</w:t>
          </w:r>
          <w:r>
            <w:tab/>
          </w:r>
          <w:r>
            <w:rPr>
              <w:rFonts w:hint="eastAsia" w:ascii="Times New Roman" w:eastAsia="宋体"/>
              <w:lang w:val="en-US" w:eastAsia="zh-CN"/>
            </w:rPr>
            <w:t>6</w:t>
          </w:r>
          <w:r>
            <w:rPr>
              <w:rFonts w:ascii="Times New Roman" w:eastAsia="Times New Roman"/>
            </w:rPr>
            <w:fldChar w:fldCharType="end"/>
          </w:r>
        </w:p>
        <w:p>
          <w:pPr>
            <w:pStyle w:val="12"/>
            <w:tabs>
              <w:tab w:val="right" w:leader="dot" w:pos="10305"/>
            </w:tabs>
            <w:spacing w:before="169"/>
            <w:ind w:firstLine="840" w:firstLineChars="400"/>
            <w:rPr>
              <w:rFonts w:ascii="Times New Roman" w:eastAsia="Times New Roman"/>
            </w:rPr>
          </w:pPr>
          <w:r>
            <w:fldChar w:fldCharType="begin"/>
          </w:r>
          <w:r>
            <w:instrText xml:space="preserve"> HYPERLINK \l "_bookmark15" </w:instrText>
          </w:r>
          <w:r>
            <w:fldChar w:fldCharType="separate"/>
          </w:r>
          <w:r>
            <w:t>投标人须知前附表</w:t>
          </w:r>
          <w:r>
            <w:tab/>
          </w:r>
          <w:r>
            <w:rPr>
              <w:rFonts w:hint="eastAsia" w:ascii="Times New Roman" w:eastAsia="宋体"/>
              <w:lang w:val="en-US" w:eastAsia="zh-CN"/>
            </w:rPr>
            <w:t>6</w:t>
          </w:r>
          <w:r>
            <w:rPr>
              <w:rFonts w:ascii="Times New Roman" w:eastAsia="Times New Roman"/>
            </w:rPr>
            <w:fldChar w:fldCharType="end"/>
          </w:r>
        </w:p>
        <w:p>
          <w:pPr>
            <w:pStyle w:val="12"/>
            <w:tabs>
              <w:tab w:val="right" w:leader="dot" w:pos="10305"/>
            </w:tabs>
            <w:spacing w:before="167"/>
            <w:ind w:firstLine="840" w:firstLineChars="400"/>
            <w:rPr>
              <w:rFonts w:ascii="Calibri" w:eastAsia="Calibri"/>
            </w:rPr>
          </w:pPr>
          <w:r>
            <w:fldChar w:fldCharType="begin"/>
          </w:r>
          <w:r>
            <w:instrText xml:space="preserve"> HYPERLINK \l "_bookmark16" </w:instrText>
          </w:r>
          <w:r>
            <w:fldChar w:fldCharType="separate"/>
          </w:r>
          <w:r>
            <w:t>投标人须知正文部分</w:t>
          </w:r>
          <w:r>
            <w:tab/>
          </w:r>
          <w:r>
            <w:rPr>
              <w:rFonts w:ascii="Times New Roman" w:eastAsia="Times New Roman"/>
            </w:rPr>
            <w:t>1</w:t>
          </w:r>
          <w:r>
            <w:rPr>
              <w:rFonts w:hint="eastAsia" w:ascii="Times New Roman" w:eastAsia="宋体"/>
              <w:lang w:val="en-US" w:eastAsia="zh-CN"/>
            </w:rPr>
            <w:t>2</w:t>
          </w:r>
          <w:r>
            <w:rPr>
              <w:rFonts w:ascii="Times New Roman" w:eastAsia="Times New Roman"/>
            </w:rPr>
            <w:fldChar w:fldCharType="end"/>
          </w:r>
        </w:p>
        <w:p>
          <w:pPr>
            <w:pStyle w:val="12"/>
            <w:tabs>
              <w:tab w:val="left" w:pos="939"/>
              <w:tab w:val="right" w:leader="dot" w:pos="10305"/>
            </w:tabs>
            <w:spacing w:before="140"/>
            <w:rPr>
              <w:rFonts w:hint="eastAsia" w:ascii="Times New Roman" w:eastAsia="宋体"/>
              <w:lang w:val="en-US" w:eastAsia="zh-CN"/>
            </w:rPr>
          </w:pPr>
          <w:r>
            <w:fldChar w:fldCharType="begin"/>
          </w:r>
          <w:r>
            <w:instrText xml:space="preserve"> HYPERLINK \l "_bookmark81" </w:instrText>
          </w:r>
          <w:r>
            <w:fldChar w:fldCharType="separate"/>
          </w:r>
          <w:r>
            <w:t>第三章</w:t>
          </w:r>
          <w:r>
            <w:tab/>
          </w:r>
          <w:r>
            <w:t>评标办法（综合评估法）</w:t>
          </w:r>
          <w:r>
            <w:tab/>
          </w:r>
          <w:r>
            <w:rPr>
              <w:rFonts w:hint="eastAsia" w:ascii="Times New Roman" w:eastAsia="宋体"/>
              <w:lang w:val="en-US" w:eastAsia="zh-CN"/>
            </w:rPr>
            <w:t>2</w:t>
          </w:r>
          <w:r>
            <w:rPr>
              <w:rFonts w:ascii="Times New Roman" w:eastAsia="Times New Roman"/>
            </w:rPr>
            <w:fldChar w:fldCharType="end"/>
          </w:r>
          <w:r>
            <w:rPr>
              <w:rFonts w:hint="eastAsia" w:ascii="Times New Roman" w:eastAsia="宋体"/>
              <w:lang w:val="en-US" w:eastAsia="zh-CN"/>
            </w:rPr>
            <w:t>2</w:t>
          </w:r>
        </w:p>
        <w:p>
          <w:pPr>
            <w:pStyle w:val="12"/>
            <w:tabs>
              <w:tab w:val="right" w:leader="dot" w:pos="10305"/>
            </w:tabs>
            <w:ind w:firstLine="840" w:firstLineChars="400"/>
            <w:rPr>
              <w:rFonts w:ascii="Times New Roman" w:eastAsia="Times New Roman"/>
            </w:rPr>
          </w:pPr>
          <w:r>
            <w:fldChar w:fldCharType="begin"/>
          </w:r>
          <w:r>
            <w:instrText xml:space="preserve"> HYPERLINK \l "_bookmark82" </w:instrText>
          </w:r>
          <w:r>
            <w:fldChar w:fldCharType="separate"/>
          </w:r>
          <w:r>
            <w:t>评标办法前附表：</w:t>
          </w:r>
          <w:r>
            <w:tab/>
          </w:r>
          <w:r>
            <w:rPr>
              <w:rFonts w:ascii="Times New Roman" w:eastAsia="Times New Roman"/>
            </w:rPr>
            <w:t>2</w:t>
          </w:r>
          <w:r>
            <w:rPr>
              <w:rFonts w:hint="eastAsia" w:ascii="Times New Roman" w:eastAsia="宋体"/>
              <w:lang w:val="en-US" w:eastAsia="zh-CN"/>
            </w:rPr>
            <w:t>2</w:t>
          </w:r>
          <w:r>
            <w:rPr>
              <w:rFonts w:ascii="Times New Roman" w:eastAsia="Times New Roman"/>
            </w:rPr>
            <w:fldChar w:fldCharType="end"/>
          </w:r>
        </w:p>
        <w:p>
          <w:pPr>
            <w:pStyle w:val="12"/>
            <w:tabs>
              <w:tab w:val="right" w:leader="dot" w:pos="10305"/>
            </w:tabs>
            <w:spacing w:before="167"/>
            <w:ind w:firstLine="840" w:firstLineChars="400"/>
            <w:rPr>
              <w:rFonts w:hint="eastAsia" w:ascii="Calibri" w:eastAsia="宋体"/>
              <w:lang w:val="en-US" w:eastAsia="zh-CN"/>
            </w:rPr>
          </w:pPr>
          <w:r>
            <w:fldChar w:fldCharType="begin"/>
          </w:r>
          <w:r>
            <w:instrText xml:space="preserve"> HYPERLINK \l "_bookmark83" </w:instrText>
          </w:r>
          <w:r>
            <w:fldChar w:fldCharType="separate"/>
          </w:r>
          <w:r>
            <w:t>评标办法（综合评估法）正文部分</w:t>
          </w:r>
          <w:r>
            <w:tab/>
          </w:r>
          <w:r>
            <w:rPr>
              <w:rFonts w:hint="eastAsia" w:ascii="Times New Roman" w:eastAsia="宋体"/>
              <w:lang w:val="en-US" w:eastAsia="zh-CN"/>
            </w:rPr>
            <w:t>2</w:t>
          </w:r>
          <w:r>
            <w:rPr>
              <w:rFonts w:ascii="Times New Roman" w:eastAsia="Times New Roman"/>
            </w:rPr>
            <w:fldChar w:fldCharType="end"/>
          </w:r>
          <w:r>
            <w:rPr>
              <w:rFonts w:hint="eastAsia" w:ascii="Times New Roman" w:eastAsia="宋体"/>
              <w:lang w:val="en-US" w:eastAsia="zh-CN"/>
            </w:rPr>
            <w:t>5</w:t>
          </w:r>
        </w:p>
        <w:p>
          <w:pPr>
            <w:pStyle w:val="12"/>
            <w:tabs>
              <w:tab w:val="right" w:leader="dot" w:pos="10305"/>
            </w:tabs>
            <w:spacing w:before="137"/>
            <w:ind w:firstLine="840" w:firstLineChars="400"/>
            <w:rPr>
              <w:rFonts w:hint="eastAsia" w:ascii="Calibri" w:eastAsia="宋体"/>
              <w:lang w:val="en-US" w:eastAsia="zh-CN"/>
            </w:rPr>
          </w:pPr>
          <w:r>
            <w:fldChar w:fldCharType="begin"/>
          </w:r>
          <w:r>
            <w:instrText xml:space="preserve"> HYPERLINK \l "_bookmark93" </w:instrText>
          </w:r>
          <w:r>
            <w:fldChar w:fldCharType="separate"/>
          </w:r>
          <w:r>
            <w:t>附件</w:t>
          </w:r>
          <w:r>
            <w:rPr>
              <w:spacing w:val="-51"/>
            </w:rPr>
            <w:t xml:space="preserve"> </w:t>
          </w:r>
          <w:r>
            <w:t>A：评标详细程序</w:t>
          </w:r>
          <w:r>
            <w:tab/>
          </w:r>
          <w:r>
            <w:rPr>
              <w:rFonts w:hint="eastAsia" w:ascii="Times New Roman" w:eastAsia="宋体"/>
              <w:lang w:val="en-US" w:eastAsia="zh-CN"/>
            </w:rPr>
            <w:t>2</w:t>
          </w:r>
          <w:r>
            <w:rPr>
              <w:rFonts w:ascii="Times New Roman" w:eastAsia="Times New Roman"/>
            </w:rPr>
            <w:fldChar w:fldCharType="end"/>
          </w:r>
          <w:r>
            <w:rPr>
              <w:rFonts w:hint="eastAsia" w:ascii="Times New Roman" w:eastAsia="宋体"/>
              <w:lang w:val="en-US" w:eastAsia="zh-CN"/>
            </w:rPr>
            <w:t>7</w:t>
          </w:r>
        </w:p>
        <w:p>
          <w:pPr>
            <w:pStyle w:val="12"/>
            <w:tabs>
              <w:tab w:val="right" w:leader="dot" w:pos="10305"/>
            </w:tabs>
            <w:spacing w:before="140"/>
            <w:ind w:firstLine="840" w:firstLineChars="400"/>
            <w:rPr>
              <w:rFonts w:ascii="Times New Roman" w:eastAsia="Times New Roman"/>
            </w:rPr>
          </w:pPr>
          <w:r>
            <w:fldChar w:fldCharType="begin"/>
          </w:r>
          <w:r>
            <w:instrText xml:space="preserve"> HYPERLINK \l "_bookmark102" </w:instrText>
          </w:r>
          <w:r>
            <w:fldChar w:fldCharType="separate"/>
          </w:r>
          <w:r>
            <w:t>附件</w:t>
          </w:r>
          <w:r>
            <w:rPr>
              <w:spacing w:val="-51"/>
            </w:rPr>
            <w:t xml:space="preserve"> </w:t>
          </w:r>
          <w:r>
            <w:t>B：否决投标条件</w:t>
          </w:r>
          <w:r>
            <w:tab/>
          </w:r>
          <w:r>
            <w:rPr>
              <w:rFonts w:ascii="Times New Roman" w:eastAsia="Times New Roman"/>
            </w:rPr>
            <w:t>3</w:t>
          </w:r>
          <w:r>
            <w:rPr>
              <w:rFonts w:hint="eastAsia" w:ascii="Times New Roman" w:eastAsia="宋体"/>
              <w:lang w:val="en-US" w:eastAsia="zh-CN"/>
            </w:rPr>
            <w:t>1</w:t>
          </w:r>
          <w:r>
            <w:rPr>
              <w:rFonts w:ascii="Times New Roman" w:eastAsia="Times New Roman"/>
            </w:rPr>
            <w:fldChar w:fldCharType="end"/>
          </w:r>
        </w:p>
        <w:p>
          <w:pPr>
            <w:pStyle w:val="12"/>
            <w:tabs>
              <w:tab w:val="left" w:pos="939"/>
              <w:tab w:val="right" w:leader="dot" w:pos="10305"/>
            </w:tabs>
            <w:spacing w:before="167"/>
            <w:rPr>
              <w:rFonts w:ascii="Times New Roman" w:eastAsia="Times New Roman"/>
            </w:rPr>
          </w:pPr>
          <w:r>
            <w:fldChar w:fldCharType="begin"/>
          </w:r>
          <w:r>
            <w:instrText xml:space="preserve"> HYPERLINK \l "_bookmark103" </w:instrText>
          </w:r>
          <w:r>
            <w:fldChar w:fldCharType="separate"/>
          </w:r>
          <w:r>
            <w:t>第四章</w:t>
          </w:r>
          <w:r>
            <w:tab/>
          </w:r>
          <w:r>
            <w:t>合同条款及格式</w:t>
          </w:r>
          <w:r>
            <w:tab/>
          </w:r>
          <w:r>
            <w:rPr>
              <w:rFonts w:ascii="Times New Roman" w:eastAsia="Times New Roman"/>
            </w:rPr>
            <w:t>3</w:t>
          </w:r>
          <w:r>
            <w:rPr>
              <w:rFonts w:hint="eastAsia" w:ascii="Times New Roman" w:eastAsia="宋体"/>
              <w:lang w:val="en-US" w:eastAsia="zh-CN"/>
            </w:rPr>
            <w:t>2</w:t>
          </w:r>
          <w:r>
            <w:rPr>
              <w:rFonts w:ascii="Times New Roman" w:eastAsia="Times New Roman"/>
            </w:rPr>
            <w:fldChar w:fldCharType="end"/>
          </w:r>
        </w:p>
        <w:p>
          <w:pPr>
            <w:pStyle w:val="12"/>
            <w:tabs>
              <w:tab w:val="left" w:pos="939"/>
              <w:tab w:val="right" w:leader="dot" w:pos="10305"/>
            </w:tabs>
            <w:ind w:firstLine="840" w:firstLineChars="400"/>
            <w:rPr>
              <w:rFonts w:ascii="Times New Roman" w:eastAsia="Times New Roman"/>
            </w:rPr>
          </w:pPr>
          <w:r>
            <w:fldChar w:fldCharType="begin"/>
          </w:r>
          <w:r>
            <w:instrText xml:space="preserve"> HYPERLINK \l "_bookmark104" </w:instrText>
          </w:r>
          <w:r>
            <w:fldChar w:fldCharType="separate"/>
          </w:r>
          <w:r>
            <w:t>第一节通用合同条款</w:t>
          </w:r>
          <w:r>
            <w:tab/>
          </w:r>
          <w:r>
            <w:rPr>
              <w:rFonts w:ascii="Times New Roman" w:eastAsia="Times New Roman"/>
            </w:rPr>
            <w:t>3</w:t>
          </w:r>
          <w:r>
            <w:rPr>
              <w:rFonts w:hint="eastAsia" w:ascii="Times New Roman" w:eastAsia="宋体"/>
              <w:lang w:val="en-US" w:eastAsia="zh-CN"/>
            </w:rPr>
            <w:t>2</w:t>
          </w:r>
          <w:r>
            <w:rPr>
              <w:rFonts w:ascii="Times New Roman" w:eastAsia="Times New Roman"/>
            </w:rPr>
            <w:fldChar w:fldCharType="end"/>
          </w:r>
        </w:p>
        <w:p>
          <w:pPr>
            <w:pStyle w:val="12"/>
            <w:tabs>
              <w:tab w:val="left" w:pos="939"/>
              <w:tab w:val="right" w:leader="dot" w:pos="10305"/>
            </w:tabs>
            <w:spacing w:line="291" w:lineRule="exact"/>
            <w:ind w:firstLine="840" w:firstLineChars="400"/>
            <w:rPr>
              <w:rFonts w:ascii="Calibri" w:eastAsia="Calibri"/>
            </w:rPr>
          </w:pPr>
          <w:r>
            <w:fldChar w:fldCharType="begin"/>
          </w:r>
          <w:r>
            <w:instrText xml:space="preserve"> HYPERLINK \l "_bookmark105" </w:instrText>
          </w:r>
          <w:r>
            <w:fldChar w:fldCharType="separate"/>
          </w:r>
          <w:r>
            <w:t>第二节专用合同条款</w:t>
          </w:r>
          <w:r>
            <w:tab/>
          </w:r>
          <w:r>
            <w:rPr>
              <w:rFonts w:ascii="Times New Roman" w:eastAsia="Times New Roman"/>
            </w:rPr>
            <w:t>3</w:t>
          </w:r>
          <w:r>
            <w:rPr>
              <w:rFonts w:hint="eastAsia" w:ascii="Times New Roman" w:eastAsia="宋体"/>
              <w:lang w:val="en-US" w:eastAsia="zh-CN"/>
            </w:rPr>
            <w:t>3</w:t>
          </w:r>
          <w:r>
            <w:rPr>
              <w:rFonts w:ascii="Times New Roman" w:eastAsia="Times New Roman"/>
            </w:rPr>
            <w:fldChar w:fldCharType="end"/>
          </w:r>
        </w:p>
        <w:p>
          <w:pPr>
            <w:pStyle w:val="12"/>
            <w:tabs>
              <w:tab w:val="left" w:pos="939"/>
              <w:tab w:val="right" w:leader="dot" w:pos="10305"/>
            </w:tabs>
            <w:spacing w:before="137"/>
            <w:rPr>
              <w:rFonts w:hint="eastAsia" w:ascii="Times New Roman" w:eastAsia="宋体"/>
              <w:lang w:val="en-US" w:eastAsia="zh-CN"/>
            </w:rPr>
          </w:pPr>
          <w:r>
            <w:fldChar w:fldCharType="begin"/>
          </w:r>
          <w:r>
            <w:instrText xml:space="preserve"> HYPERLINK \l "_bookmark108" </w:instrText>
          </w:r>
          <w:r>
            <w:fldChar w:fldCharType="separate"/>
          </w:r>
          <w:r>
            <w:t>第五章</w:t>
          </w:r>
          <w:r>
            <w:tab/>
          </w:r>
          <w:r>
            <w:t>工程量清单</w:t>
          </w:r>
          <w:r>
            <w:tab/>
          </w:r>
          <w:r>
            <w:rPr>
              <w:rFonts w:hint="eastAsia" w:ascii="Times New Roman" w:eastAsia="宋体"/>
              <w:lang w:val="en-US" w:eastAsia="zh-CN"/>
            </w:rPr>
            <w:t>6</w:t>
          </w:r>
          <w:r>
            <w:rPr>
              <w:rFonts w:ascii="Times New Roman" w:eastAsia="Times New Roman"/>
            </w:rPr>
            <w:fldChar w:fldCharType="end"/>
          </w:r>
          <w:r>
            <w:rPr>
              <w:rFonts w:hint="eastAsia" w:ascii="Times New Roman" w:eastAsia="宋体"/>
              <w:lang w:val="en-US" w:eastAsia="zh-CN"/>
            </w:rPr>
            <w:t>8</w:t>
          </w:r>
        </w:p>
        <w:p>
          <w:pPr>
            <w:pStyle w:val="12"/>
            <w:tabs>
              <w:tab w:val="right" w:leader="dot" w:pos="10305"/>
            </w:tabs>
            <w:ind w:firstLine="420" w:firstLineChars="200"/>
            <w:rPr>
              <w:rFonts w:hint="eastAsia" w:ascii="Times New Roman" w:eastAsia="宋体"/>
              <w:lang w:val="en-US" w:eastAsia="zh-CN"/>
            </w:rPr>
          </w:pPr>
          <w:r>
            <w:fldChar w:fldCharType="begin"/>
          </w:r>
          <w:r>
            <w:instrText xml:space="preserve"> HYPERLINK \l "_bookmark112" </w:instrText>
          </w:r>
          <w:r>
            <w:fldChar w:fldCharType="separate"/>
          </w:r>
          <w:r>
            <w:t>第二卷</w:t>
          </w:r>
          <w:r>
            <w:tab/>
          </w:r>
          <w:r>
            <w:rPr>
              <w:rFonts w:hint="eastAsia" w:ascii="Times New Roman" w:eastAsia="宋体"/>
              <w:lang w:val="en-US" w:eastAsia="zh-CN"/>
            </w:rPr>
            <w:t>6</w:t>
          </w:r>
          <w:r>
            <w:rPr>
              <w:rFonts w:ascii="Times New Roman" w:eastAsia="Times New Roman"/>
            </w:rPr>
            <w:fldChar w:fldCharType="end"/>
          </w:r>
          <w:r>
            <w:rPr>
              <w:rFonts w:hint="eastAsia" w:ascii="Times New Roman" w:eastAsia="宋体"/>
              <w:lang w:val="en-US" w:eastAsia="zh-CN"/>
            </w:rPr>
            <w:t>9</w:t>
          </w:r>
        </w:p>
        <w:p>
          <w:pPr>
            <w:pStyle w:val="12"/>
            <w:tabs>
              <w:tab w:val="left" w:pos="939"/>
              <w:tab w:val="right" w:leader="dot" w:pos="10305"/>
            </w:tabs>
            <w:spacing w:before="167"/>
            <w:rPr>
              <w:rFonts w:ascii="Times New Roman" w:eastAsia="Times New Roman"/>
            </w:rPr>
          </w:pPr>
          <w:r>
            <w:fldChar w:fldCharType="begin"/>
          </w:r>
          <w:r>
            <w:instrText xml:space="preserve"> HYPERLINK \l "_bookmark113" </w:instrText>
          </w:r>
          <w:r>
            <w:fldChar w:fldCharType="separate"/>
          </w:r>
          <w:r>
            <w:t>第六章</w:t>
          </w:r>
          <w:r>
            <w:tab/>
          </w:r>
          <w:r>
            <w:t>图纸（另册发放）</w:t>
          </w:r>
          <w:r>
            <w:tab/>
          </w:r>
          <w:r>
            <w:rPr>
              <w:rFonts w:ascii="Times New Roman" w:eastAsia="Times New Roman"/>
            </w:rPr>
            <w:t>7</w:t>
          </w:r>
          <w:r>
            <w:rPr>
              <w:rFonts w:hint="eastAsia" w:ascii="Times New Roman" w:eastAsia="宋体"/>
              <w:lang w:val="en-US" w:eastAsia="zh-CN"/>
            </w:rPr>
            <w:t>0</w:t>
          </w:r>
          <w:r>
            <w:rPr>
              <w:rFonts w:ascii="Times New Roman" w:eastAsia="Times New Roman"/>
            </w:rPr>
            <w:fldChar w:fldCharType="end"/>
          </w:r>
        </w:p>
        <w:p>
          <w:pPr>
            <w:pStyle w:val="12"/>
            <w:tabs>
              <w:tab w:val="right" w:leader="dot" w:pos="10305"/>
            </w:tabs>
            <w:spacing w:before="169"/>
            <w:ind w:firstLine="420" w:firstLineChars="200"/>
            <w:rPr>
              <w:rFonts w:ascii="Times New Roman" w:eastAsia="Times New Roman"/>
            </w:rPr>
          </w:pPr>
          <w:r>
            <w:fldChar w:fldCharType="begin"/>
          </w:r>
          <w:r>
            <w:instrText xml:space="preserve"> HYPERLINK \l "_bookmark114" </w:instrText>
          </w:r>
          <w:r>
            <w:fldChar w:fldCharType="separate"/>
          </w:r>
          <w:r>
            <w:t>第三卷</w:t>
          </w:r>
          <w:r>
            <w:tab/>
          </w:r>
          <w:r>
            <w:rPr>
              <w:rFonts w:ascii="Times New Roman" w:eastAsia="Times New Roman"/>
            </w:rPr>
            <w:t>7</w:t>
          </w:r>
          <w:r>
            <w:rPr>
              <w:rFonts w:hint="eastAsia" w:ascii="Times New Roman" w:eastAsia="宋体"/>
              <w:lang w:val="en-US" w:eastAsia="zh-CN"/>
            </w:rPr>
            <w:t>1</w:t>
          </w:r>
          <w:r>
            <w:rPr>
              <w:rFonts w:ascii="Times New Roman" w:eastAsia="Times New Roman"/>
            </w:rPr>
            <w:fldChar w:fldCharType="end"/>
          </w:r>
        </w:p>
        <w:p>
          <w:pPr>
            <w:pStyle w:val="12"/>
            <w:tabs>
              <w:tab w:val="left" w:pos="939"/>
              <w:tab w:val="right" w:leader="dot" w:pos="10305"/>
            </w:tabs>
            <w:spacing w:before="169"/>
            <w:rPr>
              <w:rFonts w:ascii="Times New Roman" w:eastAsia="Times New Roman"/>
            </w:rPr>
          </w:pPr>
          <w:r>
            <w:fldChar w:fldCharType="begin"/>
          </w:r>
          <w:r>
            <w:instrText xml:space="preserve"> HYPERLINK \l "_bookmark115" </w:instrText>
          </w:r>
          <w:r>
            <w:fldChar w:fldCharType="separate"/>
          </w:r>
          <w:r>
            <w:t>第七章</w:t>
          </w:r>
          <w:r>
            <w:tab/>
          </w:r>
          <w:r>
            <w:t>技术标准和要求</w:t>
          </w:r>
          <w:r>
            <w:tab/>
          </w:r>
          <w:r>
            <w:rPr>
              <w:rFonts w:ascii="Times New Roman" w:eastAsia="Times New Roman"/>
            </w:rPr>
            <w:t>7</w:t>
          </w:r>
          <w:r>
            <w:rPr>
              <w:rFonts w:hint="eastAsia" w:ascii="Times New Roman" w:eastAsia="宋体"/>
              <w:lang w:val="en-US" w:eastAsia="zh-CN"/>
            </w:rPr>
            <w:t>2</w:t>
          </w:r>
          <w:r>
            <w:rPr>
              <w:rFonts w:ascii="Times New Roman" w:eastAsia="Times New Roman"/>
            </w:rPr>
            <w:fldChar w:fldCharType="end"/>
          </w:r>
        </w:p>
        <w:p>
          <w:pPr>
            <w:pStyle w:val="12"/>
            <w:tabs>
              <w:tab w:val="right" w:leader="dot" w:pos="10305"/>
            </w:tabs>
            <w:spacing w:before="167"/>
            <w:ind w:firstLine="420" w:firstLineChars="200"/>
            <w:rPr>
              <w:rFonts w:ascii="Times New Roman" w:eastAsia="Times New Roman"/>
            </w:rPr>
          </w:pPr>
          <w:r>
            <w:fldChar w:fldCharType="begin"/>
          </w:r>
          <w:r>
            <w:instrText xml:space="preserve"> HYPERLINK \l "_bookmark116" </w:instrText>
          </w:r>
          <w:r>
            <w:fldChar w:fldCharType="separate"/>
          </w:r>
          <w:r>
            <w:t>第四卷</w:t>
          </w:r>
          <w:r>
            <w:tab/>
          </w:r>
          <w:r>
            <w:rPr>
              <w:rFonts w:ascii="Times New Roman" w:eastAsia="Times New Roman"/>
            </w:rPr>
            <w:t>7</w:t>
          </w:r>
          <w:r>
            <w:rPr>
              <w:rFonts w:hint="eastAsia" w:ascii="Times New Roman" w:eastAsia="宋体"/>
              <w:lang w:val="en-US" w:eastAsia="zh-CN"/>
            </w:rPr>
            <w:t>3</w:t>
          </w:r>
          <w:r>
            <w:rPr>
              <w:rFonts w:ascii="Times New Roman" w:eastAsia="Times New Roman"/>
            </w:rPr>
            <w:fldChar w:fldCharType="end"/>
          </w:r>
        </w:p>
        <w:p>
          <w:pPr>
            <w:pStyle w:val="12"/>
            <w:tabs>
              <w:tab w:val="left" w:pos="939"/>
              <w:tab w:val="right" w:leader="dot" w:pos="10305"/>
            </w:tabs>
            <w:rPr>
              <w:rFonts w:ascii="Times New Roman" w:eastAsia="Times New Roman"/>
            </w:rPr>
          </w:pPr>
          <w:r>
            <w:fldChar w:fldCharType="begin"/>
          </w:r>
          <w:r>
            <w:instrText xml:space="preserve"> HYPERLINK \l "_bookmark117" </w:instrText>
          </w:r>
          <w:r>
            <w:fldChar w:fldCharType="separate"/>
          </w:r>
          <w:r>
            <w:t>第八章</w:t>
          </w:r>
          <w:r>
            <w:tab/>
          </w:r>
          <w:r>
            <w:t>投标文件格式</w:t>
          </w:r>
          <w:r>
            <w:tab/>
          </w:r>
          <w:r>
            <w:rPr>
              <w:rFonts w:ascii="Times New Roman" w:eastAsia="Times New Roman"/>
            </w:rPr>
            <w:t>7</w:t>
          </w:r>
          <w:r>
            <w:rPr>
              <w:rFonts w:hint="eastAsia" w:ascii="Times New Roman" w:eastAsia="宋体"/>
              <w:lang w:val="en-US" w:eastAsia="zh-CN"/>
            </w:rPr>
            <w:t>4</w:t>
          </w:r>
          <w:r>
            <w:rPr>
              <w:rFonts w:ascii="Times New Roman" w:eastAsia="Times New Roman"/>
            </w:rPr>
            <w:fldChar w:fldCharType="end"/>
          </w:r>
        </w:p>
      </w:sdtContent>
    </w:sdt>
    <w:p>
      <w:pPr>
        <w:spacing w:after="0"/>
        <w:rPr>
          <w:rFonts w:ascii="Times New Roman" w:eastAsia="Times New Roman"/>
        </w:rPr>
        <w:sectPr>
          <w:type w:val="continuous"/>
          <w:pgSz w:w="11910" w:h="16840"/>
          <w:pgMar w:top="1007" w:right="520" w:bottom="1477" w:left="980" w:header="720" w:footer="720" w:gutter="0"/>
        </w:sectPr>
      </w:pPr>
    </w:p>
    <w:p>
      <w:pPr>
        <w:pStyle w:val="3"/>
        <w:rPr>
          <w:rFonts w:ascii="Times New Roman"/>
          <w:sz w:val="84"/>
        </w:rPr>
      </w:pPr>
    </w:p>
    <w:p>
      <w:pPr>
        <w:pStyle w:val="3"/>
        <w:rPr>
          <w:rFonts w:ascii="Times New Roman"/>
          <w:sz w:val="84"/>
        </w:rPr>
      </w:pPr>
    </w:p>
    <w:p>
      <w:pPr>
        <w:pStyle w:val="3"/>
        <w:rPr>
          <w:rFonts w:ascii="Times New Roman"/>
          <w:sz w:val="84"/>
        </w:rPr>
      </w:pPr>
    </w:p>
    <w:p>
      <w:pPr>
        <w:pStyle w:val="3"/>
        <w:rPr>
          <w:rFonts w:ascii="Times New Roman"/>
          <w:sz w:val="84"/>
        </w:rPr>
      </w:pPr>
    </w:p>
    <w:p>
      <w:pPr>
        <w:pStyle w:val="3"/>
        <w:rPr>
          <w:rFonts w:ascii="Times New Roman"/>
          <w:sz w:val="84"/>
        </w:rPr>
      </w:pPr>
    </w:p>
    <w:p>
      <w:pPr>
        <w:pStyle w:val="3"/>
        <w:rPr>
          <w:rFonts w:ascii="Times New Roman"/>
          <w:sz w:val="84"/>
        </w:rPr>
      </w:pPr>
    </w:p>
    <w:p>
      <w:pPr>
        <w:pStyle w:val="3"/>
        <w:rPr>
          <w:rFonts w:ascii="Times New Roman"/>
          <w:sz w:val="84"/>
        </w:rPr>
      </w:pPr>
    </w:p>
    <w:p>
      <w:pPr>
        <w:pStyle w:val="4"/>
        <w:spacing w:before="680" w:line="240" w:lineRule="auto"/>
        <w:ind w:right="58"/>
      </w:pPr>
      <w:bookmarkStart w:id="0" w:name="第一卷"/>
      <w:bookmarkEnd w:id="0"/>
      <w:r>
        <w:rPr>
          <w:w w:val="95"/>
        </w:rPr>
        <w:t>第一卷</w:t>
      </w:r>
    </w:p>
    <w:p>
      <w:pPr>
        <w:spacing w:after="0" w:line="240" w:lineRule="auto"/>
        <w:sectPr>
          <w:footerReference r:id="rId5" w:type="default"/>
          <w:pgSz w:w="11910" w:h="16840"/>
          <w:pgMar w:top="1000" w:right="920" w:bottom="780" w:left="980" w:header="808" w:footer="595" w:gutter="0"/>
          <w:pgNumType w:fmt="decimal" w:start="1"/>
        </w:sectPr>
      </w:pPr>
    </w:p>
    <w:p>
      <w:pPr>
        <w:pStyle w:val="3"/>
        <w:spacing w:before="11"/>
        <w:rPr>
          <w:rFonts w:ascii="黑体"/>
          <w:b/>
          <w:sz w:val="28"/>
        </w:rPr>
      </w:pPr>
    </w:p>
    <w:p>
      <w:pPr>
        <w:pStyle w:val="6"/>
        <w:tabs>
          <w:tab w:val="left" w:pos="1283"/>
        </w:tabs>
        <w:ind w:right="56"/>
      </w:pPr>
      <w:bookmarkStart w:id="1" w:name="_bookmark1"/>
      <w:bookmarkEnd w:id="1"/>
      <w:bookmarkStart w:id="2" w:name="第一章  招标公告"/>
      <w:bookmarkEnd w:id="2"/>
      <w:r>
        <w:t>第一章</w:t>
      </w:r>
      <w:r>
        <w:tab/>
      </w:r>
      <w:r>
        <w:rPr>
          <w:w w:val="95"/>
        </w:rPr>
        <w:t>招标公告</w:t>
      </w:r>
    </w:p>
    <w:p>
      <w:pPr>
        <w:pStyle w:val="3"/>
        <w:spacing w:before="3"/>
        <w:rPr>
          <w:rFonts w:ascii="黑体"/>
          <w:b/>
          <w:sz w:val="29"/>
        </w:rPr>
      </w:pPr>
    </w:p>
    <w:p>
      <w:pPr>
        <w:spacing w:before="0" w:line="409" w:lineRule="exact"/>
        <w:ind w:left="0" w:right="56" w:firstLine="0"/>
        <w:jc w:val="center"/>
        <w:rPr>
          <w:rFonts w:hint="eastAsia" w:ascii="黑体" w:eastAsia="黑体"/>
          <w:b/>
          <w:sz w:val="32"/>
        </w:rPr>
      </w:pPr>
      <w:r>
        <w:rPr>
          <w:rFonts w:hint="eastAsia" w:ascii="黑体" w:eastAsia="黑体"/>
          <w:b/>
          <w:w w:val="95"/>
          <w:sz w:val="32"/>
        </w:rPr>
        <w:t>广西桂林华禹水利水电工程咨询有限公司关于</w:t>
      </w:r>
      <w:r>
        <w:rPr>
          <w:rFonts w:hint="eastAsia" w:ascii="黑体" w:eastAsia="黑体"/>
          <w:b/>
          <w:w w:val="95"/>
          <w:sz w:val="32"/>
          <w:lang w:eastAsia="zh-CN"/>
        </w:rPr>
        <w:t>富川县新华至莲山道路路面修复工程</w:t>
      </w:r>
      <w:r>
        <w:rPr>
          <w:rFonts w:hint="eastAsia" w:ascii="黑体" w:eastAsia="黑体"/>
          <w:b/>
          <w:w w:val="95"/>
          <w:sz w:val="32"/>
        </w:rPr>
        <w:t>招标公告</w:t>
      </w:r>
    </w:p>
    <w:p>
      <w:pPr>
        <w:pStyle w:val="3"/>
        <w:spacing w:before="11"/>
        <w:rPr>
          <w:rFonts w:ascii="黑体"/>
          <w:b/>
          <w:sz w:val="38"/>
        </w:rPr>
      </w:pPr>
    </w:p>
    <w:p>
      <w:pPr>
        <w:pStyle w:val="9"/>
        <w:spacing w:before="1"/>
        <w:ind w:left="100"/>
        <w:rPr>
          <w:rStyle w:val="15"/>
        </w:rPr>
      </w:pPr>
      <w:bookmarkStart w:id="3" w:name="_bookmark2"/>
      <w:bookmarkEnd w:id="3"/>
      <w:bookmarkStart w:id="4" w:name="1.招标条件"/>
      <w:bookmarkEnd w:id="4"/>
      <w:r>
        <w:rPr>
          <w:rStyle w:val="15"/>
        </w:rPr>
        <w:t>1.招标条件</w:t>
      </w:r>
    </w:p>
    <w:p>
      <w:pPr>
        <w:pStyle w:val="3"/>
        <w:spacing w:before="126" w:line="350" w:lineRule="auto"/>
        <w:ind w:left="100" w:right="158" w:firstLine="420"/>
        <w:jc w:val="both"/>
        <w:rPr>
          <w:rStyle w:val="15"/>
        </w:rPr>
      </w:pPr>
      <w:r>
        <w:rPr>
          <w:rStyle w:val="15"/>
        </w:rPr>
        <w:t>本招标项目</w:t>
      </w:r>
      <w:r>
        <w:rPr>
          <w:rStyle w:val="15"/>
          <w:rFonts w:hint="eastAsia"/>
          <w:u w:val="single"/>
          <w:lang w:eastAsia="zh-CN"/>
        </w:rPr>
        <w:t>富川县新华至莲山道路路面修复工程（招标编号：</w:t>
      </w:r>
      <w:r>
        <w:rPr>
          <w:rStyle w:val="15"/>
          <w:rFonts w:hint="eastAsia"/>
          <w:u w:val="single"/>
          <w:lang w:val="en-US" w:eastAsia="zh-CN"/>
        </w:rPr>
        <w:t>HZZC2020-G2-230031-GLHY</w:t>
      </w:r>
      <w:r>
        <w:rPr>
          <w:rStyle w:val="15"/>
          <w:rFonts w:hint="eastAsia"/>
          <w:u w:val="single"/>
          <w:lang w:eastAsia="zh-CN"/>
        </w:rPr>
        <w:t>）</w:t>
      </w:r>
      <w:r>
        <w:rPr>
          <w:rStyle w:val="15"/>
        </w:rPr>
        <w:t>，招标人（项目业主） 为</w:t>
      </w:r>
      <w:r>
        <w:rPr>
          <w:rStyle w:val="15"/>
          <w:rFonts w:hint="eastAsia"/>
          <w:u w:val="single"/>
          <w:lang w:val="en-US" w:eastAsia="zh-CN"/>
        </w:rPr>
        <w:t>富川瑶族自治县交通运输局</w:t>
      </w:r>
      <w:r>
        <w:rPr>
          <w:rStyle w:val="15"/>
        </w:rPr>
        <w:t>，建设资金来自预算内资金，出资比例为 100%。项目已具备招标条件，现对该项目</w:t>
      </w:r>
      <w:r>
        <w:rPr>
          <w:rStyle w:val="15"/>
          <w:rFonts w:hint="eastAsia"/>
          <w:u w:val="single"/>
          <w:lang w:eastAsia="zh-CN"/>
        </w:rPr>
        <w:t>富川县新华至莲山道路路面修复工程</w:t>
      </w:r>
      <w:r>
        <w:rPr>
          <w:rStyle w:val="15"/>
          <w:u w:val="single"/>
        </w:rPr>
        <w:t>施工</w:t>
      </w:r>
      <w:r>
        <w:rPr>
          <w:rStyle w:val="15"/>
        </w:rPr>
        <w:t>进行公开招标。</w:t>
      </w:r>
    </w:p>
    <w:p>
      <w:pPr>
        <w:pStyle w:val="9"/>
        <w:spacing w:before="29"/>
        <w:ind w:left="100"/>
        <w:rPr>
          <w:rStyle w:val="15"/>
        </w:rPr>
      </w:pPr>
      <w:bookmarkStart w:id="5" w:name="_bookmark3"/>
      <w:bookmarkEnd w:id="5"/>
      <w:bookmarkStart w:id="6" w:name="2.项目概况与招标范围"/>
      <w:bookmarkEnd w:id="6"/>
      <w:r>
        <w:rPr>
          <w:rStyle w:val="15"/>
        </w:rPr>
        <w:t>2.项目概况与招标范围</w:t>
      </w:r>
    </w:p>
    <w:p>
      <w:pPr>
        <w:pStyle w:val="3"/>
        <w:spacing w:before="123" w:line="350" w:lineRule="auto"/>
        <w:ind w:left="520" w:right="4658"/>
        <w:rPr>
          <w:rStyle w:val="15"/>
        </w:rPr>
      </w:pPr>
      <w:r>
        <w:rPr>
          <w:rStyle w:val="15"/>
        </w:rPr>
        <w:t>项目名称：</w:t>
      </w:r>
      <w:r>
        <w:rPr>
          <w:rStyle w:val="15"/>
          <w:rFonts w:hint="eastAsia"/>
          <w:lang w:eastAsia="zh-CN"/>
        </w:rPr>
        <w:t>富川县新华至莲山道路路面修复工程</w:t>
      </w:r>
      <w:r>
        <w:rPr>
          <w:rStyle w:val="15"/>
        </w:rPr>
        <w:t xml:space="preserve"> </w:t>
      </w:r>
    </w:p>
    <w:p>
      <w:pPr>
        <w:pStyle w:val="3"/>
        <w:spacing w:before="123" w:line="350" w:lineRule="auto"/>
        <w:ind w:left="520" w:right="4658"/>
        <w:rPr>
          <w:rStyle w:val="15"/>
        </w:rPr>
      </w:pPr>
      <w:r>
        <w:rPr>
          <w:rStyle w:val="15"/>
        </w:rPr>
        <w:t>项目编号：</w:t>
      </w:r>
      <w:r>
        <w:rPr>
          <w:rStyle w:val="15"/>
          <w:rFonts w:hint="eastAsia"/>
          <w:lang w:val="en-US" w:eastAsia="zh-CN"/>
        </w:rPr>
        <w:t>HZZC2020-G2-230031-GLHY</w:t>
      </w:r>
    </w:p>
    <w:p>
      <w:pPr>
        <w:pStyle w:val="3"/>
        <w:spacing w:before="29"/>
        <w:ind w:left="520"/>
        <w:rPr>
          <w:rStyle w:val="15"/>
        </w:rPr>
      </w:pPr>
      <w:r>
        <w:rPr>
          <w:rStyle w:val="15"/>
        </w:rPr>
        <w:t>建设地点：</w:t>
      </w:r>
      <w:r>
        <w:rPr>
          <w:rStyle w:val="15"/>
          <w:rFonts w:hint="eastAsia"/>
          <w:lang w:eastAsia="zh-CN"/>
        </w:rPr>
        <w:t>富川县新华至莲山</w:t>
      </w:r>
    </w:p>
    <w:p>
      <w:pPr>
        <w:pStyle w:val="3"/>
        <w:spacing w:before="125"/>
        <w:ind w:left="100" w:firstLine="420" w:firstLineChars="200"/>
        <w:rPr>
          <w:rStyle w:val="15"/>
        </w:rPr>
      </w:pPr>
      <w:r>
        <w:rPr>
          <w:rStyle w:val="15"/>
        </w:rPr>
        <w:t>建设规模：</w:t>
      </w:r>
      <w:r>
        <w:rPr>
          <w:rStyle w:val="15"/>
          <w:rFonts w:hint="eastAsia"/>
          <w:lang w:val="en-US" w:eastAsia="zh-CN"/>
        </w:rPr>
        <w:t>10498m路面修复工程</w:t>
      </w:r>
      <w:r>
        <w:rPr>
          <w:rStyle w:val="15"/>
          <w:rFonts w:hint="eastAsia"/>
        </w:rPr>
        <w:t>含路基、路面、桥涵等工程项目（详见项目工程量清单及施工图纸）</w:t>
      </w:r>
      <w:r>
        <w:rPr>
          <w:rStyle w:val="15"/>
        </w:rPr>
        <w:t>。</w:t>
      </w:r>
    </w:p>
    <w:p>
      <w:pPr>
        <w:pStyle w:val="3"/>
        <w:spacing w:before="125" w:line="348" w:lineRule="auto"/>
        <w:ind w:left="520" w:right="1360"/>
        <w:rPr>
          <w:rStyle w:val="15"/>
        </w:rPr>
      </w:pPr>
      <w:r>
        <w:rPr>
          <w:rStyle w:val="15"/>
        </w:rPr>
        <w:t>合同估算价：约（人民币：大写）</w:t>
      </w:r>
      <w:r>
        <w:rPr>
          <w:rStyle w:val="15"/>
          <w:rFonts w:hint="eastAsia"/>
          <w:lang w:eastAsia="zh-CN"/>
        </w:rPr>
        <w:t>肆佰零壹万陆仟壹佰壹拾贰元整</w:t>
      </w:r>
      <w:r>
        <w:rPr>
          <w:rStyle w:val="15"/>
        </w:rPr>
        <w:t>（¥</w:t>
      </w:r>
      <w:r>
        <w:rPr>
          <w:rStyle w:val="15"/>
          <w:rFonts w:hint="eastAsia"/>
          <w:lang w:val="en-US" w:eastAsia="zh-CN"/>
        </w:rPr>
        <w:t>4016112.00</w:t>
      </w:r>
      <w:r>
        <w:rPr>
          <w:rStyle w:val="15"/>
        </w:rPr>
        <w:t>）。  要求工期：计划开工日期均以开工令为准，施工总工期为</w:t>
      </w:r>
      <w:r>
        <w:rPr>
          <w:rStyle w:val="15"/>
          <w:rFonts w:hint="eastAsia"/>
          <w:lang w:val="en-US" w:eastAsia="zh-CN"/>
        </w:rPr>
        <w:t>60</w:t>
      </w:r>
      <w:r>
        <w:rPr>
          <w:rStyle w:val="15"/>
        </w:rPr>
        <w:t xml:space="preserve"> 天（日历日）。</w:t>
      </w:r>
    </w:p>
    <w:p>
      <w:pPr>
        <w:pStyle w:val="3"/>
        <w:spacing w:before="31" w:line="350" w:lineRule="auto"/>
        <w:ind w:left="100" w:right="158" w:firstLine="420"/>
        <w:rPr>
          <w:rStyle w:val="15"/>
        </w:rPr>
      </w:pPr>
      <w:r>
        <w:rPr>
          <w:rStyle w:val="15"/>
        </w:rPr>
        <w:t>招标范围：建设规模描述范围内的公路工程施工，详见招标文件经财政投资评审的工程量清单内容。</w:t>
      </w:r>
    </w:p>
    <w:p>
      <w:pPr>
        <w:pStyle w:val="3"/>
        <w:spacing w:before="126" w:line="350" w:lineRule="auto"/>
        <w:ind w:left="520" w:right="5916"/>
        <w:rPr>
          <w:rStyle w:val="15"/>
        </w:rPr>
      </w:pPr>
      <w:r>
        <w:rPr>
          <w:rStyle w:val="15"/>
        </w:rPr>
        <w:t>标段划分：本项目分 1 个标段。</w:t>
      </w:r>
    </w:p>
    <w:p>
      <w:pPr>
        <w:pStyle w:val="9"/>
        <w:spacing w:before="27"/>
        <w:ind w:left="100"/>
        <w:rPr>
          <w:rStyle w:val="15"/>
        </w:rPr>
      </w:pPr>
      <w:bookmarkStart w:id="7" w:name="3.本项目需要落实的政府采购政策"/>
      <w:bookmarkEnd w:id="7"/>
      <w:r>
        <w:rPr>
          <w:rStyle w:val="15"/>
        </w:rPr>
        <w:t>3.本项目需要落实的政府采购政策</w:t>
      </w:r>
    </w:p>
    <w:p>
      <w:pPr>
        <w:pStyle w:val="3"/>
        <w:spacing w:before="126"/>
        <w:ind w:left="100"/>
        <w:rPr>
          <w:rStyle w:val="15"/>
        </w:rPr>
      </w:pPr>
      <w:bookmarkStart w:id="8" w:name="《中华人民共和国政府采购法》（中华人民共和国主席令第14 号）、《中华人民共和国"/>
      <w:bookmarkEnd w:id="8"/>
      <w:r>
        <w:rPr>
          <w:rStyle w:val="15"/>
        </w:rPr>
        <w:t>《中华人民共和国政府采购法》（中华人民共和国主席令第 14 号）、《中华人民共和国政府采购法实</w:t>
      </w:r>
    </w:p>
    <w:p>
      <w:pPr>
        <w:pStyle w:val="3"/>
        <w:spacing w:before="126" w:line="348" w:lineRule="auto"/>
        <w:ind w:left="100" w:right="158"/>
        <w:jc w:val="both"/>
        <w:rPr>
          <w:rStyle w:val="15"/>
        </w:rPr>
      </w:pPr>
      <w:bookmarkStart w:id="9" w:name="施条例》（中华人民共和国国务院令第658 号）、《政府采购促进中小企业发展暂行办"/>
      <w:bookmarkEnd w:id="9"/>
      <w:r>
        <w:rPr>
          <w:rStyle w:val="15"/>
        </w:rPr>
        <w:t xml:space="preserve">施条例》（中华人民共和国国务院令第 658 号）、《政府采购促进中小企业发展暂行办法》（财库[2011]181 </w:t>
      </w:r>
      <w:bookmarkStart w:id="10" w:name="号）、《关于政府采购支持监狱企业发展有关问题的通知》（财库[2014]68 号）"/>
      <w:bookmarkEnd w:id="10"/>
      <w:r>
        <w:rPr>
          <w:rStyle w:val="15"/>
        </w:rPr>
        <w:t>号）、《关于政府采购支持监狱企业发展有关问题的通知》（财库[2014]68 号）及《关于促进残疾人就业</w:t>
      </w:r>
      <w:bookmarkStart w:id="11" w:name="政府采购政策的通知》（财库[2017]141 号）等相关法律法规。"/>
      <w:bookmarkEnd w:id="11"/>
      <w:r>
        <w:rPr>
          <w:rStyle w:val="15"/>
        </w:rPr>
        <w:t>政府采购政策的通知》（财库[2017]141 号）等相关法律法规。</w:t>
      </w:r>
    </w:p>
    <w:p>
      <w:pPr>
        <w:pStyle w:val="9"/>
        <w:spacing w:before="31"/>
        <w:ind w:left="100"/>
        <w:rPr>
          <w:rStyle w:val="15"/>
        </w:rPr>
      </w:pPr>
      <w:bookmarkStart w:id="12" w:name="4.投标人资格要求"/>
      <w:bookmarkEnd w:id="12"/>
      <w:bookmarkStart w:id="13" w:name="_bookmark4"/>
      <w:bookmarkEnd w:id="13"/>
      <w:r>
        <w:rPr>
          <w:rStyle w:val="15"/>
        </w:rPr>
        <w:t>4.投标人资格要求</w:t>
      </w:r>
    </w:p>
    <w:p>
      <w:pPr>
        <w:pStyle w:val="17"/>
        <w:numPr>
          <w:ilvl w:val="1"/>
          <w:numId w:val="1"/>
        </w:numPr>
        <w:tabs>
          <w:tab w:val="left" w:pos="888"/>
        </w:tabs>
        <w:spacing w:before="123" w:after="0" w:line="350" w:lineRule="auto"/>
        <w:ind w:left="100" w:right="158" w:firstLine="420"/>
        <w:jc w:val="both"/>
        <w:rPr>
          <w:rStyle w:val="15"/>
        </w:rPr>
      </w:pPr>
      <w:r>
        <w:rPr>
          <w:rStyle w:val="15"/>
        </w:rPr>
        <w:t>本次招标要求投标人须具备国内企业法人资格，具备公路工程施工总承包叁级及以上资质，并在人员、设备、资金等方面具有相应的施工能力，其中，投标人拟派注册建造师须具备公路工程专业贰级及以上注册建造师执业资格。本项目不接受有在建、已中标未开工或已列为其他项目中标候选人第一名的注册建造师作为项目经理。</w:t>
      </w:r>
    </w:p>
    <w:p>
      <w:pPr>
        <w:pStyle w:val="17"/>
        <w:numPr>
          <w:ilvl w:val="1"/>
          <w:numId w:val="1"/>
        </w:numPr>
        <w:tabs>
          <w:tab w:val="left" w:pos="888"/>
        </w:tabs>
        <w:spacing w:before="29" w:after="0" w:line="240" w:lineRule="auto"/>
        <w:ind w:left="100" w:right="0" w:firstLine="420"/>
        <w:jc w:val="left"/>
        <w:rPr>
          <w:rStyle w:val="15"/>
        </w:rPr>
      </w:pPr>
      <w:r>
        <w:rPr>
          <w:rStyle w:val="15"/>
        </w:rPr>
        <w:t>业绩要求：无</w:t>
      </w:r>
    </w:p>
    <w:p>
      <w:pPr>
        <w:pStyle w:val="17"/>
        <w:numPr>
          <w:ilvl w:val="1"/>
          <w:numId w:val="1"/>
        </w:numPr>
        <w:tabs>
          <w:tab w:val="left" w:pos="888"/>
        </w:tabs>
        <w:spacing w:before="35" w:after="0" w:line="240" w:lineRule="auto"/>
        <w:ind w:left="100" w:right="0" w:firstLine="420"/>
        <w:jc w:val="left"/>
        <w:rPr>
          <w:rStyle w:val="15"/>
        </w:rPr>
      </w:pPr>
      <w:r>
        <w:rPr>
          <w:rStyle w:val="15"/>
        </w:rPr>
        <w:t>本次招标不接受联合体投标。</w:t>
      </w:r>
    </w:p>
    <w:p>
      <w:pPr>
        <w:pStyle w:val="9"/>
        <w:spacing w:before="123"/>
        <w:ind w:left="100"/>
        <w:rPr>
          <w:rStyle w:val="15"/>
        </w:rPr>
      </w:pPr>
      <w:bookmarkStart w:id="14" w:name="5.投标报名"/>
      <w:bookmarkEnd w:id="14"/>
      <w:r>
        <w:rPr>
          <w:rStyle w:val="15"/>
        </w:rPr>
        <w:t>5.投标报名</w:t>
      </w:r>
    </w:p>
    <w:p>
      <w:pPr>
        <w:pStyle w:val="3"/>
        <w:tabs>
          <w:tab w:val="left" w:pos="4969"/>
          <w:tab w:val="left" w:pos="5502"/>
          <w:tab w:val="left" w:pos="6985"/>
          <w:tab w:val="left" w:pos="7518"/>
        </w:tabs>
        <w:spacing w:before="125" w:line="350" w:lineRule="auto"/>
        <w:ind w:left="100" w:right="211" w:firstLine="420"/>
        <w:rPr>
          <w:rStyle w:val="15"/>
        </w:rPr>
      </w:pPr>
      <w:r>
        <w:rPr>
          <w:rStyle w:val="15"/>
        </w:rPr>
        <w:t>现场报名。凡有意参加投</w:t>
      </w:r>
      <w:bookmarkStart w:id="15" w:name="_bookmark5"/>
      <w:bookmarkEnd w:id="15"/>
      <w:r>
        <w:rPr>
          <w:rStyle w:val="15"/>
        </w:rPr>
        <w:t>标者，请于 20</w:t>
      </w:r>
      <w:r>
        <w:rPr>
          <w:rStyle w:val="15"/>
          <w:rFonts w:hint="eastAsia"/>
          <w:lang w:val="en-US" w:eastAsia="zh-CN"/>
        </w:rPr>
        <w:t>20</w:t>
      </w:r>
      <w:r>
        <w:rPr>
          <w:rStyle w:val="15"/>
        </w:rPr>
        <w:t xml:space="preserve"> 年</w:t>
      </w:r>
      <w:r>
        <w:rPr>
          <w:rStyle w:val="15"/>
          <w:rFonts w:hint="eastAsia"/>
          <w:lang w:val="en-US" w:eastAsia="zh-CN"/>
        </w:rPr>
        <w:t>6</w:t>
      </w:r>
      <w:r>
        <w:rPr>
          <w:rStyle w:val="15"/>
        </w:rPr>
        <w:t>月</w:t>
      </w:r>
      <w:r>
        <w:rPr>
          <w:rStyle w:val="15"/>
          <w:rFonts w:hint="eastAsia"/>
          <w:lang w:val="en-US" w:eastAsia="zh-CN"/>
        </w:rPr>
        <w:t>16</w:t>
      </w:r>
      <w:r>
        <w:rPr>
          <w:rStyle w:val="15"/>
        </w:rPr>
        <w:t>日至 20</w:t>
      </w:r>
      <w:r>
        <w:rPr>
          <w:rStyle w:val="15"/>
          <w:rFonts w:hint="eastAsia"/>
          <w:lang w:val="en-US" w:eastAsia="zh-CN"/>
        </w:rPr>
        <w:t>20</w:t>
      </w:r>
      <w:r>
        <w:rPr>
          <w:rStyle w:val="15"/>
        </w:rPr>
        <w:t xml:space="preserve"> 年</w:t>
      </w:r>
      <w:r>
        <w:rPr>
          <w:rStyle w:val="15"/>
          <w:rFonts w:hint="eastAsia"/>
          <w:lang w:val="en-US" w:eastAsia="zh-CN"/>
        </w:rPr>
        <w:t>6</w:t>
      </w:r>
      <w:r>
        <w:rPr>
          <w:rStyle w:val="15"/>
        </w:rPr>
        <w:t>月</w:t>
      </w:r>
      <w:r>
        <w:rPr>
          <w:rStyle w:val="15"/>
          <w:rFonts w:hint="eastAsia"/>
          <w:lang w:val="en-US" w:eastAsia="zh-CN"/>
        </w:rPr>
        <w:t>23</w:t>
      </w:r>
      <w:r>
        <w:rPr>
          <w:rStyle w:val="15"/>
        </w:rPr>
        <w:t>日（法定公休日、法定节 假日除外），每日上午 8 时 30 分至 11 时 30 分，下午 3 时 00 分至 5 时</w:t>
      </w:r>
      <w:r>
        <w:rPr>
          <w:rStyle w:val="15"/>
          <w:rFonts w:hint="eastAsia"/>
          <w:lang w:val="en-US" w:eastAsia="zh-CN"/>
        </w:rPr>
        <w:t xml:space="preserve"> 0</w:t>
      </w:r>
      <w:r>
        <w:rPr>
          <w:rStyle w:val="15"/>
        </w:rPr>
        <w:t>0 分，由潜在投标人的法定代表人（持有效的法定代表人身份证明原件和本人二代居民身份证原件）或其授权委托代理人（持有效的法人授权委托书原件和本人居民二代身份证原件）携带以下材料（所有资料要求加盖潜在投标人单位公章复印件一份，报名后留下存档）：“三（或五）证合一”后新版的《企业营业执照》或《事业单位法人证书》在贺州市公共资源交易中心</w:t>
      </w:r>
      <w:r>
        <w:rPr>
          <w:rStyle w:val="15"/>
          <w:lang w:eastAsia="zh-CN"/>
        </w:rPr>
        <w:t>服务窗口</w:t>
      </w:r>
      <w:r>
        <w:rPr>
          <w:rStyle w:val="15"/>
        </w:rPr>
        <w:t>现场报名。</w:t>
      </w:r>
    </w:p>
    <w:p>
      <w:pPr>
        <w:pStyle w:val="9"/>
        <w:spacing w:before="31"/>
        <w:ind w:left="100"/>
        <w:rPr>
          <w:rStyle w:val="15"/>
        </w:rPr>
      </w:pPr>
      <w:bookmarkStart w:id="16" w:name="6.招标文件的获取"/>
      <w:bookmarkEnd w:id="16"/>
      <w:bookmarkStart w:id="17" w:name="_bookmark6"/>
      <w:bookmarkEnd w:id="17"/>
      <w:r>
        <w:rPr>
          <w:rStyle w:val="15"/>
        </w:rPr>
        <w:t>6.招标文件的获取</w:t>
      </w:r>
    </w:p>
    <w:p>
      <w:pPr>
        <w:pStyle w:val="17"/>
        <w:numPr>
          <w:ilvl w:val="1"/>
          <w:numId w:val="2"/>
        </w:numPr>
        <w:tabs>
          <w:tab w:val="left" w:pos="888"/>
          <w:tab w:val="left" w:pos="4155"/>
          <w:tab w:val="left" w:pos="4679"/>
          <w:tab w:val="left" w:pos="6150"/>
          <w:tab w:val="left" w:pos="6675"/>
        </w:tabs>
        <w:spacing w:before="123" w:after="0" w:line="350" w:lineRule="auto"/>
        <w:ind w:left="100" w:right="-110" w:rightChars="0" w:firstLine="420"/>
        <w:jc w:val="left"/>
        <w:rPr>
          <w:rStyle w:val="15"/>
        </w:rPr>
      </w:pPr>
      <w:r>
        <w:rPr>
          <w:rStyle w:val="15"/>
        </w:rPr>
        <w:t>凡通过现场报名者，请于 20</w:t>
      </w:r>
      <w:r>
        <w:rPr>
          <w:rStyle w:val="15"/>
          <w:rFonts w:hint="eastAsia"/>
          <w:lang w:val="en-US" w:eastAsia="zh-CN"/>
        </w:rPr>
        <w:t>20</w:t>
      </w:r>
      <w:r>
        <w:rPr>
          <w:rStyle w:val="15"/>
        </w:rPr>
        <w:t xml:space="preserve"> 年</w:t>
      </w:r>
      <w:r>
        <w:rPr>
          <w:rStyle w:val="15"/>
          <w:rFonts w:hint="eastAsia"/>
          <w:lang w:val="en-US" w:eastAsia="zh-CN"/>
        </w:rPr>
        <w:t>6</w:t>
      </w:r>
      <w:r>
        <w:rPr>
          <w:rStyle w:val="15"/>
        </w:rPr>
        <w:t>月</w:t>
      </w:r>
      <w:r>
        <w:rPr>
          <w:rStyle w:val="15"/>
          <w:rFonts w:hint="eastAsia"/>
          <w:lang w:val="en-US" w:eastAsia="zh-CN"/>
        </w:rPr>
        <w:t xml:space="preserve">16 </w:t>
      </w:r>
      <w:r>
        <w:rPr>
          <w:rStyle w:val="15"/>
        </w:rPr>
        <w:t>日至 20</w:t>
      </w:r>
      <w:r>
        <w:rPr>
          <w:rStyle w:val="15"/>
          <w:rFonts w:hint="eastAsia"/>
          <w:lang w:val="en-US" w:eastAsia="zh-CN"/>
        </w:rPr>
        <w:t>20</w:t>
      </w:r>
      <w:r>
        <w:rPr>
          <w:rStyle w:val="15"/>
        </w:rPr>
        <w:t xml:space="preserve"> 年</w:t>
      </w:r>
      <w:r>
        <w:rPr>
          <w:rStyle w:val="15"/>
          <w:rFonts w:hint="eastAsia"/>
          <w:lang w:val="en-US" w:eastAsia="zh-CN"/>
        </w:rPr>
        <w:t>6</w:t>
      </w:r>
      <w:r>
        <w:rPr>
          <w:rStyle w:val="15"/>
        </w:rPr>
        <w:t>月</w:t>
      </w:r>
      <w:r>
        <w:rPr>
          <w:rStyle w:val="15"/>
          <w:rFonts w:hint="eastAsia"/>
          <w:lang w:val="en-US" w:eastAsia="zh-CN"/>
        </w:rPr>
        <w:t>23</w:t>
      </w:r>
      <w:r>
        <w:rPr>
          <w:rStyle w:val="15"/>
        </w:rPr>
        <w:t xml:space="preserve">日（法定公休日、法定节假日除外），每日上午 8 时 30 分至 11 时 30 分，下午 3 时 00 分至 5 时 </w:t>
      </w:r>
      <w:r>
        <w:rPr>
          <w:rStyle w:val="15"/>
          <w:rFonts w:hint="eastAsia"/>
          <w:lang w:val="en-US" w:eastAsia="zh-CN"/>
        </w:rPr>
        <w:t>0</w:t>
      </w:r>
      <w:r>
        <w:rPr>
          <w:rStyle w:val="15"/>
        </w:rPr>
        <w:t>0 分，由通过报名的潜在投标人的法定代表人或其授权委托代理人在贺州市公共资源交易中心</w:t>
      </w:r>
      <w:r>
        <w:rPr>
          <w:rStyle w:val="15"/>
          <w:lang w:eastAsia="zh-CN"/>
        </w:rPr>
        <w:t>服务窗口</w:t>
      </w:r>
      <w:r>
        <w:rPr>
          <w:rStyle w:val="15"/>
        </w:rPr>
        <w:t>购买招标文件。</w:t>
      </w:r>
    </w:p>
    <w:p>
      <w:pPr>
        <w:pStyle w:val="17"/>
        <w:numPr>
          <w:ilvl w:val="1"/>
          <w:numId w:val="2"/>
        </w:numPr>
        <w:tabs>
          <w:tab w:val="left" w:pos="888"/>
        </w:tabs>
        <w:spacing w:before="27" w:after="0" w:line="240" w:lineRule="auto"/>
        <w:ind w:left="100" w:right="0" w:firstLine="420"/>
        <w:jc w:val="left"/>
        <w:rPr>
          <w:rStyle w:val="15"/>
        </w:rPr>
      </w:pPr>
      <w:r>
        <w:rPr>
          <w:rStyle w:val="15"/>
        </w:rPr>
        <w:t>招标文件售价 300 元/套（不含图纸费用），售后不退。</w:t>
      </w:r>
    </w:p>
    <w:p>
      <w:pPr>
        <w:pStyle w:val="9"/>
        <w:spacing w:before="126"/>
        <w:ind w:left="100"/>
        <w:rPr>
          <w:rStyle w:val="15"/>
        </w:rPr>
      </w:pPr>
      <w:bookmarkStart w:id="18" w:name="_bookmark7"/>
      <w:bookmarkEnd w:id="18"/>
      <w:bookmarkStart w:id="19" w:name="7.投标文件的递交"/>
      <w:bookmarkEnd w:id="19"/>
      <w:r>
        <w:rPr>
          <w:rStyle w:val="15"/>
        </w:rPr>
        <w:t>7.投标文件的递交</w:t>
      </w:r>
    </w:p>
    <w:p>
      <w:pPr>
        <w:pStyle w:val="17"/>
        <w:numPr>
          <w:ilvl w:val="1"/>
          <w:numId w:val="3"/>
        </w:numPr>
        <w:tabs>
          <w:tab w:val="left" w:pos="897"/>
        </w:tabs>
        <w:spacing w:before="126" w:after="0" w:line="348" w:lineRule="auto"/>
        <w:ind w:left="100" w:right="218" w:firstLine="420"/>
        <w:jc w:val="both"/>
        <w:rPr>
          <w:rStyle w:val="15"/>
        </w:rPr>
      </w:pPr>
      <w:r>
        <w:rPr>
          <w:rStyle w:val="15"/>
        </w:rPr>
        <w:t>投标文件递交的截止时间（投标截止时间，下同）为 20</w:t>
      </w:r>
      <w:r>
        <w:rPr>
          <w:rStyle w:val="15"/>
          <w:rFonts w:hint="eastAsia"/>
          <w:lang w:val="en-US" w:eastAsia="zh-CN"/>
        </w:rPr>
        <w:t>20</w:t>
      </w:r>
      <w:r>
        <w:rPr>
          <w:rStyle w:val="15"/>
        </w:rPr>
        <w:t xml:space="preserve"> 年</w:t>
      </w:r>
      <w:r>
        <w:rPr>
          <w:rStyle w:val="15"/>
          <w:rFonts w:hint="eastAsia"/>
          <w:lang w:val="en-US" w:eastAsia="zh-CN"/>
        </w:rPr>
        <w:t>7</w:t>
      </w:r>
      <w:r>
        <w:rPr>
          <w:rStyle w:val="15"/>
        </w:rPr>
        <w:t>月</w:t>
      </w:r>
      <w:r>
        <w:rPr>
          <w:rStyle w:val="15"/>
          <w:rFonts w:hint="eastAsia"/>
          <w:lang w:val="en-US" w:eastAsia="zh-CN"/>
        </w:rPr>
        <w:t>7</w:t>
      </w:r>
      <w:r>
        <w:rPr>
          <w:rStyle w:val="15"/>
        </w:rPr>
        <w:t>日</w:t>
      </w:r>
      <w:r>
        <w:rPr>
          <w:rStyle w:val="15"/>
          <w:rFonts w:hint="eastAsia"/>
          <w:lang w:val="en-US" w:eastAsia="zh-CN"/>
        </w:rPr>
        <w:t>15</w:t>
      </w:r>
      <w:r>
        <w:rPr>
          <w:rStyle w:val="15"/>
        </w:rPr>
        <w:t>时</w:t>
      </w:r>
      <w:r>
        <w:rPr>
          <w:rStyle w:val="15"/>
          <w:rFonts w:hint="eastAsia"/>
          <w:lang w:val="en-US" w:eastAsia="zh-CN"/>
        </w:rPr>
        <w:t>30</w:t>
      </w:r>
      <w:r>
        <w:rPr>
          <w:rStyle w:val="15"/>
        </w:rPr>
        <w:t>分，地点为贺州市公共资源交易中心交易大厅，具体号数以开标日当天贺州市公共资源交易中心电子显示屏公布大厅号数为准。</w:t>
      </w:r>
    </w:p>
    <w:p>
      <w:pPr>
        <w:pStyle w:val="17"/>
        <w:numPr>
          <w:ilvl w:val="1"/>
          <w:numId w:val="3"/>
        </w:numPr>
        <w:tabs>
          <w:tab w:val="left" w:pos="940"/>
        </w:tabs>
        <w:spacing w:before="31" w:after="0" w:line="240" w:lineRule="auto"/>
        <w:ind w:left="940" w:right="0" w:hanging="420"/>
        <w:jc w:val="left"/>
        <w:rPr>
          <w:rStyle w:val="15"/>
        </w:rPr>
      </w:pPr>
      <w:r>
        <w:rPr>
          <w:rStyle w:val="15"/>
        </w:rPr>
        <w:t>逾期送达的或者未送达指定地点的投标文件，招标人不予受理。</w:t>
      </w:r>
    </w:p>
    <w:p>
      <w:pPr>
        <w:pStyle w:val="9"/>
        <w:spacing w:before="123"/>
        <w:ind w:left="100"/>
        <w:rPr>
          <w:rStyle w:val="15"/>
        </w:rPr>
      </w:pPr>
      <w:bookmarkStart w:id="20" w:name="_bookmark8"/>
      <w:bookmarkEnd w:id="20"/>
      <w:bookmarkStart w:id="21" w:name="8.评标方式：综合评估法。"/>
      <w:bookmarkEnd w:id="21"/>
      <w:r>
        <w:rPr>
          <w:rStyle w:val="15"/>
        </w:rPr>
        <w:t>8.评标方式：综合评估法。</w:t>
      </w:r>
    </w:p>
    <w:p>
      <w:pPr>
        <w:spacing w:before="126"/>
        <w:ind w:left="100" w:right="0" w:firstLine="0"/>
        <w:jc w:val="left"/>
        <w:rPr>
          <w:rStyle w:val="15"/>
          <w:rFonts w:hint="eastAsia" w:eastAsia="宋体"/>
          <w:lang w:eastAsia="zh-CN"/>
        </w:rPr>
      </w:pPr>
      <w:bookmarkStart w:id="22" w:name="9.预付款和进度款支付方式 "/>
      <w:bookmarkEnd w:id="22"/>
      <w:bookmarkStart w:id="23" w:name="_bookmark9"/>
      <w:bookmarkEnd w:id="23"/>
      <w:r>
        <w:rPr>
          <w:rStyle w:val="15"/>
          <w:b/>
          <w:bCs/>
        </w:rPr>
        <w:t>9.预付款和进度款支付方式</w:t>
      </w:r>
      <w:r>
        <w:rPr>
          <w:rStyle w:val="15"/>
          <w:rFonts w:hint="eastAsia"/>
          <w:b/>
          <w:bCs/>
          <w:lang w:eastAsia="zh-CN"/>
        </w:rPr>
        <w:t>：</w:t>
      </w:r>
    </w:p>
    <w:p>
      <w:pPr>
        <w:pStyle w:val="3"/>
        <w:spacing w:before="126"/>
        <w:ind w:left="520"/>
        <w:rPr>
          <w:rStyle w:val="15"/>
        </w:rPr>
      </w:pPr>
      <w:r>
        <w:rPr>
          <w:rStyle w:val="15"/>
        </w:rPr>
        <w:t>预付款支付比例或金额：</w:t>
      </w:r>
      <w:r>
        <w:rPr>
          <w:rStyle w:val="15"/>
          <w:rFonts w:hint="eastAsia"/>
          <w:lang w:eastAsia="zh-CN"/>
        </w:rPr>
        <w:t>本项目无预付款</w:t>
      </w:r>
      <w:r>
        <w:rPr>
          <w:rStyle w:val="15"/>
        </w:rPr>
        <w:t>。</w:t>
      </w:r>
    </w:p>
    <w:p>
      <w:pPr>
        <w:pStyle w:val="3"/>
        <w:spacing w:before="125"/>
        <w:ind w:left="100" w:firstLine="420" w:firstLineChars="200"/>
        <w:rPr>
          <w:rStyle w:val="15"/>
          <w:rFonts w:hint="eastAsia" w:eastAsia="宋体"/>
          <w:lang w:eastAsia="zh-CN"/>
        </w:rPr>
      </w:pPr>
      <w:r>
        <w:rPr>
          <w:rStyle w:val="15"/>
        </w:rPr>
        <w:t>进度款支付方式：</w:t>
      </w:r>
      <w:r>
        <w:rPr>
          <w:rStyle w:val="15"/>
          <w:rFonts w:hint="eastAsia"/>
        </w:rPr>
        <w:t>详见招标文件</w:t>
      </w:r>
      <w:r>
        <w:rPr>
          <w:rStyle w:val="15"/>
          <w:rFonts w:hint="eastAsia"/>
          <w:lang w:eastAsia="zh-CN"/>
        </w:rPr>
        <w:t>（项目专用合同条款）。</w:t>
      </w:r>
    </w:p>
    <w:p>
      <w:pPr>
        <w:pStyle w:val="9"/>
        <w:spacing w:before="168"/>
        <w:ind w:left="100"/>
        <w:rPr>
          <w:rStyle w:val="15"/>
        </w:rPr>
      </w:pPr>
      <w:bookmarkStart w:id="24" w:name="10.发布公告的媒介"/>
      <w:bookmarkEnd w:id="24"/>
      <w:bookmarkStart w:id="25" w:name="_bookmark10"/>
      <w:bookmarkEnd w:id="25"/>
      <w:r>
        <w:rPr>
          <w:rStyle w:val="15"/>
        </w:rPr>
        <w:t>10.发布公告的媒介</w:t>
      </w:r>
    </w:p>
    <w:p>
      <w:pPr>
        <w:pStyle w:val="3"/>
        <w:spacing w:before="163" w:line="333" w:lineRule="auto"/>
        <w:ind w:left="100" w:right="220" w:firstLine="420"/>
        <w:rPr>
          <w:rStyle w:val="15"/>
        </w:rPr>
      </w:pPr>
      <w:r>
        <w:rPr>
          <w:rStyle w:val="15"/>
        </w:rPr>
        <w:t>本次招标公告</w:t>
      </w:r>
      <w:r>
        <w:rPr>
          <w:rStyle w:val="15"/>
          <w:lang w:eastAsia="zh-CN"/>
        </w:rPr>
        <w:t>同时在中国政府采购网、广西壮族自治区政府采购网、贺州市公共资源交易中心网上发布</w:t>
      </w:r>
      <w:r>
        <w:rPr>
          <w:rStyle w:val="15"/>
        </w:rPr>
        <w:t>。</w:t>
      </w:r>
    </w:p>
    <w:p>
      <w:pPr>
        <w:pStyle w:val="9"/>
        <w:spacing w:before="27"/>
        <w:ind w:left="100"/>
        <w:rPr>
          <w:rStyle w:val="15"/>
        </w:rPr>
      </w:pPr>
      <w:bookmarkStart w:id="26" w:name="11.交易服务单位"/>
      <w:bookmarkEnd w:id="26"/>
      <w:bookmarkStart w:id="27" w:name="_bookmark11"/>
      <w:bookmarkEnd w:id="27"/>
      <w:r>
        <w:rPr>
          <w:rStyle w:val="15"/>
        </w:rPr>
        <w:t>11.交易服务单位</w:t>
      </w:r>
    </w:p>
    <w:p>
      <w:pPr>
        <w:pStyle w:val="3"/>
        <w:spacing w:before="126"/>
        <w:ind w:left="520"/>
        <w:rPr>
          <w:rStyle w:val="15"/>
        </w:rPr>
      </w:pPr>
      <w:r>
        <w:rPr>
          <w:rStyle w:val="15"/>
        </w:rPr>
        <w:t>服务单位：贺州市公共资源交易中心</w:t>
      </w:r>
    </w:p>
    <w:p>
      <w:pPr>
        <w:pStyle w:val="3"/>
        <w:spacing w:before="126" w:line="348" w:lineRule="auto"/>
        <w:ind w:left="520" w:right="4510" w:rightChars="0"/>
        <w:rPr>
          <w:rStyle w:val="15"/>
        </w:rPr>
      </w:pPr>
      <w:r>
        <w:rPr>
          <w:rStyle w:val="15"/>
        </w:rPr>
        <w:t>地址：广西贺州市鞍</w:t>
      </w:r>
      <w:r>
        <w:rPr>
          <w:rStyle w:val="15"/>
          <w:rFonts w:hint="eastAsia"/>
          <w:lang w:eastAsia="zh-CN"/>
        </w:rPr>
        <w:t>山</w:t>
      </w:r>
      <w:r>
        <w:rPr>
          <w:rStyle w:val="15"/>
        </w:rPr>
        <w:t>西路 83-1 号 4 楼</w:t>
      </w:r>
    </w:p>
    <w:p>
      <w:pPr>
        <w:pStyle w:val="9"/>
        <w:spacing w:before="31"/>
        <w:ind w:left="100"/>
        <w:rPr>
          <w:rStyle w:val="15"/>
        </w:rPr>
      </w:pPr>
      <w:bookmarkStart w:id="28" w:name="12.监督部门及电话"/>
      <w:bookmarkEnd w:id="28"/>
      <w:bookmarkStart w:id="29" w:name="_bookmark12"/>
      <w:bookmarkEnd w:id="29"/>
      <w:r>
        <w:rPr>
          <w:rStyle w:val="15"/>
        </w:rPr>
        <w:t>12.监督部门及电话</w:t>
      </w:r>
    </w:p>
    <w:p>
      <w:pPr>
        <w:pStyle w:val="3"/>
        <w:spacing w:before="125" w:line="348" w:lineRule="auto"/>
        <w:ind w:left="520" w:right="5812"/>
        <w:rPr>
          <w:rStyle w:val="15"/>
        </w:rPr>
      </w:pPr>
      <w:r>
        <w:rPr>
          <w:rStyle w:val="15"/>
        </w:rPr>
        <w:t xml:space="preserve">监督部门： </w:t>
      </w:r>
      <w:r>
        <w:rPr>
          <w:rStyle w:val="15"/>
          <w:rFonts w:hint="eastAsia"/>
          <w:lang w:eastAsia="zh-CN"/>
        </w:rPr>
        <w:t>富川</w:t>
      </w:r>
      <w:r>
        <w:rPr>
          <w:rStyle w:val="15"/>
        </w:rPr>
        <w:t>县政府采购管理办公室联系电话：</w:t>
      </w:r>
      <w:r>
        <w:rPr>
          <w:rStyle w:val="15"/>
          <w:rFonts w:hint="eastAsia"/>
          <w:lang w:val="en-US" w:eastAsia="zh-CN"/>
        </w:rPr>
        <w:t>0774-7882324</w:t>
      </w:r>
    </w:p>
    <w:p>
      <w:pPr>
        <w:pStyle w:val="9"/>
        <w:spacing w:before="31"/>
        <w:ind w:left="100"/>
        <w:rPr>
          <w:rStyle w:val="15"/>
        </w:rPr>
      </w:pPr>
      <w:bookmarkStart w:id="30" w:name="13.联系方式"/>
      <w:bookmarkEnd w:id="30"/>
      <w:bookmarkStart w:id="31" w:name="_bookmark13"/>
      <w:bookmarkEnd w:id="31"/>
      <w:r>
        <w:rPr>
          <w:rStyle w:val="15"/>
        </w:rPr>
        <w:t>13.联系方式</w:t>
      </w:r>
    </w:p>
    <w:p>
      <w:pPr>
        <w:pStyle w:val="3"/>
        <w:spacing w:before="126"/>
        <w:ind w:left="520"/>
        <w:rPr>
          <w:rStyle w:val="15"/>
        </w:rPr>
      </w:pPr>
      <w:r>
        <w:rPr>
          <w:rStyle w:val="15"/>
        </w:rPr>
        <w:t>招标人：</w:t>
      </w:r>
      <w:r>
        <w:rPr>
          <w:rStyle w:val="15"/>
          <w:rFonts w:hint="eastAsia"/>
          <w:lang w:val="en-US" w:eastAsia="zh-CN"/>
        </w:rPr>
        <w:t>富川瑶族自治县交通运输局</w:t>
      </w:r>
    </w:p>
    <w:p>
      <w:pPr>
        <w:pStyle w:val="3"/>
        <w:tabs>
          <w:tab w:val="left" w:pos="939"/>
        </w:tabs>
        <w:spacing w:before="123" w:line="350" w:lineRule="auto"/>
        <w:ind w:left="520" w:right="5181"/>
        <w:rPr>
          <w:rStyle w:val="15"/>
        </w:rPr>
      </w:pPr>
      <w:r>
        <w:rPr>
          <w:rStyle w:val="15"/>
        </w:rPr>
        <w:t>地</w:t>
      </w:r>
      <w:r>
        <w:rPr>
          <w:rStyle w:val="15"/>
        </w:rPr>
        <w:tab/>
      </w:r>
      <w:r>
        <w:rPr>
          <w:rStyle w:val="15"/>
        </w:rPr>
        <w:t>址：</w:t>
      </w:r>
      <w:r>
        <w:rPr>
          <w:rStyle w:val="15"/>
          <w:rFonts w:hint="eastAsia"/>
          <w:lang w:eastAsia="zh-CN"/>
        </w:rPr>
        <w:t>富阳镇凤凰路</w:t>
      </w:r>
      <w:r>
        <w:rPr>
          <w:rStyle w:val="15"/>
          <w:rFonts w:hint="eastAsia"/>
          <w:lang w:val="en-US" w:eastAsia="zh-CN"/>
        </w:rPr>
        <w:t>206</w:t>
      </w:r>
      <w:r>
        <w:rPr>
          <w:rStyle w:val="15"/>
        </w:rPr>
        <w:t xml:space="preserve"> 号</w:t>
      </w:r>
    </w:p>
    <w:p>
      <w:pPr>
        <w:pStyle w:val="3"/>
        <w:tabs>
          <w:tab w:val="left" w:pos="939"/>
        </w:tabs>
        <w:spacing w:before="123" w:line="350" w:lineRule="auto"/>
        <w:ind w:left="520" w:right="5181"/>
        <w:rPr>
          <w:rStyle w:val="15"/>
          <w:rFonts w:hint="eastAsia" w:eastAsia="宋体"/>
          <w:lang w:eastAsia="zh-CN"/>
        </w:rPr>
      </w:pPr>
      <w:r>
        <w:rPr>
          <w:rStyle w:val="15"/>
        </w:rPr>
        <w:t>联系人：</w:t>
      </w:r>
      <w:r>
        <w:rPr>
          <w:rStyle w:val="15"/>
          <w:rFonts w:hint="eastAsia"/>
          <w:lang w:eastAsia="zh-CN"/>
        </w:rPr>
        <w:t>廖工</w:t>
      </w:r>
    </w:p>
    <w:p>
      <w:pPr>
        <w:pStyle w:val="3"/>
        <w:tabs>
          <w:tab w:val="left" w:pos="939"/>
        </w:tabs>
        <w:spacing w:before="29"/>
        <w:ind w:left="520"/>
        <w:rPr>
          <w:rStyle w:val="15"/>
          <w:rFonts w:hint="default" w:eastAsia="宋体"/>
          <w:lang w:val="en-US" w:eastAsia="zh-CN"/>
        </w:rPr>
      </w:pPr>
      <w:r>
        <w:rPr>
          <w:rStyle w:val="15"/>
        </w:rPr>
        <w:t>电</w:t>
      </w:r>
      <w:r>
        <w:rPr>
          <w:rStyle w:val="15"/>
        </w:rPr>
        <w:tab/>
      </w:r>
      <w:r>
        <w:rPr>
          <w:rStyle w:val="15"/>
        </w:rPr>
        <w:t>话：0774-</w:t>
      </w:r>
      <w:r>
        <w:rPr>
          <w:rStyle w:val="15"/>
          <w:rFonts w:hint="eastAsia"/>
          <w:lang w:val="en-US" w:eastAsia="zh-CN"/>
        </w:rPr>
        <w:t>7882569</w:t>
      </w:r>
    </w:p>
    <w:p>
      <w:pPr>
        <w:pStyle w:val="3"/>
        <w:tabs>
          <w:tab w:val="left" w:pos="939"/>
        </w:tabs>
        <w:spacing w:before="29"/>
        <w:ind w:left="520"/>
        <w:rPr>
          <w:rStyle w:val="15"/>
        </w:rPr>
      </w:pPr>
    </w:p>
    <w:p>
      <w:pPr>
        <w:pStyle w:val="3"/>
        <w:tabs>
          <w:tab w:val="left" w:pos="939"/>
        </w:tabs>
        <w:spacing w:line="350" w:lineRule="auto"/>
        <w:ind w:left="520" w:right="2750" w:rightChars="0"/>
        <w:rPr>
          <w:rStyle w:val="15"/>
          <w:rFonts w:hint="eastAsia"/>
        </w:rPr>
      </w:pPr>
      <w:r>
        <w:rPr>
          <w:rStyle w:val="15"/>
        </w:rPr>
        <w:t>招标代理机构：</w:t>
      </w:r>
      <w:r>
        <w:rPr>
          <w:rStyle w:val="15"/>
          <w:rFonts w:hint="eastAsia"/>
        </w:rPr>
        <w:t>广西桂林华禹水利水电工程咨询有限公司</w:t>
      </w:r>
    </w:p>
    <w:p>
      <w:pPr>
        <w:pStyle w:val="3"/>
        <w:tabs>
          <w:tab w:val="left" w:pos="939"/>
        </w:tabs>
        <w:spacing w:line="350" w:lineRule="auto"/>
        <w:ind w:left="520" w:right="2970" w:rightChars="0"/>
        <w:rPr>
          <w:rStyle w:val="15"/>
        </w:rPr>
      </w:pPr>
      <w:r>
        <w:rPr>
          <w:rStyle w:val="15"/>
        </w:rPr>
        <w:t>地</w:t>
      </w:r>
      <w:r>
        <w:rPr>
          <w:rStyle w:val="15"/>
        </w:rPr>
        <w:tab/>
      </w:r>
      <w:r>
        <w:rPr>
          <w:rStyle w:val="15"/>
        </w:rPr>
        <w:t>址：贺州市</w:t>
      </w:r>
      <w:r>
        <w:rPr>
          <w:rStyle w:val="15"/>
          <w:rFonts w:hint="eastAsia"/>
          <w:lang w:eastAsia="zh-CN"/>
        </w:rPr>
        <w:t>太白西</w:t>
      </w:r>
      <w:r>
        <w:rPr>
          <w:rStyle w:val="15"/>
        </w:rPr>
        <w:t xml:space="preserve">路 </w:t>
      </w:r>
      <w:r>
        <w:rPr>
          <w:rStyle w:val="15"/>
          <w:rFonts w:hint="eastAsia"/>
          <w:lang w:val="en-US" w:eastAsia="zh-CN"/>
        </w:rPr>
        <w:t>145</w:t>
      </w:r>
      <w:r>
        <w:rPr>
          <w:rStyle w:val="15"/>
        </w:rPr>
        <w:t xml:space="preserve"> 号</w:t>
      </w:r>
    </w:p>
    <w:p>
      <w:pPr>
        <w:pStyle w:val="3"/>
        <w:spacing w:before="27"/>
        <w:ind w:left="520"/>
        <w:rPr>
          <w:rStyle w:val="15"/>
          <w:rFonts w:hint="eastAsia" w:eastAsia="宋体"/>
          <w:lang w:eastAsia="zh-CN"/>
        </w:rPr>
      </w:pPr>
      <w:r>
        <w:rPr>
          <w:rStyle w:val="15"/>
        </w:rPr>
        <w:t>联系人：</w:t>
      </w:r>
      <w:r>
        <w:rPr>
          <w:rStyle w:val="15"/>
          <w:rFonts w:hint="eastAsia"/>
          <w:lang w:eastAsia="zh-CN"/>
        </w:rPr>
        <w:t>李工</w:t>
      </w:r>
    </w:p>
    <w:p>
      <w:pPr>
        <w:pStyle w:val="3"/>
        <w:tabs>
          <w:tab w:val="left" w:pos="939"/>
        </w:tabs>
        <w:spacing w:before="126"/>
        <w:ind w:left="520"/>
        <w:rPr>
          <w:rStyle w:val="15"/>
        </w:rPr>
      </w:pPr>
      <w:r>
        <w:rPr>
          <w:rStyle w:val="15"/>
        </w:rPr>
        <w:t>电</w:t>
      </w:r>
      <w:r>
        <w:rPr>
          <w:rStyle w:val="15"/>
        </w:rPr>
        <w:tab/>
      </w:r>
      <w:r>
        <w:rPr>
          <w:rStyle w:val="15"/>
        </w:rPr>
        <w:t>话：</w:t>
      </w:r>
      <w:r>
        <w:rPr>
          <w:rStyle w:val="15"/>
          <w:rFonts w:hint="eastAsia"/>
          <w:lang w:val="en-US" w:eastAsia="zh-CN"/>
        </w:rPr>
        <w:t>13768145297</w:t>
      </w:r>
    </w:p>
    <w:p>
      <w:pPr>
        <w:pStyle w:val="3"/>
        <w:tabs>
          <w:tab w:val="left" w:pos="1515"/>
          <w:tab w:val="left" w:pos="2041"/>
        </w:tabs>
        <w:spacing w:before="1"/>
        <w:ind w:left="520"/>
        <w:jc w:val="right"/>
        <w:rPr>
          <w:rStyle w:val="15"/>
        </w:rPr>
      </w:pPr>
    </w:p>
    <w:p>
      <w:pPr>
        <w:pStyle w:val="3"/>
        <w:tabs>
          <w:tab w:val="left" w:pos="1515"/>
          <w:tab w:val="left" w:pos="2041"/>
        </w:tabs>
        <w:spacing w:before="1"/>
        <w:ind w:left="520"/>
        <w:jc w:val="right"/>
        <w:rPr>
          <w:rStyle w:val="15"/>
        </w:rPr>
      </w:pPr>
      <w:r>
        <w:rPr>
          <w:rStyle w:val="15"/>
        </w:rPr>
        <w:t>20</w:t>
      </w:r>
      <w:r>
        <w:rPr>
          <w:rStyle w:val="15"/>
          <w:rFonts w:hint="eastAsia"/>
          <w:lang w:val="en-US" w:eastAsia="zh-CN"/>
        </w:rPr>
        <w:t>20</w:t>
      </w:r>
      <w:r>
        <w:rPr>
          <w:rStyle w:val="15"/>
        </w:rPr>
        <w:t xml:space="preserve"> 年</w:t>
      </w:r>
      <w:r>
        <w:rPr>
          <w:rStyle w:val="15"/>
          <w:rFonts w:hint="eastAsia"/>
          <w:lang w:val="en-US" w:eastAsia="zh-CN"/>
        </w:rPr>
        <w:t>6</w:t>
      </w:r>
      <w:r>
        <w:rPr>
          <w:rStyle w:val="15"/>
        </w:rPr>
        <w:t>月</w:t>
      </w:r>
      <w:r>
        <w:rPr>
          <w:rStyle w:val="15"/>
          <w:rFonts w:hint="eastAsia"/>
          <w:lang w:val="en-US" w:eastAsia="zh-CN"/>
        </w:rPr>
        <w:t>16</w:t>
      </w:r>
      <w:r>
        <w:rPr>
          <w:rStyle w:val="15"/>
        </w:rPr>
        <w:t>日</w:t>
      </w:r>
    </w:p>
    <w:p>
      <w:pPr>
        <w:spacing w:after="0"/>
        <w:jc w:val="right"/>
        <w:rPr>
          <w:rStyle w:val="15"/>
        </w:rPr>
        <w:sectPr>
          <w:pgSz w:w="11910" w:h="16840"/>
          <w:pgMar w:top="1000" w:right="920" w:bottom="780" w:left="980" w:header="808" w:footer="595" w:gutter="0"/>
          <w:pgNumType w:fmt="decimal"/>
        </w:sectPr>
      </w:pPr>
    </w:p>
    <w:p>
      <w:pPr>
        <w:pStyle w:val="3"/>
        <w:rPr>
          <w:rStyle w:val="15"/>
        </w:rPr>
      </w:pPr>
    </w:p>
    <w:p>
      <w:pPr>
        <w:pStyle w:val="3"/>
        <w:spacing w:before="1"/>
        <w:rPr>
          <w:rStyle w:val="15"/>
        </w:rPr>
      </w:pPr>
    </w:p>
    <w:p>
      <w:pPr>
        <w:pStyle w:val="3"/>
        <w:spacing w:before="35"/>
        <w:ind w:left="520"/>
        <w:rPr>
          <w:rStyle w:val="15"/>
        </w:rPr>
      </w:pPr>
      <w:r>
        <w:rPr>
          <w:rStyle w:val="15"/>
        </w:rPr>
        <w:t>附件：授权委托书（格式）</w:t>
      </w:r>
    </w:p>
    <w:p>
      <w:pPr>
        <w:pStyle w:val="3"/>
        <w:rPr>
          <w:rStyle w:val="15"/>
        </w:rPr>
      </w:pPr>
    </w:p>
    <w:p>
      <w:pPr>
        <w:pStyle w:val="3"/>
        <w:spacing w:before="6"/>
        <w:rPr>
          <w:rStyle w:val="15"/>
        </w:rPr>
      </w:pPr>
    </w:p>
    <w:p>
      <w:pPr>
        <w:pStyle w:val="9"/>
        <w:spacing w:before="34"/>
        <w:ind w:left="4448"/>
        <w:rPr>
          <w:rStyle w:val="15"/>
        </w:rPr>
      </w:pPr>
      <w:r>
        <w:rPr>
          <w:rStyle w:val="15"/>
        </w:rPr>
        <w:t>授权委托书</w:t>
      </w:r>
    </w:p>
    <w:p>
      <w:pPr>
        <w:pStyle w:val="3"/>
        <w:rPr>
          <w:rStyle w:val="15"/>
        </w:rPr>
      </w:pPr>
    </w:p>
    <w:p>
      <w:pPr>
        <w:pStyle w:val="3"/>
        <w:spacing w:before="3"/>
        <w:rPr>
          <w:rStyle w:val="15"/>
        </w:rPr>
      </w:pPr>
    </w:p>
    <w:p>
      <w:pPr>
        <w:pStyle w:val="3"/>
        <w:tabs>
          <w:tab w:val="left" w:pos="2012"/>
          <w:tab w:val="left" w:pos="3183"/>
          <w:tab w:val="left" w:pos="4962"/>
        </w:tabs>
        <w:spacing w:line="348" w:lineRule="auto"/>
        <w:ind w:left="100" w:right="157" w:firstLine="412"/>
        <w:jc w:val="both"/>
        <w:rPr>
          <w:rStyle w:val="15"/>
        </w:rPr>
      </w:pPr>
      <w:r>
        <w:rPr>
          <w:rStyle w:val="15"/>
        </w:rPr>
        <w:t xml:space="preserve">本授权委托书声明：我 </w:t>
      </w:r>
      <w:r>
        <w:rPr>
          <w:rStyle w:val="15"/>
        </w:rPr>
        <w:tab/>
      </w:r>
      <w:r>
        <w:rPr>
          <w:rStyle w:val="15"/>
        </w:rPr>
        <w:t xml:space="preserve">（姓名）系 </w:t>
      </w:r>
      <w:r>
        <w:rPr>
          <w:rStyle w:val="15"/>
        </w:rPr>
        <w:tab/>
      </w:r>
      <w:r>
        <w:rPr>
          <w:rStyle w:val="15"/>
        </w:rPr>
        <w:t xml:space="preserve">（投标人名称）的法定代表人，现授权委托     （单位名称）的 </w:t>
      </w:r>
      <w:r>
        <w:rPr>
          <w:rStyle w:val="15"/>
        </w:rPr>
        <w:tab/>
      </w:r>
      <w:r>
        <w:rPr>
          <w:rStyle w:val="15"/>
        </w:rPr>
        <w:t>（姓名）为我公司的法定代表人授权委托代理人，我承认代理人全权代表我所签署的 本工程的投标报名活动文件的内容。</w:t>
      </w:r>
    </w:p>
    <w:p>
      <w:pPr>
        <w:pStyle w:val="3"/>
        <w:rPr>
          <w:rStyle w:val="15"/>
        </w:rPr>
      </w:pPr>
    </w:p>
    <w:p>
      <w:pPr>
        <w:pStyle w:val="3"/>
        <w:spacing w:before="168"/>
        <w:ind w:left="520"/>
        <w:rPr>
          <w:rStyle w:val="15"/>
        </w:rPr>
      </w:pPr>
      <w:r>
        <w:rPr>
          <w:rStyle w:val="15"/>
        </w:rPr>
        <w:t>代理人无转委托权，特此委托。</w:t>
      </w:r>
    </w:p>
    <w:p>
      <w:pPr>
        <w:pStyle w:val="3"/>
        <w:rPr>
          <w:rStyle w:val="15"/>
        </w:rPr>
      </w:pPr>
    </w:p>
    <w:p>
      <w:pPr>
        <w:pStyle w:val="3"/>
        <w:rPr>
          <w:rStyle w:val="15"/>
        </w:rPr>
      </w:pPr>
    </w:p>
    <w:p>
      <w:pPr>
        <w:pStyle w:val="3"/>
        <w:rPr>
          <w:rStyle w:val="15"/>
        </w:rPr>
      </w:pPr>
    </w:p>
    <w:p>
      <w:pPr>
        <w:pStyle w:val="3"/>
        <w:rPr>
          <w:rStyle w:val="15"/>
        </w:rPr>
      </w:pPr>
    </w:p>
    <w:p>
      <w:pPr>
        <w:pStyle w:val="3"/>
        <w:rPr>
          <w:rStyle w:val="15"/>
        </w:rPr>
      </w:pPr>
    </w:p>
    <w:p>
      <w:pPr>
        <w:pStyle w:val="3"/>
        <w:rPr>
          <w:rStyle w:val="15"/>
        </w:rPr>
      </w:pPr>
    </w:p>
    <w:p>
      <w:pPr>
        <w:pStyle w:val="3"/>
        <w:tabs>
          <w:tab w:val="left" w:pos="1674"/>
          <w:tab w:val="left" w:pos="2514"/>
          <w:tab w:val="left" w:pos="4351"/>
          <w:tab w:val="left" w:pos="4719"/>
          <w:tab w:val="left" w:pos="4928"/>
          <w:tab w:val="left" w:pos="6136"/>
        </w:tabs>
        <w:spacing w:before="156" w:line="348" w:lineRule="auto"/>
        <w:ind w:left="100" w:right="3816"/>
        <w:jc w:val="both"/>
        <w:rPr>
          <w:rStyle w:val="15"/>
        </w:rPr>
      </w:pPr>
      <w:r>
        <w:rPr>
          <w:rStyle w:val="15"/>
        </w:rPr>
        <w:t xml:space="preserve">代理人： </w:t>
      </w:r>
      <w:r>
        <w:rPr>
          <w:rStyle w:val="15"/>
        </w:rPr>
        <w:tab/>
      </w:r>
      <w:r>
        <w:rPr>
          <w:rStyle w:val="15"/>
        </w:rPr>
        <w:t>（签字）性别：</w:t>
      </w:r>
      <w:r>
        <w:rPr>
          <w:rStyle w:val="15"/>
        </w:rPr>
        <w:tab/>
      </w:r>
      <w:r>
        <w:rPr>
          <w:rStyle w:val="15"/>
        </w:rPr>
        <w:t xml:space="preserve">年龄： </w:t>
      </w:r>
      <w:r>
        <w:rPr>
          <w:rStyle w:val="15"/>
        </w:rPr>
        <w:tab/>
      </w:r>
      <w:r>
        <w:rPr>
          <w:rStyle w:val="15"/>
        </w:rPr>
        <w:t xml:space="preserve">          身份证号码：</w:t>
      </w:r>
      <w:r>
        <w:rPr>
          <w:rStyle w:val="15"/>
        </w:rPr>
        <w:tab/>
      </w:r>
      <w:r>
        <w:rPr>
          <w:rStyle w:val="15"/>
        </w:rPr>
        <w:tab/>
      </w:r>
      <w:r>
        <w:rPr>
          <w:rStyle w:val="15"/>
        </w:rPr>
        <w:tab/>
      </w:r>
      <w:r>
        <w:rPr>
          <w:rStyle w:val="15"/>
        </w:rPr>
        <w:tab/>
      </w:r>
      <w:r>
        <w:rPr>
          <w:rStyle w:val="15"/>
        </w:rPr>
        <w:tab/>
      </w:r>
      <w:r>
        <w:rPr>
          <w:rStyle w:val="15"/>
        </w:rPr>
        <w:tab/>
      </w:r>
      <w:r>
        <w:rPr>
          <w:rStyle w:val="15"/>
        </w:rPr>
        <w:t xml:space="preserve"> 投标人： </w:t>
      </w:r>
      <w:r>
        <w:rPr>
          <w:rStyle w:val="15"/>
        </w:rPr>
        <w:tab/>
      </w:r>
      <w:r>
        <w:rPr>
          <w:rStyle w:val="15"/>
        </w:rPr>
        <w:tab/>
      </w:r>
      <w:r>
        <w:rPr>
          <w:rStyle w:val="15"/>
        </w:rPr>
        <w:tab/>
      </w:r>
      <w:r>
        <w:rPr>
          <w:rStyle w:val="15"/>
        </w:rPr>
        <w:tab/>
      </w:r>
      <w:r>
        <w:rPr>
          <w:rStyle w:val="15"/>
        </w:rPr>
        <w:tab/>
      </w:r>
      <w:r>
        <w:rPr>
          <w:rStyle w:val="15"/>
        </w:rPr>
        <w:t xml:space="preserve">（盖单位章） 法定代表人： </w:t>
      </w:r>
      <w:r>
        <w:rPr>
          <w:rStyle w:val="15"/>
        </w:rPr>
        <w:tab/>
      </w:r>
      <w:r>
        <w:rPr>
          <w:rStyle w:val="15"/>
        </w:rPr>
        <w:tab/>
      </w:r>
      <w:r>
        <w:rPr>
          <w:rStyle w:val="15"/>
        </w:rPr>
        <w:tab/>
      </w:r>
      <w:r>
        <w:rPr>
          <w:rStyle w:val="15"/>
        </w:rPr>
        <w:tab/>
      </w:r>
      <w:r>
        <w:rPr>
          <w:rStyle w:val="15"/>
        </w:rPr>
        <w:t xml:space="preserve">（签字或盖章） 授权委托日期： </w:t>
      </w:r>
      <w:r>
        <w:rPr>
          <w:rStyle w:val="15"/>
        </w:rPr>
        <w:tab/>
      </w:r>
      <w:r>
        <w:rPr>
          <w:rStyle w:val="15"/>
        </w:rPr>
        <w:tab/>
      </w:r>
      <w:r>
        <w:rPr>
          <w:rStyle w:val="15"/>
        </w:rPr>
        <w:t>年     月    日</w:t>
      </w:r>
    </w:p>
    <w:p>
      <w:pPr>
        <w:pStyle w:val="3"/>
        <w:rPr>
          <w:rStyle w:val="15"/>
        </w:rPr>
      </w:pPr>
    </w:p>
    <w:p>
      <w:pPr>
        <w:pStyle w:val="3"/>
        <w:spacing w:before="144" w:line="348" w:lineRule="auto"/>
        <w:ind w:left="100" w:right="158"/>
        <w:rPr>
          <w:rStyle w:val="15"/>
        </w:rPr>
      </w:pPr>
      <w:r>
        <w:rPr>
          <w:rStyle w:val="15"/>
        </w:rPr>
        <w:t>备注：附法定代表人身份证明原件、授权委托代理人二代居民身份证等材料的复印件。以上复印件均须加盖投标人单位公章。</w:t>
      </w:r>
    </w:p>
    <w:p>
      <w:pPr>
        <w:spacing w:after="0" w:line="348" w:lineRule="auto"/>
        <w:rPr>
          <w:rStyle w:val="15"/>
        </w:rPr>
        <w:sectPr>
          <w:pgSz w:w="11910" w:h="16840"/>
          <w:pgMar w:top="1000" w:right="920" w:bottom="780" w:left="980" w:header="808" w:footer="595" w:gutter="0"/>
          <w:pgNumType w:fmt="decimal"/>
        </w:sectPr>
      </w:pPr>
    </w:p>
    <w:p>
      <w:pPr>
        <w:pStyle w:val="3"/>
        <w:rPr>
          <w:rStyle w:val="15"/>
        </w:rPr>
      </w:pPr>
    </w:p>
    <w:p>
      <w:pPr>
        <w:pStyle w:val="3"/>
        <w:rPr>
          <w:rStyle w:val="15"/>
        </w:rPr>
      </w:pPr>
    </w:p>
    <w:p>
      <w:pPr>
        <w:pStyle w:val="3"/>
        <w:spacing w:before="9"/>
        <w:rPr>
          <w:rStyle w:val="15"/>
        </w:rPr>
      </w:pPr>
    </w:p>
    <w:p>
      <w:pPr>
        <w:pStyle w:val="9"/>
        <w:ind w:left="4028"/>
        <w:rPr>
          <w:rStyle w:val="15"/>
        </w:rPr>
      </w:pPr>
      <w:r>
        <w:rPr>
          <w:rStyle w:val="15"/>
        </w:rPr>
        <w:t>法定代表人身份证明</w:t>
      </w:r>
    </w:p>
    <w:p>
      <w:pPr>
        <w:pStyle w:val="3"/>
        <w:rPr>
          <w:rStyle w:val="15"/>
        </w:rPr>
      </w:pPr>
    </w:p>
    <w:p>
      <w:pPr>
        <w:pStyle w:val="3"/>
        <w:rPr>
          <w:rStyle w:val="15"/>
        </w:rPr>
      </w:pPr>
    </w:p>
    <w:p>
      <w:pPr>
        <w:pStyle w:val="3"/>
        <w:tabs>
          <w:tab w:val="left" w:pos="3459"/>
          <w:tab w:val="left" w:pos="5139"/>
          <w:tab w:val="left" w:pos="6819"/>
          <w:tab w:val="left" w:pos="7605"/>
        </w:tabs>
        <w:spacing w:line="350" w:lineRule="auto"/>
        <w:ind w:left="625" w:right="2400"/>
        <w:jc w:val="both"/>
        <w:rPr>
          <w:rStyle w:val="15"/>
        </w:rPr>
      </w:pPr>
      <w:r>
        <w:rPr>
          <w:rStyle w:val="15"/>
        </w:rPr>
        <w:t xml:space="preserve">投 标 人： </w:t>
      </w:r>
      <w:r>
        <w:rPr>
          <w:rStyle w:val="15"/>
        </w:rPr>
        <w:tab/>
      </w:r>
      <w:r>
        <w:rPr>
          <w:rStyle w:val="15"/>
        </w:rPr>
        <w:tab/>
      </w:r>
      <w:r>
        <w:rPr>
          <w:rStyle w:val="15"/>
        </w:rPr>
        <w:tab/>
      </w:r>
      <w:r>
        <w:rPr>
          <w:rStyle w:val="15"/>
        </w:rPr>
        <w:tab/>
      </w:r>
      <w:r>
        <w:rPr>
          <w:rStyle w:val="15"/>
        </w:rPr>
        <w:t xml:space="preserve">                                                          单位性质：</w:t>
      </w:r>
      <w:r>
        <w:rPr>
          <w:rStyle w:val="15"/>
        </w:rPr>
        <w:tab/>
      </w:r>
      <w:r>
        <w:rPr>
          <w:rStyle w:val="15"/>
        </w:rPr>
        <w:tab/>
      </w:r>
      <w:r>
        <w:rPr>
          <w:rStyle w:val="15"/>
        </w:rPr>
        <w:tab/>
      </w:r>
      <w:r>
        <w:rPr>
          <w:rStyle w:val="15"/>
        </w:rPr>
        <w:tab/>
      </w:r>
      <w:r>
        <w:rPr>
          <w:rStyle w:val="15"/>
        </w:rPr>
        <w:t xml:space="preserve"> 地   址： </w:t>
      </w:r>
      <w:r>
        <w:rPr>
          <w:rStyle w:val="15"/>
        </w:rPr>
        <w:tab/>
      </w:r>
      <w:r>
        <w:rPr>
          <w:rStyle w:val="15"/>
        </w:rPr>
        <w:tab/>
      </w:r>
      <w:r>
        <w:rPr>
          <w:rStyle w:val="15"/>
        </w:rPr>
        <w:tab/>
      </w:r>
      <w:r>
        <w:rPr>
          <w:rStyle w:val="15"/>
        </w:rPr>
        <w:tab/>
      </w:r>
      <w:r>
        <w:rPr>
          <w:rStyle w:val="15"/>
        </w:rPr>
        <w:t xml:space="preserve"> 成立时间： </w:t>
      </w:r>
      <w:r>
        <w:rPr>
          <w:rStyle w:val="15"/>
        </w:rPr>
        <w:tab/>
      </w:r>
      <w:r>
        <w:rPr>
          <w:rStyle w:val="15"/>
        </w:rPr>
        <w:t xml:space="preserve">年 </w:t>
      </w:r>
      <w:r>
        <w:rPr>
          <w:rStyle w:val="15"/>
        </w:rPr>
        <w:tab/>
      </w:r>
      <w:r>
        <w:rPr>
          <w:rStyle w:val="15"/>
        </w:rPr>
        <w:t xml:space="preserve">月 </w:t>
      </w:r>
      <w:r>
        <w:rPr>
          <w:rStyle w:val="15"/>
        </w:rPr>
        <w:tab/>
      </w:r>
      <w:r>
        <w:rPr>
          <w:rStyle w:val="15"/>
        </w:rPr>
        <w:t>日</w:t>
      </w:r>
    </w:p>
    <w:p>
      <w:pPr>
        <w:pStyle w:val="3"/>
        <w:tabs>
          <w:tab w:val="left" w:pos="1254"/>
          <w:tab w:val="left" w:pos="4405"/>
          <w:tab w:val="left" w:pos="4825"/>
          <w:tab w:val="left" w:pos="5139"/>
          <w:tab w:val="left" w:pos="7605"/>
        </w:tabs>
        <w:spacing w:before="28" w:line="350" w:lineRule="auto"/>
        <w:ind w:left="625" w:right="2241"/>
        <w:rPr>
          <w:rStyle w:val="15"/>
        </w:rPr>
      </w:pPr>
      <w:r>
        <w:rPr>
          <w:rStyle w:val="15"/>
        </w:rPr>
        <w:t>经营期限：</w:t>
      </w:r>
      <w:r>
        <w:rPr>
          <w:rStyle w:val="15"/>
        </w:rPr>
        <w:tab/>
      </w:r>
      <w:r>
        <w:rPr>
          <w:rStyle w:val="15"/>
        </w:rPr>
        <w:tab/>
      </w:r>
      <w:r>
        <w:rPr>
          <w:rStyle w:val="15"/>
        </w:rPr>
        <w:tab/>
      </w:r>
      <w:r>
        <w:rPr>
          <w:rStyle w:val="15"/>
        </w:rPr>
        <w:tab/>
      </w:r>
      <w:r>
        <w:rPr>
          <w:rStyle w:val="15"/>
        </w:rPr>
        <w:t xml:space="preserve"> 姓</w:t>
      </w:r>
      <w:r>
        <w:rPr>
          <w:rStyle w:val="15"/>
        </w:rPr>
        <w:tab/>
      </w:r>
      <w:r>
        <w:rPr>
          <w:rStyle w:val="15"/>
        </w:rPr>
        <w:t xml:space="preserve">名： </w:t>
      </w:r>
      <w:r>
        <w:rPr>
          <w:rStyle w:val="15"/>
        </w:rPr>
        <w:tab/>
      </w:r>
      <w:r>
        <w:rPr>
          <w:rStyle w:val="15"/>
        </w:rPr>
        <w:t>性</w:t>
      </w:r>
      <w:r>
        <w:rPr>
          <w:rStyle w:val="15"/>
        </w:rPr>
        <w:tab/>
      </w:r>
      <w:r>
        <w:rPr>
          <w:rStyle w:val="15"/>
        </w:rPr>
        <w:tab/>
      </w:r>
      <w:r>
        <w:rPr>
          <w:rStyle w:val="15"/>
        </w:rPr>
        <w:t>别：</w:t>
      </w:r>
      <w:r>
        <w:rPr>
          <w:rStyle w:val="15"/>
        </w:rPr>
        <w:tab/>
      </w:r>
      <w:r>
        <w:rPr>
          <w:rStyle w:val="15"/>
        </w:rPr>
        <w:t xml:space="preserve"> 年</w:t>
      </w:r>
      <w:r>
        <w:rPr>
          <w:rStyle w:val="15"/>
        </w:rPr>
        <w:tab/>
      </w:r>
      <w:r>
        <w:rPr>
          <w:rStyle w:val="15"/>
        </w:rPr>
        <w:t xml:space="preserve">龄： </w:t>
      </w:r>
      <w:r>
        <w:rPr>
          <w:rStyle w:val="15"/>
        </w:rPr>
        <w:tab/>
      </w:r>
      <w:r>
        <w:rPr>
          <w:rStyle w:val="15"/>
        </w:rPr>
        <w:t>职</w:t>
      </w:r>
      <w:r>
        <w:rPr>
          <w:rStyle w:val="15"/>
        </w:rPr>
        <w:tab/>
      </w:r>
      <w:r>
        <w:rPr>
          <w:rStyle w:val="15"/>
        </w:rPr>
        <w:tab/>
      </w:r>
      <w:r>
        <w:rPr>
          <w:rStyle w:val="15"/>
        </w:rPr>
        <w:t>务：</w:t>
      </w:r>
      <w:r>
        <w:rPr>
          <w:rStyle w:val="15"/>
        </w:rPr>
        <w:tab/>
      </w:r>
      <w:r>
        <w:rPr>
          <w:rStyle w:val="15"/>
        </w:rPr>
        <w:t xml:space="preserve"> 系 </w:t>
      </w:r>
      <w:r>
        <w:rPr>
          <w:rStyle w:val="15"/>
        </w:rPr>
        <w:tab/>
      </w:r>
      <w:r>
        <w:rPr>
          <w:rStyle w:val="15"/>
        </w:rPr>
        <w:tab/>
      </w:r>
      <w:r>
        <w:rPr>
          <w:rStyle w:val="15"/>
        </w:rPr>
        <w:tab/>
      </w:r>
      <w:r>
        <w:rPr>
          <w:rStyle w:val="15"/>
        </w:rPr>
        <w:t>（投标人名称）的法定代表人。</w:t>
      </w:r>
    </w:p>
    <w:p>
      <w:pPr>
        <w:pStyle w:val="3"/>
        <w:spacing w:before="26"/>
        <w:ind w:left="520"/>
        <w:rPr>
          <w:rStyle w:val="15"/>
        </w:rPr>
      </w:pPr>
      <w:r>
        <w:rPr>
          <w:rStyle w:val="15"/>
        </w:rPr>
        <w:t>特此证明。</w:t>
      </w:r>
    </w:p>
    <w:p>
      <w:pPr>
        <w:pStyle w:val="3"/>
        <w:rPr>
          <w:rStyle w:val="15"/>
        </w:rPr>
      </w:pPr>
    </w:p>
    <w:p>
      <w:pPr>
        <w:pStyle w:val="3"/>
        <w:rPr>
          <w:rStyle w:val="15"/>
        </w:rPr>
      </w:pPr>
    </w:p>
    <w:p>
      <w:pPr>
        <w:pStyle w:val="3"/>
        <w:rPr>
          <w:rStyle w:val="15"/>
        </w:rPr>
      </w:pPr>
    </w:p>
    <w:p>
      <w:pPr>
        <w:pStyle w:val="3"/>
        <w:rPr>
          <w:rStyle w:val="15"/>
        </w:rPr>
      </w:pPr>
    </w:p>
    <w:p>
      <w:pPr>
        <w:pStyle w:val="3"/>
        <w:rPr>
          <w:rStyle w:val="15"/>
        </w:rPr>
      </w:pPr>
    </w:p>
    <w:p>
      <w:pPr>
        <w:pStyle w:val="3"/>
        <w:rPr>
          <w:rStyle w:val="15"/>
        </w:rPr>
      </w:pPr>
    </w:p>
    <w:p>
      <w:pPr>
        <w:pStyle w:val="3"/>
        <w:tabs>
          <w:tab w:val="left" w:pos="8586"/>
        </w:tabs>
        <w:spacing w:before="156"/>
        <w:ind w:left="5017"/>
        <w:rPr>
          <w:rStyle w:val="15"/>
        </w:rPr>
      </w:pPr>
      <w:r>
        <w:rPr>
          <w:rStyle w:val="15"/>
        </w:rPr>
        <w:t xml:space="preserve">投标人： </w:t>
      </w:r>
      <w:r>
        <w:rPr>
          <w:rStyle w:val="15"/>
        </w:rPr>
        <w:tab/>
      </w:r>
      <w:r>
        <w:rPr>
          <w:rStyle w:val="15"/>
        </w:rPr>
        <w:t>（盖单位章）</w:t>
      </w:r>
    </w:p>
    <w:p>
      <w:pPr>
        <w:pStyle w:val="3"/>
        <w:tabs>
          <w:tab w:val="left" w:pos="7537"/>
          <w:tab w:val="left" w:pos="8586"/>
          <w:tab w:val="left" w:pos="9637"/>
        </w:tabs>
        <w:spacing w:before="123"/>
        <w:ind w:left="6592"/>
        <w:rPr>
          <w:rStyle w:val="15"/>
        </w:rPr>
      </w:pPr>
      <w:r>
        <w:rPr>
          <w:rStyle w:val="15"/>
        </w:rPr>
        <w:t xml:space="preserve"> </w:t>
      </w:r>
      <w:r>
        <w:rPr>
          <w:rStyle w:val="15"/>
        </w:rPr>
        <w:tab/>
      </w:r>
      <w:r>
        <w:rPr>
          <w:rStyle w:val="15"/>
        </w:rPr>
        <w:t xml:space="preserve">年 </w:t>
      </w:r>
      <w:r>
        <w:rPr>
          <w:rStyle w:val="15"/>
        </w:rPr>
        <w:tab/>
      </w:r>
      <w:r>
        <w:rPr>
          <w:rStyle w:val="15"/>
        </w:rPr>
        <w:t xml:space="preserve">月 </w:t>
      </w:r>
      <w:r>
        <w:rPr>
          <w:rStyle w:val="15"/>
        </w:rPr>
        <w:tab/>
      </w:r>
      <w:r>
        <w:rPr>
          <w:rStyle w:val="15"/>
        </w:rPr>
        <w:t>日</w:t>
      </w:r>
    </w:p>
    <w:p>
      <w:pPr>
        <w:pStyle w:val="3"/>
        <w:rPr>
          <w:rStyle w:val="15"/>
        </w:rPr>
      </w:pPr>
    </w:p>
    <w:p>
      <w:pPr>
        <w:pStyle w:val="3"/>
        <w:spacing w:before="2"/>
        <w:rPr>
          <w:rStyle w:val="15"/>
        </w:rPr>
      </w:pPr>
    </w:p>
    <w:p>
      <w:pPr>
        <w:pStyle w:val="3"/>
        <w:spacing w:before="1"/>
        <w:ind w:left="100"/>
        <w:rPr>
          <w:rStyle w:val="15"/>
        </w:rPr>
      </w:pPr>
      <w:r>
        <w:rPr>
          <w:rStyle w:val="15"/>
        </w:rPr>
        <w:t>备注：附加盖投标人单位公章的法定代表人二代居民身份证复印件。</w:t>
      </w:r>
    </w:p>
    <w:p>
      <w:pPr>
        <w:spacing w:after="0"/>
        <w:rPr>
          <w:rStyle w:val="15"/>
        </w:rPr>
        <w:sectPr>
          <w:pgSz w:w="11910" w:h="16840"/>
          <w:pgMar w:top="1000" w:right="920" w:bottom="780" w:left="980" w:header="808" w:footer="595" w:gutter="0"/>
          <w:pgNumType w:fmt="decimal"/>
        </w:sectPr>
      </w:pPr>
    </w:p>
    <w:p>
      <w:pPr>
        <w:pStyle w:val="3"/>
        <w:spacing w:before="11"/>
        <w:rPr>
          <w:sz w:val="28"/>
        </w:rPr>
      </w:pPr>
    </w:p>
    <w:p>
      <w:pPr>
        <w:pStyle w:val="6"/>
        <w:tabs>
          <w:tab w:val="left" w:pos="1283"/>
        </w:tabs>
        <w:ind w:right="358"/>
      </w:pPr>
      <w:bookmarkStart w:id="32" w:name="第二章  投标人须知"/>
      <w:bookmarkEnd w:id="32"/>
      <w:bookmarkStart w:id="33" w:name="_bookmark14"/>
      <w:bookmarkEnd w:id="33"/>
      <w:r>
        <w:t>第二章</w:t>
      </w:r>
      <w:r>
        <w:tab/>
      </w:r>
      <w:r>
        <w:rPr>
          <w:w w:val="95"/>
        </w:rPr>
        <w:t>投标人须知</w:t>
      </w:r>
    </w:p>
    <w:p>
      <w:pPr>
        <w:pStyle w:val="3"/>
        <w:rPr>
          <w:rFonts w:ascii="黑体"/>
          <w:b/>
          <w:sz w:val="20"/>
        </w:rPr>
      </w:pPr>
    </w:p>
    <w:p>
      <w:pPr>
        <w:pStyle w:val="8"/>
        <w:spacing w:before="167" w:after="38"/>
        <w:ind w:left="220"/>
      </w:pPr>
      <w:bookmarkStart w:id="34" w:name="投标人须知前附表"/>
      <w:bookmarkEnd w:id="34"/>
      <w:bookmarkStart w:id="35" w:name="_bookmark15"/>
      <w:bookmarkEnd w:id="35"/>
      <w:r>
        <w:rPr>
          <w:w w:val="95"/>
        </w:rPr>
        <w:t>投标人须知前附表</w:t>
      </w:r>
    </w:p>
    <w:tbl>
      <w:tblPr>
        <w:tblStyle w:val="14"/>
        <w:tblW w:w="1031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1620"/>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shd w:val="clear" w:color="auto" w:fill="E6E6E6"/>
          </w:tcPr>
          <w:p>
            <w:pPr>
              <w:pStyle w:val="18"/>
              <w:spacing w:before="14"/>
              <w:ind w:left="7"/>
              <w:jc w:val="center"/>
              <w:rPr>
                <w:rStyle w:val="15"/>
                <w:b/>
                <w:bCs/>
                <w:sz w:val="21"/>
                <w:szCs w:val="21"/>
              </w:rPr>
            </w:pPr>
            <w:r>
              <w:rPr>
                <w:rStyle w:val="15"/>
                <w:b/>
                <w:bCs/>
                <w:sz w:val="21"/>
                <w:szCs w:val="21"/>
              </w:rPr>
              <w:t>条款号</w:t>
            </w:r>
          </w:p>
        </w:tc>
        <w:tc>
          <w:tcPr>
            <w:tcW w:w="1620" w:type="dxa"/>
            <w:shd w:val="clear" w:color="auto" w:fill="E6E6E6"/>
          </w:tcPr>
          <w:p>
            <w:pPr>
              <w:pStyle w:val="18"/>
              <w:spacing w:before="14"/>
              <w:ind w:left="179" w:right="169"/>
              <w:jc w:val="center"/>
              <w:rPr>
                <w:rStyle w:val="15"/>
                <w:b/>
                <w:bCs/>
                <w:sz w:val="21"/>
                <w:szCs w:val="21"/>
              </w:rPr>
            </w:pPr>
            <w:r>
              <w:rPr>
                <w:rStyle w:val="15"/>
                <w:b/>
                <w:bCs/>
                <w:sz w:val="21"/>
                <w:szCs w:val="21"/>
              </w:rPr>
              <w:t>条款名称</w:t>
            </w:r>
          </w:p>
        </w:tc>
        <w:tc>
          <w:tcPr>
            <w:tcW w:w="7797" w:type="dxa"/>
            <w:shd w:val="clear" w:color="auto" w:fill="E6E6E6"/>
          </w:tcPr>
          <w:p>
            <w:pPr>
              <w:pStyle w:val="18"/>
              <w:spacing w:before="14"/>
              <w:ind w:left="61" w:right="50"/>
              <w:jc w:val="center"/>
              <w:rPr>
                <w:rStyle w:val="15"/>
                <w:b/>
                <w:bCs/>
                <w:sz w:val="21"/>
                <w:szCs w:val="21"/>
              </w:rPr>
            </w:pPr>
            <w:r>
              <w:rPr>
                <w:rStyle w:val="15"/>
                <w:b/>
                <w:bCs/>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97" w:type="dxa"/>
          </w:tcPr>
          <w:p>
            <w:pPr>
              <w:pStyle w:val="18"/>
              <w:rPr>
                <w:rStyle w:val="15"/>
                <w:sz w:val="21"/>
                <w:szCs w:val="21"/>
              </w:rPr>
            </w:pPr>
          </w:p>
          <w:p>
            <w:pPr>
              <w:pStyle w:val="18"/>
              <w:spacing w:before="12"/>
              <w:rPr>
                <w:rStyle w:val="15"/>
                <w:sz w:val="21"/>
                <w:szCs w:val="21"/>
              </w:rPr>
            </w:pPr>
          </w:p>
          <w:p>
            <w:pPr>
              <w:pStyle w:val="18"/>
              <w:spacing w:before="1"/>
              <w:ind w:left="6"/>
              <w:jc w:val="center"/>
              <w:rPr>
                <w:rStyle w:val="15"/>
                <w:sz w:val="21"/>
                <w:szCs w:val="21"/>
              </w:rPr>
            </w:pPr>
            <w:r>
              <w:rPr>
                <w:rStyle w:val="15"/>
                <w:sz w:val="21"/>
                <w:szCs w:val="21"/>
              </w:rPr>
              <w:t>1.1.2</w:t>
            </w:r>
          </w:p>
        </w:tc>
        <w:tc>
          <w:tcPr>
            <w:tcW w:w="1620" w:type="dxa"/>
          </w:tcPr>
          <w:p>
            <w:pPr>
              <w:pStyle w:val="18"/>
              <w:rPr>
                <w:rStyle w:val="15"/>
                <w:sz w:val="21"/>
                <w:szCs w:val="21"/>
              </w:rPr>
            </w:pPr>
          </w:p>
          <w:p>
            <w:pPr>
              <w:pStyle w:val="18"/>
              <w:spacing w:before="12"/>
              <w:rPr>
                <w:rStyle w:val="15"/>
                <w:sz w:val="21"/>
                <w:szCs w:val="21"/>
              </w:rPr>
            </w:pPr>
          </w:p>
          <w:p>
            <w:pPr>
              <w:pStyle w:val="18"/>
              <w:spacing w:before="1"/>
              <w:ind w:left="177" w:right="169"/>
              <w:jc w:val="center"/>
              <w:rPr>
                <w:rStyle w:val="15"/>
                <w:sz w:val="21"/>
                <w:szCs w:val="21"/>
              </w:rPr>
            </w:pPr>
            <w:r>
              <w:rPr>
                <w:rStyle w:val="15"/>
                <w:sz w:val="21"/>
                <w:szCs w:val="21"/>
              </w:rPr>
              <w:t>招标人</w:t>
            </w:r>
          </w:p>
        </w:tc>
        <w:tc>
          <w:tcPr>
            <w:tcW w:w="7797" w:type="dxa"/>
          </w:tcPr>
          <w:p>
            <w:pPr>
              <w:pStyle w:val="18"/>
              <w:tabs>
                <w:tab w:val="left" w:pos="528"/>
              </w:tabs>
              <w:spacing w:before="6"/>
              <w:ind w:left="108"/>
              <w:rPr>
                <w:rStyle w:val="15"/>
                <w:sz w:val="21"/>
                <w:szCs w:val="21"/>
              </w:rPr>
            </w:pPr>
            <w:r>
              <w:rPr>
                <w:rStyle w:val="15"/>
                <w:sz w:val="21"/>
                <w:szCs w:val="21"/>
              </w:rPr>
              <w:t>招标人：</w:t>
            </w:r>
            <w:r>
              <w:rPr>
                <w:rStyle w:val="15"/>
                <w:rFonts w:hint="eastAsia"/>
                <w:sz w:val="21"/>
                <w:szCs w:val="21"/>
                <w:lang w:val="en-US" w:eastAsia="zh-CN"/>
              </w:rPr>
              <w:t>富川瑶族自治县交通运输局</w:t>
            </w:r>
          </w:p>
          <w:p>
            <w:pPr>
              <w:pStyle w:val="18"/>
              <w:tabs>
                <w:tab w:val="left" w:pos="528"/>
              </w:tabs>
              <w:spacing w:before="6"/>
              <w:ind w:left="108"/>
              <w:rPr>
                <w:rStyle w:val="15"/>
                <w:sz w:val="21"/>
                <w:szCs w:val="21"/>
              </w:rPr>
            </w:pPr>
            <w:r>
              <w:rPr>
                <w:rStyle w:val="15"/>
                <w:sz w:val="21"/>
                <w:szCs w:val="21"/>
              </w:rPr>
              <w:t>地</w:t>
            </w:r>
            <w:r>
              <w:rPr>
                <w:rStyle w:val="15"/>
                <w:sz w:val="21"/>
                <w:szCs w:val="21"/>
              </w:rPr>
              <w:tab/>
            </w:r>
            <w:r>
              <w:rPr>
                <w:rStyle w:val="15"/>
                <w:sz w:val="21"/>
                <w:szCs w:val="21"/>
              </w:rPr>
              <w:t>址：</w:t>
            </w:r>
            <w:r>
              <w:rPr>
                <w:rStyle w:val="15"/>
                <w:rFonts w:hint="eastAsia"/>
                <w:sz w:val="21"/>
                <w:szCs w:val="21"/>
                <w:lang w:eastAsia="zh-CN"/>
              </w:rPr>
              <w:t>富阳镇凤凰路</w:t>
            </w:r>
            <w:r>
              <w:rPr>
                <w:rStyle w:val="15"/>
                <w:rFonts w:hint="eastAsia"/>
                <w:sz w:val="21"/>
                <w:szCs w:val="21"/>
                <w:lang w:val="en-US" w:eastAsia="zh-CN"/>
              </w:rPr>
              <w:t>206</w:t>
            </w:r>
            <w:r>
              <w:rPr>
                <w:rStyle w:val="15"/>
                <w:sz w:val="21"/>
                <w:szCs w:val="21"/>
              </w:rPr>
              <w:t xml:space="preserve"> 号</w:t>
            </w:r>
          </w:p>
          <w:p>
            <w:pPr>
              <w:pStyle w:val="18"/>
              <w:tabs>
                <w:tab w:val="left" w:pos="528"/>
              </w:tabs>
              <w:spacing w:before="6"/>
              <w:ind w:left="108"/>
              <w:rPr>
                <w:rStyle w:val="15"/>
                <w:rFonts w:hint="eastAsia"/>
                <w:sz w:val="21"/>
                <w:szCs w:val="21"/>
                <w:lang w:eastAsia="zh-CN"/>
              </w:rPr>
            </w:pPr>
            <w:r>
              <w:rPr>
                <w:rStyle w:val="15"/>
                <w:sz w:val="21"/>
                <w:szCs w:val="21"/>
              </w:rPr>
              <w:t>联系人：</w:t>
            </w:r>
            <w:r>
              <w:rPr>
                <w:rStyle w:val="15"/>
                <w:rFonts w:hint="eastAsia"/>
                <w:sz w:val="21"/>
                <w:szCs w:val="21"/>
                <w:lang w:eastAsia="zh-CN"/>
              </w:rPr>
              <w:t>廖工</w:t>
            </w:r>
          </w:p>
          <w:p>
            <w:pPr>
              <w:pStyle w:val="18"/>
              <w:tabs>
                <w:tab w:val="left" w:pos="528"/>
              </w:tabs>
              <w:spacing w:before="6"/>
              <w:ind w:left="108"/>
              <w:rPr>
                <w:rStyle w:val="15"/>
                <w:sz w:val="21"/>
                <w:szCs w:val="21"/>
              </w:rPr>
            </w:pPr>
            <w:r>
              <w:rPr>
                <w:rStyle w:val="15"/>
                <w:sz w:val="21"/>
                <w:szCs w:val="21"/>
              </w:rPr>
              <w:t>电</w:t>
            </w:r>
            <w:r>
              <w:rPr>
                <w:rStyle w:val="15"/>
                <w:sz w:val="21"/>
                <w:szCs w:val="21"/>
              </w:rPr>
              <w:tab/>
            </w:r>
            <w:r>
              <w:rPr>
                <w:rStyle w:val="15"/>
                <w:sz w:val="21"/>
                <w:szCs w:val="21"/>
              </w:rPr>
              <w:t>话：0774-</w:t>
            </w:r>
            <w:r>
              <w:rPr>
                <w:rStyle w:val="15"/>
                <w:rFonts w:hint="eastAsia"/>
                <w:sz w:val="21"/>
                <w:szCs w:val="21"/>
                <w:lang w:val="en-US" w:eastAsia="zh-CN"/>
              </w:rPr>
              <w:t>7882569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97" w:type="dxa"/>
          </w:tcPr>
          <w:p>
            <w:pPr>
              <w:pStyle w:val="18"/>
              <w:rPr>
                <w:rStyle w:val="15"/>
                <w:sz w:val="21"/>
                <w:szCs w:val="21"/>
              </w:rPr>
            </w:pPr>
          </w:p>
          <w:p>
            <w:pPr>
              <w:pStyle w:val="18"/>
              <w:spacing w:before="12"/>
              <w:rPr>
                <w:rStyle w:val="15"/>
                <w:sz w:val="21"/>
                <w:szCs w:val="21"/>
              </w:rPr>
            </w:pPr>
          </w:p>
          <w:p>
            <w:pPr>
              <w:pStyle w:val="18"/>
              <w:ind w:left="6"/>
              <w:jc w:val="center"/>
              <w:rPr>
                <w:rStyle w:val="15"/>
                <w:sz w:val="21"/>
                <w:szCs w:val="21"/>
              </w:rPr>
            </w:pPr>
            <w:r>
              <w:rPr>
                <w:rStyle w:val="15"/>
                <w:sz w:val="21"/>
                <w:szCs w:val="21"/>
              </w:rPr>
              <w:t>1.1.3</w:t>
            </w:r>
          </w:p>
        </w:tc>
        <w:tc>
          <w:tcPr>
            <w:tcW w:w="1620" w:type="dxa"/>
          </w:tcPr>
          <w:p>
            <w:pPr>
              <w:pStyle w:val="18"/>
              <w:rPr>
                <w:rStyle w:val="15"/>
                <w:sz w:val="21"/>
                <w:szCs w:val="21"/>
              </w:rPr>
            </w:pPr>
          </w:p>
          <w:p>
            <w:pPr>
              <w:pStyle w:val="18"/>
              <w:spacing w:before="12"/>
              <w:rPr>
                <w:rStyle w:val="15"/>
                <w:sz w:val="21"/>
                <w:szCs w:val="21"/>
              </w:rPr>
            </w:pPr>
          </w:p>
          <w:p>
            <w:pPr>
              <w:pStyle w:val="18"/>
              <w:ind w:left="177" w:right="169"/>
              <w:jc w:val="center"/>
              <w:rPr>
                <w:rStyle w:val="15"/>
                <w:sz w:val="21"/>
                <w:szCs w:val="21"/>
              </w:rPr>
            </w:pPr>
            <w:r>
              <w:rPr>
                <w:rStyle w:val="15"/>
                <w:sz w:val="21"/>
                <w:szCs w:val="21"/>
              </w:rPr>
              <w:t>招标代理机构</w:t>
            </w:r>
          </w:p>
        </w:tc>
        <w:tc>
          <w:tcPr>
            <w:tcW w:w="7797" w:type="dxa"/>
          </w:tcPr>
          <w:p>
            <w:pPr>
              <w:pStyle w:val="18"/>
              <w:tabs>
                <w:tab w:val="left" w:pos="528"/>
              </w:tabs>
              <w:spacing w:before="24"/>
              <w:ind w:left="108"/>
              <w:rPr>
                <w:rStyle w:val="15"/>
                <w:rFonts w:hint="eastAsia"/>
                <w:sz w:val="21"/>
                <w:szCs w:val="21"/>
              </w:rPr>
            </w:pPr>
            <w:r>
              <w:rPr>
                <w:rStyle w:val="15"/>
                <w:rFonts w:hint="eastAsia"/>
                <w:sz w:val="21"/>
                <w:szCs w:val="21"/>
                <w:lang w:eastAsia="zh-CN"/>
              </w:rPr>
              <w:t>名</w:t>
            </w:r>
            <w:r>
              <w:rPr>
                <w:rStyle w:val="15"/>
                <w:rFonts w:hint="eastAsia"/>
                <w:sz w:val="21"/>
                <w:szCs w:val="21"/>
                <w:lang w:val="en-US" w:eastAsia="zh-CN"/>
              </w:rPr>
              <w:t xml:space="preserve">  </w:t>
            </w:r>
            <w:r>
              <w:rPr>
                <w:rStyle w:val="15"/>
                <w:rFonts w:hint="eastAsia"/>
                <w:sz w:val="21"/>
                <w:szCs w:val="21"/>
                <w:lang w:eastAsia="zh-CN"/>
              </w:rPr>
              <w:t>称</w:t>
            </w:r>
            <w:r>
              <w:rPr>
                <w:rStyle w:val="15"/>
                <w:sz w:val="21"/>
                <w:szCs w:val="21"/>
              </w:rPr>
              <w:t>：</w:t>
            </w:r>
            <w:r>
              <w:rPr>
                <w:rStyle w:val="15"/>
                <w:rFonts w:hint="eastAsia"/>
                <w:sz w:val="21"/>
                <w:szCs w:val="21"/>
              </w:rPr>
              <w:t>广西桂林华禹水利水电工程咨询有限公司</w:t>
            </w:r>
          </w:p>
          <w:p>
            <w:pPr>
              <w:pStyle w:val="18"/>
              <w:tabs>
                <w:tab w:val="left" w:pos="528"/>
              </w:tabs>
              <w:spacing w:before="24"/>
              <w:ind w:left="108"/>
              <w:rPr>
                <w:rStyle w:val="15"/>
                <w:sz w:val="21"/>
                <w:szCs w:val="21"/>
              </w:rPr>
            </w:pPr>
            <w:r>
              <w:rPr>
                <w:rStyle w:val="15"/>
                <w:sz w:val="21"/>
                <w:szCs w:val="21"/>
              </w:rPr>
              <w:t>地</w:t>
            </w:r>
            <w:r>
              <w:rPr>
                <w:rStyle w:val="15"/>
                <w:sz w:val="21"/>
                <w:szCs w:val="21"/>
              </w:rPr>
              <w:tab/>
            </w:r>
            <w:r>
              <w:rPr>
                <w:rStyle w:val="15"/>
                <w:sz w:val="21"/>
                <w:szCs w:val="21"/>
              </w:rPr>
              <w:t>址：贺州市</w:t>
            </w:r>
            <w:r>
              <w:rPr>
                <w:rStyle w:val="15"/>
                <w:rFonts w:hint="eastAsia"/>
                <w:sz w:val="21"/>
                <w:szCs w:val="21"/>
                <w:lang w:eastAsia="zh-CN"/>
              </w:rPr>
              <w:t>太白西</w:t>
            </w:r>
            <w:r>
              <w:rPr>
                <w:rStyle w:val="15"/>
                <w:sz w:val="21"/>
                <w:szCs w:val="21"/>
              </w:rPr>
              <w:t xml:space="preserve">路 </w:t>
            </w:r>
            <w:r>
              <w:rPr>
                <w:rStyle w:val="15"/>
                <w:rFonts w:hint="eastAsia"/>
                <w:sz w:val="21"/>
                <w:szCs w:val="21"/>
                <w:lang w:val="en-US" w:eastAsia="zh-CN"/>
              </w:rPr>
              <w:t>145</w:t>
            </w:r>
            <w:r>
              <w:rPr>
                <w:rStyle w:val="15"/>
                <w:sz w:val="21"/>
                <w:szCs w:val="21"/>
              </w:rPr>
              <w:t xml:space="preserve"> 号</w:t>
            </w:r>
          </w:p>
          <w:p>
            <w:pPr>
              <w:pStyle w:val="18"/>
              <w:tabs>
                <w:tab w:val="left" w:pos="528"/>
              </w:tabs>
              <w:spacing w:before="24"/>
              <w:ind w:left="108"/>
              <w:rPr>
                <w:rStyle w:val="15"/>
                <w:rFonts w:hint="eastAsia"/>
                <w:sz w:val="21"/>
                <w:szCs w:val="21"/>
                <w:lang w:eastAsia="zh-CN"/>
              </w:rPr>
            </w:pPr>
            <w:r>
              <w:rPr>
                <w:rStyle w:val="15"/>
                <w:sz w:val="21"/>
                <w:szCs w:val="21"/>
              </w:rPr>
              <w:t>联系人：</w:t>
            </w:r>
            <w:r>
              <w:rPr>
                <w:rStyle w:val="15"/>
                <w:rFonts w:hint="eastAsia"/>
                <w:sz w:val="21"/>
                <w:szCs w:val="21"/>
                <w:lang w:eastAsia="zh-CN"/>
              </w:rPr>
              <w:t>李工</w:t>
            </w:r>
          </w:p>
          <w:p>
            <w:pPr>
              <w:pStyle w:val="18"/>
              <w:tabs>
                <w:tab w:val="left" w:pos="528"/>
              </w:tabs>
              <w:spacing w:before="24"/>
              <w:ind w:left="108"/>
              <w:rPr>
                <w:rStyle w:val="15"/>
                <w:sz w:val="21"/>
                <w:szCs w:val="21"/>
              </w:rPr>
            </w:pPr>
            <w:r>
              <w:rPr>
                <w:rStyle w:val="15"/>
                <w:sz w:val="21"/>
                <w:szCs w:val="21"/>
              </w:rPr>
              <w:t>电</w:t>
            </w:r>
            <w:r>
              <w:rPr>
                <w:rStyle w:val="15"/>
                <w:sz w:val="21"/>
                <w:szCs w:val="21"/>
              </w:rPr>
              <w:tab/>
            </w:r>
            <w:r>
              <w:rPr>
                <w:rStyle w:val="15"/>
                <w:sz w:val="21"/>
                <w:szCs w:val="21"/>
              </w:rPr>
              <w:t>话：</w:t>
            </w:r>
            <w:r>
              <w:rPr>
                <w:rStyle w:val="15"/>
                <w:rFonts w:hint="eastAsia"/>
                <w:sz w:val="21"/>
                <w:szCs w:val="21"/>
                <w:lang w:val="en-US" w:eastAsia="zh-CN"/>
              </w:rPr>
              <w:t>13768145297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tcPr>
          <w:p>
            <w:pPr>
              <w:pStyle w:val="18"/>
              <w:spacing w:before="144"/>
              <w:ind w:left="6"/>
              <w:jc w:val="center"/>
              <w:rPr>
                <w:rStyle w:val="15"/>
                <w:sz w:val="21"/>
                <w:szCs w:val="21"/>
              </w:rPr>
            </w:pPr>
            <w:r>
              <w:rPr>
                <w:rStyle w:val="15"/>
                <w:sz w:val="21"/>
                <w:szCs w:val="21"/>
              </w:rPr>
              <w:t>1.1.4</w:t>
            </w:r>
          </w:p>
        </w:tc>
        <w:tc>
          <w:tcPr>
            <w:tcW w:w="1620" w:type="dxa"/>
          </w:tcPr>
          <w:p>
            <w:pPr>
              <w:pStyle w:val="18"/>
              <w:spacing w:line="300" w:lineRule="exact"/>
              <w:ind w:left="389" w:right="275" w:hanging="106"/>
              <w:rPr>
                <w:rStyle w:val="15"/>
                <w:sz w:val="21"/>
                <w:szCs w:val="21"/>
              </w:rPr>
            </w:pPr>
            <w:r>
              <w:rPr>
                <w:rStyle w:val="15"/>
                <w:sz w:val="21"/>
                <w:szCs w:val="21"/>
              </w:rPr>
              <w:t>项目名称及项目编号</w:t>
            </w:r>
          </w:p>
        </w:tc>
        <w:tc>
          <w:tcPr>
            <w:tcW w:w="7797" w:type="dxa"/>
          </w:tcPr>
          <w:p>
            <w:pPr>
              <w:pStyle w:val="18"/>
              <w:spacing w:line="300" w:lineRule="exact"/>
              <w:ind w:left="108" w:right="2850"/>
              <w:rPr>
                <w:rStyle w:val="15"/>
                <w:sz w:val="21"/>
                <w:szCs w:val="21"/>
              </w:rPr>
            </w:pPr>
            <w:r>
              <w:rPr>
                <w:rStyle w:val="15"/>
                <w:sz w:val="21"/>
                <w:szCs w:val="21"/>
              </w:rPr>
              <w:t>项目名称：</w:t>
            </w:r>
            <w:r>
              <w:rPr>
                <w:rStyle w:val="15"/>
                <w:rFonts w:hint="eastAsia"/>
                <w:sz w:val="21"/>
                <w:szCs w:val="21"/>
                <w:lang w:eastAsia="zh-CN"/>
              </w:rPr>
              <w:t>富川县新华至莲山道路路面修复工</w:t>
            </w:r>
            <w:r>
              <w:rPr>
                <w:rStyle w:val="15"/>
                <w:sz w:val="21"/>
                <w:szCs w:val="21"/>
              </w:rPr>
              <w:t xml:space="preserve">程 </w:t>
            </w:r>
          </w:p>
          <w:p>
            <w:pPr>
              <w:pStyle w:val="18"/>
              <w:spacing w:line="300" w:lineRule="exact"/>
              <w:ind w:left="108" w:right="2850"/>
              <w:rPr>
                <w:rStyle w:val="15"/>
                <w:sz w:val="21"/>
                <w:szCs w:val="21"/>
              </w:rPr>
            </w:pPr>
            <w:r>
              <w:rPr>
                <w:rStyle w:val="15"/>
                <w:sz w:val="21"/>
                <w:szCs w:val="21"/>
              </w:rPr>
              <w:t>项目编号：</w:t>
            </w:r>
            <w:r>
              <w:rPr>
                <w:rStyle w:val="15"/>
                <w:rFonts w:hint="eastAsia"/>
                <w:sz w:val="21"/>
                <w:szCs w:val="21"/>
                <w:lang w:val="en-US" w:eastAsia="zh-CN"/>
              </w:rPr>
              <w:t>HZZC2020-G2-230031-GLHY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97" w:type="dxa"/>
          </w:tcPr>
          <w:p>
            <w:pPr>
              <w:pStyle w:val="18"/>
              <w:spacing w:before="13"/>
              <w:ind w:left="6"/>
              <w:jc w:val="center"/>
              <w:rPr>
                <w:rStyle w:val="15"/>
                <w:sz w:val="21"/>
                <w:szCs w:val="21"/>
              </w:rPr>
            </w:pPr>
            <w:r>
              <w:rPr>
                <w:rStyle w:val="15"/>
                <w:sz w:val="21"/>
                <w:szCs w:val="21"/>
              </w:rPr>
              <w:t>1.1.5</w:t>
            </w:r>
          </w:p>
        </w:tc>
        <w:tc>
          <w:tcPr>
            <w:tcW w:w="1620" w:type="dxa"/>
          </w:tcPr>
          <w:p>
            <w:pPr>
              <w:pStyle w:val="18"/>
              <w:spacing w:before="13"/>
              <w:ind w:left="175" w:right="169"/>
              <w:jc w:val="center"/>
              <w:rPr>
                <w:rStyle w:val="15"/>
                <w:sz w:val="21"/>
                <w:szCs w:val="21"/>
              </w:rPr>
            </w:pPr>
            <w:r>
              <w:rPr>
                <w:rStyle w:val="15"/>
                <w:sz w:val="21"/>
                <w:szCs w:val="21"/>
              </w:rPr>
              <w:t>建设地点</w:t>
            </w:r>
          </w:p>
        </w:tc>
        <w:tc>
          <w:tcPr>
            <w:tcW w:w="7797" w:type="dxa"/>
          </w:tcPr>
          <w:p>
            <w:pPr>
              <w:pStyle w:val="18"/>
              <w:spacing w:before="13"/>
              <w:ind w:left="108"/>
              <w:rPr>
                <w:rStyle w:val="15"/>
                <w:sz w:val="21"/>
                <w:szCs w:val="21"/>
              </w:rPr>
            </w:pPr>
            <w:r>
              <w:rPr>
                <w:rStyle w:val="15"/>
                <w:rFonts w:hint="eastAsia"/>
                <w:sz w:val="21"/>
                <w:szCs w:val="21"/>
                <w:lang w:eastAsia="zh-CN"/>
              </w:rPr>
              <w:t>富川县新华至莲山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4"/>
              <w:ind w:left="6"/>
              <w:jc w:val="center"/>
              <w:rPr>
                <w:rStyle w:val="15"/>
                <w:sz w:val="21"/>
                <w:szCs w:val="21"/>
              </w:rPr>
            </w:pPr>
            <w:r>
              <w:rPr>
                <w:rStyle w:val="15"/>
                <w:sz w:val="21"/>
                <w:szCs w:val="21"/>
              </w:rPr>
              <w:t>1.2.1</w:t>
            </w:r>
          </w:p>
        </w:tc>
        <w:tc>
          <w:tcPr>
            <w:tcW w:w="1620" w:type="dxa"/>
          </w:tcPr>
          <w:p>
            <w:pPr>
              <w:pStyle w:val="18"/>
              <w:spacing w:before="14"/>
              <w:ind w:left="175" w:right="169"/>
              <w:jc w:val="center"/>
              <w:rPr>
                <w:rStyle w:val="15"/>
                <w:sz w:val="21"/>
                <w:szCs w:val="21"/>
              </w:rPr>
            </w:pPr>
            <w:r>
              <w:rPr>
                <w:rStyle w:val="15"/>
                <w:sz w:val="21"/>
                <w:szCs w:val="21"/>
              </w:rPr>
              <w:t>资金来源</w:t>
            </w:r>
          </w:p>
        </w:tc>
        <w:tc>
          <w:tcPr>
            <w:tcW w:w="7797" w:type="dxa"/>
          </w:tcPr>
          <w:p>
            <w:pPr>
              <w:pStyle w:val="18"/>
              <w:spacing w:before="14"/>
              <w:ind w:left="108"/>
              <w:rPr>
                <w:rStyle w:val="15"/>
                <w:sz w:val="21"/>
                <w:szCs w:val="21"/>
              </w:rPr>
            </w:pPr>
            <w:r>
              <w:rPr>
                <w:rStyle w:val="15"/>
                <w:sz w:val="21"/>
                <w:szCs w:val="21"/>
              </w:rPr>
              <w:t>预算内资金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4"/>
              <w:ind w:left="6"/>
              <w:jc w:val="center"/>
              <w:rPr>
                <w:rStyle w:val="15"/>
                <w:sz w:val="21"/>
                <w:szCs w:val="21"/>
              </w:rPr>
            </w:pPr>
            <w:r>
              <w:rPr>
                <w:rStyle w:val="15"/>
                <w:sz w:val="21"/>
                <w:szCs w:val="21"/>
              </w:rPr>
              <w:t>1.2.2</w:t>
            </w:r>
          </w:p>
        </w:tc>
        <w:tc>
          <w:tcPr>
            <w:tcW w:w="1620" w:type="dxa"/>
          </w:tcPr>
          <w:p>
            <w:pPr>
              <w:pStyle w:val="18"/>
              <w:spacing w:before="14"/>
              <w:ind w:left="175" w:right="169"/>
              <w:jc w:val="center"/>
              <w:rPr>
                <w:rStyle w:val="15"/>
                <w:sz w:val="21"/>
                <w:szCs w:val="21"/>
              </w:rPr>
            </w:pPr>
            <w:r>
              <w:rPr>
                <w:rStyle w:val="15"/>
                <w:sz w:val="21"/>
                <w:szCs w:val="21"/>
              </w:rPr>
              <w:t>出资比例</w:t>
            </w:r>
          </w:p>
        </w:tc>
        <w:tc>
          <w:tcPr>
            <w:tcW w:w="7797" w:type="dxa"/>
          </w:tcPr>
          <w:p>
            <w:pPr>
              <w:pStyle w:val="18"/>
              <w:spacing w:before="14"/>
              <w:ind w:left="108"/>
              <w:rPr>
                <w:rStyle w:val="15"/>
                <w:sz w:val="21"/>
                <w:szCs w:val="21"/>
              </w:rPr>
            </w:pPr>
            <w:r>
              <w:rPr>
                <w:rStyle w:val="15"/>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5"/>
              <w:ind w:left="6"/>
              <w:jc w:val="center"/>
              <w:rPr>
                <w:rStyle w:val="15"/>
                <w:sz w:val="21"/>
                <w:szCs w:val="21"/>
              </w:rPr>
            </w:pPr>
            <w:r>
              <w:rPr>
                <w:rStyle w:val="15"/>
                <w:sz w:val="21"/>
                <w:szCs w:val="21"/>
              </w:rPr>
              <w:t>1.2.3</w:t>
            </w:r>
          </w:p>
        </w:tc>
        <w:tc>
          <w:tcPr>
            <w:tcW w:w="1620" w:type="dxa"/>
          </w:tcPr>
          <w:p>
            <w:pPr>
              <w:pStyle w:val="18"/>
              <w:spacing w:before="15"/>
              <w:ind w:left="177" w:right="169"/>
              <w:jc w:val="center"/>
              <w:rPr>
                <w:rStyle w:val="15"/>
                <w:sz w:val="21"/>
                <w:szCs w:val="21"/>
              </w:rPr>
            </w:pPr>
            <w:r>
              <w:rPr>
                <w:rStyle w:val="15"/>
                <w:sz w:val="21"/>
                <w:szCs w:val="21"/>
              </w:rPr>
              <w:t>资金落实情况</w:t>
            </w:r>
          </w:p>
        </w:tc>
        <w:tc>
          <w:tcPr>
            <w:tcW w:w="7797" w:type="dxa"/>
          </w:tcPr>
          <w:p>
            <w:pPr>
              <w:pStyle w:val="18"/>
              <w:spacing w:before="15"/>
              <w:ind w:left="108"/>
              <w:rPr>
                <w:rStyle w:val="15"/>
                <w:sz w:val="21"/>
                <w:szCs w:val="21"/>
              </w:rPr>
            </w:pPr>
            <w:r>
              <w:rPr>
                <w:rStyle w:val="15"/>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tcPr>
          <w:p>
            <w:pPr>
              <w:pStyle w:val="18"/>
              <w:spacing w:before="145"/>
              <w:ind w:left="6"/>
              <w:jc w:val="center"/>
              <w:rPr>
                <w:rStyle w:val="15"/>
                <w:sz w:val="21"/>
                <w:szCs w:val="21"/>
              </w:rPr>
            </w:pPr>
            <w:r>
              <w:rPr>
                <w:rStyle w:val="15"/>
                <w:sz w:val="21"/>
                <w:szCs w:val="21"/>
              </w:rPr>
              <w:t>1.2.4</w:t>
            </w:r>
          </w:p>
        </w:tc>
        <w:tc>
          <w:tcPr>
            <w:tcW w:w="1620" w:type="dxa"/>
          </w:tcPr>
          <w:p>
            <w:pPr>
              <w:pStyle w:val="18"/>
              <w:spacing w:line="269" w:lineRule="exact"/>
              <w:ind w:left="177" w:right="169"/>
              <w:jc w:val="center"/>
              <w:rPr>
                <w:rStyle w:val="15"/>
                <w:sz w:val="21"/>
                <w:szCs w:val="21"/>
              </w:rPr>
            </w:pPr>
            <w:r>
              <w:rPr>
                <w:rStyle w:val="15"/>
                <w:sz w:val="21"/>
                <w:szCs w:val="21"/>
              </w:rPr>
              <w:t>本工程增值税</w:t>
            </w:r>
          </w:p>
          <w:p>
            <w:pPr>
              <w:pStyle w:val="18"/>
              <w:spacing w:before="25"/>
              <w:ind w:left="175" w:right="169"/>
              <w:jc w:val="center"/>
              <w:rPr>
                <w:rStyle w:val="15"/>
                <w:sz w:val="21"/>
                <w:szCs w:val="21"/>
              </w:rPr>
            </w:pPr>
            <w:r>
              <w:rPr>
                <w:rStyle w:val="15"/>
                <w:sz w:val="21"/>
                <w:szCs w:val="21"/>
              </w:rPr>
              <w:t>计税方法</w:t>
            </w:r>
          </w:p>
        </w:tc>
        <w:tc>
          <w:tcPr>
            <w:tcW w:w="7797" w:type="dxa"/>
          </w:tcPr>
          <w:p>
            <w:pPr>
              <w:pStyle w:val="18"/>
              <w:spacing w:before="145"/>
              <w:ind w:left="108"/>
              <w:rPr>
                <w:rStyle w:val="15"/>
                <w:sz w:val="21"/>
                <w:szCs w:val="21"/>
              </w:rPr>
            </w:pPr>
            <w:r>
              <w:rPr>
                <w:rStyle w:val="15"/>
                <w:sz w:val="21"/>
                <w:szCs w:val="21"/>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tcPr>
          <w:p>
            <w:pPr>
              <w:pStyle w:val="18"/>
              <w:spacing w:before="144"/>
              <w:ind w:left="6"/>
              <w:jc w:val="center"/>
              <w:rPr>
                <w:rStyle w:val="15"/>
                <w:sz w:val="21"/>
                <w:szCs w:val="21"/>
              </w:rPr>
            </w:pPr>
            <w:r>
              <w:rPr>
                <w:rStyle w:val="15"/>
                <w:sz w:val="21"/>
                <w:szCs w:val="21"/>
              </w:rPr>
              <w:t>1.3.1</w:t>
            </w:r>
          </w:p>
        </w:tc>
        <w:tc>
          <w:tcPr>
            <w:tcW w:w="1620" w:type="dxa"/>
          </w:tcPr>
          <w:p>
            <w:pPr>
              <w:pStyle w:val="18"/>
              <w:spacing w:before="144"/>
              <w:ind w:left="175" w:right="169"/>
              <w:jc w:val="center"/>
              <w:rPr>
                <w:rStyle w:val="15"/>
                <w:sz w:val="21"/>
                <w:szCs w:val="21"/>
              </w:rPr>
            </w:pPr>
            <w:r>
              <w:rPr>
                <w:rStyle w:val="15"/>
                <w:sz w:val="21"/>
                <w:szCs w:val="21"/>
              </w:rPr>
              <w:t>招标范围</w:t>
            </w:r>
          </w:p>
        </w:tc>
        <w:tc>
          <w:tcPr>
            <w:tcW w:w="7797" w:type="dxa"/>
          </w:tcPr>
          <w:p>
            <w:pPr>
              <w:pStyle w:val="18"/>
              <w:spacing w:before="1" w:line="300" w:lineRule="exact"/>
              <w:ind w:left="108" w:right="97"/>
              <w:rPr>
                <w:rStyle w:val="15"/>
                <w:sz w:val="21"/>
                <w:szCs w:val="21"/>
              </w:rPr>
            </w:pPr>
            <w:r>
              <w:rPr>
                <w:rStyle w:val="15"/>
              </w:rPr>
              <w:t>建设规模描述范围内的公路工程施工，详见招标文件经财政投资评审的工程量清单内容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97" w:type="dxa"/>
          </w:tcPr>
          <w:p>
            <w:pPr>
              <w:pStyle w:val="18"/>
              <w:spacing w:before="13"/>
              <w:ind w:left="6"/>
              <w:jc w:val="center"/>
              <w:rPr>
                <w:rStyle w:val="15"/>
                <w:sz w:val="21"/>
                <w:szCs w:val="21"/>
              </w:rPr>
            </w:pPr>
            <w:r>
              <w:rPr>
                <w:rStyle w:val="15"/>
                <w:sz w:val="21"/>
                <w:szCs w:val="21"/>
              </w:rPr>
              <w:t>1.3.2</w:t>
            </w:r>
          </w:p>
        </w:tc>
        <w:tc>
          <w:tcPr>
            <w:tcW w:w="1620" w:type="dxa"/>
          </w:tcPr>
          <w:p>
            <w:pPr>
              <w:pStyle w:val="18"/>
              <w:spacing w:before="13"/>
              <w:ind w:left="175" w:right="169"/>
              <w:jc w:val="center"/>
              <w:rPr>
                <w:rStyle w:val="15"/>
                <w:sz w:val="21"/>
                <w:szCs w:val="21"/>
              </w:rPr>
            </w:pPr>
            <w:r>
              <w:rPr>
                <w:rStyle w:val="15"/>
                <w:sz w:val="21"/>
                <w:szCs w:val="21"/>
              </w:rPr>
              <w:t>要求工期</w:t>
            </w:r>
          </w:p>
        </w:tc>
        <w:tc>
          <w:tcPr>
            <w:tcW w:w="7797" w:type="dxa"/>
          </w:tcPr>
          <w:p>
            <w:pPr>
              <w:pStyle w:val="18"/>
              <w:spacing w:before="13"/>
              <w:ind w:left="108"/>
              <w:rPr>
                <w:rStyle w:val="15"/>
                <w:sz w:val="21"/>
                <w:szCs w:val="21"/>
              </w:rPr>
            </w:pPr>
            <w:r>
              <w:rPr>
                <w:rStyle w:val="15"/>
                <w:sz w:val="21"/>
                <w:szCs w:val="21"/>
              </w:rPr>
              <w:t xml:space="preserve">计划开工日期均以开工令为准，施工总工期为 </w:t>
            </w:r>
            <w:r>
              <w:rPr>
                <w:rStyle w:val="15"/>
                <w:rFonts w:hint="eastAsia"/>
                <w:sz w:val="21"/>
                <w:szCs w:val="21"/>
                <w:lang w:val="en-US" w:eastAsia="zh-CN"/>
              </w:rPr>
              <w:t xml:space="preserve">60 </w:t>
            </w:r>
            <w:r>
              <w:rPr>
                <w:rStyle w:val="15"/>
                <w:sz w:val="21"/>
                <w:szCs w:val="21"/>
              </w:rPr>
              <w:t>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line="271" w:lineRule="exact"/>
              <w:ind w:left="6"/>
              <w:jc w:val="center"/>
              <w:rPr>
                <w:rStyle w:val="15"/>
                <w:sz w:val="21"/>
                <w:szCs w:val="21"/>
              </w:rPr>
            </w:pPr>
            <w:r>
              <w:rPr>
                <w:rStyle w:val="15"/>
                <w:sz w:val="21"/>
                <w:szCs w:val="21"/>
              </w:rPr>
              <w:t>1.3.3</w:t>
            </w:r>
          </w:p>
        </w:tc>
        <w:tc>
          <w:tcPr>
            <w:tcW w:w="1620" w:type="dxa"/>
          </w:tcPr>
          <w:p>
            <w:pPr>
              <w:pStyle w:val="18"/>
              <w:spacing w:before="15"/>
              <w:ind w:left="175" w:right="169"/>
              <w:jc w:val="center"/>
              <w:rPr>
                <w:rStyle w:val="15"/>
                <w:sz w:val="21"/>
                <w:szCs w:val="21"/>
              </w:rPr>
            </w:pPr>
            <w:r>
              <w:rPr>
                <w:rStyle w:val="15"/>
                <w:sz w:val="21"/>
                <w:szCs w:val="21"/>
              </w:rPr>
              <w:t>质量要求</w:t>
            </w:r>
          </w:p>
        </w:tc>
        <w:tc>
          <w:tcPr>
            <w:tcW w:w="7797" w:type="dxa"/>
          </w:tcPr>
          <w:p>
            <w:pPr>
              <w:pStyle w:val="18"/>
              <w:spacing w:before="15"/>
              <w:ind w:left="108"/>
              <w:rPr>
                <w:rStyle w:val="15"/>
                <w:sz w:val="21"/>
                <w:szCs w:val="21"/>
              </w:rPr>
            </w:pPr>
            <w:r>
              <w:rPr>
                <w:rStyle w:val="15"/>
                <w:sz w:val="21"/>
                <w:szCs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0" w:hRule="atLeast"/>
        </w:trPr>
        <w:tc>
          <w:tcPr>
            <w:tcW w:w="897" w:type="dxa"/>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ind w:left="6"/>
              <w:jc w:val="center"/>
              <w:rPr>
                <w:rStyle w:val="15"/>
                <w:sz w:val="21"/>
                <w:szCs w:val="21"/>
              </w:rPr>
            </w:pPr>
            <w:r>
              <w:rPr>
                <w:rStyle w:val="15"/>
                <w:sz w:val="21"/>
                <w:szCs w:val="21"/>
              </w:rPr>
              <w:t>1.4.1</w:t>
            </w:r>
          </w:p>
        </w:tc>
        <w:tc>
          <w:tcPr>
            <w:tcW w:w="1620" w:type="dxa"/>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1"/>
              <w:rPr>
                <w:rStyle w:val="15"/>
                <w:sz w:val="21"/>
                <w:szCs w:val="21"/>
              </w:rPr>
            </w:pPr>
          </w:p>
          <w:p>
            <w:pPr>
              <w:pStyle w:val="18"/>
              <w:spacing w:line="261" w:lineRule="auto"/>
              <w:ind w:left="108" w:right="97" w:hanging="1"/>
              <w:jc w:val="center"/>
              <w:rPr>
                <w:rStyle w:val="15"/>
                <w:sz w:val="21"/>
                <w:szCs w:val="21"/>
              </w:rPr>
            </w:pPr>
            <w:r>
              <w:rPr>
                <w:rStyle w:val="15"/>
                <w:sz w:val="21"/>
                <w:szCs w:val="21"/>
              </w:rPr>
              <w:t>投标人资质条件、能力、诚信要求</w:t>
            </w:r>
          </w:p>
        </w:tc>
        <w:tc>
          <w:tcPr>
            <w:tcW w:w="7797" w:type="dxa"/>
          </w:tcPr>
          <w:p>
            <w:pPr>
              <w:pStyle w:val="18"/>
              <w:spacing w:line="261" w:lineRule="auto"/>
              <w:ind w:left="108" w:right="95" w:firstLine="420"/>
              <w:jc w:val="both"/>
              <w:rPr>
                <w:rStyle w:val="15"/>
                <w:sz w:val="21"/>
                <w:szCs w:val="21"/>
              </w:rPr>
            </w:pPr>
            <w:r>
              <w:rPr>
                <w:rStyle w:val="15"/>
                <w:sz w:val="21"/>
                <w:szCs w:val="21"/>
              </w:rPr>
              <w:t>资质条件：投标人同时须具备国内企业法人资格，具备公路工程施工总承包叁级及以上资质，并在人员、设备、资金等方面具有相应的施工能力。</w:t>
            </w:r>
          </w:p>
          <w:p>
            <w:pPr>
              <w:pStyle w:val="18"/>
              <w:spacing w:before="12" w:line="261" w:lineRule="auto"/>
              <w:ind w:left="108" w:right="90" w:firstLine="420"/>
              <w:jc w:val="both"/>
              <w:rPr>
                <w:rStyle w:val="15"/>
                <w:sz w:val="21"/>
                <w:szCs w:val="21"/>
              </w:rPr>
            </w:pPr>
            <w:r>
              <w:rPr>
                <w:rStyle w:val="15"/>
                <w:sz w:val="21"/>
                <w:szCs w:val="21"/>
              </w:rPr>
              <w:t>财务要求：近 3 年（201</w:t>
            </w:r>
            <w:r>
              <w:rPr>
                <w:rStyle w:val="15"/>
                <w:rFonts w:hint="eastAsia"/>
                <w:sz w:val="21"/>
                <w:szCs w:val="21"/>
                <w:lang w:val="en-US" w:eastAsia="zh-CN"/>
              </w:rPr>
              <w:t>7</w:t>
            </w:r>
            <w:r>
              <w:rPr>
                <w:rStyle w:val="15"/>
                <w:sz w:val="21"/>
                <w:szCs w:val="21"/>
              </w:rPr>
              <w:t xml:space="preserve"> 年度、201</w:t>
            </w:r>
            <w:r>
              <w:rPr>
                <w:rStyle w:val="15"/>
                <w:rFonts w:hint="eastAsia"/>
                <w:sz w:val="21"/>
                <w:szCs w:val="21"/>
                <w:lang w:val="en-US" w:eastAsia="zh-CN"/>
              </w:rPr>
              <w:t>8</w:t>
            </w:r>
            <w:r>
              <w:rPr>
                <w:rStyle w:val="15"/>
                <w:sz w:val="21"/>
                <w:szCs w:val="21"/>
              </w:rPr>
              <w:t xml:space="preserve"> 年度和 201</w:t>
            </w:r>
            <w:r>
              <w:rPr>
                <w:rStyle w:val="15"/>
                <w:rFonts w:hint="eastAsia"/>
                <w:sz w:val="21"/>
                <w:szCs w:val="21"/>
                <w:lang w:val="en-US" w:eastAsia="zh-CN"/>
              </w:rPr>
              <w:t>9</w:t>
            </w:r>
            <w:r>
              <w:rPr>
                <w:rStyle w:val="15"/>
                <w:sz w:val="21"/>
                <w:szCs w:val="21"/>
              </w:rPr>
              <w:t xml:space="preserve"> 年度）经审计的财务报表。对于从取得营业执照时间起到投标截止时间为止不足要求年数的企业，只需提交企业取得营业执照年份至所要求最近年份经审计的财务报表。</w:t>
            </w:r>
          </w:p>
          <w:p>
            <w:pPr>
              <w:pStyle w:val="18"/>
              <w:spacing w:before="6"/>
              <w:ind w:left="528"/>
              <w:rPr>
                <w:rStyle w:val="15"/>
                <w:sz w:val="21"/>
                <w:szCs w:val="21"/>
              </w:rPr>
            </w:pPr>
            <w:r>
              <w:rPr>
                <w:rStyle w:val="15"/>
                <w:sz w:val="21"/>
                <w:szCs w:val="21"/>
              </w:rPr>
              <w:t>业绩要求：无要求。</w:t>
            </w:r>
          </w:p>
          <w:p>
            <w:pPr>
              <w:pStyle w:val="18"/>
              <w:spacing w:before="25" w:line="261" w:lineRule="auto"/>
              <w:ind w:left="108" w:right="92" w:firstLine="420"/>
              <w:jc w:val="both"/>
              <w:rPr>
                <w:rStyle w:val="15"/>
                <w:sz w:val="21"/>
                <w:szCs w:val="21"/>
              </w:rPr>
            </w:pPr>
            <w:r>
              <w:rPr>
                <w:rStyle w:val="15"/>
                <w:sz w:val="21"/>
                <w:szCs w:val="21"/>
              </w:rPr>
              <w:t>项目经理资格：拟派往本项目的项目经理（注册建造师）必须具备公路工程专业贰级及以上资格。本项目不接受有在建、已中标未开工或已列为其他项目中标候选人（评标结果）第一名的建造师作为项目经理。</w:t>
            </w:r>
          </w:p>
          <w:p>
            <w:pPr>
              <w:pStyle w:val="18"/>
              <w:spacing w:before="6" w:line="261" w:lineRule="auto"/>
              <w:ind w:left="528" w:right="98"/>
              <w:rPr>
                <w:rStyle w:val="15"/>
                <w:sz w:val="21"/>
                <w:szCs w:val="21"/>
              </w:rPr>
            </w:pPr>
            <w:r>
              <w:rPr>
                <w:rStyle w:val="15"/>
                <w:sz w:val="21"/>
                <w:szCs w:val="21"/>
              </w:rPr>
              <w:t>专职安全员要求：专职安全员须具备有效的安全生产考核合格证书（C 类）。其他要求：</w:t>
            </w:r>
          </w:p>
          <w:p>
            <w:pPr>
              <w:pStyle w:val="18"/>
              <w:spacing w:before="6"/>
              <w:ind w:left="528"/>
              <w:rPr>
                <w:rStyle w:val="15"/>
                <w:sz w:val="21"/>
                <w:szCs w:val="21"/>
              </w:rPr>
            </w:pPr>
            <w:r>
              <w:rPr>
                <w:rStyle w:val="15"/>
                <w:sz w:val="21"/>
                <w:szCs w:val="21"/>
              </w:rPr>
              <w:t>1.投标人具有有效的《安全生产许可证》；</w:t>
            </w:r>
          </w:p>
          <w:p>
            <w:pPr>
              <w:pStyle w:val="18"/>
              <w:spacing w:before="25"/>
              <w:ind w:left="528"/>
              <w:rPr>
                <w:rStyle w:val="15"/>
                <w:sz w:val="21"/>
                <w:szCs w:val="21"/>
              </w:rPr>
            </w:pPr>
            <w:r>
              <w:rPr>
                <w:rStyle w:val="15"/>
                <w:sz w:val="21"/>
                <w:szCs w:val="21"/>
              </w:rPr>
              <w:t>2.</w:t>
            </w:r>
            <w:r>
              <w:rPr>
                <w:rStyle w:val="15"/>
                <w:color w:val="auto"/>
                <w:sz w:val="21"/>
                <w:szCs w:val="21"/>
              </w:rPr>
              <w:t>法人代表、</w:t>
            </w:r>
            <w:r>
              <w:rPr>
                <w:rStyle w:val="15"/>
                <w:sz w:val="21"/>
                <w:szCs w:val="21"/>
              </w:rPr>
              <w:t>建造师和安全员取得有效的安全生产考核合格证；</w:t>
            </w:r>
          </w:p>
          <w:p>
            <w:pPr>
              <w:pStyle w:val="18"/>
              <w:spacing w:line="300" w:lineRule="atLeast"/>
              <w:ind w:left="108" w:right="99" w:firstLine="420"/>
              <w:jc w:val="both"/>
              <w:rPr>
                <w:rStyle w:val="15"/>
                <w:sz w:val="21"/>
                <w:szCs w:val="21"/>
              </w:rPr>
            </w:pPr>
            <w:r>
              <w:rPr>
                <w:rStyle w:val="15"/>
                <w:sz w:val="21"/>
                <w:szCs w:val="21"/>
              </w:rPr>
              <w:t>3.技术负责人（项目总工）必须具有中级及以上技术职称，专业是公路工程类专业（专业以技术职称证书为准，如技术职称不填写专业则视为无专业）；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tcPr>
          <w:p>
            <w:pPr>
              <w:pStyle w:val="18"/>
              <w:spacing w:before="144"/>
              <w:ind w:left="6"/>
              <w:jc w:val="center"/>
              <w:rPr>
                <w:sz w:val="21"/>
              </w:rPr>
            </w:pPr>
            <w:r>
              <w:rPr>
                <w:sz w:val="21"/>
              </w:rPr>
              <w:t>1.4.2</w:t>
            </w:r>
          </w:p>
        </w:tc>
        <w:tc>
          <w:tcPr>
            <w:tcW w:w="1620" w:type="dxa"/>
          </w:tcPr>
          <w:p>
            <w:pPr>
              <w:pStyle w:val="18"/>
              <w:spacing w:before="1" w:line="300" w:lineRule="exact"/>
              <w:ind w:left="283" w:right="275" w:firstLine="105"/>
              <w:rPr>
                <w:rStyle w:val="15"/>
                <w:sz w:val="21"/>
                <w:szCs w:val="21"/>
              </w:rPr>
            </w:pPr>
            <w:r>
              <w:rPr>
                <w:rStyle w:val="15"/>
                <w:sz w:val="21"/>
                <w:szCs w:val="21"/>
              </w:rPr>
              <w:t>是否接受联合体投标</w:t>
            </w:r>
          </w:p>
        </w:tc>
        <w:tc>
          <w:tcPr>
            <w:tcW w:w="7797" w:type="dxa"/>
          </w:tcPr>
          <w:p>
            <w:pPr>
              <w:pStyle w:val="18"/>
              <w:spacing w:before="144"/>
              <w:ind w:left="108"/>
              <w:rPr>
                <w:rStyle w:val="15"/>
                <w:sz w:val="21"/>
                <w:szCs w:val="21"/>
              </w:rPr>
            </w:pPr>
            <w:r>
              <w:rPr>
                <w:rStyle w:val="15"/>
                <w:sz w:val="21"/>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97" w:type="dxa"/>
          </w:tcPr>
          <w:p>
            <w:pPr>
              <w:pStyle w:val="18"/>
              <w:spacing w:before="143"/>
              <w:ind w:left="6"/>
              <w:jc w:val="center"/>
              <w:rPr>
                <w:sz w:val="21"/>
              </w:rPr>
            </w:pPr>
            <w:r>
              <w:rPr>
                <w:sz w:val="21"/>
              </w:rPr>
              <w:t>1.9.1</w:t>
            </w:r>
          </w:p>
        </w:tc>
        <w:tc>
          <w:tcPr>
            <w:tcW w:w="1620" w:type="dxa"/>
          </w:tcPr>
          <w:p>
            <w:pPr>
              <w:pStyle w:val="18"/>
              <w:spacing w:before="143"/>
              <w:ind w:left="175" w:right="169"/>
              <w:jc w:val="center"/>
              <w:rPr>
                <w:rStyle w:val="15"/>
                <w:sz w:val="21"/>
                <w:szCs w:val="21"/>
              </w:rPr>
            </w:pPr>
            <w:r>
              <w:rPr>
                <w:rStyle w:val="15"/>
                <w:sz w:val="21"/>
                <w:szCs w:val="21"/>
              </w:rPr>
              <w:t>踏勘现场</w:t>
            </w:r>
          </w:p>
        </w:tc>
        <w:tc>
          <w:tcPr>
            <w:tcW w:w="7797" w:type="dxa"/>
          </w:tcPr>
          <w:p>
            <w:pPr>
              <w:pStyle w:val="18"/>
              <w:spacing w:line="269" w:lineRule="exact"/>
              <w:ind w:left="108"/>
              <w:rPr>
                <w:rStyle w:val="15"/>
                <w:sz w:val="21"/>
                <w:szCs w:val="21"/>
              </w:rPr>
            </w:pPr>
            <w:r>
              <w:rPr>
                <w:rStyle w:val="15"/>
                <w:sz w:val="21"/>
                <w:szCs w:val="21"/>
              </w:rPr>
              <w:t>不组织。由投标人自行前往项目现场踏勘，踏勘现场所发生的费用及安全责任由投</w:t>
            </w:r>
          </w:p>
          <w:p>
            <w:pPr>
              <w:pStyle w:val="18"/>
              <w:spacing w:before="25"/>
              <w:ind w:left="108"/>
              <w:rPr>
                <w:rStyle w:val="15"/>
                <w:sz w:val="21"/>
                <w:szCs w:val="21"/>
              </w:rPr>
            </w:pPr>
            <w:r>
              <w:rPr>
                <w:rStyle w:val="15"/>
                <w:sz w:val="21"/>
                <w:szCs w:val="21"/>
              </w:rPr>
              <w:t>标人自行承担。</w:t>
            </w:r>
          </w:p>
        </w:tc>
      </w:tr>
    </w:tbl>
    <w:p>
      <w:pPr>
        <w:spacing w:after="0"/>
        <w:rPr>
          <w:sz w:val="21"/>
        </w:rPr>
        <w:sectPr>
          <w:footerReference r:id="rId6" w:type="default"/>
          <w:pgSz w:w="11910" w:h="16840"/>
          <w:pgMar w:top="1000" w:right="500" w:bottom="780" w:left="860" w:header="808" w:footer="595" w:gutter="0"/>
          <w:pgNumType w:fmt="decimal"/>
        </w:sectPr>
      </w:pPr>
    </w:p>
    <w:p>
      <w:pPr>
        <w:pStyle w:val="3"/>
        <w:rPr>
          <w:rFonts w:ascii="Times New Roman"/>
          <w:sz w:val="20"/>
        </w:rPr>
      </w:pPr>
    </w:p>
    <w:p>
      <w:pPr>
        <w:pStyle w:val="3"/>
        <w:spacing w:before="6"/>
        <w:rPr>
          <w:rFonts w:ascii="Times New Roman"/>
          <w:sz w:val="17"/>
        </w:rPr>
      </w:pPr>
    </w:p>
    <w:tbl>
      <w:tblPr>
        <w:tblStyle w:val="14"/>
        <w:tblW w:w="1031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1620"/>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shd w:val="clear" w:color="auto" w:fill="E6E6E6"/>
          </w:tcPr>
          <w:p>
            <w:pPr>
              <w:pStyle w:val="18"/>
              <w:spacing w:before="14"/>
              <w:ind w:left="7"/>
              <w:jc w:val="center"/>
              <w:rPr>
                <w:rStyle w:val="15"/>
                <w:b/>
                <w:bCs/>
                <w:sz w:val="21"/>
                <w:szCs w:val="21"/>
              </w:rPr>
            </w:pPr>
            <w:r>
              <w:rPr>
                <w:rStyle w:val="15"/>
                <w:b/>
                <w:bCs/>
                <w:sz w:val="21"/>
                <w:szCs w:val="21"/>
              </w:rPr>
              <w:t>条款号</w:t>
            </w:r>
          </w:p>
        </w:tc>
        <w:tc>
          <w:tcPr>
            <w:tcW w:w="1620" w:type="dxa"/>
            <w:shd w:val="clear" w:color="auto" w:fill="E6E6E6"/>
          </w:tcPr>
          <w:p>
            <w:pPr>
              <w:pStyle w:val="18"/>
              <w:spacing w:before="14"/>
              <w:ind w:left="179" w:right="169"/>
              <w:jc w:val="center"/>
              <w:rPr>
                <w:rStyle w:val="15"/>
                <w:b/>
                <w:bCs/>
                <w:sz w:val="21"/>
                <w:szCs w:val="21"/>
              </w:rPr>
            </w:pPr>
            <w:r>
              <w:rPr>
                <w:rStyle w:val="15"/>
                <w:b/>
                <w:bCs/>
                <w:sz w:val="21"/>
                <w:szCs w:val="21"/>
              </w:rPr>
              <w:t>条款名称</w:t>
            </w:r>
          </w:p>
        </w:tc>
        <w:tc>
          <w:tcPr>
            <w:tcW w:w="7797" w:type="dxa"/>
            <w:shd w:val="clear" w:color="auto" w:fill="E6E6E6"/>
          </w:tcPr>
          <w:p>
            <w:pPr>
              <w:pStyle w:val="18"/>
              <w:spacing w:before="14"/>
              <w:ind w:left="61" w:right="50"/>
              <w:jc w:val="center"/>
              <w:rPr>
                <w:rStyle w:val="15"/>
                <w:b/>
                <w:bCs/>
                <w:sz w:val="21"/>
                <w:szCs w:val="21"/>
              </w:rPr>
            </w:pPr>
            <w:r>
              <w:rPr>
                <w:rStyle w:val="15"/>
                <w:b/>
                <w:bCs/>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5"/>
              <w:ind w:left="9"/>
              <w:jc w:val="center"/>
              <w:rPr>
                <w:rStyle w:val="15"/>
                <w:sz w:val="21"/>
                <w:szCs w:val="21"/>
              </w:rPr>
            </w:pPr>
            <w:r>
              <w:rPr>
                <w:rStyle w:val="15"/>
                <w:sz w:val="21"/>
                <w:szCs w:val="21"/>
              </w:rPr>
              <w:t>1.10</w:t>
            </w:r>
          </w:p>
        </w:tc>
        <w:tc>
          <w:tcPr>
            <w:tcW w:w="1620" w:type="dxa"/>
          </w:tcPr>
          <w:p>
            <w:pPr>
              <w:pStyle w:val="18"/>
              <w:spacing w:before="15"/>
              <w:ind w:left="175" w:right="169"/>
              <w:jc w:val="center"/>
              <w:rPr>
                <w:rStyle w:val="15"/>
                <w:sz w:val="21"/>
                <w:szCs w:val="21"/>
              </w:rPr>
            </w:pPr>
            <w:r>
              <w:rPr>
                <w:rStyle w:val="15"/>
                <w:sz w:val="21"/>
                <w:szCs w:val="21"/>
              </w:rPr>
              <w:t>投标预备会</w:t>
            </w:r>
          </w:p>
        </w:tc>
        <w:tc>
          <w:tcPr>
            <w:tcW w:w="7797" w:type="dxa"/>
          </w:tcPr>
          <w:p>
            <w:pPr>
              <w:pStyle w:val="18"/>
              <w:spacing w:before="15"/>
              <w:ind w:left="108"/>
              <w:rPr>
                <w:rStyle w:val="15"/>
                <w:sz w:val="21"/>
                <w:szCs w:val="21"/>
              </w:rPr>
            </w:pPr>
            <w:r>
              <w:rPr>
                <w:rStyle w:val="15"/>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5"/>
              <w:ind w:left="9"/>
              <w:jc w:val="center"/>
              <w:rPr>
                <w:rStyle w:val="15"/>
                <w:sz w:val="21"/>
                <w:szCs w:val="21"/>
              </w:rPr>
            </w:pPr>
            <w:r>
              <w:rPr>
                <w:rStyle w:val="15"/>
                <w:sz w:val="21"/>
                <w:szCs w:val="21"/>
              </w:rPr>
              <w:t>1.11</w:t>
            </w:r>
          </w:p>
        </w:tc>
        <w:tc>
          <w:tcPr>
            <w:tcW w:w="1620" w:type="dxa"/>
          </w:tcPr>
          <w:p>
            <w:pPr>
              <w:pStyle w:val="18"/>
              <w:spacing w:before="15"/>
              <w:ind w:left="177" w:right="169"/>
              <w:jc w:val="center"/>
              <w:rPr>
                <w:rStyle w:val="15"/>
                <w:sz w:val="21"/>
                <w:szCs w:val="21"/>
              </w:rPr>
            </w:pPr>
            <w:r>
              <w:rPr>
                <w:rStyle w:val="15"/>
                <w:sz w:val="21"/>
                <w:szCs w:val="21"/>
              </w:rPr>
              <w:t>分包</w:t>
            </w:r>
          </w:p>
        </w:tc>
        <w:tc>
          <w:tcPr>
            <w:tcW w:w="7797" w:type="dxa"/>
          </w:tcPr>
          <w:p>
            <w:pPr>
              <w:pStyle w:val="18"/>
              <w:spacing w:before="15"/>
              <w:ind w:left="108"/>
              <w:rPr>
                <w:rStyle w:val="15"/>
                <w:sz w:val="21"/>
                <w:szCs w:val="21"/>
              </w:rPr>
            </w:pPr>
            <w:r>
              <w:rPr>
                <w:rStyle w:val="15"/>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6"/>
              <w:ind w:left="9"/>
              <w:jc w:val="center"/>
              <w:rPr>
                <w:rStyle w:val="15"/>
                <w:sz w:val="21"/>
                <w:szCs w:val="21"/>
              </w:rPr>
            </w:pPr>
            <w:r>
              <w:rPr>
                <w:rStyle w:val="15"/>
                <w:sz w:val="21"/>
                <w:szCs w:val="21"/>
              </w:rPr>
              <w:t>1.12</w:t>
            </w:r>
          </w:p>
        </w:tc>
        <w:tc>
          <w:tcPr>
            <w:tcW w:w="1620" w:type="dxa"/>
          </w:tcPr>
          <w:p>
            <w:pPr>
              <w:pStyle w:val="18"/>
              <w:spacing w:before="16"/>
              <w:ind w:left="177" w:right="169"/>
              <w:jc w:val="center"/>
              <w:rPr>
                <w:rStyle w:val="15"/>
                <w:sz w:val="21"/>
                <w:szCs w:val="21"/>
              </w:rPr>
            </w:pPr>
            <w:r>
              <w:rPr>
                <w:rStyle w:val="15"/>
                <w:sz w:val="21"/>
                <w:szCs w:val="21"/>
              </w:rPr>
              <w:t>偏离</w:t>
            </w:r>
          </w:p>
        </w:tc>
        <w:tc>
          <w:tcPr>
            <w:tcW w:w="7797" w:type="dxa"/>
          </w:tcPr>
          <w:p>
            <w:pPr>
              <w:pStyle w:val="18"/>
              <w:spacing w:before="16"/>
              <w:ind w:left="108"/>
              <w:rPr>
                <w:rStyle w:val="15"/>
                <w:sz w:val="21"/>
                <w:szCs w:val="21"/>
              </w:rPr>
            </w:pPr>
            <w:r>
              <w:rPr>
                <w:rStyle w:val="15"/>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tcPr>
          <w:p>
            <w:pPr>
              <w:pStyle w:val="18"/>
              <w:spacing w:line="270" w:lineRule="exact"/>
              <w:ind w:left="184"/>
              <w:rPr>
                <w:rStyle w:val="15"/>
                <w:sz w:val="21"/>
                <w:szCs w:val="21"/>
              </w:rPr>
            </w:pPr>
            <w:r>
              <w:rPr>
                <w:rStyle w:val="15"/>
                <w:sz w:val="21"/>
                <w:szCs w:val="21"/>
              </w:rPr>
              <w:t>2.1.1</w:t>
            </w:r>
          </w:p>
          <w:p>
            <w:pPr>
              <w:pStyle w:val="18"/>
              <w:spacing w:before="25"/>
              <w:ind w:left="131"/>
              <w:rPr>
                <w:rStyle w:val="15"/>
                <w:sz w:val="21"/>
                <w:szCs w:val="21"/>
              </w:rPr>
            </w:pPr>
            <w:r>
              <w:rPr>
                <w:rStyle w:val="15"/>
                <w:sz w:val="21"/>
                <w:szCs w:val="21"/>
              </w:rPr>
              <w:t>（10）</w:t>
            </w:r>
          </w:p>
        </w:tc>
        <w:tc>
          <w:tcPr>
            <w:tcW w:w="1620" w:type="dxa"/>
          </w:tcPr>
          <w:p>
            <w:pPr>
              <w:pStyle w:val="18"/>
              <w:spacing w:line="300" w:lineRule="exact"/>
              <w:ind w:left="283" w:right="169" w:hanging="104"/>
              <w:rPr>
                <w:rStyle w:val="15"/>
                <w:sz w:val="21"/>
                <w:szCs w:val="21"/>
              </w:rPr>
            </w:pPr>
            <w:r>
              <w:rPr>
                <w:rStyle w:val="15"/>
                <w:sz w:val="21"/>
                <w:szCs w:val="21"/>
              </w:rPr>
              <w:t>构成招标文件的其他材料</w:t>
            </w:r>
          </w:p>
        </w:tc>
        <w:tc>
          <w:tcPr>
            <w:tcW w:w="7797" w:type="dxa"/>
          </w:tcPr>
          <w:p>
            <w:pPr>
              <w:pStyle w:val="18"/>
              <w:spacing w:before="146"/>
              <w:ind w:left="108"/>
              <w:rPr>
                <w:rStyle w:val="15"/>
                <w:sz w:val="21"/>
                <w:szCs w:val="21"/>
              </w:rPr>
            </w:pPr>
            <w:r>
              <w:rPr>
                <w:rStyle w:val="15"/>
                <w:sz w:val="21"/>
                <w:szCs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97" w:type="dxa"/>
          </w:tcPr>
          <w:p>
            <w:pPr>
              <w:pStyle w:val="18"/>
              <w:rPr>
                <w:rStyle w:val="15"/>
                <w:sz w:val="21"/>
                <w:szCs w:val="21"/>
              </w:rPr>
            </w:pPr>
          </w:p>
          <w:p>
            <w:pPr>
              <w:pStyle w:val="18"/>
              <w:spacing w:before="133"/>
              <w:jc w:val="center"/>
              <w:rPr>
                <w:rStyle w:val="15"/>
                <w:sz w:val="21"/>
                <w:szCs w:val="21"/>
              </w:rPr>
            </w:pPr>
            <w:r>
              <w:rPr>
                <w:rStyle w:val="15"/>
                <w:sz w:val="21"/>
                <w:szCs w:val="21"/>
              </w:rPr>
              <w:t>2.2.1</w:t>
            </w:r>
          </w:p>
        </w:tc>
        <w:tc>
          <w:tcPr>
            <w:tcW w:w="1620" w:type="dxa"/>
          </w:tcPr>
          <w:p>
            <w:pPr>
              <w:pStyle w:val="18"/>
              <w:spacing w:line="261" w:lineRule="auto"/>
              <w:ind w:right="169"/>
              <w:jc w:val="center"/>
              <w:rPr>
                <w:rStyle w:val="15"/>
                <w:sz w:val="21"/>
                <w:szCs w:val="21"/>
              </w:rPr>
            </w:pPr>
            <w:r>
              <w:rPr>
                <w:rStyle w:val="15"/>
                <w:sz w:val="21"/>
                <w:szCs w:val="21"/>
              </w:rPr>
              <w:t>投标人要求澄清招标文件的截止时间</w:t>
            </w:r>
          </w:p>
        </w:tc>
        <w:tc>
          <w:tcPr>
            <w:tcW w:w="7797" w:type="dxa"/>
          </w:tcPr>
          <w:p>
            <w:pPr>
              <w:pStyle w:val="18"/>
              <w:spacing w:before="4" w:line="237" w:lineRule="auto"/>
              <w:ind w:right="119"/>
              <w:jc w:val="both"/>
              <w:rPr>
                <w:rFonts w:ascii="Times New Roman" w:hAnsi="Times New Roman" w:cs="Times New Roman"/>
                <w:sz w:val="21"/>
                <w:szCs w:val="21"/>
                <w:lang w:eastAsia="zh-CN"/>
              </w:rPr>
            </w:pPr>
          </w:p>
          <w:p>
            <w:pPr>
              <w:pStyle w:val="18"/>
              <w:spacing w:before="4" w:line="237" w:lineRule="auto"/>
              <w:ind w:right="119"/>
              <w:jc w:val="both"/>
              <w:rPr>
                <w:rStyle w:val="15"/>
                <w:sz w:val="21"/>
                <w:szCs w:val="21"/>
              </w:rPr>
            </w:pPr>
            <w:r>
              <w:rPr>
                <w:rFonts w:ascii="Times New Roman" w:hAnsi="Times New Roman" w:cs="Times New Roman"/>
                <w:sz w:val="21"/>
                <w:szCs w:val="21"/>
                <w:lang w:eastAsia="zh-CN"/>
              </w:rPr>
              <w:t>投标截止日 10 天前 。投标人不在规定期限内提出，招标人有权不予答复或答复后投标截止时间由招标人确定是否顺延。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vMerge w:val="restart"/>
          </w:tcPr>
          <w:p>
            <w:pPr>
              <w:pStyle w:val="18"/>
              <w:spacing w:before="9"/>
              <w:rPr>
                <w:rStyle w:val="15"/>
                <w:sz w:val="21"/>
                <w:szCs w:val="21"/>
              </w:rPr>
            </w:pPr>
          </w:p>
          <w:p>
            <w:pPr>
              <w:pStyle w:val="18"/>
              <w:ind w:left="184"/>
              <w:rPr>
                <w:rStyle w:val="15"/>
                <w:sz w:val="21"/>
                <w:szCs w:val="21"/>
              </w:rPr>
            </w:pPr>
            <w:r>
              <w:rPr>
                <w:rStyle w:val="15"/>
                <w:sz w:val="21"/>
                <w:szCs w:val="21"/>
              </w:rPr>
              <w:t>2.2.2</w:t>
            </w:r>
          </w:p>
        </w:tc>
        <w:tc>
          <w:tcPr>
            <w:tcW w:w="1620" w:type="dxa"/>
          </w:tcPr>
          <w:p>
            <w:pPr>
              <w:pStyle w:val="18"/>
              <w:spacing w:before="15"/>
              <w:ind w:left="177" w:right="169"/>
              <w:jc w:val="center"/>
              <w:rPr>
                <w:rStyle w:val="15"/>
                <w:sz w:val="21"/>
                <w:szCs w:val="21"/>
              </w:rPr>
            </w:pPr>
            <w:r>
              <w:rPr>
                <w:rStyle w:val="15"/>
                <w:sz w:val="21"/>
                <w:szCs w:val="21"/>
              </w:rPr>
              <w:t>投标截止时间</w:t>
            </w:r>
          </w:p>
        </w:tc>
        <w:tc>
          <w:tcPr>
            <w:tcW w:w="7797" w:type="dxa"/>
          </w:tcPr>
          <w:p>
            <w:pPr>
              <w:pStyle w:val="18"/>
              <w:tabs>
                <w:tab w:val="left" w:pos="1104"/>
                <w:tab w:val="left" w:pos="1629"/>
                <w:tab w:val="left" w:pos="2155"/>
                <w:tab w:val="left" w:pos="2678"/>
              </w:tabs>
              <w:spacing w:before="15"/>
              <w:ind w:left="108"/>
              <w:rPr>
                <w:rStyle w:val="15"/>
                <w:sz w:val="21"/>
                <w:szCs w:val="21"/>
              </w:rPr>
            </w:pPr>
            <w:r>
              <w:rPr>
                <w:rStyle w:val="15"/>
                <w:sz w:val="21"/>
                <w:szCs w:val="21"/>
              </w:rPr>
              <w:t>20</w:t>
            </w:r>
            <w:r>
              <w:rPr>
                <w:rStyle w:val="15"/>
                <w:rFonts w:hint="eastAsia"/>
                <w:sz w:val="21"/>
                <w:szCs w:val="21"/>
                <w:lang w:val="en-US" w:eastAsia="zh-CN"/>
              </w:rPr>
              <w:t>20</w:t>
            </w:r>
            <w:r>
              <w:rPr>
                <w:rStyle w:val="15"/>
                <w:sz w:val="21"/>
                <w:szCs w:val="21"/>
              </w:rPr>
              <w:t xml:space="preserve"> 年</w:t>
            </w:r>
            <w:r>
              <w:rPr>
                <w:rStyle w:val="15"/>
                <w:rFonts w:hint="eastAsia"/>
                <w:sz w:val="21"/>
                <w:szCs w:val="21"/>
                <w:lang w:val="en-US" w:eastAsia="zh-CN"/>
              </w:rPr>
              <w:t>7</w:t>
            </w:r>
            <w:r>
              <w:rPr>
                <w:rStyle w:val="15"/>
                <w:sz w:val="21"/>
                <w:szCs w:val="21"/>
              </w:rPr>
              <w:t>月</w:t>
            </w:r>
            <w:r>
              <w:rPr>
                <w:rStyle w:val="15"/>
                <w:rFonts w:hint="eastAsia"/>
                <w:sz w:val="21"/>
                <w:szCs w:val="21"/>
                <w:lang w:val="en-US" w:eastAsia="zh-CN"/>
              </w:rPr>
              <w:t>7</w:t>
            </w:r>
            <w:r>
              <w:rPr>
                <w:rStyle w:val="15"/>
                <w:sz w:val="21"/>
                <w:szCs w:val="21"/>
              </w:rPr>
              <w:t>日</w:t>
            </w:r>
            <w:r>
              <w:rPr>
                <w:rStyle w:val="15"/>
                <w:rFonts w:hint="eastAsia"/>
                <w:sz w:val="21"/>
                <w:szCs w:val="21"/>
                <w:lang w:val="en-US" w:eastAsia="zh-CN"/>
              </w:rPr>
              <w:t>15</w:t>
            </w:r>
            <w:r>
              <w:rPr>
                <w:rStyle w:val="15"/>
                <w:sz w:val="21"/>
                <w:szCs w:val="21"/>
              </w:rPr>
              <w:t>时</w:t>
            </w:r>
            <w:r>
              <w:rPr>
                <w:rStyle w:val="15"/>
                <w:rFonts w:hint="eastAsia"/>
                <w:sz w:val="21"/>
                <w:szCs w:val="21"/>
                <w:lang w:val="en-US" w:eastAsia="zh-CN"/>
              </w:rPr>
              <w:t>30</w:t>
            </w:r>
            <w:r>
              <w:rPr>
                <w:rStyle w:val="15"/>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vMerge w:val="continue"/>
            <w:tcBorders>
              <w:top w:val="nil"/>
            </w:tcBorders>
          </w:tcPr>
          <w:p>
            <w:pPr>
              <w:rPr>
                <w:rStyle w:val="15"/>
                <w:sz w:val="21"/>
                <w:szCs w:val="21"/>
              </w:rPr>
            </w:pPr>
          </w:p>
        </w:tc>
        <w:tc>
          <w:tcPr>
            <w:tcW w:w="1620" w:type="dxa"/>
          </w:tcPr>
          <w:p>
            <w:pPr>
              <w:pStyle w:val="18"/>
              <w:spacing w:line="269" w:lineRule="exact"/>
              <w:ind w:left="177" w:right="169"/>
              <w:jc w:val="center"/>
              <w:rPr>
                <w:rStyle w:val="15"/>
                <w:sz w:val="21"/>
                <w:szCs w:val="21"/>
              </w:rPr>
            </w:pPr>
            <w:r>
              <w:rPr>
                <w:rStyle w:val="15"/>
                <w:sz w:val="21"/>
                <w:szCs w:val="21"/>
              </w:rPr>
              <w:t>招标文件澄清</w:t>
            </w:r>
          </w:p>
          <w:p>
            <w:pPr>
              <w:pStyle w:val="18"/>
              <w:spacing w:before="25"/>
              <w:ind w:left="175" w:right="169"/>
              <w:jc w:val="center"/>
              <w:rPr>
                <w:rStyle w:val="15"/>
                <w:sz w:val="21"/>
                <w:szCs w:val="21"/>
              </w:rPr>
            </w:pPr>
            <w:r>
              <w:rPr>
                <w:rStyle w:val="15"/>
                <w:sz w:val="21"/>
                <w:szCs w:val="21"/>
              </w:rPr>
              <w:t>发布方式</w:t>
            </w:r>
          </w:p>
        </w:tc>
        <w:tc>
          <w:tcPr>
            <w:tcW w:w="7797" w:type="dxa"/>
          </w:tcPr>
          <w:p>
            <w:pPr>
              <w:pStyle w:val="18"/>
              <w:spacing w:before="145"/>
              <w:ind w:left="108"/>
              <w:rPr>
                <w:rStyle w:val="15"/>
                <w:sz w:val="21"/>
                <w:szCs w:val="21"/>
              </w:rPr>
            </w:pPr>
            <w:r>
              <w:rPr>
                <w:rStyle w:val="15"/>
                <w:sz w:val="21"/>
                <w:szCs w:val="21"/>
              </w:rPr>
              <w:t>在招标公告发布的同一媒介上发布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97" w:type="dxa"/>
          </w:tcPr>
          <w:p>
            <w:pPr>
              <w:pStyle w:val="18"/>
              <w:spacing w:before="5"/>
              <w:rPr>
                <w:rFonts w:ascii="Times New Roman"/>
                <w:sz w:val="25"/>
              </w:rPr>
            </w:pPr>
          </w:p>
          <w:p>
            <w:pPr>
              <w:pStyle w:val="18"/>
              <w:spacing w:before="1"/>
              <w:ind w:left="6"/>
              <w:jc w:val="center"/>
              <w:rPr>
                <w:sz w:val="21"/>
              </w:rPr>
            </w:pPr>
            <w:r>
              <w:rPr>
                <w:sz w:val="21"/>
              </w:rPr>
              <w:t>2.2.3</w:t>
            </w:r>
          </w:p>
        </w:tc>
        <w:tc>
          <w:tcPr>
            <w:tcW w:w="1620" w:type="dxa"/>
          </w:tcPr>
          <w:p>
            <w:pPr>
              <w:pStyle w:val="18"/>
              <w:spacing w:before="144" w:line="261" w:lineRule="auto"/>
              <w:ind w:left="180" w:right="169"/>
              <w:rPr>
                <w:rStyle w:val="15"/>
                <w:sz w:val="21"/>
                <w:szCs w:val="21"/>
              </w:rPr>
            </w:pPr>
            <w:r>
              <w:rPr>
                <w:rStyle w:val="15"/>
                <w:sz w:val="21"/>
                <w:szCs w:val="21"/>
              </w:rPr>
              <w:t>投标人确认收到澄清的方式</w:t>
            </w:r>
          </w:p>
        </w:tc>
        <w:tc>
          <w:tcPr>
            <w:tcW w:w="7797" w:type="dxa"/>
          </w:tcPr>
          <w:p>
            <w:pPr>
              <w:pStyle w:val="18"/>
              <w:spacing w:line="268" w:lineRule="exact"/>
              <w:ind w:left="108"/>
              <w:rPr>
                <w:rStyle w:val="15"/>
                <w:sz w:val="21"/>
                <w:szCs w:val="21"/>
              </w:rPr>
            </w:pPr>
            <w:r>
              <w:rPr>
                <w:rStyle w:val="15"/>
                <w:sz w:val="21"/>
                <w:szCs w:val="21"/>
              </w:rPr>
              <w:t>不需要确认。</w:t>
            </w:r>
          </w:p>
          <w:p>
            <w:pPr>
              <w:pStyle w:val="18"/>
              <w:spacing w:line="300" w:lineRule="atLeast"/>
              <w:ind w:left="108" w:right="-15"/>
              <w:rPr>
                <w:rStyle w:val="15"/>
                <w:sz w:val="21"/>
                <w:szCs w:val="21"/>
              </w:rPr>
            </w:pPr>
            <w:r>
              <w:rPr>
                <w:rStyle w:val="15"/>
                <w:sz w:val="21"/>
                <w:szCs w:val="21"/>
              </w:rPr>
              <w:t>澄清文件在本章第 2.2.2 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9" w:hRule="atLeast"/>
        </w:trPr>
        <w:tc>
          <w:tcPr>
            <w:tcW w:w="897" w:type="dxa"/>
          </w:tcPr>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spacing w:before="174"/>
              <w:ind w:left="6"/>
              <w:jc w:val="center"/>
              <w:rPr>
                <w:sz w:val="21"/>
              </w:rPr>
            </w:pPr>
            <w:r>
              <w:rPr>
                <w:sz w:val="21"/>
              </w:rPr>
              <w:t>3.1.1</w:t>
            </w:r>
          </w:p>
        </w:tc>
        <w:tc>
          <w:tcPr>
            <w:tcW w:w="1620" w:type="dxa"/>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line="261" w:lineRule="auto"/>
              <w:ind w:left="494" w:right="169" w:hanging="315"/>
              <w:rPr>
                <w:rStyle w:val="15"/>
                <w:sz w:val="21"/>
                <w:szCs w:val="21"/>
              </w:rPr>
            </w:pPr>
            <w:r>
              <w:rPr>
                <w:rStyle w:val="15"/>
                <w:sz w:val="21"/>
                <w:szCs w:val="21"/>
              </w:rPr>
              <w:t>构成投标文件的材料</w:t>
            </w:r>
          </w:p>
        </w:tc>
        <w:tc>
          <w:tcPr>
            <w:tcW w:w="7797" w:type="dxa"/>
          </w:tcPr>
          <w:p>
            <w:pPr>
              <w:pStyle w:val="18"/>
              <w:spacing w:line="261" w:lineRule="auto"/>
              <w:ind w:left="108" w:right="99"/>
              <w:rPr>
                <w:rStyle w:val="15"/>
                <w:sz w:val="21"/>
                <w:szCs w:val="21"/>
              </w:rPr>
            </w:pPr>
          </w:p>
          <w:p>
            <w:pPr>
              <w:pStyle w:val="18"/>
              <w:spacing w:line="261" w:lineRule="auto"/>
              <w:ind w:left="108" w:right="99"/>
              <w:rPr>
                <w:rStyle w:val="15"/>
                <w:sz w:val="21"/>
                <w:szCs w:val="21"/>
              </w:rPr>
            </w:pPr>
            <w:r>
              <w:rPr>
                <w:rStyle w:val="15"/>
                <w:sz w:val="21"/>
                <w:szCs w:val="21"/>
              </w:rPr>
              <w:t>投标文件的组成部分：资格审查部分、商务标部分、技术标部分、投标文件电子版部分组成。</w:t>
            </w:r>
          </w:p>
          <w:p>
            <w:pPr>
              <w:pStyle w:val="18"/>
              <w:spacing w:before="13"/>
              <w:ind w:left="108"/>
              <w:rPr>
                <w:rStyle w:val="15"/>
                <w:sz w:val="21"/>
                <w:szCs w:val="21"/>
              </w:rPr>
            </w:pPr>
            <w:r>
              <w:rPr>
                <w:rStyle w:val="15"/>
                <w:sz w:val="21"/>
                <w:szCs w:val="21"/>
              </w:rPr>
              <w:t>资格审查部分（备注：以下复印件均须加盖投标人单位公章）：</w:t>
            </w:r>
          </w:p>
          <w:p>
            <w:pPr>
              <w:pStyle w:val="18"/>
              <w:spacing w:before="25" w:line="261" w:lineRule="auto"/>
              <w:ind w:left="108" w:right="-15" w:firstLine="420"/>
              <w:rPr>
                <w:rStyle w:val="15"/>
                <w:sz w:val="21"/>
                <w:szCs w:val="21"/>
              </w:rPr>
            </w:pPr>
            <w:r>
              <w:rPr>
                <w:rStyle w:val="15"/>
                <w:sz w:val="21"/>
                <w:szCs w:val="21"/>
              </w:rPr>
              <w:t>1.法定代表人身份证明原件及身份证复印件（法定代表人签署投标文件时提供）  或者投标文件签署授权委托书（原件），附：法定代表人身份证明及身份证、委托代理人身份证等材料的复印件（委托代理人签署投标文件时提供）；</w:t>
            </w:r>
          </w:p>
          <w:p>
            <w:pPr>
              <w:pStyle w:val="18"/>
              <w:spacing w:before="6" w:line="261" w:lineRule="auto"/>
              <w:ind w:left="108" w:right="99" w:firstLine="420"/>
              <w:rPr>
                <w:rStyle w:val="15"/>
                <w:sz w:val="21"/>
                <w:szCs w:val="21"/>
              </w:rPr>
            </w:pPr>
            <w:r>
              <w:rPr>
                <w:rStyle w:val="15"/>
                <w:sz w:val="21"/>
                <w:szCs w:val="21"/>
              </w:rPr>
              <w:t>2.投标人基本情况表（附有效的《企业法人营业执照》、《企业资质证书》副本和《安全生产许可证》副本等材料的复印件）；</w:t>
            </w:r>
          </w:p>
          <w:p>
            <w:pPr>
              <w:pStyle w:val="18"/>
              <w:spacing w:before="6" w:line="261" w:lineRule="auto"/>
              <w:ind w:left="108" w:right="99" w:firstLine="420"/>
              <w:rPr>
                <w:rStyle w:val="15"/>
                <w:sz w:val="21"/>
                <w:szCs w:val="21"/>
              </w:rPr>
            </w:pPr>
            <w:r>
              <w:rPr>
                <w:rStyle w:val="15"/>
                <w:sz w:val="21"/>
                <w:szCs w:val="21"/>
              </w:rPr>
              <w:t>3.投标保证金证明材料（采用银行转账或电汇方式的应附《企业基本账户开户许可证》复印件或加盖有开户行单位公章的《基本存款账户信息》凭条复印件）；</w:t>
            </w:r>
          </w:p>
          <w:p>
            <w:pPr>
              <w:pStyle w:val="18"/>
              <w:spacing w:before="6"/>
              <w:ind w:left="528"/>
              <w:rPr>
                <w:rStyle w:val="15"/>
                <w:sz w:val="21"/>
                <w:szCs w:val="21"/>
              </w:rPr>
            </w:pPr>
            <w:r>
              <w:rPr>
                <w:rStyle w:val="15"/>
                <w:sz w:val="21"/>
                <w:szCs w:val="21"/>
              </w:rPr>
              <w:t>4.建设工程项目管理承诺书；</w:t>
            </w:r>
          </w:p>
          <w:p>
            <w:pPr>
              <w:pStyle w:val="18"/>
              <w:spacing w:before="24" w:line="261" w:lineRule="auto"/>
              <w:ind w:left="108" w:right="99" w:firstLine="420"/>
              <w:rPr>
                <w:rStyle w:val="15"/>
                <w:sz w:val="21"/>
                <w:szCs w:val="21"/>
              </w:rPr>
            </w:pPr>
            <w:r>
              <w:rPr>
                <w:rStyle w:val="15"/>
                <w:sz w:val="21"/>
                <w:szCs w:val="21"/>
              </w:rPr>
              <w:t>5.拟派往本项目项目经理的注册建造师执业资格证书、《安全生产考核合格证书》（B 类）的复印件；</w:t>
            </w:r>
          </w:p>
          <w:p>
            <w:pPr>
              <w:pStyle w:val="18"/>
              <w:spacing w:before="5"/>
              <w:ind w:left="528"/>
              <w:rPr>
                <w:rStyle w:val="15"/>
                <w:sz w:val="21"/>
                <w:szCs w:val="21"/>
              </w:rPr>
            </w:pPr>
            <w:r>
              <w:rPr>
                <w:rStyle w:val="15"/>
                <w:sz w:val="21"/>
                <w:szCs w:val="21"/>
              </w:rPr>
              <w:t>6.拟派往本项目专职安全员的《安全生产考核合格证书》（C 类）的复印件；</w:t>
            </w:r>
          </w:p>
          <w:p>
            <w:pPr>
              <w:pStyle w:val="18"/>
              <w:spacing w:before="24"/>
              <w:ind w:left="528"/>
              <w:rPr>
                <w:rStyle w:val="15"/>
                <w:sz w:val="21"/>
                <w:szCs w:val="21"/>
              </w:rPr>
            </w:pPr>
            <w:r>
              <w:rPr>
                <w:rStyle w:val="15"/>
                <w:sz w:val="21"/>
                <w:szCs w:val="21"/>
              </w:rPr>
              <w:t>7.拟派往本项目委托代理人、项目经理、技术负责人和主要管理人员近 3 个月</w:t>
            </w:r>
          </w:p>
          <w:p>
            <w:pPr>
              <w:pStyle w:val="18"/>
              <w:spacing w:before="24"/>
              <w:ind w:left="108" w:right="-15"/>
              <w:rPr>
                <w:rStyle w:val="15"/>
                <w:sz w:val="21"/>
                <w:szCs w:val="21"/>
              </w:rPr>
            </w:pPr>
            <w:r>
              <w:rPr>
                <w:rStyle w:val="15"/>
                <w:sz w:val="21"/>
                <w:szCs w:val="21"/>
              </w:rPr>
              <w:t>（20</w:t>
            </w:r>
            <w:r>
              <w:rPr>
                <w:rStyle w:val="15"/>
                <w:rFonts w:hint="eastAsia"/>
                <w:sz w:val="21"/>
                <w:szCs w:val="21"/>
                <w:lang w:val="en-US" w:eastAsia="zh-CN"/>
              </w:rPr>
              <w:t>20</w:t>
            </w:r>
            <w:r>
              <w:rPr>
                <w:rStyle w:val="15"/>
                <w:sz w:val="21"/>
                <w:szCs w:val="21"/>
              </w:rPr>
              <w:t xml:space="preserve"> 年 </w:t>
            </w:r>
            <w:r>
              <w:rPr>
                <w:rStyle w:val="15"/>
                <w:rFonts w:hint="eastAsia"/>
                <w:sz w:val="21"/>
                <w:szCs w:val="21"/>
                <w:lang w:val="en-US" w:eastAsia="zh-CN"/>
              </w:rPr>
              <w:t>3</w:t>
            </w:r>
            <w:r>
              <w:rPr>
                <w:rStyle w:val="15"/>
                <w:sz w:val="21"/>
                <w:szCs w:val="21"/>
              </w:rPr>
              <w:t xml:space="preserve"> 月至 20</w:t>
            </w:r>
            <w:r>
              <w:rPr>
                <w:rStyle w:val="15"/>
                <w:rFonts w:hint="eastAsia"/>
                <w:sz w:val="21"/>
                <w:szCs w:val="21"/>
                <w:lang w:val="en-US" w:eastAsia="zh-CN"/>
              </w:rPr>
              <w:t>20</w:t>
            </w:r>
            <w:r>
              <w:rPr>
                <w:rStyle w:val="15"/>
                <w:sz w:val="21"/>
                <w:szCs w:val="21"/>
              </w:rPr>
              <w:t xml:space="preserve"> 年 </w:t>
            </w:r>
            <w:r>
              <w:rPr>
                <w:rStyle w:val="15"/>
                <w:rFonts w:hint="eastAsia"/>
                <w:sz w:val="21"/>
                <w:szCs w:val="21"/>
                <w:lang w:val="en-US" w:eastAsia="zh-CN"/>
              </w:rPr>
              <w:t>5</w:t>
            </w:r>
            <w:r>
              <w:rPr>
                <w:rStyle w:val="15"/>
                <w:sz w:val="21"/>
                <w:szCs w:val="21"/>
              </w:rPr>
              <w:t>月）在现任职单位依法缴纳社会保险的证明材料复印件；</w:t>
            </w:r>
          </w:p>
          <w:p>
            <w:pPr>
              <w:pStyle w:val="18"/>
              <w:spacing w:line="271" w:lineRule="exact"/>
              <w:ind w:firstLine="420" w:firstLineChars="200"/>
              <w:rPr>
                <w:rStyle w:val="15"/>
                <w:sz w:val="21"/>
                <w:szCs w:val="21"/>
              </w:rPr>
            </w:pPr>
            <w:r>
              <w:rPr>
                <w:rStyle w:val="15"/>
                <w:rFonts w:hint="eastAsia"/>
                <w:sz w:val="21"/>
                <w:szCs w:val="21"/>
                <w:lang w:val="en-US" w:eastAsia="zh-CN"/>
              </w:rPr>
              <w:t xml:space="preserve"> </w:t>
            </w:r>
            <w:r>
              <w:rPr>
                <w:rStyle w:val="15"/>
                <w:sz w:val="21"/>
                <w:szCs w:val="21"/>
              </w:rPr>
              <w:t>8.资格审查需要的其他材料：</w:t>
            </w:r>
          </w:p>
          <w:p>
            <w:pPr>
              <w:pStyle w:val="18"/>
              <w:spacing w:before="25"/>
              <w:ind w:left="528"/>
              <w:rPr>
                <w:rStyle w:val="15"/>
                <w:sz w:val="21"/>
                <w:szCs w:val="21"/>
              </w:rPr>
            </w:pPr>
            <w:r>
              <w:rPr>
                <w:rStyle w:val="15"/>
                <w:sz w:val="21"/>
                <w:szCs w:val="21"/>
              </w:rPr>
              <w:t>①拟派本项目项目管理机构配备表；</w:t>
            </w:r>
          </w:p>
          <w:p>
            <w:pPr>
              <w:pStyle w:val="18"/>
              <w:spacing w:before="25"/>
              <w:ind w:left="528"/>
              <w:rPr>
                <w:rStyle w:val="15"/>
                <w:color w:val="auto"/>
                <w:sz w:val="21"/>
                <w:szCs w:val="21"/>
              </w:rPr>
            </w:pPr>
            <w:r>
              <w:rPr>
                <w:rStyle w:val="15"/>
                <w:sz w:val="21"/>
                <w:szCs w:val="21"/>
              </w:rPr>
              <w:t>②</w:t>
            </w:r>
            <w:r>
              <w:rPr>
                <w:rStyle w:val="15"/>
                <w:color w:val="auto"/>
                <w:sz w:val="21"/>
                <w:szCs w:val="21"/>
              </w:rPr>
              <w:t>企业法定代表人持有的</w:t>
            </w:r>
            <w:r>
              <w:rPr>
                <w:rStyle w:val="15"/>
                <w:rFonts w:hint="eastAsia"/>
                <w:color w:val="auto"/>
                <w:sz w:val="21"/>
                <w:szCs w:val="21"/>
                <w:lang w:eastAsia="zh-CN"/>
              </w:rPr>
              <w:t>建设部门或交通部门颁发的</w:t>
            </w:r>
            <w:r>
              <w:rPr>
                <w:rStyle w:val="15"/>
                <w:color w:val="auto"/>
                <w:sz w:val="21"/>
                <w:szCs w:val="21"/>
              </w:rPr>
              <w:t>有效的安全生产考核合格证书的复印件；</w:t>
            </w:r>
          </w:p>
          <w:p>
            <w:pPr>
              <w:pStyle w:val="18"/>
              <w:spacing w:before="25"/>
              <w:ind w:left="528"/>
              <w:rPr>
                <w:rStyle w:val="15"/>
                <w:sz w:val="21"/>
                <w:szCs w:val="21"/>
              </w:rPr>
            </w:pPr>
            <w:r>
              <w:rPr>
                <w:rStyle w:val="15"/>
                <w:sz w:val="21"/>
                <w:szCs w:val="21"/>
              </w:rPr>
              <w:t>③拟投入施工机械设备情况表；</w:t>
            </w:r>
          </w:p>
          <w:p>
            <w:pPr>
              <w:pStyle w:val="18"/>
              <w:spacing w:before="25"/>
              <w:ind w:left="528"/>
              <w:rPr>
                <w:rStyle w:val="15"/>
                <w:sz w:val="21"/>
                <w:szCs w:val="21"/>
              </w:rPr>
            </w:pPr>
            <w:r>
              <w:rPr>
                <w:rStyle w:val="15"/>
                <w:sz w:val="21"/>
                <w:szCs w:val="21"/>
              </w:rPr>
              <w:t>④企业考核期内已完成类似项目一览表（如有）；</w:t>
            </w:r>
          </w:p>
          <w:p>
            <w:pPr>
              <w:pStyle w:val="18"/>
              <w:spacing w:before="25"/>
              <w:ind w:left="528"/>
              <w:rPr>
                <w:rStyle w:val="15"/>
                <w:sz w:val="21"/>
                <w:szCs w:val="21"/>
              </w:rPr>
            </w:pPr>
            <w:r>
              <w:rPr>
                <w:rStyle w:val="15"/>
                <w:sz w:val="21"/>
                <w:szCs w:val="21"/>
              </w:rPr>
              <w:t>⑤企业考核期内财务状况表；</w:t>
            </w:r>
          </w:p>
          <w:p>
            <w:pPr>
              <w:pStyle w:val="18"/>
              <w:spacing w:before="25" w:line="261" w:lineRule="auto"/>
              <w:ind w:left="108" w:right="2638" w:firstLine="420"/>
              <w:rPr>
                <w:rStyle w:val="15"/>
                <w:sz w:val="21"/>
                <w:szCs w:val="21"/>
              </w:rPr>
            </w:pPr>
            <w:r>
              <w:rPr>
                <w:rStyle w:val="15"/>
                <w:sz w:val="21"/>
                <w:szCs w:val="21"/>
              </w:rPr>
              <w:t>⑥企业考核期内发生的诉讼和仲裁情况（如有）； 商务标部分：</w:t>
            </w:r>
          </w:p>
          <w:p>
            <w:pPr>
              <w:pStyle w:val="18"/>
              <w:spacing w:before="6"/>
              <w:ind w:left="528"/>
              <w:rPr>
                <w:rStyle w:val="15"/>
                <w:sz w:val="21"/>
                <w:szCs w:val="21"/>
              </w:rPr>
            </w:pPr>
            <w:r>
              <w:rPr>
                <w:rStyle w:val="15"/>
                <w:sz w:val="21"/>
                <w:szCs w:val="21"/>
              </w:rPr>
              <w:t>1.投标函及投标函附录；</w:t>
            </w:r>
          </w:p>
          <w:p>
            <w:pPr>
              <w:pStyle w:val="18"/>
              <w:spacing w:before="24"/>
              <w:ind w:left="108" w:right="-15" w:firstLine="420" w:firstLineChars="200"/>
              <w:rPr>
                <w:rStyle w:val="15"/>
                <w:rFonts w:hint="default" w:eastAsia="宋体"/>
                <w:sz w:val="21"/>
                <w:szCs w:val="21"/>
                <w:lang w:val="en-US" w:eastAsia="zh-CN"/>
              </w:rPr>
            </w:pPr>
            <w:r>
              <w:rPr>
                <w:rStyle w:val="15"/>
                <w:sz w:val="21"/>
                <w:szCs w:val="21"/>
              </w:rPr>
              <w:t>2.已标价工程量清单。</w:t>
            </w:r>
          </w:p>
        </w:tc>
      </w:tr>
    </w:tbl>
    <w:p>
      <w:pPr>
        <w:spacing w:after="0"/>
        <w:rPr>
          <w:sz w:val="21"/>
        </w:rPr>
        <w:sectPr>
          <w:pgSz w:w="11910" w:h="16840"/>
          <w:pgMar w:top="1000" w:right="500" w:bottom="780" w:left="860" w:header="808" w:footer="595" w:gutter="0"/>
          <w:pgNumType w:fmt="decimal"/>
        </w:sectPr>
      </w:pPr>
    </w:p>
    <w:p>
      <w:pPr>
        <w:pStyle w:val="3"/>
        <w:rPr>
          <w:rFonts w:ascii="Times New Roman"/>
          <w:sz w:val="20"/>
        </w:rPr>
      </w:pPr>
    </w:p>
    <w:p>
      <w:pPr>
        <w:pStyle w:val="3"/>
        <w:spacing w:before="6"/>
        <w:rPr>
          <w:rFonts w:ascii="Times New Roman"/>
          <w:sz w:val="17"/>
        </w:rPr>
      </w:pPr>
    </w:p>
    <w:tbl>
      <w:tblPr>
        <w:tblStyle w:val="14"/>
        <w:tblW w:w="1031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1620"/>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shd w:val="clear" w:color="auto" w:fill="E6E6E6"/>
          </w:tcPr>
          <w:p>
            <w:pPr>
              <w:pStyle w:val="18"/>
              <w:spacing w:before="14"/>
              <w:ind w:left="7"/>
              <w:jc w:val="center"/>
              <w:rPr>
                <w:rStyle w:val="15"/>
                <w:b/>
                <w:bCs/>
                <w:sz w:val="21"/>
                <w:szCs w:val="21"/>
              </w:rPr>
            </w:pPr>
            <w:r>
              <w:rPr>
                <w:rStyle w:val="15"/>
                <w:b/>
                <w:bCs/>
                <w:sz w:val="21"/>
                <w:szCs w:val="21"/>
              </w:rPr>
              <w:t>条款号</w:t>
            </w:r>
          </w:p>
        </w:tc>
        <w:tc>
          <w:tcPr>
            <w:tcW w:w="1620" w:type="dxa"/>
            <w:shd w:val="clear" w:color="auto" w:fill="E6E6E6"/>
          </w:tcPr>
          <w:p>
            <w:pPr>
              <w:pStyle w:val="18"/>
              <w:spacing w:before="14"/>
              <w:ind w:left="179" w:right="169"/>
              <w:jc w:val="center"/>
              <w:rPr>
                <w:rStyle w:val="15"/>
                <w:b/>
                <w:bCs/>
                <w:sz w:val="21"/>
                <w:szCs w:val="21"/>
              </w:rPr>
            </w:pPr>
            <w:r>
              <w:rPr>
                <w:rStyle w:val="15"/>
                <w:b/>
                <w:bCs/>
                <w:sz w:val="21"/>
                <w:szCs w:val="21"/>
              </w:rPr>
              <w:t>条款名称</w:t>
            </w:r>
          </w:p>
        </w:tc>
        <w:tc>
          <w:tcPr>
            <w:tcW w:w="7797" w:type="dxa"/>
            <w:shd w:val="clear" w:color="auto" w:fill="E6E6E6"/>
          </w:tcPr>
          <w:p>
            <w:pPr>
              <w:pStyle w:val="18"/>
              <w:spacing w:before="14"/>
              <w:ind w:left="61" w:right="50"/>
              <w:jc w:val="center"/>
              <w:rPr>
                <w:rStyle w:val="15"/>
                <w:b/>
                <w:bCs/>
                <w:sz w:val="21"/>
                <w:szCs w:val="21"/>
              </w:rPr>
            </w:pPr>
            <w:r>
              <w:rPr>
                <w:rStyle w:val="15"/>
                <w:b/>
                <w:bCs/>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897" w:type="dxa"/>
          </w:tcPr>
          <w:p>
            <w:pPr>
              <w:pStyle w:val="18"/>
              <w:rPr>
                <w:rFonts w:ascii="Times New Roman"/>
                <w:sz w:val="20"/>
              </w:rPr>
            </w:pPr>
          </w:p>
        </w:tc>
        <w:tc>
          <w:tcPr>
            <w:tcW w:w="1620" w:type="dxa"/>
          </w:tcPr>
          <w:p>
            <w:pPr>
              <w:pStyle w:val="18"/>
              <w:rPr>
                <w:rFonts w:ascii="Times New Roman"/>
                <w:sz w:val="20"/>
              </w:rPr>
            </w:pPr>
          </w:p>
        </w:tc>
        <w:tc>
          <w:tcPr>
            <w:tcW w:w="7797" w:type="dxa"/>
          </w:tcPr>
          <w:p>
            <w:pPr>
              <w:pStyle w:val="18"/>
              <w:spacing w:before="25" w:line="261" w:lineRule="auto"/>
              <w:ind w:left="108" w:right="5158" w:firstLine="420"/>
              <w:rPr>
                <w:rStyle w:val="15"/>
                <w:sz w:val="21"/>
                <w:szCs w:val="21"/>
              </w:rPr>
            </w:pPr>
            <w:r>
              <w:rPr>
                <w:rStyle w:val="15"/>
                <w:sz w:val="21"/>
                <w:szCs w:val="21"/>
              </w:rPr>
              <w:t>技术标部分：</w:t>
            </w:r>
          </w:p>
          <w:p>
            <w:pPr>
              <w:pStyle w:val="18"/>
              <w:spacing w:before="6"/>
              <w:ind w:left="528"/>
              <w:rPr>
                <w:rStyle w:val="15"/>
                <w:sz w:val="21"/>
                <w:szCs w:val="21"/>
              </w:rPr>
            </w:pPr>
            <w:r>
              <w:rPr>
                <w:rStyle w:val="15"/>
                <w:sz w:val="21"/>
                <w:szCs w:val="21"/>
              </w:rPr>
              <w:t>1.施工组织设计；</w:t>
            </w:r>
          </w:p>
          <w:p>
            <w:pPr>
              <w:pStyle w:val="18"/>
              <w:spacing w:before="25"/>
              <w:ind w:left="528"/>
              <w:rPr>
                <w:rStyle w:val="15"/>
                <w:sz w:val="21"/>
                <w:szCs w:val="21"/>
              </w:rPr>
            </w:pPr>
            <w:r>
              <w:rPr>
                <w:rStyle w:val="15"/>
                <w:sz w:val="21"/>
                <w:szCs w:val="21"/>
              </w:rPr>
              <w:t>2.拟分包计划表；</w:t>
            </w:r>
          </w:p>
          <w:p>
            <w:pPr>
              <w:pStyle w:val="18"/>
              <w:spacing w:before="25"/>
              <w:ind w:left="528"/>
              <w:rPr>
                <w:rStyle w:val="15"/>
                <w:sz w:val="21"/>
                <w:szCs w:val="21"/>
              </w:rPr>
            </w:pPr>
            <w:r>
              <w:rPr>
                <w:rStyle w:val="15"/>
                <w:sz w:val="21"/>
                <w:szCs w:val="21"/>
              </w:rPr>
              <w:t>3.项目管理机构。</w:t>
            </w:r>
          </w:p>
          <w:p>
            <w:pPr>
              <w:pStyle w:val="18"/>
              <w:spacing w:before="25"/>
              <w:ind w:left="61" w:right="642"/>
              <w:jc w:val="center"/>
              <w:rPr>
                <w:sz w:val="21"/>
              </w:rPr>
            </w:pPr>
            <w:r>
              <w:rPr>
                <w:rStyle w:val="15"/>
                <w:sz w:val="21"/>
                <w:szCs w:val="21"/>
              </w:rPr>
              <w:t>投标文件电子版部分：具体见“投标人须知前附表”10.3 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97" w:type="dxa"/>
            <w:vMerge w:val="restart"/>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9"/>
              <w:rPr>
                <w:rStyle w:val="15"/>
                <w:sz w:val="21"/>
                <w:szCs w:val="21"/>
              </w:rPr>
            </w:pPr>
          </w:p>
          <w:p>
            <w:pPr>
              <w:pStyle w:val="18"/>
              <w:ind w:left="184"/>
              <w:rPr>
                <w:rStyle w:val="15"/>
                <w:sz w:val="21"/>
                <w:szCs w:val="21"/>
              </w:rPr>
            </w:pPr>
            <w:r>
              <w:rPr>
                <w:rStyle w:val="15"/>
                <w:sz w:val="21"/>
                <w:szCs w:val="21"/>
              </w:rPr>
              <w:t>3.1.4</w:t>
            </w:r>
          </w:p>
        </w:tc>
        <w:tc>
          <w:tcPr>
            <w:tcW w:w="1620" w:type="dxa"/>
          </w:tcPr>
          <w:p>
            <w:pPr>
              <w:pStyle w:val="18"/>
              <w:spacing w:before="144" w:line="261" w:lineRule="auto"/>
              <w:ind w:left="180" w:right="169"/>
              <w:rPr>
                <w:rStyle w:val="15"/>
                <w:sz w:val="21"/>
                <w:szCs w:val="21"/>
              </w:rPr>
            </w:pPr>
            <w:r>
              <w:rPr>
                <w:rStyle w:val="15"/>
                <w:sz w:val="21"/>
                <w:szCs w:val="21"/>
              </w:rPr>
              <w:t>近三年财务状况的年份要求</w:t>
            </w:r>
          </w:p>
        </w:tc>
        <w:tc>
          <w:tcPr>
            <w:tcW w:w="7797" w:type="dxa"/>
          </w:tcPr>
          <w:p>
            <w:pPr>
              <w:pStyle w:val="18"/>
              <w:spacing w:line="270" w:lineRule="exact"/>
              <w:rPr>
                <w:rStyle w:val="15"/>
                <w:sz w:val="21"/>
                <w:szCs w:val="21"/>
              </w:rPr>
            </w:pPr>
            <w:r>
              <w:rPr>
                <w:rStyle w:val="15"/>
                <w:sz w:val="21"/>
                <w:szCs w:val="21"/>
              </w:rPr>
              <w:t>近 3 年，指 201</w:t>
            </w:r>
            <w:r>
              <w:rPr>
                <w:rStyle w:val="15"/>
                <w:rFonts w:hint="eastAsia"/>
                <w:sz w:val="21"/>
                <w:szCs w:val="21"/>
                <w:lang w:val="en-US" w:eastAsia="zh-CN"/>
              </w:rPr>
              <w:t>7</w:t>
            </w:r>
            <w:r>
              <w:rPr>
                <w:rStyle w:val="15"/>
                <w:sz w:val="21"/>
                <w:szCs w:val="21"/>
              </w:rPr>
              <w:t xml:space="preserve"> 年度、201</w:t>
            </w:r>
            <w:r>
              <w:rPr>
                <w:rStyle w:val="15"/>
                <w:rFonts w:hint="eastAsia"/>
                <w:sz w:val="21"/>
                <w:szCs w:val="21"/>
                <w:lang w:val="en-US" w:eastAsia="zh-CN"/>
              </w:rPr>
              <w:t>8</w:t>
            </w:r>
            <w:r>
              <w:rPr>
                <w:rStyle w:val="15"/>
                <w:sz w:val="21"/>
                <w:szCs w:val="21"/>
              </w:rPr>
              <w:t xml:space="preserve"> 年度和 201</w:t>
            </w:r>
            <w:r>
              <w:rPr>
                <w:rStyle w:val="15"/>
                <w:rFonts w:hint="eastAsia"/>
                <w:sz w:val="21"/>
                <w:szCs w:val="21"/>
                <w:lang w:val="en-US" w:eastAsia="zh-CN"/>
              </w:rPr>
              <w:t>9</w:t>
            </w:r>
            <w:r>
              <w:rPr>
                <w:rStyle w:val="15"/>
                <w:sz w:val="21"/>
                <w:szCs w:val="21"/>
              </w:rPr>
              <w:t xml:space="preserve"> 年度</w:t>
            </w:r>
          </w:p>
          <w:p>
            <w:pPr>
              <w:pStyle w:val="18"/>
              <w:spacing w:line="300" w:lineRule="atLeast"/>
              <w:ind w:right="97"/>
              <w:jc w:val="both"/>
              <w:rPr>
                <w:rStyle w:val="15"/>
                <w:sz w:val="21"/>
                <w:szCs w:val="21"/>
              </w:rPr>
            </w:pPr>
            <w:r>
              <w:rPr>
                <w:rStyle w:val="15"/>
                <w:sz w:val="21"/>
                <w:szCs w:val="21"/>
              </w:rPr>
              <w:t>备注：对于从取得营业执照时间起到投标截止时间为止不足要求年数的企业， 只需提交企业取得营业执照年份至所要求最近年份经审计的财务报表。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97" w:type="dxa"/>
            <w:vMerge w:val="continue"/>
            <w:tcBorders>
              <w:top w:val="nil"/>
            </w:tcBorders>
          </w:tcPr>
          <w:p>
            <w:pPr>
              <w:rPr>
                <w:rStyle w:val="15"/>
                <w:sz w:val="21"/>
                <w:szCs w:val="21"/>
              </w:rPr>
            </w:pPr>
          </w:p>
        </w:tc>
        <w:tc>
          <w:tcPr>
            <w:tcW w:w="1620" w:type="dxa"/>
          </w:tcPr>
          <w:p>
            <w:pPr>
              <w:pStyle w:val="18"/>
              <w:spacing w:line="300" w:lineRule="exact"/>
              <w:ind w:left="180" w:right="169"/>
              <w:jc w:val="center"/>
              <w:rPr>
                <w:rStyle w:val="15"/>
                <w:sz w:val="21"/>
                <w:szCs w:val="21"/>
              </w:rPr>
            </w:pPr>
            <w:r>
              <w:rPr>
                <w:rStyle w:val="15"/>
                <w:sz w:val="21"/>
                <w:szCs w:val="21"/>
              </w:rPr>
              <w:t>近三年完成的类似项目的 时间要求</w:t>
            </w:r>
          </w:p>
        </w:tc>
        <w:tc>
          <w:tcPr>
            <w:tcW w:w="7797" w:type="dxa"/>
          </w:tcPr>
          <w:p>
            <w:pPr>
              <w:pStyle w:val="18"/>
              <w:spacing w:before="7"/>
              <w:rPr>
                <w:rStyle w:val="15"/>
                <w:sz w:val="21"/>
                <w:szCs w:val="21"/>
              </w:rPr>
            </w:pPr>
          </w:p>
          <w:p>
            <w:pPr>
              <w:pStyle w:val="18"/>
              <w:ind w:left="108"/>
              <w:rPr>
                <w:rStyle w:val="15"/>
                <w:sz w:val="21"/>
                <w:szCs w:val="21"/>
              </w:rPr>
            </w:pPr>
            <w:r>
              <w:rPr>
                <w:rStyle w:val="15"/>
                <w:sz w:val="21"/>
                <w:szCs w:val="21"/>
              </w:rPr>
              <w:t>3 年，指项目竣工时间至投标截止时间止不超过 3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97" w:type="dxa"/>
            <w:vMerge w:val="continue"/>
            <w:tcBorders>
              <w:top w:val="nil"/>
            </w:tcBorders>
          </w:tcPr>
          <w:p>
            <w:pPr>
              <w:rPr>
                <w:rStyle w:val="15"/>
                <w:sz w:val="21"/>
                <w:szCs w:val="21"/>
              </w:rPr>
            </w:pPr>
          </w:p>
        </w:tc>
        <w:tc>
          <w:tcPr>
            <w:tcW w:w="1620" w:type="dxa"/>
          </w:tcPr>
          <w:p>
            <w:pPr>
              <w:pStyle w:val="18"/>
              <w:spacing w:line="261" w:lineRule="auto"/>
              <w:ind w:left="180" w:right="169"/>
              <w:rPr>
                <w:rStyle w:val="15"/>
                <w:sz w:val="21"/>
                <w:szCs w:val="21"/>
              </w:rPr>
            </w:pPr>
            <w:r>
              <w:rPr>
                <w:rStyle w:val="15"/>
                <w:sz w:val="21"/>
                <w:szCs w:val="21"/>
              </w:rPr>
              <w:t>近三年发生的诉讼及仲裁情</w:t>
            </w:r>
          </w:p>
          <w:p>
            <w:pPr>
              <w:pStyle w:val="18"/>
              <w:spacing w:before="12"/>
              <w:ind w:left="180"/>
              <w:rPr>
                <w:rStyle w:val="15"/>
                <w:sz w:val="21"/>
                <w:szCs w:val="21"/>
              </w:rPr>
            </w:pPr>
            <w:r>
              <w:rPr>
                <w:rStyle w:val="15"/>
                <w:sz w:val="21"/>
                <w:szCs w:val="21"/>
              </w:rPr>
              <w:t>况的时间要求</w:t>
            </w:r>
          </w:p>
        </w:tc>
        <w:tc>
          <w:tcPr>
            <w:tcW w:w="7797" w:type="dxa"/>
          </w:tcPr>
          <w:p>
            <w:pPr>
              <w:pStyle w:val="18"/>
              <w:spacing w:before="6"/>
              <w:rPr>
                <w:rStyle w:val="15"/>
                <w:sz w:val="21"/>
                <w:szCs w:val="21"/>
              </w:rPr>
            </w:pPr>
          </w:p>
          <w:p>
            <w:pPr>
              <w:pStyle w:val="18"/>
              <w:ind w:left="108"/>
              <w:rPr>
                <w:rStyle w:val="15"/>
                <w:sz w:val="21"/>
                <w:szCs w:val="21"/>
              </w:rPr>
            </w:pPr>
            <w:r>
              <w:rPr>
                <w:rStyle w:val="15"/>
                <w:sz w:val="21"/>
                <w:szCs w:val="21"/>
              </w:rPr>
              <w:t>3 年，指诉讼及仲裁判决时间至投标截止时间止不超过 3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6"/>
              <w:ind w:left="6"/>
              <w:jc w:val="center"/>
              <w:rPr>
                <w:rStyle w:val="15"/>
                <w:sz w:val="21"/>
                <w:szCs w:val="21"/>
              </w:rPr>
            </w:pPr>
            <w:r>
              <w:rPr>
                <w:rStyle w:val="15"/>
                <w:sz w:val="21"/>
                <w:szCs w:val="21"/>
              </w:rPr>
              <w:t>3.3.1</w:t>
            </w:r>
          </w:p>
        </w:tc>
        <w:tc>
          <w:tcPr>
            <w:tcW w:w="1620" w:type="dxa"/>
          </w:tcPr>
          <w:p>
            <w:pPr>
              <w:pStyle w:val="18"/>
              <w:spacing w:before="16"/>
              <w:ind w:left="175" w:right="169"/>
              <w:jc w:val="center"/>
              <w:rPr>
                <w:rStyle w:val="15"/>
                <w:sz w:val="21"/>
                <w:szCs w:val="21"/>
              </w:rPr>
            </w:pPr>
            <w:r>
              <w:rPr>
                <w:rStyle w:val="15"/>
                <w:sz w:val="21"/>
                <w:szCs w:val="21"/>
              </w:rPr>
              <w:t>投标有效期</w:t>
            </w:r>
          </w:p>
        </w:tc>
        <w:tc>
          <w:tcPr>
            <w:tcW w:w="7797" w:type="dxa"/>
          </w:tcPr>
          <w:p>
            <w:pPr>
              <w:pStyle w:val="18"/>
              <w:spacing w:before="16"/>
              <w:ind w:left="108"/>
              <w:rPr>
                <w:rStyle w:val="15"/>
                <w:sz w:val="21"/>
                <w:szCs w:val="21"/>
              </w:rPr>
            </w:pPr>
            <w:r>
              <w:rPr>
                <w:rStyle w:val="15"/>
                <w:sz w:val="21"/>
                <w:szCs w:val="21"/>
              </w:rPr>
              <w:t>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0" w:hRule="atLeast"/>
        </w:trPr>
        <w:tc>
          <w:tcPr>
            <w:tcW w:w="897" w:type="dxa"/>
          </w:tcPr>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spacing w:before="2"/>
              <w:rPr>
                <w:rFonts w:ascii="Times New Roman"/>
                <w:sz w:val="28"/>
              </w:rPr>
            </w:pPr>
          </w:p>
          <w:p>
            <w:pPr>
              <w:pStyle w:val="18"/>
              <w:spacing w:before="1"/>
              <w:ind w:left="6"/>
              <w:jc w:val="center"/>
              <w:rPr>
                <w:sz w:val="21"/>
              </w:rPr>
            </w:pPr>
            <w:r>
              <w:rPr>
                <w:sz w:val="21"/>
              </w:rPr>
              <w:t>3.4.1</w:t>
            </w:r>
          </w:p>
        </w:tc>
        <w:tc>
          <w:tcPr>
            <w:tcW w:w="1620" w:type="dxa"/>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2"/>
              <w:rPr>
                <w:rStyle w:val="15"/>
                <w:sz w:val="21"/>
                <w:szCs w:val="21"/>
              </w:rPr>
            </w:pPr>
          </w:p>
          <w:p>
            <w:pPr>
              <w:pStyle w:val="18"/>
              <w:spacing w:before="1"/>
              <w:ind w:left="175" w:right="169"/>
              <w:jc w:val="center"/>
              <w:rPr>
                <w:rStyle w:val="15"/>
                <w:sz w:val="21"/>
                <w:szCs w:val="21"/>
              </w:rPr>
            </w:pPr>
            <w:r>
              <w:rPr>
                <w:rStyle w:val="15"/>
                <w:sz w:val="21"/>
                <w:szCs w:val="21"/>
              </w:rPr>
              <w:t>投标保证金</w:t>
            </w:r>
          </w:p>
        </w:tc>
        <w:tc>
          <w:tcPr>
            <w:tcW w:w="7797" w:type="dxa"/>
          </w:tcPr>
          <w:p>
            <w:pPr>
              <w:pStyle w:val="18"/>
              <w:spacing w:line="261" w:lineRule="auto"/>
              <w:ind w:left="108" w:right="90" w:firstLine="420"/>
              <w:rPr>
                <w:rStyle w:val="15"/>
                <w:sz w:val="21"/>
                <w:szCs w:val="21"/>
              </w:rPr>
            </w:pPr>
            <w:r>
              <w:rPr>
                <w:rStyle w:val="15"/>
                <w:sz w:val="21"/>
                <w:szCs w:val="21"/>
              </w:rPr>
              <w:t>投标保证金的提交方式：可以银行保函、银行转账、电汇、工程担保、工程保证保险等方式提交。禁止采用现钞交纳方式。</w:t>
            </w:r>
          </w:p>
          <w:p>
            <w:pPr>
              <w:pStyle w:val="18"/>
              <w:spacing w:before="11"/>
              <w:ind w:left="528"/>
              <w:rPr>
                <w:rStyle w:val="15"/>
                <w:sz w:val="21"/>
                <w:szCs w:val="21"/>
              </w:rPr>
            </w:pPr>
            <w:r>
              <w:rPr>
                <w:rStyle w:val="15"/>
                <w:sz w:val="21"/>
                <w:szCs w:val="21"/>
              </w:rPr>
              <w:t>投标保证金的金额：人民币</w:t>
            </w:r>
            <w:r>
              <w:rPr>
                <w:rStyle w:val="15"/>
                <w:rFonts w:hint="eastAsia"/>
                <w:sz w:val="21"/>
                <w:szCs w:val="21"/>
                <w:lang w:eastAsia="zh-CN"/>
              </w:rPr>
              <w:t>伍</w:t>
            </w:r>
            <w:r>
              <w:rPr>
                <w:rStyle w:val="15"/>
                <w:sz w:val="21"/>
                <w:szCs w:val="21"/>
              </w:rPr>
              <w:t>万元整（¥</w:t>
            </w:r>
            <w:r>
              <w:rPr>
                <w:rStyle w:val="15"/>
                <w:rFonts w:hint="eastAsia"/>
                <w:sz w:val="21"/>
                <w:szCs w:val="21"/>
                <w:lang w:val="en-US" w:eastAsia="zh-CN"/>
              </w:rPr>
              <w:t>5</w:t>
            </w:r>
            <w:r>
              <w:rPr>
                <w:rStyle w:val="15"/>
                <w:sz w:val="21"/>
                <w:szCs w:val="21"/>
              </w:rPr>
              <w:t>0000.00）</w:t>
            </w:r>
          </w:p>
          <w:p>
            <w:pPr>
              <w:pStyle w:val="18"/>
              <w:spacing w:before="24" w:line="261" w:lineRule="auto"/>
              <w:ind w:left="108" w:right="75" w:firstLine="420"/>
              <w:jc w:val="both"/>
              <w:rPr>
                <w:rStyle w:val="15"/>
                <w:sz w:val="21"/>
                <w:szCs w:val="21"/>
              </w:rPr>
            </w:pPr>
            <w:r>
              <w:rPr>
                <w:rStyle w:val="15"/>
                <w:sz w:val="21"/>
                <w:szCs w:val="21"/>
              </w:rPr>
              <w:t>采用银行保函或工程担保或工程保证保险方式的，必须为无条件保函，保函有效期不得低于投标有效期【备注：在投标截止时间前于开标现场将开具的无条件银行保函或工程担保或工程保证保险原件递交给招标人，复印件需加盖投标人公章并装订入投标文件】，否则招标人有权拒绝接受投标或记录在案并在评标阶段由评标委员会做否决投标处理；采用银行转账、电汇方式的，必须从投标人的基本账户转账或电汇到以下指定的投标保证金专用账户【备注：开标现场需查验银行转帐原件</w:t>
            </w:r>
          </w:p>
          <w:p>
            <w:pPr>
              <w:pStyle w:val="18"/>
              <w:spacing w:before="5" w:line="261" w:lineRule="auto"/>
              <w:ind w:left="108" w:right="83"/>
              <w:jc w:val="both"/>
              <w:rPr>
                <w:rStyle w:val="15"/>
                <w:sz w:val="21"/>
                <w:szCs w:val="21"/>
              </w:rPr>
            </w:pPr>
            <w:r>
              <w:rPr>
                <w:rStyle w:val="15"/>
                <w:sz w:val="21"/>
                <w:szCs w:val="21"/>
              </w:rPr>
              <w:t>（备注：电子转账的底单原件可采用彩色打印件并加盖转账单位公章），复印件需加盖投标人公章并装订入投标文件】，否则招标人有权拒绝接受投标或记录在案并在评标阶段由评标委员会做否决投标处理。</w:t>
            </w:r>
          </w:p>
          <w:p>
            <w:pPr>
              <w:pStyle w:val="18"/>
              <w:spacing w:line="300" w:lineRule="atLeast"/>
              <w:ind w:left="108" w:right="97" w:firstLine="420"/>
              <w:rPr>
                <w:rStyle w:val="15"/>
                <w:sz w:val="21"/>
                <w:szCs w:val="21"/>
                <w:lang w:eastAsia="zh-CN"/>
              </w:rPr>
            </w:pPr>
            <w:r>
              <w:rPr>
                <w:rStyle w:val="15"/>
                <w:sz w:val="21"/>
                <w:szCs w:val="21"/>
                <w:lang w:eastAsia="zh-CN"/>
              </w:rPr>
              <w:t>开户名：贺州市公共资源交易中心</w:t>
            </w:r>
          </w:p>
          <w:p>
            <w:pPr>
              <w:pStyle w:val="18"/>
              <w:spacing w:line="300" w:lineRule="atLeast"/>
              <w:ind w:left="108" w:right="97" w:firstLine="420"/>
              <w:rPr>
                <w:rStyle w:val="15"/>
                <w:sz w:val="21"/>
                <w:szCs w:val="21"/>
                <w:lang w:eastAsia="zh-CN"/>
              </w:rPr>
            </w:pPr>
            <w:r>
              <w:rPr>
                <w:rStyle w:val="15"/>
                <w:sz w:val="21"/>
                <w:szCs w:val="21"/>
                <w:lang w:eastAsia="zh-CN"/>
              </w:rPr>
              <w:t>账 号 ：945009010008838888</w:t>
            </w:r>
          </w:p>
          <w:p>
            <w:pPr>
              <w:pStyle w:val="18"/>
              <w:spacing w:line="300" w:lineRule="atLeast"/>
              <w:ind w:left="108" w:right="97" w:firstLine="420"/>
              <w:rPr>
                <w:rStyle w:val="15"/>
                <w:sz w:val="21"/>
                <w:szCs w:val="21"/>
                <w:lang w:eastAsia="zh-CN"/>
              </w:rPr>
            </w:pPr>
            <w:r>
              <w:rPr>
                <w:rStyle w:val="15"/>
                <w:sz w:val="21"/>
                <w:szCs w:val="21"/>
                <w:lang w:eastAsia="zh-CN"/>
              </w:rPr>
              <w:t>开户行：邮政储蓄银行贺州市分行营业部</w:t>
            </w:r>
          </w:p>
          <w:p>
            <w:pPr>
              <w:pStyle w:val="18"/>
              <w:spacing w:line="300" w:lineRule="atLeast"/>
              <w:ind w:left="108" w:right="97" w:firstLine="420"/>
              <w:rPr>
                <w:rStyle w:val="15"/>
                <w:sz w:val="21"/>
                <w:szCs w:val="21"/>
              </w:rPr>
            </w:pPr>
            <w:r>
              <w:rPr>
                <w:rStyle w:val="15"/>
                <w:sz w:val="21"/>
                <w:szCs w:val="21"/>
              </w:rPr>
              <w:t>投标保证金必须以投标人自身的名义提交，并与投标报名时该投标人的名称一致，不得以分支机构等其他名义提交。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97" w:type="dxa"/>
          </w:tcPr>
          <w:p>
            <w:pPr>
              <w:pStyle w:val="18"/>
              <w:spacing w:before="145"/>
              <w:ind w:left="9"/>
              <w:jc w:val="center"/>
              <w:rPr>
                <w:rStyle w:val="15"/>
                <w:sz w:val="21"/>
                <w:szCs w:val="21"/>
              </w:rPr>
            </w:pPr>
            <w:r>
              <w:rPr>
                <w:rStyle w:val="15"/>
                <w:sz w:val="21"/>
                <w:szCs w:val="21"/>
              </w:rPr>
              <w:t>3.5</w:t>
            </w:r>
          </w:p>
        </w:tc>
        <w:tc>
          <w:tcPr>
            <w:tcW w:w="1620" w:type="dxa"/>
          </w:tcPr>
          <w:p>
            <w:pPr>
              <w:pStyle w:val="18"/>
              <w:spacing w:line="269" w:lineRule="exact"/>
              <w:ind w:left="180"/>
              <w:rPr>
                <w:rStyle w:val="15"/>
                <w:sz w:val="21"/>
                <w:szCs w:val="21"/>
              </w:rPr>
            </w:pPr>
            <w:r>
              <w:rPr>
                <w:rStyle w:val="15"/>
                <w:sz w:val="21"/>
                <w:szCs w:val="21"/>
              </w:rPr>
              <w:t>是否允许递交</w:t>
            </w:r>
          </w:p>
          <w:p>
            <w:pPr>
              <w:pStyle w:val="18"/>
              <w:spacing w:before="25"/>
              <w:ind w:left="180"/>
              <w:rPr>
                <w:rStyle w:val="15"/>
                <w:sz w:val="21"/>
                <w:szCs w:val="21"/>
              </w:rPr>
            </w:pPr>
            <w:r>
              <w:rPr>
                <w:rStyle w:val="15"/>
                <w:sz w:val="21"/>
                <w:szCs w:val="21"/>
              </w:rPr>
              <w:t>备选投标方案</w:t>
            </w:r>
          </w:p>
        </w:tc>
        <w:tc>
          <w:tcPr>
            <w:tcW w:w="7797" w:type="dxa"/>
          </w:tcPr>
          <w:p>
            <w:pPr>
              <w:pStyle w:val="18"/>
              <w:spacing w:before="145"/>
              <w:ind w:left="108"/>
              <w:rPr>
                <w:rStyle w:val="15"/>
                <w:sz w:val="21"/>
                <w:szCs w:val="21"/>
              </w:rPr>
            </w:pPr>
            <w:r>
              <w:rPr>
                <w:rStyle w:val="15"/>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97" w:type="dxa"/>
            <w:vAlign w:val="top"/>
          </w:tcPr>
          <w:p>
            <w:pPr>
              <w:pStyle w:val="18"/>
              <w:rPr>
                <w:rStyle w:val="15"/>
                <w:sz w:val="21"/>
                <w:szCs w:val="21"/>
              </w:rPr>
            </w:pPr>
          </w:p>
          <w:p>
            <w:pPr>
              <w:pStyle w:val="18"/>
              <w:spacing w:before="7"/>
              <w:rPr>
                <w:rStyle w:val="15"/>
                <w:sz w:val="21"/>
                <w:szCs w:val="21"/>
              </w:rPr>
            </w:pPr>
          </w:p>
          <w:p>
            <w:pPr>
              <w:pStyle w:val="18"/>
              <w:ind w:left="6" w:leftChars="0" w:right="0" w:rightChars="0"/>
              <w:jc w:val="center"/>
              <w:rPr>
                <w:rStyle w:val="15"/>
                <w:sz w:val="21"/>
                <w:szCs w:val="21"/>
              </w:rPr>
            </w:pPr>
            <w:r>
              <w:rPr>
                <w:rStyle w:val="15"/>
                <w:sz w:val="21"/>
                <w:szCs w:val="21"/>
              </w:rPr>
              <w:t>3.6.3</w:t>
            </w:r>
          </w:p>
        </w:tc>
        <w:tc>
          <w:tcPr>
            <w:tcW w:w="1620" w:type="dxa"/>
            <w:vAlign w:val="top"/>
          </w:tcPr>
          <w:p>
            <w:pPr>
              <w:pStyle w:val="18"/>
              <w:spacing w:before="8"/>
              <w:rPr>
                <w:rStyle w:val="15"/>
                <w:sz w:val="21"/>
                <w:szCs w:val="21"/>
              </w:rPr>
            </w:pPr>
          </w:p>
          <w:p>
            <w:pPr>
              <w:pStyle w:val="18"/>
              <w:spacing w:line="261" w:lineRule="auto"/>
              <w:ind w:left="389" w:leftChars="0" w:right="165" w:rightChars="0" w:hanging="209" w:firstLineChars="0"/>
              <w:rPr>
                <w:rStyle w:val="15"/>
                <w:sz w:val="21"/>
                <w:szCs w:val="21"/>
              </w:rPr>
            </w:pPr>
            <w:r>
              <w:rPr>
                <w:rStyle w:val="15"/>
                <w:sz w:val="21"/>
                <w:szCs w:val="21"/>
              </w:rPr>
              <w:t>签字和（或） 盖章要求</w:t>
            </w:r>
          </w:p>
        </w:tc>
        <w:tc>
          <w:tcPr>
            <w:tcW w:w="7797" w:type="dxa"/>
            <w:vAlign w:val="top"/>
          </w:tcPr>
          <w:p>
            <w:pPr>
              <w:pStyle w:val="18"/>
              <w:spacing w:before="1" w:line="300" w:lineRule="exact"/>
              <w:ind w:left="108" w:leftChars="0" w:right="94" w:rightChars="0"/>
              <w:jc w:val="both"/>
              <w:rPr>
                <w:rStyle w:val="15"/>
                <w:sz w:val="21"/>
                <w:szCs w:val="21"/>
              </w:rPr>
            </w:pPr>
            <w:r>
              <w:rPr>
                <w:rStyle w:val="15"/>
                <w:sz w:val="21"/>
                <w:szCs w:val="21"/>
              </w:rPr>
              <w:t>投标文件正本与副本均须由投标人在招标文件规定的相关位置加盖投标人法人单位公章，且经法定代表人签字（或盖章）或其委托代理人本人签字。投标文件未经投标人盖章或法定代表人签字（或盖章）或其委托代理人本人签字的，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97" w:type="dxa"/>
            <w:vAlign w:val="top"/>
          </w:tcPr>
          <w:p>
            <w:pPr>
              <w:pStyle w:val="18"/>
              <w:spacing w:before="13"/>
              <w:ind w:left="6" w:leftChars="0" w:right="0" w:rightChars="0"/>
              <w:jc w:val="center"/>
              <w:rPr>
                <w:rStyle w:val="15"/>
                <w:sz w:val="21"/>
                <w:szCs w:val="21"/>
              </w:rPr>
            </w:pPr>
            <w:r>
              <w:rPr>
                <w:rStyle w:val="15"/>
                <w:sz w:val="21"/>
                <w:szCs w:val="21"/>
              </w:rPr>
              <w:t>3.6.4</w:t>
            </w:r>
          </w:p>
        </w:tc>
        <w:tc>
          <w:tcPr>
            <w:tcW w:w="1620" w:type="dxa"/>
            <w:vAlign w:val="top"/>
          </w:tcPr>
          <w:p>
            <w:pPr>
              <w:pStyle w:val="18"/>
              <w:spacing w:before="13"/>
              <w:ind w:left="177" w:leftChars="0" w:right="169" w:rightChars="0"/>
              <w:jc w:val="center"/>
              <w:rPr>
                <w:rStyle w:val="15"/>
                <w:sz w:val="21"/>
                <w:szCs w:val="21"/>
              </w:rPr>
            </w:pPr>
            <w:r>
              <w:rPr>
                <w:rStyle w:val="15"/>
                <w:sz w:val="21"/>
                <w:szCs w:val="21"/>
              </w:rPr>
              <w:t>投标文件份数</w:t>
            </w:r>
          </w:p>
        </w:tc>
        <w:tc>
          <w:tcPr>
            <w:tcW w:w="7797" w:type="dxa"/>
            <w:vAlign w:val="top"/>
          </w:tcPr>
          <w:p>
            <w:pPr>
              <w:pStyle w:val="18"/>
              <w:spacing w:before="13"/>
              <w:ind w:left="108" w:leftChars="0" w:right="0" w:rightChars="0"/>
              <w:rPr>
                <w:rStyle w:val="15"/>
                <w:sz w:val="21"/>
                <w:szCs w:val="21"/>
              </w:rPr>
            </w:pPr>
            <w:r>
              <w:rPr>
                <w:rStyle w:val="15"/>
                <w:sz w:val="21"/>
                <w:szCs w:val="21"/>
              </w:rPr>
              <w:t>正本：壹份；副本：伍份。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97" w:type="dxa"/>
            <w:vAlign w:val="top"/>
          </w:tcPr>
          <w:p>
            <w:pPr>
              <w:pStyle w:val="18"/>
              <w:spacing w:before="8"/>
              <w:rPr>
                <w:rStyle w:val="15"/>
                <w:sz w:val="21"/>
                <w:szCs w:val="21"/>
              </w:rPr>
            </w:pPr>
          </w:p>
          <w:p>
            <w:pPr>
              <w:pStyle w:val="18"/>
              <w:ind w:left="6" w:leftChars="0" w:right="0" w:rightChars="0"/>
              <w:jc w:val="center"/>
              <w:rPr>
                <w:rStyle w:val="15"/>
                <w:sz w:val="21"/>
                <w:szCs w:val="21"/>
              </w:rPr>
            </w:pPr>
            <w:r>
              <w:rPr>
                <w:rStyle w:val="15"/>
                <w:sz w:val="21"/>
                <w:szCs w:val="21"/>
              </w:rPr>
              <w:t>3.6.5</w:t>
            </w:r>
          </w:p>
        </w:tc>
        <w:tc>
          <w:tcPr>
            <w:tcW w:w="1620" w:type="dxa"/>
            <w:vAlign w:val="top"/>
          </w:tcPr>
          <w:p>
            <w:pPr>
              <w:pStyle w:val="18"/>
              <w:spacing w:before="8"/>
              <w:rPr>
                <w:rStyle w:val="15"/>
                <w:sz w:val="21"/>
                <w:szCs w:val="21"/>
              </w:rPr>
            </w:pPr>
          </w:p>
          <w:p>
            <w:pPr>
              <w:pStyle w:val="18"/>
              <w:ind w:left="175" w:leftChars="0" w:right="169" w:rightChars="0"/>
              <w:jc w:val="center"/>
              <w:rPr>
                <w:rStyle w:val="15"/>
                <w:sz w:val="21"/>
                <w:szCs w:val="21"/>
              </w:rPr>
            </w:pPr>
            <w:r>
              <w:rPr>
                <w:rStyle w:val="15"/>
                <w:sz w:val="21"/>
                <w:szCs w:val="21"/>
              </w:rPr>
              <w:t>装订要求</w:t>
            </w:r>
          </w:p>
        </w:tc>
        <w:tc>
          <w:tcPr>
            <w:tcW w:w="7797" w:type="dxa"/>
            <w:vAlign w:val="top"/>
          </w:tcPr>
          <w:p>
            <w:pPr>
              <w:pStyle w:val="18"/>
              <w:spacing w:line="261" w:lineRule="auto"/>
              <w:ind w:right="95"/>
              <w:rPr>
                <w:rStyle w:val="15"/>
                <w:sz w:val="21"/>
                <w:szCs w:val="21"/>
              </w:rPr>
            </w:pPr>
            <w:r>
              <w:rPr>
                <w:rStyle w:val="15"/>
                <w:sz w:val="21"/>
                <w:szCs w:val="21"/>
              </w:rPr>
              <w:t>按照投标人须知第 3.1.1 项规定投标文件组成内容，投标文件装订要求：分册装订，共分叁册，分别为：资格审查部分，商务标部分，技术标部分。</w:t>
            </w:r>
          </w:p>
          <w:p>
            <w:pPr>
              <w:pStyle w:val="18"/>
              <w:spacing w:before="10"/>
              <w:ind w:right="0" w:rightChars="0"/>
              <w:rPr>
                <w:rStyle w:val="15"/>
                <w:sz w:val="21"/>
                <w:szCs w:val="21"/>
              </w:rPr>
            </w:pPr>
            <w:r>
              <w:rPr>
                <w:rStyle w:val="15"/>
                <w:sz w:val="21"/>
                <w:szCs w:val="21"/>
              </w:rPr>
              <w:t>投标文件每册装订应牢固、不易拆散和换页，不得采用活页装订。</w:t>
            </w:r>
          </w:p>
        </w:tc>
      </w:tr>
    </w:tbl>
    <w:p>
      <w:pPr>
        <w:spacing w:after="0"/>
        <w:rPr>
          <w:sz w:val="21"/>
        </w:rPr>
        <w:sectPr>
          <w:pgSz w:w="11910" w:h="16840"/>
          <w:pgMar w:top="1000" w:right="500" w:bottom="780" w:left="860" w:header="808" w:footer="595" w:gutter="0"/>
          <w:pgNumType w:fmt="decimal"/>
        </w:sectPr>
      </w:pPr>
    </w:p>
    <w:p>
      <w:pPr>
        <w:pStyle w:val="3"/>
        <w:rPr>
          <w:rFonts w:ascii="Times New Roman"/>
          <w:sz w:val="20"/>
        </w:rPr>
      </w:pPr>
    </w:p>
    <w:p>
      <w:pPr>
        <w:pStyle w:val="3"/>
        <w:spacing w:before="6"/>
        <w:rPr>
          <w:rFonts w:ascii="Times New Roman"/>
          <w:sz w:val="17"/>
        </w:rPr>
      </w:pPr>
    </w:p>
    <w:tbl>
      <w:tblPr>
        <w:tblStyle w:val="14"/>
        <w:tblW w:w="1031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1620"/>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shd w:val="clear" w:color="auto" w:fill="E6E6E6"/>
          </w:tcPr>
          <w:p>
            <w:pPr>
              <w:pStyle w:val="18"/>
              <w:spacing w:before="14"/>
              <w:ind w:left="7"/>
              <w:jc w:val="center"/>
              <w:rPr>
                <w:b/>
                <w:sz w:val="21"/>
              </w:rPr>
            </w:pPr>
            <w:r>
              <w:rPr>
                <w:b/>
                <w:w w:val="95"/>
                <w:sz w:val="21"/>
              </w:rPr>
              <w:t>条款号</w:t>
            </w:r>
          </w:p>
        </w:tc>
        <w:tc>
          <w:tcPr>
            <w:tcW w:w="1620" w:type="dxa"/>
            <w:shd w:val="clear" w:color="auto" w:fill="E6E6E6"/>
          </w:tcPr>
          <w:p>
            <w:pPr>
              <w:pStyle w:val="18"/>
              <w:spacing w:before="14"/>
              <w:ind w:left="179" w:right="169"/>
              <w:jc w:val="center"/>
              <w:rPr>
                <w:b/>
                <w:sz w:val="21"/>
              </w:rPr>
            </w:pPr>
            <w:r>
              <w:rPr>
                <w:b/>
                <w:w w:val="95"/>
                <w:sz w:val="21"/>
              </w:rPr>
              <w:t>条款名称</w:t>
            </w:r>
          </w:p>
        </w:tc>
        <w:tc>
          <w:tcPr>
            <w:tcW w:w="7797" w:type="dxa"/>
            <w:shd w:val="clear" w:color="auto" w:fill="E6E6E6"/>
          </w:tcPr>
          <w:p>
            <w:pPr>
              <w:pStyle w:val="18"/>
              <w:spacing w:before="14"/>
              <w:ind w:left="61" w:right="50"/>
              <w:jc w:val="center"/>
              <w:rPr>
                <w:b/>
                <w:sz w:val="21"/>
              </w:rPr>
            </w:pPr>
            <w:r>
              <w:rPr>
                <w:b/>
                <w:w w:val="95"/>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97" w:type="dxa"/>
          </w:tcPr>
          <w:p>
            <w:pPr>
              <w:pStyle w:val="18"/>
              <w:spacing w:before="8"/>
              <w:rPr>
                <w:rStyle w:val="15"/>
                <w:sz w:val="21"/>
                <w:szCs w:val="21"/>
              </w:rPr>
            </w:pPr>
          </w:p>
          <w:p>
            <w:pPr>
              <w:pStyle w:val="18"/>
              <w:ind w:left="6"/>
              <w:jc w:val="center"/>
              <w:rPr>
                <w:rStyle w:val="15"/>
                <w:sz w:val="21"/>
                <w:szCs w:val="21"/>
              </w:rPr>
            </w:pPr>
            <w:r>
              <w:rPr>
                <w:rStyle w:val="15"/>
                <w:sz w:val="21"/>
                <w:szCs w:val="21"/>
              </w:rPr>
              <w:t>3.6.6</w:t>
            </w:r>
          </w:p>
        </w:tc>
        <w:tc>
          <w:tcPr>
            <w:tcW w:w="1620" w:type="dxa"/>
          </w:tcPr>
          <w:p>
            <w:pPr>
              <w:pStyle w:val="18"/>
              <w:spacing w:before="1" w:line="300" w:lineRule="exact"/>
              <w:ind w:left="180" w:right="169"/>
              <w:jc w:val="both"/>
              <w:rPr>
                <w:rStyle w:val="15"/>
                <w:sz w:val="21"/>
                <w:szCs w:val="21"/>
              </w:rPr>
            </w:pPr>
            <w:r>
              <w:rPr>
                <w:rStyle w:val="15"/>
                <w:sz w:val="21"/>
                <w:szCs w:val="21"/>
              </w:rPr>
              <w:t>施工组织设计是否采用“暗标”评审方式</w:t>
            </w:r>
          </w:p>
        </w:tc>
        <w:tc>
          <w:tcPr>
            <w:tcW w:w="7797" w:type="dxa"/>
          </w:tcPr>
          <w:p>
            <w:pPr>
              <w:pStyle w:val="18"/>
              <w:spacing w:before="8"/>
              <w:rPr>
                <w:rStyle w:val="15"/>
                <w:sz w:val="21"/>
                <w:szCs w:val="21"/>
              </w:rPr>
            </w:pPr>
          </w:p>
          <w:p>
            <w:pPr>
              <w:pStyle w:val="18"/>
              <w:ind w:left="108"/>
              <w:rPr>
                <w:rStyle w:val="15"/>
                <w:sz w:val="21"/>
                <w:szCs w:val="21"/>
              </w:rPr>
            </w:pPr>
            <w:r>
              <w:rPr>
                <w:rStyle w:val="15"/>
                <w:sz w:val="21"/>
                <w:szCs w:val="21"/>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897" w:type="dxa"/>
          </w:tcPr>
          <w:p>
            <w:pPr>
              <w:pStyle w:val="18"/>
              <w:rPr>
                <w:rStyle w:val="15"/>
                <w:sz w:val="21"/>
                <w:szCs w:val="21"/>
              </w:rPr>
            </w:pPr>
          </w:p>
          <w:p>
            <w:pPr>
              <w:pStyle w:val="18"/>
              <w:rPr>
                <w:rStyle w:val="15"/>
                <w:sz w:val="21"/>
                <w:szCs w:val="21"/>
              </w:rPr>
            </w:pPr>
          </w:p>
          <w:p>
            <w:pPr>
              <w:pStyle w:val="18"/>
              <w:spacing w:before="7"/>
              <w:rPr>
                <w:rStyle w:val="15"/>
                <w:sz w:val="21"/>
                <w:szCs w:val="21"/>
              </w:rPr>
            </w:pPr>
          </w:p>
          <w:p>
            <w:pPr>
              <w:pStyle w:val="18"/>
              <w:ind w:left="6"/>
              <w:jc w:val="center"/>
              <w:rPr>
                <w:rStyle w:val="15"/>
                <w:sz w:val="21"/>
                <w:szCs w:val="21"/>
              </w:rPr>
            </w:pPr>
            <w:r>
              <w:rPr>
                <w:rStyle w:val="15"/>
                <w:sz w:val="21"/>
                <w:szCs w:val="21"/>
              </w:rPr>
              <w:t>4.1.1</w:t>
            </w:r>
          </w:p>
        </w:tc>
        <w:tc>
          <w:tcPr>
            <w:tcW w:w="1620" w:type="dxa"/>
          </w:tcPr>
          <w:p>
            <w:pPr>
              <w:pStyle w:val="18"/>
              <w:rPr>
                <w:rStyle w:val="15"/>
                <w:sz w:val="21"/>
                <w:szCs w:val="21"/>
              </w:rPr>
            </w:pPr>
          </w:p>
          <w:p>
            <w:pPr>
              <w:pStyle w:val="18"/>
              <w:rPr>
                <w:rStyle w:val="15"/>
                <w:sz w:val="21"/>
                <w:szCs w:val="21"/>
              </w:rPr>
            </w:pPr>
          </w:p>
          <w:p>
            <w:pPr>
              <w:pStyle w:val="18"/>
              <w:spacing w:before="7"/>
              <w:rPr>
                <w:rStyle w:val="15"/>
                <w:sz w:val="21"/>
                <w:szCs w:val="21"/>
              </w:rPr>
            </w:pPr>
          </w:p>
          <w:p>
            <w:pPr>
              <w:pStyle w:val="18"/>
              <w:ind w:left="175" w:right="169"/>
              <w:jc w:val="center"/>
              <w:rPr>
                <w:rStyle w:val="15"/>
                <w:sz w:val="21"/>
                <w:szCs w:val="21"/>
              </w:rPr>
            </w:pPr>
            <w:r>
              <w:rPr>
                <w:rStyle w:val="15"/>
                <w:sz w:val="21"/>
                <w:szCs w:val="21"/>
              </w:rPr>
              <w:t>包装、密封</w:t>
            </w:r>
          </w:p>
        </w:tc>
        <w:tc>
          <w:tcPr>
            <w:tcW w:w="7797" w:type="dxa"/>
          </w:tcPr>
          <w:p>
            <w:pPr>
              <w:pStyle w:val="18"/>
              <w:spacing w:line="261" w:lineRule="auto"/>
              <w:ind w:right="97"/>
              <w:rPr>
                <w:rStyle w:val="15"/>
                <w:sz w:val="21"/>
                <w:szCs w:val="21"/>
              </w:rPr>
            </w:pPr>
            <w:r>
              <w:rPr>
                <w:rStyle w:val="15"/>
                <w:sz w:val="21"/>
                <w:szCs w:val="21"/>
              </w:rPr>
              <w:t>投标人应将所有投标文件的资格审查部分、商务标部分、技术标部分、投标文件电子版部分分别密封在 4 个密封袋内，密封袋上清楚地标明“资格审查部分”或</w:t>
            </w:r>
          </w:p>
          <w:p>
            <w:pPr>
              <w:pStyle w:val="18"/>
              <w:spacing w:before="11" w:line="261" w:lineRule="auto"/>
              <w:ind w:left="108" w:right="97"/>
              <w:rPr>
                <w:rStyle w:val="15"/>
                <w:sz w:val="21"/>
                <w:szCs w:val="21"/>
              </w:rPr>
            </w:pPr>
            <w:r>
              <w:rPr>
                <w:rStyle w:val="15"/>
                <w:sz w:val="21"/>
                <w:szCs w:val="21"/>
              </w:rPr>
              <w:t>“商务标部分”或“技术标部分”或“投标文件电子版”。其余内容按 4.1.2 款进行标注。</w:t>
            </w:r>
          </w:p>
          <w:p>
            <w:pPr>
              <w:pStyle w:val="18"/>
              <w:spacing w:before="10" w:line="300" w:lineRule="exact"/>
              <w:ind w:right="97"/>
              <w:rPr>
                <w:rStyle w:val="15"/>
                <w:sz w:val="21"/>
                <w:szCs w:val="21"/>
              </w:rPr>
            </w:pPr>
            <w:r>
              <w:rPr>
                <w:rStyle w:val="15"/>
                <w:sz w:val="21"/>
                <w:szCs w:val="21"/>
              </w:rPr>
              <w:t>提交投标文件时应为 4 个密封袋。投标文件密封袋的封口处应加贴封条并加盖投标人法人单位公章以示密封。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897" w:type="dxa"/>
          </w:tcPr>
          <w:p>
            <w:pPr>
              <w:pStyle w:val="18"/>
              <w:rPr>
                <w:rFonts w:ascii="Times New Roman"/>
                <w:sz w:val="20"/>
              </w:rPr>
            </w:pPr>
          </w:p>
          <w:p>
            <w:pPr>
              <w:pStyle w:val="18"/>
              <w:rPr>
                <w:rFonts w:ascii="Times New Roman"/>
                <w:sz w:val="20"/>
              </w:rPr>
            </w:pPr>
          </w:p>
          <w:p>
            <w:pPr>
              <w:pStyle w:val="18"/>
              <w:spacing w:before="8"/>
              <w:rPr>
                <w:rFonts w:ascii="Times New Roman"/>
                <w:sz w:val="24"/>
              </w:rPr>
            </w:pPr>
          </w:p>
          <w:p>
            <w:pPr>
              <w:pStyle w:val="18"/>
              <w:spacing w:before="1"/>
              <w:ind w:left="6"/>
              <w:jc w:val="center"/>
              <w:rPr>
                <w:sz w:val="21"/>
              </w:rPr>
            </w:pPr>
            <w:r>
              <w:rPr>
                <w:sz w:val="21"/>
              </w:rPr>
              <w:t>4.1.2</w:t>
            </w:r>
          </w:p>
        </w:tc>
        <w:tc>
          <w:tcPr>
            <w:tcW w:w="1620" w:type="dxa"/>
          </w:tcPr>
          <w:p>
            <w:pPr>
              <w:pStyle w:val="18"/>
              <w:rPr>
                <w:rStyle w:val="15"/>
                <w:sz w:val="21"/>
                <w:szCs w:val="21"/>
              </w:rPr>
            </w:pPr>
          </w:p>
          <w:p>
            <w:pPr>
              <w:pStyle w:val="18"/>
              <w:rPr>
                <w:rStyle w:val="15"/>
                <w:sz w:val="21"/>
                <w:szCs w:val="21"/>
              </w:rPr>
            </w:pPr>
          </w:p>
          <w:p>
            <w:pPr>
              <w:pStyle w:val="18"/>
              <w:spacing w:before="8"/>
              <w:rPr>
                <w:rStyle w:val="15"/>
                <w:sz w:val="21"/>
                <w:szCs w:val="21"/>
              </w:rPr>
            </w:pPr>
          </w:p>
          <w:p>
            <w:pPr>
              <w:pStyle w:val="18"/>
              <w:spacing w:before="1"/>
              <w:ind w:left="175" w:right="169"/>
              <w:jc w:val="center"/>
              <w:rPr>
                <w:rStyle w:val="15"/>
                <w:sz w:val="21"/>
                <w:szCs w:val="21"/>
              </w:rPr>
            </w:pPr>
            <w:r>
              <w:rPr>
                <w:rStyle w:val="15"/>
                <w:sz w:val="21"/>
                <w:szCs w:val="21"/>
              </w:rPr>
              <w:t>封套上写明</w:t>
            </w:r>
          </w:p>
        </w:tc>
        <w:tc>
          <w:tcPr>
            <w:tcW w:w="7797" w:type="dxa"/>
          </w:tcPr>
          <w:p>
            <w:pPr>
              <w:pStyle w:val="18"/>
              <w:tabs>
                <w:tab w:val="left" w:pos="3834"/>
              </w:tabs>
              <w:spacing w:line="261" w:lineRule="auto"/>
              <w:ind w:left="108" w:right="3950"/>
              <w:jc w:val="both"/>
              <w:rPr>
                <w:rStyle w:val="15"/>
                <w:sz w:val="21"/>
                <w:szCs w:val="21"/>
              </w:rPr>
            </w:pPr>
            <w:r>
              <w:rPr>
                <w:rStyle w:val="15"/>
                <w:sz w:val="21"/>
                <w:szCs w:val="21"/>
              </w:rPr>
              <w:t>招标人名称：</w:t>
            </w:r>
            <w:r>
              <w:rPr>
                <w:rStyle w:val="15"/>
                <w:rFonts w:hint="eastAsia"/>
                <w:sz w:val="21"/>
                <w:szCs w:val="21"/>
                <w:u w:val="single"/>
                <w:lang w:val="en-US" w:eastAsia="zh-CN"/>
              </w:rPr>
              <w:t xml:space="preserve">                </w:t>
            </w:r>
            <w:r>
              <w:rPr>
                <w:rStyle w:val="15"/>
                <w:sz w:val="21"/>
                <w:szCs w:val="21"/>
              </w:rPr>
              <w:tab/>
            </w:r>
            <w:r>
              <w:rPr>
                <w:rStyle w:val="15"/>
                <w:sz w:val="21"/>
                <w:szCs w:val="21"/>
              </w:rPr>
              <w:t xml:space="preserve">                       招标人地址：</w:t>
            </w:r>
            <w:r>
              <w:rPr>
                <w:rStyle w:val="15"/>
                <w:rFonts w:hint="eastAsia"/>
                <w:sz w:val="21"/>
                <w:szCs w:val="21"/>
                <w:u w:val="single"/>
                <w:lang w:val="en-US" w:eastAsia="zh-CN"/>
              </w:rPr>
              <w:t xml:space="preserve">               </w:t>
            </w:r>
            <w:r>
              <w:rPr>
                <w:rStyle w:val="15"/>
                <w:sz w:val="21"/>
                <w:szCs w:val="21"/>
              </w:rPr>
              <w:tab/>
            </w:r>
            <w:r>
              <w:rPr>
                <w:rStyle w:val="15"/>
                <w:sz w:val="21"/>
                <w:szCs w:val="21"/>
              </w:rPr>
              <w:t xml:space="preserve">                       投标人名称：</w:t>
            </w:r>
            <w:r>
              <w:rPr>
                <w:rStyle w:val="15"/>
                <w:rFonts w:hint="eastAsia"/>
                <w:sz w:val="21"/>
                <w:szCs w:val="21"/>
                <w:u w:val="single"/>
                <w:lang w:val="en-US" w:eastAsia="zh-CN"/>
              </w:rPr>
              <w:t xml:space="preserve">               </w:t>
            </w:r>
            <w:r>
              <w:rPr>
                <w:rStyle w:val="15"/>
                <w:sz w:val="21"/>
                <w:szCs w:val="21"/>
              </w:rPr>
              <w:tab/>
            </w:r>
            <w:r>
              <w:rPr>
                <w:rStyle w:val="15"/>
                <w:sz w:val="21"/>
                <w:szCs w:val="21"/>
              </w:rPr>
              <w:t xml:space="preserve">                       投标人地址：</w:t>
            </w:r>
            <w:r>
              <w:rPr>
                <w:rStyle w:val="15"/>
                <w:rFonts w:hint="eastAsia"/>
                <w:sz w:val="21"/>
                <w:szCs w:val="21"/>
                <w:u w:val="single"/>
                <w:lang w:val="en-US" w:eastAsia="zh-CN"/>
              </w:rPr>
              <w:t xml:space="preserve">             </w:t>
            </w:r>
            <w:r>
              <w:rPr>
                <w:rStyle w:val="15"/>
                <w:sz w:val="21"/>
                <w:szCs w:val="21"/>
              </w:rPr>
              <w:tab/>
            </w:r>
          </w:p>
          <w:p>
            <w:pPr>
              <w:pStyle w:val="18"/>
              <w:tabs>
                <w:tab w:val="left" w:pos="4106"/>
                <w:tab w:val="left" w:pos="4740"/>
                <w:tab w:val="left" w:pos="5371"/>
                <w:tab w:val="left" w:pos="6002"/>
                <w:tab w:val="left" w:pos="6636"/>
              </w:tabs>
              <w:spacing w:before="18" w:line="300" w:lineRule="exact"/>
              <w:ind w:left="108" w:right="97"/>
              <w:rPr>
                <w:rStyle w:val="15"/>
                <w:sz w:val="21"/>
                <w:szCs w:val="21"/>
              </w:rPr>
            </w:pPr>
            <w:r>
              <w:rPr>
                <w:rStyle w:val="15"/>
                <w:sz w:val="21"/>
                <w:szCs w:val="21"/>
              </w:rPr>
              <w:t>（项目名称、项目编号）投标文件在“</w:t>
            </w:r>
            <w:r>
              <w:rPr>
                <w:rStyle w:val="15"/>
                <w:rFonts w:hint="eastAsia"/>
                <w:sz w:val="21"/>
                <w:szCs w:val="21"/>
                <w:lang w:val="en-US" w:eastAsia="zh-CN"/>
              </w:rPr>
              <w:t>2020</w:t>
            </w:r>
            <w:r>
              <w:rPr>
                <w:rStyle w:val="15"/>
                <w:sz w:val="21"/>
                <w:szCs w:val="21"/>
              </w:rPr>
              <w:t>年</w:t>
            </w:r>
            <w:r>
              <w:rPr>
                <w:rStyle w:val="15"/>
                <w:rFonts w:hint="eastAsia"/>
                <w:sz w:val="21"/>
                <w:szCs w:val="21"/>
                <w:lang w:val="en-US" w:eastAsia="zh-CN"/>
              </w:rPr>
              <w:t>7</w:t>
            </w:r>
            <w:r>
              <w:rPr>
                <w:rStyle w:val="15"/>
                <w:sz w:val="21"/>
                <w:szCs w:val="21"/>
              </w:rPr>
              <w:t>月</w:t>
            </w:r>
            <w:r>
              <w:rPr>
                <w:rStyle w:val="15"/>
                <w:rFonts w:hint="eastAsia"/>
                <w:sz w:val="21"/>
                <w:szCs w:val="21"/>
                <w:lang w:val="en-US" w:eastAsia="zh-CN"/>
              </w:rPr>
              <w:t>7</w:t>
            </w:r>
            <w:r>
              <w:rPr>
                <w:rStyle w:val="15"/>
                <w:sz w:val="21"/>
                <w:szCs w:val="21"/>
              </w:rPr>
              <w:t xml:space="preserve">日 </w:t>
            </w:r>
            <w:r>
              <w:rPr>
                <w:rStyle w:val="15"/>
                <w:rFonts w:hint="eastAsia"/>
                <w:sz w:val="21"/>
                <w:szCs w:val="21"/>
                <w:lang w:val="en-US" w:eastAsia="zh-CN"/>
              </w:rPr>
              <w:t>15</w:t>
            </w:r>
            <w:r>
              <w:rPr>
                <w:rStyle w:val="15"/>
                <w:sz w:val="21"/>
                <w:szCs w:val="21"/>
              </w:rPr>
              <w:t xml:space="preserve">时 </w:t>
            </w:r>
            <w:r>
              <w:rPr>
                <w:rStyle w:val="15"/>
                <w:rFonts w:hint="eastAsia"/>
                <w:sz w:val="21"/>
                <w:szCs w:val="21"/>
                <w:lang w:val="en-US" w:eastAsia="zh-CN"/>
              </w:rPr>
              <w:t>30</w:t>
            </w:r>
            <w:r>
              <w:rPr>
                <w:rStyle w:val="15"/>
                <w:sz w:val="21"/>
                <w:szCs w:val="21"/>
              </w:rPr>
              <w:t>分”（投标 截止时间）前不得开启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897" w:type="dxa"/>
          </w:tcPr>
          <w:p>
            <w:pPr>
              <w:pStyle w:val="18"/>
              <w:spacing w:before="145"/>
              <w:ind w:left="6"/>
              <w:jc w:val="center"/>
              <w:rPr>
                <w:sz w:val="21"/>
              </w:rPr>
            </w:pPr>
            <w:r>
              <w:rPr>
                <w:sz w:val="21"/>
              </w:rPr>
              <w:t>4.2.2</w:t>
            </w:r>
          </w:p>
        </w:tc>
        <w:tc>
          <w:tcPr>
            <w:tcW w:w="1620" w:type="dxa"/>
          </w:tcPr>
          <w:p>
            <w:pPr>
              <w:pStyle w:val="18"/>
              <w:spacing w:line="269" w:lineRule="exact"/>
              <w:ind w:left="177" w:right="169"/>
              <w:jc w:val="center"/>
              <w:rPr>
                <w:rStyle w:val="15"/>
                <w:sz w:val="21"/>
                <w:szCs w:val="21"/>
              </w:rPr>
            </w:pPr>
            <w:r>
              <w:rPr>
                <w:rStyle w:val="15"/>
                <w:sz w:val="21"/>
                <w:szCs w:val="21"/>
              </w:rPr>
              <w:t>递交投标文件</w:t>
            </w:r>
          </w:p>
          <w:p>
            <w:pPr>
              <w:pStyle w:val="18"/>
              <w:spacing w:before="25"/>
              <w:ind w:left="177" w:right="169"/>
              <w:jc w:val="center"/>
              <w:rPr>
                <w:rStyle w:val="15"/>
                <w:sz w:val="21"/>
                <w:szCs w:val="21"/>
              </w:rPr>
            </w:pPr>
            <w:r>
              <w:rPr>
                <w:rStyle w:val="15"/>
                <w:sz w:val="21"/>
                <w:szCs w:val="21"/>
              </w:rPr>
              <w:t>地点</w:t>
            </w:r>
          </w:p>
        </w:tc>
        <w:tc>
          <w:tcPr>
            <w:tcW w:w="7797" w:type="dxa"/>
          </w:tcPr>
          <w:p>
            <w:pPr>
              <w:pStyle w:val="18"/>
              <w:spacing w:line="269" w:lineRule="exact"/>
              <w:ind w:left="108"/>
              <w:rPr>
                <w:rStyle w:val="15"/>
                <w:sz w:val="21"/>
                <w:szCs w:val="21"/>
              </w:rPr>
            </w:pPr>
            <w:r>
              <w:rPr>
                <w:rStyle w:val="15"/>
                <w:sz w:val="21"/>
                <w:szCs w:val="21"/>
              </w:rPr>
              <w:t>贺州市公共资源交易中心交易大厅，具体号数以开标日当天贺州市公共资源交易中</w:t>
            </w:r>
          </w:p>
          <w:p>
            <w:pPr>
              <w:pStyle w:val="18"/>
              <w:spacing w:before="25"/>
              <w:ind w:left="108"/>
              <w:rPr>
                <w:rStyle w:val="15"/>
                <w:sz w:val="21"/>
                <w:szCs w:val="21"/>
              </w:rPr>
            </w:pPr>
            <w:r>
              <w:rPr>
                <w:rStyle w:val="15"/>
                <w:sz w:val="21"/>
                <w:szCs w:val="21"/>
              </w:rPr>
              <w:t>心电子显示屏公布大厅号数为准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tcPr>
          <w:p>
            <w:pPr>
              <w:pStyle w:val="18"/>
              <w:spacing w:before="145"/>
              <w:ind w:left="6"/>
              <w:jc w:val="center"/>
              <w:rPr>
                <w:sz w:val="21"/>
              </w:rPr>
            </w:pPr>
            <w:r>
              <w:rPr>
                <w:sz w:val="21"/>
              </w:rPr>
              <w:t>4.2.3</w:t>
            </w:r>
          </w:p>
        </w:tc>
        <w:tc>
          <w:tcPr>
            <w:tcW w:w="1620" w:type="dxa"/>
          </w:tcPr>
          <w:p>
            <w:pPr>
              <w:pStyle w:val="18"/>
              <w:spacing w:line="269" w:lineRule="exact"/>
              <w:ind w:left="389"/>
              <w:rPr>
                <w:rStyle w:val="15"/>
                <w:sz w:val="21"/>
                <w:szCs w:val="21"/>
              </w:rPr>
            </w:pPr>
            <w:r>
              <w:rPr>
                <w:rStyle w:val="15"/>
                <w:sz w:val="21"/>
                <w:szCs w:val="21"/>
              </w:rPr>
              <w:t>是否退还</w:t>
            </w:r>
          </w:p>
          <w:p>
            <w:pPr>
              <w:pStyle w:val="18"/>
              <w:spacing w:before="25"/>
              <w:ind w:left="389"/>
              <w:rPr>
                <w:rStyle w:val="15"/>
                <w:sz w:val="21"/>
                <w:szCs w:val="21"/>
              </w:rPr>
            </w:pPr>
            <w:r>
              <w:rPr>
                <w:rStyle w:val="15"/>
                <w:sz w:val="21"/>
                <w:szCs w:val="21"/>
              </w:rPr>
              <w:t>投标文件</w:t>
            </w:r>
          </w:p>
        </w:tc>
        <w:tc>
          <w:tcPr>
            <w:tcW w:w="7797" w:type="dxa"/>
          </w:tcPr>
          <w:p>
            <w:pPr>
              <w:pStyle w:val="18"/>
              <w:spacing w:before="145"/>
              <w:ind w:left="108"/>
              <w:rPr>
                <w:rStyle w:val="15"/>
                <w:sz w:val="21"/>
                <w:szCs w:val="21"/>
              </w:rPr>
            </w:pPr>
            <w:r>
              <w:rPr>
                <w:rStyle w:val="15"/>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97" w:type="dxa"/>
          </w:tcPr>
          <w:p>
            <w:pPr>
              <w:pStyle w:val="18"/>
              <w:spacing w:before="144"/>
              <w:ind w:left="9"/>
              <w:jc w:val="center"/>
              <w:rPr>
                <w:sz w:val="21"/>
              </w:rPr>
            </w:pPr>
            <w:r>
              <w:rPr>
                <w:sz w:val="21"/>
              </w:rPr>
              <w:t>5.1</w:t>
            </w:r>
          </w:p>
        </w:tc>
        <w:tc>
          <w:tcPr>
            <w:tcW w:w="1620" w:type="dxa"/>
          </w:tcPr>
          <w:p>
            <w:pPr>
              <w:pStyle w:val="18"/>
              <w:spacing w:before="1" w:line="300" w:lineRule="exact"/>
              <w:ind w:left="600" w:right="275" w:hanging="317"/>
              <w:rPr>
                <w:rStyle w:val="15"/>
                <w:sz w:val="21"/>
                <w:szCs w:val="21"/>
              </w:rPr>
            </w:pPr>
            <w:r>
              <w:rPr>
                <w:rStyle w:val="15"/>
                <w:sz w:val="21"/>
                <w:szCs w:val="21"/>
              </w:rPr>
              <w:t>开标时间和地点</w:t>
            </w:r>
          </w:p>
        </w:tc>
        <w:tc>
          <w:tcPr>
            <w:tcW w:w="7797" w:type="dxa"/>
          </w:tcPr>
          <w:p>
            <w:pPr>
              <w:pStyle w:val="18"/>
              <w:tabs>
                <w:tab w:val="left" w:pos="3938"/>
                <w:tab w:val="left" w:pos="4358"/>
                <w:tab w:val="left" w:pos="4778"/>
                <w:tab w:val="left" w:pos="5198"/>
              </w:tabs>
              <w:spacing w:before="1" w:line="300" w:lineRule="exact"/>
              <w:ind w:left="108" w:right="2377"/>
              <w:rPr>
                <w:rStyle w:val="15"/>
                <w:sz w:val="21"/>
                <w:szCs w:val="21"/>
              </w:rPr>
            </w:pPr>
            <w:r>
              <w:rPr>
                <w:rStyle w:val="15"/>
                <w:sz w:val="21"/>
                <w:szCs w:val="21"/>
              </w:rPr>
              <w:t>开标时间（同投标截止时间）：20</w:t>
            </w:r>
            <w:r>
              <w:rPr>
                <w:rStyle w:val="15"/>
                <w:rFonts w:hint="eastAsia"/>
                <w:sz w:val="21"/>
                <w:szCs w:val="21"/>
                <w:lang w:val="en-US" w:eastAsia="zh-CN"/>
              </w:rPr>
              <w:t>20</w:t>
            </w:r>
            <w:r>
              <w:rPr>
                <w:rStyle w:val="15"/>
                <w:sz w:val="21"/>
                <w:szCs w:val="21"/>
              </w:rPr>
              <w:t xml:space="preserve"> 年</w:t>
            </w:r>
            <w:r>
              <w:rPr>
                <w:rStyle w:val="15"/>
                <w:rFonts w:hint="eastAsia"/>
                <w:sz w:val="21"/>
                <w:szCs w:val="21"/>
                <w:lang w:val="en-US" w:eastAsia="zh-CN"/>
              </w:rPr>
              <w:t>7</w:t>
            </w:r>
            <w:r>
              <w:rPr>
                <w:rStyle w:val="15"/>
                <w:sz w:val="21"/>
                <w:szCs w:val="21"/>
              </w:rPr>
              <w:t>月</w:t>
            </w:r>
            <w:r>
              <w:rPr>
                <w:rStyle w:val="15"/>
                <w:rFonts w:hint="eastAsia"/>
                <w:sz w:val="21"/>
                <w:szCs w:val="21"/>
                <w:lang w:val="en-US" w:eastAsia="zh-CN"/>
              </w:rPr>
              <w:t>7</w:t>
            </w:r>
            <w:r>
              <w:rPr>
                <w:rStyle w:val="15"/>
                <w:sz w:val="21"/>
                <w:szCs w:val="21"/>
              </w:rPr>
              <w:t>日</w:t>
            </w:r>
            <w:r>
              <w:rPr>
                <w:rStyle w:val="15"/>
                <w:rFonts w:hint="eastAsia"/>
                <w:sz w:val="21"/>
                <w:szCs w:val="21"/>
                <w:lang w:val="en-US" w:eastAsia="zh-CN"/>
              </w:rPr>
              <w:t>15</w:t>
            </w:r>
            <w:r>
              <w:rPr>
                <w:rStyle w:val="15"/>
                <w:sz w:val="21"/>
                <w:szCs w:val="21"/>
              </w:rPr>
              <w:t>时</w:t>
            </w:r>
            <w:r>
              <w:rPr>
                <w:rStyle w:val="15"/>
                <w:rFonts w:hint="eastAsia"/>
                <w:sz w:val="21"/>
                <w:szCs w:val="21"/>
                <w:lang w:val="en-US" w:eastAsia="zh-CN"/>
              </w:rPr>
              <w:t>30</w:t>
            </w:r>
            <w:r>
              <w:rPr>
                <w:rStyle w:val="15"/>
                <w:sz w:val="21"/>
                <w:szCs w:val="21"/>
              </w:rPr>
              <w:t>分</w:t>
            </w:r>
            <w:bookmarkStart w:id="302" w:name="_GoBack"/>
            <w:bookmarkEnd w:id="302"/>
            <w:r>
              <w:rPr>
                <w:rStyle w:val="15"/>
                <w:sz w:val="21"/>
                <w:szCs w:val="21"/>
              </w:rPr>
              <w:t>开标地点：贺州市公共资源交易中心交易大厅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97" w:type="dxa"/>
          </w:tcPr>
          <w:p>
            <w:pPr>
              <w:pStyle w:val="18"/>
              <w:spacing w:before="143"/>
              <w:ind w:left="9"/>
              <w:jc w:val="center"/>
              <w:rPr>
                <w:sz w:val="21"/>
              </w:rPr>
            </w:pPr>
            <w:r>
              <w:rPr>
                <w:sz w:val="21"/>
              </w:rPr>
              <w:t>5.2</w:t>
            </w:r>
          </w:p>
        </w:tc>
        <w:tc>
          <w:tcPr>
            <w:tcW w:w="1620" w:type="dxa"/>
          </w:tcPr>
          <w:p>
            <w:pPr>
              <w:pStyle w:val="18"/>
              <w:spacing w:before="143"/>
              <w:ind w:left="175" w:right="169"/>
              <w:jc w:val="center"/>
              <w:rPr>
                <w:rStyle w:val="15"/>
                <w:sz w:val="21"/>
                <w:szCs w:val="21"/>
              </w:rPr>
            </w:pPr>
            <w:r>
              <w:rPr>
                <w:rStyle w:val="15"/>
                <w:sz w:val="21"/>
                <w:szCs w:val="21"/>
              </w:rPr>
              <w:t>开标程序</w:t>
            </w:r>
          </w:p>
        </w:tc>
        <w:tc>
          <w:tcPr>
            <w:tcW w:w="7797" w:type="dxa"/>
          </w:tcPr>
          <w:p>
            <w:pPr>
              <w:pStyle w:val="18"/>
              <w:spacing w:line="269" w:lineRule="exact"/>
              <w:ind w:left="108"/>
              <w:rPr>
                <w:rStyle w:val="15"/>
                <w:sz w:val="21"/>
                <w:szCs w:val="21"/>
              </w:rPr>
            </w:pPr>
            <w:r>
              <w:rPr>
                <w:rStyle w:val="15"/>
                <w:sz w:val="21"/>
                <w:szCs w:val="21"/>
              </w:rPr>
              <w:t>采用方式一：技术标明标开标程序</w:t>
            </w:r>
          </w:p>
          <w:p>
            <w:pPr>
              <w:pStyle w:val="18"/>
              <w:spacing w:before="25"/>
              <w:ind w:left="108"/>
              <w:rPr>
                <w:rStyle w:val="15"/>
                <w:sz w:val="21"/>
                <w:szCs w:val="21"/>
              </w:rPr>
            </w:pPr>
            <w:r>
              <w:rPr>
                <w:rStyle w:val="15"/>
                <w:sz w:val="21"/>
                <w:szCs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7" w:hRule="atLeast"/>
        </w:trPr>
        <w:tc>
          <w:tcPr>
            <w:tcW w:w="897" w:type="dxa"/>
          </w:tcPr>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spacing w:before="1"/>
              <w:rPr>
                <w:rFonts w:ascii="Times New Roman"/>
                <w:sz w:val="16"/>
              </w:rPr>
            </w:pPr>
          </w:p>
          <w:p>
            <w:pPr>
              <w:pStyle w:val="18"/>
              <w:ind w:left="9"/>
              <w:jc w:val="center"/>
              <w:rPr>
                <w:sz w:val="21"/>
              </w:rPr>
            </w:pPr>
            <w:r>
              <w:rPr>
                <w:sz w:val="21"/>
              </w:rPr>
              <w:t>6.1.1</w:t>
            </w:r>
          </w:p>
        </w:tc>
        <w:tc>
          <w:tcPr>
            <w:tcW w:w="1620" w:type="dxa"/>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11"/>
              <w:rPr>
                <w:rStyle w:val="15"/>
                <w:sz w:val="21"/>
                <w:szCs w:val="21"/>
              </w:rPr>
            </w:pPr>
          </w:p>
          <w:p>
            <w:pPr>
              <w:pStyle w:val="18"/>
              <w:spacing w:line="261" w:lineRule="auto"/>
              <w:ind w:left="600" w:right="169" w:hanging="420"/>
              <w:rPr>
                <w:rStyle w:val="15"/>
                <w:sz w:val="21"/>
                <w:szCs w:val="21"/>
              </w:rPr>
            </w:pPr>
            <w:r>
              <w:rPr>
                <w:rStyle w:val="15"/>
                <w:sz w:val="21"/>
                <w:szCs w:val="21"/>
              </w:rPr>
              <w:t>评标委员会的组建</w:t>
            </w:r>
          </w:p>
        </w:tc>
        <w:tc>
          <w:tcPr>
            <w:tcW w:w="7797" w:type="dxa"/>
          </w:tcPr>
          <w:p>
            <w:pPr>
              <w:pStyle w:val="18"/>
              <w:spacing w:line="261" w:lineRule="auto"/>
              <w:ind w:right="87" w:rightChars="0"/>
              <w:rPr>
                <w:rStyle w:val="15"/>
                <w:sz w:val="21"/>
                <w:szCs w:val="21"/>
              </w:rPr>
            </w:pPr>
          </w:p>
          <w:p>
            <w:pPr>
              <w:pStyle w:val="18"/>
              <w:spacing w:line="261" w:lineRule="auto"/>
              <w:ind w:right="87" w:rightChars="0"/>
              <w:rPr>
                <w:rStyle w:val="15"/>
                <w:sz w:val="21"/>
                <w:szCs w:val="21"/>
              </w:rPr>
            </w:pPr>
            <w:r>
              <w:rPr>
                <w:rStyle w:val="15"/>
                <w:sz w:val="21"/>
                <w:szCs w:val="21"/>
              </w:rPr>
              <w:t>评标委员会构成：5 人，其中招标人代表 1 人，专家 4 人。招标人派出评委参加评标的，须符合以下条件之一：</w:t>
            </w:r>
          </w:p>
          <w:p>
            <w:pPr>
              <w:pStyle w:val="18"/>
              <w:spacing w:before="11" w:line="261" w:lineRule="auto"/>
              <w:ind w:left="108" w:right="-15" w:firstLine="420"/>
              <w:rPr>
                <w:rStyle w:val="15"/>
                <w:sz w:val="21"/>
                <w:szCs w:val="21"/>
              </w:rPr>
            </w:pPr>
            <w:r>
              <w:rPr>
                <w:rStyle w:val="15"/>
                <w:sz w:val="21"/>
                <w:szCs w:val="21"/>
              </w:rPr>
              <w:t>（1）必须是本单位具备工程或经济类中级及以上职称、同时具备与评标工程技术要求相当条件和能力水平的人员出任；职称证上的工作单位与招标人名称不符的，须附招标人为其缴纳的近 3 个月的社会保险证明原件或者工作编制证明文件复印件加盖单位公章；</w:t>
            </w:r>
          </w:p>
          <w:p>
            <w:pPr>
              <w:pStyle w:val="18"/>
              <w:spacing w:before="6" w:line="261" w:lineRule="auto"/>
              <w:ind w:left="108" w:right="96" w:firstLine="420"/>
              <w:jc w:val="both"/>
              <w:rPr>
                <w:rStyle w:val="15"/>
                <w:sz w:val="21"/>
                <w:szCs w:val="21"/>
              </w:rPr>
            </w:pPr>
            <w:r>
              <w:rPr>
                <w:rStyle w:val="15"/>
                <w:sz w:val="21"/>
                <w:szCs w:val="21"/>
              </w:rPr>
              <w:t>（2）本单位无符合上述条件的人员时，可以委托持《广西壮族自治区建设工程  招标投标评标专家资格证书》的人员出任；持证人员已退休的，应附退休证明文件复印件加盖单位公章，持证人员在职的，应附现任职单位为其缴纳的近 3 个月的社会保险证明原件或者工作编制证明文件复印件加盖单位公章.</w:t>
            </w:r>
          </w:p>
          <w:p>
            <w:pPr>
              <w:pStyle w:val="18"/>
              <w:spacing w:before="11" w:line="300" w:lineRule="exact"/>
              <w:ind w:left="108" w:right="82" w:firstLine="420"/>
              <w:rPr>
                <w:rStyle w:val="15"/>
                <w:sz w:val="21"/>
                <w:szCs w:val="21"/>
              </w:rPr>
            </w:pPr>
            <w:r>
              <w:rPr>
                <w:rStyle w:val="15"/>
                <w:sz w:val="21"/>
                <w:szCs w:val="21"/>
              </w:rPr>
              <w:t>评标委员会分工：分技术（</w:t>
            </w:r>
            <w:r>
              <w:rPr>
                <w:rStyle w:val="15"/>
                <w:rFonts w:hint="eastAsia"/>
                <w:sz w:val="21"/>
                <w:szCs w:val="21"/>
                <w:lang w:val="en-US" w:eastAsia="zh-CN"/>
              </w:rPr>
              <w:t>3</w:t>
            </w:r>
            <w:r>
              <w:rPr>
                <w:rStyle w:val="15"/>
                <w:sz w:val="21"/>
                <w:szCs w:val="21"/>
              </w:rPr>
              <w:t xml:space="preserve"> 人）、经济类（</w:t>
            </w:r>
            <w:r>
              <w:rPr>
                <w:rStyle w:val="15"/>
                <w:rFonts w:hint="eastAsia"/>
                <w:sz w:val="21"/>
                <w:szCs w:val="21"/>
                <w:lang w:val="en-US" w:eastAsia="zh-CN"/>
              </w:rPr>
              <w:t>2</w:t>
            </w:r>
            <w:r>
              <w:rPr>
                <w:rStyle w:val="15"/>
                <w:sz w:val="21"/>
                <w:szCs w:val="21"/>
              </w:rPr>
              <w:t xml:space="preserve"> 人）。其中，招标人代表参加技术类 1 人、经济类 0 人。</w:t>
            </w:r>
          </w:p>
          <w:p>
            <w:pPr>
              <w:pStyle w:val="18"/>
              <w:spacing w:before="11" w:line="300" w:lineRule="exact"/>
              <w:ind w:left="108" w:right="82" w:firstLine="420"/>
              <w:rPr>
                <w:rStyle w:val="15"/>
                <w:sz w:val="21"/>
                <w:szCs w:val="21"/>
              </w:rPr>
            </w:pPr>
            <w:r>
              <w:rPr>
                <w:rStyle w:val="15"/>
                <w:sz w:val="21"/>
                <w:szCs w:val="21"/>
              </w:rPr>
              <w:t>评标专家确定方式：开标前在“政采云”平台评标专家库随机抽取确定。</w:t>
            </w:r>
          </w:p>
        </w:tc>
      </w:tr>
    </w:tbl>
    <w:p>
      <w:pPr>
        <w:spacing w:after="0" w:line="300" w:lineRule="exact"/>
        <w:rPr>
          <w:sz w:val="21"/>
        </w:rPr>
        <w:sectPr>
          <w:pgSz w:w="11910" w:h="16840"/>
          <w:pgMar w:top="1000" w:right="500" w:bottom="780" w:left="860" w:header="808" w:footer="595" w:gutter="0"/>
          <w:pgNumType w:fmt="decimal"/>
        </w:sectPr>
      </w:pPr>
    </w:p>
    <w:p>
      <w:pPr>
        <w:pStyle w:val="3"/>
        <w:rPr>
          <w:rFonts w:ascii="Times New Roman"/>
          <w:sz w:val="20"/>
        </w:rPr>
      </w:pPr>
    </w:p>
    <w:p>
      <w:pPr>
        <w:pStyle w:val="3"/>
        <w:spacing w:before="6"/>
        <w:rPr>
          <w:rFonts w:ascii="Times New Roman"/>
          <w:sz w:val="17"/>
        </w:rPr>
      </w:pPr>
    </w:p>
    <w:tbl>
      <w:tblPr>
        <w:tblStyle w:val="14"/>
        <w:tblW w:w="1031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310"/>
        <w:gridCol w:w="1310"/>
        <w:gridCol w:w="143"/>
        <w:gridCol w:w="232"/>
        <w:gridCol w:w="2550"/>
        <w:gridCol w:w="4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shd w:val="clear" w:color="auto" w:fill="E6E6E6"/>
          </w:tcPr>
          <w:p>
            <w:pPr>
              <w:pStyle w:val="18"/>
              <w:spacing w:before="14"/>
              <w:ind w:left="7"/>
              <w:jc w:val="center"/>
              <w:rPr>
                <w:rStyle w:val="15"/>
                <w:b/>
                <w:bCs/>
                <w:sz w:val="21"/>
                <w:szCs w:val="21"/>
              </w:rPr>
            </w:pPr>
            <w:r>
              <w:rPr>
                <w:rStyle w:val="15"/>
                <w:b/>
                <w:bCs/>
                <w:sz w:val="21"/>
                <w:szCs w:val="21"/>
              </w:rPr>
              <w:t>条款号</w:t>
            </w:r>
          </w:p>
        </w:tc>
        <w:tc>
          <w:tcPr>
            <w:tcW w:w="1620" w:type="dxa"/>
            <w:gridSpan w:val="2"/>
            <w:shd w:val="clear" w:color="auto" w:fill="E6E6E6"/>
          </w:tcPr>
          <w:p>
            <w:pPr>
              <w:pStyle w:val="18"/>
              <w:spacing w:before="14"/>
              <w:ind w:left="389"/>
              <w:rPr>
                <w:rStyle w:val="15"/>
                <w:b/>
                <w:bCs/>
                <w:sz w:val="21"/>
                <w:szCs w:val="21"/>
              </w:rPr>
            </w:pPr>
            <w:r>
              <w:rPr>
                <w:rStyle w:val="15"/>
                <w:b/>
                <w:bCs/>
                <w:sz w:val="21"/>
                <w:szCs w:val="21"/>
              </w:rPr>
              <w:t>条款名称</w:t>
            </w:r>
          </w:p>
        </w:tc>
        <w:tc>
          <w:tcPr>
            <w:tcW w:w="7797" w:type="dxa"/>
            <w:gridSpan w:val="4"/>
            <w:shd w:val="clear" w:color="auto" w:fill="E6E6E6"/>
          </w:tcPr>
          <w:p>
            <w:pPr>
              <w:pStyle w:val="18"/>
              <w:spacing w:before="14"/>
              <w:ind w:left="61" w:right="50"/>
              <w:jc w:val="center"/>
              <w:rPr>
                <w:rStyle w:val="15"/>
                <w:b/>
                <w:bCs/>
                <w:sz w:val="21"/>
                <w:szCs w:val="21"/>
              </w:rPr>
            </w:pPr>
            <w:r>
              <w:rPr>
                <w:rStyle w:val="15"/>
                <w:b/>
                <w:bCs/>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97" w:type="dxa"/>
          </w:tcPr>
          <w:p>
            <w:pPr>
              <w:pStyle w:val="18"/>
              <w:spacing w:before="14"/>
              <w:ind w:left="9"/>
              <w:jc w:val="center"/>
              <w:rPr>
                <w:rStyle w:val="15"/>
                <w:sz w:val="21"/>
                <w:szCs w:val="21"/>
              </w:rPr>
            </w:pPr>
            <w:r>
              <w:rPr>
                <w:rStyle w:val="15"/>
                <w:sz w:val="21"/>
                <w:szCs w:val="21"/>
              </w:rPr>
              <w:t>6.3</w:t>
            </w:r>
          </w:p>
        </w:tc>
        <w:tc>
          <w:tcPr>
            <w:tcW w:w="1620" w:type="dxa"/>
            <w:gridSpan w:val="2"/>
          </w:tcPr>
          <w:p>
            <w:pPr>
              <w:pStyle w:val="18"/>
              <w:spacing w:before="14"/>
              <w:ind w:left="389"/>
              <w:rPr>
                <w:rStyle w:val="15"/>
                <w:sz w:val="21"/>
                <w:szCs w:val="21"/>
              </w:rPr>
            </w:pPr>
            <w:r>
              <w:rPr>
                <w:rStyle w:val="15"/>
                <w:sz w:val="21"/>
                <w:szCs w:val="21"/>
              </w:rPr>
              <w:t>评标方式</w:t>
            </w:r>
          </w:p>
        </w:tc>
        <w:tc>
          <w:tcPr>
            <w:tcW w:w="7797" w:type="dxa"/>
            <w:gridSpan w:val="4"/>
          </w:tcPr>
          <w:p>
            <w:pPr>
              <w:pStyle w:val="18"/>
              <w:spacing w:before="14"/>
              <w:ind w:left="108"/>
              <w:rPr>
                <w:rStyle w:val="15"/>
                <w:sz w:val="21"/>
                <w:szCs w:val="21"/>
              </w:rPr>
            </w:pPr>
            <w:r>
              <w:rPr>
                <w:rStyle w:val="15"/>
                <w:sz w:val="21"/>
                <w:szCs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7" w:type="dxa"/>
          </w:tcPr>
          <w:p>
            <w:pPr>
              <w:pStyle w:val="18"/>
              <w:spacing w:before="144"/>
              <w:ind w:left="9"/>
              <w:jc w:val="center"/>
              <w:rPr>
                <w:rStyle w:val="15"/>
                <w:sz w:val="21"/>
                <w:szCs w:val="21"/>
              </w:rPr>
            </w:pPr>
            <w:r>
              <w:rPr>
                <w:rStyle w:val="15"/>
                <w:sz w:val="21"/>
                <w:szCs w:val="21"/>
              </w:rPr>
              <w:t>6.5</w:t>
            </w:r>
          </w:p>
        </w:tc>
        <w:tc>
          <w:tcPr>
            <w:tcW w:w="1620" w:type="dxa"/>
            <w:gridSpan w:val="2"/>
          </w:tcPr>
          <w:p>
            <w:pPr>
              <w:pStyle w:val="18"/>
              <w:spacing w:before="1" w:line="300" w:lineRule="exact"/>
              <w:ind w:left="389" w:right="381"/>
              <w:rPr>
                <w:rStyle w:val="15"/>
                <w:sz w:val="21"/>
                <w:szCs w:val="21"/>
              </w:rPr>
            </w:pPr>
            <w:r>
              <w:rPr>
                <w:rStyle w:val="15"/>
                <w:sz w:val="21"/>
                <w:szCs w:val="21"/>
              </w:rPr>
              <w:t>评标资料封存方式</w:t>
            </w:r>
          </w:p>
        </w:tc>
        <w:tc>
          <w:tcPr>
            <w:tcW w:w="7797" w:type="dxa"/>
            <w:gridSpan w:val="4"/>
          </w:tcPr>
          <w:p>
            <w:pPr>
              <w:pStyle w:val="18"/>
              <w:spacing w:before="144"/>
              <w:ind w:left="108"/>
              <w:rPr>
                <w:rStyle w:val="15"/>
                <w:sz w:val="21"/>
                <w:szCs w:val="21"/>
              </w:rPr>
            </w:pPr>
            <w:r>
              <w:rPr>
                <w:rStyle w:val="15"/>
                <w:sz w:val="21"/>
                <w:szCs w:val="21"/>
              </w:rPr>
              <w:t>贺州市公共资源交易中心封存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97" w:type="dxa"/>
          </w:tcPr>
          <w:p>
            <w:pPr>
              <w:pStyle w:val="18"/>
              <w:spacing w:line="269" w:lineRule="exact"/>
              <w:ind w:left="184"/>
              <w:rPr>
                <w:rStyle w:val="15"/>
                <w:sz w:val="21"/>
                <w:szCs w:val="21"/>
              </w:rPr>
            </w:pPr>
            <w:r>
              <w:rPr>
                <w:rStyle w:val="15"/>
                <w:sz w:val="21"/>
                <w:szCs w:val="21"/>
              </w:rPr>
              <w:t>6.5.1</w:t>
            </w:r>
          </w:p>
          <w:p>
            <w:pPr>
              <w:pStyle w:val="18"/>
              <w:spacing w:before="25"/>
              <w:ind w:left="184"/>
              <w:rPr>
                <w:rStyle w:val="15"/>
                <w:sz w:val="21"/>
                <w:szCs w:val="21"/>
              </w:rPr>
            </w:pPr>
            <w:r>
              <w:rPr>
                <w:rStyle w:val="15"/>
                <w:sz w:val="21"/>
                <w:szCs w:val="21"/>
              </w:rPr>
              <w:t>（3）</w:t>
            </w:r>
          </w:p>
        </w:tc>
        <w:tc>
          <w:tcPr>
            <w:tcW w:w="1620" w:type="dxa"/>
            <w:gridSpan w:val="2"/>
          </w:tcPr>
          <w:p>
            <w:pPr>
              <w:pStyle w:val="18"/>
              <w:spacing w:line="269" w:lineRule="exact"/>
              <w:ind w:left="177" w:right="169"/>
              <w:jc w:val="center"/>
              <w:rPr>
                <w:rStyle w:val="15"/>
                <w:sz w:val="21"/>
                <w:szCs w:val="21"/>
              </w:rPr>
            </w:pPr>
            <w:r>
              <w:rPr>
                <w:rStyle w:val="15"/>
                <w:sz w:val="21"/>
                <w:szCs w:val="21"/>
              </w:rPr>
              <w:t>封存的</w:t>
            </w:r>
          </w:p>
          <w:p>
            <w:pPr>
              <w:pStyle w:val="18"/>
              <w:spacing w:before="25"/>
              <w:ind w:left="175" w:right="169"/>
              <w:jc w:val="center"/>
              <w:rPr>
                <w:rStyle w:val="15"/>
                <w:sz w:val="21"/>
                <w:szCs w:val="21"/>
              </w:rPr>
            </w:pPr>
            <w:r>
              <w:rPr>
                <w:rStyle w:val="15"/>
                <w:sz w:val="21"/>
                <w:szCs w:val="21"/>
              </w:rPr>
              <w:t>其它材料</w:t>
            </w:r>
          </w:p>
        </w:tc>
        <w:tc>
          <w:tcPr>
            <w:tcW w:w="7797" w:type="dxa"/>
            <w:gridSpan w:val="4"/>
          </w:tcPr>
          <w:p>
            <w:pPr>
              <w:pStyle w:val="18"/>
              <w:spacing w:before="143"/>
              <w:ind w:left="108"/>
              <w:rPr>
                <w:rStyle w:val="15"/>
                <w:sz w:val="21"/>
                <w:szCs w:val="21"/>
              </w:rPr>
            </w:pPr>
            <w:r>
              <w:rPr>
                <w:rStyle w:val="1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97" w:type="dxa"/>
          </w:tcPr>
          <w:p>
            <w:pPr>
              <w:pStyle w:val="18"/>
              <w:spacing w:before="7"/>
              <w:rPr>
                <w:rStyle w:val="15"/>
                <w:sz w:val="21"/>
                <w:szCs w:val="21"/>
              </w:rPr>
            </w:pPr>
          </w:p>
          <w:p>
            <w:pPr>
              <w:pStyle w:val="18"/>
              <w:ind w:left="6"/>
              <w:jc w:val="center"/>
              <w:rPr>
                <w:rStyle w:val="15"/>
                <w:sz w:val="21"/>
                <w:szCs w:val="21"/>
              </w:rPr>
            </w:pPr>
            <w:r>
              <w:rPr>
                <w:rStyle w:val="15"/>
                <w:sz w:val="21"/>
                <w:szCs w:val="21"/>
              </w:rPr>
              <w:t>6.6.1</w:t>
            </w:r>
          </w:p>
        </w:tc>
        <w:tc>
          <w:tcPr>
            <w:tcW w:w="1620" w:type="dxa"/>
            <w:gridSpan w:val="2"/>
          </w:tcPr>
          <w:p>
            <w:pPr>
              <w:pStyle w:val="18"/>
              <w:spacing w:line="270" w:lineRule="exact"/>
              <w:ind w:left="283"/>
              <w:rPr>
                <w:rStyle w:val="15"/>
                <w:sz w:val="21"/>
                <w:szCs w:val="21"/>
              </w:rPr>
            </w:pPr>
            <w:r>
              <w:rPr>
                <w:rStyle w:val="15"/>
                <w:sz w:val="21"/>
                <w:szCs w:val="21"/>
              </w:rPr>
              <w:t>中标候选人</w:t>
            </w:r>
          </w:p>
          <w:p>
            <w:pPr>
              <w:pStyle w:val="18"/>
              <w:spacing w:line="300" w:lineRule="atLeast"/>
              <w:ind w:left="180" w:right="169"/>
              <w:jc w:val="center"/>
              <w:rPr>
                <w:rStyle w:val="15"/>
                <w:sz w:val="21"/>
                <w:szCs w:val="21"/>
              </w:rPr>
            </w:pPr>
            <w:r>
              <w:rPr>
                <w:rStyle w:val="15"/>
                <w:sz w:val="21"/>
                <w:szCs w:val="21"/>
              </w:rPr>
              <w:t>（评标结果） 公示的媒介</w:t>
            </w:r>
          </w:p>
        </w:tc>
        <w:tc>
          <w:tcPr>
            <w:tcW w:w="7797" w:type="dxa"/>
            <w:gridSpan w:val="4"/>
          </w:tcPr>
          <w:p>
            <w:pPr>
              <w:pStyle w:val="18"/>
              <w:spacing w:before="7"/>
              <w:rPr>
                <w:rStyle w:val="15"/>
                <w:sz w:val="21"/>
                <w:szCs w:val="21"/>
              </w:rPr>
            </w:pPr>
          </w:p>
          <w:p>
            <w:pPr>
              <w:pStyle w:val="18"/>
              <w:ind w:left="108"/>
              <w:rPr>
                <w:rStyle w:val="15"/>
                <w:sz w:val="21"/>
                <w:szCs w:val="21"/>
              </w:rPr>
            </w:pPr>
            <w:r>
              <w:rPr>
                <w:rStyle w:val="15"/>
                <w:sz w:val="21"/>
                <w:szCs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97" w:type="dxa"/>
          </w:tcPr>
          <w:p>
            <w:pPr>
              <w:pStyle w:val="18"/>
              <w:rPr>
                <w:rStyle w:val="15"/>
                <w:sz w:val="21"/>
                <w:szCs w:val="21"/>
              </w:rPr>
            </w:pPr>
          </w:p>
          <w:p>
            <w:pPr>
              <w:pStyle w:val="18"/>
              <w:rPr>
                <w:rStyle w:val="15"/>
                <w:sz w:val="21"/>
                <w:szCs w:val="21"/>
              </w:rPr>
            </w:pPr>
          </w:p>
          <w:p>
            <w:pPr>
              <w:pStyle w:val="18"/>
              <w:spacing w:before="9"/>
              <w:rPr>
                <w:rStyle w:val="15"/>
                <w:sz w:val="21"/>
                <w:szCs w:val="21"/>
              </w:rPr>
            </w:pPr>
          </w:p>
          <w:p>
            <w:pPr>
              <w:pStyle w:val="18"/>
              <w:spacing w:before="1"/>
              <w:ind w:left="9"/>
              <w:jc w:val="center"/>
              <w:rPr>
                <w:rStyle w:val="15"/>
                <w:sz w:val="21"/>
                <w:szCs w:val="21"/>
              </w:rPr>
            </w:pPr>
            <w:r>
              <w:rPr>
                <w:rStyle w:val="15"/>
                <w:sz w:val="21"/>
                <w:szCs w:val="21"/>
              </w:rPr>
              <w:t>6.7</w:t>
            </w:r>
          </w:p>
        </w:tc>
        <w:tc>
          <w:tcPr>
            <w:tcW w:w="1620" w:type="dxa"/>
            <w:gridSpan w:val="2"/>
          </w:tcPr>
          <w:p>
            <w:pPr>
              <w:pStyle w:val="18"/>
              <w:rPr>
                <w:rStyle w:val="15"/>
                <w:sz w:val="21"/>
                <w:szCs w:val="21"/>
              </w:rPr>
            </w:pPr>
          </w:p>
          <w:p>
            <w:pPr>
              <w:pStyle w:val="18"/>
              <w:rPr>
                <w:rStyle w:val="15"/>
                <w:sz w:val="21"/>
                <w:szCs w:val="21"/>
              </w:rPr>
            </w:pPr>
          </w:p>
          <w:p>
            <w:pPr>
              <w:pStyle w:val="18"/>
              <w:spacing w:before="134" w:line="261" w:lineRule="auto"/>
              <w:ind w:left="180" w:right="169"/>
              <w:rPr>
                <w:rStyle w:val="15"/>
                <w:sz w:val="21"/>
                <w:szCs w:val="21"/>
              </w:rPr>
            </w:pPr>
            <w:r>
              <w:rPr>
                <w:rStyle w:val="15"/>
                <w:sz w:val="21"/>
                <w:szCs w:val="21"/>
              </w:rPr>
              <w:t>履约能力审查的标准和方法</w:t>
            </w:r>
          </w:p>
        </w:tc>
        <w:tc>
          <w:tcPr>
            <w:tcW w:w="7797" w:type="dxa"/>
            <w:gridSpan w:val="4"/>
          </w:tcPr>
          <w:p>
            <w:pPr>
              <w:pStyle w:val="18"/>
              <w:spacing w:line="261" w:lineRule="auto"/>
              <w:ind w:left="108" w:right="97" w:firstLine="420"/>
              <w:jc w:val="both"/>
              <w:rPr>
                <w:rStyle w:val="15"/>
                <w:sz w:val="21"/>
                <w:szCs w:val="21"/>
              </w:rPr>
            </w:pPr>
            <w:r>
              <w:rPr>
                <w:rStyle w:val="15"/>
                <w:sz w:val="21"/>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18"/>
              <w:spacing w:before="17" w:line="300" w:lineRule="exact"/>
              <w:ind w:left="108" w:right="97" w:firstLine="420"/>
              <w:jc w:val="both"/>
              <w:rPr>
                <w:rStyle w:val="15"/>
                <w:sz w:val="21"/>
                <w:szCs w:val="21"/>
              </w:rPr>
            </w:pPr>
            <w:r>
              <w:rPr>
                <w:rStyle w:val="15"/>
                <w:sz w:val="21"/>
                <w:szCs w:val="21"/>
              </w:rPr>
              <w:t>如招标人认为中标候选人的经营、财务状况发生较大变化或者存在违法行为可能影响其履约能力的，应当在中标通知书发出前由原评标委员会按照招标文件规定的标准和方法审查确认。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97" w:type="dxa"/>
          </w:tcPr>
          <w:p>
            <w:pPr>
              <w:pStyle w:val="18"/>
              <w:spacing w:before="6"/>
              <w:rPr>
                <w:rFonts w:ascii="Times New Roman"/>
                <w:sz w:val="25"/>
              </w:rPr>
            </w:pPr>
          </w:p>
          <w:p>
            <w:pPr>
              <w:pStyle w:val="18"/>
              <w:spacing w:before="1"/>
              <w:ind w:left="9"/>
              <w:jc w:val="center"/>
              <w:rPr>
                <w:sz w:val="21"/>
              </w:rPr>
            </w:pPr>
            <w:r>
              <w:rPr>
                <w:sz w:val="21"/>
              </w:rPr>
              <w:t>7.1</w:t>
            </w:r>
          </w:p>
        </w:tc>
        <w:tc>
          <w:tcPr>
            <w:tcW w:w="1620" w:type="dxa"/>
            <w:gridSpan w:val="2"/>
          </w:tcPr>
          <w:p>
            <w:pPr>
              <w:pStyle w:val="18"/>
              <w:spacing w:line="269" w:lineRule="exact"/>
              <w:ind w:left="283" w:firstLine="105"/>
              <w:rPr>
                <w:rStyle w:val="15"/>
                <w:sz w:val="21"/>
                <w:szCs w:val="21"/>
              </w:rPr>
            </w:pPr>
            <w:r>
              <w:rPr>
                <w:rStyle w:val="15"/>
                <w:sz w:val="21"/>
                <w:szCs w:val="21"/>
              </w:rPr>
              <w:t>是否授权</w:t>
            </w:r>
          </w:p>
          <w:p>
            <w:pPr>
              <w:pStyle w:val="18"/>
              <w:spacing w:line="300" w:lineRule="atLeast"/>
              <w:ind w:left="283" w:right="275"/>
              <w:jc w:val="center"/>
              <w:rPr>
                <w:rStyle w:val="15"/>
                <w:sz w:val="21"/>
                <w:szCs w:val="21"/>
              </w:rPr>
            </w:pPr>
            <w:r>
              <w:rPr>
                <w:rStyle w:val="15"/>
                <w:sz w:val="21"/>
                <w:szCs w:val="21"/>
              </w:rPr>
              <w:t>评标委员会确定中标人</w:t>
            </w:r>
          </w:p>
        </w:tc>
        <w:tc>
          <w:tcPr>
            <w:tcW w:w="7797" w:type="dxa"/>
            <w:gridSpan w:val="4"/>
          </w:tcPr>
          <w:p>
            <w:pPr>
              <w:pStyle w:val="18"/>
              <w:spacing w:before="6"/>
              <w:rPr>
                <w:rStyle w:val="15"/>
                <w:sz w:val="21"/>
                <w:szCs w:val="21"/>
              </w:rPr>
            </w:pPr>
          </w:p>
          <w:p>
            <w:pPr>
              <w:pStyle w:val="18"/>
              <w:spacing w:before="1"/>
              <w:ind w:left="108"/>
              <w:rPr>
                <w:rStyle w:val="15"/>
                <w:sz w:val="21"/>
                <w:szCs w:val="21"/>
              </w:rPr>
            </w:pPr>
            <w:r>
              <w:rPr>
                <w:rStyle w:val="15"/>
                <w:rFonts w:hint="eastAsia"/>
                <w:sz w:val="21"/>
                <w:szCs w:val="21"/>
                <w:lang w:eastAsia="zh-CN"/>
              </w:rPr>
              <w:t>否，推荐的中标候选人数3人。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97" w:type="dxa"/>
            <w:vAlign w:val="center"/>
          </w:tcPr>
          <w:p>
            <w:pPr>
              <w:pStyle w:val="18"/>
              <w:spacing w:before="134"/>
              <w:jc w:val="center"/>
              <w:rPr>
                <w:sz w:val="21"/>
              </w:rPr>
            </w:pPr>
            <w:r>
              <w:rPr>
                <w:sz w:val="21"/>
              </w:rPr>
              <w:t>7.3.1</w:t>
            </w:r>
          </w:p>
        </w:tc>
        <w:tc>
          <w:tcPr>
            <w:tcW w:w="1620" w:type="dxa"/>
            <w:gridSpan w:val="2"/>
            <w:vAlign w:val="center"/>
          </w:tcPr>
          <w:p>
            <w:pPr>
              <w:pStyle w:val="18"/>
              <w:spacing w:before="134"/>
              <w:jc w:val="center"/>
              <w:rPr>
                <w:rStyle w:val="15"/>
                <w:sz w:val="21"/>
                <w:szCs w:val="21"/>
              </w:rPr>
            </w:pPr>
            <w:r>
              <w:rPr>
                <w:rStyle w:val="15"/>
                <w:sz w:val="21"/>
                <w:szCs w:val="21"/>
              </w:rPr>
              <w:t>履约保证金</w:t>
            </w:r>
          </w:p>
        </w:tc>
        <w:tc>
          <w:tcPr>
            <w:tcW w:w="7797" w:type="dxa"/>
            <w:gridSpan w:val="4"/>
            <w:vAlign w:val="center"/>
          </w:tcPr>
          <w:p>
            <w:pPr>
              <w:pStyle w:val="18"/>
              <w:spacing w:before="11" w:line="300" w:lineRule="exact"/>
              <w:ind w:left="108" w:right="97" w:firstLine="420"/>
              <w:jc w:val="left"/>
              <w:rPr>
                <w:rStyle w:val="15"/>
                <w:sz w:val="21"/>
                <w:szCs w:val="21"/>
              </w:rPr>
            </w:pPr>
            <w:r>
              <w:rPr>
                <w:rStyle w:val="15"/>
                <w:rFonts w:hint="eastAsia"/>
                <w:sz w:val="21"/>
                <w:szCs w:val="21"/>
                <w:lang w:eastAsia="zh-CN"/>
              </w:rPr>
              <w:t>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7"/>
          </w:tcPr>
          <w:p>
            <w:pPr>
              <w:pStyle w:val="18"/>
              <w:spacing w:before="15"/>
              <w:ind w:left="107"/>
              <w:jc w:val="both"/>
              <w:rPr>
                <w:rStyle w:val="15"/>
                <w:sz w:val="21"/>
                <w:szCs w:val="21"/>
              </w:rPr>
            </w:pPr>
            <w:r>
              <w:rPr>
                <w:rStyle w:val="15"/>
                <w:sz w:val="21"/>
                <w:szCs w:val="21"/>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7"/>
          </w:tcPr>
          <w:p>
            <w:pPr>
              <w:pStyle w:val="18"/>
              <w:spacing w:before="15"/>
              <w:ind w:left="107"/>
              <w:rPr>
                <w:rStyle w:val="15"/>
                <w:sz w:val="21"/>
                <w:szCs w:val="21"/>
              </w:rPr>
            </w:pPr>
            <w:r>
              <w:rPr>
                <w:rStyle w:val="15"/>
                <w:sz w:val="21"/>
                <w:szCs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7" w:type="dxa"/>
            <w:gridSpan w:val="2"/>
          </w:tcPr>
          <w:p>
            <w:pPr>
              <w:pStyle w:val="18"/>
              <w:spacing w:before="16"/>
              <w:ind w:left="287"/>
              <w:rPr>
                <w:rStyle w:val="15"/>
                <w:sz w:val="21"/>
                <w:szCs w:val="21"/>
              </w:rPr>
            </w:pPr>
            <w:r>
              <w:rPr>
                <w:rStyle w:val="15"/>
                <w:sz w:val="21"/>
                <w:szCs w:val="21"/>
              </w:rPr>
              <w:t>10.1.1</w:t>
            </w:r>
          </w:p>
        </w:tc>
        <w:tc>
          <w:tcPr>
            <w:tcW w:w="1685" w:type="dxa"/>
            <w:gridSpan w:val="3"/>
          </w:tcPr>
          <w:p>
            <w:pPr>
              <w:pStyle w:val="18"/>
              <w:spacing w:before="16"/>
              <w:ind w:left="422"/>
              <w:rPr>
                <w:rStyle w:val="15"/>
                <w:sz w:val="21"/>
                <w:szCs w:val="21"/>
              </w:rPr>
            </w:pPr>
            <w:r>
              <w:rPr>
                <w:rStyle w:val="15"/>
                <w:sz w:val="21"/>
                <w:szCs w:val="21"/>
              </w:rPr>
              <w:t>类似项目</w:t>
            </w:r>
          </w:p>
        </w:tc>
        <w:tc>
          <w:tcPr>
            <w:tcW w:w="7422" w:type="dxa"/>
            <w:gridSpan w:val="2"/>
          </w:tcPr>
          <w:p>
            <w:pPr>
              <w:pStyle w:val="18"/>
              <w:spacing w:before="16"/>
              <w:ind w:left="107"/>
              <w:rPr>
                <w:rStyle w:val="15"/>
                <w:sz w:val="21"/>
                <w:szCs w:val="21"/>
              </w:rPr>
            </w:pPr>
            <w:r>
              <w:rPr>
                <w:rStyle w:val="1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7" w:type="dxa"/>
            <w:gridSpan w:val="2"/>
          </w:tcPr>
          <w:p>
            <w:pPr>
              <w:pStyle w:val="18"/>
              <w:spacing w:before="14"/>
              <w:ind w:left="287"/>
              <w:rPr>
                <w:rStyle w:val="15"/>
                <w:sz w:val="21"/>
                <w:szCs w:val="21"/>
              </w:rPr>
            </w:pPr>
            <w:r>
              <w:rPr>
                <w:rStyle w:val="15"/>
                <w:sz w:val="21"/>
                <w:szCs w:val="21"/>
              </w:rPr>
              <w:t>10.1.2</w:t>
            </w:r>
          </w:p>
        </w:tc>
        <w:tc>
          <w:tcPr>
            <w:tcW w:w="1685" w:type="dxa"/>
            <w:gridSpan w:val="3"/>
          </w:tcPr>
          <w:p>
            <w:pPr>
              <w:pStyle w:val="18"/>
              <w:spacing w:before="14"/>
              <w:ind w:left="211"/>
              <w:rPr>
                <w:rStyle w:val="15"/>
                <w:sz w:val="21"/>
                <w:szCs w:val="21"/>
              </w:rPr>
            </w:pPr>
            <w:r>
              <w:rPr>
                <w:rStyle w:val="15"/>
                <w:sz w:val="21"/>
                <w:szCs w:val="21"/>
              </w:rPr>
              <w:t>不良行为记录</w:t>
            </w:r>
          </w:p>
        </w:tc>
        <w:tc>
          <w:tcPr>
            <w:tcW w:w="7422" w:type="dxa"/>
            <w:gridSpan w:val="2"/>
          </w:tcPr>
          <w:p>
            <w:pPr>
              <w:pStyle w:val="18"/>
              <w:spacing w:before="14"/>
              <w:ind w:left="107"/>
              <w:rPr>
                <w:rStyle w:val="15"/>
                <w:sz w:val="21"/>
                <w:szCs w:val="21"/>
              </w:rPr>
            </w:pPr>
            <w:r>
              <w:rPr>
                <w:rStyle w:val="15"/>
                <w:sz w:val="21"/>
                <w:szCs w:val="21"/>
              </w:rPr>
              <w:t>不良行为记录是指：/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7"/>
          </w:tcPr>
          <w:p>
            <w:pPr>
              <w:pStyle w:val="18"/>
              <w:spacing w:before="14"/>
              <w:ind w:left="107"/>
              <w:rPr>
                <w:rStyle w:val="15"/>
                <w:sz w:val="21"/>
                <w:szCs w:val="21"/>
              </w:rPr>
            </w:pPr>
            <w:r>
              <w:rPr>
                <w:rStyle w:val="15"/>
                <w:sz w:val="21"/>
                <w:szCs w:val="21"/>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0314" w:type="dxa"/>
            <w:gridSpan w:val="7"/>
          </w:tcPr>
          <w:p>
            <w:pPr>
              <w:pStyle w:val="18"/>
              <w:spacing w:line="270" w:lineRule="exact"/>
              <w:ind w:left="107"/>
              <w:rPr>
                <w:rStyle w:val="15"/>
                <w:sz w:val="21"/>
                <w:szCs w:val="21"/>
              </w:rPr>
            </w:pPr>
            <w:r>
              <w:rPr>
                <w:rStyle w:val="15"/>
                <w:sz w:val="21"/>
                <w:szCs w:val="21"/>
              </w:rPr>
              <w:t>设招标控制价。</w:t>
            </w:r>
          </w:p>
          <w:p>
            <w:pPr>
              <w:pStyle w:val="18"/>
              <w:spacing w:line="300" w:lineRule="atLeast"/>
              <w:ind w:left="107" w:right="58"/>
              <w:rPr>
                <w:rStyle w:val="15"/>
                <w:sz w:val="21"/>
                <w:szCs w:val="21"/>
              </w:rPr>
            </w:pPr>
            <w:r>
              <w:rPr>
                <w:rStyle w:val="15"/>
                <w:sz w:val="21"/>
                <w:szCs w:val="21"/>
              </w:rPr>
              <w:t>招标控制价为（人民币：大写）</w:t>
            </w:r>
            <w:r>
              <w:rPr>
                <w:rStyle w:val="15"/>
                <w:rFonts w:hint="eastAsia"/>
                <w:sz w:val="21"/>
                <w:szCs w:val="21"/>
                <w:lang w:eastAsia="zh-CN"/>
              </w:rPr>
              <w:t>肆佰零壹万陆仟壹佰壹拾贰元整</w:t>
            </w:r>
            <w:r>
              <w:rPr>
                <w:rStyle w:val="15"/>
                <w:sz w:val="21"/>
                <w:szCs w:val="21"/>
              </w:rPr>
              <w:t>（¥</w:t>
            </w:r>
            <w:r>
              <w:rPr>
                <w:rStyle w:val="15"/>
                <w:rFonts w:hint="eastAsia"/>
                <w:sz w:val="21"/>
                <w:szCs w:val="21"/>
                <w:lang w:val="en-US" w:eastAsia="zh-CN"/>
              </w:rPr>
              <w:t>4016112</w:t>
            </w:r>
            <w:r>
              <w:rPr>
                <w:rStyle w:val="15"/>
                <w:sz w:val="21"/>
                <w:szCs w:val="21"/>
              </w:rPr>
              <w:t>.00），投标单位报价高于公布的   控制价的投标无效。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7"/>
          </w:tcPr>
          <w:p>
            <w:pPr>
              <w:pStyle w:val="18"/>
              <w:spacing w:before="14"/>
              <w:ind w:left="107"/>
              <w:rPr>
                <w:sz w:val="21"/>
              </w:rPr>
            </w:pPr>
            <w:r>
              <w:rPr>
                <w:sz w:val="21"/>
              </w:rPr>
              <w:t>10.3 “暗标”评审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442" w:type="dxa"/>
            <w:gridSpan w:val="6"/>
          </w:tcPr>
          <w:p>
            <w:pPr>
              <w:pStyle w:val="18"/>
              <w:spacing w:before="2"/>
              <w:ind w:left="830"/>
              <w:rPr>
                <w:rStyle w:val="15"/>
                <w:sz w:val="21"/>
                <w:szCs w:val="21"/>
              </w:rPr>
            </w:pPr>
            <w:r>
              <w:rPr>
                <w:rStyle w:val="15"/>
                <w:sz w:val="21"/>
                <w:szCs w:val="21"/>
              </w:rPr>
              <w:t>施工组织设计是否采用“暗标”评审方式</w:t>
            </w:r>
          </w:p>
        </w:tc>
        <w:tc>
          <w:tcPr>
            <w:tcW w:w="4872" w:type="dxa"/>
          </w:tcPr>
          <w:p>
            <w:pPr>
              <w:pStyle w:val="18"/>
              <w:spacing w:before="2"/>
              <w:ind w:left="106"/>
              <w:rPr>
                <w:rStyle w:val="15"/>
                <w:sz w:val="21"/>
                <w:szCs w:val="21"/>
              </w:rPr>
            </w:pPr>
            <w:r>
              <w:rPr>
                <w:rStyle w:val="15"/>
                <w:sz w:val="21"/>
                <w:szCs w:val="21"/>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7"/>
          </w:tcPr>
          <w:p>
            <w:pPr>
              <w:pStyle w:val="18"/>
              <w:spacing w:before="15"/>
              <w:ind w:left="107"/>
              <w:rPr>
                <w:rStyle w:val="15"/>
                <w:sz w:val="21"/>
                <w:szCs w:val="21"/>
              </w:rPr>
            </w:pPr>
            <w:r>
              <w:rPr>
                <w:rStyle w:val="15"/>
                <w:sz w:val="21"/>
                <w:szCs w:val="21"/>
              </w:rPr>
              <w:t>10.4 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2660" w:type="dxa"/>
            <w:gridSpan w:val="4"/>
          </w:tcPr>
          <w:p>
            <w:pPr>
              <w:pStyle w:val="18"/>
              <w:rPr>
                <w:rStyle w:val="15"/>
                <w:sz w:val="21"/>
                <w:szCs w:val="21"/>
              </w:rPr>
            </w:pPr>
          </w:p>
          <w:p>
            <w:pPr>
              <w:pStyle w:val="18"/>
              <w:rPr>
                <w:rStyle w:val="15"/>
                <w:sz w:val="21"/>
                <w:szCs w:val="21"/>
              </w:rPr>
            </w:pPr>
          </w:p>
          <w:p>
            <w:pPr>
              <w:pStyle w:val="18"/>
              <w:spacing w:before="9"/>
              <w:rPr>
                <w:rStyle w:val="15"/>
                <w:sz w:val="21"/>
                <w:szCs w:val="21"/>
              </w:rPr>
            </w:pPr>
          </w:p>
          <w:p>
            <w:pPr>
              <w:pStyle w:val="18"/>
              <w:spacing w:line="261" w:lineRule="auto"/>
              <w:ind w:left="174" w:right="22" w:hanging="68"/>
              <w:rPr>
                <w:rStyle w:val="15"/>
                <w:sz w:val="21"/>
                <w:szCs w:val="21"/>
              </w:rPr>
            </w:pPr>
            <w:r>
              <w:rPr>
                <w:rStyle w:val="15"/>
                <w:sz w:val="21"/>
                <w:szCs w:val="21"/>
              </w:rPr>
              <w:t>投标人在递交投标文件时， 同时递交投标文件电子版</w:t>
            </w:r>
          </w:p>
        </w:tc>
        <w:tc>
          <w:tcPr>
            <w:tcW w:w="7654" w:type="dxa"/>
            <w:gridSpan w:val="3"/>
          </w:tcPr>
          <w:p>
            <w:pPr>
              <w:pStyle w:val="18"/>
              <w:spacing w:line="261" w:lineRule="auto"/>
              <w:ind w:left="106" w:right="97" w:firstLine="420"/>
              <w:jc w:val="both"/>
              <w:rPr>
                <w:rStyle w:val="15"/>
                <w:sz w:val="21"/>
                <w:szCs w:val="21"/>
              </w:rPr>
            </w:pPr>
            <w:r>
              <w:rPr>
                <w:rStyle w:val="15"/>
                <w:sz w:val="21"/>
                <w:szCs w:val="21"/>
              </w:rPr>
              <w:t>投标文件电子版内容：一套完整投标文件（为投标人签字盖章的投标文件正本扫描件，格式为 PDF 格式）。</w:t>
            </w:r>
          </w:p>
          <w:p>
            <w:pPr>
              <w:pStyle w:val="18"/>
              <w:spacing w:before="12" w:line="261" w:lineRule="auto"/>
              <w:ind w:left="526" w:right="4372"/>
              <w:rPr>
                <w:rStyle w:val="15"/>
                <w:sz w:val="21"/>
                <w:szCs w:val="21"/>
              </w:rPr>
            </w:pPr>
            <w:r>
              <w:rPr>
                <w:rStyle w:val="15"/>
                <w:sz w:val="21"/>
                <w:szCs w:val="21"/>
              </w:rPr>
              <w:t>投标文件电子版份数：2 份。投标文件电子版形式：U 盘。</w:t>
            </w:r>
          </w:p>
          <w:p>
            <w:pPr>
              <w:pStyle w:val="18"/>
              <w:spacing w:before="11" w:line="300" w:lineRule="exact"/>
              <w:ind w:left="106" w:right="97" w:firstLine="420"/>
              <w:jc w:val="both"/>
              <w:rPr>
                <w:rStyle w:val="15"/>
                <w:sz w:val="21"/>
                <w:szCs w:val="21"/>
              </w:rPr>
            </w:pPr>
            <w:r>
              <w:rPr>
                <w:rStyle w:val="15"/>
                <w:sz w:val="21"/>
                <w:szCs w:val="21"/>
              </w:rPr>
              <w:t>投标文件电子版密封方式：单独放入一个密封袋中，加贴封条，密封袋上应写明的内容与投标人须知前附表 4.1.2 款所要求一致。并在封套封口处加盖投标人单位公章，在封套上标记“投标文件电子版”字样。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7"/>
          </w:tcPr>
          <w:p>
            <w:pPr>
              <w:pStyle w:val="18"/>
              <w:spacing w:before="15"/>
              <w:ind w:left="107"/>
              <w:rPr>
                <w:rStyle w:val="15"/>
                <w:sz w:val="21"/>
                <w:szCs w:val="21"/>
              </w:rPr>
            </w:pPr>
            <w:r>
              <w:rPr>
                <w:rStyle w:val="15"/>
                <w:sz w:val="21"/>
                <w:szCs w:val="21"/>
              </w:rPr>
              <w:t>10.5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0314" w:type="dxa"/>
            <w:gridSpan w:val="7"/>
          </w:tcPr>
          <w:p>
            <w:pPr>
              <w:pStyle w:val="18"/>
              <w:spacing w:line="269" w:lineRule="exact"/>
              <w:ind w:left="107"/>
              <w:rPr>
                <w:rStyle w:val="15"/>
                <w:sz w:val="21"/>
                <w:szCs w:val="21"/>
              </w:rPr>
            </w:pPr>
            <w:r>
              <w:rPr>
                <w:rStyle w:val="15"/>
                <w:sz w:val="21"/>
                <w:szCs w:val="21"/>
              </w:rPr>
              <w:t>构成本招标文件各个组成部分的文件，未经招标人书面同意，投标人不得擅自复印和用于非本招标项目所需的</w:t>
            </w:r>
            <w:r>
              <w:rPr>
                <w:sz w:val="21"/>
              </w:rPr>
              <w:t>其他目的。招标人全部或者部分使用未中标人投标文件中的技术成果或技术方案时，需征得其书面同意，并不</w:t>
            </w:r>
            <w:r>
              <w:rPr>
                <w:rStyle w:val="15"/>
                <w:sz w:val="21"/>
                <w:szCs w:val="21"/>
              </w:rPr>
              <w:t>得擅自复印或提供给第三人。</w:t>
            </w:r>
          </w:p>
        </w:tc>
      </w:tr>
    </w:tbl>
    <w:p>
      <w:pPr>
        <w:spacing w:after="0" w:line="269" w:lineRule="exact"/>
        <w:rPr>
          <w:sz w:val="21"/>
        </w:rPr>
        <w:sectPr>
          <w:pgSz w:w="11910" w:h="16840"/>
          <w:pgMar w:top="1000" w:right="500" w:bottom="780" w:left="860" w:header="808" w:footer="595" w:gutter="0"/>
          <w:pgNumType w:fmt="decimal"/>
        </w:sectPr>
      </w:pPr>
    </w:p>
    <w:p>
      <w:pPr>
        <w:pStyle w:val="3"/>
        <w:rPr>
          <w:rFonts w:ascii="Times New Roman"/>
          <w:sz w:val="20"/>
        </w:rPr>
      </w:pPr>
    </w:p>
    <w:p>
      <w:pPr>
        <w:pStyle w:val="3"/>
        <w:spacing w:before="6"/>
        <w:rPr>
          <w:rFonts w:ascii="Times New Roman"/>
          <w:sz w:val="17"/>
        </w:rPr>
      </w:pPr>
    </w:p>
    <w:tbl>
      <w:tblPr>
        <w:tblStyle w:val="14"/>
        <w:tblW w:w="1031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583"/>
        <w:gridCol w:w="7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28" w:type="dxa"/>
            <w:shd w:val="clear" w:color="auto" w:fill="E6E6E6"/>
          </w:tcPr>
          <w:p>
            <w:pPr>
              <w:pStyle w:val="18"/>
              <w:spacing w:before="14"/>
              <w:ind w:left="131"/>
              <w:rPr>
                <w:rStyle w:val="15"/>
                <w:b/>
                <w:bCs/>
                <w:sz w:val="21"/>
                <w:szCs w:val="21"/>
              </w:rPr>
            </w:pPr>
            <w:r>
              <w:rPr>
                <w:rStyle w:val="15"/>
                <w:b/>
                <w:bCs/>
                <w:sz w:val="21"/>
                <w:szCs w:val="21"/>
              </w:rPr>
              <w:t>条款号</w:t>
            </w:r>
          </w:p>
        </w:tc>
        <w:tc>
          <w:tcPr>
            <w:tcW w:w="1583" w:type="dxa"/>
            <w:shd w:val="clear" w:color="auto" w:fill="E6E6E6"/>
          </w:tcPr>
          <w:p>
            <w:pPr>
              <w:pStyle w:val="18"/>
              <w:spacing w:before="14"/>
              <w:ind w:left="358"/>
              <w:rPr>
                <w:rStyle w:val="15"/>
                <w:b/>
                <w:bCs/>
                <w:sz w:val="21"/>
                <w:szCs w:val="21"/>
              </w:rPr>
            </w:pPr>
            <w:r>
              <w:rPr>
                <w:rStyle w:val="15"/>
                <w:b/>
                <w:bCs/>
                <w:sz w:val="21"/>
                <w:szCs w:val="21"/>
              </w:rPr>
              <w:t>条款名称</w:t>
            </w:r>
          </w:p>
        </w:tc>
        <w:tc>
          <w:tcPr>
            <w:tcW w:w="7804" w:type="dxa"/>
            <w:shd w:val="clear" w:color="auto" w:fill="E6E6E6"/>
          </w:tcPr>
          <w:p>
            <w:pPr>
              <w:pStyle w:val="18"/>
              <w:spacing w:before="14"/>
              <w:ind w:left="3484" w:right="2954" w:rightChars="0"/>
              <w:jc w:val="center"/>
              <w:rPr>
                <w:rStyle w:val="15"/>
                <w:b/>
                <w:bCs/>
                <w:sz w:val="21"/>
                <w:szCs w:val="21"/>
              </w:rPr>
            </w:pPr>
            <w:r>
              <w:rPr>
                <w:rStyle w:val="15"/>
                <w:b/>
                <w:bCs/>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315" w:type="dxa"/>
            <w:gridSpan w:val="3"/>
          </w:tcPr>
          <w:p>
            <w:pPr>
              <w:pStyle w:val="18"/>
              <w:spacing w:before="13"/>
              <w:ind w:left="107"/>
              <w:rPr>
                <w:sz w:val="21"/>
              </w:rPr>
            </w:pPr>
            <w:r>
              <w:rPr>
                <w:sz w:val="21"/>
              </w:rPr>
              <w:t>10.6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15" w:type="dxa"/>
            <w:gridSpan w:val="3"/>
          </w:tcPr>
          <w:p>
            <w:pPr>
              <w:pStyle w:val="18"/>
              <w:spacing w:before="1" w:line="300" w:lineRule="exact"/>
              <w:ind w:left="107" w:right="96"/>
              <w:rPr>
                <w:rStyle w:val="15"/>
                <w:sz w:val="21"/>
                <w:szCs w:val="21"/>
              </w:rPr>
            </w:pPr>
            <w:r>
              <w:rPr>
                <w:rStyle w:val="15"/>
                <w:sz w:val="21"/>
                <w:szCs w:val="21"/>
              </w:rPr>
              <w:t>除投标人须知正文第 8 条规定的情形外，除非已经产生中标候选人（评标结果），在投标有效期内同意延长投标有效期的投标人少于三个的，招标人在分析招标失败的原因并采取相应措施后，应当依法重新招标。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315" w:type="dxa"/>
            <w:gridSpan w:val="3"/>
          </w:tcPr>
          <w:p>
            <w:pPr>
              <w:pStyle w:val="18"/>
              <w:spacing w:before="13"/>
              <w:ind w:left="107"/>
              <w:rPr>
                <w:rStyle w:val="15"/>
                <w:sz w:val="21"/>
                <w:szCs w:val="21"/>
              </w:rPr>
            </w:pPr>
            <w:r>
              <w:rPr>
                <w:rStyle w:val="15"/>
                <w:sz w:val="21"/>
                <w:szCs w:val="21"/>
              </w:rPr>
              <w:t>10.7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15" w:type="dxa"/>
            <w:gridSpan w:val="3"/>
          </w:tcPr>
          <w:p>
            <w:pPr>
              <w:pStyle w:val="18"/>
              <w:spacing w:before="1" w:line="300" w:lineRule="exact"/>
              <w:ind w:left="107" w:right="98"/>
              <w:rPr>
                <w:rStyle w:val="15"/>
                <w:sz w:val="21"/>
                <w:szCs w:val="21"/>
              </w:rPr>
            </w:pPr>
            <w:r>
              <w:rPr>
                <w:rStyle w:val="15"/>
                <w:sz w:val="21"/>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315" w:type="dxa"/>
            <w:gridSpan w:val="3"/>
          </w:tcPr>
          <w:p>
            <w:pPr>
              <w:pStyle w:val="18"/>
              <w:spacing w:before="13"/>
              <w:ind w:left="107"/>
              <w:rPr>
                <w:rStyle w:val="15"/>
                <w:sz w:val="21"/>
                <w:szCs w:val="21"/>
              </w:rPr>
            </w:pPr>
            <w:r>
              <w:rPr>
                <w:rStyle w:val="15"/>
                <w:sz w:val="21"/>
                <w:szCs w:val="21"/>
              </w:rPr>
              <w:t>10.8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15" w:type="dxa"/>
            <w:gridSpan w:val="3"/>
          </w:tcPr>
          <w:p>
            <w:pPr>
              <w:pStyle w:val="18"/>
              <w:spacing w:before="1" w:line="300" w:lineRule="exact"/>
              <w:ind w:left="107" w:right="98"/>
              <w:rPr>
                <w:rStyle w:val="15"/>
                <w:sz w:val="21"/>
                <w:szCs w:val="21"/>
              </w:rPr>
            </w:pPr>
            <w:r>
              <w:rPr>
                <w:rStyle w:val="15"/>
                <w:sz w:val="21"/>
                <w:szCs w:val="21"/>
              </w:rPr>
              <w:t>本项目的招标投标活动及其相关当事人应当接受有管辖权的建设工程招标投标行政监督部门依法实施的监督， 如项目属于公共资源范围，应同时接受本级招投标监督管理专门机构监管。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315" w:type="dxa"/>
            <w:gridSpan w:val="3"/>
          </w:tcPr>
          <w:p>
            <w:pPr>
              <w:pStyle w:val="18"/>
              <w:spacing w:before="13"/>
              <w:ind w:left="107"/>
              <w:rPr>
                <w:rStyle w:val="15"/>
                <w:sz w:val="21"/>
                <w:szCs w:val="21"/>
              </w:rPr>
            </w:pPr>
            <w:r>
              <w:rPr>
                <w:rStyle w:val="15"/>
                <w:sz w:val="21"/>
                <w:szCs w:val="21"/>
              </w:rPr>
              <w:t>10.9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0315" w:type="dxa"/>
            <w:gridSpan w:val="3"/>
          </w:tcPr>
          <w:p>
            <w:pPr>
              <w:pStyle w:val="18"/>
              <w:spacing w:before="1" w:line="300" w:lineRule="exact"/>
              <w:ind w:left="107" w:right="98"/>
              <w:jc w:val="both"/>
              <w:rPr>
                <w:rStyle w:val="15"/>
                <w:sz w:val="21"/>
                <w:szCs w:val="21"/>
              </w:rPr>
            </w:pPr>
            <w:r>
              <w:rPr>
                <w:rStyle w:val="15"/>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315" w:type="dxa"/>
            <w:gridSpan w:val="3"/>
          </w:tcPr>
          <w:p>
            <w:pPr>
              <w:pStyle w:val="18"/>
              <w:spacing w:before="13"/>
              <w:ind w:left="107"/>
              <w:rPr>
                <w:rStyle w:val="15"/>
                <w:sz w:val="21"/>
                <w:szCs w:val="21"/>
              </w:rPr>
            </w:pPr>
            <w:r>
              <w:rPr>
                <w:rStyle w:val="15"/>
                <w:sz w:val="21"/>
                <w:szCs w:val="21"/>
              </w:rPr>
              <w:t>10.10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928" w:type="dxa"/>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ind w:left="112"/>
              <w:rPr>
                <w:rStyle w:val="15"/>
                <w:sz w:val="21"/>
                <w:szCs w:val="21"/>
              </w:rPr>
            </w:pPr>
            <w:r>
              <w:rPr>
                <w:rStyle w:val="15"/>
                <w:sz w:val="21"/>
                <w:szCs w:val="21"/>
              </w:rPr>
              <w:t>10.10.1</w:t>
            </w:r>
          </w:p>
        </w:tc>
        <w:tc>
          <w:tcPr>
            <w:tcW w:w="1583" w:type="dxa"/>
          </w:tcPr>
          <w:p>
            <w:pPr>
              <w:pStyle w:val="18"/>
              <w:rPr>
                <w:rStyle w:val="15"/>
                <w:sz w:val="21"/>
                <w:szCs w:val="21"/>
              </w:rPr>
            </w:pPr>
          </w:p>
          <w:p>
            <w:pPr>
              <w:pStyle w:val="18"/>
              <w:spacing w:before="125" w:line="261" w:lineRule="auto"/>
              <w:ind w:left="382" w:right="351"/>
              <w:rPr>
                <w:rStyle w:val="15"/>
                <w:sz w:val="21"/>
                <w:szCs w:val="21"/>
              </w:rPr>
            </w:pPr>
            <w:r>
              <w:rPr>
                <w:rStyle w:val="15"/>
                <w:sz w:val="21"/>
                <w:szCs w:val="21"/>
              </w:rPr>
              <w:t>中标单位相关费用</w:t>
            </w:r>
          </w:p>
        </w:tc>
        <w:tc>
          <w:tcPr>
            <w:tcW w:w="7804" w:type="dxa"/>
          </w:tcPr>
          <w:p>
            <w:pPr>
              <w:pStyle w:val="18"/>
              <w:spacing w:line="271" w:lineRule="exact"/>
              <w:ind w:left="99"/>
              <w:rPr>
                <w:rStyle w:val="15"/>
                <w:sz w:val="21"/>
                <w:szCs w:val="21"/>
              </w:rPr>
            </w:pPr>
            <w:r>
              <w:rPr>
                <w:rStyle w:val="15"/>
                <w:sz w:val="21"/>
                <w:szCs w:val="21"/>
              </w:rPr>
              <w:t>招标代理费</w:t>
            </w:r>
          </w:p>
          <w:p>
            <w:pPr>
              <w:pStyle w:val="18"/>
              <w:spacing w:before="25" w:line="261" w:lineRule="auto"/>
              <w:ind w:left="99" w:right="-15" w:firstLine="412"/>
              <w:jc w:val="both"/>
              <w:rPr>
                <w:rStyle w:val="15"/>
                <w:sz w:val="21"/>
                <w:szCs w:val="21"/>
              </w:rPr>
            </w:pPr>
            <w:r>
              <w:rPr>
                <w:rStyle w:val="15"/>
                <w:sz w:val="21"/>
                <w:szCs w:val="21"/>
              </w:rPr>
              <w:t>本项目招标代理服务费按代理合同约定由中标人支付。根据国家计委《招标代理服务收费管理暂行办法》（计价格［2002］1980 号）以及国家发展和改革委员会办公厅《关于招标代理服务收费有关问题的通知》(发改办价格[2003]857 号)的规定，收费标准以中标价为计算基数，按差额定率累进法计取；由中标人领取成交通知书时一次性向招标代理机构交纳。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8" w:type="dxa"/>
          </w:tcPr>
          <w:p>
            <w:pPr>
              <w:pStyle w:val="18"/>
              <w:spacing w:before="144"/>
              <w:ind w:left="112"/>
              <w:rPr>
                <w:rStyle w:val="15"/>
              </w:rPr>
            </w:pPr>
            <w:r>
              <w:rPr>
                <w:rStyle w:val="15"/>
              </w:rPr>
              <w:t>10.10.2</w:t>
            </w:r>
          </w:p>
        </w:tc>
        <w:tc>
          <w:tcPr>
            <w:tcW w:w="9387" w:type="dxa"/>
            <w:gridSpan w:val="2"/>
          </w:tcPr>
          <w:p>
            <w:pPr>
              <w:pStyle w:val="18"/>
              <w:spacing w:line="270" w:lineRule="exact"/>
              <w:ind w:left="139"/>
              <w:rPr>
                <w:rStyle w:val="15"/>
              </w:rPr>
            </w:pPr>
            <w:r>
              <w:rPr>
                <w:rStyle w:val="15"/>
              </w:rPr>
              <w:t>勘察单位：/</w:t>
            </w:r>
          </w:p>
          <w:p>
            <w:pPr>
              <w:pStyle w:val="18"/>
              <w:spacing w:before="25"/>
              <w:ind w:left="139"/>
              <w:rPr>
                <w:rStyle w:val="15"/>
                <w:rFonts w:hint="eastAsia"/>
                <w:lang w:val="en-US" w:eastAsia="zh-CN"/>
              </w:rPr>
            </w:pPr>
            <w:r>
              <w:rPr>
                <w:rStyle w:val="15"/>
              </w:rPr>
              <w:t>设计单位：</w:t>
            </w:r>
            <w:r>
              <w:rPr>
                <w:rStyle w:val="15"/>
                <w:rFonts w:hint="eastAsia"/>
                <w:lang w:val="en-US" w:eastAsia="zh-CN"/>
              </w:rPr>
              <w:t>/</w:t>
            </w:r>
          </w:p>
        </w:tc>
      </w:tr>
    </w:tbl>
    <w:p>
      <w:pPr>
        <w:spacing w:after="0"/>
        <w:rPr>
          <w:sz w:val="21"/>
        </w:rPr>
        <w:sectPr>
          <w:pgSz w:w="11910" w:h="16840"/>
          <w:pgMar w:top="1000" w:right="500" w:bottom="780" w:left="860" w:header="808" w:footer="595" w:gutter="0"/>
          <w:pgNumType w:fmt="decimal"/>
        </w:sectPr>
      </w:pPr>
    </w:p>
    <w:p>
      <w:pPr>
        <w:pStyle w:val="3"/>
        <w:rPr>
          <w:rFonts w:ascii="Times New Roman"/>
          <w:sz w:val="20"/>
        </w:rPr>
      </w:pPr>
    </w:p>
    <w:p>
      <w:pPr>
        <w:pStyle w:val="3"/>
        <w:spacing w:before="7"/>
        <w:rPr>
          <w:rFonts w:ascii="Times New Roman"/>
          <w:sz w:val="23"/>
        </w:rPr>
      </w:pPr>
    </w:p>
    <w:p>
      <w:pPr>
        <w:spacing w:before="15"/>
        <w:ind w:left="100" w:right="0" w:firstLine="0"/>
        <w:jc w:val="left"/>
        <w:rPr>
          <w:rFonts w:hint="eastAsia" w:ascii="黑体" w:eastAsia="黑体"/>
          <w:b/>
          <w:sz w:val="28"/>
        </w:rPr>
      </w:pPr>
      <w:bookmarkStart w:id="36" w:name="_bookmark16"/>
      <w:bookmarkEnd w:id="36"/>
      <w:bookmarkStart w:id="37" w:name="投标人须知正文部分"/>
      <w:bookmarkEnd w:id="37"/>
      <w:r>
        <w:rPr>
          <w:rFonts w:hint="eastAsia" w:ascii="黑体" w:eastAsia="黑体"/>
          <w:b/>
          <w:w w:val="95"/>
          <w:sz w:val="28"/>
        </w:rPr>
        <w:t>投标人须知正文部分</w:t>
      </w:r>
    </w:p>
    <w:p>
      <w:pPr>
        <w:pStyle w:val="3"/>
        <w:spacing w:before="4"/>
        <w:rPr>
          <w:rFonts w:ascii="黑体"/>
          <w:b/>
          <w:sz w:val="39"/>
        </w:rPr>
      </w:pPr>
    </w:p>
    <w:p>
      <w:pPr>
        <w:pStyle w:val="9"/>
        <w:spacing w:before="0"/>
        <w:ind w:left="100"/>
      </w:pPr>
      <w:bookmarkStart w:id="38" w:name="1.总则"/>
      <w:bookmarkEnd w:id="38"/>
      <w:bookmarkStart w:id="39" w:name="_bookmark17"/>
      <w:bookmarkEnd w:id="39"/>
      <w:r>
        <w:rPr>
          <w:w w:val="95"/>
        </w:rPr>
        <w:t>1.总则</w:t>
      </w:r>
    </w:p>
    <w:p>
      <w:pPr>
        <w:pStyle w:val="17"/>
        <w:numPr>
          <w:ilvl w:val="1"/>
          <w:numId w:val="4"/>
        </w:numPr>
        <w:tabs>
          <w:tab w:val="left" w:pos="520"/>
        </w:tabs>
        <w:spacing w:before="125" w:after="0" w:line="240" w:lineRule="auto"/>
        <w:ind w:left="520" w:right="0" w:hanging="420"/>
        <w:jc w:val="left"/>
        <w:rPr>
          <w:rStyle w:val="15"/>
          <w:sz w:val="21"/>
          <w:szCs w:val="21"/>
        </w:rPr>
      </w:pPr>
      <w:bookmarkStart w:id="40" w:name="_bookmark18"/>
      <w:bookmarkEnd w:id="40"/>
      <w:bookmarkStart w:id="41" w:name="_bookmark18"/>
      <w:bookmarkEnd w:id="41"/>
      <w:bookmarkStart w:id="42" w:name="1.1 项目概况"/>
      <w:bookmarkEnd w:id="42"/>
      <w:r>
        <w:rPr>
          <w:rStyle w:val="15"/>
          <w:sz w:val="21"/>
          <w:szCs w:val="21"/>
        </w:rPr>
        <w:t>项目概况</w:t>
      </w:r>
    </w:p>
    <w:p>
      <w:pPr>
        <w:pStyle w:val="17"/>
        <w:numPr>
          <w:ilvl w:val="2"/>
          <w:numId w:val="4"/>
        </w:numPr>
        <w:tabs>
          <w:tab w:val="left" w:pos="1152"/>
        </w:tabs>
        <w:spacing w:before="123" w:after="0" w:line="350" w:lineRule="auto"/>
        <w:ind w:left="100" w:right="161" w:firstLine="420"/>
        <w:jc w:val="left"/>
        <w:rPr>
          <w:rStyle w:val="15"/>
          <w:sz w:val="21"/>
          <w:szCs w:val="21"/>
        </w:rPr>
      </w:pPr>
      <w:r>
        <w:rPr>
          <w:rStyle w:val="15"/>
          <w:sz w:val="21"/>
          <w:szCs w:val="21"/>
        </w:rPr>
        <w:t>根据《中华人民共和国招标投标法》等有关法律、法规和规章的规定，本招标项目已具备招标条件，现对本标段施工进行招标。</w:t>
      </w:r>
    </w:p>
    <w:p>
      <w:pPr>
        <w:pStyle w:val="17"/>
        <w:numPr>
          <w:ilvl w:val="2"/>
          <w:numId w:val="4"/>
        </w:numPr>
        <w:tabs>
          <w:tab w:val="left" w:pos="1154"/>
        </w:tabs>
        <w:spacing w:before="29" w:after="0" w:line="240" w:lineRule="auto"/>
        <w:ind w:left="1153" w:right="0" w:hanging="629"/>
        <w:jc w:val="left"/>
        <w:rPr>
          <w:rStyle w:val="15"/>
          <w:sz w:val="21"/>
          <w:szCs w:val="21"/>
        </w:rPr>
      </w:pPr>
      <w:r>
        <w:rPr>
          <w:rStyle w:val="15"/>
          <w:sz w:val="21"/>
          <w:szCs w:val="21"/>
        </w:rPr>
        <w:t>本招标项目招标人：见“投标人须知前附表”。</w:t>
      </w:r>
    </w:p>
    <w:p>
      <w:pPr>
        <w:pStyle w:val="17"/>
        <w:numPr>
          <w:ilvl w:val="2"/>
          <w:numId w:val="4"/>
        </w:numPr>
        <w:tabs>
          <w:tab w:val="left" w:pos="1154"/>
        </w:tabs>
        <w:spacing w:before="123" w:after="0" w:line="240" w:lineRule="auto"/>
        <w:ind w:left="1153" w:right="0" w:hanging="629"/>
        <w:jc w:val="left"/>
        <w:rPr>
          <w:rStyle w:val="15"/>
          <w:sz w:val="21"/>
          <w:szCs w:val="21"/>
        </w:rPr>
      </w:pPr>
      <w:r>
        <w:rPr>
          <w:rStyle w:val="15"/>
          <w:sz w:val="21"/>
          <w:szCs w:val="21"/>
        </w:rPr>
        <w:t>本标段招标代理机构：见“投标人须知前附表”。</w:t>
      </w:r>
    </w:p>
    <w:p>
      <w:pPr>
        <w:pStyle w:val="17"/>
        <w:numPr>
          <w:ilvl w:val="2"/>
          <w:numId w:val="4"/>
        </w:numPr>
        <w:tabs>
          <w:tab w:val="left" w:pos="1154"/>
        </w:tabs>
        <w:spacing w:before="126" w:after="0" w:line="240" w:lineRule="auto"/>
        <w:ind w:left="1153" w:right="0" w:hanging="629"/>
        <w:jc w:val="left"/>
        <w:rPr>
          <w:rStyle w:val="15"/>
          <w:sz w:val="21"/>
          <w:szCs w:val="21"/>
        </w:rPr>
      </w:pPr>
      <w:r>
        <w:rPr>
          <w:rStyle w:val="15"/>
          <w:sz w:val="21"/>
          <w:szCs w:val="21"/>
        </w:rPr>
        <w:t>本招标项目名称：见“投标人须知前附表”。</w:t>
      </w:r>
    </w:p>
    <w:p>
      <w:pPr>
        <w:pStyle w:val="17"/>
        <w:numPr>
          <w:ilvl w:val="2"/>
          <w:numId w:val="4"/>
        </w:numPr>
        <w:tabs>
          <w:tab w:val="left" w:pos="1154"/>
        </w:tabs>
        <w:spacing w:before="126" w:after="0" w:line="240" w:lineRule="auto"/>
        <w:ind w:left="1153" w:right="0" w:hanging="629"/>
        <w:jc w:val="left"/>
        <w:rPr>
          <w:rStyle w:val="15"/>
          <w:sz w:val="21"/>
          <w:szCs w:val="21"/>
        </w:rPr>
      </w:pPr>
      <w:r>
        <w:rPr>
          <w:rStyle w:val="15"/>
          <w:sz w:val="21"/>
          <w:szCs w:val="21"/>
        </w:rPr>
        <w:t>本标段建设地点：见“投标人须知前附表”。</w:t>
      </w:r>
    </w:p>
    <w:p>
      <w:pPr>
        <w:pStyle w:val="17"/>
        <w:numPr>
          <w:ilvl w:val="1"/>
          <w:numId w:val="4"/>
        </w:numPr>
        <w:tabs>
          <w:tab w:val="left" w:pos="468"/>
        </w:tabs>
        <w:spacing w:before="123" w:after="0" w:line="240" w:lineRule="auto"/>
        <w:ind w:left="467" w:right="0" w:hanging="367"/>
        <w:jc w:val="left"/>
        <w:rPr>
          <w:rStyle w:val="15"/>
          <w:sz w:val="21"/>
          <w:szCs w:val="21"/>
        </w:rPr>
      </w:pPr>
      <w:bookmarkStart w:id="43" w:name="1.2资金来源和落实及增值税计税方法情况"/>
      <w:bookmarkEnd w:id="43"/>
      <w:bookmarkStart w:id="44" w:name="_bookmark19"/>
      <w:bookmarkEnd w:id="44"/>
      <w:bookmarkStart w:id="45" w:name="_bookmark19"/>
      <w:bookmarkEnd w:id="45"/>
      <w:r>
        <w:rPr>
          <w:rStyle w:val="15"/>
          <w:sz w:val="21"/>
          <w:szCs w:val="21"/>
        </w:rPr>
        <w:t>资金来源和落实及增值税计税方法情况</w:t>
      </w:r>
    </w:p>
    <w:p>
      <w:pPr>
        <w:pStyle w:val="17"/>
        <w:numPr>
          <w:ilvl w:val="2"/>
          <w:numId w:val="4"/>
        </w:numPr>
        <w:tabs>
          <w:tab w:val="left" w:pos="1154"/>
        </w:tabs>
        <w:spacing w:before="125" w:after="0" w:line="240" w:lineRule="auto"/>
        <w:ind w:left="1153" w:right="0" w:hanging="629"/>
        <w:jc w:val="left"/>
        <w:rPr>
          <w:rStyle w:val="15"/>
          <w:sz w:val="21"/>
          <w:szCs w:val="21"/>
        </w:rPr>
      </w:pPr>
      <w:r>
        <w:rPr>
          <w:rStyle w:val="15"/>
          <w:sz w:val="21"/>
          <w:szCs w:val="21"/>
        </w:rPr>
        <w:t>本招标项目的资金来源：见“投标人须知前附表”。</w:t>
      </w:r>
    </w:p>
    <w:p>
      <w:pPr>
        <w:pStyle w:val="17"/>
        <w:numPr>
          <w:ilvl w:val="2"/>
          <w:numId w:val="4"/>
        </w:numPr>
        <w:tabs>
          <w:tab w:val="left" w:pos="1154"/>
        </w:tabs>
        <w:spacing w:before="125" w:after="0" w:line="240" w:lineRule="auto"/>
        <w:ind w:left="1153" w:right="0" w:hanging="629"/>
        <w:jc w:val="left"/>
        <w:rPr>
          <w:rStyle w:val="15"/>
          <w:sz w:val="21"/>
          <w:szCs w:val="21"/>
        </w:rPr>
      </w:pPr>
      <w:r>
        <w:rPr>
          <w:rStyle w:val="15"/>
          <w:sz w:val="21"/>
          <w:szCs w:val="21"/>
        </w:rPr>
        <w:t>本招标项目的出资比例：见“投标人须知前附表”。</w:t>
      </w:r>
    </w:p>
    <w:p>
      <w:pPr>
        <w:pStyle w:val="17"/>
        <w:numPr>
          <w:ilvl w:val="2"/>
          <w:numId w:val="4"/>
        </w:numPr>
        <w:tabs>
          <w:tab w:val="left" w:pos="1154"/>
        </w:tabs>
        <w:spacing w:before="123" w:after="0" w:line="240" w:lineRule="auto"/>
        <w:ind w:left="1153" w:right="0" w:hanging="629"/>
        <w:jc w:val="left"/>
        <w:rPr>
          <w:rStyle w:val="15"/>
          <w:sz w:val="21"/>
          <w:szCs w:val="21"/>
        </w:rPr>
      </w:pPr>
      <w:r>
        <w:rPr>
          <w:rStyle w:val="15"/>
          <w:sz w:val="21"/>
          <w:szCs w:val="21"/>
        </w:rPr>
        <w:t>本招标项目的资金落实情况：见“投标人须知前附表”。</w:t>
      </w:r>
    </w:p>
    <w:p>
      <w:pPr>
        <w:pStyle w:val="17"/>
        <w:numPr>
          <w:ilvl w:val="2"/>
          <w:numId w:val="4"/>
        </w:numPr>
        <w:tabs>
          <w:tab w:val="left" w:pos="1154"/>
        </w:tabs>
        <w:spacing w:before="126" w:after="0" w:line="240" w:lineRule="auto"/>
        <w:ind w:left="1153" w:right="0" w:hanging="629"/>
        <w:jc w:val="left"/>
        <w:rPr>
          <w:rStyle w:val="15"/>
          <w:sz w:val="21"/>
          <w:szCs w:val="21"/>
        </w:rPr>
      </w:pPr>
      <w:r>
        <w:rPr>
          <w:rStyle w:val="15"/>
          <w:sz w:val="21"/>
          <w:szCs w:val="21"/>
        </w:rPr>
        <w:t>本招标项目的增值税计税方法：见“投标人须知前附表”。</w:t>
      </w:r>
    </w:p>
    <w:p>
      <w:pPr>
        <w:pStyle w:val="17"/>
        <w:numPr>
          <w:ilvl w:val="1"/>
          <w:numId w:val="4"/>
        </w:numPr>
        <w:tabs>
          <w:tab w:val="left" w:pos="520"/>
        </w:tabs>
        <w:spacing w:before="126" w:after="0" w:line="240" w:lineRule="auto"/>
        <w:ind w:left="520" w:right="0" w:hanging="420"/>
        <w:jc w:val="left"/>
        <w:rPr>
          <w:rStyle w:val="15"/>
          <w:sz w:val="21"/>
          <w:szCs w:val="21"/>
        </w:rPr>
      </w:pPr>
      <w:bookmarkStart w:id="46" w:name="1.3 招标范围、计划工期和质量要求"/>
      <w:bookmarkEnd w:id="46"/>
      <w:bookmarkStart w:id="47" w:name="_bookmark20"/>
      <w:bookmarkEnd w:id="47"/>
      <w:bookmarkStart w:id="48" w:name="_bookmark20"/>
      <w:bookmarkEnd w:id="48"/>
      <w:r>
        <w:rPr>
          <w:rStyle w:val="15"/>
          <w:sz w:val="21"/>
          <w:szCs w:val="21"/>
        </w:rPr>
        <w:t>招标范围、计划工期和质量要求</w:t>
      </w:r>
    </w:p>
    <w:p>
      <w:pPr>
        <w:pStyle w:val="17"/>
        <w:numPr>
          <w:ilvl w:val="2"/>
          <w:numId w:val="4"/>
        </w:numPr>
        <w:tabs>
          <w:tab w:val="left" w:pos="1154"/>
        </w:tabs>
        <w:spacing w:before="123" w:after="0" w:line="240" w:lineRule="auto"/>
        <w:ind w:left="1153" w:right="0" w:hanging="629"/>
        <w:jc w:val="left"/>
        <w:rPr>
          <w:rStyle w:val="15"/>
          <w:sz w:val="21"/>
          <w:szCs w:val="21"/>
        </w:rPr>
      </w:pPr>
      <w:r>
        <w:rPr>
          <w:rStyle w:val="15"/>
          <w:sz w:val="21"/>
          <w:szCs w:val="21"/>
        </w:rPr>
        <w:t>本次招标范围：见“投标人须知前附表”。</w:t>
      </w:r>
    </w:p>
    <w:p>
      <w:pPr>
        <w:pStyle w:val="17"/>
        <w:numPr>
          <w:ilvl w:val="2"/>
          <w:numId w:val="4"/>
        </w:numPr>
        <w:tabs>
          <w:tab w:val="left" w:pos="1154"/>
        </w:tabs>
        <w:spacing w:before="125" w:after="0" w:line="240" w:lineRule="auto"/>
        <w:ind w:left="1153" w:right="0" w:hanging="629"/>
        <w:jc w:val="left"/>
        <w:rPr>
          <w:rStyle w:val="15"/>
          <w:sz w:val="21"/>
          <w:szCs w:val="21"/>
        </w:rPr>
      </w:pPr>
      <w:r>
        <w:rPr>
          <w:rStyle w:val="15"/>
          <w:sz w:val="21"/>
          <w:szCs w:val="21"/>
        </w:rPr>
        <w:t>本标段的要求工期：见“投标人须知前附表”。</w:t>
      </w:r>
    </w:p>
    <w:p>
      <w:pPr>
        <w:pStyle w:val="17"/>
        <w:numPr>
          <w:ilvl w:val="2"/>
          <w:numId w:val="4"/>
        </w:numPr>
        <w:tabs>
          <w:tab w:val="left" w:pos="1154"/>
        </w:tabs>
        <w:spacing w:before="125" w:after="0" w:line="240" w:lineRule="auto"/>
        <w:ind w:left="1153" w:right="0" w:hanging="629"/>
        <w:jc w:val="left"/>
        <w:rPr>
          <w:rStyle w:val="15"/>
          <w:sz w:val="21"/>
          <w:szCs w:val="21"/>
        </w:rPr>
      </w:pPr>
      <w:r>
        <w:rPr>
          <w:rStyle w:val="15"/>
          <w:sz w:val="21"/>
          <w:szCs w:val="21"/>
        </w:rPr>
        <w:t>本标段的质量要求：见“投标人须知前附表”。</w:t>
      </w:r>
    </w:p>
    <w:p>
      <w:pPr>
        <w:pStyle w:val="17"/>
        <w:numPr>
          <w:ilvl w:val="1"/>
          <w:numId w:val="4"/>
        </w:numPr>
        <w:tabs>
          <w:tab w:val="left" w:pos="520"/>
        </w:tabs>
        <w:spacing w:before="123" w:after="0" w:line="240" w:lineRule="auto"/>
        <w:ind w:left="520" w:right="0" w:hanging="420"/>
        <w:jc w:val="left"/>
        <w:rPr>
          <w:rStyle w:val="15"/>
          <w:sz w:val="21"/>
          <w:szCs w:val="21"/>
        </w:rPr>
      </w:pPr>
      <w:bookmarkStart w:id="49" w:name="1.4 投标人资格要求"/>
      <w:bookmarkEnd w:id="49"/>
      <w:bookmarkStart w:id="50" w:name="_bookmark21"/>
      <w:bookmarkEnd w:id="50"/>
      <w:bookmarkStart w:id="51" w:name="_bookmark21"/>
      <w:bookmarkEnd w:id="51"/>
      <w:r>
        <w:rPr>
          <w:rStyle w:val="15"/>
          <w:sz w:val="21"/>
          <w:szCs w:val="21"/>
        </w:rPr>
        <w:t>投标人资格要求</w:t>
      </w:r>
    </w:p>
    <w:p>
      <w:pPr>
        <w:pStyle w:val="17"/>
        <w:numPr>
          <w:ilvl w:val="2"/>
          <w:numId w:val="4"/>
        </w:numPr>
        <w:tabs>
          <w:tab w:val="left" w:pos="1154"/>
        </w:tabs>
        <w:spacing w:before="126" w:after="0" w:line="240" w:lineRule="auto"/>
        <w:ind w:left="100" w:right="0" w:firstLine="424"/>
        <w:jc w:val="left"/>
        <w:rPr>
          <w:rStyle w:val="15"/>
          <w:sz w:val="21"/>
          <w:szCs w:val="21"/>
        </w:rPr>
      </w:pPr>
      <w:r>
        <w:rPr>
          <w:rStyle w:val="15"/>
          <w:sz w:val="21"/>
          <w:szCs w:val="21"/>
        </w:rPr>
        <w:t>投标人应具备承担本项目施工的资质条件、能力、诚信等要求。</w:t>
      </w:r>
    </w:p>
    <w:p>
      <w:pPr>
        <w:pStyle w:val="3"/>
        <w:spacing w:before="126"/>
        <w:ind w:left="524"/>
        <w:rPr>
          <w:rStyle w:val="15"/>
          <w:sz w:val="21"/>
          <w:szCs w:val="21"/>
        </w:rPr>
      </w:pPr>
      <w:r>
        <w:rPr>
          <w:rStyle w:val="15"/>
          <w:sz w:val="21"/>
          <w:szCs w:val="21"/>
        </w:rPr>
        <w:t>（1）资质条件：见“投标人须知前附表”；</w:t>
      </w:r>
    </w:p>
    <w:p>
      <w:pPr>
        <w:pStyle w:val="3"/>
        <w:spacing w:before="123"/>
        <w:ind w:left="524"/>
        <w:rPr>
          <w:rStyle w:val="15"/>
          <w:sz w:val="21"/>
          <w:szCs w:val="21"/>
        </w:rPr>
      </w:pPr>
      <w:r>
        <w:rPr>
          <w:rStyle w:val="15"/>
          <w:sz w:val="21"/>
          <w:szCs w:val="21"/>
        </w:rPr>
        <w:t>（2）财务要求：见“投标人须知前附表”；</w:t>
      </w:r>
    </w:p>
    <w:p>
      <w:pPr>
        <w:pStyle w:val="3"/>
        <w:spacing w:before="125"/>
        <w:ind w:left="524"/>
        <w:rPr>
          <w:sz w:val="16"/>
        </w:rPr>
      </w:pPr>
      <w:r>
        <w:rPr>
          <w:rStyle w:val="15"/>
          <w:sz w:val="21"/>
          <w:szCs w:val="21"/>
        </w:rPr>
        <w:t>（3）业绩要求：见“投标人须知前附表”；</w:t>
      </w:r>
    </w:p>
    <w:p>
      <w:pPr>
        <w:pStyle w:val="3"/>
        <w:spacing w:before="35"/>
        <w:ind w:left="524"/>
        <w:rPr>
          <w:rStyle w:val="15"/>
          <w:sz w:val="21"/>
          <w:szCs w:val="21"/>
        </w:rPr>
      </w:pPr>
      <w:r>
        <w:rPr>
          <w:rStyle w:val="15"/>
          <w:sz w:val="21"/>
          <w:szCs w:val="21"/>
        </w:rPr>
        <w:t>（4）诚信要求：见“投标人须知前附表”；</w:t>
      </w:r>
    </w:p>
    <w:p>
      <w:pPr>
        <w:pStyle w:val="3"/>
        <w:spacing w:before="126"/>
        <w:ind w:left="524"/>
        <w:rPr>
          <w:rStyle w:val="15"/>
          <w:sz w:val="21"/>
          <w:szCs w:val="21"/>
        </w:rPr>
      </w:pPr>
      <w:r>
        <w:rPr>
          <w:rStyle w:val="15"/>
          <w:sz w:val="21"/>
          <w:szCs w:val="21"/>
        </w:rPr>
        <w:t>（5）项目经理资格：见“投标人须知前附表”；</w:t>
      </w:r>
    </w:p>
    <w:p>
      <w:pPr>
        <w:pStyle w:val="3"/>
        <w:spacing w:before="123"/>
        <w:ind w:left="524"/>
        <w:rPr>
          <w:rStyle w:val="15"/>
          <w:sz w:val="21"/>
          <w:szCs w:val="21"/>
        </w:rPr>
      </w:pPr>
      <w:r>
        <w:rPr>
          <w:rStyle w:val="15"/>
          <w:sz w:val="21"/>
          <w:szCs w:val="21"/>
        </w:rPr>
        <w:t>（6）专职安全员资格：见“投标人须知前附表”；</w:t>
      </w:r>
    </w:p>
    <w:p>
      <w:pPr>
        <w:pStyle w:val="3"/>
        <w:spacing w:before="125"/>
        <w:ind w:left="524"/>
        <w:rPr>
          <w:rStyle w:val="15"/>
          <w:sz w:val="21"/>
          <w:szCs w:val="21"/>
        </w:rPr>
      </w:pPr>
      <w:r>
        <w:rPr>
          <w:rStyle w:val="15"/>
          <w:sz w:val="21"/>
          <w:szCs w:val="21"/>
        </w:rPr>
        <w:t>（7）其他要求：见“投标人须知前附表”。</w:t>
      </w:r>
    </w:p>
    <w:p>
      <w:pPr>
        <w:pStyle w:val="17"/>
        <w:numPr>
          <w:ilvl w:val="2"/>
          <w:numId w:val="4"/>
        </w:numPr>
        <w:tabs>
          <w:tab w:val="left" w:pos="1156"/>
        </w:tabs>
        <w:spacing w:before="125" w:after="0" w:line="348" w:lineRule="auto"/>
        <w:ind w:left="100" w:right="158" w:firstLine="424"/>
        <w:jc w:val="left"/>
        <w:rPr>
          <w:rStyle w:val="15"/>
          <w:sz w:val="21"/>
          <w:szCs w:val="21"/>
        </w:rPr>
      </w:pPr>
      <w:r>
        <w:rPr>
          <w:rStyle w:val="15"/>
          <w:sz w:val="21"/>
          <w:szCs w:val="21"/>
        </w:rPr>
        <w:t>“投标人须知前附表”规定接受联合体投标的，除应符合本章第 1.4.1 项和“投标人须知前附表”的要求外，还应遵守以下规定：</w:t>
      </w:r>
    </w:p>
    <w:p>
      <w:pPr>
        <w:pStyle w:val="3"/>
        <w:spacing w:before="31"/>
        <w:ind w:left="524"/>
        <w:rPr>
          <w:rStyle w:val="15"/>
          <w:sz w:val="21"/>
          <w:szCs w:val="21"/>
        </w:rPr>
      </w:pPr>
      <w:r>
        <w:rPr>
          <w:rStyle w:val="15"/>
          <w:sz w:val="21"/>
          <w:szCs w:val="21"/>
        </w:rPr>
        <w:t>（1）联合体各方应按招标文件提供的格式签订联合体协议书，明确联合体牵头人和各方权利义务；</w:t>
      </w:r>
    </w:p>
    <w:p>
      <w:pPr>
        <w:pStyle w:val="3"/>
        <w:spacing w:before="126"/>
        <w:ind w:left="524"/>
        <w:rPr>
          <w:rStyle w:val="15"/>
          <w:sz w:val="21"/>
          <w:szCs w:val="21"/>
        </w:rPr>
      </w:pPr>
      <w:r>
        <w:rPr>
          <w:rStyle w:val="15"/>
          <w:sz w:val="21"/>
          <w:szCs w:val="21"/>
        </w:rPr>
        <w:t>（2）由同一专业的单位组成的联合体，按照资质等级较低的单位确定资质等级；</w:t>
      </w:r>
    </w:p>
    <w:p>
      <w:pPr>
        <w:pStyle w:val="3"/>
        <w:spacing w:before="123"/>
        <w:ind w:left="524"/>
        <w:rPr>
          <w:rStyle w:val="15"/>
          <w:sz w:val="21"/>
          <w:szCs w:val="21"/>
        </w:rPr>
      </w:pPr>
      <w:r>
        <w:rPr>
          <w:rStyle w:val="15"/>
          <w:sz w:val="21"/>
          <w:szCs w:val="21"/>
        </w:rPr>
        <w:t>（3）联合体各方不得再以自己名义单独或参加其他联合体在同一标段中投标。</w:t>
      </w:r>
    </w:p>
    <w:p>
      <w:pPr>
        <w:pStyle w:val="17"/>
        <w:numPr>
          <w:ilvl w:val="2"/>
          <w:numId w:val="4"/>
        </w:numPr>
        <w:tabs>
          <w:tab w:val="left" w:pos="1154"/>
        </w:tabs>
        <w:spacing w:before="125" w:after="0" w:line="240" w:lineRule="auto"/>
        <w:ind w:left="100" w:right="0" w:firstLine="424"/>
        <w:jc w:val="left"/>
        <w:rPr>
          <w:rStyle w:val="15"/>
          <w:sz w:val="21"/>
          <w:szCs w:val="21"/>
        </w:rPr>
      </w:pPr>
      <w:r>
        <w:rPr>
          <w:rStyle w:val="15"/>
          <w:sz w:val="21"/>
          <w:szCs w:val="21"/>
        </w:rPr>
        <w:t>投标人不得存在下列情形之一：</w:t>
      </w:r>
    </w:p>
    <w:p>
      <w:pPr>
        <w:pStyle w:val="3"/>
        <w:spacing w:before="125"/>
        <w:ind w:left="524"/>
        <w:rPr>
          <w:rStyle w:val="15"/>
          <w:sz w:val="21"/>
          <w:szCs w:val="21"/>
        </w:rPr>
      </w:pPr>
      <w:r>
        <w:rPr>
          <w:rStyle w:val="15"/>
          <w:sz w:val="21"/>
          <w:szCs w:val="21"/>
        </w:rPr>
        <w:t>（1）与招标人存在利害关系可能影响招标公正性的法人、其他组织；</w:t>
      </w:r>
    </w:p>
    <w:p>
      <w:pPr>
        <w:pStyle w:val="3"/>
        <w:spacing w:before="123"/>
        <w:ind w:left="524"/>
        <w:rPr>
          <w:rStyle w:val="15"/>
          <w:sz w:val="21"/>
          <w:szCs w:val="21"/>
        </w:rPr>
      </w:pPr>
      <w:r>
        <w:rPr>
          <w:rStyle w:val="15"/>
          <w:sz w:val="21"/>
          <w:szCs w:val="21"/>
        </w:rPr>
        <w:t>（2）为本标段前期准备提供设计或咨询服务的，但设计施工总承包的除外；</w:t>
      </w:r>
    </w:p>
    <w:p>
      <w:pPr>
        <w:pStyle w:val="3"/>
        <w:spacing w:before="126"/>
        <w:ind w:left="524"/>
        <w:rPr>
          <w:rStyle w:val="15"/>
          <w:sz w:val="21"/>
          <w:szCs w:val="21"/>
        </w:rPr>
      </w:pPr>
      <w:r>
        <w:rPr>
          <w:rStyle w:val="15"/>
          <w:sz w:val="21"/>
          <w:szCs w:val="21"/>
        </w:rPr>
        <w:t>（3）为本标段的监理人；</w:t>
      </w:r>
    </w:p>
    <w:p>
      <w:pPr>
        <w:pStyle w:val="3"/>
        <w:spacing w:before="126"/>
        <w:ind w:left="524"/>
        <w:rPr>
          <w:rStyle w:val="15"/>
          <w:sz w:val="21"/>
          <w:szCs w:val="21"/>
        </w:rPr>
      </w:pPr>
      <w:r>
        <w:rPr>
          <w:rStyle w:val="15"/>
          <w:sz w:val="21"/>
          <w:szCs w:val="21"/>
        </w:rPr>
        <w:t>（4）为本标段的代建人；</w:t>
      </w:r>
    </w:p>
    <w:p>
      <w:pPr>
        <w:pStyle w:val="3"/>
        <w:spacing w:before="123"/>
        <w:ind w:left="524"/>
        <w:rPr>
          <w:rStyle w:val="15"/>
          <w:sz w:val="21"/>
          <w:szCs w:val="21"/>
        </w:rPr>
      </w:pPr>
      <w:r>
        <w:rPr>
          <w:rStyle w:val="15"/>
          <w:sz w:val="21"/>
          <w:szCs w:val="21"/>
        </w:rPr>
        <w:t>（5）为本标段提供招标代理服务的；</w:t>
      </w:r>
    </w:p>
    <w:p>
      <w:pPr>
        <w:pStyle w:val="3"/>
        <w:spacing w:before="125"/>
        <w:ind w:left="524"/>
        <w:rPr>
          <w:rStyle w:val="15"/>
          <w:sz w:val="21"/>
          <w:szCs w:val="21"/>
        </w:rPr>
      </w:pPr>
      <w:r>
        <w:rPr>
          <w:rStyle w:val="15"/>
          <w:sz w:val="21"/>
          <w:szCs w:val="21"/>
        </w:rPr>
        <w:t>（6）与本标段的监理人或代建人或招标代理机构同为一个法定代表人的；</w:t>
      </w:r>
    </w:p>
    <w:p>
      <w:pPr>
        <w:pStyle w:val="3"/>
        <w:spacing w:before="125"/>
        <w:ind w:left="524"/>
        <w:rPr>
          <w:rStyle w:val="15"/>
          <w:sz w:val="21"/>
          <w:szCs w:val="21"/>
        </w:rPr>
      </w:pPr>
      <w:r>
        <w:rPr>
          <w:rStyle w:val="15"/>
          <w:sz w:val="21"/>
          <w:szCs w:val="21"/>
        </w:rPr>
        <w:t>（7）与本标段的监理人或代建人或招标代理机构相互控股或参股的；</w:t>
      </w:r>
    </w:p>
    <w:p>
      <w:pPr>
        <w:pStyle w:val="3"/>
        <w:spacing w:before="123"/>
        <w:ind w:left="524"/>
        <w:rPr>
          <w:rStyle w:val="15"/>
          <w:sz w:val="21"/>
          <w:szCs w:val="21"/>
        </w:rPr>
      </w:pPr>
      <w:r>
        <w:rPr>
          <w:rStyle w:val="15"/>
          <w:sz w:val="21"/>
          <w:szCs w:val="21"/>
        </w:rPr>
        <w:t>（8）与本标段的监理人或代建人或招标代理机构相互任职或工作的；</w:t>
      </w:r>
    </w:p>
    <w:p>
      <w:pPr>
        <w:pStyle w:val="3"/>
        <w:spacing w:before="126"/>
        <w:ind w:left="524"/>
        <w:rPr>
          <w:rStyle w:val="15"/>
          <w:sz w:val="21"/>
          <w:szCs w:val="21"/>
        </w:rPr>
      </w:pPr>
      <w:r>
        <w:rPr>
          <w:rStyle w:val="15"/>
          <w:sz w:val="21"/>
          <w:szCs w:val="21"/>
        </w:rPr>
        <w:t>（9）被责令停业整顿的；</w:t>
      </w:r>
    </w:p>
    <w:p>
      <w:pPr>
        <w:pStyle w:val="3"/>
        <w:spacing w:before="126"/>
        <w:ind w:left="524"/>
        <w:rPr>
          <w:rStyle w:val="15"/>
          <w:sz w:val="21"/>
          <w:szCs w:val="21"/>
        </w:rPr>
      </w:pPr>
      <w:r>
        <w:rPr>
          <w:rStyle w:val="15"/>
          <w:sz w:val="21"/>
          <w:szCs w:val="21"/>
        </w:rPr>
        <w:t>（10）被暂停或取消投标资格的；</w:t>
      </w:r>
    </w:p>
    <w:p>
      <w:pPr>
        <w:pStyle w:val="3"/>
        <w:spacing w:before="123"/>
        <w:ind w:left="524"/>
        <w:rPr>
          <w:rStyle w:val="15"/>
          <w:sz w:val="21"/>
          <w:szCs w:val="21"/>
        </w:rPr>
      </w:pPr>
      <w:r>
        <w:rPr>
          <w:rStyle w:val="15"/>
          <w:sz w:val="21"/>
          <w:szCs w:val="21"/>
        </w:rPr>
        <w:t>（11）财产被接管或基本账户被冻结的；</w:t>
      </w:r>
    </w:p>
    <w:p>
      <w:pPr>
        <w:pStyle w:val="3"/>
        <w:spacing w:before="125"/>
        <w:ind w:left="524"/>
        <w:rPr>
          <w:rStyle w:val="15"/>
          <w:sz w:val="21"/>
          <w:szCs w:val="21"/>
        </w:rPr>
      </w:pPr>
      <w:r>
        <w:rPr>
          <w:rStyle w:val="15"/>
          <w:sz w:val="21"/>
          <w:szCs w:val="21"/>
        </w:rPr>
        <w:t>（12）有骗取中标或严重违约或工程质量安全问题，正处在停业整顿或暂停投标期间的。</w:t>
      </w:r>
    </w:p>
    <w:p>
      <w:pPr>
        <w:pStyle w:val="17"/>
        <w:numPr>
          <w:ilvl w:val="2"/>
          <w:numId w:val="4"/>
        </w:numPr>
        <w:tabs>
          <w:tab w:val="left" w:pos="1156"/>
        </w:tabs>
        <w:spacing w:before="125" w:after="0" w:line="348" w:lineRule="auto"/>
        <w:ind w:left="100" w:right="158" w:firstLine="424"/>
        <w:jc w:val="left"/>
        <w:rPr>
          <w:rStyle w:val="15"/>
          <w:sz w:val="21"/>
          <w:szCs w:val="21"/>
        </w:rPr>
      </w:pPr>
      <w:r>
        <w:rPr>
          <w:rStyle w:val="15"/>
          <w:sz w:val="21"/>
          <w:szCs w:val="21"/>
        </w:rPr>
        <w:t>单位负责人为同一人或者存在控股、管理关系的不同单位，不得参加同一标段投标或者未划分标段的同一招标项目投标，违反本规定的，相关投标均无效。</w:t>
      </w:r>
    </w:p>
    <w:p>
      <w:pPr>
        <w:pStyle w:val="17"/>
        <w:numPr>
          <w:ilvl w:val="1"/>
          <w:numId w:val="4"/>
        </w:numPr>
        <w:tabs>
          <w:tab w:val="left" w:pos="520"/>
        </w:tabs>
        <w:spacing w:before="31" w:after="0" w:line="240" w:lineRule="auto"/>
        <w:ind w:left="520" w:right="0" w:hanging="420"/>
        <w:jc w:val="left"/>
        <w:rPr>
          <w:rStyle w:val="15"/>
          <w:sz w:val="21"/>
          <w:szCs w:val="21"/>
        </w:rPr>
      </w:pPr>
      <w:bookmarkStart w:id="52" w:name="1.5 费用承担"/>
      <w:bookmarkEnd w:id="52"/>
      <w:bookmarkStart w:id="53" w:name="_bookmark22"/>
      <w:bookmarkEnd w:id="53"/>
      <w:bookmarkStart w:id="54" w:name="_bookmark22"/>
      <w:bookmarkEnd w:id="54"/>
      <w:r>
        <w:rPr>
          <w:rStyle w:val="15"/>
          <w:sz w:val="21"/>
          <w:szCs w:val="21"/>
        </w:rPr>
        <w:t>费用承担</w:t>
      </w:r>
    </w:p>
    <w:p>
      <w:pPr>
        <w:pStyle w:val="3"/>
        <w:spacing w:before="126"/>
        <w:ind w:left="520"/>
        <w:rPr>
          <w:rStyle w:val="15"/>
          <w:sz w:val="21"/>
          <w:szCs w:val="21"/>
        </w:rPr>
      </w:pPr>
      <w:r>
        <w:rPr>
          <w:rStyle w:val="15"/>
          <w:sz w:val="21"/>
          <w:szCs w:val="21"/>
        </w:rPr>
        <w:t>投标人准备和参加投标活动发生的费用自理。</w:t>
      </w:r>
    </w:p>
    <w:p>
      <w:pPr>
        <w:pStyle w:val="17"/>
        <w:numPr>
          <w:ilvl w:val="1"/>
          <w:numId w:val="4"/>
        </w:numPr>
        <w:tabs>
          <w:tab w:val="left" w:pos="520"/>
        </w:tabs>
        <w:spacing w:before="123" w:after="0" w:line="240" w:lineRule="auto"/>
        <w:ind w:left="520" w:right="0" w:hanging="420"/>
        <w:jc w:val="left"/>
        <w:rPr>
          <w:rStyle w:val="15"/>
          <w:sz w:val="21"/>
          <w:szCs w:val="21"/>
        </w:rPr>
      </w:pPr>
      <w:bookmarkStart w:id="55" w:name="_bookmark23"/>
      <w:bookmarkEnd w:id="55"/>
      <w:bookmarkStart w:id="56" w:name="_bookmark23"/>
      <w:bookmarkEnd w:id="56"/>
      <w:bookmarkStart w:id="57" w:name="1.6 保密"/>
      <w:bookmarkEnd w:id="57"/>
      <w:r>
        <w:rPr>
          <w:rStyle w:val="15"/>
          <w:sz w:val="21"/>
          <w:szCs w:val="21"/>
        </w:rPr>
        <w:t>保密</w:t>
      </w:r>
    </w:p>
    <w:p>
      <w:pPr>
        <w:pStyle w:val="3"/>
        <w:spacing w:before="125" w:line="350" w:lineRule="auto"/>
        <w:ind w:left="100" w:right="158" w:firstLine="420"/>
        <w:rPr>
          <w:rStyle w:val="15"/>
          <w:sz w:val="21"/>
          <w:szCs w:val="21"/>
        </w:rPr>
      </w:pPr>
      <w:r>
        <w:rPr>
          <w:rStyle w:val="15"/>
          <w:sz w:val="21"/>
          <w:szCs w:val="21"/>
        </w:rPr>
        <w:t>参与招标投标活动的各方应对招标文件和投标文件中的商业和技术等秘密保密，违者应对由此造成的后果承担法律责任。</w:t>
      </w:r>
    </w:p>
    <w:p>
      <w:pPr>
        <w:pStyle w:val="17"/>
        <w:numPr>
          <w:ilvl w:val="1"/>
          <w:numId w:val="4"/>
        </w:numPr>
        <w:tabs>
          <w:tab w:val="left" w:pos="520"/>
        </w:tabs>
        <w:spacing w:before="26" w:after="0" w:line="240" w:lineRule="auto"/>
        <w:ind w:left="520" w:right="0" w:hanging="420"/>
        <w:jc w:val="left"/>
        <w:rPr>
          <w:rStyle w:val="15"/>
          <w:sz w:val="21"/>
          <w:szCs w:val="21"/>
        </w:rPr>
      </w:pPr>
      <w:bookmarkStart w:id="58" w:name="1.7 语言文字"/>
      <w:bookmarkEnd w:id="58"/>
      <w:bookmarkStart w:id="59" w:name="_bookmark24"/>
      <w:bookmarkEnd w:id="59"/>
      <w:bookmarkStart w:id="60" w:name="_bookmark24"/>
      <w:bookmarkEnd w:id="60"/>
      <w:r>
        <w:rPr>
          <w:rStyle w:val="15"/>
          <w:sz w:val="21"/>
          <w:szCs w:val="21"/>
        </w:rPr>
        <w:t>语言文字</w:t>
      </w:r>
    </w:p>
    <w:p>
      <w:pPr>
        <w:pStyle w:val="3"/>
        <w:spacing w:before="125"/>
        <w:ind w:left="524"/>
        <w:rPr>
          <w:rStyle w:val="15"/>
          <w:sz w:val="21"/>
          <w:szCs w:val="21"/>
        </w:rPr>
      </w:pPr>
      <w:r>
        <w:rPr>
          <w:rStyle w:val="15"/>
          <w:sz w:val="21"/>
          <w:szCs w:val="21"/>
        </w:rPr>
        <w:t>除专用术语外，与招标投标有关的语言均使用中文。必要时专用术语应附有中文注释。</w:t>
      </w:r>
    </w:p>
    <w:p>
      <w:pPr>
        <w:pStyle w:val="17"/>
        <w:numPr>
          <w:ilvl w:val="1"/>
          <w:numId w:val="4"/>
        </w:numPr>
        <w:tabs>
          <w:tab w:val="left" w:pos="520"/>
        </w:tabs>
        <w:spacing w:before="125" w:after="0" w:line="240" w:lineRule="auto"/>
        <w:ind w:left="520" w:right="0" w:hanging="420"/>
        <w:jc w:val="left"/>
        <w:rPr>
          <w:rStyle w:val="15"/>
          <w:sz w:val="21"/>
          <w:szCs w:val="21"/>
        </w:rPr>
      </w:pPr>
      <w:bookmarkStart w:id="61" w:name="1.8 计量单位"/>
      <w:bookmarkEnd w:id="61"/>
      <w:bookmarkStart w:id="62" w:name="_bookmark25"/>
      <w:bookmarkEnd w:id="62"/>
      <w:bookmarkStart w:id="63" w:name="_bookmark25"/>
      <w:bookmarkEnd w:id="63"/>
      <w:r>
        <w:rPr>
          <w:rStyle w:val="15"/>
          <w:sz w:val="21"/>
          <w:szCs w:val="21"/>
        </w:rPr>
        <w:t>计量单位</w:t>
      </w:r>
    </w:p>
    <w:p>
      <w:pPr>
        <w:pStyle w:val="3"/>
        <w:rPr>
          <w:rFonts w:hint="eastAsia" w:eastAsia="宋体"/>
          <w:sz w:val="20"/>
          <w:lang w:val="en-US" w:eastAsia="zh-CN"/>
        </w:rPr>
      </w:pPr>
      <w:r>
        <w:rPr>
          <w:rFonts w:hint="eastAsia"/>
          <w:sz w:val="20"/>
          <w:lang w:val="en-US" w:eastAsia="zh-CN"/>
        </w:rPr>
        <w:t xml:space="preserve">     </w:t>
      </w:r>
      <w:r>
        <w:rPr>
          <w:rStyle w:val="15"/>
          <w:sz w:val="21"/>
          <w:szCs w:val="21"/>
        </w:rPr>
        <w:t>所有计量均采用中华人民共和国法定计量单位</w:t>
      </w:r>
      <w:r>
        <w:rPr>
          <w:rStyle w:val="15"/>
          <w:rFonts w:hint="eastAsia"/>
          <w:sz w:val="21"/>
          <w:szCs w:val="21"/>
          <w:lang w:eastAsia="zh-CN"/>
        </w:rPr>
        <w:t>。</w:t>
      </w:r>
    </w:p>
    <w:p>
      <w:pPr>
        <w:pStyle w:val="17"/>
        <w:numPr>
          <w:ilvl w:val="1"/>
          <w:numId w:val="4"/>
        </w:numPr>
        <w:tabs>
          <w:tab w:val="left" w:pos="520"/>
        </w:tabs>
        <w:spacing w:before="35" w:after="0" w:line="240" w:lineRule="auto"/>
        <w:ind w:left="520" w:right="0" w:hanging="420"/>
        <w:jc w:val="left"/>
        <w:rPr>
          <w:rStyle w:val="15"/>
          <w:sz w:val="21"/>
          <w:szCs w:val="21"/>
        </w:rPr>
      </w:pPr>
      <w:bookmarkStart w:id="64" w:name="_bookmark26"/>
      <w:bookmarkEnd w:id="64"/>
      <w:bookmarkStart w:id="65" w:name="_bookmark26"/>
      <w:bookmarkEnd w:id="65"/>
      <w:bookmarkStart w:id="66" w:name="1.9 踏勘现场"/>
      <w:bookmarkEnd w:id="66"/>
      <w:r>
        <w:rPr>
          <w:rStyle w:val="15"/>
          <w:sz w:val="21"/>
          <w:szCs w:val="21"/>
        </w:rPr>
        <w:t>踏勘现场</w:t>
      </w:r>
    </w:p>
    <w:p>
      <w:pPr>
        <w:pStyle w:val="17"/>
        <w:numPr>
          <w:ilvl w:val="2"/>
          <w:numId w:val="4"/>
        </w:numPr>
        <w:tabs>
          <w:tab w:val="left" w:pos="1154"/>
        </w:tabs>
        <w:spacing w:before="126" w:after="0" w:line="240" w:lineRule="auto"/>
        <w:ind w:left="1153" w:right="0" w:hanging="629"/>
        <w:jc w:val="left"/>
        <w:rPr>
          <w:rStyle w:val="15"/>
          <w:sz w:val="21"/>
          <w:szCs w:val="21"/>
        </w:rPr>
      </w:pPr>
      <w:r>
        <w:rPr>
          <w:rStyle w:val="15"/>
          <w:sz w:val="21"/>
          <w:szCs w:val="21"/>
        </w:rPr>
        <w:t>投标人根据需要自行踏勘项目现场。</w:t>
      </w:r>
    </w:p>
    <w:p>
      <w:pPr>
        <w:pStyle w:val="17"/>
        <w:numPr>
          <w:ilvl w:val="2"/>
          <w:numId w:val="4"/>
        </w:numPr>
        <w:tabs>
          <w:tab w:val="left" w:pos="1154"/>
        </w:tabs>
        <w:spacing w:before="123" w:after="0" w:line="240" w:lineRule="auto"/>
        <w:ind w:left="1153" w:right="0" w:hanging="629"/>
        <w:jc w:val="left"/>
        <w:rPr>
          <w:rStyle w:val="15"/>
          <w:sz w:val="21"/>
          <w:szCs w:val="21"/>
        </w:rPr>
      </w:pPr>
      <w:r>
        <w:rPr>
          <w:rStyle w:val="15"/>
          <w:sz w:val="21"/>
          <w:szCs w:val="21"/>
        </w:rPr>
        <w:t>投标人踏勘现场发生的费用自理。</w:t>
      </w:r>
    </w:p>
    <w:p>
      <w:pPr>
        <w:pStyle w:val="17"/>
        <w:numPr>
          <w:ilvl w:val="2"/>
          <w:numId w:val="4"/>
        </w:numPr>
        <w:tabs>
          <w:tab w:val="left" w:pos="1154"/>
        </w:tabs>
        <w:spacing w:before="125" w:after="0" w:line="240" w:lineRule="auto"/>
        <w:ind w:left="1153" w:right="0" w:hanging="629"/>
        <w:jc w:val="left"/>
        <w:rPr>
          <w:rStyle w:val="15"/>
          <w:sz w:val="21"/>
          <w:szCs w:val="21"/>
        </w:rPr>
      </w:pPr>
      <w:r>
        <w:rPr>
          <w:rStyle w:val="15"/>
          <w:sz w:val="21"/>
          <w:szCs w:val="21"/>
        </w:rPr>
        <w:t>投标人自行负责在踏勘现场中所发生的人员伤亡和财产损失。</w:t>
      </w:r>
    </w:p>
    <w:p>
      <w:pPr>
        <w:pStyle w:val="17"/>
        <w:numPr>
          <w:ilvl w:val="1"/>
          <w:numId w:val="4"/>
        </w:numPr>
        <w:tabs>
          <w:tab w:val="left" w:pos="626"/>
        </w:tabs>
        <w:spacing w:before="125" w:after="0" w:line="348" w:lineRule="auto"/>
        <w:ind w:left="520" w:right="8390" w:hanging="420"/>
        <w:jc w:val="left"/>
        <w:rPr>
          <w:rStyle w:val="15"/>
          <w:sz w:val="21"/>
          <w:szCs w:val="21"/>
        </w:rPr>
      </w:pPr>
      <w:bookmarkStart w:id="67" w:name="_bookmark27"/>
      <w:bookmarkEnd w:id="67"/>
      <w:bookmarkStart w:id="68" w:name="1.10 投标预备会"/>
      <w:bookmarkEnd w:id="68"/>
      <w:bookmarkStart w:id="69" w:name="_bookmark27"/>
      <w:bookmarkEnd w:id="69"/>
      <w:r>
        <w:rPr>
          <w:rStyle w:val="15"/>
          <w:sz w:val="21"/>
          <w:szCs w:val="21"/>
        </w:rPr>
        <w:t>投标预备会不召开。</w:t>
      </w:r>
    </w:p>
    <w:p>
      <w:pPr>
        <w:pStyle w:val="17"/>
        <w:numPr>
          <w:ilvl w:val="1"/>
          <w:numId w:val="4"/>
        </w:numPr>
        <w:tabs>
          <w:tab w:val="left" w:pos="626"/>
        </w:tabs>
        <w:spacing w:before="31" w:after="0" w:line="240" w:lineRule="auto"/>
        <w:ind w:left="625" w:right="0" w:hanging="525"/>
        <w:jc w:val="left"/>
        <w:rPr>
          <w:rStyle w:val="15"/>
          <w:sz w:val="21"/>
          <w:szCs w:val="21"/>
        </w:rPr>
      </w:pPr>
      <w:bookmarkStart w:id="70" w:name="_bookmark28"/>
      <w:bookmarkEnd w:id="70"/>
      <w:bookmarkStart w:id="71" w:name="_bookmark28"/>
      <w:bookmarkEnd w:id="71"/>
      <w:bookmarkStart w:id="72" w:name="1.11 分包"/>
      <w:bookmarkEnd w:id="72"/>
      <w:r>
        <w:rPr>
          <w:rStyle w:val="15"/>
          <w:sz w:val="21"/>
          <w:szCs w:val="21"/>
        </w:rPr>
        <w:t>分包</w:t>
      </w:r>
    </w:p>
    <w:p>
      <w:pPr>
        <w:pStyle w:val="3"/>
        <w:spacing w:before="126" w:line="348" w:lineRule="auto"/>
        <w:ind w:left="100" w:right="-50" w:rightChars="0" w:firstLine="424"/>
        <w:rPr>
          <w:rStyle w:val="15"/>
          <w:sz w:val="21"/>
          <w:szCs w:val="21"/>
        </w:rPr>
      </w:pPr>
      <w:r>
        <w:rPr>
          <w:rStyle w:val="15"/>
          <w:sz w:val="21"/>
          <w:szCs w:val="21"/>
        </w:rPr>
        <w:t>投标人拟在中标后将中标项目的部分非主体、非关键性工作进行分包的，应符合“投标人须知前附表”   规定的分包内容、分包金额和接受分包的第三人资质要求等限制性条件。</w:t>
      </w:r>
    </w:p>
    <w:p>
      <w:pPr>
        <w:pStyle w:val="17"/>
        <w:numPr>
          <w:ilvl w:val="1"/>
          <w:numId w:val="4"/>
        </w:numPr>
        <w:tabs>
          <w:tab w:val="left" w:pos="626"/>
        </w:tabs>
        <w:spacing w:before="31" w:after="0" w:line="240" w:lineRule="auto"/>
        <w:ind w:left="625" w:right="0" w:hanging="525"/>
        <w:jc w:val="left"/>
        <w:rPr>
          <w:rStyle w:val="15"/>
          <w:sz w:val="21"/>
          <w:szCs w:val="21"/>
        </w:rPr>
      </w:pPr>
      <w:r>
        <w:rPr>
          <w:rStyle w:val="15"/>
          <w:sz w:val="21"/>
          <w:szCs w:val="21"/>
        </w:rPr>
        <w:t>偏离</w:t>
      </w:r>
    </w:p>
    <w:p>
      <w:pPr>
        <w:pStyle w:val="3"/>
        <w:spacing w:before="125"/>
        <w:ind w:left="520"/>
        <w:rPr>
          <w:rStyle w:val="15"/>
          <w:sz w:val="21"/>
          <w:szCs w:val="21"/>
        </w:rPr>
      </w:pPr>
      <w:r>
        <w:rPr>
          <w:rStyle w:val="15"/>
          <w:sz w:val="21"/>
          <w:szCs w:val="21"/>
        </w:rPr>
        <w:t>不允许。</w:t>
      </w:r>
    </w:p>
    <w:p>
      <w:pPr>
        <w:pStyle w:val="9"/>
        <w:spacing w:before="123"/>
        <w:ind w:left="100"/>
        <w:rPr>
          <w:rStyle w:val="15"/>
          <w:sz w:val="21"/>
          <w:szCs w:val="21"/>
        </w:rPr>
      </w:pPr>
      <w:bookmarkStart w:id="73" w:name="_bookmark29"/>
      <w:bookmarkEnd w:id="73"/>
      <w:bookmarkStart w:id="74" w:name="2.招标文件"/>
      <w:bookmarkEnd w:id="74"/>
      <w:r>
        <w:rPr>
          <w:rStyle w:val="15"/>
          <w:sz w:val="21"/>
          <w:szCs w:val="21"/>
        </w:rPr>
        <w:t>2.招标文件</w:t>
      </w:r>
    </w:p>
    <w:p>
      <w:pPr>
        <w:pStyle w:val="17"/>
        <w:numPr>
          <w:ilvl w:val="1"/>
          <w:numId w:val="5"/>
        </w:numPr>
        <w:tabs>
          <w:tab w:val="left" w:pos="520"/>
        </w:tabs>
        <w:spacing w:before="126" w:after="0" w:line="240" w:lineRule="auto"/>
        <w:ind w:left="520" w:right="0" w:hanging="420"/>
        <w:jc w:val="left"/>
        <w:rPr>
          <w:rStyle w:val="15"/>
          <w:sz w:val="21"/>
          <w:szCs w:val="21"/>
        </w:rPr>
      </w:pPr>
      <w:bookmarkStart w:id="75" w:name="_bookmark30"/>
      <w:bookmarkEnd w:id="75"/>
      <w:bookmarkStart w:id="76" w:name="_bookmark30"/>
      <w:bookmarkEnd w:id="76"/>
      <w:bookmarkStart w:id="77" w:name="2.1 招标文件的组成"/>
      <w:bookmarkEnd w:id="77"/>
      <w:r>
        <w:rPr>
          <w:rStyle w:val="15"/>
          <w:sz w:val="21"/>
          <w:szCs w:val="21"/>
        </w:rPr>
        <w:t>招标文件的组成</w:t>
      </w:r>
    </w:p>
    <w:p>
      <w:pPr>
        <w:pStyle w:val="17"/>
        <w:numPr>
          <w:ilvl w:val="2"/>
          <w:numId w:val="5"/>
        </w:numPr>
        <w:tabs>
          <w:tab w:val="left" w:pos="1154"/>
        </w:tabs>
        <w:spacing w:before="126" w:after="0" w:line="240" w:lineRule="auto"/>
        <w:ind w:left="100" w:right="0" w:firstLine="424"/>
        <w:jc w:val="left"/>
        <w:rPr>
          <w:rStyle w:val="15"/>
          <w:sz w:val="21"/>
          <w:szCs w:val="21"/>
        </w:rPr>
      </w:pPr>
      <w:r>
        <w:rPr>
          <w:rStyle w:val="15"/>
          <w:sz w:val="21"/>
          <w:szCs w:val="21"/>
        </w:rPr>
        <w:t>本招标文件包括：</w:t>
      </w:r>
    </w:p>
    <w:p>
      <w:pPr>
        <w:pStyle w:val="3"/>
        <w:spacing w:before="123"/>
        <w:ind w:left="524"/>
        <w:rPr>
          <w:rStyle w:val="15"/>
          <w:sz w:val="21"/>
          <w:szCs w:val="21"/>
        </w:rPr>
      </w:pPr>
      <w:r>
        <w:rPr>
          <w:rStyle w:val="15"/>
          <w:sz w:val="21"/>
          <w:szCs w:val="21"/>
        </w:rPr>
        <w:t>（1）招标公告；</w:t>
      </w:r>
    </w:p>
    <w:p>
      <w:pPr>
        <w:pStyle w:val="3"/>
        <w:spacing w:before="125"/>
        <w:ind w:left="524"/>
        <w:rPr>
          <w:rStyle w:val="15"/>
          <w:sz w:val="21"/>
          <w:szCs w:val="21"/>
        </w:rPr>
      </w:pPr>
      <w:r>
        <w:rPr>
          <w:rStyle w:val="15"/>
          <w:sz w:val="21"/>
          <w:szCs w:val="21"/>
        </w:rPr>
        <w:t>（2）投标人须知；</w:t>
      </w:r>
    </w:p>
    <w:p>
      <w:pPr>
        <w:pStyle w:val="3"/>
        <w:spacing w:before="125"/>
        <w:ind w:left="524"/>
        <w:rPr>
          <w:rStyle w:val="15"/>
          <w:sz w:val="21"/>
          <w:szCs w:val="21"/>
        </w:rPr>
      </w:pPr>
      <w:r>
        <w:rPr>
          <w:rStyle w:val="15"/>
          <w:sz w:val="21"/>
          <w:szCs w:val="21"/>
        </w:rPr>
        <w:t>（3）评标办法；</w:t>
      </w:r>
    </w:p>
    <w:p>
      <w:pPr>
        <w:pStyle w:val="3"/>
        <w:spacing w:before="123"/>
        <w:ind w:left="524"/>
        <w:rPr>
          <w:rStyle w:val="15"/>
          <w:sz w:val="21"/>
          <w:szCs w:val="21"/>
        </w:rPr>
      </w:pPr>
      <w:r>
        <w:rPr>
          <w:rStyle w:val="15"/>
          <w:sz w:val="21"/>
          <w:szCs w:val="21"/>
        </w:rPr>
        <w:t>（4）合同条款及格式；</w:t>
      </w:r>
    </w:p>
    <w:p>
      <w:pPr>
        <w:pStyle w:val="3"/>
        <w:spacing w:before="126"/>
        <w:ind w:left="524"/>
        <w:rPr>
          <w:rStyle w:val="15"/>
          <w:sz w:val="21"/>
          <w:szCs w:val="21"/>
        </w:rPr>
      </w:pPr>
      <w:r>
        <w:rPr>
          <w:rStyle w:val="15"/>
          <w:sz w:val="21"/>
          <w:szCs w:val="21"/>
        </w:rPr>
        <w:t>（5）工程量清单；</w:t>
      </w:r>
    </w:p>
    <w:p>
      <w:pPr>
        <w:pStyle w:val="3"/>
        <w:spacing w:before="126"/>
        <w:ind w:left="524"/>
        <w:rPr>
          <w:rStyle w:val="15"/>
          <w:sz w:val="21"/>
          <w:szCs w:val="21"/>
        </w:rPr>
      </w:pPr>
      <w:r>
        <w:rPr>
          <w:rStyle w:val="15"/>
          <w:sz w:val="21"/>
          <w:szCs w:val="21"/>
        </w:rPr>
        <w:t>（6）招标控制价；</w:t>
      </w:r>
    </w:p>
    <w:p>
      <w:pPr>
        <w:pStyle w:val="3"/>
        <w:spacing w:before="123"/>
        <w:ind w:left="524"/>
        <w:rPr>
          <w:rStyle w:val="15"/>
          <w:sz w:val="21"/>
          <w:szCs w:val="21"/>
        </w:rPr>
      </w:pPr>
      <w:r>
        <w:rPr>
          <w:rStyle w:val="15"/>
          <w:sz w:val="21"/>
          <w:szCs w:val="21"/>
        </w:rPr>
        <w:t>（7）图纸；</w:t>
      </w:r>
    </w:p>
    <w:p>
      <w:pPr>
        <w:pStyle w:val="3"/>
        <w:spacing w:before="125"/>
        <w:ind w:left="524"/>
        <w:rPr>
          <w:rStyle w:val="15"/>
          <w:sz w:val="21"/>
          <w:szCs w:val="21"/>
        </w:rPr>
      </w:pPr>
      <w:r>
        <w:rPr>
          <w:rStyle w:val="15"/>
          <w:sz w:val="21"/>
          <w:szCs w:val="21"/>
        </w:rPr>
        <w:t>（8）技术标准和要求；</w:t>
      </w:r>
    </w:p>
    <w:p>
      <w:pPr>
        <w:pStyle w:val="3"/>
        <w:spacing w:before="125"/>
        <w:ind w:left="524"/>
        <w:rPr>
          <w:rStyle w:val="15"/>
          <w:sz w:val="21"/>
          <w:szCs w:val="21"/>
        </w:rPr>
      </w:pPr>
      <w:r>
        <w:rPr>
          <w:rStyle w:val="15"/>
          <w:sz w:val="21"/>
          <w:szCs w:val="21"/>
        </w:rPr>
        <w:t>（9）投标文件格式；</w:t>
      </w:r>
    </w:p>
    <w:p>
      <w:pPr>
        <w:pStyle w:val="3"/>
        <w:spacing w:before="123"/>
        <w:ind w:left="524"/>
        <w:rPr>
          <w:rStyle w:val="15"/>
          <w:sz w:val="21"/>
          <w:szCs w:val="21"/>
        </w:rPr>
      </w:pPr>
      <w:r>
        <w:rPr>
          <w:rStyle w:val="15"/>
          <w:sz w:val="21"/>
          <w:szCs w:val="21"/>
        </w:rPr>
        <w:t>（10）“投标人须知前附表”规定的其他材料。</w:t>
      </w:r>
    </w:p>
    <w:p>
      <w:pPr>
        <w:pStyle w:val="17"/>
        <w:numPr>
          <w:ilvl w:val="2"/>
          <w:numId w:val="5"/>
        </w:numPr>
        <w:tabs>
          <w:tab w:val="left" w:pos="1298"/>
        </w:tabs>
        <w:spacing w:before="126" w:after="0" w:line="350" w:lineRule="auto"/>
        <w:ind w:left="100" w:right="216" w:firstLine="566"/>
        <w:jc w:val="left"/>
        <w:rPr>
          <w:rStyle w:val="15"/>
          <w:sz w:val="21"/>
          <w:szCs w:val="21"/>
        </w:rPr>
      </w:pPr>
      <w:r>
        <w:rPr>
          <w:rStyle w:val="15"/>
          <w:sz w:val="21"/>
          <w:szCs w:val="21"/>
        </w:rPr>
        <w:t>根据本章第 2.2 款和第 2.3 款对招标文件所作的澄清、修改，构成招标文件的组成部分。当招标文件及其澄清、修改或补充文件对于同一内容表述不一致时，以最后发出的书面文件为准。</w:t>
      </w:r>
    </w:p>
    <w:p>
      <w:pPr>
        <w:pStyle w:val="17"/>
        <w:numPr>
          <w:ilvl w:val="1"/>
          <w:numId w:val="5"/>
        </w:numPr>
        <w:tabs>
          <w:tab w:val="left" w:pos="520"/>
        </w:tabs>
        <w:spacing w:before="27" w:after="0" w:line="240" w:lineRule="auto"/>
        <w:ind w:left="520" w:right="0" w:hanging="420"/>
        <w:jc w:val="left"/>
        <w:rPr>
          <w:rStyle w:val="15"/>
          <w:sz w:val="21"/>
          <w:szCs w:val="21"/>
        </w:rPr>
      </w:pPr>
      <w:bookmarkStart w:id="78" w:name="2.2 招标文件的澄清"/>
      <w:bookmarkEnd w:id="78"/>
      <w:bookmarkStart w:id="79" w:name="_bookmark31"/>
      <w:bookmarkEnd w:id="79"/>
      <w:bookmarkStart w:id="80" w:name="_bookmark31"/>
      <w:bookmarkEnd w:id="80"/>
      <w:r>
        <w:rPr>
          <w:rStyle w:val="15"/>
          <w:sz w:val="21"/>
          <w:szCs w:val="21"/>
        </w:rPr>
        <w:t>招标文件的澄清</w:t>
      </w:r>
    </w:p>
    <w:p>
      <w:pPr>
        <w:pStyle w:val="17"/>
        <w:numPr>
          <w:ilvl w:val="2"/>
          <w:numId w:val="5"/>
        </w:numPr>
        <w:tabs>
          <w:tab w:val="left" w:pos="1298"/>
        </w:tabs>
        <w:spacing w:before="126" w:after="0" w:line="348" w:lineRule="auto"/>
        <w:ind w:left="100" w:right="115" w:firstLine="566"/>
        <w:jc w:val="left"/>
        <w:rPr>
          <w:rStyle w:val="15"/>
          <w:sz w:val="21"/>
          <w:szCs w:val="21"/>
        </w:rPr>
      </w:pPr>
      <w:r>
        <w:rPr>
          <w:rStyle w:val="15"/>
          <w:sz w:val="21"/>
          <w:szCs w:val="21"/>
        </w:rPr>
        <w:t>投标人应仔细阅读和检查招标文件的全部内容。如发现缺页或附件不全，应及时向招标人提出，   以便补齐。如有疑问和异议，应在“投标人须知前附表”规定的时间前书面要求（包括信函、电报、传真等可以有形地表现所载内容的形式，下同）招标人对招标文件予以澄清。</w:t>
      </w:r>
    </w:p>
    <w:p>
      <w:pPr>
        <w:pStyle w:val="17"/>
        <w:numPr>
          <w:ilvl w:val="2"/>
          <w:numId w:val="5"/>
        </w:numPr>
        <w:tabs>
          <w:tab w:val="left" w:pos="1298"/>
        </w:tabs>
        <w:spacing w:before="31" w:after="0" w:line="348" w:lineRule="auto"/>
        <w:ind w:left="100" w:right="216" w:firstLine="566"/>
        <w:jc w:val="both"/>
        <w:rPr>
          <w:sz w:val="21"/>
        </w:rPr>
      </w:pPr>
      <w:r>
        <w:rPr>
          <w:spacing w:val="-2"/>
          <w:sz w:val="21"/>
        </w:rPr>
        <w:t xml:space="preserve">招标文件的澄清应在“投标人须知前附表”规定的投标截止时间 </w:t>
      </w:r>
      <w:r>
        <w:rPr>
          <w:sz w:val="21"/>
        </w:rPr>
        <w:t>15</w:t>
      </w:r>
      <w:r>
        <w:rPr>
          <w:spacing w:val="-7"/>
          <w:sz w:val="21"/>
        </w:rPr>
        <w:t xml:space="preserve"> 天前，以“投标人须知前附表”2.2.2</w:t>
      </w:r>
      <w:r>
        <w:rPr>
          <w:spacing w:val="-12"/>
          <w:sz w:val="21"/>
        </w:rPr>
        <w:t xml:space="preserve"> 规定的形式向所有购买招标文件的投标人发布，但不指明澄清问题的来源。如果澄清发出的时</w:t>
      </w:r>
      <w:r>
        <w:rPr>
          <w:spacing w:val="-17"/>
          <w:sz w:val="21"/>
        </w:rPr>
        <w:t xml:space="preserve">间距投标截止时间不足 </w:t>
      </w:r>
      <w:r>
        <w:rPr>
          <w:sz w:val="21"/>
        </w:rPr>
        <w:t>15</w:t>
      </w:r>
      <w:r>
        <w:rPr>
          <w:spacing w:val="-9"/>
          <w:sz w:val="21"/>
        </w:rPr>
        <w:t xml:space="preserve"> 天可能影响投标文件编制的，相应延长投标截止时间。</w:t>
      </w:r>
    </w:p>
    <w:p>
      <w:pPr>
        <w:pStyle w:val="3"/>
        <w:ind w:firstLine="630" w:firstLineChars="300"/>
        <w:rPr>
          <w:sz w:val="20"/>
        </w:rPr>
      </w:pPr>
      <w:r>
        <w:rPr>
          <w:rFonts w:hint="eastAsia"/>
          <w:sz w:val="21"/>
          <w:lang w:val="en-US" w:eastAsia="zh-CN"/>
        </w:rPr>
        <w:t xml:space="preserve">2.2.3 </w:t>
      </w:r>
      <w:r>
        <w:rPr>
          <w:sz w:val="21"/>
        </w:rPr>
        <w:t>投标人在收到澄清后，应按“投标人须知前附表”2.2.3</w:t>
      </w:r>
      <w:r>
        <w:rPr>
          <w:spacing w:val="-9"/>
          <w:sz w:val="21"/>
        </w:rPr>
        <w:t xml:space="preserve"> 规定的形式确认已收到该澄清。</w:t>
      </w:r>
    </w:p>
    <w:p>
      <w:pPr>
        <w:pStyle w:val="3"/>
        <w:spacing w:before="1"/>
        <w:rPr>
          <w:sz w:val="16"/>
        </w:rPr>
      </w:pPr>
    </w:p>
    <w:p>
      <w:pPr>
        <w:pStyle w:val="17"/>
        <w:numPr>
          <w:ilvl w:val="1"/>
          <w:numId w:val="5"/>
        </w:numPr>
        <w:tabs>
          <w:tab w:val="left" w:pos="520"/>
        </w:tabs>
        <w:spacing w:before="35" w:after="0" w:line="240" w:lineRule="auto"/>
        <w:ind w:left="520" w:right="0" w:hanging="420"/>
        <w:jc w:val="left"/>
        <w:rPr>
          <w:rStyle w:val="15"/>
          <w:sz w:val="21"/>
          <w:szCs w:val="21"/>
        </w:rPr>
      </w:pPr>
      <w:bookmarkStart w:id="81" w:name="_bookmark32"/>
      <w:bookmarkEnd w:id="81"/>
      <w:bookmarkStart w:id="82" w:name="_bookmark32"/>
      <w:bookmarkEnd w:id="82"/>
      <w:bookmarkStart w:id="83" w:name="2.3 招标文件的修改"/>
      <w:bookmarkEnd w:id="83"/>
      <w:r>
        <w:rPr>
          <w:rStyle w:val="15"/>
          <w:sz w:val="21"/>
          <w:szCs w:val="21"/>
        </w:rPr>
        <w:t>招标文件的修改</w:t>
      </w:r>
    </w:p>
    <w:p>
      <w:pPr>
        <w:pStyle w:val="17"/>
        <w:numPr>
          <w:ilvl w:val="2"/>
          <w:numId w:val="5"/>
        </w:numPr>
        <w:tabs>
          <w:tab w:val="left" w:pos="1315"/>
        </w:tabs>
        <w:spacing w:before="126" w:after="0" w:line="348" w:lineRule="auto"/>
        <w:ind w:left="100" w:right="218" w:firstLine="566"/>
        <w:jc w:val="both"/>
        <w:rPr>
          <w:rStyle w:val="15"/>
          <w:sz w:val="21"/>
          <w:szCs w:val="21"/>
        </w:rPr>
      </w:pPr>
      <w:r>
        <w:rPr>
          <w:rStyle w:val="15"/>
          <w:sz w:val="21"/>
          <w:szCs w:val="21"/>
        </w:rPr>
        <w:t>在投标截止时间 15 天前， 招标人可以书面形式修改招标文件， 并以“ 投标人须知前附表”2.2.2 规定的澄清文件发布的相同形式，通知所有已购买招标文件的投标人。如果修改招标文件的时间距投标截止时间不足 15 天可能影响投标文件编制的，相应延长投标截止时间。</w:t>
      </w:r>
    </w:p>
    <w:p>
      <w:pPr>
        <w:pStyle w:val="17"/>
        <w:numPr>
          <w:ilvl w:val="2"/>
          <w:numId w:val="5"/>
        </w:numPr>
        <w:tabs>
          <w:tab w:val="left" w:pos="1298"/>
        </w:tabs>
        <w:spacing w:before="31" w:after="0" w:line="348" w:lineRule="auto"/>
        <w:ind w:left="100" w:right="218" w:firstLine="566"/>
        <w:jc w:val="left"/>
        <w:rPr>
          <w:rStyle w:val="15"/>
          <w:sz w:val="21"/>
          <w:szCs w:val="21"/>
        </w:rPr>
      </w:pPr>
      <w:r>
        <w:rPr>
          <w:rStyle w:val="15"/>
          <w:sz w:val="21"/>
          <w:szCs w:val="21"/>
        </w:rPr>
        <w:t>投标人在收到修改后，应按“投标人须知前附表”2.2.3 规定的澄清文件确认的相同形式，确认已收到该澄清。</w:t>
      </w:r>
    </w:p>
    <w:p>
      <w:pPr>
        <w:pStyle w:val="17"/>
        <w:numPr>
          <w:ilvl w:val="2"/>
          <w:numId w:val="5"/>
        </w:numPr>
        <w:tabs>
          <w:tab w:val="left" w:pos="1298"/>
        </w:tabs>
        <w:spacing w:before="31" w:after="0" w:line="350" w:lineRule="auto"/>
        <w:ind w:left="100" w:right="218" w:firstLine="566"/>
        <w:jc w:val="left"/>
        <w:rPr>
          <w:rStyle w:val="15"/>
          <w:sz w:val="21"/>
          <w:szCs w:val="21"/>
        </w:rPr>
      </w:pPr>
      <w:r>
        <w:rPr>
          <w:rStyle w:val="15"/>
          <w:sz w:val="21"/>
          <w:szCs w:val="21"/>
        </w:rPr>
        <w:t>为使投标人在编制投标文件时有充分的时间对招标文件的修改、补充等内容进行研究并做出响   应，招标人可酌情延长提交投标文件的截止时间，具体时间在招标文件的修改、补充等通知中予以明确。</w:t>
      </w:r>
    </w:p>
    <w:p>
      <w:pPr>
        <w:pStyle w:val="17"/>
        <w:numPr>
          <w:ilvl w:val="2"/>
          <w:numId w:val="5"/>
        </w:numPr>
        <w:tabs>
          <w:tab w:val="left" w:pos="1298"/>
        </w:tabs>
        <w:spacing w:before="27" w:after="0" w:line="350" w:lineRule="auto"/>
        <w:ind w:left="100" w:right="218" w:firstLine="566"/>
        <w:jc w:val="left"/>
        <w:rPr>
          <w:rStyle w:val="15"/>
          <w:sz w:val="21"/>
          <w:szCs w:val="21"/>
        </w:rPr>
      </w:pPr>
      <w:r>
        <w:rPr>
          <w:rStyle w:val="15"/>
          <w:sz w:val="21"/>
          <w:szCs w:val="21"/>
        </w:rPr>
        <w:t>招标文件的修改或补充报招投标监督管理部门备案后，发送给所有获得招标文件的投标人。招   标文件的修改内容作为招标文件的组成部分，具有约束作用。</w:t>
      </w:r>
    </w:p>
    <w:p>
      <w:pPr>
        <w:pStyle w:val="9"/>
        <w:spacing w:before="29"/>
        <w:ind w:left="100"/>
        <w:rPr>
          <w:rStyle w:val="15"/>
          <w:sz w:val="21"/>
          <w:szCs w:val="21"/>
        </w:rPr>
      </w:pPr>
      <w:bookmarkStart w:id="84" w:name="3.投标文件"/>
      <w:bookmarkEnd w:id="84"/>
      <w:bookmarkStart w:id="85" w:name="_bookmark33"/>
      <w:bookmarkEnd w:id="85"/>
      <w:r>
        <w:rPr>
          <w:rStyle w:val="15"/>
          <w:sz w:val="21"/>
          <w:szCs w:val="21"/>
        </w:rPr>
        <w:t>3.投标文件</w:t>
      </w:r>
    </w:p>
    <w:p>
      <w:pPr>
        <w:pStyle w:val="17"/>
        <w:numPr>
          <w:ilvl w:val="1"/>
          <w:numId w:val="6"/>
        </w:numPr>
        <w:tabs>
          <w:tab w:val="left" w:pos="520"/>
        </w:tabs>
        <w:spacing w:before="123" w:after="0" w:line="240" w:lineRule="auto"/>
        <w:ind w:left="520" w:right="0" w:hanging="420"/>
        <w:jc w:val="left"/>
        <w:rPr>
          <w:rStyle w:val="15"/>
          <w:sz w:val="21"/>
          <w:szCs w:val="21"/>
        </w:rPr>
      </w:pPr>
      <w:bookmarkStart w:id="86" w:name="3.1 投标文件的组成"/>
      <w:bookmarkEnd w:id="86"/>
      <w:bookmarkStart w:id="87" w:name="_bookmark34"/>
      <w:bookmarkEnd w:id="87"/>
      <w:bookmarkStart w:id="88" w:name="_bookmark34"/>
      <w:bookmarkEnd w:id="88"/>
      <w:r>
        <w:rPr>
          <w:rStyle w:val="15"/>
          <w:sz w:val="21"/>
          <w:szCs w:val="21"/>
        </w:rPr>
        <w:t>投标文件的组成</w:t>
      </w:r>
    </w:p>
    <w:p>
      <w:pPr>
        <w:pStyle w:val="17"/>
        <w:numPr>
          <w:ilvl w:val="2"/>
          <w:numId w:val="6"/>
        </w:numPr>
        <w:tabs>
          <w:tab w:val="left" w:pos="1298"/>
        </w:tabs>
        <w:spacing w:before="126" w:after="0" w:line="240" w:lineRule="auto"/>
        <w:ind w:left="100" w:right="0" w:firstLine="566"/>
        <w:jc w:val="left"/>
        <w:rPr>
          <w:rStyle w:val="15"/>
          <w:sz w:val="21"/>
          <w:szCs w:val="21"/>
        </w:rPr>
      </w:pPr>
      <w:r>
        <w:rPr>
          <w:rStyle w:val="15"/>
          <w:sz w:val="21"/>
          <w:szCs w:val="21"/>
        </w:rPr>
        <w:t>投标文件应包括下列内容：</w:t>
      </w:r>
    </w:p>
    <w:p>
      <w:pPr>
        <w:pStyle w:val="3"/>
        <w:spacing w:before="126"/>
        <w:ind w:left="666"/>
        <w:rPr>
          <w:rStyle w:val="15"/>
          <w:sz w:val="21"/>
          <w:szCs w:val="21"/>
        </w:rPr>
      </w:pPr>
      <w:r>
        <w:rPr>
          <w:rStyle w:val="15"/>
          <w:sz w:val="21"/>
          <w:szCs w:val="21"/>
        </w:rPr>
        <w:t>（1）资格审查部分：具体材料见“投标人须知前附表”；</w:t>
      </w:r>
    </w:p>
    <w:p>
      <w:pPr>
        <w:pStyle w:val="3"/>
        <w:spacing w:before="123"/>
        <w:ind w:left="666"/>
        <w:rPr>
          <w:rStyle w:val="15"/>
          <w:sz w:val="21"/>
          <w:szCs w:val="21"/>
        </w:rPr>
      </w:pPr>
      <w:r>
        <w:rPr>
          <w:rStyle w:val="15"/>
          <w:sz w:val="21"/>
          <w:szCs w:val="21"/>
        </w:rPr>
        <w:t>（2）商务标部分：具体材料见“投标人须知前附表”；</w:t>
      </w:r>
    </w:p>
    <w:p>
      <w:pPr>
        <w:pStyle w:val="3"/>
        <w:spacing w:before="125"/>
        <w:ind w:left="666"/>
        <w:rPr>
          <w:rStyle w:val="15"/>
          <w:sz w:val="21"/>
          <w:szCs w:val="21"/>
        </w:rPr>
      </w:pPr>
      <w:r>
        <w:rPr>
          <w:rStyle w:val="15"/>
          <w:sz w:val="21"/>
          <w:szCs w:val="21"/>
        </w:rPr>
        <w:t>（3）技术标部分：具体材料见“投标人须知前附表”；</w:t>
      </w:r>
    </w:p>
    <w:p>
      <w:pPr>
        <w:pStyle w:val="3"/>
        <w:spacing w:before="125"/>
        <w:ind w:left="666"/>
        <w:rPr>
          <w:rStyle w:val="15"/>
          <w:sz w:val="21"/>
          <w:szCs w:val="21"/>
        </w:rPr>
      </w:pPr>
      <w:r>
        <w:rPr>
          <w:rStyle w:val="15"/>
          <w:sz w:val="21"/>
          <w:szCs w:val="21"/>
        </w:rPr>
        <w:t>（4）投标文件电子：具体材料见“投标人须知前附表”。</w:t>
      </w:r>
    </w:p>
    <w:p>
      <w:pPr>
        <w:pStyle w:val="17"/>
        <w:numPr>
          <w:ilvl w:val="2"/>
          <w:numId w:val="6"/>
        </w:numPr>
        <w:tabs>
          <w:tab w:val="left" w:pos="1298"/>
        </w:tabs>
        <w:spacing w:before="123" w:after="0" w:line="350" w:lineRule="auto"/>
        <w:ind w:left="100" w:right="221" w:firstLine="566"/>
        <w:jc w:val="left"/>
        <w:rPr>
          <w:rStyle w:val="15"/>
          <w:sz w:val="21"/>
          <w:szCs w:val="21"/>
        </w:rPr>
      </w:pPr>
      <w:r>
        <w:rPr>
          <w:rStyle w:val="15"/>
          <w:sz w:val="21"/>
          <w:szCs w:val="21"/>
        </w:rPr>
        <w:t>招标文件“第八章 投标文件格式”有规定格式要求的，投标人应按规定的格式填写并按要求提交相关的证明材料。</w:t>
      </w:r>
    </w:p>
    <w:p>
      <w:pPr>
        <w:pStyle w:val="17"/>
        <w:numPr>
          <w:ilvl w:val="2"/>
          <w:numId w:val="6"/>
        </w:numPr>
        <w:tabs>
          <w:tab w:val="left" w:pos="1245"/>
        </w:tabs>
        <w:spacing w:before="29" w:after="0" w:line="348" w:lineRule="auto"/>
        <w:ind w:left="100" w:right="-50" w:rightChars="0" w:firstLine="566"/>
        <w:jc w:val="left"/>
        <w:rPr>
          <w:rStyle w:val="15"/>
          <w:sz w:val="21"/>
          <w:szCs w:val="21"/>
        </w:rPr>
      </w:pPr>
      <w:r>
        <w:rPr>
          <w:rStyle w:val="15"/>
          <w:sz w:val="21"/>
          <w:szCs w:val="21"/>
        </w:rPr>
        <w:t>“投标人须知前附表”规定不接受联合体投标的，或投标人没有组成联合体的，投标文件不包括本章第 3.1.1（1）中所指的联合体协议书。</w:t>
      </w:r>
    </w:p>
    <w:p>
      <w:pPr>
        <w:pStyle w:val="17"/>
        <w:numPr>
          <w:ilvl w:val="2"/>
          <w:numId w:val="6"/>
        </w:numPr>
        <w:tabs>
          <w:tab w:val="left" w:pos="1298"/>
        </w:tabs>
        <w:spacing w:before="31" w:after="0" w:line="240" w:lineRule="auto"/>
        <w:ind w:left="100" w:right="-48" w:rightChars="-22" w:firstLine="566"/>
        <w:jc w:val="left"/>
        <w:rPr>
          <w:rStyle w:val="15"/>
          <w:sz w:val="21"/>
          <w:szCs w:val="21"/>
        </w:rPr>
      </w:pPr>
      <w:r>
        <w:rPr>
          <w:rStyle w:val="15"/>
          <w:sz w:val="21"/>
          <w:szCs w:val="21"/>
        </w:rPr>
        <w:t>近年财务状况、完成的类似项目、发生的诉讼及仲裁情况的年份要求：见“投标人须知前附表”。</w:t>
      </w:r>
    </w:p>
    <w:p>
      <w:pPr>
        <w:pStyle w:val="17"/>
        <w:numPr>
          <w:ilvl w:val="1"/>
          <w:numId w:val="6"/>
        </w:numPr>
        <w:tabs>
          <w:tab w:val="left" w:pos="520"/>
        </w:tabs>
        <w:spacing w:before="126" w:after="0" w:line="240" w:lineRule="auto"/>
        <w:ind w:left="520" w:right="0" w:hanging="420"/>
        <w:jc w:val="left"/>
        <w:rPr>
          <w:rStyle w:val="15"/>
          <w:sz w:val="21"/>
          <w:szCs w:val="21"/>
        </w:rPr>
      </w:pPr>
      <w:bookmarkStart w:id="89" w:name="3.2 投标报价"/>
      <w:bookmarkEnd w:id="89"/>
      <w:bookmarkStart w:id="90" w:name="_bookmark35"/>
      <w:bookmarkEnd w:id="90"/>
      <w:bookmarkStart w:id="91" w:name="_bookmark35"/>
      <w:bookmarkEnd w:id="91"/>
      <w:r>
        <w:rPr>
          <w:rStyle w:val="15"/>
          <w:sz w:val="21"/>
          <w:szCs w:val="21"/>
        </w:rPr>
        <w:t>投标报价</w:t>
      </w:r>
    </w:p>
    <w:p>
      <w:pPr>
        <w:pStyle w:val="17"/>
        <w:numPr>
          <w:ilvl w:val="2"/>
          <w:numId w:val="6"/>
        </w:numPr>
        <w:tabs>
          <w:tab w:val="left" w:pos="1298"/>
        </w:tabs>
        <w:spacing w:before="123" w:after="0" w:line="240" w:lineRule="auto"/>
        <w:ind w:left="1297" w:right="0" w:hanging="631"/>
        <w:jc w:val="left"/>
        <w:rPr>
          <w:rStyle w:val="15"/>
          <w:sz w:val="21"/>
          <w:szCs w:val="21"/>
        </w:rPr>
      </w:pPr>
      <w:r>
        <w:rPr>
          <w:rStyle w:val="15"/>
          <w:sz w:val="21"/>
          <w:szCs w:val="21"/>
        </w:rPr>
        <w:t>投标人应按第五章“工程量清单”的要求填写相应表格。</w:t>
      </w:r>
    </w:p>
    <w:p>
      <w:pPr>
        <w:pStyle w:val="17"/>
        <w:numPr>
          <w:ilvl w:val="3"/>
          <w:numId w:val="6"/>
        </w:numPr>
        <w:tabs>
          <w:tab w:val="left" w:pos="1454"/>
        </w:tabs>
        <w:spacing w:before="125" w:after="0" w:line="240" w:lineRule="auto"/>
        <w:ind w:left="100" w:right="0" w:firstLine="566"/>
        <w:jc w:val="left"/>
        <w:rPr>
          <w:rStyle w:val="15"/>
          <w:sz w:val="21"/>
          <w:szCs w:val="21"/>
        </w:rPr>
      </w:pPr>
      <w:r>
        <w:rPr>
          <w:rStyle w:val="15"/>
          <w:sz w:val="21"/>
          <w:szCs w:val="21"/>
        </w:rPr>
        <w:t>本项目招标提供纸质形式工程量清单。投标人已标价工程量清单纸质投标文件应符合第八章</w:t>
      </w:r>
    </w:p>
    <w:p>
      <w:pPr>
        <w:pStyle w:val="3"/>
        <w:spacing w:before="125"/>
        <w:ind w:left="100"/>
        <w:rPr>
          <w:rStyle w:val="15"/>
          <w:sz w:val="21"/>
          <w:szCs w:val="21"/>
        </w:rPr>
      </w:pPr>
      <w:r>
        <w:rPr>
          <w:rStyle w:val="15"/>
          <w:sz w:val="21"/>
          <w:szCs w:val="21"/>
        </w:rPr>
        <w:t>“投标文件格式”的要求，电子文件应提供计价软件本身复制出的工程计价文件和导出的文件后缀名为</w:t>
      </w:r>
    </w:p>
    <w:p>
      <w:pPr>
        <w:pStyle w:val="3"/>
        <w:spacing w:before="122"/>
        <w:ind w:left="100"/>
        <w:rPr>
          <w:rStyle w:val="15"/>
          <w:sz w:val="21"/>
          <w:szCs w:val="21"/>
        </w:rPr>
      </w:pPr>
      <w:r>
        <w:rPr>
          <w:rStyle w:val="15"/>
          <w:sz w:val="21"/>
          <w:szCs w:val="21"/>
        </w:rPr>
        <w:t>“.xls”的评标交换文件两种格式文件，并注明所使用的软件版本号。</w:t>
      </w:r>
    </w:p>
    <w:p>
      <w:pPr>
        <w:pStyle w:val="17"/>
        <w:numPr>
          <w:ilvl w:val="3"/>
          <w:numId w:val="6"/>
        </w:numPr>
        <w:tabs>
          <w:tab w:val="left" w:pos="1454"/>
        </w:tabs>
        <w:spacing w:before="125" w:after="0" w:line="350" w:lineRule="auto"/>
        <w:ind w:left="100" w:right="218" w:firstLine="566"/>
        <w:jc w:val="both"/>
        <w:rPr>
          <w:rStyle w:val="15"/>
          <w:sz w:val="21"/>
          <w:szCs w:val="21"/>
        </w:rPr>
      </w:pPr>
      <w:r>
        <w:rPr>
          <w:rStyle w:val="15"/>
          <w:sz w:val="21"/>
          <w:szCs w:val="21"/>
        </w:rPr>
        <w:t>投标人提交的已标价工程量清单纸质文件应从已编制完成的电子文件中选择符合第八章“投标文件格式”格式要求的相应表格直接打印，纸质文件应当与电子文件一致，不得弄虚作假，如出现纸质文件与电子文件不一致时，无论在评标时或合同执行时，招标人均有权以最不利于投标人（或中标人和承包人）的处理。</w:t>
      </w:r>
    </w:p>
    <w:p>
      <w:pPr>
        <w:pStyle w:val="17"/>
        <w:numPr>
          <w:ilvl w:val="3"/>
          <w:numId w:val="6"/>
        </w:numPr>
        <w:tabs>
          <w:tab w:val="left" w:pos="1454"/>
        </w:tabs>
        <w:spacing w:before="29" w:after="0" w:line="348" w:lineRule="auto"/>
        <w:ind w:left="100" w:right="218" w:firstLine="566"/>
        <w:jc w:val="left"/>
        <w:rPr>
          <w:rStyle w:val="15"/>
          <w:sz w:val="21"/>
          <w:szCs w:val="21"/>
        </w:rPr>
      </w:pPr>
      <w:r>
        <w:rPr>
          <w:rStyle w:val="15"/>
          <w:sz w:val="21"/>
          <w:szCs w:val="21"/>
        </w:rPr>
        <w:t>投标人已标价工程量清单电子文件应单独拷入光盘中，在光盘标签上标明工程名称和投标人名称。</w:t>
      </w:r>
    </w:p>
    <w:p>
      <w:pPr>
        <w:pStyle w:val="3"/>
        <w:ind w:firstLine="630" w:firstLineChars="300"/>
        <w:rPr>
          <w:sz w:val="20"/>
        </w:rPr>
      </w:pPr>
      <w:r>
        <w:t>3.2.2 投标人在投标截止时间前修改投标函中的投标总报价，应同时修改第五章“工程量清单”中的</w:t>
      </w:r>
    </w:p>
    <w:p>
      <w:pPr>
        <w:pStyle w:val="3"/>
        <w:spacing w:before="1"/>
        <w:rPr>
          <w:sz w:val="16"/>
        </w:rPr>
      </w:pPr>
    </w:p>
    <w:p>
      <w:pPr>
        <w:pStyle w:val="3"/>
        <w:spacing w:before="35"/>
        <w:ind w:left="100"/>
      </w:pPr>
      <w:r>
        <w:t>相应报价。此修改须符合本章第 4.3 款的有关要求。</w:t>
      </w:r>
    </w:p>
    <w:p>
      <w:pPr>
        <w:pStyle w:val="17"/>
        <w:numPr>
          <w:ilvl w:val="1"/>
          <w:numId w:val="6"/>
        </w:numPr>
        <w:tabs>
          <w:tab w:val="left" w:pos="520"/>
        </w:tabs>
        <w:spacing w:before="126" w:after="0" w:line="240" w:lineRule="auto"/>
        <w:ind w:left="520" w:right="0" w:hanging="420"/>
        <w:jc w:val="left"/>
        <w:rPr>
          <w:rStyle w:val="15"/>
          <w:sz w:val="21"/>
          <w:szCs w:val="21"/>
        </w:rPr>
      </w:pPr>
      <w:bookmarkStart w:id="92" w:name="_bookmark36"/>
      <w:bookmarkEnd w:id="92"/>
      <w:bookmarkStart w:id="93" w:name="_bookmark36"/>
      <w:bookmarkEnd w:id="93"/>
      <w:bookmarkStart w:id="94" w:name="3.3 投标有效期"/>
      <w:bookmarkEnd w:id="94"/>
      <w:r>
        <w:rPr>
          <w:rStyle w:val="15"/>
          <w:sz w:val="21"/>
          <w:szCs w:val="21"/>
        </w:rPr>
        <w:t>投标有效期</w:t>
      </w:r>
    </w:p>
    <w:p>
      <w:pPr>
        <w:pStyle w:val="17"/>
        <w:numPr>
          <w:ilvl w:val="2"/>
          <w:numId w:val="6"/>
        </w:numPr>
        <w:tabs>
          <w:tab w:val="left" w:pos="1298"/>
        </w:tabs>
        <w:spacing w:before="123" w:after="0" w:line="240" w:lineRule="auto"/>
        <w:ind w:left="100" w:right="0" w:firstLine="566"/>
        <w:jc w:val="left"/>
        <w:rPr>
          <w:rStyle w:val="15"/>
          <w:sz w:val="21"/>
          <w:szCs w:val="21"/>
        </w:rPr>
      </w:pPr>
      <w:r>
        <w:rPr>
          <w:rStyle w:val="15"/>
          <w:sz w:val="21"/>
          <w:szCs w:val="21"/>
        </w:rPr>
        <w:t>在“投标人须知前附表”规定的投标有效期内，投标人不得要求撤销或修改其投标文件。</w:t>
      </w:r>
    </w:p>
    <w:p>
      <w:pPr>
        <w:pStyle w:val="17"/>
        <w:numPr>
          <w:ilvl w:val="2"/>
          <w:numId w:val="6"/>
        </w:numPr>
        <w:tabs>
          <w:tab w:val="left" w:pos="1298"/>
        </w:tabs>
        <w:spacing w:before="125" w:after="0" w:line="348" w:lineRule="auto"/>
        <w:ind w:left="100" w:right="218" w:firstLine="566"/>
        <w:jc w:val="both"/>
        <w:rPr>
          <w:rStyle w:val="15"/>
          <w:sz w:val="21"/>
          <w:szCs w:val="21"/>
        </w:rPr>
      </w:pPr>
      <w:r>
        <w:rPr>
          <w:rStyle w:val="15"/>
          <w:sz w:val="21"/>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17"/>
        <w:numPr>
          <w:ilvl w:val="1"/>
          <w:numId w:val="6"/>
        </w:numPr>
        <w:tabs>
          <w:tab w:val="left" w:pos="520"/>
        </w:tabs>
        <w:spacing w:before="31" w:after="0" w:line="240" w:lineRule="auto"/>
        <w:ind w:left="520" w:right="0" w:hanging="420"/>
        <w:jc w:val="left"/>
        <w:rPr>
          <w:rStyle w:val="15"/>
          <w:sz w:val="21"/>
          <w:szCs w:val="21"/>
        </w:rPr>
      </w:pPr>
      <w:bookmarkStart w:id="95" w:name="_bookmark37"/>
      <w:bookmarkEnd w:id="95"/>
      <w:bookmarkStart w:id="96" w:name="3.4 投标保证金"/>
      <w:bookmarkEnd w:id="96"/>
      <w:bookmarkStart w:id="97" w:name="_bookmark37"/>
      <w:bookmarkEnd w:id="97"/>
      <w:r>
        <w:rPr>
          <w:rStyle w:val="15"/>
          <w:sz w:val="21"/>
          <w:szCs w:val="21"/>
        </w:rPr>
        <w:t>投标保证金</w:t>
      </w:r>
    </w:p>
    <w:p>
      <w:pPr>
        <w:pStyle w:val="17"/>
        <w:numPr>
          <w:ilvl w:val="2"/>
          <w:numId w:val="6"/>
        </w:numPr>
        <w:tabs>
          <w:tab w:val="left" w:pos="1298"/>
        </w:tabs>
        <w:spacing w:before="126" w:after="0" w:line="348" w:lineRule="auto"/>
        <w:ind w:left="100" w:right="115" w:firstLine="566"/>
        <w:jc w:val="left"/>
        <w:rPr>
          <w:rStyle w:val="15"/>
          <w:sz w:val="21"/>
          <w:szCs w:val="21"/>
        </w:rPr>
      </w:pPr>
      <w:r>
        <w:rPr>
          <w:rStyle w:val="15"/>
          <w:sz w:val="21"/>
          <w:szCs w:val="21"/>
        </w:rPr>
        <w:t>投标人必须在投标截止时间前，按“投标人须知前附表”规定的金额、形式和第八章“投标文件格式”规定的投标保证金格式递交投标保证金。递交投标保证金的证明文件作为其投标文件的组成部分。   联合体投标的，其投标保证金由牵头人递交，并应符合“投标人须知前附表”的规定。</w:t>
      </w:r>
    </w:p>
    <w:p>
      <w:pPr>
        <w:pStyle w:val="17"/>
        <w:numPr>
          <w:ilvl w:val="2"/>
          <w:numId w:val="6"/>
        </w:numPr>
        <w:tabs>
          <w:tab w:val="left" w:pos="1298"/>
        </w:tabs>
        <w:spacing w:before="31" w:after="0" w:line="240" w:lineRule="auto"/>
        <w:ind w:left="100" w:right="0" w:firstLine="566"/>
        <w:jc w:val="left"/>
        <w:rPr>
          <w:b/>
          <w:sz w:val="21"/>
        </w:rPr>
      </w:pPr>
      <w:r>
        <w:rPr>
          <w:spacing w:val="-7"/>
          <w:sz w:val="21"/>
        </w:rPr>
        <w:t xml:space="preserve">投标人不按本章第 </w:t>
      </w:r>
      <w:r>
        <w:rPr>
          <w:sz w:val="21"/>
        </w:rPr>
        <w:t>3.4.1</w:t>
      </w:r>
      <w:r>
        <w:rPr>
          <w:spacing w:val="-8"/>
          <w:sz w:val="21"/>
        </w:rPr>
        <w:t xml:space="preserve"> 项要求提交投标保证金的，</w:t>
      </w:r>
      <w:r>
        <w:rPr>
          <w:b/>
          <w:sz w:val="21"/>
        </w:rPr>
        <w:t>其投标文件作否决投标处理。</w:t>
      </w:r>
    </w:p>
    <w:p>
      <w:pPr>
        <w:pStyle w:val="17"/>
        <w:numPr>
          <w:ilvl w:val="2"/>
          <w:numId w:val="6"/>
        </w:numPr>
        <w:tabs>
          <w:tab w:val="left" w:pos="1298"/>
        </w:tabs>
        <w:spacing w:before="123" w:after="0" w:line="350" w:lineRule="auto"/>
        <w:ind w:left="100" w:right="218" w:firstLine="566"/>
        <w:jc w:val="left"/>
        <w:rPr>
          <w:sz w:val="21"/>
        </w:rPr>
      </w:pPr>
      <w:r>
        <w:rPr>
          <w:spacing w:val="-2"/>
          <w:sz w:val="21"/>
        </w:rPr>
        <w:t>对未中标人交纳的投标保证金</w:t>
      </w:r>
      <w:r>
        <w:rPr>
          <w:sz w:val="21"/>
        </w:rPr>
        <w:t>（保函原件</w:t>
      </w:r>
      <w:r>
        <w:rPr>
          <w:spacing w:val="-17"/>
          <w:sz w:val="21"/>
        </w:rPr>
        <w:t>）</w:t>
      </w:r>
      <w:r>
        <w:rPr>
          <w:spacing w:val="-5"/>
          <w:sz w:val="21"/>
        </w:rPr>
        <w:t xml:space="preserve">应当于中标通知书发出之日起 </w:t>
      </w:r>
      <w:r>
        <w:rPr>
          <w:sz w:val="21"/>
        </w:rPr>
        <w:t>5</w:t>
      </w:r>
      <w:r>
        <w:rPr>
          <w:spacing w:val="-11"/>
          <w:sz w:val="21"/>
        </w:rPr>
        <w:t xml:space="preserve"> 日内退回；对中标人交纳的投标保证金（保函原件）</w:t>
      </w:r>
      <w:r>
        <w:rPr>
          <w:spacing w:val="-16"/>
          <w:sz w:val="21"/>
        </w:rPr>
        <w:t xml:space="preserve">应当于合同签订之日起 </w:t>
      </w:r>
      <w:r>
        <w:rPr>
          <w:sz w:val="21"/>
        </w:rPr>
        <w:t>5</w:t>
      </w:r>
      <w:r>
        <w:rPr>
          <w:spacing w:val="-11"/>
          <w:sz w:val="21"/>
        </w:rPr>
        <w:t xml:space="preserve"> 日内退回。</w:t>
      </w:r>
    </w:p>
    <w:p>
      <w:pPr>
        <w:pStyle w:val="17"/>
        <w:numPr>
          <w:ilvl w:val="2"/>
          <w:numId w:val="6"/>
        </w:numPr>
        <w:tabs>
          <w:tab w:val="left" w:pos="1298"/>
        </w:tabs>
        <w:spacing w:before="29" w:after="0" w:line="240" w:lineRule="auto"/>
        <w:ind w:left="100" w:right="0" w:firstLine="566"/>
        <w:jc w:val="left"/>
        <w:rPr>
          <w:rStyle w:val="15"/>
          <w:sz w:val="21"/>
          <w:szCs w:val="21"/>
        </w:rPr>
      </w:pPr>
      <w:r>
        <w:rPr>
          <w:rStyle w:val="15"/>
          <w:sz w:val="21"/>
          <w:szCs w:val="21"/>
        </w:rPr>
        <w:t>有下列情形之一的，投标保证金将不予退还：</w:t>
      </w:r>
    </w:p>
    <w:p>
      <w:pPr>
        <w:pStyle w:val="3"/>
        <w:spacing w:before="123"/>
        <w:ind w:left="666"/>
        <w:rPr>
          <w:rStyle w:val="15"/>
          <w:sz w:val="21"/>
          <w:szCs w:val="21"/>
        </w:rPr>
      </w:pPr>
      <w:r>
        <w:rPr>
          <w:rStyle w:val="15"/>
          <w:sz w:val="21"/>
          <w:szCs w:val="21"/>
        </w:rPr>
        <w:t>（1）投标人在规定的投标有效期内撤销或修改其投标文件；</w:t>
      </w:r>
    </w:p>
    <w:p>
      <w:pPr>
        <w:pStyle w:val="3"/>
        <w:spacing w:before="125"/>
        <w:ind w:left="666"/>
        <w:rPr>
          <w:rStyle w:val="15"/>
          <w:sz w:val="21"/>
          <w:szCs w:val="21"/>
        </w:rPr>
      </w:pPr>
      <w:r>
        <w:rPr>
          <w:rStyle w:val="15"/>
          <w:sz w:val="21"/>
          <w:szCs w:val="21"/>
        </w:rPr>
        <w:t>（2）中标人在收到中标通知书后，无正当理由拒签合同协议书或未按招标文件规定提交履约保证金。</w:t>
      </w:r>
    </w:p>
    <w:p>
      <w:pPr>
        <w:pStyle w:val="17"/>
        <w:numPr>
          <w:ilvl w:val="1"/>
          <w:numId w:val="6"/>
        </w:numPr>
        <w:tabs>
          <w:tab w:val="left" w:pos="520"/>
        </w:tabs>
        <w:spacing w:before="125" w:after="0" w:line="240" w:lineRule="auto"/>
        <w:ind w:left="520" w:right="0" w:hanging="420"/>
        <w:jc w:val="left"/>
        <w:rPr>
          <w:rStyle w:val="15"/>
          <w:sz w:val="21"/>
          <w:szCs w:val="21"/>
        </w:rPr>
      </w:pPr>
      <w:bookmarkStart w:id="98" w:name="_bookmark38"/>
      <w:bookmarkEnd w:id="98"/>
      <w:bookmarkStart w:id="99" w:name="3.5 备选投标方案"/>
      <w:bookmarkEnd w:id="99"/>
      <w:bookmarkStart w:id="100" w:name="_bookmark38"/>
      <w:bookmarkEnd w:id="100"/>
      <w:r>
        <w:rPr>
          <w:rStyle w:val="15"/>
          <w:sz w:val="21"/>
          <w:szCs w:val="21"/>
        </w:rPr>
        <w:t>备选投标方案</w:t>
      </w:r>
    </w:p>
    <w:p>
      <w:pPr>
        <w:pStyle w:val="3"/>
        <w:spacing w:before="123" w:line="350" w:lineRule="auto"/>
        <w:ind w:left="100" w:right="218" w:firstLine="566"/>
        <w:jc w:val="both"/>
        <w:rPr>
          <w:rStyle w:val="15"/>
          <w:sz w:val="21"/>
          <w:szCs w:val="21"/>
        </w:rPr>
      </w:pPr>
      <w:r>
        <w:rPr>
          <w:rStyle w:val="15"/>
          <w:sz w:val="21"/>
          <w:szCs w:val="21"/>
        </w:rPr>
        <w:t>除“投标人须知前附表”另有规定外，投标人不得递交备选投标方案。允许投标人递交备选投标方案   的，只有中标人所递交的备选投标方案方可予以考虑。评标委员会认为中标人的备选投标方案优于其按照招标文件要求编制的投标方案的，招标人可以接受该备选投标方案。</w:t>
      </w:r>
    </w:p>
    <w:p>
      <w:pPr>
        <w:pStyle w:val="17"/>
        <w:numPr>
          <w:ilvl w:val="1"/>
          <w:numId w:val="6"/>
        </w:numPr>
        <w:tabs>
          <w:tab w:val="left" w:pos="520"/>
        </w:tabs>
        <w:spacing w:before="26" w:after="0" w:line="240" w:lineRule="auto"/>
        <w:ind w:left="520" w:right="0" w:hanging="420"/>
        <w:jc w:val="left"/>
        <w:rPr>
          <w:rStyle w:val="15"/>
          <w:sz w:val="21"/>
          <w:szCs w:val="21"/>
        </w:rPr>
      </w:pPr>
      <w:bookmarkStart w:id="101" w:name="_bookmark39"/>
      <w:bookmarkEnd w:id="101"/>
      <w:bookmarkStart w:id="102" w:name="3.6 投标文件的编制"/>
      <w:bookmarkEnd w:id="102"/>
      <w:bookmarkStart w:id="103" w:name="_bookmark39"/>
      <w:bookmarkEnd w:id="103"/>
      <w:r>
        <w:rPr>
          <w:rStyle w:val="15"/>
          <w:sz w:val="21"/>
          <w:szCs w:val="21"/>
        </w:rPr>
        <w:t>投标文件的编制</w:t>
      </w:r>
    </w:p>
    <w:p>
      <w:pPr>
        <w:pStyle w:val="17"/>
        <w:numPr>
          <w:ilvl w:val="2"/>
          <w:numId w:val="6"/>
        </w:numPr>
        <w:tabs>
          <w:tab w:val="left" w:pos="1298"/>
        </w:tabs>
        <w:spacing w:before="125" w:after="0" w:line="348" w:lineRule="auto"/>
        <w:ind w:left="100" w:right="218" w:firstLine="566"/>
        <w:jc w:val="both"/>
        <w:rPr>
          <w:rStyle w:val="15"/>
          <w:sz w:val="21"/>
          <w:szCs w:val="21"/>
        </w:rPr>
      </w:pPr>
      <w:r>
        <w:rPr>
          <w:rStyle w:val="15"/>
          <w:sz w:val="21"/>
          <w:szCs w:val="21"/>
        </w:rPr>
        <w:t>投标文件应按第八章“投标文件格式”进行编写，如有必要，可以增加附页，作为投标文件的   组成部分。其中，投标函附录在满足招标文件实质性要求的基础上，可以提出比招标文件要求更有利于招标人的承诺。</w:t>
      </w:r>
    </w:p>
    <w:p>
      <w:pPr>
        <w:pStyle w:val="17"/>
        <w:numPr>
          <w:ilvl w:val="2"/>
          <w:numId w:val="6"/>
        </w:numPr>
        <w:tabs>
          <w:tab w:val="left" w:pos="1298"/>
        </w:tabs>
        <w:spacing w:before="31" w:after="0" w:line="350" w:lineRule="auto"/>
        <w:ind w:left="100" w:right="220" w:firstLine="566"/>
        <w:jc w:val="left"/>
        <w:rPr>
          <w:rStyle w:val="15"/>
          <w:sz w:val="21"/>
          <w:szCs w:val="21"/>
        </w:rPr>
      </w:pPr>
      <w:r>
        <w:rPr>
          <w:rStyle w:val="15"/>
          <w:sz w:val="21"/>
          <w:szCs w:val="21"/>
        </w:rPr>
        <w:t>投标文件应当对招标文件有关工期、投标有效期、质量要求、技术标准和要求、招标范围等实   质性内容作出响应。</w:t>
      </w:r>
    </w:p>
    <w:p>
      <w:pPr>
        <w:pStyle w:val="17"/>
        <w:numPr>
          <w:ilvl w:val="2"/>
          <w:numId w:val="6"/>
        </w:numPr>
        <w:tabs>
          <w:tab w:val="left" w:pos="1298"/>
        </w:tabs>
        <w:spacing w:before="26" w:after="0" w:line="350" w:lineRule="auto"/>
        <w:ind w:left="100" w:right="218" w:firstLine="566"/>
        <w:jc w:val="both"/>
        <w:rPr>
          <w:rStyle w:val="15"/>
          <w:sz w:val="21"/>
          <w:szCs w:val="21"/>
        </w:rPr>
      </w:pPr>
      <w:r>
        <w:rPr>
          <w:rStyle w:val="15"/>
          <w:sz w:val="21"/>
          <w:szCs w:val="21"/>
        </w:rPr>
        <w:t>投标文件应用不褪色的材料书写或打印，并由投标人的法定代表人或其委托代理人在招标文件   正本与副本规定的相关位置签字（或盖章）并加盖投标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pStyle w:val="17"/>
        <w:numPr>
          <w:ilvl w:val="2"/>
          <w:numId w:val="6"/>
        </w:numPr>
        <w:tabs>
          <w:tab w:val="left" w:pos="1300"/>
        </w:tabs>
        <w:spacing w:before="28" w:after="0" w:line="240" w:lineRule="auto"/>
        <w:ind w:left="1300" w:right="0" w:hanging="634"/>
        <w:jc w:val="left"/>
        <w:rPr>
          <w:rStyle w:val="15"/>
          <w:sz w:val="21"/>
          <w:szCs w:val="21"/>
        </w:rPr>
      </w:pPr>
      <w:r>
        <w:rPr>
          <w:rStyle w:val="15"/>
          <w:sz w:val="21"/>
          <w:szCs w:val="21"/>
        </w:rPr>
        <w:t>投标文件正本一份，副本份数见“投标人须知前附表”。正本和副本的封面上应清楚地标记</w:t>
      </w:r>
    </w:p>
    <w:p>
      <w:pPr>
        <w:pStyle w:val="3"/>
        <w:spacing w:before="123"/>
        <w:ind w:left="100"/>
        <w:rPr>
          <w:rStyle w:val="15"/>
          <w:sz w:val="21"/>
          <w:szCs w:val="21"/>
        </w:rPr>
      </w:pPr>
      <w:r>
        <w:rPr>
          <w:rStyle w:val="15"/>
          <w:sz w:val="21"/>
          <w:szCs w:val="21"/>
        </w:rPr>
        <w:t>“正本”或“副本”的字样。当副本和正本不一致时，以正本为准。</w:t>
      </w:r>
    </w:p>
    <w:p>
      <w:pPr>
        <w:pStyle w:val="17"/>
        <w:numPr>
          <w:ilvl w:val="2"/>
          <w:numId w:val="6"/>
        </w:numPr>
        <w:tabs>
          <w:tab w:val="left" w:pos="1298"/>
        </w:tabs>
        <w:spacing w:before="126" w:after="0" w:line="240" w:lineRule="auto"/>
        <w:ind w:left="100" w:right="0" w:firstLine="566"/>
        <w:jc w:val="left"/>
        <w:rPr>
          <w:sz w:val="20"/>
        </w:rPr>
      </w:pPr>
      <w:r>
        <w:rPr>
          <w:rStyle w:val="15"/>
          <w:sz w:val="21"/>
          <w:szCs w:val="21"/>
        </w:rPr>
        <w:t>投标文件应编制目录，具体装订要求见“投标人须知前附表”规定。</w:t>
      </w:r>
    </w:p>
    <w:p>
      <w:pPr>
        <w:pStyle w:val="3"/>
        <w:spacing w:before="1"/>
        <w:rPr>
          <w:sz w:val="16"/>
        </w:rPr>
      </w:pPr>
    </w:p>
    <w:p>
      <w:pPr>
        <w:pStyle w:val="9"/>
        <w:ind w:left="100"/>
      </w:pPr>
      <w:bookmarkStart w:id="104" w:name="4.投标"/>
      <w:bookmarkEnd w:id="104"/>
      <w:bookmarkStart w:id="105" w:name="_bookmark40"/>
      <w:bookmarkEnd w:id="105"/>
      <w:r>
        <w:rPr>
          <w:w w:val="95"/>
        </w:rPr>
        <w:t>4.投标</w:t>
      </w:r>
    </w:p>
    <w:p>
      <w:pPr>
        <w:pStyle w:val="17"/>
        <w:numPr>
          <w:ilvl w:val="1"/>
          <w:numId w:val="7"/>
        </w:numPr>
        <w:tabs>
          <w:tab w:val="left" w:pos="520"/>
        </w:tabs>
        <w:spacing w:before="126" w:after="0" w:line="240" w:lineRule="auto"/>
        <w:ind w:left="520" w:right="0" w:hanging="420"/>
        <w:jc w:val="left"/>
        <w:rPr>
          <w:rStyle w:val="15"/>
          <w:sz w:val="21"/>
          <w:szCs w:val="21"/>
        </w:rPr>
      </w:pPr>
      <w:bookmarkStart w:id="106" w:name="4.1 投标文件的密封和标记"/>
      <w:bookmarkEnd w:id="106"/>
      <w:bookmarkStart w:id="107" w:name="_bookmark41"/>
      <w:bookmarkEnd w:id="107"/>
      <w:bookmarkStart w:id="108" w:name="_bookmark41"/>
      <w:bookmarkEnd w:id="108"/>
      <w:r>
        <w:rPr>
          <w:rStyle w:val="15"/>
          <w:sz w:val="21"/>
          <w:szCs w:val="21"/>
        </w:rPr>
        <w:t>投标文件的密封和标记</w:t>
      </w:r>
    </w:p>
    <w:p>
      <w:pPr>
        <w:pStyle w:val="17"/>
        <w:numPr>
          <w:ilvl w:val="2"/>
          <w:numId w:val="7"/>
        </w:numPr>
        <w:tabs>
          <w:tab w:val="left" w:pos="1152"/>
        </w:tabs>
        <w:spacing w:before="123" w:after="0" w:line="350" w:lineRule="auto"/>
        <w:ind w:left="100" w:right="221" w:firstLine="420"/>
        <w:jc w:val="left"/>
        <w:rPr>
          <w:rStyle w:val="15"/>
          <w:sz w:val="21"/>
          <w:szCs w:val="21"/>
        </w:rPr>
      </w:pPr>
      <w:r>
        <w:rPr>
          <w:rStyle w:val="15"/>
          <w:sz w:val="21"/>
          <w:szCs w:val="21"/>
        </w:rPr>
        <w:t>投标文件应按“投标人须知前附表”的要求进行包装，加贴封条，并在封套的封口处加盖投标人单位公章。</w:t>
      </w:r>
    </w:p>
    <w:p>
      <w:pPr>
        <w:pStyle w:val="17"/>
        <w:numPr>
          <w:ilvl w:val="2"/>
          <w:numId w:val="7"/>
        </w:numPr>
        <w:tabs>
          <w:tab w:val="left" w:pos="1154"/>
        </w:tabs>
        <w:spacing w:before="29" w:after="0" w:line="240" w:lineRule="auto"/>
        <w:ind w:left="1153" w:right="0" w:hanging="629"/>
        <w:jc w:val="left"/>
        <w:rPr>
          <w:rStyle w:val="15"/>
          <w:sz w:val="21"/>
          <w:szCs w:val="21"/>
        </w:rPr>
      </w:pPr>
      <w:r>
        <w:rPr>
          <w:rStyle w:val="15"/>
          <w:sz w:val="21"/>
          <w:szCs w:val="21"/>
        </w:rPr>
        <w:t>投标文件封套上应写明的其他内容见“投标人须知前附表”。</w:t>
      </w:r>
    </w:p>
    <w:p>
      <w:pPr>
        <w:pStyle w:val="17"/>
        <w:numPr>
          <w:ilvl w:val="1"/>
          <w:numId w:val="7"/>
        </w:numPr>
        <w:tabs>
          <w:tab w:val="left" w:pos="520"/>
        </w:tabs>
        <w:spacing w:before="123" w:after="0" w:line="240" w:lineRule="auto"/>
        <w:ind w:left="520" w:right="0" w:hanging="420"/>
        <w:jc w:val="left"/>
        <w:rPr>
          <w:rStyle w:val="15"/>
          <w:sz w:val="21"/>
          <w:szCs w:val="21"/>
        </w:rPr>
      </w:pPr>
      <w:bookmarkStart w:id="109" w:name="4.2 投标文件的递交"/>
      <w:bookmarkEnd w:id="109"/>
      <w:bookmarkStart w:id="110" w:name="_bookmark42"/>
      <w:bookmarkEnd w:id="110"/>
      <w:bookmarkStart w:id="111" w:name="_bookmark42"/>
      <w:bookmarkEnd w:id="111"/>
      <w:r>
        <w:rPr>
          <w:rStyle w:val="15"/>
          <w:sz w:val="21"/>
          <w:szCs w:val="21"/>
        </w:rPr>
        <w:t>投标文件的递交</w:t>
      </w:r>
    </w:p>
    <w:p>
      <w:pPr>
        <w:pStyle w:val="17"/>
        <w:numPr>
          <w:ilvl w:val="2"/>
          <w:numId w:val="7"/>
        </w:numPr>
        <w:tabs>
          <w:tab w:val="left" w:pos="1154"/>
        </w:tabs>
        <w:spacing w:before="125" w:after="0" w:line="240" w:lineRule="auto"/>
        <w:ind w:left="1153" w:right="0" w:hanging="629"/>
        <w:jc w:val="left"/>
        <w:rPr>
          <w:rStyle w:val="15"/>
          <w:sz w:val="21"/>
          <w:szCs w:val="21"/>
        </w:rPr>
      </w:pPr>
      <w:r>
        <w:rPr>
          <w:rStyle w:val="15"/>
          <w:sz w:val="21"/>
          <w:szCs w:val="21"/>
        </w:rPr>
        <w:t>投标人应在本章第 2.2.2 项规定的投标截止时间前递交投标文件。</w:t>
      </w:r>
    </w:p>
    <w:p>
      <w:pPr>
        <w:pStyle w:val="17"/>
        <w:numPr>
          <w:ilvl w:val="2"/>
          <w:numId w:val="7"/>
        </w:numPr>
        <w:tabs>
          <w:tab w:val="left" w:pos="1154"/>
        </w:tabs>
        <w:spacing w:before="125" w:after="0" w:line="240" w:lineRule="auto"/>
        <w:ind w:left="1153" w:right="0" w:hanging="629"/>
        <w:jc w:val="left"/>
        <w:rPr>
          <w:rStyle w:val="15"/>
          <w:sz w:val="21"/>
          <w:szCs w:val="21"/>
        </w:rPr>
      </w:pPr>
      <w:r>
        <w:rPr>
          <w:rStyle w:val="15"/>
          <w:sz w:val="21"/>
          <w:szCs w:val="21"/>
        </w:rPr>
        <w:t>投标人递交投标文件的地点：见“投标人须知前附表”。</w:t>
      </w:r>
    </w:p>
    <w:p>
      <w:pPr>
        <w:pStyle w:val="17"/>
        <w:numPr>
          <w:ilvl w:val="2"/>
          <w:numId w:val="7"/>
        </w:numPr>
        <w:tabs>
          <w:tab w:val="left" w:pos="1154"/>
        </w:tabs>
        <w:spacing w:before="123" w:after="0" w:line="240" w:lineRule="auto"/>
        <w:ind w:left="1153" w:right="0" w:hanging="629"/>
        <w:jc w:val="left"/>
        <w:rPr>
          <w:rStyle w:val="15"/>
          <w:sz w:val="21"/>
          <w:szCs w:val="21"/>
        </w:rPr>
      </w:pPr>
      <w:r>
        <w:rPr>
          <w:rStyle w:val="15"/>
          <w:sz w:val="21"/>
          <w:szCs w:val="21"/>
        </w:rPr>
        <w:t>除“投标人须知前附表”另有规定外，投标人所递交的投标文件不予退还。</w:t>
      </w:r>
    </w:p>
    <w:p>
      <w:pPr>
        <w:pStyle w:val="17"/>
        <w:numPr>
          <w:ilvl w:val="2"/>
          <w:numId w:val="7"/>
        </w:numPr>
        <w:tabs>
          <w:tab w:val="left" w:pos="1154"/>
        </w:tabs>
        <w:spacing w:before="126" w:after="0" w:line="240" w:lineRule="auto"/>
        <w:ind w:left="1153" w:right="0" w:hanging="629"/>
        <w:jc w:val="left"/>
        <w:rPr>
          <w:rStyle w:val="15"/>
          <w:sz w:val="21"/>
          <w:szCs w:val="21"/>
        </w:rPr>
      </w:pPr>
      <w:r>
        <w:rPr>
          <w:rStyle w:val="15"/>
          <w:sz w:val="21"/>
          <w:szCs w:val="21"/>
        </w:rPr>
        <w:t>招标人收到投标文件后，向投标人出具签收凭证。</w:t>
      </w:r>
    </w:p>
    <w:p>
      <w:pPr>
        <w:pStyle w:val="17"/>
        <w:numPr>
          <w:ilvl w:val="2"/>
          <w:numId w:val="7"/>
        </w:numPr>
        <w:tabs>
          <w:tab w:val="left" w:pos="1154"/>
        </w:tabs>
        <w:spacing w:before="126" w:after="0" w:line="240" w:lineRule="auto"/>
        <w:ind w:left="1153" w:right="0" w:hanging="629"/>
        <w:jc w:val="left"/>
        <w:rPr>
          <w:rStyle w:val="15"/>
          <w:sz w:val="21"/>
          <w:szCs w:val="21"/>
        </w:rPr>
      </w:pPr>
      <w:r>
        <w:rPr>
          <w:rStyle w:val="15"/>
          <w:sz w:val="21"/>
          <w:szCs w:val="21"/>
        </w:rPr>
        <w:t>逾期送达的或者未送达指定地点的投标文件，招标人不予受理。</w:t>
      </w:r>
    </w:p>
    <w:p>
      <w:pPr>
        <w:pStyle w:val="17"/>
        <w:numPr>
          <w:ilvl w:val="1"/>
          <w:numId w:val="7"/>
        </w:numPr>
        <w:tabs>
          <w:tab w:val="left" w:pos="520"/>
        </w:tabs>
        <w:spacing w:before="123" w:after="0" w:line="240" w:lineRule="auto"/>
        <w:ind w:left="520" w:right="0" w:hanging="420"/>
        <w:jc w:val="left"/>
        <w:rPr>
          <w:rStyle w:val="15"/>
          <w:sz w:val="21"/>
          <w:szCs w:val="21"/>
        </w:rPr>
      </w:pPr>
      <w:bookmarkStart w:id="112" w:name="_bookmark43"/>
      <w:bookmarkEnd w:id="112"/>
      <w:bookmarkStart w:id="113" w:name="4.3 投标文件的修改与撤回"/>
      <w:bookmarkEnd w:id="113"/>
      <w:bookmarkStart w:id="114" w:name="_bookmark43"/>
      <w:bookmarkEnd w:id="114"/>
      <w:r>
        <w:rPr>
          <w:rStyle w:val="15"/>
          <w:sz w:val="21"/>
          <w:szCs w:val="21"/>
        </w:rPr>
        <w:t>投标文件的修改与撤回</w:t>
      </w:r>
    </w:p>
    <w:p>
      <w:pPr>
        <w:pStyle w:val="17"/>
        <w:numPr>
          <w:ilvl w:val="2"/>
          <w:numId w:val="7"/>
        </w:numPr>
        <w:tabs>
          <w:tab w:val="left" w:pos="1154"/>
        </w:tabs>
        <w:spacing w:before="125" w:after="0" w:line="350" w:lineRule="auto"/>
        <w:ind w:left="100" w:right="221" w:firstLine="424"/>
        <w:jc w:val="left"/>
        <w:rPr>
          <w:rStyle w:val="15"/>
          <w:sz w:val="21"/>
          <w:szCs w:val="21"/>
        </w:rPr>
      </w:pPr>
      <w:r>
        <w:rPr>
          <w:rStyle w:val="15"/>
          <w:sz w:val="21"/>
          <w:szCs w:val="21"/>
        </w:rPr>
        <w:t>在本章第 2.2.2 款规定的投标截止时间前，投标人可以修改或撤回已递交的投标文件，但应以书面形式通知招标人。</w:t>
      </w:r>
    </w:p>
    <w:p>
      <w:pPr>
        <w:pStyle w:val="17"/>
        <w:numPr>
          <w:ilvl w:val="2"/>
          <w:numId w:val="7"/>
        </w:numPr>
        <w:tabs>
          <w:tab w:val="left" w:pos="1156"/>
        </w:tabs>
        <w:spacing w:before="26" w:after="0" w:line="350" w:lineRule="auto"/>
        <w:ind w:left="100" w:right="218" w:firstLine="424"/>
        <w:jc w:val="left"/>
        <w:rPr>
          <w:rStyle w:val="15"/>
          <w:sz w:val="21"/>
          <w:szCs w:val="21"/>
        </w:rPr>
      </w:pPr>
      <w:r>
        <w:rPr>
          <w:spacing w:val="-2"/>
          <w:sz w:val="21"/>
        </w:rPr>
        <w:t xml:space="preserve">投标人修改或撤回已递交投标文件的书面通知，应按照本章第 </w:t>
      </w:r>
      <w:r>
        <w:rPr>
          <w:sz w:val="21"/>
        </w:rPr>
        <w:t>3.6.3</w:t>
      </w:r>
      <w:r>
        <w:rPr>
          <w:spacing w:val="-5"/>
          <w:sz w:val="21"/>
        </w:rPr>
        <w:t xml:space="preserve"> 款的要求签字和盖章。招</w:t>
      </w:r>
      <w:r>
        <w:rPr>
          <w:rStyle w:val="15"/>
          <w:sz w:val="21"/>
          <w:szCs w:val="21"/>
        </w:rPr>
        <w:t>标人收到书面通知后，向投标人出具签收凭证。</w:t>
      </w:r>
    </w:p>
    <w:p>
      <w:pPr>
        <w:pStyle w:val="17"/>
        <w:numPr>
          <w:ilvl w:val="2"/>
          <w:numId w:val="7"/>
        </w:numPr>
        <w:tabs>
          <w:tab w:val="left" w:pos="1156"/>
        </w:tabs>
        <w:spacing w:before="28" w:after="0" w:line="348" w:lineRule="auto"/>
        <w:ind w:left="100" w:right="216" w:firstLine="424"/>
        <w:jc w:val="left"/>
        <w:rPr>
          <w:rStyle w:val="15"/>
          <w:sz w:val="21"/>
          <w:szCs w:val="21"/>
        </w:rPr>
      </w:pPr>
      <w:r>
        <w:rPr>
          <w:rStyle w:val="15"/>
          <w:sz w:val="21"/>
          <w:szCs w:val="21"/>
        </w:rPr>
        <w:t>修改的内容为投标文件的组成部分。修改的投标文件应按照本章第 3.6 款和第 4 款规定进行编制、密封、标记和递交，并标明“修改”字样。</w:t>
      </w:r>
    </w:p>
    <w:p>
      <w:pPr>
        <w:pStyle w:val="9"/>
        <w:spacing w:before="30"/>
        <w:ind w:left="100"/>
      </w:pPr>
      <w:bookmarkStart w:id="115" w:name="_bookmark44"/>
      <w:bookmarkEnd w:id="115"/>
      <w:bookmarkStart w:id="116" w:name="5.开标"/>
      <w:bookmarkEnd w:id="116"/>
      <w:r>
        <w:rPr>
          <w:w w:val="95"/>
        </w:rPr>
        <w:t>5.开标</w:t>
      </w:r>
    </w:p>
    <w:p>
      <w:pPr>
        <w:pStyle w:val="17"/>
        <w:numPr>
          <w:ilvl w:val="1"/>
          <w:numId w:val="8"/>
        </w:numPr>
        <w:tabs>
          <w:tab w:val="left" w:pos="520"/>
        </w:tabs>
        <w:spacing w:before="125" w:after="0" w:line="240" w:lineRule="auto"/>
        <w:ind w:left="520" w:right="0" w:hanging="420"/>
        <w:jc w:val="left"/>
        <w:rPr>
          <w:rStyle w:val="15"/>
          <w:sz w:val="21"/>
          <w:szCs w:val="21"/>
        </w:rPr>
      </w:pPr>
      <w:bookmarkStart w:id="117" w:name="_bookmark45"/>
      <w:bookmarkEnd w:id="117"/>
      <w:bookmarkStart w:id="118" w:name="_bookmark45"/>
      <w:bookmarkEnd w:id="118"/>
      <w:bookmarkStart w:id="119" w:name="5.1 开标时间和地点"/>
      <w:bookmarkEnd w:id="119"/>
      <w:r>
        <w:rPr>
          <w:rStyle w:val="15"/>
          <w:sz w:val="21"/>
          <w:szCs w:val="21"/>
        </w:rPr>
        <w:t>开标时间和地点</w:t>
      </w:r>
    </w:p>
    <w:p>
      <w:pPr>
        <w:pStyle w:val="3"/>
        <w:spacing w:before="123" w:line="350" w:lineRule="auto"/>
        <w:ind w:left="100" w:right="216" w:firstLine="420"/>
        <w:jc w:val="both"/>
        <w:rPr>
          <w:rStyle w:val="15"/>
          <w:sz w:val="21"/>
          <w:szCs w:val="21"/>
        </w:rPr>
      </w:pPr>
      <w:r>
        <w:rPr>
          <w:rStyle w:val="15"/>
          <w:sz w:val="21"/>
          <w:szCs w:val="21"/>
        </w:rPr>
        <w:t>招标人在本章第 2.2.2 款规定的投标截止时间（开标时间）和“投标人须知前附表”4.2.2 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w:t>
      </w:r>
    </w:p>
    <w:p>
      <w:pPr>
        <w:pStyle w:val="3"/>
        <w:spacing w:before="29"/>
        <w:ind w:left="666"/>
        <w:rPr>
          <w:rStyle w:val="15"/>
          <w:sz w:val="21"/>
          <w:szCs w:val="21"/>
        </w:rPr>
      </w:pPr>
      <w:r>
        <w:rPr>
          <w:rStyle w:val="15"/>
          <w:sz w:val="21"/>
          <w:szCs w:val="21"/>
        </w:rPr>
        <w:t>开标会由招标人或其委托的招标代理机构主持。</w:t>
      </w:r>
    </w:p>
    <w:p>
      <w:pPr>
        <w:pStyle w:val="17"/>
        <w:numPr>
          <w:ilvl w:val="1"/>
          <w:numId w:val="8"/>
        </w:numPr>
        <w:tabs>
          <w:tab w:val="left" w:pos="520"/>
        </w:tabs>
        <w:spacing w:before="126" w:after="0" w:line="240" w:lineRule="auto"/>
        <w:ind w:left="520" w:right="0" w:hanging="420"/>
        <w:jc w:val="left"/>
        <w:rPr>
          <w:rStyle w:val="15"/>
          <w:sz w:val="21"/>
          <w:szCs w:val="21"/>
        </w:rPr>
      </w:pPr>
      <w:bookmarkStart w:id="120" w:name="_bookmark46"/>
      <w:bookmarkEnd w:id="120"/>
      <w:bookmarkStart w:id="121" w:name="_bookmark46"/>
      <w:bookmarkEnd w:id="121"/>
      <w:bookmarkStart w:id="122" w:name="5.2 开标程序"/>
      <w:bookmarkEnd w:id="122"/>
      <w:r>
        <w:rPr>
          <w:rStyle w:val="15"/>
          <w:sz w:val="21"/>
          <w:szCs w:val="21"/>
        </w:rPr>
        <w:t>开标程序</w:t>
      </w:r>
    </w:p>
    <w:p>
      <w:pPr>
        <w:pStyle w:val="3"/>
        <w:spacing w:before="123" w:line="350" w:lineRule="auto"/>
        <w:ind w:left="524" w:right="4087" w:hanging="5"/>
        <w:rPr>
          <w:rStyle w:val="15"/>
          <w:sz w:val="21"/>
          <w:szCs w:val="21"/>
        </w:rPr>
      </w:pPr>
      <w:r>
        <w:rPr>
          <w:rStyle w:val="15"/>
          <w:sz w:val="21"/>
          <w:szCs w:val="21"/>
        </w:rPr>
        <w:t>主持人按“投标人须知前附表”确定的以下程序进行开标： 方式一：技术标明标开标程序</w:t>
      </w:r>
    </w:p>
    <w:p>
      <w:pPr>
        <w:pStyle w:val="3"/>
        <w:spacing w:before="28"/>
        <w:ind w:left="524"/>
        <w:rPr>
          <w:rStyle w:val="15"/>
          <w:sz w:val="21"/>
          <w:szCs w:val="21"/>
        </w:rPr>
      </w:pPr>
      <w:r>
        <w:rPr>
          <w:rStyle w:val="15"/>
          <w:sz w:val="21"/>
          <w:szCs w:val="21"/>
        </w:rPr>
        <w:t>（1）宣布在提交投标文件截止时间前收到的投标文件数量；</w:t>
      </w:r>
    </w:p>
    <w:p>
      <w:pPr>
        <w:pStyle w:val="3"/>
        <w:spacing w:before="123"/>
        <w:ind w:left="524"/>
        <w:rPr>
          <w:rStyle w:val="15"/>
          <w:sz w:val="21"/>
          <w:szCs w:val="21"/>
        </w:rPr>
      </w:pPr>
      <w:r>
        <w:rPr>
          <w:rStyle w:val="15"/>
          <w:sz w:val="21"/>
          <w:szCs w:val="21"/>
        </w:rPr>
        <w:t>（2）宣布开标纪律，开标人、唱标人、记录人、监督人等有关人员名单；</w:t>
      </w:r>
    </w:p>
    <w:p>
      <w:pPr>
        <w:pStyle w:val="3"/>
        <w:spacing w:before="126"/>
        <w:ind w:left="524"/>
        <w:rPr>
          <w:rStyle w:val="15"/>
          <w:sz w:val="21"/>
          <w:szCs w:val="21"/>
        </w:rPr>
      </w:pPr>
      <w:r>
        <w:rPr>
          <w:rStyle w:val="15"/>
          <w:sz w:val="21"/>
          <w:szCs w:val="21"/>
        </w:rPr>
        <w:t>（3）公布在投标截止时间前递交投标文件的投标人名称，点名确认投标人是否派人到场，并制作记录；</w:t>
      </w:r>
    </w:p>
    <w:p>
      <w:pPr>
        <w:spacing w:before="126" w:line="348" w:lineRule="auto"/>
        <w:ind w:left="100" w:right="156" w:firstLine="424"/>
        <w:jc w:val="left"/>
        <w:rPr>
          <w:rStyle w:val="15"/>
          <w:sz w:val="21"/>
          <w:szCs w:val="21"/>
        </w:rPr>
      </w:pPr>
      <w:r>
        <w:rPr>
          <w:rStyle w:val="15"/>
          <w:sz w:val="21"/>
          <w:szCs w:val="21"/>
        </w:rPr>
        <w:t>（4）由招标人代表和监督人员检查投标人以下资格证件材料，</w:t>
      </w:r>
      <w:r>
        <w:rPr>
          <w:rStyle w:val="15"/>
          <w:b/>
          <w:bCs/>
          <w:sz w:val="21"/>
          <w:szCs w:val="21"/>
        </w:rPr>
        <w:t>材料不齐全或无效的，其投标文件（投标）作无效处理</w:t>
      </w:r>
      <w:r>
        <w:rPr>
          <w:rStyle w:val="15"/>
          <w:sz w:val="21"/>
          <w:szCs w:val="21"/>
        </w:rPr>
        <w:t>：</w:t>
      </w:r>
    </w:p>
    <w:p>
      <w:pPr>
        <w:pStyle w:val="3"/>
        <w:spacing w:before="31"/>
        <w:ind w:left="524"/>
        <w:rPr>
          <w:sz w:val="20"/>
        </w:rPr>
      </w:pPr>
      <w:r>
        <w:t>包括法定代表人身份证明原件（企业法定代表人参加投标会时检查）或委托代理投标相关证明（附法</w:t>
      </w:r>
    </w:p>
    <w:p>
      <w:pPr>
        <w:pStyle w:val="3"/>
        <w:spacing w:before="1"/>
        <w:rPr>
          <w:sz w:val="16"/>
        </w:rPr>
      </w:pPr>
    </w:p>
    <w:p>
      <w:pPr>
        <w:pStyle w:val="3"/>
        <w:spacing w:before="35" w:line="350" w:lineRule="auto"/>
        <w:ind w:left="100" w:right="-50" w:rightChars="0"/>
        <w:rPr>
          <w:rStyle w:val="15"/>
          <w:sz w:val="21"/>
          <w:szCs w:val="21"/>
        </w:rPr>
      </w:pPr>
      <w:r>
        <w:rPr>
          <w:rStyle w:val="15"/>
          <w:sz w:val="21"/>
          <w:szCs w:val="21"/>
        </w:rPr>
        <w:t>定代表人身份证明的授权委托书原件、受委托的委托代理人身份证原件，委托代理人参加投标会时检查）</w:t>
      </w:r>
      <w:r>
        <w:rPr>
          <w:rStyle w:val="15"/>
          <w:rFonts w:hint="eastAsia"/>
          <w:sz w:val="21"/>
          <w:szCs w:val="21"/>
          <w:lang w:eastAsia="zh-CN"/>
        </w:rPr>
        <w:t>；企业有效的营业执照副本复印件；</w:t>
      </w:r>
      <w:r>
        <w:rPr>
          <w:rStyle w:val="15"/>
          <w:sz w:val="21"/>
          <w:szCs w:val="21"/>
        </w:rPr>
        <w:t>投标保证金转账（电汇）底单原件（电子转账的底单原件可采用彩色打印加盖转账单位公章）或银行保函原件或工程担保原件或工程保证保险原件。备注：有效的“法定代表人身份证明”和“授权委托书”系指按照本项目第八章“投标文件格式”中“法定代表人身份证明”或“授权委托书”格式填写且按备注要求提供完整的符合法定时效的各项材料的合法证明”。</w:t>
      </w:r>
    </w:p>
    <w:p>
      <w:pPr>
        <w:pStyle w:val="3"/>
        <w:spacing w:before="27"/>
        <w:ind w:left="524"/>
        <w:rPr>
          <w:rStyle w:val="15"/>
          <w:sz w:val="21"/>
          <w:szCs w:val="21"/>
        </w:rPr>
      </w:pPr>
      <w:r>
        <w:rPr>
          <w:rStyle w:val="15"/>
          <w:sz w:val="21"/>
          <w:szCs w:val="21"/>
        </w:rPr>
        <w:t>（5）投标人代表检查投标文件的密封情况；</w:t>
      </w:r>
    </w:p>
    <w:p>
      <w:pPr>
        <w:pStyle w:val="3"/>
        <w:spacing w:before="126"/>
        <w:ind w:left="524"/>
        <w:rPr>
          <w:rStyle w:val="15"/>
          <w:sz w:val="21"/>
          <w:szCs w:val="21"/>
        </w:rPr>
      </w:pPr>
      <w:r>
        <w:rPr>
          <w:rStyle w:val="15"/>
          <w:sz w:val="21"/>
          <w:szCs w:val="21"/>
        </w:rPr>
        <w:t>（6）按照“投标人须知前附表”的规定确定并宣布投标文件开标顺序；</w:t>
      </w:r>
    </w:p>
    <w:p>
      <w:pPr>
        <w:pStyle w:val="3"/>
        <w:spacing w:before="126"/>
        <w:ind w:left="524"/>
        <w:rPr>
          <w:rStyle w:val="15"/>
          <w:sz w:val="21"/>
          <w:szCs w:val="21"/>
        </w:rPr>
      </w:pPr>
      <w:r>
        <w:rPr>
          <w:rStyle w:val="15"/>
          <w:sz w:val="21"/>
          <w:szCs w:val="21"/>
        </w:rPr>
        <w:t>（7）公布招标控制价及相关内容；</w:t>
      </w:r>
    </w:p>
    <w:p>
      <w:pPr>
        <w:pStyle w:val="3"/>
        <w:spacing w:before="123" w:line="350" w:lineRule="auto"/>
        <w:ind w:left="100" w:right="196" w:firstLine="424"/>
        <w:rPr>
          <w:rStyle w:val="15"/>
          <w:sz w:val="21"/>
          <w:szCs w:val="21"/>
        </w:rPr>
      </w:pPr>
      <w:r>
        <w:rPr>
          <w:rStyle w:val="15"/>
          <w:sz w:val="21"/>
          <w:szCs w:val="21"/>
        </w:rPr>
        <w:t>（8）公布投标人名称、标段名称、投标保证金的递交情况、投标报价、质量目标、工期及其他内容，   并制作记录；</w:t>
      </w:r>
    </w:p>
    <w:p>
      <w:pPr>
        <w:pStyle w:val="3"/>
        <w:spacing w:before="29"/>
        <w:ind w:left="524"/>
        <w:rPr>
          <w:rStyle w:val="15"/>
          <w:sz w:val="21"/>
          <w:szCs w:val="21"/>
        </w:rPr>
      </w:pPr>
      <w:r>
        <w:rPr>
          <w:rStyle w:val="15"/>
          <w:sz w:val="21"/>
          <w:szCs w:val="21"/>
        </w:rPr>
        <w:t>（9）投标人代表、招标人代表、记录人以及有关监督人员在开标记录上签字确认，并存档备查；</w:t>
      </w:r>
    </w:p>
    <w:p>
      <w:pPr>
        <w:pStyle w:val="3"/>
        <w:spacing w:before="123"/>
        <w:ind w:left="524"/>
        <w:rPr>
          <w:rStyle w:val="15"/>
          <w:sz w:val="21"/>
          <w:szCs w:val="21"/>
        </w:rPr>
      </w:pPr>
      <w:r>
        <w:rPr>
          <w:rStyle w:val="15"/>
          <w:sz w:val="21"/>
          <w:szCs w:val="21"/>
        </w:rPr>
        <w:t>（10）开标结束。</w:t>
      </w:r>
    </w:p>
    <w:p>
      <w:pPr>
        <w:pStyle w:val="17"/>
        <w:numPr>
          <w:ilvl w:val="1"/>
          <w:numId w:val="8"/>
        </w:numPr>
        <w:tabs>
          <w:tab w:val="left" w:pos="520"/>
        </w:tabs>
        <w:spacing w:before="125" w:after="0" w:line="240" w:lineRule="auto"/>
        <w:ind w:left="520" w:right="0" w:hanging="420"/>
        <w:jc w:val="left"/>
        <w:rPr>
          <w:rStyle w:val="15"/>
          <w:sz w:val="21"/>
          <w:szCs w:val="21"/>
        </w:rPr>
      </w:pPr>
      <w:bookmarkStart w:id="123" w:name="_bookmark47"/>
      <w:bookmarkEnd w:id="123"/>
      <w:bookmarkStart w:id="124" w:name="5.3 不予开标"/>
      <w:bookmarkEnd w:id="124"/>
      <w:bookmarkStart w:id="125" w:name="_bookmark47"/>
      <w:bookmarkEnd w:id="125"/>
      <w:r>
        <w:rPr>
          <w:rStyle w:val="15"/>
          <w:sz w:val="21"/>
          <w:szCs w:val="21"/>
        </w:rPr>
        <w:t>不予开标</w:t>
      </w:r>
    </w:p>
    <w:p>
      <w:pPr>
        <w:pStyle w:val="9"/>
        <w:spacing w:before="125"/>
        <w:ind w:left="520"/>
        <w:rPr>
          <w:rStyle w:val="15"/>
          <w:sz w:val="21"/>
          <w:szCs w:val="21"/>
        </w:rPr>
      </w:pPr>
      <w:r>
        <w:rPr>
          <w:rStyle w:val="15"/>
          <w:sz w:val="21"/>
          <w:szCs w:val="21"/>
        </w:rPr>
        <w:t>符合下列情况之一的投标，招标人拒绝受理或在开标时当场拒绝其投标，不得进入评标：</w:t>
      </w:r>
    </w:p>
    <w:p>
      <w:pPr>
        <w:spacing w:before="123"/>
        <w:ind w:left="520" w:right="0" w:firstLine="0"/>
        <w:jc w:val="left"/>
        <w:rPr>
          <w:rStyle w:val="15"/>
          <w:sz w:val="21"/>
          <w:szCs w:val="21"/>
        </w:rPr>
      </w:pPr>
      <w:r>
        <w:rPr>
          <w:rStyle w:val="15"/>
          <w:sz w:val="21"/>
          <w:szCs w:val="21"/>
        </w:rPr>
        <w:t>（1）投标文件逾期送达的或者未送达指定地点的；</w:t>
      </w:r>
    </w:p>
    <w:p>
      <w:pPr>
        <w:spacing w:before="126"/>
        <w:ind w:left="520" w:right="0" w:firstLine="0"/>
        <w:jc w:val="left"/>
        <w:rPr>
          <w:rStyle w:val="15"/>
          <w:sz w:val="21"/>
          <w:szCs w:val="21"/>
        </w:rPr>
      </w:pPr>
      <w:r>
        <w:rPr>
          <w:rStyle w:val="15"/>
          <w:sz w:val="21"/>
          <w:szCs w:val="21"/>
        </w:rPr>
        <w:t>（2）投标文件未按招标文件要求密封和标记的；</w:t>
      </w:r>
    </w:p>
    <w:p>
      <w:pPr>
        <w:spacing w:before="126"/>
        <w:ind w:left="520" w:right="0" w:firstLine="0"/>
        <w:jc w:val="left"/>
        <w:rPr>
          <w:rStyle w:val="15"/>
          <w:sz w:val="21"/>
          <w:szCs w:val="21"/>
        </w:rPr>
      </w:pPr>
      <w:r>
        <w:rPr>
          <w:rStyle w:val="15"/>
          <w:sz w:val="21"/>
          <w:szCs w:val="21"/>
        </w:rPr>
        <w:t>（3）投标人法定代表人或其授权的委托代理人未按时出席开标会的；</w:t>
      </w:r>
    </w:p>
    <w:p>
      <w:pPr>
        <w:spacing w:before="123"/>
        <w:ind w:left="520" w:right="0" w:firstLine="0"/>
        <w:jc w:val="left"/>
        <w:rPr>
          <w:rStyle w:val="15"/>
          <w:sz w:val="21"/>
          <w:szCs w:val="21"/>
        </w:rPr>
      </w:pPr>
      <w:r>
        <w:rPr>
          <w:rStyle w:val="15"/>
          <w:sz w:val="21"/>
          <w:szCs w:val="21"/>
        </w:rPr>
        <w:t>（4）投标人递交投标文件人、参与开标会的授权委托人与签署投标文件的委托代理人非同一人的。</w:t>
      </w:r>
    </w:p>
    <w:p>
      <w:pPr>
        <w:pStyle w:val="17"/>
        <w:numPr>
          <w:ilvl w:val="1"/>
          <w:numId w:val="8"/>
        </w:numPr>
        <w:tabs>
          <w:tab w:val="left" w:pos="468"/>
        </w:tabs>
        <w:spacing w:before="125" w:after="0" w:line="240" w:lineRule="auto"/>
        <w:ind w:left="467" w:right="0" w:hanging="367"/>
        <w:jc w:val="left"/>
        <w:rPr>
          <w:rStyle w:val="15"/>
          <w:sz w:val="21"/>
          <w:szCs w:val="21"/>
        </w:rPr>
      </w:pPr>
      <w:bookmarkStart w:id="126" w:name="_bookmark48"/>
      <w:bookmarkEnd w:id="126"/>
      <w:bookmarkStart w:id="127" w:name="_bookmark48"/>
      <w:bookmarkEnd w:id="127"/>
      <w:bookmarkStart w:id="128" w:name="5.4开标异议  "/>
      <w:bookmarkEnd w:id="128"/>
      <w:r>
        <w:rPr>
          <w:rStyle w:val="15"/>
          <w:sz w:val="21"/>
          <w:szCs w:val="21"/>
        </w:rPr>
        <w:t>开标异议</w:t>
      </w:r>
    </w:p>
    <w:p>
      <w:pPr>
        <w:pStyle w:val="3"/>
        <w:spacing w:before="125"/>
        <w:ind w:left="520"/>
        <w:rPr>
          <w:rStyle w:val="15"/>
          <w:sz w:val="21"/>
          <w:szCs w:val="21"/>
        </w:rPr>
      </w:pPr>
      <w:r>
        <w:rPr>
          <w:rStyle w:val="15"/>
          <w:sz w:val="21"/>
          <w:szCs w:val="21"/>
        </w:rPr>
        <w:t>投标人对开标有异议的，应当在开标现场提出，招标人应当场作出答复，并制作记录。</w:t>
      </w:r>
    </w:p>
    <w:p>
      <w:pPr>
        <w:pStyle w:val="9"/>
        <w:spacing w:before="123"/>
        <w:ind w:left="100"/>
        <w:rPr>
          <w:rStyle w:val="15"/>
          <w:sz w:val="21"/>
          <w:szCs w:val="21"/>
        </w:rPr>
      </w:pPr>
      <w:bookmarkStart w:id="129" w:name="_bookmark49"/>
      <w:bookmarkEnd w:id="129"/>
      <w:bookmarkStart w:id="130" w:name="6.评标"/>
      <w:bookmarkEnd w:id="130"/>
      <w:r>
        <w:rPr>
          <w:rStyle w:val="15"/>
          <w:sz w:val="21"/>
          <w:szCs w:val="21"/>
        </w:rPr>
        <w:t>6.评标</w:t>
      </w:r>
    </w:p>
    <w:p>
      <w:pPr>
        <w:pStyle w:val="17"/>
        <w:numPr>
          <w:ilvl w:val="1"/>
          <w:numId w:val="9"/>
        </w:numPr>
        <w:tabs>
          <w:tab w:val="left" w:pos="520"/>
        </w:tabs>
        <w:spacing w:before="126" w:after="0" w:line="240" w:lineRule="auto"/>
        <w:ind w:left="520" w:right="0" w:hanging="420"/>
        <w:jc w:val="left"/>
        <w:rPr>
          <w:rStyle w:val="15"/>
          <w:sz w:val="21"/>
          <w:szCs w:val="21"/>
        </w:rPr>
      </w:pPr>
      <w:bookmarkStart w:id="131" w:name="_bookmark50"/>
      <w:bookmarkEnd w:id="131"/>
      <w:bookmarkStart w:id="132" w:name="6.1 评标委员会"/>
      <w:bookmarkEnd w:id="132"/>
      <w:bookmarkStart w:id="133" w:name="_bookmark50"/>
      <w:bookmarkEnd w:id="133"/>
      <w:r>
        <w:rPr>
          <w:rStyle w:val="15"/>
          <w:sz w:val="21"/>
          <w:szCs w:val="21"/>
        </w:rPr>
        <w:t>评标委员会</w:t>
      </w:r>
    </w:p>
    <w:p>
      <w:pPr>
        <w:pStyle w:val="17"/>
        <w:numPr>
          <w:ilvl w:val="2"/>
          <w:numId w:val="9"/>
        </w:numPr>
        <w:tabs>
          <w:tab w:val="left" w:pos="1152"/>
        </w:tabs>
        <w:spacing w:before="126" w:after="0" w:line="348" w:lineRule="auto"/>
        <w:ind w:left="100" w:right="221" w:firstLine="420"/>
        <w:jc w:val="left"/>
        <w:rPr>
          <w:rStyle w:val="15"/>
          <w:sz w:val="21"/>
          <w:szCs w:val="21"/>
        </w:rPr>
      </w:pPr>
      <w:r>
        <w:rPr>
          <w:rStyle w:val="15"/>
          <w:sz w:val="21"/>
          <w:szCs w:val="21"/>
        </w:rPr>
        <w:t>评标由招标人依法组建的评标委员会负责。评标委员会成员人数以及技术、经济等方面专家的确定方式见“投标人须知前附表”。</w:t>
      </w:r>
    </w:p>
    <w:p>
      <w:pPr>
        <w:pStyle w:val="17"/>
        <w:numPr>
          <w:ilvl w:val="2"/>
          <w:numId w:val="9"/>
        </w:numPr>
        <w:tabs>
          <w:tab w:val="left" w:pos="1154"/>
        </w:tabs>
        <w:spacing w:before="31" w:after="0" w:line="240" w:lineRule="auto"/>
        <w:ind w:left="1153" w:right="0" w:hanging="629"/>
        <w:jc w:val="left"/>
        <w:rPr>
          <w:rStyle w:val="15"/>
          <w:sz w:val="21"/>
          <w:szCs w:val="21"/>
        </w:rPr>
      </w:pPr>
      <w:r>
        <w:rPr>
          <w:rStyle w:val="15"/>
          <w:sz w:val="21"/>
          <w:szCs w:val="21"/>
        </w:rPr>
        <w:t>有下列情形之一的，不得担任评标委员会成员：</w:t>
      </w:r>
    </w:p>
    <w:p>
      <w:pPr>
        <w:pStyle w:val="3"/>
        <w:spacing w:before="125"/>
        <w:ind w:left="524"/>
        <w:rPr>
          <w:rStyle w:val="15"/>
          <w:sz w:val="21"/>
          <w:szCs w:val="21"/>
        </w:rPr>
      </w:pPr>
      <w:r>
        <w:rPr>
          <w:rStyle w:val="15"/>
          <w:sz w:val="21"/>
          <w:szCs w:val="21"/>
        </w:rPr>
        <w:t>（一）投标人或者投标人主要负责人的近亲属；</w:t>
      </w:r>
    </w:p>
    <w:p>
      <w:pPr>
        <w:pStyle w:val="3"/>
        <w:spacing w:before="123"/>
        <w:ind w:left="524"/>
        <w:rPr>
          <w:rStyle w:val="15"/>
          <w:sz w:val="21"/>
          <w:szCs w:val="21"/>
        </w:rPr>
      </w:pPr>
      <w:r>
        <w:rPr>
          <w:rStyle w:val="15"/>
          <w:sz w:val="21"/>
          <w:szCs w:val="21"/>
        </w:rPr>
        <w:t>（二）招标项目主管部门或者招标投标行政监督部门的工作人员；</w:t>
      </w:r>
    </w:p>
    <w:p>
      <w:pPr>
        <w:pStyle w:val="3"/>
        <w:spacing w:before="126"/>
        <w:ind w:left="524"/>
        <w:rPr>
          <w:rStyle w:val="15"/>
          <w:sz w:val="21"/>
          <w:szCs w:val="21"/>
        </w:rPr>
      </w:pPr>
      <w:r>
        <w:rPr>
          <w:rStyle w:val="15"/>
          <w:sz w:val="21"/>
          <w:szCs w:val="21"/>
        </w:rPr>
        <w:t>（三）与投标人有经济利益关系，可能影响对投标公正评审的人员；</w:t>
      </w:r>
    </w:p>
    <w:p>
      <w:pPr>
        <w:pStyle w:val="3"/>
        <w:spacing w:before="126"/>
        <w:ind w:left="524"/>
        <w:rPr>
          <w:rStyle w:val="15"/>
          <w:sz w:val="21"/>
          <w:szCs w:val="21"/>
        </w:rPr>
      </w:pPr>
      <w:r>
        <w:rPr>
          <w:rStyle w:val="15"/>
          <w:sz w:val="21"/>
          <w:szCs w:val="21"/>
        </w:rPr>
        <w:t>（四）在招投标活动中从事违法行为而受过行政处罚或者刑事处罚的人员；</w:t>
      </w:r>
    </w:p>
    <w:p>
      <w:pPr>
        <w:pStyle w:val="3"/>
        <w:spacing w:before="123"/>
        <w:ind w:left="524"/>
        <w:rPr>
          <w:rStyle w:val="15"/>
          <w:sz w:val="21"/>
          <w:szCs w:val="21"/>
        </w:rPr>
      </w:pPr>
      <w:r>
        <w:rPr>
          <w:rStyle w:val="15"/>
          <w:sz w:val="21"/>
          <w:szCs w:val="21"/>
        </w:rPr>
        <w:t>（五）与投标人有其他利害关系的人。</w:t>
      </w:r>
    </w:p>
    <w:p>
      <w:pPr>
        <w:pStyle w:val="17"/>
        <w:numPr>
          <w:ilvl w:val="1"/>
          <w:numId w:val="9"/>
        </w:numPr>
        <w:tabs>
          <w:tab w:val="left" w:pos="520"/>
        </w:tabs>
        <w:spacing w:before="125" w:after="0" w:line="240" w:lineRule="auto"/>
        <w:ind w:left="520" w:right="0" w:hanging="420"/>
        <w:jc w:val="left"/>
        <w:rPr>
          <w:rStyle w:val="15"/>
          <w:sz w:val="21"/>
          <w:szCs w:val="21"/>
        </w:rPr>
      </w:pPr>
      <w:bookmarkStart w:id="134" w:name="_bookmark51"/>
      <w:bookmarkEnd w:id="134"/>
      <w:bookmarkStart w:id="135" w:name="6.2 评标原则"/>
      <w:bookmarkEnd w:id="135"/>
      <w:bookmarkStart w:id="136" w:name="_bookmark51"/>
      <w:bookmarkEnd w:id="136"/>
      <w:r>
        <w:rPr>
          <w:rStyle w:val="15"/>
          <w:sz w:val="21"/>
          <w:szCs w:val="21"/>
        </w:rPr>
        <w:t>评标原则</w:t>
      </w:r>
    </w:p>
    <w:p>
      <w:pPr>
        <w:pStyle w:val="3"/>
        <w:spacing w:before="125"/>
        <w:ind w:left="520"/>
        <w:rPr>
          <w:rStyle w:val="15"/>
          <w:sz w:val="21"/>
          <w:szCs w:val="21"/>
        </w:rPr>
      </w:pPr>
      <w:r>
        <w:rPr>
          <w:rStyle w:val="15"/>
          <w:sz w:val="21"/>
          <w:szCs w:val="21"/>
        </w:rPr>
        <w:t>评标活动遵循公平、公正、科学和择优的原则。</w:t>
      </w:r>
    </w:p>
    <w:p>
      <w:pPr>
        <w:pStyle w:val="17"/>
        <w:numPr>
          <w:ilvl w:val="1"/>
          <w:numId w:val="9"/>
        </w:numPr>
        <w:tabs>
          <w:tab w:val="left" w:pos="520"/>
        </w:tabs>
        <w:spacing w:before="123" w:after="0" w:line="240" w:lineRule="auto"/>
        <w:ind w:left="520" w:right="0" w:hanging="420"/>
        <w:jc w:val="left"/>
        <w:rPr>
          <w:rStyle w:val="15"/>
          <w:sz w:val="21"/>
          <w:szCs w:val="21"/>
        </w:rPr>
      </w:pPr>
      <w:bookmarkStart w:id="137" w:name="_bookmark52"/>
      <w:bookmarkEnd w:id="137"/>
      <w:bookmarkStart w:id="138" w:name="_bookmark52"/>
      <w:bookmarkEnd w:id="138"/>
      <w:bookmarkStart w:id="139" w:name="6.3 评标方式"/>
      <w:bookmarkEnd w:id="139"/>
      <w:r>
        <w:rPr>
          <w:rStyle w:val="15"/>
          <w:sz w:val="21"/>
          <w:szCs w:val="21"/>
        </w:rPr>
        <w:t>评标方式</w:t>
      </w:r>
    </w:p>
    <w:p>
      <w:pPr>
        <w:pStyle w:val="3"/>
        <w:ind w:right="-48" w:rightChars="-22" w:firstLine="420" w:firstLineChars="200"/>
        <w:rPr>
          <w:sz w:val="20"/>
        </w:rPr>
      </w:pPr>
      <w:r>
        <w:t>评标委员会按照第三章“评标办法”规定的方法、评审因素、标准和程序对投标文件进行评审。第三</w:t>
      </w:r>
    </w:p>
    <w:p>
      <w:pPr>
        <w:pStyle w:val="3"/>
        <w:spacing w:before="1"/>
        <w:rPr>
          <w:sz w:val="16"/>
        </w:rPr>
      </w:pPr>
    </w:p>
    <w:p>
      <w:pPr>
        <w:pStyle w:val="3"/>
        <w:spacing w:before="35" w:line="350" w:lineRule="auto"/>
        <w:ind w:left="100" w:right="-50" w:rightChars="0"/>
        <w:rPr>
          <w:rStyle w:val="15"/>
          <w:sz w:val="21"/>
          <w:szCs w:val="21"/>
        </w:rPr>
      </w:pPr>
      <w:r>
        <w:rPr>
          <w:rStyle w:val="15"/>
          <w:sz w:val="21"/>
          <w:szCs w:val="21"/>
        </w:rPr>
        <w:t>章“评标办法”没有规定的方法、评审因素和标准，不作为评标依据。具体评标方式见“投标人须知前附表”。</w:t>
      </w:r>
    </w:p>
    <w:p>
      <w:pPr>
        <w:pStyle w:val="17"/>
        <w:numPr>
          <w:ilvl w:val="1"/>
          <w:numId w:val="9"/>
        </w:numPr>
        <w:tabs>
          <w:tab w:val="left" w:pos="520"/>
        </w:tabs>
        <w:spacing w:before="27" w:after="0" w:line="240" w:lineRule="auto"/>
        <w:ind w:left="520" w:right="0" w:hanging="420"/>
        <w:jc w:val="left"/>
        <w:rPr>
          <w:rStyle w:val="15"/>
          <w:sz w:val="21"/>
          <w:szCs w:val="21"/>
        </w:rPr>
      </w:pPr>
      <w:bookmarkStart w:id="140" w:name="6.4 移交评标资料"/>
      <w:bookmarkEnd w:id="140"/>
      <w:bookmarkStart w:id="141" w:name="_bookmark53"/>
      <w:bookmarkEnd w:id="141"/>
      <w:bookmarkStart w:id="142" w:name="_bookmark53"/>
      <w:bookmarkEnd w:id="142"/>
      <w:r>
        <w:rPr>
          <w:rStyle w:val="15"/>
          <w:sz w:val="21"/>
          <w:szCs w:val="21"/>
        </w:rPr>
        <w:t>移交评标资料</w:t>
      </w:r>
    </w:p>
    <w:p>
      <w:pPr>
        <w:pStyle w:val="3"/>
        <w:spacing w:before="126" w:line="350" w:lineRule="auto"/>
        <w:ind w:left="100" w:right="218" w:firstLine="420"/>
        <w:jc w:val="both"/>
        <w:rPr>
          <w:rStyle w:val="15"/>
          <w:sz w:val="21"/>
          <w:szCs w:val="21"/>
        </w:rPr>
      </w:pPr>
      <w:r>
        <w:rPr>
          <w:rStyle w:val="15"/>
          <w:sz w:val="21"/>
          <w:szCs w:val="21"/>
        </w:rPr>
        <w:t>评标委员会完成评标后，立即向招标人提交书面评标报告和中标候选人名单（授权评标委员会确定中标人时为中标人名单），并同时移交所有评标涉及资料。</w:t>
      </w:r>
    </w:p>
    <w:p>
      <w:pPr>
        <w:pStyle w:val="17"/>
        <w:numPr>
          <w:ilvl w:val="1"/>
          <w:numId w:val="9"/>
        </w:numPr>
        <w:tabs>
          <w:tab w:val="left" w:pos="520"/>
        </w:tabs>
        <w:spacing w:before="27" w:after="0" w:line="240" w:lineRule="auto"/>
        <w:ind w:left="520" w:right="0" w:hanging="420"/>
        <w:jc w:val="left"/>
        <w:rPr>
          <w:rStyle w:val="15"/>
          <w:sz w:val="21"/>
          <w:szCs w:val="21"/>
        </w:rPr>
      </w:pPr>
      <w:bookmarkStart w:id="143" w:name="6.5 评标资料封存和启封"/>
      <w:bookmarkEnd w:id="143"/>
      <w:bookmarkStart w:id="144" w:name="_bookmark54"/>
      <w:bookmarkEnd w:id="144"/>
      <w:bookmarkStart w:id="145" w:name="_bookmark54"/>
      <w:bookmarkEnd w:id="145"/>
      <w:r>
        <w:rPr>
          <w:rStyle w:val="15"/>
          <w:sz w:val="21"/>
          <w:szCs w:val="21"/>
        </w:rPr>
        <w:t>评标资料封存和启封</w:t>
      </w:r>
    </w:p>
    <w:p>
      <w:pPr>
        <w:pStyle w:val="17"/>
        <w:numPr>
          <w:ilvl w:val="2"/>
          <w:numId w:val="9"/>
        </w:numPr>
        <w:tabs>
          <w:tab w:val="left" w:pos="1149"/>
        </w:tabs>
        <w:spacing w:before="126" w:after="0" w:line="350" w:lineRule="auto"/>
        <w:ind w:left="100" w:right="115" w:firstLine="420"/>
        <w:jc w:val="left"/>
        <w:rPr>
          <w:rStyle w:val="15"/>
          <w:sz w:val="21"/>
          <w:szCs w:val="21"/>
        </w:rPr>
      </w:pPr>
      <w:r>
        <w:rPr>
          <w:rStyle w:val="15"/>
          <w:sz w:val="21"/>
          <w:szCs w:val="21"/>
        </w:rPr>
        <w:t>评标结束至中标通知书发放时，招标人按“投标人须知前附表”规定的封存方式封存评标资料，   封存资料内容包括：</w:t>
      </w:r>
    </w:p>
    <w:p>
      <w:pPr>
        <w:pStyle w:val="3"/>
        <w:spacing w:before="27" w:line="350" w:lineRule="auto"/>
        <w:ind w:left="100" w:right="216" w:firstLine="424"/>
        <w:jc w:val="both"/>
        <w:rPr>
          <w:rStyle w:val="15"/>
          <w:sz w:val="21"/>
          <w:szCs w:val="21"/>
        </w:rPr>
      </w:pPr>
      <w:r>
        <w:rPr>
          <w:rStyle w:val="15"/>
          <w:sz w:val="21"/>
          <w:szCs w:val="21"/>
        </w:rPr>
        <w:t>（1）招标项目开评标资料原件：投标单位人员签到表、开标记录表、评标报告及其附件（含评标过程   中形成的全部评标表格和清标表格）、投标人开标签到表、专家抽取申请表、专家抽取表、专家签到表、评标纪律、业主委托书。</w:t>
      </w:r>
    </w:p>
    <w:p>
      <w:pPr>
        <w:pStyle w:val="3"/>
        <w:spacing w:before="27"/>
        <w:ind w:left="524"/>
        <w:rPr>
          <w:rStyle w:val="15"/>
          <w:sz w:val="21"/>
          <w:szCs w:val="21"/>
        </w:rPr>
      </w:pPr>
      <w:r>
        <w:rPr>
          <w:rStyle w:val="15"/>
          <w:sz w:val="21"/>
          <w:szCs w:val="21"/>
        </w:rPr>
        <w:t>（2）本项目所有投标人投标文件正本。</w:t>
      </w:r>
    </w:p>
    <w:p>
      <w:pPr>
        <w:pStyle w:val="3"/>
        <w:spacing w:before="126"/>
        <w:ind w:left="524"/>
        <w:rPr>
          <w:rStyle w:val="15"/>
          <w:sz w:val="21"/>
          <w:szCs w:val="21"/>
        </w:rPr>
      </w:pPr>
      <w:r>
        <w:rPr>
          <w:rStyle w:val="15"/>
          <w:sz w:val="21"/>
          <w:szCs w:val="21"/>
        </w:rPr>
        <w:t>（3）“投标人须知前附表”要求封存的其它材料。</w:t>
      </w:r>
    </w:p>
    <w:p>
      <w:pPr>
        <w:pStyle w:val="17"/>
        <w:numPr>
          <w:ilvl w:val="2"/>
          <w:numId w:val="9"/>
        </w:numPr>
        <w:tabs>
          <w:tab w:val="left" w:pos="1152"/>
        </w:tabs>
        <w:spacing w:before="126" w:after="0" w:line="348" w:lineRule="auto"/>
        <w:ind w:left="100" w:right="218" w:firstLine="420"/>
        <w:jc w:val="both"/>
        <w:rPr>
          <w:rStyle w:val="15"/>
          <w:sz w:val="21"/>
          <w:szCs w:val="21"/>
        </w:rPr>
      </w:pPr>
      <w:r>
        <w:rPr>
          <w:sz w:val="21"/>
        </w:rPr>
        <w:t>如在封存期间处理招标投标利害当事人提出异议或者投诉时需要启封评标资料的，应按当地招</w:t>
      </w:r>
      <w:r>
        <w:rPr>
          <w:rStyle w:val="15"/>
          <w:sz w:val="21"/>
          <w:szCs w:val="21"/>
        </w:rPr>
        <w:t>投标监督管理部门规定的程序启封。</w:t>
      </w:r>
    </w:p>
    <w:p>
      <w:pPr>
        <w:pStyle w:val="17"/>
        <w:numPr>
          <w:ilvl w:val="2"/>
          <w:numId w:val="9"/>
        </w:numPr>
        <w:tabs>
          <w:tab w:val="left" w:pos="1149"/>
        </w:tabs>
        <w:spacing w:before="31" w:after="0" w:line="240" w:lineRule="auto"/>
        <w:ind w:left="100" w:right="0" w:firstLine="420"/>
        <w:jc w:val="left"/>
        <w:rPr>
          <w:rStyle w:val="15"/>
          <w:sz w:val="21"/>
          <w:szCs w:val="21"/>
        </w:rPr>
      </w:pPr>
      <w:r>
        <w:rPr>
          <w:rStyle w:val="15"/>
          <w:sz w:val="21"/>
          <w:szCs w:val="21"/>
        </w:rPr>
        <w:t>评标资料封存和启封应符合当地招投标监督管理部门的规定。</w:t>
      </w:r>
    </w:p>
    <w:p>
      <w:pPr>
        <w:pStyle w:val="17"/>
        <w:numPr>
          <w:ilvl w:val="1"/>
          <w:numId w:val="9"/>
        </w:numPr>
        <w:tabs>
          <w:tab w:val="left" w:pos="468"/>
        </w:tabs>
        <w:spacing w:before="125" w:after="0" w:line="240" w:lineRule="auto"/>
        <w:ind w:left="467" w:right="0" w:hanging="367"/>
        <w:jc w:val="left"/>
        <w:rPr>
          <w:rStyle w:val="15"/>
          <w:sz w:val="21"/>
          <w:szCs w:val="21"/>
        </w:rPr>
      </w:pPr>
      <w:bookmarkStart w:id="146" w:name="6.6中标候选人公示"/>
      <w:bookmarkEnd w:id="146"/>
      <w:bookmarkStart w:id="147" w:name="_bookmark55"/>
      <w:bookmarkEnd w:id="147"/>
      <w:bookmarkStart w:id="148" w:name="_bookmark55"/>
      <w:bookmarkEnd w:id="148"/>
      <w:r>
        <w:rPr>
          <w:rStyle w:val="15"/>
          <w:sz w:val="21"/>
          <w:szCs w:val="21"/>
        </w:rPr>
        <w:t>中标候选人公示</w:t>
      </w:r>
    </w:p>
    <w:p>
      <w:pPr>
        <w:pStyle w:val="17"/>
        <w:numPr>
          <w:ilvl w:val="2"/>
          <w:numId w:val="9"/>
        </w:numPr>
        <w:tabs>
          <w:tab w:val="left" w:pos="1156"/>
        </w:tabs>
        <w:spacing w:before="123" w:after="0" w:line="350" w:lineRule="auto"/>
        <w:ind w:left="100" w:right="218" w:firstLine="424"/>
        <w:jc w:val="both"/>
        <w:rPr>
          <w:rStyle w:val="15"/>
          <w:sz w:val="21"/>
          <w:szCs w:val="21"/>
        </w:rPr>
      </w:pPr>
      <w:r>
        <w:rPr>
          <w:rStyle w:val="15"/>
          <w:sz w:val="21"/>
          <w:szCs w:val="21"/>
        </w:rPr>
        <w:t>招标人自收到评标报告之日起 3 日内，必须在“投标人须知前附表”规定的媒介上按照规定的格式公示中标候选人，公示期不少于 3 个工作日。招标人逾期不发出中标候选人公示的，由当地招投标监督管理部门责令招标人及时改正。</w:t>
      </w:r>
    </w:p>
    <w:p>
      <w:pPr>
        <w:pStyle w:val="17"/>
        <w:numPr>
          <w:ilvl w:val="2"/>
          <w:numId w:val="9"/>
        </w:numPr>
        <w:tabs>
          <w:tab w:val="left" w:pos="1156"/>
        </w:tabs>
        <w:spacing w:before="27" w:after="0" w:line="350" w:lineRule="auto"/>
        <w:ind w:left="100" w:right="217" w:firstLine="424"/>
        <w:jc w:val="both"/>
        <w:rPr>
          <w:rStyle w:val="15"/>
          <w:sz w:val="21"/>
          <w:szCs w:val="21"/>
        </w:rPr>
      </w:pPr>
      <w:r>
        <w:rPr>
          <w:rStyle w:val="15"/>
          <w:sz w:val="21"/>
          <w:szCs w:val="21"/>
        </w:rPr>
        <w:t>投标人或者其他利害关系人对评标结果有异议的，应当在中标候选人公示期间提出。招标人自收到异议之日起 3 日内作出答复。对招标人答复不满意或招标人拒不答复的，投标人可按照本章第 9.5 条的规定程序向有关行政监督部门投诉。</w:t>
      </w:r>
    </w:p>
    <w:p>
      <w:pPr>
        <w:pStyle w:val="17"/>
        <w:numPr>
          <w:ilvl w:val="2"/>
          <w:numId w:val="9"/>
        </w:numPr>
        <w:tabs>
          <w:tab w:val="left" w:pos="1154"/>
        </w:tabs>
        <w:spacing w:before="27" w:after="0" w:line="240" w:lineRule="auto"/>
        <w:ind w:left="1153" w:right="0" w:hanging="629"/>
        <w:jc w:val="left"/>
        <w:rPr>
          <w:rStyle w:val="15"/>
          <w:sz w:val="21"/>
          <w:szCs w:val="21"/>
        </w:rPr>
      </w:pPr>
      <w:r>
        <w:rPr>
          <w:rStyle w:val="15"/>
          <w:sz w:val="21"/>
          <w:szCs w:val="21"/>
        </w:rPr>
        <w:t>招标人对中标候选人有投诉的，按照本章第 9.5 条的规定程序执行。</w:t>
      </w:r>
    </w:p>
    <w:p>
      <w:pPr>
        <w:pStyle w:val="17"/>
        <w:numPr>
          <w:ilvl w:val="1"/>
          <w:numId w:val="9"/>
        </w:numPr>
        <w:tabs>
          <w:tab w:val="left" w:pos="468"/>
        </w:tabs>
        <w:spacing w:before="126" w:after="0" w:line="240" w:lineRule="auto"/>
        <w:ind w:left="467" w:right="0" w:hanging="367"/>
        <w:jc w:val="left"/>
        <w:rPr>
          <w:rStyle w:val="15"/>
          <w:sz w:val="21"/>
          <w:szCs w:val="21"/>
        </w:rPr>
      </w:pPr>
      <w:bookmarkStart w:id="149" w:name="_bookmark56"/>
      <w:bookmarkEnd w:id="149"/>
      <w:bookmarkStart w:id="150" w:name="6.7履约能力审查"/>
      <w:bookmarkEnd w:id="150"/>
      <w:bookmarkStart w:id="151" w:name="_bookmark56"/>
      <w:bookmarkEnd w:id="151"/>
      <w:r>
        <w:rPr>
          <w:rStyle w:val="15"/>
          <w:sz w:val="21"/>
          <w:szCs w:val="21"/>
        </w:rPr>
        <w:t>履约能力审查</w:t>
      </w:r>
    </w:p>
    <w:p>
      <w:pPr>
        <w:pStyle w:val="3"/>
        <w:spacing w:before="126" w:line="348" w:lineRule="auto"/>
        <w:ind w:left="100" w:right="218" w:firstLine="420"/>
        <w:jc w:val="both"/>
        <w:rPr>
          <w:rStyle w:val="15"/>
          <w:sz w:val="21"/>
          <w:szCs w:val="21"/>
        </w:rPr>
      </w:pPr>
      <w:r>
        <w:rPr>
          <w:rStyle w:val="15"/>
          <w:sz w:val="21"/>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3"/>
        <w:spacing w:before="31" w:line="350" w:lineRule="auto"/>
        <w:ind w:left="100" w:right="218" w:firstLine="420"/>
        <w:jc w:val="both"/>
        <w:rPr>
          <w:rStyle w:val="15"/>
          <w:sz w:val="21"/>
          <w:szCs w:val="21"/>
        </w:rPr>
      </w:pPr>
      <w:r>
        <w:rPr>
          <w:rStyle w:val="15"/>
          <w:sz w:val="21"/>
          <w:szCs w:val="21"/>
        </w:rPr>
        <w:t>如招标人认为中标候选人的经营、财务状况发生较大变化或者存在违法行为可能影响其履约能力的， 应当在中标通知书发出前由原评标委员会按照招标文件规定的标准和方法审查确认。</w:t>
      </w:r>
    </w:p>
    <w:p>
      <w:pPr>
        <w:pStyle w:val="9"/>
        <w:spacing w:before="26"/>
        <w:ind w:left="100"/>
      </w:pPr>
      <w:bookmarkStart w:id="152" w:name="_bookmark57"/>
      <w:bookmarkEnd w:id="152"/>
      <w:bookmarkStart w:id="153" w:name="7.合同授予"/>
      <w:bookmarkEnd w:id="153"/>
      <w:r>
        <w:rPr>
          <w:w w:val="95"/>
        </w:rPr>
        <w:t>7.合同授予</w:t>
      </w:r>
    </w:p>
    <w:p>
      <w:pPr>
        <w:pStyle w:val="17"/>
        <w:numPr>
          <w:ilvl w:val="1"/>
          <w:numId w:val="10"/>
        </w:numPr>
        <w:tabs>
          <w:tab w:val="left" w:pos="520"/>
        </w:tabs>
        <w:spacing w:before="125" w:after="0" w:line="240" w:lineRule="auto"/>
        <w:ind w:left="520" w:right="0" w:hanging="420"/>
        <w:jc w:val="left"/>
        <w:rPr>
          <w:rStyle w:val="15"/>
          <w:sz w:val="21"/>
          <w:szCs w:val="21"/>
        </w:rPr>
      </w:pPr>
      <w:bookmarkStart w:id="154" w:name="_bookmark58"/>
      <w:bookmarkEnd w:id="154"/>
      <w:bookmarkStart w:id="155" w:name="7.1 定标方式"/>
      <w:bookmarkEnd w:id="155"/>
      <w:bookmarkStart w:id="156" w:name="_bookmark58"/>
      <w:bookmarkEnd w:id="156"/>
      <w:r>
        <w:rPr>
          <w:rStyle w:val="15"/>
          <w:sz w:val="21"/>
          <w:szCs w:val="21"/>
        </w:rPr>
        <w:t>定标方式</w:t>
      </w:r>
    </w:p>
    <w:p>
      <w:pPr>
        <w:pStyle w:val="3"/>
        <w:spacing w:before="125" w:line="348" w:lineRule="auto"/>
        <w:ind w:left="100" w:right="218" w:firstLine="420"/>
        <w:jc w:val="both"/>
        <w:rPr>
          <w:rStyle w:val="15"/>
          <w:sz w:val="21"/>
          <w:szCs w:val="21"/>
        </w:rPr>
      </w:pPr>
      <w:r>
        <w:rPr>
          <w:rStyle w:val="15"/>
          <w:sz w:val="21"/>
          <w:szCs w:val="21"/>
        </w:rPr>
        <w:t>公示期满无异议或者异议不成立的，招标人应当在公示期结束后 5 日内，按照招标文件规定的定标办法确定中标人，向中标人发出中标通知书，同时，按规定的格式在交易中心网站发出中标公告，将中标结果通知未中标的投标人。</w:t>
      </w:r>
    </w:p>
    <w:p>
      <w:pPr>
        <w:pStyle w:val="17"/>
        <w:numPr>
          <w:ilvl w:val="1"/>
          <w:numId w:val="10"/>
        </w:numPr>
        <w:tabs>
          <w:tab w:val="left" w:pos="520"/>
        </w:tabs>
        <w:spacing w:before="35" w:after="0" w:line="240" w:lineRule="auto"/>
        <w:ind w:left="520" w:right="0" w:hanging="420"/>
        <w:jc w:val="left"/>
        <w:rPr>
          <w:rStyle w:val="15"/>
          <w:sz w:val="21"/>
          <w:szCs w:val="21"/>
        </w:rPr>
      </w:pPr>
      <w:bookmarkStart w:id="157" w:name="7.2 中标通知及中标公告"/>
      <w:bookmarkEnd w:id="157"/>
      <w:bookmarkStart w:id="158" w:name="_bookmark59"/>
      <w:bookmarkEnd w:id="158"/>
      <w:bookmarkStart w:id="159" w:name="_bookmark59"/>
      <w:bookmarkEnd w:id="159"/>
      <w:r>
        <w:rPr>
          <w:rStyle w:val="15"/>
          <w:sz w:val="21"/>
          <w:szCs w:val="21"/>
        </w:rPr>
        <w:t>中标通知及中标公告</w:t>
      </w:r>
    </w:p>
    <w:p>
      <w:pPr>
        <w:pStyle w:val="3"/>
        <w:spacing w:before="126" w:line="348" w:lineRule="auto"/>
        <w:ind w:left="100" w:right="218" w:firstLine="420"/>
        <w:jc w:val="both"/>
        <w:rPr>
          <w:rStyle w:val="15"/>
          <w:sz w:val="21"/>
          <w:szCs w:val="21"/>
        </w:rPr>
      </w:pPr>
      <w:r>
        <w:rPr>
          <w:rStyle w:val="15"/>
          <w:sz w:val="21"/>
          <w:szCs w:val="21"/>
        </w:rPr>
        <w:t>公示期满无异议或者异议不成立的，招标人应当在公示期结束后 5 日内，按照招标文件规定的定标办法确定中标人，向中标人发出中标通知书，同时，按规定的格式在交易中心网站发出中标公告，将中标结果通知未中标的投标人。</w:t>
      </w:r>
    </w:p>
    <w:p>
      <w:pPr>
        <w:pStyle w:val="17"/>
        <w:numPr>
          <w:ilvl w:val="1"/>
          <w:numId w:val="10"/>
        </w:numPr>
        <w:tabs>
          <w:tab w:val="left" w:pos="520"/>
        </w:tabs>
        <w:spacing w:before="31" w:after="0" w:line="240" w:lineRule="auto"/>
        <w:ind w:left="520" w:right="0" w:hanging="420"/>
        <w:jc w:val="left"/>
        <w:rPr>
          <w:rStyle w:val="15"/>
          <w:sz w:val="21"/>
          <w:szCs w:val="21"/>
        </w:rPr>
      </w:pPr>
      <w:bookmarkStart w:id="160" w:name="7.3 履约保证金"/>
      <w:bookmarkEnd w:id="160"/>
      <w:bookmarkStart w:id="161" w:name="_bookmark60"/>
      <w:bookmarkEnd w:id="161"/>
      <w:bookmarkStart w:id="162" w:name="_bookmark60"/>
      <w:bookmarkEnd w:id="162"/>
      <w:r>
        <w:rPr>
          <w:rStyle w:val="15"/>
          <w:sz w:val="21"/>
          <w:szCs w:val="21"/>
        </w:rPr>
        <w:t>履约保证金</w:t>
      </w:r>
    </w:p>
    <w:p>
      <w:pPr>
        <w:pStyle w:val="17"/>
        <w:numPr>
          <w:ilvl w:val="2"/>
          <w:numId w:val="10"/>
        </w:numPr>
        <w:tabs>
          <w:tab w:val="left" w:pos="1149"/>
        </w:tabs>
        <w:spacing w:before="123" w:after="0" w:line="350" w:lineRule="auto"/>
        <w:ind w:left="100" w:right="218" w:firstLine="420"/>
        <w:jc w:val="both"/>
        <w:rPr>
          <w:rStyle w:val="15"/>
          <w:sz w:val="21"/>
          <w:szCs w:val="21"/>
        </w:rPr>
      </w:pPr>
      <w:r>
        <w:rPr>
          <w:rStyle w:val="15"/>
          <w:sz w:val="21"/>
          <w:szCs w:val="21"/>
        </w:rPr>
        <w:t>在签订合同前，中标人应按“投标人须知前附表”规定的金额、担保形式和招标文件第四章“合   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pStyle w:val="17"/>
        <w:numPr>
          <w:ilvl w:val="2"/>
          <w:numId w:val="10"/>
        </w:numPr>
        <w:tabs>
          <w:tab w:val="left" w:pos="1149"/>
        </w:tabs>
        <w:spacing w:before="29" w:after="0" w:line="350" w:lineRule="auto"/>
        <w:ind w:left="100" w:right="112" w:firstLine="420"/>
        <w:jc w:val="left"/>
        <w:rPr>
          <w:rStyle w:val="15"/>
          <w:sz w:val="21"/>
          <w:szCs w:val="21"/>
        </w:rPr>
      </w:pPr>
      <w:r>
        <w:rPr>
          <w:rStyle w:val="15"/>
          <w:sz w:val="21"/>
          <w:szCs w:val="21"/>
        </w:rPr>
        <w:t>中标人不能按本章第 7.3.1 项要求提交履约保证金的，视为放弃中标，其投标保证金不予退还， 给招标人造成的损失超过投标保证金数额的，中标人还应当对超过部分予以赔偿。</w:t>
      </w:r>
    </w:p>
    <w:p>
      <w:pPr>
        <w:pStyle w:val="17"/>
        <w:numPr>
          <w:ilvl w:val="1"/>
          <w:numId w:val="10"/>
        </w:numPr>
        <w:tabs>
          <w:tab w:val="left" w:pos="520"/>
        </w:tabs>
        <w:spacing w:before="27" w:after="0" w:line="240" w:lineRule="auto"/>
        <w:ind w:left="520" w:right="0" w:hanging="420"/>
        <w:jc w:val="left"/>
        <w:rPr>
          <w:rStyle w:val="15"/>
          <w:sz w:val="21"/>
          <w:szCs w:val="21"/>
        </w:rPr>
      </w:pPr>
      <w:bookmarkStart w:id="163" w:name="7.4 签订合同"/>
      <w:bookmarkEnd w:id="163"/>
      <w:bookmarkStart w:id="164" w:name="_bookmark61"/>
      <w:bookmarkEnd w:id="164"/>
      <w:bookmarkStart w:id="165" w:name="_bookmark61"/>
      <w:bookmarkEnd w:id="165"/>
      <w:r>
        <w:rPr>
          <w:rStyle w:val="15"/>
          <w:sz w:val="21"/>
          <w:szCs w:val="21"/>
        </w:rPr>
        <w:t>签订合同</w:t>
      </w:r>
    </w:p>
    <w:p>
      <w:pPr>
        <w:pStyle w:val="17"/>
        <w:numPr>
          <w:ilvl w:val="2"/>
          <w:numId w:val="10"/>
        </w:numPr>
        <w:tabs>
          <w:tab w:val="left" w:pos="1149"/>
        </w:tabs>
        <w:spacing w:before="126" w:after="0" w:line="350" w:lineRule="auto"/>
        <w:ind w:left="100" w:right="218" w:firstLine="420"/>
        <w:jc w:val="both"/>
        <w:rPr>
          <w:rStyle w:val="15"/>
          <w:sz w:val="21"/>
          <w:szCs w:val="21"/>
        </w:rPr>
      </w:pPr>
      <w:r>
        <w:rPr>
          <w:rStyle w:val="15"/>
          <w:sz w:val="21"/>
          <w:szCs w:val="21"/>
        </w:rPr>
        <w:t>招标人和中标人应当在投标有效期内以及中标通知书发出之日起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pStyle w:val="17"/>
        <w:numPr>
          <w:ilvl w:val="2"/>
          <w:numId w:val="10"/>
        </w:numPr>
        <w:tabs>
          <w:tab w:val="left" w:pos="1152"/>
        </w:tabs>
        <w:spacing w:before="29" w:after="0" w:line="350" w:lineRule="auto"/>
        <w:ind w:left="100" w:right="115" w:firstLine="420"/>
        <w:jc w:val="both"/>
        <w:rPr>
          <w:rStyle w:val="15"/>
          <w:sz w:val="21"/>
          <w:szCs w:val="21"/>
        </w:rPr>
      </w:pPr>
      <w:r>
        <w:rPr>
          <w:rStyle w:val="15"/>
          <w:sz w:val="21"/>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pStyle w:val="17"/>
        <w:numPr>
          <w:ilvl w:val="2"/>
          <w:numId w:val="10"/>
        </w:numPr>
        <w:tabs>
          <w:tab w:val="left" w:pos="1149"/>
        </w:tabs>
        <w:spacing w:before="26" w:after="0" w:line="350" w:lineRule="auto"/>
        <w:ind w:left="100" w:right="115" w:firstLine="420"/>
        <w:jc w:val="left"/>
        <w:rPr>
          <w:rStyle w:val="15"/>
          <w:sz w:val="21"/>
          <w:szCs w:val="21"/>
        </w:rPr>
      </w:pPr>
      <w:r>
        <w:rPr>
          <w:rStyle w:val="15"/>
          <w:sz w:val="21"/>
          <w:szCs w:val="21"/>
        </w:rPr>
        <w:t>发出中标通知书后，招标人无正当理由拒签合同的，由有关行政监督部门给予警告，责令改正。同时招标人向中标人退还投标保证金；给中标人造成损失的，还应当赔偿损失。</w:t>
      </w:r>
    </w:p>
    <w:p>
      <w:pPr>
        <w:pStyle w:val="9"/>
        <w:spacing w:before="28"/>
        <w:ind w:left="100"/>
        <w:rPr>
          <w:rStyle w:val="15"/>
          <w:sz w:val="21"/>
          <w:szCs w:val="21"/>
        </w:rPr>
      </w:pPr>
      <w:bookmarkStart w:id="166" w:name="_bookmark62"/>
      <w:bookmarkEnd w:id="166"/>
      <w:bookmarkStart w:id="167" w:name="8.重新招标和不再招标"/>
      <w:bookmarkEnd w:id="167"/>
      <w:r>
        <w:rPr>
          <w:rStyle w:val="15"/>
          <w:sz w:val="21"/>
          <w:szCs w:val="21"/>
        </w:rPr>
        <w:t>8.重新招标和不再招标</w:t>
      </w:r>
    </w:p>
    <w:p>
      <w:pPr>
        <w:pStyle w:val="17"/>
        <w:numPr>
          <w:ilvl w:val="1"/>
          <w:numId w:val="11"/>
        </w:numPr>
        <w:tabs>
          <w:tab w:val="left" w:pos="520"/>
        </w:tabs>
        <w:spacing w:before="123" w:after="0" w:line="240" w:lineRule="auto"/>
        <w:ind w:left="520" w:right="0" w:hanging="420"/>
        <w:jc w:val="left"/>
        <w:rPr>
          <w:rStyle w:val="15"/>
          <w:sz w:val="21"/>
          <w:szCs w:val="21"/>
        </w:rPr>
      </w:pPr>
      <w:bookmarkStart w:id="168" w:name="_bookmark63"/>
      <w:bookmarkEnd w:id="168"/>
      <w:bookmarkStart w:id="169" w:name="8.1 重新招标"/>
      <w:bookmarkEnd w:id="169"/>
      <w:bookmarkStart w:id="170" w:name="_bookmark63"/>
      <w:bookmarkEnd w:id="170"/>
      <w:r>
        <w:rPr>
          <w:rStyle w:val="15"/>
          <w:sz w:val="21"/>
          <w:szCs w:val="21"/>
        </w:rPr>
        <w:t>重新招标</w:t>
      </w:r>
    </w:p>
    <w:p>
      <w:pPr>
        <w:pStyle w:val="3"/>
        <w:spacing w:before="126"/>
        <w:ind w:left="524"/>
        <w:rPr>
          <w:rStyle w:val="15"/>
          <w:sz w:val="21"/>
          <w:szCs w:val="21"/>
        </w:rPr>
      </w:pPr>
      <w:r>
        <w:rPr>
          <w:rStyle w:val="15"/>
          <w:sz w:val="21"/>
          <w:szCs w:val="21"/>
        </w:rPr>
        <w:t>有下列情形之一的，招标人将重新招标：</w:t>
      </w:r>
    </w:p>
    <w:p>
      <w:pPr>
        <w:pStyle w:val="3"/>
        <w:spacing w:before="126"/>
        <w:ind w:left="524"/>
        <w:rPr>
          <w:rStyle w:val="15"/>
          <w:sz w:val="21"/>
          <w:szCs w:val="21"/>
        </w:rPr>
      </w:pPr>
      <w:r>
        <w:rPr>
          <w:rStyle w:val="15"/>
          <w:sz w:val="21"/>
          <w:szCs w:val="21"/>
        </w:rPr>
        <w:t>（1）投标截止时，投标人少于 3 个的；</w:t>
      </w:r>
    </w:p>
    <w:p>
      <w:pPr>
        <w:pStyle w:val="3"/>
        <w:spacing w:before="123"/>
        <w:ind w:left="524"/>
        <w:rPr>
          <w:rStyle w:val="15"/>
          <w:sz w:val="21"/>
          <w:szCs w:val="21"/>
        </w:rPr>
      </w:pPr>
      <w:r>
        <w:rPr>
          <w:rStyle w:val="15"/>
          <w:sz w:val="21"/>
          <w:szCs w:val="21"/>
        </w:rPr>
        <w:t>（2）经评标委员会评审后否决所有投标的；</w:t>
      </w:r>
    </w:p>
    <w:p>
      <w:pPr>
        <w:pStyle w:val="3"/>
        <w:spacing w:before="125"/>
        <w:ind w:left="524"/>
        <w:rPr>
          <w:rStyle w:val="15"/>
          <w:sz w:val="21"/>
          <w:szCs w:val="21"/>
        </w:rPr>
      </w:pPr>
      <w:r>
        <w:rPr>
          <w:rStyle w:val="15"/>
          <w:sz w:val="21"/>
          <w:szCs w:val="21"/>
        </w:rPr>
        <w:t>（3）其他有关法规和文件规定的应当重新招标的情形。</w:t>
      </w:r>
    </w:p>
    <w:p>
      <w:pPr>
        <w:pStyle w:val="17"/>
        <w:numPr>
          <w:ilvl w:val="1"/>
          <w:numId w:val="11"/>
        </w:numPr>
        <w:tabs>
          <w:tab w:val="left" w:pos="520"/>
        </w:tabs>
        <w:spacing w:before="125" w:after="0" w:line="240" w:lineRule="auto"/>
        <w:ind w:left="520" w:right="0" w:hanging="420"/>
        <w:jc w:val="left"/>
        <w:rPr>
          <w:rStyle w:val="15"/>
          <w:sz w:val="21"/>
          <w:szCs w:val="21"/>
        </w:rPr>
      </w:pPr>
      <w:bookmarkStart w:id="171" w:name="_bookmark64"/>
      <w:bookmarkEnd w:id="171"/>
      <w:bookmarkStart w:id="172" w:name="_bookmark64"/>
      <w:bookmarkEnd w:id="172"/>
      <w:bookmarkStart w:id="173" w:name="8.2 不再招标"/>
      <w:bookmarkEnd w:id="173"/>
      <w:r>
        <w:rPr>
          <w:rStyle w:val="15"/>
          <w:sz w:val="21"/>
          <w:szCs w:val="21"/>
        </w:rPr>
        <w:t>不再招标</w:t>
      </w:r>
    </w:p>
    <w:p>
      <w:pPr>
        <w:pStyle w:val="3"/>
        <w:spacing w:before="123" w:line="350" w:lineRule="auto"/>
        <w:ind w:left="100" w:right="218" w:firstLine="420"/>
        <w:jc w:val="both"/>
        <w:rPr>
          <w:rStyle w:val="15"/>
          <w:sz w:val="21"/>
          <w:szCs w:val="21"/>
        </w:rPr>
      </w:pPr>
      <w:r>
        <w:rPr>
          <w:rStyle w:val="15"/>
          <w:sz w:val="21"/>
          <w:szCs w:val="21"/>
        </w:rPr>
        <w:t>重新招标后投标人仍少于 3 个或者所有投标被否决的，属于必须审批或核准的工程建设项目，经原审批或核准部门批准后可不再进行招标。</w:t>
      </w:r>
    </w:p>
    <w:p>
      <w:pPr>
        <w:pStyle w:val="9"/>
        <w:spacing w:before="29"/>
        <w:ind w:left="100"/>
        <w:rPr>
          <w:rStyle w:val="15"/>
          <w:sz w:val="21"/>
          <w:szCs w:val="21"/>
        </w:rPr>
      </w:pPr>
      <w:bookmarkStart w:id="174" w:name="9.纪律和监督"/>
      <w:bookmarkEnd w:id="174"/>
      <w:bookmarkStart w:id="175" w:name="_bookmark65"/>
      <w:bookmarkEnd w:id="175"/>
      <w:r>
        <w:rPr>
          <w:rStyle w:val="15"/>
          <w:sz w:val="21"/>
          <w:szCs w:val="21"/>
        </w:rPr>
        <w:t>9.纪律和监督</w:t>
      </w:r>
    </w:p>
    <w:p>
      <w:pPr>
        <w:pStyle w:val="17"/>
        <w:numPr>
          <w:ilvl w:val="1"/>
          <w:numId w:val="12"/>
        </w:numPr>
        <w:tabs>
          <w:tab w:val="left" w:pos="520"/>
        </w:tabs>
        <w:spacing w:before="123" w:after="0" w:line="240" w:lineRule="auto"/>
        <w:ind w:left="520" w:right="0" w:hanging="420"/>
        <w:jc w:val="left"/>
        <w:rPr>
          <w:rStyle w:val="15"/>
          <w:sz w:val="21"/>
          <w:szCs w:val="21"/>
        </w:rPr>
      </w:pPr>
      <w:bookmarkStart w:id="176" w:name="9.1 对招标人的纪律要求"/>
      <w:bookmarkEnd w:id="176"/>
      <w:bookmarkStart w:id="177" w:name="_bookmark66"/>
      <w:bookmarkEnd w:id="177"/>
      <w:bookmarkStart w:id="178" w:name="_bookmark66"/>
      <w:bookmarkEnd w:id="178"/>
      <w:r>
        <w:rPr>
          <w:rStyle w:val="15"/>
          <w:sz w:val="21"/>
          <w:szCs w:val="21"/>
        </w:rPr>
        <w:t>对招标人的纪律要求</w:t>
      </w:r>
    </w:p>
    <w:p>
      <w:pPr>
        <w:pStyle w:val="3"/>
        <w:spacing w:before="126"/>
        <w:ind w:left="522"/>
        <w:rPr>
          <w:rStyle w:val="15"/>
          <w:sz w:val="21"/>
          <w:szCs w:val="21"/>
        </w:rPr>
      </w:pPr>
      <w:r>
        <w:rPr>
          <w:rStyle w:val="15"/>
          <w:sz w:val="21"/>
          <w:szCs w:val="21"/>
        </w:rPr>
        <w:t>招标人不得泄漏招标投标活动中应当保密的情况和资料，不得与投标人串通损害国家利益、社会公共</w:t>
      </w:r>
    </w:p>
    <w:p>
      <w:pPr>
        <w:pStyle w:val="3"/>
        <w:spacing w:before="35"/>
        <w:ind w:left="102"/>
        <w:rPr>
          <w:rStyle w:val="15"/>
          <w:sz w:val="21"/>
          <w:szCs w:val="21"/>
        </w:rPr>
      </w:pPr>
      <w:r>
        <w:rPr>
          <w:rStyle w:val="15"/>
          <w:sz w:val="21"/>
          <w:szCs w:val="21"/>
        </w:rPr>
        <w:t>利益或者他人合法权益。有下列情形之一的，属于招标人与投标人串通投标：</w:t>
      </w:r>
    </w:p>
    <w:p>
      <w:pPr>
        <w:pStyle w:val="3"/>
        <w:spacing w:before="126"/>
        <w:ind w:left="524"/>
        <w:rPr>
          <w:rStyle w:val="15"/>
          <w:sz w:val="21"/>
          <w:szCs w:val="21"/>
        </w:rPr>
      </w:pPr>
      <w:r>
        <w:rPr>
          <w:rStyle w:val="15"/>
          <w:sz w:val="21"/>
          <w:szCs w:val="21"/>
        </w:rPr>
        <w:t>（1）招标人在开标前开启投标文件并将有关信息泄露给其他投标人;</w:t>
      </w:r>
    </w:p>
    <w:p>
      <w:pPr>
        <w:pStyle w:val="3"/>
        <w:spacing w:before="123"/>
        <w:ind w:left="524"/>
        <w:rPr>
          <w:rStyle w:val="15"/>
          <w:sz w:val="21"/>
          <w:szCs w:val="21"/>
        </w:rPr>
      </w:pPr>
      <w:r>
        <w:rPr>
          <w:rStyle w:val="15"/>
          <w:sz w:val="21"/>
          <w:szCs w:val="21"/>
        </w:rPr>
        <w:t>（2）招标人直接或者间接向投标人泄露标底、评标委员会成员等信息；</w:t>
      </w:r>
    </w:p>
    <w:p>
      <w:pPr>
        <w:pStyle w:val="3"/>
        <w:spacing w:before="125"/>
        <w:ind w:left="524"/>
        <w:rPr>
          <w:rStyle w:val="15"/>
          <w:sz w:val="21"/>
          <w:szCs w:val="21"/>
        </w:rPr>
      </w:pPr>
      <w:r>
        <w:rPr>
          <w:rStyle w:val="15"/>
          <w:sz w:val="21"/>
          <w:szCs w:val="21"/>
        </w:rPr>
        <w:t>（3）招标人明示或者暗示投标人压低或者抬高投标报价；</w:t>
      </w:r>
    </w:p>
    <w:p>
      <w:pPr>
        <w:pStyle w:val="3"/>
        <w:spacing w:before="125"/>
        <w:ind w:left="524"/>
        <w:rPr>
          <w:rStyle w:val="15"/>
          <w:sz w:val="21"/>
          <w:szCs w:val="21"/>
        </w:rPr>
      </w:pPr>
      <w:r>
        <w:rPr>
          <w:rStyle w:val="15"/>
          <w:sz w:val="21"/>
          <w:szCs w:val="21"/>
        </w:rPr>
        <w:t>（4）招标人授意投标人撤换、修改投标文件；</w:t>
      </w:r>
    </w:p>
    <w:p>
      <w:pPr>
        <w:pStyle w:val="3"/>
        <w:spacing w:before="123"/>
        <w:ind w:left="524"/>
        <w:rPr>
          <w:rStyle w:val="15"/>
          <w:sz w:val="21"/>
          <w:szCs w:val="21"/>
        </w:rPr>
      </w:pPr>
      <w:r>
        <w:rPr>
          <w:rStyle w:val="15"/>
          <w:sz w:val="21"/>
          <w:szCs w:val="21"/>
        </w:rPr>
        <w:t>（5）招标人明示或者暗示投标人为特定投标人中标提供方便；</w:t>
      </w:r>
    </w:p>
    <w:p>
      <w:pPr>
        <w:pStyle w:val="3"/>
        <w:spacing w:before="126"/>
        <w:ind w:left="524"/>
        <w:rPr>
          <w:rStyle w:val="15"/>
          <w:sz w:val="21"/>
          <w:szCs w:val="21"/>
        </w:rPr>
      </w:pPr>
      <w:r>
        <w:rPr>
          <w:rStyle w:val="15"/>
          <w:sz w:val="21"/>
          <w:szCs w:val="21"/>
        </w:rPr>
        <w:t>（6）招标人与投标人为谋求特定投标人中标而采取的其他串通行为。</w:t>
      </w:r>
    </w:p>
    <w:p>
      <w:pPr>
        <w:pStyle w:val="17"/>
        <w:numPr>
          <w:ilvl w:val="1"/>
          <w:numId w:val="12"/>
        </w:numPr>
        <w:tabs>
          <w:tab w:val="left" w:pos="520"/>
        </w:tabs>
        <w:spacing w:before="126" w:after="0" w:line="240" w:lineRule="auto"/>
        <w:ind w:left="520" w:right="0" w:hanging="420"/>
        <w:jc w:val="left"/>
        <w:rPr>
          <w:rStyle w:val="15"/>
          <w:sz w:val="21"/>
          <w:szCs w:val="21"/>
        </w:rPr>
      </w:pPr>
      <w:bookmarkStart w:id="179" w:name="9.2 对投标人的纪律要求"/>
      <w:bookmarkEnd w:id="179"/>
      <w:bookmarkStart w:id="180" w:name="_bookmark67"/>
      <w:bookmarkEnd w:id="180"/>
      <w:bookmarkStart w:id="181" w:name="_bookmark67"/>
      <w:bookmarkEnd w:id="181"/>
      <w:r>
        <w:rPr>
          <w:rStyle w:val="15"/>
          <w:sz w:val="21"/>
          <w:szCs w:val="21"/>
        </w:rPr>
        <w:t>对投标人的纪律要求</w:t>
      </w:r>
    </w:p>
    <w:p>
      <w:pPr>
        <w:pStyle w:val="3"/>
        <w:spacing w:before="123" w:line="350" w:lineRule="auto"/>
        <w:ind w:left="100" w:right="158" w:firstLine="566"/>
        <w:jc w:val="both"/>
        <w:rPr>
          <w:rStyle w:val="15"/>
          <w:sz w:val="21"/>
          <w:szCs w:val="21"/>
        </w:rPr>
      </w:pPr>
      <w:r>
        <w:rPr>
          <w:rStyle w:val="15"/>
          <w:sz w:val="21"/>
          <w:szCs w:val="21"/>
        </w:rPr>
        <w:t>投标人不得相互串通投标或者与招标人串通投标，不得向招标人或者评标委员会成员行贿谋取中标，   不得以他人名义投标或者以其他方式弄虚作假骗取中标；投标人不得以任何方式干扰、影响评标工作。有下列情形之一的，属于投标人相互串通投标：</w:t>
      </w:r>
    </w:p>
    <w:p>
      <w:pPr>
        <w:pStyle w:val="3"/>
        <w:spacing w:before="26"/>
        <w:ind w:left="520"/>
        <w:rPr>
          <w:rStyle w:val="15"/>
          <w:sz w:val="21"/>
          <w:szCs w:val="21"/>
        </w:rPr>
      </w:pPr>
      <w:r>
        <w:rPr>
          <w:rStyle w:val="15"/>
          <w:sz w:val="21"/>
          <w:szCs w:val="21"/>
        </w:rPr>
        <w:t>（1）投标人之间协商投标报价等投标文件的实质性内容；</w:t>
      </w:r>
    </w:p>
    <w:p>
      <w:pPr>
        <w:pStyle w:val="3"/>
        <w:spacing w:before="125"/>
        <w:ind w:left="524"/>
        <w:rPr>
          <w:rStyle w:val="15"/>
          <w:sz w:val="21"/>
          <w:szCs w:val="21"/>
        </w:rPr>
      </w:pPr>
      <w:r>
        <w:rPr>
          <w:rStyle w:val="15"/>
          <w:sz w:val="21"/>
          <w:szCs w:val="21"/>
        </w:rPr>
        <w:t>（2）投标人之间约定中标人；</w:t>
      </w:r>
    </w:p>
    <w:p>
      <w:pPr>
        <w:pStyle w:val="3"/>
        <w:spacing w:before="125"/>
        <w:ind w:left="524"/>
        <w:rPr>
          <w:rStyle w:val="15"/>
          <w:sz w:val="21"/>
          <w:szCs w:val="21"/>
        </w:rPr>
      </w:pPr>
      <w:r>
        <w:rPr>
          <w:rStyle w:val="15"/>
          <w:sz w:val="21"/>
          <w:szCs w:val="21"/>
        </w:rPr>
        <w:t>（3）投标人之间约定部分投标人放弃投标或者中标；</w:t>
      </w:r>
    </w:p>
    <w:p>
      <w:pPr>
        <w:pStyle w:val="3"/>
        <w:spacing w:before="123"/>
        <w:ind w:left="524"/>
        <w:rPr>
          <w:rStyle w:val="15"/>
          <w:sz w:val="21"/>
          <w:szCs w:val="21"/>
        </w:rPr>
      </w:pPr>
      <w:r>
        <w:rPr>
          <w:rStyle w:val="15"/>
          <w:sz w:val="21"/>
          <w:szCs w:val="21"/>
        </w:rPr>
        <w:t>（4）属于同一集团、协会、商会等组织成员的投标人按照该组织要求协同投标；</w:t>
      </w:r>
    </w:p>
    <w:p>
      <w:pPr>
        <w:pStyle w:val="3"/>
        <w:spacing w:before="126"/>
        <w:ind w:left="524"/>
        <w:rPr>
          <w:rStyle w:val="15"/>
          <w:sz w:val="21"/>
          <w:szCs w:val="21"/>
        </w:rPr>
      </w:pPr>
      <w:r>
        <w:rPr>
          <w:rStyle w:val="15"/>
          <w:sz w:val="21"/>
          <w:szCs w:val="21"/>
        </w:rPr>
        <w:t>（5）投标人之间为谋取中标或者排斥特定投标人而采取的其他联合行动；</w:t>
      </w:r>
    </w:p>
    <w:p>
      <w:pPr>
        <w:pStyle w:val="3"/>
        <w:spacing w:before="126"/>
        <w:ind w:left="524"/>
        <w:rPr>
          <w:rStyle w:val="15"/>
          <w:sz w:val="21"/>
          <w:szCs w:val="21"/>
        </w:rPr>
      </w:pPr>
      <w:r>
        <w:rPr>
          <w:rStyle w:val="15"/>
          <w:sz w:val="21"/>
          <w:szCs w:val="21"/>
        </w:rPr>
        <w:t>（6）不同投标人的投标文件由同一单位或者个人编制；</w:t>
      </w:r>
    </w:p>
    <w:p>
      <w:pPr>
        <w:pStyle w:val="3"/>
        <w:spacing w:before="123"/>
        <w:ind w:left="524"/>
        <w:rPr>
          <w:rStyle w:val="15"/>
          <w:sz w:val="21"/>
          <w:szCs w:val="21"/>
        </w:rPr>
      </w:pPr>
      <w:r>
        <w:rPr>
          <w:rStyle w:val="15"/>
          <w:sz w:val="21"/>
          <w:szCs w:val="21"/>
        </w:rPr>
        <w:t>（7）不同投标人委托同一单位或者个人办理投标事宜；</w:t>
      </w:r>
    </w:p>
    <w:p>
      <w:pPr>
        <w:pStyle w:val="3"/>
        <w:spacing w:before="125"/>
        <w:ind w:left="524"/>
        <w:rPr>
          <w:rStyle w:val="15"/>
          <w:sz w:val="21"/>
          <w:szCs w:val="21"/>
        </w:rPr>
      </w:pPr>
      <w:r>
        <w:rPr>
          <w:rStyle w:val="15"/>
          <w:sz w:val="21"/>
          <w:szCs w:val="21"/>
        </w:rPr>
        <w:t>（8）不同投标人的投标文件载明的项目管理成员为同一人；</w:t>
      </w:r>
    </w:p>
    <w:p>
      <w:pPr>
        <w:pStyle w:val="3"/>
        <w:spacing w:before="125"/>
        <w:ind w:left="524"/>
        <w:rPr>
          <w:rStyle w:val="15"/>
          <w:sz w:val="21"/>
          <w:szCs w:val="21"/>
        </w:rPr>
      </w:pPr>
      <w:r>
        <w:rPr>
          <w:rStyle w:val="15"/>
          <w:sz w:val="21"/>
          <w:szCs w:val="21"/>
        </w:rPr>
        <w:t>（9）不同投标人的投标文件异常一致或者投标报价呈规律性差异；</w:t>
      </w:r>
    </w:p>
    <w:p>
      <w:pPr>
        <w:pStyle w:val="3"/>
        <w:spacing w:before="123"/>
        <w:ind w:left="524"/>
        <w:rPr>
          <w:rStyle w:val="15"/>
          <w:sz w:val="21"/>
          <w:szCs w:val="21"/>
        </w:rPr>
      </w:pPr>
      <w:r>
        <w:rPr>
          <w:rStyle w:val="15"/>
          <w:sz w:val="21"/>
          <w:szCs w:val="21"/>
        </w:rPr>
        <w:t>（10）不同投标人的投标文件相互混装；</w:t>
      </w:r>
    </w:p>
    <w:p>
      <w:pPr>
        <w:pStyle w:val="3"/>
        <w:spacing w:before="126"/>
        <w:ind w:left="524"/>
        <w:rPr>
          <w:rStyle w:val="15"/>
          <w:sz w:val="21"/>
          <w:szCs w:val="21"/>
        </w:rPr>
      </w:pPr>
      <w:r>
        <w:rPr>
          <w:rStyle w:val="15"/>
          <w:sz w:val="21"/>
          <w:szCs w:val="21"/>
        </w:rPr>
        <w:t>（11）不同投标人的投标保证金从同一单位或者个人的账户转出；</w:t>
      </w:r>
    </w:p>
    <w:p>
      <w:pPr>
        <w:pStyle w:val="3"/>
        <w:spacing w:before="126"/>
        <w:ind w:left="524"/>
        <w:rPr>
          <w:rStyle w:val="15"/>
          <w:sz w:val="21"/>
          <w:szCs w:val="21"/>
        </w:rPr>
      </w:pPr>
      <w:r>
        <w:rPr>
          <w:rStyle w:val="15"/>
          <w:sz w:val="21"/>
          <w:szCs w:val="21"/>
        </w:rPr>
        <w:t>（12）不同投标人购买招标文件、图纸等费用，从同一单位或个人的账户转出。</w:t>
      </w:r>
    </w:p>
    <w:p>
      <w:pPr>
        <w:pStyle w:val="17"/>
        <w:numPr>
          <w:ilvl w:val="1"/>
          <w:numId w:val="12"/>
        </w:numPr>
        <w:tabs>
          <w:tab w:val="left" w:pos="520"/>
        </w:tabs>
        <w:spacing w:before="123" w:after="0" w:line="240" w:lineRule="auto"/>
        <w:ind w:left="520" w:right="0" w:hanging="420"/>
        <w:jc w:val="left"/>
        <w:rPr>
          <w:rStyle w:val="15"/>
          <w:sz w:val="21"/>
          <w:szCs w:val="21"/>
        </w:rPr>
      </w:pPr>
      <w:bookmarkStart w:id="182" w:name="_bookmark68"/>
      <w:bookmarkEnd w:id="182"/>
      <w:bookmarkStart w:id="183" w:name="_bookmark68"/>
      <w:bookmarkEnd w:id="183"/>
      <w:bookmarkStart w:id="184" w:name="9.3 对评标委员会成员的纪律要求"/>
      <w:bookmarkEnd w:id="184"/>
      <w:r>
        <w:rPr>
          <w:rStyle w:val="15"/>
          <w:sz w:val="21"/>
          <w:szCs w:val="21"/>
        </w:rPr>
        <w:t>对评标委员会成员的纪律要求</w:t>
      </w:r>
    </w:p>
    <w:p>
      <w:pPr>
        <w:pStyle w:val="3"/>
        <w:spacing w:before="125" w:line="348" w:lineRule="auto"/>
        <w:ind w:left="100" w:right="112" w:firstLine="566"/>
        <w:rPr>
          <w:rStyle w:val="15"/>
          <w:sz w:val="21"/>
          <w:szCs w:val="21"/>
        </w:rPr>
      </w:pPr>
      <w:r>
        <w:rPr>
          <w:rStyle w:val="15"/>
          <w:sz w:val="21"/>
          <w:szCs w:val="21"/>
        </w:rPr>
        <w:t>评标委员会成员不得收受他人的财物或者其他好处，不得向他人透漏对投标文件的评审和比较、中标候选人（评标结果）的推荐情况以及评标有关的其他情况。在评标活动中，评标委员会成员不得擅离职守，影响评标程序正常进行，不得使用第三章“评标办法”没有规定的评审因素和标准进行评标。</w:t>
      </w:r>
    </w:p>
    <w:p>
      <w:pPr>
        <w:pStyle w:val="17"/>
        <w:numPr>
          <w:ilvl w:val="1"/>
          <w:numId w:val="12"/>
        </w:numPr>
        <w:tabs>
          <w:tab w:val="left" w:pos="520"/>
        </w:tabs>
        <w:spacing w:before="31" w:after="0" w:line="240" w:lineRule="auto"/>
        <w:ind w:left="520" w:right="0" w:hanging="420"/>
        <w:jc w:val="left"/>
        <w:rPr>
          <w:rStyle w:val="15"/>
          <w:sz w:val="21"/>
          <w:szCs w:val="21"/>
        </w:rPr>
      </w:pPr>
      <w:bookmarkStart w:id="185" w:name="_bookmark69"/>
      <w:bookmarkEnd w:id="185"/>
      <w:bookmarkStart w:id="186" w:name="9.4 对与评标活动有关的工作人员的纪律要求"/>
      <w:bookmarkEnd w:id="186"/>
      <w:bookmarkStart w:id="187" w:name="_bookmark69"/>
      <w:bookmarkEnd w:id="187"/>
      <w:r>
        <w:rPr>
          <w:rStyle w:val="15"/>
          <w:sz w:val="21"/>
          <w:szCs w:val="21"/>
        </w:rPr>
        <w:t>对与评标活动有关的工作人员的纪律要求</w:t>
      </w:r>
    </w:p>
    <w:p>
      <w:pPr>
        <w:pStyle w:val="3"/>
        <w:spacing w:before="126" w:line="348" w:lineRule="auto"/>
        <w:ind w:left="100" w:right="218" w:firstLine="420"/>
        <w:jc w:val="both"/>
        <w:rPr>
          <w:rStyle w:val="15"/>
          <w:sz w:val="21"/>
          <w:szCs w:val="21"/>
        </w:rPr>
      </w:pPr>
      <w:r>
        <w:rPr>
          <w:rStyle w:val="15"/>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7"/>
        <w:numPr>
          <w:ilvl w:val="1"/>
          <w:numId w:val="12"/>
        </w:numPr>
        <w:tabs>
          <w:tab w:val="left" w:pos="520"/>
        </w:tabs>
        <w:spacing w:before="31" w:after="0" w:line="240" w:lineRule="auto"/>
        <w:ind w:left="520" w:right="0" w:hanging="420"/>
        <w:jc w:val="left"/>
        <w:rPr>
          <w:rStyle w:val="15"/>
          <w:sz w:val="21"/>
          <w:szCs w:val="21"/>
        </w:rPr>
      </w:pPr>
      <w:bookmarkStart w:id="188" w:name="9.5 投诉"/>
      <w:bookmarkEnd w:id="188"/>
      <w:bookmarkStart w:id="189" w:name="_bookmark70"/>
      <w:bookmarkEnd w:id="189"/>
      <w:bookmarkStart w:id="190" w:name="_bookmark70"/>
      <w:bookmarkEnd w:id="190"/>
      <w:r>
        <w:rPr>
          <w:rStyle w:val="15"/>
          <w:sz w:val="21"/>
          <w:szCs w:val="21"/>
        </w:rPr>
        <w:t>投诉</w:t>
      </w:r>
    </w:p>
    <w:p>
      <w:pPr>
        <w:pStyle w:val="3"/>
        <w:spacing w:before="123" w:line="350" w:lineRule="auto"/>
        <w:ind w:left="100" w:right="218" w:firstLine="420"/>
        <w:sectPr>
          <w:footerReference r:id="rId7" w:type="default"/>
          <w:pgSz w:w="11910" w:h="16840"/>
          <w:pgMar w:top="1000" w:right="860" w:bottom="780" w:left="980" w:header="808" w:footer="595" w:gutter="0"/>
          <w:pgNumType w:fmt="decimal"/>
        </w:sectPr>
      </w:pPr>
      <w:r>
        <w:t>投标人和其他利害关系人认为本次招标活动违反法律、法规和规章规定的，可以在知道或者应当知道之日起十日内向当地招投标监督管理部门提出书面投诉。投诉事项应先提出异议，没有提出异议的，不予</w:t>
      </w:r>
    </w:p>
    <w:p>
      <w:pPr>
        <w:pStyle w:val="3"/>
        <w:spacing w:before="1"/>
        <w:rPr>
          <w:sz w:val="16"/>
        </w:rPr>
      </w:pPr>
    </w:p>
    <w:p>
      <w:pPr>
        <w:pStyle w:val="3"/>
        <w:spacing w:before="35"/>
        <w:ind w:left="100"/>
        <w:rPr>
          <w:rStyle w:val="15"/>
          <w:sz w:val="21"/>
          <w:szCs w:val="21"/>
        </w:rPr>
      </w:pPr>
      <w:r>
        <w:rPr>
          <w:rStyle w:val="15"/>
          <w:sz w:val="21"/>
          <w:szCs w:val="21"/>
        </w:rPr>
        <w:t>受理。</w:t>
      </w:r>
    </w:p>
    <w:p>
      <w:pPr>
        <w:pStyle w:val="9"/>
        <w:spacing w:before="126"/>
        <w:ind w:left="100"/>
        <w:rPr>
          <w:rStyle w:val="15"/>
          <w:sz w:val="21"/>
          <w:szCs w:val="21"/>
        </w:rPr>
      </w:pPr>
      <w:bookmarkStart w:id="191" w:name="_bookmark71"/>
      <w:bookmarkEnd w:id="191"/>
      <w:bookmarkStart w:id="192" w:name="10.需要补充的其他内容"/>
      <w:bookmarkEnd w:id="192"/>
      <w:r>
        <w:rPr>
          <w:rStyle w:val="15"/>
          <w:sz w:val="21"/>
          <w:szCs w:val="21"/>
        </w:rPr>
        <w:t>10.需要补充的其他内容</w:t>
      </w:r>
    </w:p>
    <w:p>
      <w:pPr>
        <w:pStyle w:val="17"/>
        <w:numPr>
          <w:ilvl w:val="1"/>
          <w:numId w:val="13"/>
        </w:numPr>
        <w:tabs>
          <w:tab w:val="left" w:pos="626"/>
        </w:tabs>
        <w:spacing w:before="123" w:after="0" w:line="240" w:lineRule="auto"/>
        <w:ind w:left="520" w:right="0" w:hanging="420"/>
        <w:jc w:val="left"/>
        <w:rPr>
          <w:rStyle w:val="15"/>
          <w:sz w:val="21"/>
          <w:szCs w:val="21"/>
        </w:rPr>
      </w:pPr>
      <w:bookmarkStart w:id="193" w:name="_bookmark72"/>
      <w:bookmarkEnd w:id="193"/>
      <w:bookmarkStart w:id="194" w:name="10.1 词语定义"/>
      <w:bookmarkEnd w:id="194"/>
      <w:bookmarkStart w:id="195" w:name="_bookmark72"/>
      <w:bookmarkEnd w:id="195"/>
      <w:r>
        <w:rPr>
          <w:rStyle w:val="15"/>
          <w:sz w:val="21"/>
          <w:szCs w:val="21"/>
        </w:rPr>
        <w:t>词语定义</w:t>
      </w:r>
    </w:p>
    <w:p>
      <w:pPr>
        <w:pStyle w:val="3"/>
        <w:spacing w:before="125"/>
        <w:ind w:left="520"/>
        <w:rPr>
          <w:rStyle w:val="15"/>
          <w:sz w:val="21"/>
          <w:szCs w:val="21"/>
        </w:rPr>
      </w:pPr>
      <w:r>
        <w:rPr>
          <w:rStyle w:val="15"/>
          <w:sz w:val="21"/>
          <w:szCs w:val="21"/>
        </w:rPr>
        <w:t>见“投标人须知前附表”。</w:t>
      </w:r>
    </w:p>
    <w:p>
      <w:pPr>
        <w:pStyle w:val="17"/>
        <w:numPr>
          <w:ilvl w:val="1"/>
          <w:numId w:val="13"/>
        </w:numPr>
        <w:tabs>
          <w:tab w:val="left" w:pos="626"/>
        </w:tabs>
        <w:spacing w:before="125" w:after="0" w:line="240" w:lineRule="auto"/>
        <w:ind w:left="520" w:right="0" w:hanging="420"/>
        <w:jc w:val="left"/>
        <w:rPr>
          <w:rStyle w:val="15"/>
          <w:sz w:val="21"/>
          <w:szCs w:val="21"/>
        </w:rPr>
      </w:pPr>
      <w:r>
        <w:rPr>
          <w:rStyle w:val="15"/>
          <w:sz w:val="21"/>
          <w:szCs w:val="21"/>
        </w:rPr>
        <w:t>招标控制价</w:t>
      </w:r>
    </w:p>
    <w:p>
      <w:pPr>
        <w:pStyle w:val="3"/>
        <w:spacing w:before="123"/>
        <w:ind w:left="520"/>
        <w:rPr>
          <w:rStyle w:val="15"/>
          <w:sz w:val="21"/>
          <w:szCs w:val="21"/>
        </w:rPr>
      </w:pPr>
      <w:r>
        <w:rPr>
          <w:rStyle w:val="15"/>
          <w:sz w:val="21"/>
          <w:szCs w:val="21"/>
        </w:rPr>
        <w:t>招标控制价设置要求见“投标人须知前附表”。</w:t>
      </w:r>
    </w:p>
    <w:p>
      <w:pPr>
        <w:pStyle w:val="3"/>
        <w:spacing w:before="126" w:line="350" w:lineRule="auto"/>
        <w:ind w:left="100" w:right="158" w:firstLine="420"/>
        <w:rPr>
          <w:rStyle w:val="15"/>
          <w:sz w:val="21"/>
          <w:szCs w:val="21"/>
        </w:rPr>
      </w:pPr>
      <w:r>
        <w:rPr>
          <w:rStyle w:val="15"/>
          <w:sz w:val="21"/>
          <w:szCs w:val="21"/>
        </w:rPr>
        <w:t>招标人或受其委托具有相应资质的中介机构，按照国家和地区的相关规定及第五章的要求编制招标工程的招标控制价（招标控制价不应上浮或下调）。</w:t>
      </w:r>
    </w:p>
    <w:p>
      <w:pPr>
        <w:pStyle w:val="3"/>
        <w:spacing w:before="27" w:line="350" w:lineRule="auto"/>
        <w:ind w:left="100" w:right="157" w:firstLine="420"/>
        <w:jc w:val="both"/>
        <w:rPr>
          <w:rStyle w:val="15"/>
          <w:sz w:val="21"/>
          <w:szCs w:val="21"/>
        </w:rPr>
      </w:pPr>
      <w:r>
        <w:rPr>
          <w:rStyle w:val="15"/>
          <w:sz w:val="21"/>
          <w:szCs w:val="21"/>
        </w:rPr>
        <w:t>原则上招标控制价应于投标截止时间前 15 日向所有投标人公布，最迟应当在截标时间 7 日前公布，并报送当地招投标监督管理部门备案。潜在投标人或者其他利害关系人对招标控制价有异议的，应当在投标截止时间 5 日前提出。招标人应当自收到异议之日起 3 日内作出答复。招标人需重新公布招标控制价的，</w:t>
      </w:r>
    </w:p>
    <w:p>
      <w:pPr>
        <w:pStyle w:val="3"/>
        <w:spacing w:before="27"/>
        <w:ind w:left="100"/>
        <w:rPr>
          <w:rStyle w:val="15"/>
          <w:sz w:val="21"/>
          <w:szCs w:val="21"/>
        </w:rPr>
      </w:pPr>
      <w:r>
        <w:rPr>
          <w:rStyle w:val="15"/>
          <w:sz w:val="21"/>
          <w:szCs w:val="21"/>
        </w:rPr>
        <w:t>其最终公布的时间到投标截止时间不足 7 天可能影响投标文件编制的，应顺延提交投标文件的截止时间。</w:t>
      </w:r>
    </w:p>
    <w:p>
      <w:pPr>
        <w:pStyle w:val="17"/>
        <w:numPr>
          <w:ilvl w:val="1"/>
          <w:numId w:val="13"/>
        </w:numPr>
        <w:tabs>
          <w:tab w:val="left" w:pos="626"/>
        </w:tabs>
        <w:spacing w:before="126" w:after="0" w:line="240" w:lineRule="auto"/>
        <w:ind w:left="520" w:right="0" w:hanging="420"/>
        <w:jc w:val="left"/>
        <w:rPr>
          <w:rStyle w:val="15"/>
          <w:sz w:val="21"/>
          <w:szCs w:val="21"/>
        </w:rPr>
      </w:pPr>
      <w:bookmarkStart w:id="196" w:name="_bookmark73"/>
      <w:bookmarkEnd w:id="196"/>
      <w:bookmarkStart w:id="197" w:name="_bookmark73"/>
      <w:bookmarkEnd w:id="197"/>
      <w:bookmarkStart w:id="198" w:name="10.3 技术标评审方式"/>
      <w:bookmarkEnd w:id="198"/>
      <w:r>
        <w:rPr>
          <w:rStyle w:val="15"/>
          <w:sz w:val="21"/>
          <w:szCs w:val="21"/>
        </w:rPr>
        <w:t>技术标评审方式</w:t>
      </w:r>
    </w:p>
    <w:p>
      <w:pPr>
        <w:pStyle w:val="3"/>
        <w:spacing w:before="126"/>
        <w:ind w:left="520"/>
        <w:rPr>
          <w:rStyle w:val="15"/>
          <w:sz w:val="21"/>
          <w:szCs w:val="21"/>
        </w:rPr>
      </w:pPr>
      <w:r>
        <w:rPr>
          <w:rStyle w:val="15"/>
          <w:sz w:val="21"/>
          <w:szCs w:val="21"/>
        </w:rPr>
        <w:t>见“投标人须知前附表”。</w:t>
      </w:r>
    </w:p>
    <w:p>
      <w:pPr>
        <w:pStyle w:val="17"/>
        <w:numPr>
          <w:ilvl w:val="1"/>
          <w:numId w:val="13"/>
        </w:numPr>
        <w:tabs>
          <w:tab w:val="left" w:pos="626"/>
        </w:tabs>
        <w:spacing w:before="123" w:after="0" w:line="240" w:lineRule="auto"/>
        <w:ind w:left="520" w:right="0" w:hanging="420"/>
        <w:jc w:val="left"/>
        <w:rPr>
          <w:rStyle w:val="15"/>
          <w:sz w:val="21"/>
          <w:szCs w:val="21"/>
        </w:rPr>
      </w:pPr>
      <w:bookmarkStart w:id="199" w:name="10.4 投标文件电子版"/>
      <w:bookmarkEnd w:id="199"/>
      <w:bookmarkStart w:id="200" w:name="_bookmark74"/>
      <w:bookmarkEnd w:id="200"/>
      <w:bookmarkStart w:id="201" w:name="_bookmark74"/>
      <w:bookmarkEnd w:id="201"/>
      <w:r>
        <w:rPr>
          <w:rStyle w:val="15"/>
          <w:sz w:val="21"/>
          <w:szCs w:val="21"/>
        </w:rPr>
        <w:t>投标文件电子版</w:t>
      </w:r>
    </w:p>
    <w:p>
      <w:pPr>
        <w:pStyle w:val="3"/>
        <w:spacing w:before="125"/>
        <w:ind w:left="520"/>
        <w:rPr>
          <w:rStyle w:val="15"/>
          <w:sz w:val="21"/>
          <w:szCs w:val="21"/>
        </w:rPr>
      </w:pPr>
      <w:r>
        <w:rPr>
          <w:rStyle w:val="15"/>
          <w:sz w:val="21"/>
          <w:szCs w:val="21"/>
        </w:rPr>
        <w:t>投标文件电子版的具体内容要求见“投标人须知前附表”。</w:t>
      </w:r>
    </w:p>
    <w:p>
      <w:pPr>
        <w:pStyle w:val="17"/>
        <w:numPr>
          <w:ilvl w:val="1"/>
          <w:numId w:val="13"/>
        </w:numPr>
        <w:tabs>
          <w:tab w:val="left" w:pos="626"/>
        </w:tabs>
        <w:spacing w:before="125" w:after="0" w:line="240" w:lineRule="auto"/>
        <w:ind w:left="520" w:right="0" w:hanging="420"/>
        <w:jc w:val="left"/>
        <w:rPr>
          <w:rStyle w:val="15"/>
          <w:sz w:val="21"/>
          <w:szCs w:val="21"/>
        </w:rPr>
      </w:pPr>
      <w:bookmarkStart w:id="202" w:name="_bookmark75"/>
      <w:bookmarkEnd w:id="202"/>
      <w:bookmarkStart w:id="203" w:name="10.5 知识产权"/>
      <w:bookmarkEnd w:id="203"/>
      <w:bookmarkStart w:id="204" w:name="_bookmark75"/>
      <w:bookmarkEnd w:id="204"/>
      <w:r>
        <w:rPr>
          <w:rStyle w:val="15"/>
          <w:sz w:val="21"/>
          <w:szCs w:val="21"/>
        </w:rPr>
        <w:t>知识产权</w:t>
      </w:r>
    </w:p>
    <w:p>
      <w:pPr>
        <w:pStyle w:val="3"/>
        <w:spacing w:before="123"/>
        <w:ind w:left="520"/>
        <w:rPr>
          <w:rStyle w:val="15"/>
          <w:sz w:val="21"/>
          <w:szCs w:val="21"/>
        </w:rPr>
      </w:pPr>
      <w:r>
        <w:rPr>
          <w:rStyle w:val="15"/>
          <w:sz w:val="21"/>
          <w:szCs w:val="21"/>
        </w:rPr>
        <w:t>招标人对其知识产权的具体要求见“投标人须知前附表”。</w:t>
      </w:r>
    </w:p>
    <w:p>
      <w:pPr>
        <w:pStyle w:val="17"/>
        <w:numPr>
          <w:ilvl w:val="1"/>
          <w:numId w:val="13"/>
        </w:numPr>
        <w:tabs>
          <w:tab w:val="left" w:pos="626"/>
        </w:tabs>
        <w:spacing w:before="126" w:after="0" w:line="240" w:lineRule="auto"/>
        <w:ind w:left="520" w:right="0" w:hanging="420"/>
        <w:jc w:val="left"/>
        <w:rPr>
          <w:rStyle w:val="15"/>
          <w:sz w:val="21"/>
          <w:szCs w:val="21"/>
        </w:rPr>
      </w:pPr>
      <w:bookmarkStart w:id="205" w:name="10.6 重新招标的其他情形"/>
      <w:bookmarkEnd w:id="205"/>
      <w:bookmarkStart w:id="206" w:name="_bookmark76"/>
      <w:bookmarkEnd w:id="206"/>
      <w:bookmarkStart w:id="207" w:name="_bookmark76"/>
      <w:bookmarkEnd w:id="207"/>
      <w:r>
        <w:rPr>
          <w:rStyle w:val="15"/>
          <w:sz w:val="21"/>
          <w:szCs w:val="21"/>
        </w:rPr>
        <w:t>重新招标的其他情形</w:t>
      </w:r>
    </w:p>
    <w:p>
      <w:pPr>
        <w:pStyle w:val="3"/>
        <w:spacing w:before="126"/>
        <w:ind w:left="520"/>
        <w:rPr>
          <w:rStyle w:val="15"/>
          <w:sz w:val="21"/>
          <w:szCs w:val="21"/>
        </w:rPr>
      </w:pPr>
      <w:r>
        <w:rPr>
          <w:rStyle w:val="15"/>
          <w:sz w:val="21"/>
          <w:szCs w:val="21"/>
        </w:rPr>
        <w:t>见“投标人须知前附表”。</w:t>
      </w:r>
    </w:p>
    <w:p>
      <w:pPr>
        <w:pStyle w:val="17"/>
        <w:numPr>
          <w:ilvl w:val="1"/>
          <w:numId w:val="13"/>
        </w:numPr>
        <w:tabs>
          <w:tab w:val="left" w:pos="626"/>
        </w:tabs>
        <w:spacing w:before="123" w:after="0" w:line="240" w:lineRule="auto"/>
        <w:ind w:left="520" w:right="0" w:hanging="420"/>
        <w:jc w:val="left"/>
        <w:rPr>
          <w:rStyle w:val="15"/>
          <w:sz w:val="21"/>
          <w:szCs w:val="21"/>
        </w:rPr>
      </w:pPr>
      <w:bookmarkStart w:id="208" w:name="10.7 同义词语"/>
      <w:bookmarkEnd w:id="208"/>
      <w:bookmarkStart w:id="209" w:name="_bookmark77"/>
      <w:bookmarkEnd w:id="209"/>
      <w:bookmarkStart w:id="210" w:name="_bookmark77"/>
      <w:bookmarkEnd w:id="210"/>
      <w:r>
        <w:rPr>
          <w:rStyle w:val="15"/>
          <w:sz w:val="21"/>
          <w:szCs w:val="21"/>
        </w:rPr>
        <w:t>同义词语</w:t>
      </w:r>
    </w:p>
    <w:p>
      <w:pPr>
        <w:pStyle w:val="3"/>
        <w:spacing w:before="125"/>
        <w:ind w:left="520"/>
        <w:rPr>
          <w:rStyle w:val="15"/>
          <w:sz w:val="21"/>
          <w:szCs w:val="21"/>
        </w:rPr>
      </w:pPr>
      <w:r>
        <w:rPr>
          <w:rStyle w:val="15"/>
          <w:sz w:val="21"/>
          <w:szCs w:val="21"/>
        </w:rPr>
        <w:t>见“投标人须知前附表”。</w:t>
      </w:r>
    </w:p>
    <w:p>
      <w:pPr>
        <w:pStyle w:val="17"/>
        <w:numPr>
          <w:ilvl w:val="1"/>
          <w:numId w:val="13"/>
        </w:numPr>
        <w:tabs>
          <w:tab w:val="left" w:pos="626"/>
        </w:tabs>
        <w:spacing w:before="125" w:after="0" w:line="240" w:lineRule="auto"/>
        <w:ind w:left="520" w:right="0" w:hanging="420"/>
        <w:jc w:val="left"/>
        <w:rPr>
          <w:rStyle w:val="15"/>
          <w:sz w:val="21"/>
          <w:szCs w:val="21"/>
        </w:rPr>
      </w:pPr>
      <w:bookmarkStart w:id="211" w:name="10.8 监督"/>
      <w:bookmarkEnd w:id="211"/>
      <w:bookmarkStart w:id="212" w:name="_bookmark78"/>
      <w:bookmarkEnd w:id="212"/>
      <w:bookmarkStart w:id="213" w:name="_bookmark78"/>
      <w:bookmarkEnd w:id="213"/>
      <w:r>
        <w:rPr>
          <w:rStyle w:val="15"/>
          <w:sz w:val="21"/>
          <w:szCs w:val="21"/>
        </w:rPr>
        <w:t>监督</w:t>
      </w:r>
    </w:p>
    <w:p>
      <w:pPr>
        <w:pStyle w:val="3"/>
        <w:spacing w:before="123"/>
        <w:ind w:left="520"/>
        <w:rPr>
          <w:rStyle w:val="15"/>
          <w:sz w:val="21"/>
          <w:szCs w:val="21"/>
        </w:rPr>
      </w:pPr>
      <w:r>
        <w:rPr>
          <w:rStyle w:val="15"/>
          <w:sz w:val="21"/>
          <w:szCs w:val="21"/>
        </w:rPr>
        <w:t>本项目招标的监督部门见“投标人须知前附表”。</w:t>
      </w:r>
    </w:p>
    <w:p>
      <w:pPr>
        <w:pStyle w:val="17"/>
        <w:numPr>
          <w:ilvl w:val="1"/>
          <w:numId w:val="13"/>
        </w:numPr>
        <w:tabs>
          <w:tab w:val="left" w:pos="626"/>
        </w:tabs>
        <w:spacing w:before="126" w:after="0" w:line="240" w:lineRule="auto"/>
        <w:ind w:left="520" w:right="0" w:hanging="420"/>
        <w:jc w:val="left"/>
        <w:rPr>
          <w:rStyle w:val="15"/>
          <w:sz w:val="21"/>
          <w:szCs w:val="21"/>
        </w:rPr>
      </w:pPr>
      <w:bookmarkStart w:id="214" w:name="_bookmark79"/>
      <w:bookmarkEnd w:id="214"/>
      <w:bookmarkStart w:id="215" w:name="10.9 解释权"/>
      <w:bookmarkEnd w:id="215"/>
      <w:bookmarkStart w:id="216" w:name="_bookmark79"/>
      <w:bookmarkEnd w:id="216"/>
      <w:r>
        <w:rPr>
          <w:rStyle w:val="15"/>
          <w:sz w:val="21"/>
          <w:szCs w:val="21"/>
        </w:rPr>
        <w:t>解释权</w:t>
      </w:r>
    </w:p>
    <w:p>
      <w:pPr>
        <w:pStyle w:val="3"/>
        <w:spacing w:before="126"/>
        <w:ind w:left="520"/>
        <w:rPr>
          <w:rStyle w:val="15"/>
          <w:sz w:val="21"/>
          <w:szCs w:val="21"/>
        </w:rPr>
      </w:pPr>
      <w:r>
        <w:rPr>
          <w:rStyle w:val="15"/>
          <w:sz w:val="21"/>
          <w:szCs w:val="21"/>
        </w:rPr>
        <w:t>见“投标人须知前附表”。</w:t>
      </w:r>
    </w:p>
    <w:p>
      <w:pPr>
        <w:pStyle w:val="17"/>
        <w:numPr>
          <w:ilvl w:val="1"/>
          <w:numId w:val="13"/>
        </w:numPr>
        <w:tabs>
          <w:tab w:val="left" w:pos="729"/>
        </w:tabs>
        <w:spacing w:before="123" w:after="0" w:line="350" w:lineRule="auto"/>
        <w:ind w:left="520" w:right="6967" w:hanging="420"/>
        <w:jc w:val="left"/>
        <w:rPr>
          <w:rStyle w:val="15"/>
          <w:sz w:val="21"/>
          <w:szCs w:val="21"/>
        </w:rPr>
      </w:pPr>
      <w:bookmarkStart w:id="217" w:name="_bookmark80"/>
      <w:bookmarkEnd w:id="217"/>
      <w:bookmarkStart w:id="218" w:name="10.10 招标人补充的其他内容"/>
      <w:bookmarkEnd w:id="218"/>
      <w:bookmarkStart w:id="219" w:name="_bookmark80"/>
      <w:bookmarkEnd w:id="219"/>
      <w:r>
        <w:rPr>
          <w:rStyle w:val="15"/>
          <w:sz w:val="21"/>
          <w:szCs w:val="21"/>
        </w:rPr>
        <w:t>招标人补充的其他内容 见“投标人须知前附表”。</w:t>
      </w:r>
    </w:p>
    <w:p>
      <w:pPr>
        <w:spacing w:after="0" w:line="350" w:lineRule="auto"/>
        <w:jc w:val="left"/>
        <w:rPr>
          <w:rStyle w:val="15"/>
          <w:sz w:val="21"/>
          <w:szCs w:val="21"/>
        </w:rPr>
        <w:sectPr>
          <w:pgSz w:w="11910" w:h="16840"/>
          <w:pgMar w:top="1000" w:right="920" w:bottom="780" w:left="980" w:header="808" w:footer="595" w:gutter="0"/>
          <w:pgNumType w:fmt="decimal"/>
        </w:sectPr>
      </w:pPr>
    </w:p>
    <w:p>
      <w:pPr>
        <w:pStyle w:val="3"/>
        <w:spacing w:before="6"/>
        <w:rPr>
          <w:sz w:val="19"/>
        </w:rPr>
      </w:pPr>
    </w:p>
    <w:p>
      <w:pPr>
        <w:pStyle w:val="6"/>
        <w:tabs>
          <w:tab w:val="left" w:pos="3871"/>
        </w:tabs>
        <w:ind w:left="2584"/>
        <w:jc w:val="left"/>
        <w:rPr>
          <w:rFonts w:ascii="黑体"/>
          <w:b/>
          <w:sz w:val="20"/>
        </w:rPr>
      </w:pPr>
      <w:bookmarkStart w:id="220" w:name="_bookmark81"/>
      <w:bookmarkEnd w:id="220"/>
      <w:bookmarkStart w:id="221" w:name="第三章  评标办法（综合评估法）"/>
      <w:bookmarkEnd w:id="221"/>
      <w:r>
        <w:t>第三章</w:t>
      </w:r>
      <w:r>
        <w:tab/>
      </w:r>
      <w:r>
        <w:rPr>
          <w:w w:val="95"/>
        </w:rPr>
        <w:t>评标办法（综合评估法）</w:t>
      </w:r>
    </w:p>
    <w:p>
      <w:pPr>
        <w:pStyle w:val="8"/>
        <w:spacing w:before="165" w:after="40"/>
        <w:ind w:left="120"/>
      </w:pPr>
      <w:bookmarkStart w:id="222" w:name="_bookmark82"/>
      <w:bookmarkEnd w:id="222"/>
      <w:bookmarkStart w:id="223" w:name="评标办法前附表："/>
      <w:bookmarkEnd w:id="223"/>
      <w:r>
        <w:rPr>
          <w:w w:val="95"/>
        </w:rPr>
        <w:t>评标办法前附表：</w:t>
      </w:r>
    </w:p>
    <w:tbl>
      <w:tblPr>
        <w:tblStyle w:val="14"/>
        <w:tblW w:w="1020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
        <w:gridCol w:w="1316"/>
        <w:gridCol w:w="2396"/>
        <w:gridCol w:w="6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206" w:type="dxa"/>
            <w:gridSpan w:val="4"/>
          </w:tcPr>
          <w:p>
            <w:pPr>
              <w:pStyle w:val="18"/>
              <w:spacing w:before="15"/>
              <w:ind w:left="107"/>
              <w:rPr>
                <w:b/>
                <w:sz w:val="21"/>
              </w:rPr>
            </w:pPr>
            <w:r>
              <w:rPr>
                <w:b/>
                <w:sz w:val="21"/>
              </w:rPr>
              <w:t>2.1 初步评审标准（资格评审（2.1.1）、形式性评审（2.1.2）、响应性评审（2.1.3））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76" w:type="dxa"/>
            <w:gridSpan w:val="2"/>
          </w:tcPr>
          <w:p>
            <w:pPr>
              <w:pStyle w:val="18"/>
              <w:spacing w:before="16"/>
              <w:ind w:left="522"/>
              <w:rPr>
                <w:b/>
                <w:sz w:val="21"/>
              </w:rPr>
            </w:pPr>
            <w:r>
              <w:rPr>
                <w:b/>
                <w:w w:val="95"/>
                <w:sz w:val="21"/>
              </w:rPr>
              <w:t>条款号</w:t>
            </w:r>
          </w:p>
        </w:tc>
        <w:tc>
          <w:tcPr>
            <w:tcW w:w="2396" w:type="dxa"/>
          </w:tcPr>
          <w:p>
            <w:pPr>
              <w:pStyle w:val="18"/>
              <w:spacing w:before="16"/>
              <w:ind w:left="179" w:right="170"/>
              <w:jc w:val="center"/>
              <w:rPr>
                <w:b/>
                <w:sz w:val="21"/>
              </w:rPr>
            </w:pPr>
            <w:r>
              <w:rPr>
                <w:b/>
                <w:w w:val="95"/>
                <w:sz w:val="21"/>
              </w:rPr>
              <w:t>评审因素</w:t>
            </w:r>
          </w:p>
        </w:tc>
        <w:tc>
          <w:tcPr>
            <w:tcW w:w="6134" w:type="dxa"/>
          </w:tcPr>
          <w:p>
            <w:pPr>
              <w:pStyle w:val="18"/>
              <w:spacing w:line="269" w:lineRule="exact"/>
              <w:ind w:left="2648" w:right="2634"/>
              <w:jc w:val="center"/>
              <w:rPr>
                <w:b/>
                <w:sz w:val="21"/>
              </w:rPr>
            </w:pPr>
            <w:r>
              <w:rPr>
                <w:b/>
                <w:w w:val="95"/>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0" w:type="dxa"/>
            <w:vMerge w:val="restart"/>
          </w:tcPr>
          <w:p>
            <w:pPr>
              <w:pStyle w:val="18"/>
              <w:rPr>
                <w:rFonts w:ascii="黑体"/>
                <w:b/>
                <w:sz w:val="20"/>
              </w:rPr>
            </w:pPr>
          </w:p>
          <w:p>
            <w:pPr>
              <w:pStyle w:val="18"/>
              <w:rPr>
                <w:rFonts w:ascii="黑体"/>
                <w:b/>
                <w:sz w:val="20"/>
              </w:rPr>
            </w:pPr>
          </w:p>
          <w:p>
            <w:pPr>
              <w:pStyle w:val="18"/>
              <w:rPr>
                <w:rFonts w:ascii="黑体"/>
                <w:b/>
                <w:sz w:val="20"/>
              </w:rPr>
            </w:pPr>
          </w:p>
          <w:p>
            <w:pPr>
              <w:pStyle w:val="18"/>
              <w:rPr>
                <w:rFonts w:ascii="黑体"/>
                <w:b/>
                <w:sz w:val="20"/>
              </w:rPr>
            </w:pPr>
          </w:p>
          <w:p>
            <w:pPr>
              <w:pStyle w:val="18"/>
              <w:spacing w:before="11"/>
              <w:rPr>
                <w:rFonts w:ascii="黑体"/>
                <w:b/>
                <w:sz w:val="28"/>
              </w:rPr>
            </w:pPr>
          </w:p>
          <w:p>
            <w:pPr>
              <w:pStyle w:val="18"/>
              <w:spacing w:before="1"/>
              <w:ind w:left="8"/>
              <w:jc w:val="center"/>
              <w:rPr>
                <w:sz w:val="21"/>
              </w:rPr>
            </w:pPr>
            <w:r>
              <w:rPr>
                <w:w w:val="99"/>
                <w:sz w:val="21"/>
              </w:rPr>
              <w:t>2</w:t>
            </w:r>
          </w:p>
          <w:p>
            <w:pPr>
              <w:pStyle w:val="18"/>
              <w:spacing w:before="25" w:line="261" w:lineRule="auto"/>
              <w:ind w:left="126" w:right="116"/>
              <w:jc w:val="center"/>
              <w:rPr>
                <w:sz w:val="21"/>
              </w:rPr>
            </w:pPr>
            <w:r>
              <w:rPr>
                <w:sz w:val="21"/>
              </w:rPr>
              <w:t>.</w:t>
            </w:r>
            <w:r>
              <w:rPr>
                <w:w w:val="99"/>
                <w:sz w:val="21"/>
              </w:rPr>
              <w:t xml:space="preserve"> </w:t>
            </w:r>
            <w:r>
              <w:rPr>
                <w:sz w:val="21"/>
              </w:rPr>
              <w:t>1</w:t>
            </w:r>
          </w:p>
          <w:p>
            <w:pPr>
              <w:pStyle w:val="18"/>
              <w:spacing w:before="6" w:line="261" w:lineRule="auto"/>
              <w:ind w:left="126" w:right="116"/>
              <w:jc w:val="center"/>
              <w:rPr>
                <w:sz w:val="21"/>
              </w:rPr>
            </w:pPr>
            <w:r>
              <w:rPr>
                <w:sz w:val="21"/>
              </w:rPr>
              <w:t>.</w:t>
            </w:r>
            <w:r>
              <w:rPr>
                <w:w w:val="99"/>
                <w:sz w:val="21"/>
              </w:rPr>
              <w:t xml:space="preserve"> </w:t>
            </w:r>
            <w:r>
              <w:rPr>
                <w:sz w:val="21"/>
              </w:rPr>
              <w:t>1</w:t>
            </w:r>
          </w:p>
        </w:tc>
        <w:tc>
          <w:tcPr>
            <w:tcW w:w="1316" w:type="dxa"/>
            <w:vMerge w:val="restart"/>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2"/>
              <w:rPr>
                <w:rStyle w:val="15"/>
                <w:sz w:val="21"/>
                <w:szCs w:val="21"/>
              </w:rPr>
            </w:pPr>
          </w:p>
          <w:p>
            <w:pPr>
              <w:pStyle w:val="18"/>
              <w:spacing w:line="261" w:lineRule="auto"/>
              <w:ind w:left="237" w:right="228" w:firstLine="211"/>
              <w:rPr>
                <w:rStyle w:val="15"/>
                <w:sz w:val="21"/>
                <w:szCs w:val="21"/>
              </w:rPr>
            </w:pPr>
            <w:r>
              <w:rPr>
                <w:rStyle w:val="15"/>
                <w:sz w:val="21"/>
                <w:szCs w:val="21"/>
              </w:rPr>
              <w:t>资 格 评审标准</w:t>
            </w:r>
          </w:p>
        </w:tc>
        <w:tc>
          <w:tcPr>
            <w:tcW w:w="2396" w:type="dxa"/>
          </w:tcPr>
          <w:p>
            <w:pPr>
              <w:pStyle w:val="18"/>
              <w:spacing w:before="146"/>
              <w:ind w:left="179" w:right="172"/>
              <w:jc w:val="center"/>
              <w:rPr>
                <w:rStyle w:val="15"/>
                <w:sz w:val="21"/>
                <w:szCs w:val="21"/>
              </w:rPr>
            </w:pPr>
            <w:r>
              <w:rPr>
                <w:rStyle w:val="15"/>
                <w:sz w:val="21"/>
                <w:szCs w:val="21"/>
              </w:rPr>
              <w:t>投标文件签署</w:t>
            </w:r>
          </w:p>
        </w:tc>
        <w:tc>
          <w:tcPr>
            <w:tcW w:w="6134" w:type="dxa"/>
          </w:tcPr>
          <w:p>
            <w:pPr>
              <w:pStyle w:val="18"/>
              <w:spacing w:line="300" w:lineRule="exact"/>
              <w:ind w:left="108" w:right="97"/>
              <w:rPr>
                <w:rStyle w:val="15"/>
                <w:sz w:val="21"/>
                <w:szCs w:val="21"/>
              </w:rPr>
            </w:pPr>
            <w:r>
              <w:rPr>
                <w:rStyle w:val="15"/>
                <w:sz w:val="21"/>
                <w:szCs w:val="21"/>
              </w:rPr>
              <w:t>有效的法定代表人身份证明（附身份证复印件）或法定代表人授权委托书（附身份证复印件，授权代理时提供）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6"/>
              <w:ind w:left="179" w:right="172"/>
              <w:jc w:val="center"/>
              <w:rPr>
                <w:rStyle w:val="15"/>
                <w:sz w:val="21"/>
                <w:szCs w:val="21"/>
              </w:rPr>
            </w:pPr>
            <w:r>
              <w:rPr>
                <w:rStyle w:val="15"/>
                <w:sz w:val="21"/>
                <w:szCs w:val="21"/>
              </w:rPr>
              <w:t>《营业执照》</w:t>
            </w:r>
          </w:p>
        </w:tc>
        <w:tc>
          <w:tcPr>
            <w:tcW w:w="6134" w:type="dxa"/>
          </w:tcPr>
          <w:p>
            <w:pPr>
              <w:pStyle w:val="18"/>
              <w:spacing w:before="16"/>
              <w:ind w:left="108"/>
              <w:rPr>
                <w:rStyle w:val="15"/>
                <w:sz w:val="21"/>
                <w:szCs w:val="21"/>
              </w:rPr>
            </w:pPr>
            <w:r>
              <w:rPr>
                <w:rStyle w:val="15"/>
                <w:sz w:val="21"/>
                <w:szCs w:val="21"/>
              </w:rPr>
              <w:t>具备有效的《营业执照》或《事业单位法人证书》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9" w:right="170"/>
              <w:jc w:val="center"/>
              <w:rPr>
                <w:rStyle w:val="15"/>
                <w:sz w:val="21"/>
                <w:szCs w:val="21"/>
              </w:rPr>
            </w:pPr>
            <w:r>
              <w:rPr>
                <w:rStyle w:val="15"/>
                <w:sz w:val="21"/>
                <w:szCs w:val="21"/>
              </w:rPr>
              <w:t>《安全生产许可证》</w:t>
            </w:r>
          </w:p>
        </w:tc>
        <w:tc>
          <w:tcPr>
            <w:tcW w:w="6134" w:type="dxa"/>
          </w:tcPr>
          <w:p>
            <w:pPr>
              <w:pStyle w:val="18"/>
              <w:spacing w:before="14"/>
              <w:ind w:left="108"/>
              <w:rPr>
                <w:rStyle w:val="15"/>
                <w:sz w:val="21"/>
                <w:szCs w:val="21"/>
              </w:rPr>
            </w:pPr>
            <w:r>
              <w:rPr>
                <w:rStyle w:val="15"/>
                <w:sz w:val="21"/>
                <w:szCs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6" w:right="172"/>
              <w:jc w:val="center"/>
              <w:rPr>
                <w:rStyle w:val="15"/>
                <w:sz w:val="21"/>
                <w:szCs w:val="21"/>
              </w:rPr>
            </w:pPr>
            <w:r>
              <w:rPr>
                <w:rStyle w:val="15"/>
                <w:sz w:val="21"/>
                <w:szCs w:val="21"/>
              </w:rPr>
              <w:t>资质等级</w:t>
            </w:r>
          </w:p>
        </w:tc>
        <w:tc>
          <w:tcPr>
            <w:tcW w:w="6134" w:type="dxa"/>
          </w:tcPr>
          <w:p>
            <w:pPr>
              <w:pStyle w:val="18"/>
              <w:spacing w:before="14"/>
              <w:ind w:left="108"/>
              <w:rPr>
                <w:rStyle w:val="15"/>
                <w:sz w:val="21"/>
                <w:szCs w:val="21"/>
              </w:rPr>
            </w:pPr>
            <w:r>
              <w:rPr>
                <w:rStyle w:val="15"/>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6" w:right="172"/>
              <w:jc w:val="center"/>
              <w:rPr>
                <w:rStyle w:val="15"/>
                <w:sz w:val="21"/>
                <w:szCs w:val="21"/>
              </w:rPr>
            </w:pPr>
            <w:r>
              <w:rPr>
                <w:rStyle w:val="15"/>
                <w:sz w:val="21"/>
                <w:szCs w:val="21"/>
              </w:rPr>
              <w:t>财务状况</w:t>
            </w:r>
          </w:p>
        </w:tc>
        <w:tc>
          <w:tcPr>
            <w:tcW w:w="6134" w:type="dxa"/>
          </w:tcPr>
          <w:p>
            <w:pPr>
              <w:pStyle w:val="18"/>
              <w:spacing w:before="14"/>
              <w:ind w:left="108"/>
              <w:rPr>
                <w:rStyle w:val="15"/>
                <w:sz w:val="21"/>
                <w:szCs w:val="21"/>
              </w:rPr>
            </w:pPr>
            <w:r>
              <w:rPr>
                <w:rStyle w:val="15"/>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5"/>
              <w:ind w:left="179" w:right="172"/>
              <w:jc w:val="center"/>
              <w:rPr>
                <w:rStyle w:val="15"/>
                <w:sz w:val="21"/>
                <w:szCs w:val="21"/>
              </w:rPr>
            </w:pPr>
            <w:r>
              <w:rPr>
                <w:rStyle w:val="15"/>
                <w:sz w:val="21"/>
                <w:szCs w:val="21"/>
              </w:rPr>
              <w:t>类似工程业绩（如有）</w:t>
            </w:r>
          </w:p>
        </w:tc>
        <w:tc>
          <w:tcPr>
            <w:tcW w:w="6134" w:type="dxa"/>
          </w:tcPr>
          <w:p>
            <w:pPr>
              <w:pStyle w:val="18"/>
              <w:spacing w:before="15"/>
              <w:ind w:left="108"/>
              <w:rPr>
                <w:rStyle w:val="15"/>
                <w:sz w:val="21"/>
                <w:szCs w:val="21"/>
              </w:rPr>
            </w:pPr>
            <w:r>
              <w:rPr>
                <w:rStyle w:val="15"/>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5"/>
              <w:ind w:left="179" w:right="172"/>
              <w:jc w:val="center"/>
              <w:rPr>
                <w:rStyle w:val="15"/>
                <w:sz w:val="21"/>
                <w:szCs w:val="21"/>
              </w:rPr>
            </w:pPr>
            <w:r>
              <w:rPr>
                <w:rStyle w:val="15"/>
                <w:sz w:val="21"/>
                <w:szCs w:val="21"/>
              </w:rPr>
              <w:t>诚信</w:t>
            </w:r>
          </w:p>
        </w:tc>
        <w:tc>
          <w:tcPr>
            <w:tcW w:w="6134" w:type="dxa"/>
          </w:tcPr>
          <w:p>
            <w:pPr>
              <w:pStyle w:val="18"/>
              <w:spacing w:before="15"/>
              <w:ind w:left="108"/>
              <w:rPr>
                <w:rStyle w:val="15"/>
                <w:sz w:val="21"/>
                <w:szCs w:val="21"/>
              </w:rPr>
            </w:pPr>
            <w:r>
              <w:rPr>
                <w:rStyle w:val="15"/>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6"/>
              <w:ind w:left="176" w:right="172"/>
              <w:jc w:val="center"/>
              <w:rPr>
                <w:rStyle w:val="15"/>
                <w:sz w:val="21"/>
                <w:szCs w:val="21"/>
              </w:rPr>
            </w:pPr>
            <w:r>
              <w:rPr>
                <w:rStyle w:val="15"/>
                <w:sz w:val="21"/>
                <w:szCs w:val="21"/>
              </w:rPr>
              <w:t>项目经理</w:t>
            </w:r>
          </w:p>
        </w:tc>
        <w:tc>
          <w:tcPr>
            <w:tcW w:w="6134" w:type="dxa"/>
          </w:tcPr>
          <w:p>
            <w:pPr>
              <w:pStyle w:val="18"/>
              <w:spacing w:before="16"/>
              <w:ind w:left="108"/>
              <w:rPr>
                <w:rStyle w:val="15"/>
                <w:sz w:val="21"/>
                <w:szCs w:val="21"/>
              </w:rPr>
            </w:pPr>
            <w:r>
              <w:rPr>
                <w:rStyle w:val="15"/>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9" w:right="170"/>
              <w:jc w:val="center"/>
              <w:rPr>
                <w:rStyle w:val="15"/>
                <w:sz w:val="21"/>
                <w:szCs w:val="21"/>
              </w:rPr>
            </w:pPr>
            <w:r>
              <w:rPr>
                <w:rStyle w:val="15"/>
                <w:sz w:val="21"/>
                <w:szCs w:val="21"/>
              </w:rPr>
              <w:t>技术负责人</w:t>
            </w:r>
          </w:p>
        </w:tc>
        <w:tc>
          <w:tcPr>
            <w:tcW w:w="6134" w:type="dxa"/>
          </w:tcPr>
          <w:p>
            <w:pPr>
              <w:pStyle w:val="18"/>
              <w:spacing w:before="14"/>
              <w:ind w:left="108"/>
              <w:rPr>
                <w:rStyle w:val="15"/>
                <w:sz w:val="21"/>
                <w:szCs w:val="21"/>
              </w:rPr>
            </w:pPr>
            <w:r>
              <w:rPr>
                <w:rStyle w:val="15"/>
                <w:sz w:val="21"/>
                <w:szCs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9" w:right="170"/>
              <w:jc w:val="center"/>
              <w:rPr>
                <w:rStyle w:val="15"/>
                <w:sz w:val="21"/>
                <w:szCs w:val="21"/>
              </w:rPr>
            </w:pPr>
            <w:r>
              <w:rPr>
                <w:rStyle w:val="15"/>
                <w:sz w:val="21"/>
                <w:szCs w:val="21"/>
              </w:rPr>
              <w:t>投标保证金</w:t>
            </w:r>
          </w:p>
        </w:tc>
        <w:tc>
          <w:tcPr>
            <w:tcW w:w="6134" w:type="dxa"/>
          </w:tcPr>
          <w:p>
            <w:pPr>
              <w:pStyle w:val="18"/>
              <w:spacing w:before="14"/>
              <w:ind w:left="108"/>
              <w:rPr>
                <w:rStyle w:val="15"/>
                <w:sz w:val="21"/>
                <w:szCs w:val="21"/>
              </w:rPr>
            </w:pPr>
            <w:r>
              <w:rPr>
                <w:rStyle w:val="15"/>
                <w:sz w:val="21"/>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4"/>
              <w:ind w:left="176" w:right="172"/>
              <w:jc w:val="center"/>
              <w:rPr>
                <w:rStyle w:val="15"/>
                <w:sz w:val="21"/>
                <w:szCs w:val="21"/>
              </w:rPr>
            </w:pPr>
            <w:r>
              <w:rPr>
                <w:rStyle w:val="15"/>
                <w:sz w:val="21"/>
                <w:szCs w:val="21"/>
              </w:rPr>
              <w:t>其他要求</w:t>
            </w:r>
          </w:p>
        </w:tc>
        <w:tc>
          <w:tcPr>
            <w:tcW w:w="6134" w:type="dxa"/>
          </w:tcPr>
          <w:p>
            <w:pPr>
              <w:pStyle w:val="18"/>
              <w:spacing w:line="300" w:lineRule="exact"/>
              <w:ind w:left="108" w:right="16"/>
              <w:rPr>
                <w:rStyle w:val="15"/>
                <w:sz w:val="21"/>
                <w:szCs w:val="21"/>
              </w:rPr>
            </w:pPr>
            <w:r>
              <w:rPr>
                <w:rStyle w:val="15"/>
                <w:sz w:val="21"/>
                <w:szCs w:val="21"/>
              </w:rPr>
              <w:t>符合第二章“投标人须知”第 1.4.1 项规定且按规定提交了第二章“投标人须知前附表”3.1.1 项资格审查部分（8）项内容的。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0" w:type="dxa"/>
            <w:vMerge w:val="restart"/>
          </w:tcPr>
          <w:p>
            <w:pPr>
              <w:pStyle w:val="18"/>
              <w:spacing w:line="268" w:lineRule="exact"/>
              <w:ind w:left="8"/>
              <w:jc w:val="center"/>
              <w:rPr>
                <w:sz w:val="21"/>
              </w:rPr>
            </w:pPr>
            <w:r>
              <w:rPr>
                <w:w w:val="99"/>
                <w:sz w:val="21"/>
              </w:rPr>
              <w:t>2</w:t>
            </w:r>
          </w:p>
          <w:p>
            <w:pPr>
              <w:pStyle w:val="18"/>
              <w:spacing w:before="25" w:line="261" w:lineRule="auto"/>
              <w:ind w:left="126" w:right="116"/>
              <w:jc w:val="center"/>
              <w:rPr>
                <w:sz w:val="21"/>
              </w:rPr>
            </w:pPr>
            <w:r>
              <w:rPr>
                <w:sz w:val="21"/>
              </w:rPr>
              <w:t>.</w:t>
            </w:r>
            <w:r>
              <w:rPr>
                <w:w w:val="99"/>
                <w:sz w:val="21"/>
              </w:rPr>
              <w:t xml:space="preserve"> </w:t>
            </w:r>
            <w:r>
              <w:rPr>
                <w:sz w:val="21"/>
              </w:rPr>
              <w:t>1</w:t>
            </w:r>
          </w:p>
          <w:p>
            <w:pPr>
              <w:pStyle w:val="18"/>
              <w:spacing w:before="11" w:line="300" w:lineRule="exact"/>
              <w:ind w:left="126" w:right="116"/>
              <w:jc w:val="center"/>
              <w:rPr>
                <w:sz w:val="21"/>
              </w:rPr>
            </w:pPr>
            <w:r>
              <w:rPr>
                <w:sz w:val="21"/>
              </w:rPr>
              <w:t>.</w:t>
            </w:r>
            <w:r>
              <w:rPr>
                <w:w w:val="99"/>
                <w:sz w:val="21"/>
              </w:rPr>
              <w:t xml:space="preserve"> </w:t>
            </w:r>
            <w:r>
              <w:rPr>
                <w:sz w:val="21"/>
              </w:rPr>
              <w:t>2</w:t>
            </w:r>
          </w:p>
        </w:tc>
        <w:tc>
          <w:tcPr>
            <w:tcW w:w="1316" w:type="dxa"/>
            <w:vMerge w:val="restart"/>
          </w:tcPr>
          <w:p>
            <w:pPr>
              <w:pStyle w:val="18"/>
              <w:rPr>
                <w:rStyle w:val="15"/>
                <w:sz w:val="21"/>
                <w:szCs w:val="21"/>
              </w:rPr>
            </w:pPr>
          </w:p>
          <w:p>
            <w:pPr>
              <w:pStyle w:val="18"/>
              <w:spacing w:before="10"/>
              <w:rPr>
                <w:rStyle w:val="15"/>
                <w:sz w:val="21"/>
                <w:szCs w:val="21"/>
              </w:rPr>
            </w:pPr>
          </w:p>
          <w:p>
            <w:pPr>
              <w:pStyle w:val="18"/>
              <w:spacing w:line="261" w:lineRule="auto"/>
              <w:ind w:left="237" w:right="228" w:firstLine="105"/>
              <w:rPr>
                <w:rStyle w:val="15"/>
                <w:sz w:val="21"/>
                <w:szCs w:val="21"/>
              </w:rPr>
            </w:pPr>
            <w:r>
              <w:rPr>
                <w:rStyle w:val="15"/>
                <w:sz w:val="21"/>
                <w:szCs w:val="21"/>
              </w:rPr>
              <w:t>形式性评审标准</w:t>
            </w:r>
          </w:p>
        </w:tc>
        <w:tc>
          <w:tcPr>
            <w:tcW w:w="2396" w:type="dxa"/>
          </w:tcPr>
          <w:p>
            <w:pPr>
              <w:pStyle w:val="18"/>
              <w:spacing w:before="12"/>
              <w:ind w:left="179" w:right="170"/>
              <w:jc w:val="center"/>
              <w:rPr>
                <w:rStyle w:val="15"/>
                <w:sz w:val="21"/>
                <w:szCs w:val="21"/>
              </w:rPr>
            </w:pPr>
            <w:r>
              <w:rPr>
                <w:rStyle w:val="15"/>
                <w:sz w:val="21"/>
                <w:szCs w:val="21"/>
              </w:rPr>
              <w:t>投标人名称</w:t>
            </w:r>
          </w:p>
        </w:tc>
        <w:tc>
          <w:tcPr>
            <w:tcW w:w="6134" w:type="dxa"/>
          </w:tcPr>
          <w:p>
            <w:pPr>
              <w:pStyle w:val="18"/>
              <w:spacing w:before="12"/>
              <w:ind w:left="108"/>
              <w:rPr>
                <w:rStyle w:val="15"/>
                <w:sz w:val="21"/>
                <w:szCs w:val="21"/>
              </w:rPr>
            </w:pPr>
            <w:r>
              <w:rPr>
                <w:rStyle w:val="15"/>
                <w:sz w:val="21"/>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9" w:right="172"/>
              <w:jc w:val="center"/>
              <w:rPr>
                <w:rStyle w:val="15"/>
                <w:sz w:val="21"/>
                <w:szCs w:val="21"/>
              </w:rPr>
            </w:pPr>
            <w:r>
              <w:rPr>
                <w:rStyle w:val="15"/>
                <w:sz w:val="21"/>
                <w:szCs w:val="21"/>
              </w:rPr>
              <w:t>投标函签字盖章</w:t>
            </w:r>
          </w:p>
        </w:tc>
        <w:tc>
          <w:tcPr>
            <w:tcW w:w="6134" w:type="dxa"/>
          </w:tcPr>
          <w:p>
            <w:pPr>
              <w:pStyle w:val="18"/>
              <w:spacing w:before="14"/>
              <w:ind w:left="108"/>
              <w:rPr>
                <w:rStyle w:val="15"/>
                <w:sz w:val="21"/>
                <w:szCs w:val="21"/>
              </w:rPr>
            </w:pPr>
            <w:r>
              <w:rPr>
                <w:rStyle w:val="15"/>
                <w:sz w:val="21"/>
                <w:szCs w:val="21"/>
              </w:rPr>
              <w:t>法定代表人或其委托代理人签字或盖章及加盖投标人单位公章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5"/>
              <w:ind w:left="179" w:right="172"/>
              <w:jc w:val="center"/>
              <w:rPr>
                <w:rStyle w:val="15"/>
                <w:sz w:val="21"/>
                <w:szCs w:val="21"/>
              </w:rPr>
            </w:pPr>
            <w:r>
              <w:rPr>
                <w:rStyle w:val="15"/>
                <w:sz w:val="21"/>
                <w:szCs w:val="21"/>
              </w:rPr>
              <w:t>投标文件格式</w:t>
            </w:r>
          </w:p>
        </w:tc>
        <w:tc>
          <w:tcPr>
            <w:tcW w:w="6134" w:type="dxa"/>
          </w:tcPr>
          <w:p>
            <w:pPr>
              <w:pStyle w:val="18"/>
              <w:spacing w:before="15"/>
              <w:ind w:left="108"/>
              <w:rPr>
                <w:rStyle w:val="15"/>
                <w:sz w:val="21"/>
                <w:szCs w:val="21"/>
              </w:rPr>
            </w:pPr>
            <w:r>
              <w:rPr>
                <w:rStyle w:val="15"/>
                <w:sz w:val="21"/>
                <w:szCs w:val="21"/>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70"/>
              <w:ind w:left="176" w:right="172"/>
              <w:jc w:val="center"/>
              <w:rPr>
                <w:rStyle w:val="15"/>
                <w:sz w:val="21"/>
                <w:szCs w:val="21"/>
              </w:rPr>
            </w:pPr>
            <w:r>
              <w:rPr>
                <w:rStyle w:val="15"/>
                <w:sz w:val="21"/>
                <w:szCs w:val="21"/>
              </w:rPr>
              <w:t>报价唯一</w:t>
            </w:r>
          </w:p>
        </w:tc>
        <w:tc>
          <w:tcPr>
            <w:tcW w:w="6134" w:type="dxa"/>
          </w:tcPr>
          <w:p>
            <w:pPr>
              <w:pStyle w:val="18"/>
              <w:spacing w:before="70"/>
              <w:ind w:left="108"/>
              <w:rPr>
                <w:rStyle w:val="15"/>
                <w:sz w:val="21"/>
                <w:szCs w:val="21"/>
              </w:rPr>
            </w:pPr>
            <w:r>
              <w:rPr>
                <w:rStyle w:val="15"/>
                <w:sz w:val="21"/>
                <w:szCs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60" w:type="dxa"/>
            <w:vMerge w:val="restart"/>
          </w:tcPr>
          <w:p>
            <w:pPr>
              <w:pStyle w:val="18"/>
              <w:rPr>
                <w:rFonts w:ascii="黑体"/>
                <w:b/>
                <w:sz w:val="20"/>
              </w:rPr>
            </w:pPr>
          </w:p>
          <w:p>
            <w:pPr>
              <w:pStyle w:val="18"/>
              <w:rPr>
                <w:rFonts w:ascii="黑体"/>
                <w:b/>
                <w:sz w:val="20"/>
              </w:rPr>
            </w:pPr>
          </w:p>
          <w:p>
            <w:pPr>
              <w:pStyle w:val="18"/>
              <w:rPr>
                <w:rFonts w:ascii="黑体"/>
                <w:b/>
                <w:sz w:val="20"/>
              </w:rPr>
            </w:pPr>
          </w:p>
          <w:p>
            <w:pPr>
              <w:pStyle w:val="18"/>
              <w:rPr>
                <w:rFonts w:ascii="黑体"/>
                <w:b/>
                <w:sz w:val="20"/>
              </w:rPr>
            </w:pPr>
          </w:p>
          <w:p>
            <w:pPr>
              <w:pStyle w:val="18"/>
              <w:spacing w:before="156"/>
              <w:ind w:left="8"/>
              <w:jc w:val="center"/>
              <w:rPr>
                <w:sz w:val="21"/>
              </w:rPr>
            </w:pPr>
            <w:r>
              <w:rPr>
                <w:w w:val="99"/>
                <w:sz w:val="21"/>
              </w:rPr>
              <w:t>2</w:t>
            </w:r>
          </w:p>
          <w:p>
            <w:pPr>
              <w:pStyle w:val="18"/>
              <w:spacing w:before="24" w:line="261" w:lineRule="auto"/>
              <w:ind w:left="126" w:right="116"/>
              <w:jc w:val="center"/>
              <w:rPr>
                <w:sz w:val="21"/>
              </w:rPr>
            </w:pPr>
            <w:r>
              <w:rPr>
                <w:sz w:val="21"/>
              </w:rPr>
              <w:t>.</w:t>
            </w:r>
            <w:r>
              <w:rPr>
                <w:w w:val="99"/>
                <w:sz w:val="21"/>
              </w:rPr>
              <w:t xml:space="preserve"> </w:t>
            </w:r>
            <w:r>
              <w:rPr>
                <w:sz w:val="21"/>
              </w:rPr>
              <w:t>1</w:t>
            </w:r>
          </w:p>
          <w:p>
            <w:pPr>
              <w:pStyle w:val="18"/>
              <w:spacing w:before="5" w:line="261" w:lineRule="auto"/>
              <w:ind w:left="126" w:right="116"/>
              <w:jc w:val="center"/>
              <w:rPr>
                <w:sz w:val="21"/>
              </w:rPr>
            </w:pPr>
            <w:r>
              <w:rPr>
                <w:sz w:val="21"/>
              </w:rPr>
              <w:t>.</w:t>
            </w:r>
            <w:r>
              <w:rPr>
                <w:w w:val="99"/>
                <w:sz w:val="21"/>
              </w:rPr>
              <w:t xml:space="preserve"> </w:t>
            </w:r>
            <w:r>
              <w:rPr>
                <w:sz w:val="21"/>
              </w:rPr>
              <w:t>3</w:t>
            </w:r>
          </w:p>
        </w:tc>
        <w:tc>
          <w:tcPr>
            <w:tcW w:w="1316" w:type="dxa"/>
            <w:vMerge w:val="restart"/>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5"/>
              <w:rPr>
                <w:rStyle w:val="15"/>
                <w:sz w:val="21"/>
                <w:szCs w:val="21"/>
              </w:rPr>
            </w:pPr>
          </w:p>
          <w:p>
            <w:pPr>
              <w:pStyle w:val="18"/>
              <w:spacing w:before="1" w:line="261" w:lineRule="auto"/>
              <w:ind w:left="237" w:right="228" w:firstLine="105"/>
              <w:rPr>
                <w:rStyle w:val="15"/>
                <w:sz w:val="21"/>
                <w:szCs w:val="21"/>
              </w:rPr>
            </w:pPr>
            <w:r>
              <w:rPr>
                <w:rStyle w:val="15"/>
                <w:sz w:val="21"/>
                <w:szCs w:val="21"/>
              </w:rPr>
              <w:t>响应性评审标准</w:t>
            </w:r>
          </w:p>
        </w:tc>
        <w:tc>
          <w:tcPr>
            <w:tcW w:w="2396" w:type="dxa"/>
          </w:tcPr>
          <w:p>
            <w:pPr>
              <w:pStyle w:val="18"/>
              <w:spacing w:before="13"/>
              <w:ind w:left="176" w:right="172"/>
              <w:jc w:val="center"/>
              <w:rPr>
                <w:rStyle w:val="15"/>
                <w:sz w:val="21"/>
                <w:szCs w:val="21"/>
              </w:rPr>
            </w:pPr>
            <w:r>
              <w:rPr>
                <w:rStyle w:val="15"/>
                <w:sz w:val="21"/>
                <w:szCs w:val="21"/>
              </w:rPr>
              <w:t>投标内容</w:t>
            </w:r>
          </w:p>
        </w:tc>
        <w:tc>
          <w:tcPr>
            <w:tcW w:w="6134" w:type="dxa"/>
          </w:tcPr>
          <w:p>
            <w:pPr>
              <w:pStyle w:val="18"/>
              <w:spacing w:before="13"/>
              <w:ind w:left="108"/>
              <w:rPr>
                <w:rStyle w:val="15"/>
                <w:sz w:val="21"/>
                <w:szCs w:val="21"/>
              </w:rPr>
            </w:pPr>
            <w:r>
              <w:rPr>
                <w:rStyle w:val="15"/>
                <w:sz w:val="21"/>
                <w:szCs w:val="21"/>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9" w:right="172"/>
              <w:jc w:val="center"/>
              <w:rPr>
                <w:rStyle w:val="15"/>
                <w:sz w:val="21"/>
                <w:szCs w:val="21"/>
              </w:rPr>
            </w:pPr>
            <w:r>
              <w:rPr>
                <w:rStyle w:val="15"/>
                <w:sz w:val="21"/>
                <w:szCs w:val="21"/>
              </w:rPr>
              <w:t>工期</w:t>
            </w:r>
          </w:p>
        </w:tc>
        <w:tc>
          <w:tcPr>
            <w:tcW w:w="6134" w:type="dxa"/>
          </w:tcPr>
          <w:p>
            <w:pPr>
              <w:pStyle w:val="18"/>
              <w:spacing w:before="14"/>
              <w:ind w:left="108"/>
              <w:rPr>
                <w:rStyle w:val="15"/>
                <w:sz w:val="21"/>
                <w:szCs w:val="21"/>
              </w:rPr>
            </w:pPr>
            <w:r>
              <w:rPr>
                <w:rStyle w:val="15"/>
                <w:sz w:val="21"/>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
              <w:ind w:left="176" w:right="172"/>
              <w:jc w:val="center"/>
              <w:rPr>
                <w:rStyle w:val="15"/>
                <w:sz w:val="21"/>
                <w:szCs w:val="21"/>
              </w:rPr>
            </w:pPr>
            <w:r>
              <w:rPr>
                <w:rStyle w:val="15"/>
                <w:sz w:val="21"/>
                <w:szCs w:val="21"/>
              </w:rPr>
              <w:t>工程质量</w:t>
            </w:r>
          </w:p>
        </w:tc>
        <w:tc>
          <w:tcPr>
            <w:tcW w:w="6134" w:type="dxa"/>
          </w:tcPr>
          <w:p>
            <w:pPr>
              <w:pStyle w:val="18"/>
              <w:spacing w:before="14"/>
              <w:ind w:left="108"/>
              <w:rPr>
                <w:rStyle w:val="15"/>
                <w:sz w:val="21"/>
                <w:szCs w:val="21"/>
              </w:rPr>
            </w:pPr>
            <w:r>
              <w:rPr>
                <w:rStyle w:val="15"/>
                <w:sz w:val="21"/>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5"/>
              <w:ind w:left="179" w:right="170"/>
              <w:jc w:val="center"/>
              <w:rPr>
                <w:rStyle w:val="15"/>
                <w:sz w:val="21"/>
                <w:szCs w:val="21"/>
              </w:rPr>
            </w:pPr>
            <w:r>
              <w:rPr>
                <w:rStyle w:val="15"/>
                <w:sz w:val="21"/>
                <w:szCs w:val="21"/>
              </w:rPr>
              <w:t>投标有效期</w:t>
            </w:r>
          </w:p>
        </w:tc>
        <w:tc>
          <w:tcPr>
            <w:tcW w:w="6134" w:type="dxa"/>
          </w:tcPr>
          <w:p>
            <w:pPr>
              <w:pStyle w:val="18"/>
              <w:spacing w:before="15"/>
              <w:ind w:left="108"/>
              <w:rPr>
                <w:rStyle w:val="15"/>
                <w:sz w:val="21"/>
                <w:szCs w:val="21"/>
              </w:rPr>
            </w:pPr>
            <w:r>
              <w:rPr>
                <w:rStyle w:val="15"/>
                <w:sz w:val="21"/>
                <w:szCs w:val="21"/>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5"/>
              <w:ind w:left="176" w:right="172"/>
              <w:jc w:val="center"/>
              <w:rPr>
                <w:rStyle w:val="15"/>
                <w:sz w:val="21"/>
                <w:szCs w:val="21"/>
              </w:rPr>
            </w:pPr>
            <w:r>
              <w:rPr>
                <w:rStyle w:val="15"/>
                <w:sz w:val="21"/>
                <w:szCs w:val="21"/>
              </w:rPr>
              <w:t>权利义务</w:t>
            </w:r>
          </w:p>
        </w:tc>
        <w:tc>
          <w:tcPr>
            <w:tcW w:w="6134" w:type="dxa"/>
          </w:tcPr>
          <w:p>
            <w:pPr>
              <w:pStyle w:val="18"/>
              <w:spacing w:line="269" w:lineRule="exact"/>
              <w:ind w:left="108"/>
              <w:rPr>
                <w:rStyle w:val="15"/>
                <w:sz w:val="21"/>
                <w:szCs w:val="21"/>
              </w:rPr>
            </w:pPr>
            <w:r>
              <w:rPr>
                <w:rStyle w:val="15"/>
                <w:sz w:val="21"/>
                <w:szCs w:val="21"/>
              </w:rPr>
              <w:t>投标函附录中的相关承诺符合或优于第四章“合同条款及格式”</w:t>
            </w:r>
          </w:p>
          <w:p>
            <w:pPr>
              <w:pStyle w:val="18"/>
              <w:spacing w:before="25"/>
              <w:ind w:left="108"/>
              <w:rPr>
                <w:rStyle w:val="15"/>
                <w:sz w:val="21"/>
                <w:szCs w:val="21"/>
              </w:rPr>
            </w:pPr>
            <w:r>
              <w:rPr>
                <w:rStyle w:val="15"/>
                <w:sz w:val="21"/>
                <w:szCs w:val="21"/>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5"/>
              <w:ind w:left="179" w:right="172"/>
              <w:jc w:val="center"/>
              <w:rPr>
                <w:rStyle w:val="15"/>
                <w:sz w:val="21"/>
                <w:szCs w:val="21"/>
              </w:rPr>
            </w:pPr>
            <w:r>
              <w:rPr>
                <w:rStyle w:val="15"/>
                <w:sz w:val="21"/>
                <w:szCs w:val="21"/>
              </w:rPr>
              <w:t>技术标准和要求</w:t>
            </w:r>
          </w:p>
        </w:tc>
        <w:tc>
          <w:tcPr>
            <w:tcW w:w="6134" w:type="dxa"/>
          </w:tcPr>
          <w:p>
            <w:pPr>
              <w:pStyle w:val="18"/>
              <w:spacing w:before="15"/>
              <w:ind w:left="108"/>
              <w:rPr>
                <w:rStyle w:val="15"/>
                <w:sz w:val="21"/>
                <w:szCs w:val="21"/>
              </w:rPr>
            </w:pPr>
            <w:r>
              <w:rPr>
                <w:rStyle w:val="15"/>
                <w:sz w:val="21"/>
                <w:szCs w:val="21"/>
              </w:rPr>
              <w:t>符合第七章“技术标准和要求”规定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5"/>
              <w:ind w:left="176" w:right="172"/>
              <w:jc w:val="center"/>
              <w:rPr>
                <w:rStyle w:val="15"/>
                <w:sz w:val="21"/>
                <w:szCs w:val="21"/>
              </w:rPr>
            </w:pPr>
            <w:r>
              <w:rPr>
                <w:rStyle w:val="15"/>
                <w:sz w:val="21"/>
                <w:szCs w:val="21"/>
              </w:rPr>
              <w:t>投标价格</w:t>
            </w:r>
          </w:p>
        </w:tc>
        <w:tc>
          <w:tcPr>
            <w:tcW w:w="6134" w:type="dxa"/>
          </w:tcPr>
          <w:p>
            <w:pPr>
              <w:pStyle w:val="18"/>
              <w:spacing w:line="269" w:lineRule="exact"/>
              <w:ind w:left="108"/>
              <w:rPr>
                <w:rStyle w:val="15"/>
                <w:sz w:val="21"/>
                <w:szCs w:val="21"/>
              </w:rPr>
            </w:pPr>
            <w:r>
              <w:rPr>
                <w:rStyle w:val="15"/>
                <w:sz w:val="21"/>
                <w:szCs w:val="21"/>
              </w:rPr>
              <w:t>低于（含等于）招标人公布的招标控制价且无本章附件 B 否决投</w:t>
            </w:r>
          </w:p>
          <w:p>
            <w:pPr>
              <w:pStyle w:val="18"/>
              <w:spacing w:before="25"/>
              <w:ind w:left="108"/>
              <w:rPr>
                <w:rStyle w:val="15"/>
                <w:sz w:val="21"/>
                <w:szCs w:val="21"/>
              </w:rPr>
            </w:pPr>
            <w:r>
              <w:rPr>
                <w:rStyle w:val="15"/>
                <w:sz w:val="21"/>
                <w:szCs w:val="21"/>
              </w:rPr>
              <w:t>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5"/>
              <w:ind w:left="176" w:right="172"/>
              <w:jc w:val="center"/>
              <w:rPr>
                <w:rStyle w:val="15"/>
                <w:sz w:val="21"/>
                <w:szCs w:val="21"/>
              </w:rPr>
            </w:pPr>
            <w:r>
              <w:rPr>
                <w:rStyle w:val="15"/>
                <w:sz w:val="21"/>
                <w:szCs w:val="21"/>
              </w:rPr>
              <w:t>分包计划</w:t>
            </w:r>
          </w:p>
        </w:tc>
        <w:tc>
          <w:tcPr>
            <w:tcW w:w="6134" w:type="dxa"/>
          </w:tcPr>
          <w:p>
            <w:pPr>
              <w:pStyle w:val="18"/>
              <w:spacing w:before="15"/>
              <w:ind w:left="108"/>
              <w:rPr>
                <w:rStyle w:val="15"/>
                <w:sz w:val="21"/>
                <w:szCs w:val="21"/>
              </w:rPr>
            </w:pPr>
            <w:r>
              <w:rPr>
                <w:rStyle w:val="15"/>
                <w:sz w:val="21"/>
                <w:szCs w:val="21"/>
              </w:rPr>
              <w:t>符合第二章“投标人须知”第 1.11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0" w:type="dxa"/>
            <w:vMerge w:val="continue"/>
            <w:tcBorders>
              <w:top w:val="nil"/>
            </w:tcBorders>
          </w:tcPr>
          <w:p>
            <w:pPr>
              <w:rPr>
                <w:sz w:val="2"/>
                <w:szCs w:val="2"/>
              </w:rPr>
            </w:pPr>
          </w:p>
        </w:tc>
        <w:tc>
          <w:tcPr>
            <w:tcW w:w="1316" w:type="dxa"/>
            <w:vMerge w:val="continue"/>
            <w:tcBorders>
              <w:top w:val="nil"/>
            </w:tcBorders>
          </w:tcPr>
          <w:p>
            <w:pPr>
              <w:rPr>
                <w:rStyle w:val="15"/>
                <w:sz w:val="21"/>
                <w:szCs w:val="21"/>
              </w:rPr>
            </w:pPr>
          </w:p>
        </w:tc>
        <w:tc>
          <w:tcPr>
            <w:tcW w:w="2396" w:type="dxa"/>
          </w:tcPr>
          <w:p>
            <w:pPr>
              <w:pStyle w:val="18"/>
              <w:spacing w:before="145"/>
              <w:ind w:left="176" w:right="172"/>
              <w:jc w:val="center"/>
              <w:rPr>
                <w:rStyle w:val="15"/>
                <w:sz w:val="21"/>
                <w:szCs w:val="21"/>
              </w:rPr>
            </w:pPr>
            <w:r>
              <w:rPr>
                <w:rStyle w:val="15"/>
                <w:sz w:val="21"/>
                <w:szCs w:val="21"/>
              </w:rPr>
              <w:t>已标价工程量清单</w:t>
            </w:r>
          </w:p>
        </w:tc>
        <w:tc>
          <w:tcPr>
            <w:tcW w:w="6134" w:type="dxa"/>
          </w:tcPr>
          <w:p>
            <w:pPr>
              <w:pStyle w:val="18"/>
              <w:spacing w:line="269" w:lineRule="exact"/>
              <w:ind w:left="108"/>
              <w:rPr>
                <w:rStyle w:val="15"/>
                <w:sz w:val="21"/>
                <w:szCs w:val="21"/>
              </w:rPr>
            </w:pPr>
            <w:r>
              <w:rPr>
                <w:rStyle w:val="15"/>
                <w:sz w:val="21"/>
                <w:szCs w:val="21"/>
              </w:rPr>
              <w:t>符合第五章“工程量清单”的编制要求且无本章附件 B 否决投标</w:t>
            </w:r>
          </w:p>
          <w:p>
            <w:pPr>
              <w:pStyle w:val="18"/>
              <w:spacing w:before="25"/>
              <w:ind w:left="108"/>
              <w:rPr>
                <w:rStyle w:val="15"/>
                <w:sz w:val="21"/>
                <w:szCs w:val="21"/>
              </w:rPr>
            </w:pPr>
            <w:r>
              <w:rPr>
                <w:rStyle w:val="15"/>
                <w:sz w:val="21"/>
                <w:szCs w:val="21"/>
              </w:rPr>
              <w:t>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206" w:type="dxa"/>
            <w:gridSpan w:val="4"/>
          </w:tcPr>
          <w:p>
            <w:pPr>
              <w:pStyle w:val="18"/>
              <w:spacing w:before="15"/>
              <w:ind w:left="107"/>
              <w:rPr>
                <w:b/>
                <w:sz w:val="21"/>
              </w:rPr>
            </w:pPr>
            <w:r>
              <w:rPr>
                <w:b/>
                <w:sz w:val="21"/>
              </w:rPr>
              <w:t>2.2 详细评审：只有通过初步评审，才能进入详细评审程序。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676" w:type="dxa"/>
            <w:gridSpan w:val="2"/>
          </w:tcPr>
          <w:p>
            <w:pPr>
              <w:pStyle w:val="18"/>
              <w:spacing w:line="269" w:lineRule="exact"/>
              <w:ind w:left="417" w:right="407"/>
              <w:jc w:val="center"/>
              <w:rPr>
                <w:rStyle w:val="15"/>
                <w:sz w:val="21"/>
                <w:szCs w:val="21"/>
              </w:rPr>
            </w:pPr>
            <w:r>
              <w:rPr>
                <w:rStyle w:val="15"/>
                <w:sz w:val="21"/>
                <w:szCs w:val="21"/>
              </w:rPr>
              <w:t>2.2.1</w:t>
            </w:r>
          </w:p>
          <w:p>
            <w:pPr>
              <w:pStyle w:val="18"/>
              <w:spacing w:before="25"/>
              <w:ind w:left="417" w:right="-94" w:rightChars="0"/>
              <w:jc w:val="both"/>
              <w:rPr>
                <w:rStyle w:val="15"/>
                <w:sz w:val="21"/>
                <w:szCs w:val="21"/>
              </w:rPr>
            </w:pPr>
            <w:r>
              <w:rPr>
                <w:rStyle w:val="15"/>
                <w:sz w:val="21"/>
                <w:szCs w:val="21"/>
              </w:rPr>
              <w:t>分值构成</w:t>
            </w:r>
          </w:p>
        </w:tc>
        <w:tc>
          <w:tcPr>
            <w:tcW w:w="2396" w:type="dxa"/>
          </w:tcPr>
          <w:p>
            <w:pPr>
              <w:pStyle w:val="18"/>
              <w:spacing w:line="269" w:lineRule="exact"/>
              <w:ind w:left="103" w:right="172"/>
              <w:jc w:val="center"/>
              <w:rPr>
                <w:rStyle w:val="15"/>
                <w:sz w:val="21"/>
                <w:szCs w:val="21"/>
              </w:rPr>
            </w:pPr>
            <w:r>
              <w:rPr>
                <w:rStyle w:val="15"/>
                <w:sz w:val="21"/>
                <w:szCs w:val="21"/>
              </w:rPr>
              <w:t>分值构成</w:t>
            </w:r>
          </w:p>
          <w:p>
            <w:pPr>
              <w:pStyle w:val="18"/>
              <w:spacing w:before="25"/>
              <w:ind w:left="179" w:right="172"/>
              <w:jc w:val="center"/>
              <w:rPr>
                <w:rStyle w:val="15"/>
                <w:sz w:val="21"/>
                <w:szCs w:val="21"/>
              </w:rPr>
            </w:pPr>
            <w:r>
              <w:rPr>
                <w:rStyle w:val="15"/>
                <w:sz w:val="21"/>
                <w:szCs w:val="21"/>
              </w:rPr>
              <w:t>（总分 100 分）</w:t>
            </w:r>
          </w:p>
        </w:tc>
        <w:tc>
          <w:tcPr>
            <w:tcW w:w="6134" w:type="dxa"/>
          </w:tcPr>
          <w:p>
            <w:pPr>
              <w:pStyle w:val="18"/>
              <w:spacing w:line="269" w:lineRule="exact"/>
              <w:ind w:firstLine="210" w:firstLineChars="100"/>
              <w:rPr>
                <w:rStyle w:val="15"/>
                <w:color w:val="auto"/>
                <w:sz w:val="21"/>
                <w:szCs w:val="21"/>
              </w:rPr>
            </w:pPr>
          </w:p>
          <w:p>
            <w:pPr>
              <w:pStyle w:val="18"/>
              <w:spacing w:line="269" w:lineRule="exact"/>
              <w:ind w:firstLine="210" w:firstLineChars="100"/>
              <w:rPr>
                <w:rStyle w:val="15"/>
                <w:color w:val="auto"/>
                <w:sz w:val="21"/>
                <w:szCs w:val="21"/>
              </w:rPr>
            </w:pPr>
            <w:r>
              <w:rPr>
                <w:rStyle w:val="15"/>
                <w:color w:val="auto"/>
                <w:sz w:val="21"/>
                <w:szCs w:val="21"/>
              </w:rPr>
              <w:t>技术标评审部分：</w:t>
            </w:r>
            <w:r>
              <w:rPr>
                <w:rStyle w:val="15"/>
                <w:rFonts w:hint="eastAsia"/>
                <w:color w:val="auto"/>
                <w:sz w:val="21"/>
                <w:szCs w:val="21"/>
                <w:lang w:val="en-US" w:eastAsia="zh-CN"/>
              </w:rPr>
              <w:t>4</w:t>
            </w:r>
            <w:r>
              <w:rPr>
                <w:rStyle w:val="15"/>
                <w:color w:val="auto"/>
                <w:sz w:val="21"/>
                <w:szCs w:val="21"/>
              </w:rPr>
              <w:t>0 分；</w:t>
            </w:r>
          </w:p>
          <w:p>
            <w:pPr>
              <w:pStyle w:val="18"/>
              <w:spacing w:before="25"/>
              <w:ind w:firstLine="210" w:firstLineChars="100"/>
              <w:rPr>
                <w:rStyle w:val="15"/>
                <w:sz w:val="21"/>
                <w:szCs w:val="21"/>
              </w:rPr>
            </w:pPr>
            <w:r>
              <w:rPr>
                <w:rStyle w:val="15"/>
                <w:color w:val="auto"/>
                <w:sz w:val="21"/>
                <w:szCs w:val="21"/>
              </w:rPr>
              <w:t>商务标评审部分：</w:t>
            </w:r>
            <w:r>
              <w:rPr>
                <w:rStyle w:val="15"/>
                <w:rFonts w:hint="eastAsia"/>
                <w:color w:val="auto"/>
                <w:sz w:val="21"/>
                <w:szCs w:val="21"/>
                <w:lang w:val="en-US" w:eastAsia="zh-CN"/>
              </w:rPr>
              <w:t>6</w:t>
            </w:r>
            <w:r>
              <w:rPr>
                <w:rStyle w:val="15"/>
                <w:color w:val="auto"/>
                <w:sz w:val="21"/>
                <w:szCs w:val="21"/>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0206" w:type="dxa"/>
            <w:gridSpan w:val="4"/>
          </w:tcPr>
          <w:p>
            <w:pPr>
              <w:pStyle w:val="18"/>
              <w:spacing w:line="271" w:lineRule="exact"/>
              <w:ind w:left="107"/>
              <w:rPr>
                <w:rStyle w:val="15"/>
                <w:sz w:val="21"/>
                <w:szCs w:val="21"/>
              </w:rPr>
            </w:pPr>
            <w:r>
              <w:rPr>
                <w:rStyle w:val="15"/>
                <w:sz w:val="21"/>
                <w:szCs w:val="21"/>
              </w:rPr>
              <w:t>2.2.2（1）技术标评分标准（满分 40 分）</w:t>
            </w:r>
          </w:p>
          <w:p>
            <w:pPr>
              <w:pStyle w:val="18"/>
              <w:spacing w:before="25"/>
              <w:ind w:left="107"/>
              <w:rPr>
                <w:rStyle w:val="15"/>
                <w:sz w:val="21"/>
                <w:szCs w:val="21"/>
              </w:rPr>
            </w:pPr>
            <w:r>
              <w:rPr>
                <w:rStyle w:val="15"/>
                <w:sz w:val="21"/>
                <w:szCs w:val="21"/>
              </w:rPr>
              <w:t>合格标准：技术标得分达到或超过 24 分的，技术标评审为合格；低于 24 分的技术标得分，技术标评审不合格。技术标评审不合格不进入报价分计算。</w:t>
            </w:r>
          </w:p>
        </w:tc>
      </w:tr>
    </w:tbl>
    <w:p>
      <w:pPr>
        <w:spacing w:after="0"/>
        <w:rPr>
          <w:sz w:val="21"/>
        </w:rPr>
        <w:sectPr>
          <w:pgSz w:w="11910" w:h="16840"/>
          <w:pgMar w:top="1000" w:right="500" w:bottom="780" w:left="960" w:header="808" w:footer="595" w:gutter="0"/>
          <w:pgNumType w:fmt="decimal"/>
        </w:sectPr>
      </w:pPr>
    </w:p>
    <w:p>
      <w:pPr>
        <w:pStyle w:val="3"/>
        <w:rPr>
          <w:rFonts w:ascii="Times New Roman"/>
          <w:sz w:val="20"/>
        </w:rPr>
      </w:pPr>
    </w:p>
    <w:p>
      <w:pPr>
        <w:pStyle w:val="3"/>
        <w:spacing w:before="6"/>
        <w:rPr>
          <w:rFonts w:ascii="Times New Roman"/>
          <w:sz w:val="17"/>
        </w:rPr>
      </w:pPr>
    </w:p>
    <w:tbl>
      <w:tblPr>
        <w:tblStyle w:val="14"/>
        <w:tblW w:w="1020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8"/>
        <w:gridCol w:w="176"/>
        <w:gridCol w:w="689"/>
        <w:gridCol w:w="1725"/>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1588" w:type="dxa"/>
            <w:vMerge w:val="restart"/>
            <w:tcBorders>
              <w:right w:val="single" w:color="auto" w:sz="4" w:space="0"/>
            </w:tcBorders>
            <w:vAlign w:val="center"/>
          </w:tcPr>
          <w:p>
            <w:pPr>
              <w:pStyle w:val="18"/>
              <w:spacing w:line="271" w:lineRule="exact"/>
              <w:ind w:left="395"/>
              <w:jc w:val="center"/>
              <w:rPr>
                <w:rStyle w:val="15"/>
                <w:sz w:val="21"/>
                <w:szCs w:val="21"/>
              </w:rPr>
            </w:pPr>
          </w:p>
          <w:p>
            <w:pPr>
              <w:pStyle w:val="18"/>
              <w:spacing w:line="271" w:lineRule="exact"/>
              <w:ind w:left="395"/>
              <w:jc w:val="center"/>
              <w:rPr>
                <w:rStyle w:val="15"/>
                <w:sz w:val="21"/>
                <w:szCs w:val="21"/>
              </w:rPr>
            </w:pPr>
          </w:p>
          <w:p>
            <w:pPr>
              <w:pStyle w:val="18"/>
              <w:spacing w:line="271" w:lineRule="exact"/>
              <w:ind w:left="395"/>
              <w:jc w:val="center"/>
              <w:rPr>
                <w:rStyle w:val="15"/>
                <w:sz w:val="21"/>
                <w:szCs w:val="21"/>
              </w:rPr>
            </w:pPr>
          </w:p>
          <w:p>
            <w:pPr>
              <w:pStyle w:val="18"/>
              <w:spacing w:line="271" w:lineRule="exact"/>
              <w:ind w:left="395"/>
              <w:jc w:val="center"/>
              <w:rPr>
                <w:rStyle w:val="15"/>
                <w:sz w:val="21"/>
                <w:szCs w:val="21"/>
              </w:rPr>
            </w:pPr>
            <w:r>
              <w:rPr>
                <w:rStyle w:val="15"/>
                <w:sz w:val="21"/>
                <w:szCs w:val="21"/>
              </w:rPr>
              <w:t>2.2.2（1）</w:t>
            </w:r>
          </w:p>
          <w:p>
            <w:pPr>
              <w:pStyle w:val="18"/>
              <w:spacing w:before="25"/>
              <w:ind w:left="395"/>
              <w:jc w:val="center"/>
              <w:rPr>
                <w:rStyle w:val="15"/>
                <w:sz w:val="21"/>
                <w:szCs w:val="21"/>
              </w:rPr>
            </w:pPr>
            <w:r>
              <w:rPr>
                <w:rStyle w:val="15"/>
                <w:sz w:val="21"/>
                <w:szCs w:val="21"/>
              </w:rPr>
              <w:t>2.2.2（1）</w:t>
            </w:r>
          </w:p>
          <w:p>
            <w:pPr>
              <w:pStyle w:val="18"/>
              <w:spacing w:before="25" w:line="261" w:lineRule="auto"/>
              <w:ind w:left="134" w:right="123"/>
              <w:jc w:val="center"/>
              <w:rPr>
                <w:rStyle w:val="15"/>
                <w:sz w:val="21"/>
                <w:szCs w:val="21"/>
              </w:rPr>
            </w:pPr>
            <w:r>
              <w:rPr>
                <w:rStyle w:val="15"/>
                <w:sz w:val="21"/>
                <w:szCs w:val="21"/>
              </w:rPr>
              <w:t>技术标评分标准- 施工组织设计评审标准（满分 40 分）：</w:t>
            </w:r>
          </w:p>
          <w:p>
            <w:pPr>
              <w:pStyle w:val="18"/>
              <w:spacing w:before="6" w:line="261" w:lineRule="auto"/>
              <w:ind w:left="107" w:right="98"/>
              <w:jc w:val="center"/>
              <w:rPr>
                <w:rStyle w:val="15"/>
                <w:sz w:val="21"/>
                <w:szCs w:val="21"/>
              </w:rPr>
            </w:pPr>
            <w:r>
              <w:rPr>
                <w:rStyle w:val="15"/>
                <w:sz w:val="21"/>
                <w:szCs w:val="21"/>
              </w:rPr>
              <w:t>由评标委员会（技术组）根据投标人施工组织设计编制情况分 3 个档打分：</w:t>
            </w:r>
          </w:p>
          <w:p>
            <w:pPr>
              <w:pStyle w:val="18"/>
              <w:spacing w:before="6" w:line="261" w:lineRule="auto"/>
              <w:ind w:left="107" w:right="-15" w:hanging="106"/>
              <w:jc w:val="center"/>
              <w:rPr>
                <w:rStyle w:val="15"/>
                <w:sz w:val="21"/>
                <w:szCs w:val="21"/>
              </w:rPr>
            </w:pPr>
            <w:r>
              <w:rPr>
                <w:rStyle w:val="15"/>
                <w:sz w:val="21"/>
                <w:szCs w:val="21"/>
              </w:rPr>
              <w:t>一档（2.9-4 分） 二档（1.</w:t>
            </w:r>
            <w:r>
              <w:rPr>
                <w:rStyle w:val="15"/>
                <w:rFonts w:hint="eastAsia"/>
                <w:sz w:val="21"/>
                <w:szCs w:val="21"/>
                <w:lang w:val="en-US" w:eastAsia="zh-CN"/>
              </w:rPr>
              <w:t>6</w:t>
            </w:r>
            <w:r>
              <w:rPr>
                <w:rStyle w:val="15"/>
                <w:sz w:val="21"/>
                <w:szCs w:val="21"/>
              </w:rPr>
              <w:t>-2.8 分） 三档（0-1.</w:t>
            </w:r>
            <w:r>
              <w:rPr>
                <w:rStyle w:val="15"/>
                <w:rFonts w:hint="eastAsia"/>
                <w:sz w:val="21"/>
                <w:szCs w:val="21"/>
                <w:lang w:val="en-US" w:eastAsia="zh-CN"/>
              </w:rPr>
              <w:t>5</w:t>
            </w:r>
            <w:r>
              <w:rPr>
                <w:rStyle w:val="15"/>
                <w:sz w:val="21"/>
                <w:szCs w:val="21"/>
              </w:rPr>
              <w:t xml:space="preserve"> 分）。某投标人的技术标得分评标委员会技术组成员打分的算数平均值。</w:t>
            </w:r>
          </w:p>
        </w:tc>
        <w:tc>
          <w:tcPr>
            <w:tcW w:w="865" w:type="dxa"/>
            <w:gridSpan w:val="2"/>
            <w:vMerge w:val="restart"/>
            <w:tcBorders>
              <w:left w:val="single" w:color="auto" w:sz="4" w:space="0"/>
            </w:tcBorders>
            <w:vAlign w:val="center"/>
          </w:tcPr>
          <w:p>
            <w:pPr>
              <w:pStyle w:val="18"/>
              <w:spacing w:before="6" w:line="261" w:lineRule="auto"/>
              <w:ind w:left="107" w:right="-15" w:hanging="106"/>
              <w:jc w:val="center"/>
              <w:rPr>
                <w:rStyle w:val="15"/>
                <w:sz w:val="21"/>
                <w:szCs w:val="21"/>
              </w:rPr>
            </w:pPr>
            <w:r>
              <w:rPr>
                <w:rStyle w:val="15"/>
                <w:sz w:val="21"/>
                <w:szCs w:val="21"/>
              </w:rPr>
              <w:t>施工组织设计</w:t>
            </w:r>
            <w:r>
              <w:rPr>
                <w:rStyle w:val="15"/>
                <w:rFonts w:hint="eastAsia"/>
                <w:sz w:val="21"/>
                <w:szCs w:val="21"/>
              </w:rPr>
              <w:t>（</w:t>
            </w:r>
            <w:r>
              <w:rPr>
                <w:rStyle w:val="15"/>
                <w:rFonts w:hint="eastAsia"/>
                <w:sz w:val="21"/>
                <w:szCs w:val="21"/>
                <w:lang w:val="en-US" w:eastAsia="zh-CN"/>
              </w:rPr>
              <w:t>4</w:t>
            </w:r>
            <w:r>
              <w:rPr>
                <w:rStyle w:val="15"/>
                <w:rFonts w:hint="eastAsia"/>
                <w:sz w:val="21"/>
                <w:szCs w:val="21"/>
              </w:rPr>
              <w:t>0分</w:t>
            </w:r>
          </w:p>
        </w:tc>
        <w:tc>
          <w:tcPr>
            <w:tcW w:w="1725" w:type="dxa"/>
            <w:vAlign w:val="center"/>
          </w:tcPr>
          <w:p>
            <w:pPr>
              <w:pStyle w:val="18"/>
              <w:spacing w:line="271" w:lineRule="exact"/>
              <w:ind w:left="141" w:right="136"/>
              <w:jc w:val="center"/>
              <w:rPr>
                <w:rStyle w:val="15"/>
                <w:sz w:val="21"/>
                <w:szCs w:val="21"/>
              </w:rPr>
            </w:pPr>
            <w:r>
              <w:rPr>
                <w:rStyle w:val="15"/>
                <w:sz w:val="21"/>
                <w:szCs w:val="21"/>
              </w:rPr>
              <w:t>主要施工方法</w:t>
            </w:r>
          </w:p>
          <w:p>
            <w:pPr>
              <w:pStyle w:val="18"/>
              <w:spacing w:before="25"/>
              <w:ind w:left="144" w:leftChars="0" w:right="136" w:rightChars="0"/>
              <w:jc w:val="center"/>
              <w:rPr>
                <w:rStyle w:val="15"/>
                <w:sz w:val="21"/>
                <w:szCs w:val="21"/>
              </w:rPr>
            </w:pPr>
            <w:r>
              <w:rPr>
                <w:rStyle w:val="15"/>
                <w:sz w:val="21"/>
                <w:szCs w:val="21"/>
              </w:rPr>
              <w:t>（4 分）</w:t>
            </w:r>
          </w:p>
        </w:tc>
        <w:tc>
          <w:tcPr>
            <w:tcW w:w="6028" w:type="dxa"/>
            <w:vAlign w:val="center"/>
          </w:tcPr>
          <w:p>
            <w:pPr>
              <w:pStyle w:val="18"/>
              <w:spacing w:before="1" w:line="300" w:lineRule="exact"/>
              <w:ind w:left="108" w:leftChars="0" w:right="97" w:rightChars="0"/>
              <w:rPr>
                <w:rStyle w:val="15"/>
                <w:sz w:val="21"/>
                <w:szCs w:val="21"/>
              </w:rPr>
            </w:pPr>
            <w:r>
              <w:rPr>
                <w:rStyle w:val="15"/>
                <w:sz w:val="21"/>
                <w:szCs w:val="21"/>
              </w:rPr>
              <w:t>各主要分部施工方法符合项目实际，须有详尽的施工技术方案，工  艺先进、方法科学合理、可行，能指导具体施工并确保安全。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vAlign w:val="center"/>
          </w:tcPr>
          <w:p>
            <w:pPr>
              <w:pStyle w:val="18"/>
              <w:spacing w:line="261" w:lineRule="auto"/>
              <w:ind w:right="-45" w:rightChars="0"/>
              <w:jc w:val="center"/>
              <w:rPr>
                <w:rStyle w:val="15"/>
                <w:sz w:val="21"/>
                <w:szCs w:val="21"/>
              </w:rPr>
            </w:pPr>
            <w:r>
              <w:rPr>
                <w:rStyle w:val="15"/>
                <w:sz w:val="21"/>
                <w:szCs w:val="21"/>
              </w:rPr>
              <w:t>拟投入的主要物资计划</w:t>
            </w:r>
          </w:p>
          <w:p>
            <w:pPr>
              <w:pStyle w:val="18"/>
              <w:spacing w:before="12"/>
              <w:jc w:val="center"/>
              <w:rPr>
                <w:rStyle w:val="15"/>
                <w:sz w:val="21"/>
                <w:szCs w:val="21"/>
              </w:rPr>
            </w:pPr>
            <w:r>
              <w:rPr>
                <w:rStyle w:val="15"/>
                <w:sz w:val="21"/>
                <w:szCs w:val="21"/>
              </w:rPr>
              <w:t>（4 分）</w:t>
            </w:r>
          </w:p>
        </w:tc>
        <w:tc>
          <w:tcPr>
            <w:tcW w:w="6028" w:type="dxa"/>
          </w:tcPr>
          <w:p>
            <w:pPr>
              <w:pStyle w:val="18"/>
              <w:spacing w:before="143" w:line="261" w:lineRule="auto"/>
              <w:ind w:left="108" w:right="27"/>
              <w:rPr>
                <w:rStyle w:val="15"/>
                <w:sz w:val="21"/>
                <w:szCs w:val="21"/>
              </w:rPr>
            </w:pPr>
            <w:r>
              <w:rPr>
                <w:rStyle w:val="15"/>
                <w:sz w:val="21"/>
                <w:szCs w:val="21"/>
              </w:rPr>
              <w:t>投入的施工材料有详细的组织计划且计划周密，数量、选型配置、  进场时间安排合理，满足施工需要。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line="270" w:lineRule="exact"/>
              <w:ind w:left="141" w:right="136"/>
              <w:jc w:val="center"/>
              <w:rPr>
                <w:rStyle w:val="15"/>
                <w:sz w:val="21"/>
                <w:szCs w:val="21"/>
              </w:rPr>
            </w:pPr>
            <w:r>
              <w:rPr>
                <w:rStyle w:val="15"/>
                <w:sz w:val="21"/>
                <w:szCs w:val="21"/>
              </w:rPr>
              <w:t>拟投入的主要</w:t>
            </w:r>
          </w:p>
          <w:p>
            <w:pPr>
              <w:pStyle w:val="18"/>
              <w:spacing w:before="25"/>
              <w:ind w:left="144" w:right="136"/>
              <w:jc w:val="center"/>
              <w:rPr>
                <w:rStyle w:val="15"/>
                <w:sz w:val="21"/>
                <w:szCs w:val="21"/>
              </w:rPr>
            </w:pPr>
            <w:r>
              <w:rPr>
                <w:rStyle w:val="15"/>
                <w:sz w:val="21"/>
                <w:szCs w:val="21"/>
              </w:rPr>
              <w:t>施工机械、设备计划</w:t>
            </w:r>
          </w:p>
          <w:p>
            <w:pPr>
              <w:pStyle w:val="18"/>
              <w:spacing w:before="25"/>
              <w:ind w:left="144" w:right="136"/>
              <w:jc w:val="center"/>
              <w:rPr>
                <w:rStyle w:val="15"/>
                <w:sz w:val="21"/>
                <w:szCs w:val="21"/>
              </w:rPr>
            </w:pPr>
            <w:r>
              <w:rPr>
                <w:rStyle w:val="15"/>
                <w:sz w:val="21"/>
                <w:szCs w:val="21"/>
              </w:rPr>
              <w:t>（4 分）</w:t>
            </w:r>
          </w:p>
        </w:tc>
        <w:tc>
          <w:tcPr>
            <w:tcW w:w="6028" w:type="dxa"/>
          </w:tcPr>
          <w:p>
            <w:pPr>
              <w:pStyle w:val="18"/>
              <w:spacing w:before="144" w:line="261" w:lineRule="auto"/>
              <w:ind w:left="108" w:right="99"/>
              <w:rPr>
                <w:rStyle w:val="15"/>
                <w:sz w:val="21"/>
                <w:szCs w:val="21"/>
              </w:rPr>
            </w:pPr>
            <w:r>
              <w:rPr>
                <w:rStyle w:val="15"/>
                <w:sz w:val="21"/>
                <w:szCs w:val="21"/>
              </w:rPr>
              <w:t>投入的施工机械、设备、机具有详细的组织计划且计划周密，设备  数量、选型配置、进场时间安排合理，满足施工需要。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line="270" w:lineRule="exact"/>
              <w:ind w:left="144" w:right="134"/>
              <w:jc w:val="center"/>
              <w:rPr>
                <w:rStyle w:val="15"/>
                <w:sz w:val="21"/>
                <w:szCs w:val="21"/>
              </w:rPr>
            </w:pPr>
            <w:r>
              <w:rPr>
                <w:rStyle w:val="15"/>
                <w:sz w:val="21"/>
                <w:szCs w:val="21"/>
              </w:rPr>
              <w:t>劳动力安排计划</w:t>
            </w:r>
          </w:p>
          <w:p>
            <w:pPr>
              <w:pStyle w:val="18"/>
              <w:spacing w:before="25"/>
              <w:ind w:left="144" w:right="136"/>
              <w:jc w:val="center"/>
              <w:rPr>
                <w:rStyle w:val="15"/>
                <w:sz w:val="21"/>
                <w:szCs w:val="21"/>
              </w:rPr>
            </w:pPr>
            <w:r>
              <w:rPr>
                <w:rStyle w:val="15"/>
                <w:sz w:val="21"/>
                <w:szCs w:val="21"/>
              </w:rPr>
              <w:t>（4 分）</w:t>
            </w:r>
          </w:p>
        </w:tc>
        <w:tc>
          <w:tcPr>
            <w:tcW w:w="6028" w:type="dxa"/>
          </w:tcPr>
          <w:p>
            <w:pPr>
              <w:pStyle w:val="18"/>
              <w:spacing w:line="300" w:lineRule="exact"/>
              <w:ind w:left="108" w:right="97"/>
              <w:rPr>
                <w:rStyle w:val="15"/>
                <w:sz w:val="21"/>
                <w:szCs w:val="21"/>
              </w:rPr>
            </w:pPr>
            <w:r>
              <w:rPr>
                <w:rStyle w:val="15"/>
                <w:sz w:val="21"/>
                <w:szCs w:val="21"/>
              </w:rPr>
              <w:t>各主要施工工序应有详细周密的劳动力安排计划，有各工种劳动力  安排计划，劳动力投入合理，满足施工需要。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line="261" w:lineRule="auto"/>
              <w:ind w:left="328" w:right="316"/>
              <w:jc w:val="center"/>
              <w:rPr>
                <w:rStyle w:val="15"/>
                <w:sz w:val="21"/>
                <w:szCs w:val="21"/>
              </w:rPr>
            </w:pPr>
            <w:r>
              <w:rPr>
                <w:rStyle w:val="15"/>
                <w:sz w:val="21"/>
                <w:szCs w:val="21"/>
              </w:rPr>
              <w:t>确保工程质量的技术组织措施</w:t>
            </w:r>
          </w:p>
          <w:p>
            <w:pPr>
              <w:pStyle w:val="18"/>
              <w:spacing w:before="12"/>
              <w:ind w:left="144" w:right="136"/>
              <w:jc w:val="center"/>
              <w:rPr>
                <w:rStyle w:val="15"/>
                <w:sz w:val="21"/>
                <w:szCs w:val="21"/>
              </w:rPr>
            </w:pPr>
            <w:r>
              <w:rPr>
                <w:rStyle w:val="15"/>
                <w:sz w:val="21"/>
                <w:szCs w:val="21"/>
              </w:rPr>
              <w:t>（4 分）</w:t>
            </w:r>
          </w:p>
        </w:tc>
        <w:tc>
          <w:tcPr>
            <w:tcW w:w="6028" w:type="dxa"/>
          </w:tcPr>
          <w:p>
            <w:pPr>
              <w:pStyle w:val="18"/>
              <w:spacing w:line="261" w:lineRule="auto"/>
              <w:ind w:left="108" w:right="-15"/>
              <w:rPr>
                <w:rStyle w:val="15"/>
                <w:sz w:val="21"/>
                <w:szCs w:val="21"/>
              </w:rPr>
            </w:pPr>
            <w:r>
              <w:rPr>
                <w:rStyle w:val="15"/>
                <w:sz w:val="21"/>
                <w:szCs w:val="21"/>
              </w:rPr>
              <w:t>应有专门的质量技术管理班子和制度，且人员配备合理，制度健全。  主要工序应有质量技术保证措施和手段，自控体系完整，能有效保</w:t>
            </w:r>
          </w:p>
          <w:p>
            <w:pPr>
              <w:pStyle w:val="18"/>
              <w:spacing w:before="12"/>
              <w:ind w:left="108"/>
              <w:rPr>
                <w:rStyle w:val="15"/>
                <w:sz w:val="21"/>
                <w:szCs w:val="21"/>
              </w:rPr>
            </w:pPr>
            <w:r>
              <w:rPr>
                <w:rStyle w:val="15"/>
                <w:sz w:val="21"/>
                <w:szCs w:val="21"/>
              </w:rPr>
              <w:t>证技术质量，达到承诺的质量标准。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line="261" w:lineRule="auto"/>
              <w:ind w:left="328" w:right="316"/>
              <w:jc w:val="center"/>
              <w:rPr>
                <w:rStyle w:val="15"/>
                <w:sz w:val="21"/>
                <w:szCs w:val="21"/>
              </w:rPr>
            </w:pPr>
            <w:r>
              <w:rPr>
                <w:rStyle w:val="15"/>
                <w:sz w:val="21"/>
                <w:szCs w:val="21"/>
              </w:rPr>
              <w:t>确保安全生产的技术组织措施</w:t>
            </w:r>
          </w:p>
          <w:p>
            <w:pPr>
              <w:pStyle w:val="18"/>
              <w:spacing w:before="12"/>
              <w:ind w:left="144" w:right="136"/>
              <w:jc w:val="center"/>
              <w:rPr>
                <w:rStyle w:val="15"/>
                <w:sz w:val="21"/>
                <w:szCs w:val="21"/>
              </w:rPr>
            </w:pPr>
            <w:r>
              <w:rPr>
                <w:rStyle w:val="15"/>
                <w:sz w:val="21"/>
                <w:szCs w:val="21"/>
              </w:rPr>
              <w:t>（4 分）</w:t>
            </w:r>
          </w:p>
        </w:tc>
        <w:tc>
          <w:tcPr>
            <w:tcW w:w="6028" w:type="dxa"/>
          </w:tcPr>
          <w:p>
            <w:pPr>
              <w:pStyle w:val="18"/>
              <w:spacing w:line="261" w:lineRule="auto"/>
              <w:ind w:left="108" w:right="97"/>
              <w:rPr>
                <w:rStyle w:val="15"/>
                <w:sz w:val="21"/>
                <w:szCs w:val="21"/>
              </w:rPr>
            </w:pPr>
            <w:r>
              <w:rPr>
                <w:rStyle w:val="15"/>
                <w:sz w:val="21"/>
                <w:szCs w:val="21"/>
              </w:rPr>
              <w:t>应有专门的安全管理人员和制度，且人员配备合理，制度健全，各  道工序安全技术措施针对性强，符合实际且满足有关安全技术标准</w:t>
            </w:r>
          </w:p>
          <w:p>
            <w:pPr>
              <w:pStyle w:val="18"/>
              <w:spacing w:before="12"/>
              <w:ind w:left="108"/>
              <w:rPr>
                <w:rStyle w:val="15"/>
                <w:sz w:val="21"/>
                <w:szCs w:val="21"/>
              </w:rPr>
            </w:pPr>
            <w:r>
              <w:rPr>
                <w:rStyle w:val="15"/>
                <w:sz w:val="21"/>
                <w:szCs w:val="21"/>
              </w:rPr>
              <w:t>要求。现场防火、应急救援、社会治安安全措施得力。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before="144" w:line="261" w:lineRule="auto"/>
              <w:ind w:left="431" w:right="424" w:firstLine="2"/>
              <w:jc w:val="center"/>
              <w:rPr>
                <w:rStyle w:val="15"/>
                <w:sz w:val="21"/>
                <w:szCs w:val="21"/>
              </w:rPr>
            </w:pPr>
            <w:r>
              <w:rPr>
                <w:rStyle w:val="15"/>
                <w:sz w:val="21"/>
                <w:szCs w:val="21"/>
              </w:rPr>
              <w:t>确保工期的技术组织措施</w:t>
            </w:r>
          </w:p>
          <w:p>
            <w:pPr>
              <w:pStyle w:val="18"/>
              <w:spacing w:before="5"/>
              <w:ind w:left="144" w:right="136"/>
              <w:jc w:val="center"/>
              <w:rPr>
                <w:rStyle w:val="15"/>
                <w:sz w:val="21"/>
                <w:szCs w:val="21"/>
              </w:rPr>
            </w:pPr>
            <w:r>
              <w:rPr>
                <w:rStyle w:val="15"/>
                <w:sz w:val="21"/>
                <w:szCs w:val="21"/>
              </w:rPr>
              <w:t>（4 分）</w:t>
            </w:r>
          </w:p>
        </w:tc>
        <w:tc>
          <w:tcPr>
            <w:tcW w:w="6028" w:type="dxa"/>
          </w:tcPr>
          <w:p>
            <w:pPr>
              <w:pStyle w:val="18"/>
              <w:spacing w:before="1" w:line="300" w:lineRule="exact"/>
              <w:ind w:left="108" w:right="94"/>
              <w:jc w:val="both"/>
              <w:rPr>
                <w:rStyle w:val="15"/>
                <w:sz w:val="21"/>
                <w:szCs w:val="21"/>
              </w:rPr>
            </w:pPr>
            <w:r>
              <w:rPr>
                <w:rStyle w:val="15"/>
                <w:sz w:val="21"/>
                <w:szCs w:val="21"/>
              </w:rPr>
              <w:t>在施工工艺、施工方法、材料选用、劳动力安排、技术等方面有保  证工期的具体措施且措施得当。有控制工期的施工进度计划。应有  施工总进度表或施工网络图，各项计划图表编制完善，安排科学合  理，符合本项目施工实际要求。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before="143" w:line="261" w:lineRule="auto"/>
              <w:ind w:left="328" w:right="316"/>
              <w:jc w:val="center"/>
              <w:rPr>
                <w:rStyle w:val="15"/>
                <w:sz w:val="21"/>
                <w:szCs w:val="21"/>
              </w:rPr>
            </w:pPr>
            <w:r>
              <w:rPr>
                <w:rStyle w:val="15"/>
                <w:sz w:val="21"/>
                <w:szCs w:val="21"/>
              </w:rPr>
              <w:t>确保文明施工的技术组织措施</w:t>
            </w:r>
          </w:p>
          <w:p>
            <w:pPr>
              <w:pStyle w:val="18"/>
              <w:spacing w:before="6"/>
              <w:ind w:left="144" w:right="136"/>
              <w:jc w:val="center"/>
              <w:rPr>
                <w:rStyle w:val="15"/>
                <w:sz w:val="21"/>
                <w:szCs w:val="21"/>
              </w:rPr>
            </w:pPr>
            <w:r>
              <w:rPr>
                <w:rStyle w:val="15"/>
                <w:sz w:val="21"/>
                <w:szCs w:val="21"/>
              </w:rPr>
              <w:t>（4 分）</w:t>
            </w:r>
          </w:p>
        </w:tc>
        <w:tc>
          <w:tcPr>
            <w:tcW w:w="6028" w:type="dxa"/>
          </w:tcPr>
          <w:p>
            <w:pPr>
              <w:pStyle w:val="18"/>
              <w:spacing w:line="261" w:lineRule="auto"/>
              <w:ind w:left="108" w:right="94"/>
              <w:jc w:val="both"/>
              <w:rPr>
                <w:rStyle w:val="15"/>
                <w:sz w:val="21"/>
                <w:szCs w:val="21"/>
              </w:rPr>
            </w:pPr>
            <w:r>
              <w:rPr>
                <w:rStyle w:val="15"/>
                <w:sz w:val="21"/>
                <w:szCs w:val="21"/>
              </w:rPr>
              <w:t>针对本工程项目特点，应有现场文明施工、环境保护措施，且措施  内容应达到《建筑施工安全生产检查标准》（JGJ59-2011）合格标 准并符合《广西壮族自治区建筑工程文明施工导则》要求。各项措</w:t>
            </w:r>
          </w:p>
          <w:p>
            <w:pPr>
              <w:pStyle w:val="18"/>
              <w:spacing w:before="12"/>
              <w:ind w:left="108"/>
              <w:jc w:val="both"/>
              <w:rPr>
                <w:rStyle w:val="15"/>
                <w:sz w:val="21"/>
                <w:szCs w:val="21"/>
              </w:rPr>
            </w:pPr>
            <w:r>
              <w:rPr>
                <w:rStyle w:val="15"/>
                <w:sz w:val="21"/>
                <w:szCs w:val="21"/>
              </w:rPr>
              <w:t>施周全、具体、有效。有具体实现现场文明施工目标的承诺。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line="261" w:lineRule="auto"/>
              <w:ind w:left="223" w:right="213"/>
              <w:jc w:val="center"/>
              <w:rPr>
                <w:rStyle w:val="15"/>
                <w:sz w:val="21"/>
                <w:szCs w:val="21"/>
              </w:rPr>
            </w:pPr>
            <w:r>
              <w:rPr>
                <w:rStyle w:val="15"/>
                <w:sz w:val="21"/>
                <w:szCs w:val="21"/>
              </w:rPr>
              <w:t>工程施工的重点和难点及保证措施</w:t>
            </w:r>
          </w:p>
          <w:p>
            <w:pPr>
              <w:pStyle w:val="18"/>
              <w:spacing w:before="11"/>
              <w:ind w:left="144" w:right="136"/>
              <w:jc w:val="center"/>
              <w:rPr>
                <w:rStyle w:val="15"/>
                <w:sz w:val="21"/>
                <w:szCs w:val="21"/>
              </w:rPr>
            </w:pPr>
            <w:r>
              <w:rPr>
                <w:rStyle w:val="15"/>
                <w:sz w:val="21"/>
                <w:szCs w:val="21"/>
              </w:rPr>
              <w:t>（4 分）</w:t>
            </w:r>
          </w:p>
        </w:tc>
        <w:tc>
          <w:tcPr>
            <w:tcW w:w="6028" w:type="dxa"/>
          </w:tcPr>
          <w:p>
            <w:pPr>
              <w:pStyle w:val="18"/>
              <w:spacing w:before="144" w:line="261" w:lineRule="auto"/>
              <w:ind w:left="108" w:right="97"/>
              <w:rPr>
                <w:rStyle w:val="15"/>
                <w:sz w:val="21"/>
                <w:szCs w:val="21"/>
              </w:rPr>
            </w:pPr>
            <w:r>
              <w:rPr>
                <w:rStyle w:val="15"/>
                <w:sz w:val="21"/>
                <w:szCs w:val="21"/>
              </w:rPr>
              <w:t>针对本工程的特点，阐述本工程的重点和难点，解决重点和难点问  题的方法是否合理。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88" w:type="dxa"/>
            <w:vMerge w:val="continue"/>
            <w:tcBorders>
              <w:top w:val="nil"/>
              <w:right w:val="single" w:color="auto" w:sz="4" w:space="0"/>
            </w:tcBorders>
          </w:tcPr>
          <w:p>
            <w:pPr>
              <w:rPr>
                <w:rStyle w:val="15"/>
                <w:sz w:val="21"/>
                <w:szCs w:val="21"/>
              </w:rPr>
            </w:pPr>
          </w:p>
        </w:tc>
        <w:tc>
          <w:tcPr>
            <w:tcW w:w="865" w:type="dxa"/>
            <w:gridSpan w:val="2"/>
            <w:vMerge w:val="continue"/>
            <w:tcBorders>
              <w:left w:val="single" w:color="auto" w:sz="4" w:space="0"/>
            </w:tcBorders>
          </w:tcPr>
          <w:p>
            <w:pPr>
              <w:rPr>
                <w:rStyle w:val="15"/>
                <w:sz w:val="21"/>
                <w:szCs w:val="21"/>
              </w:rPr>
            </w:pPr>
          </w:p>
        </w:tc>
        <w:tc>
          <w:tcPr>
            <w:tcW w:w="1725" w:type="dxa"/>
          </w:tcPr>
          <w:p>
            <w:pPr>
              <w:pStyle w:val="18"/>
              <w:spacing w:line="270" w:lineRule="exact"/>
              <w:ind w:left="144" w:right="136"/>
              <w:jc w:val="center"/>
              <w:rPr>
                <w:rStyle w:val="15"/>
                <w:sz w:val="21"/>
                <w:szCs w:val="21"/>
              </w:rPr>
            </w:pPr>
            <w:r>
              <w:rPr>
                <w:rStyle w:val="15"/>
                <w:sz w:val="21"/>
                <w:szCs w:val="21"/>
              </w:rPr>
              <w:t>施工总平面布置图</w:t>
            </w:r>
          </w:p>
          <w:p>
            <w:pPr>
              <w:pStyle w:val="18"/>
              <w:spacing w:before="25"/>
              <w:ind w:left="144" w:right="136"/>
              <w:jc w:val="center"/>
              <w:rPr>
                <w:rStyle w:val="15"/>
                <w:sz w:val="21"/>
                <w:szCs w:val="21"/>
              </w:rPr>
            </w:pPr>
            <w:r>
              <w:rPr>
                <w:rStyle w:val="15"/>
                <w:sz w:val="21"/>
                <w:szCs w:val="21"/>
              </w:rPr>
              <w:t>（4 分）</w:t>
            </w:r>
          </w:p>
        </w:tc>
        <w:tc>
          <w:tcPr>
            <w:tcW w:w="6028" w:type="dxa"/>
          </w:tcPr>
          <w:p>
            <w:pPr>
              <w:pStyle w:val="18"/>
              <w:spacing w:before="146"/>
              <w:ind w:left="108" w:right="-15"/>
              <w:rPr>
                <w:rStyle w:val="15"/>
                <w:sz w:val="21"/>
                <w:szCs w:val="21"/>
              </w:rPr>
            </w:pPr>
            <w:r>
              <w:rPr>
                <w:rStyle w:val="15"/>
                <w:sz w:val="21"/>
                <w:szCs w:val="21"/>
              </w:rPr>
              <w:t>应有施工总平面布置图，安排科学合理，符合本项目施工实际要求。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8" w:hRule="atLeast"/>
        </w:trPr>
        <w:tc>
          <w:tcPr>
            <w:tcW w:w="2453" w:type="dxa"/>
            <w:gridSpan w:val="3"/>
          </w:tcPr>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rPr>
                <w:rFonts w:ascii="Times New Roman"/>
                <w:sz w:val="20"/>
              </w:rPr>
            </w:pPr>
          </w:p>
          <w:p>
            <w:pPr>
              <w:pStyle w:val="18"/>
              <w:spacing w:before="1"/>
              <w:rPr>
                <w:rFonts w:ascii="Times New Roman"/>
                <w:sz w:val="22"/>
              </w:rPr>
            </w:pPr>
          </w:p>
          <w:p>
            <w:pPr>
              <w:pStyle w:val="18"/>
              <w:ind w:left="395"/>
              <w:rPr>
                <w:sz w:val="21"/>
              </w:rPr>
            </w:pPr>
            <w:r>
              <w:rPr>
                <w:sz w:val="21"/>
              </w:rPr>
              <w:t>2.2.2（2）</w:t>
            </w:r>
          </w:p>
        </w:tc>
        <w:tc>
          <w:tcPr>
            <w:tcW w:w="1725" w:type="dxa"/>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1"/>
              <w:rPr>
                <w:rStyle w:val="15"/>
                <w:sz w:val="21"/>
                <w:szCs w:val="21"/>
              </w:rPr>
            </w:pPr>
          </w:p>
          <w:p>
            <w:pPr>
              <w:pStyle w:val="18"/>
              <w:ind w:left="328"/>
              <w:jc w:val="center"/>
              <w:rPr>
                <w:rStyle w:val="15"/>
                <w:sz w:val="21"/>
                <w:szCs w:val="21"/>
              </w:rPr>
            </w:pPr>
            <w:r>
              <w:rPr>
                <w:rStyle w:val="15"/>
                <w:sz w:val="21"/>
                <w:szCs w:val="21"/>
              </w:rPr>
              <w:t>评标基准价计算</w:t>
            </w:r>
          </w:p>
        </w:tc>
        <w:tc>
          <w:tcPr>
            <w:tcW w:w="6028" w:type="dxa"/>
          </w:tcPr>
          <w:p>
            <w:pPr>
              <w:pStyle w:val="18"/>
              <w:spacing w:line="261" w:lineRule="auto"/>
              <w:ind w:left="108" w:right="97" w:firstLine="420"/>
              <w:jc w:val="both"/>
              <w:rPr>
                <w:rStyle w:val="15"/>
                <w:sz w:val="21"/>
                <w:szCs w:val="21"/>
              </w:rPr>
            </w:pPr>
            <w:r>
              <w:rPr>
                <w:rStyle w:val="15"/>
                <w:sz w:val="21"/>
                <w:szCs w:val="21"/>
              </w:rPr>
              <w:t>1.有效报价范围：为投标总价低于或等于招标控制价，通过资格评审、形式评审、响应性评审且技术标评审合格，经评标委员会审定不存在严重不平衡、不合理、不低于其企业成本的投标人投标总价。</w:t>
            </w:r>
          </w:p>
          <w:p>
            <w:pPr>
              <w:pStyle w:val="18"/>
              <w:spacing w:before="12" w:line="261" w:lineRule="auto"/>
              <w:ind w:left="108" w:right="94" w:firstLine="420"/>
              <w:jc w:val="both"/>
              <w:rPr>
                <w:rStyle w:val="15"/>
                <w:sz w:val="21"/>
                <w:szCs w:val="21"/>
              </w:rPr>
            </w:pPr>
            <w:r>
              <w:rPr>
                <w:rStyle w:val="15"/>
                <w:sz w:val="21"/>
                <w:szCs w:val="21"/>
              </w:rPr>
              <w:t>2.将有效报价范围内的投标人，按其投标报价由低到高的顺序 依次排出名次(如某投标人享受《政府采购促进中小企业发展暂行办法》（财库[2011]181 号）或《关于政府采购支持监狱企业发展有关问题的通知》（财库[2014]68 号）或《关于促进残疾人就业政府采购政策的通知》（财库[2017]141 号）任一或多个政府采购优惠政策的，给予投标报价 6%扣除，按扣除后实数进行排序)。</w:t>
            </w:r>
          </w:p>
          <w:p>
            <w:pPr>
              <w:pStyle w:val="18"/>
              <w:spacing w:before="6" w:line="261" w:lineRule="auto"/>
              <w:ind w:left="108" w:right="94" w:firstLine="420"/>
              <w:jc w:val="both"/>
              <w:rPr>
                <w:rStyle w:val="15"/>
                <w:sz w:val="21"/>
                <w:szCs w:val="21"/>
              </w:rPr>
            </w:pPr>
            <w:r>
              <w:rPr>
                <w:rStyle w:val="15"/>
                <w:sz w:val="21"/>
                <w:szCs w:val="21"/>
              </w:rPr>
              <w:t>3.有效报价的投标人在 10 家以上的，从最高的投标报价开始去掉 n 家投标报价和从最低的投标报价开始去掉 n 家或 n-1 家（有效报价范围内投标人家数为奇数时取 n-1 家）投标报价后（当出现两个或两个以上相同投标报价时，一并去掉），取 10 家（如不足10 家，按实际家数计取）投标人投标报价进入评标基准价计算范围，再取其中的有效报价的算术平均值作为评标基准价；有效报价的投标人在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2453" w:type="dxa"/>
            <w:gridSpan w:val="3"/>
            <w:vAlign w:val="top"/>
          </w:tcPr>
          <w:p>
            <w:pPr>
              <w:pStyle w:val="18"/>
              <w:rPr>
                <w:rStyle w:val="15"/>
                <w:sz w:val="21"/>
                <w:szCs w:val="21"/>
              </w:rPr>
            </w:pPr>
          </w:p>
          <w:p>
            <w:pPr>
              <w:pStyle w:val="18"/>
              <w:spacing w:before="6"/>
              <w:rPr>
                <w:rStyle w:val="15"/>
                <w:sz w:val="21"/>
                <w:szCs w:val="21"/>
              </w:rPr>
            </w:pPr>
          </w:p>
          <w:p>
            <w:pPr>
              <w:pStyle w:val="18"/>
              <w:ind w:left="395" w:leftChars="0" w:right="0" w:rightChars="0"/>
              <w:rPr>
                <w:rStyle w:val="15"/>
                <w:sz w:val="21"/>
                <w:szCs w:val="21"/>
              </w:rPr>
            </w:pPr>
            <w:r>
              <w:rPr>
                <w:rStyle w:val="15"/>
                <w:sz w:val="21"/>
                <w:szCs w:val="21"/>
              </w:rPr>
              <w:t>2.2.2（3）</w:t>
            </w:r>
          </w:p>
        </w:tc>
        <w:tc>
          <w:tcPr>
            <w:tcW w:w="1725" w:type="dxa"/>
            <w:vAlign w:val="top"/>
          </w:tcPr>
          <w:p>
            <w:pPr>
              <w:pStyle w:val="18"/>
              <w:spacing w:before="143" w:line="261" w:lineRule="auto"/>
              <w:ind w:left="223" w:leftChars="0" w:right="-45" w:rightChars="0" w:hanging="3" w:firstLineChars="0"/>
              <w:jc w:val="center"/>
              <w:rPr>
                <w:rStyle w:val="15"/>
                <w:sz w:val="21"/>
                <w:szCs w:val="21"/>
              </w:rPr>
            </w:pPr>
            <w:r>
              <w:rPr>
                <w:rStyle w:val="15"/>
                <w:sz w:val="21"/>
                <w:szCs w:val="21"/>
              </w:rPr>
              <w:t>商务标评分标准（满分</w:t>
            </w:r>
            <w:r>
              <w:rPr>
                <w:rStyle w:val="15"/>
                <w:color w:val="auto"/>
                <w:sz w:val="21"/>
                <w:szCs w:val="21"/>
              </w:rPr>
              <w:t xml:space="preserve"> </w:t>
            </w:r>
            <w:r>
              <w:rPr>
                <w:rStyle w:val="15"/>
                <w:rFonts w:hint="eastAsia"/>
                <w:color w:val="auto"/>
                <w:sz w:val="21"/>
                <w:szCs w:val="21"/>
                <w:lang w:val="en-US" w:eastAsia="zh-CN"/>
              </w:rPr>
              <w:t>6</w:t>
            </w:r>
            <w:r>
              <w:rPr>
                <w:rStyle w:val="15"/>
                <w:color w:val="auto"/>
                <w:sz w:val="21"/>
                <w:szCs w:val="21"/>
              </w:rPr>
              <w:t xml:space="preserve">0 </w:t>
            </w:r>
            <w:r>
              <w:rPr>
                <w:rStyle w:val="15"/>
                <w:sz w:val="21"/>
                <w:szCs w:val="21"/>
              </w:rPr>
              <w:t>分）</w:t>
            </w:r>
          </w:p>
        </w:tc>
        <w:tc>
          <w:tcPr>
            <w:tcW w:w="6028" w:type="dxa"/>
            <w:vAlign w:val="top"/>
          </w:tcPr>
          <w:p>
            <w:pPr>
              <w:pStyle w:val="18"/>
              <w:spacing w:line="261" w:lineRule="auto"/>
              <w:ind w:left="108" w:right="96" w:firstLine="420"/>
              <w:jc w:val="both"/>
              <w:rPr>
                <w:rStyle w:val="15"/>
                <w:sz w:val="21"/>
                <w:szCs w:val="21"/>
              </w:rPr>
            </w:pPr>
            <w:r>
              <w:rPr>
                <w:rStyle w:val="15"/>
                <w:sz w:val="21"/>
                <w:szCs w:val="21"/>
              </w:rPr>
              <w:t>1.以投标报价的评标基准价为满分，采用内插法计算，投标人 报价每高于评标基准价 1%的扣 1 分，每低于评标基准价 1%的扣 0.5 分，计算出投标人的投标报价得分。</w:t>
            </w:r>
          </w:p>
          <w:p>
            <w:pPr>
              <w:pStyle w:val="18"/>
              <w:spacing w:before="11"/>
              <w:ind w:left="528" w:leftChars="0" w:right="0" w:rightChars="0"/>
              <w:rPr>
                <w:rStyle w:val="15"/>
                <w:sz w:val="21"/>
                <w:szCs w:val="21"/>
              </w:rPr>
            </w:pPr>
            <w:r>
              <w:rPr>
                <w:rStyle w:val="15"/>
                <w:sz w:val="21"/>
                <w:szCs w:val="21"/>
              </w:rPr>
              <w:t>2.有效报价投标人的商务标得分=该投标人的投标报价得分。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4178" w:type="dxa"/>
            <w:gridSpan w:val="4"/>
            <w:vAlign w:val="center"/>
          </w:tcPr>
          <w:p>
            <w:pPr>
              <w:pStyle w:val="18"/>
              <w:spacing w:line="270" w:lineRule="exact"/>
              <w:ind w:left="1247" w:leftChars="0" w:right="0" w:rightChars="0"/>
              <w:jc w:val="center"/>
              <w:rPr>
                <w:rStyle w:val="15"/>
                <w:sz w:val="21"/>
                <w:szCs w:val="21"/>
              </w:rPr>
            </w:pPr>
            <w:r>
              <w:rPr>
                <w:rStyle w:val="15"/>
                <w:sz w:val="21"/>
                <w:szCs w:val="21"/>
              </w:rPr>
              <w:t>投标人汇总得分</w:t>
            </w:r>
          </w:p>
        </w:tc>
        <w:tc>
          <w:tcPr>
            <w:tcW w:w="6028" w:type="dxa"/>
            <w:vAlign w:val="center"/>
          </w:tcPr>
          <w:p>
            <w:pPr>
              <w:pStyle w:val="18"/>
              <w:spacing w:line="270" w:lineRule="exact"/>
              <w:ind w:left="108" w:leftChars="0" w:right="0" w:rightChars="0"/>
              <w:jc w:val="center"/>
              <w:rPr>
                <w:rStyle w:val="15"/>
                <w:sz w:val="21"/>
                <w:szCs w:val="21"/>
              </w:rPr>
            </w:pPr>
            <w:r>
              <w:rPr>
                <w:rStyle w:val="15"/>
                <w:sz w:val="21"/>
                <w:szCs w:val="21"/>
              </w:rPr>
              <w:t>该投标人的技术标得分+商务标得分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64" w:type="dxa"/>
            <w:gridSpan w:val="2"/>
            <w:tcBorders>
              <w:right w:val="single" w:color="auto" w:sz="4" w:space="0"/>
            </w:tcBorders>
            <w:vAlign w:val="center"/>
          </w:tcPr>
          <w:p>
            <w:pPr>
              <w:pStyle w:val="18"/>
              <w:spacing w:before="14"/>
              <w:ind w:left="7" w:leftChars="0" w:right="0" w:rightChars="0"/>
              <w:jc w:val="center"/>
              <w:rPr>
                <w:rStyle w:val="15"/>
                <w:sz w:val="21"/>
                <w:szCs w:val="21"/>
              </w:rPr>
            </w:pPr>
            <w:r>
              <w:rPr>
                <w:rStyle w:val="15"/>
                <w:sz w:val="21"/>
                <w:szCs w:val="21"/>
              </w:rPr>
              <w:t>3</w:t>
            </w:r>
          </w:p>
        </w:tc>
        <w:tc>
          <w:tcPr>
            <w:tcW w:w="2414" w:type="dxa"/>
            <w:gridSpan w:val="2"/>
            <w:tcBorders>
              <w:left w:val="single" w:color="auto" w:sz="4" w:space="0"/>
            </w:tcBorders>
            <w:vAlign w:val="center"/>
          </w:tcPr>
          <w:p>
            <w:pPr>
              <w:pStyle w:val="18"/>
              <w:spacing w:before="14"/>
              <w:ind w:left="726" w:leftChars="0" w:right="0" w:rightChars="0"/>
              <w:jc w:val="center"/>
              <w:rPr>
                <w:rStyle w:val="15"/>
                <w:sz w:val="21"/>
                <w:szCs w:val="21"/>
              </w:rPr>
            </w:pPr>
            <w:r>
              <w:rPr>
                <w:rStyle w:val="15"/>
                <w:sz w:val="21"/>
                <w:szCs w:val="21"/>
              </w:rPr>
              <w:t>评标程序</w:t>
            </w:r>
          </w:p>
        </w:tc>
        <w:tc>
          <w:tcPr>
            <w:tcW w:w="6028" w:type="dxa"/>
            <w:vAlign w:val="center"/>
          </w:tcPr>
          <w:p>
            <w:pPr>
              <w:pStyle w:val="18"/>
              <w:spacing w:before="14"/>
              <w:ind w:left="108" w:leftChars="0" w:right="0" w:rightChars="0"/>
              <w:jc w:val="center"/>
              <w:rPr>
                <w:rStyle w:val="15"/>
                <w:sz w:val="21"/>
                <w:szCs w:val="21"/>
              </w:rPr>
            </w:pPr>
            <w:r>
              <w:rPr>
                <w:rStyle w:val="15"/>
                <w:sz w:val="21"/>
                <w:szCs w:val="21"/>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64" w:type="dxa"/>
            <w:gridSpan w:val="2"/>
            <w:tcBorders>
              <w:right w:val="single" w:color="auto" w:sz="4" w:space="0"/>
            </w:tcBorders>
            <w:vAlign w:val="center"/>
          </w:tcPr>
          <w:p>
            <w:pPr>
              <w:pStyle w:val="18"/>
              <w:spacing w:before="14"/>
              <w:ind w:left="417" w:leftChars="0" w:right="407" w:rightChars="0"/>
              <w:jc w:val="center"/>
              <w:rPr>
                <w:rStyle w:val="15"/>
                <w:sz w:val="21"/>
                <w:szCs w:val="21"/>
              </w:rPr>
            </w:pPr>
            <w:r>
              <w:rPr>
                <w:rStyle w:val="15"/>
                <w:sz w:val="21"/>
                <w:szCs w:val="21"/>
              </w:rPr>
              <w:t>3.1.2</w:t>
            </w:r>
          </w:p>
        </w:tc>
        <w:tc>
          <w:tcPr>
            <w:tcW w:w="2414" w:type="dxa"/>
            <w:gridSpan w:val="2"/>
            <w:tcBorders>
              <w:left w:val="single" w:color="auto" w:sz="4" w:space="0"/>
            </w:tcBorders>
            <w:vAlign w:val="center"/>
          </w:tcPr>
          <w:p>
            <w:pPr>
              <w:pStyle w:val="18"/>
              <w:spacing w:before="14"/>
              <w:ind w:left="514" w:leftChars="0" w:right="0" w:rightChars="0"/>
              <w:jc w:val="center"/>
              <w:rPr>
                <w:rStyle w:val="15"/>
                <w:sz w:val="21"/>
                <w:szCs w:val="21"/>
              </w:rPr>
            </w:pPr>
            <w:r>
              <w:rPr>
                <w:rStyle w:val="15"/>
                <w:sz w:val="21"/>
                <w:szCs w:val="21"/>
              </w:rPr>
              <w:t>否决投标条件</w:t>
            </w:r>
          </w:p>
        </w:tc>
        <w:tc>
          <w:tcPr>
            <w:tcW w:w="6028" w:type="dxa"/>
            <w:vAlign w:val="center"/>
          </w:tcPr>
          <w:p>
            <w:pPr>
              <w:pStyle w:val="18"/>
              <w:spacing w:before="14"/>
              <w:ind w:left="108" w:leftChars="0" w:right="0" w:rightChars="0"/>
              <w:jc w:val="center"/>
              <w:rPr>
                <w:rStyle w:val="15"/>
                <w:sz w:val="21"/>
                <w:szCs w:val="21"/>
              </w:rPr>
            </w:pPr>
            <w:r>
              <w:rPr>
                <w:rStyle w:val="15"/>
                <w:sz w:val="21"/>
                <w:szCs w:val="21"/>
              </w:rPr>
              <w:t>详见本章附件 B：否决投标条件</w:t>
            </w:r>
          </w:p>
        </w:tc>
      </w:tr>
    </w:tbl>
    <w:p>
      <w:pPr>
        <w:spacing w:after="0"/>
        <w:rPr>
          <w:sz w:val="21"/>
        </w:rPr>
        <w:sectPr>
          <w:pgSz w:w="11910" w:h="16840"/>
          <w:pgMar w:top="1000" w:right="500" w:bottom="780" w:left="960" w:header="808" w:footer="595" w:gutter="0"/>
          <w:pgNumType w:fmt="decimal"/>
        </w:sectPr>
      </w:pPr>
    </w:p>
    <w:p>
      <w:pPr>
        <w:pStyle w:val="8"/>
        <w:ind w:left="0" w:leftChars="0" w:firstLine="0" w:firstLineChars="0"/>
      </w:pPr>
      <w:bookmarkStart w:id="224" w:name="评标办法（综合评估法）正文部分"/>
      <w:bookmarkEnd w:id="224"/>
      <w:bookmarkStart w:id="225" w:name="_bookmark83"/>
      <w:bookmarkEnd w:id="225"/>
      <w:r>
        <w:rPr>
          <w:w w:val="95"/>
        </w:rPr>
        <w:t>评标办法（综合评估法）正文部分</w:t>
      </w:r>
    </w:p>
    <w:p>
      <w:pPr>
        <w:pStyle w:val="3"/>
        <w:spacing w:before="3"/>
        <w:rPr>
          <w:rFonts w:ascii="黑体"/>
          <w:b/>
          <w:sz w:val="39"/>
        </w:rPr>
      </w:pPr>
    </w:p>
    <w:p>
      <w:pPr>
        <w:pStyle w:val="9"/>
        <w:spacing w:before="0"/>
        <w:ind w:left="100"/>
        <w:rPr>
          <w:rStyle w:val="15"/>
          <w:sz w:val="21"/>
          <w:szCs w:val="21"/>
        </w:rPr>
      </w:pPr>
      <w:bookmarkStart w:id="226" w:name="_bookmark84"/>
      <w:bookmarkEnd w:id="226"/>
      <w:bookmarkStart w:id="227" w:name="1.评标方法"/>
      <w:bookmarkEnd w:id="227"/>
      <w:r>
        <w:rPr>
          <w:rStyle w:val="15"/>
          <w:sz w:val="21"/>
          <w:szCs w:val="21"/>
        </w:rPr>
        <w:t>1.评标方法</w:t>
      </w:r>
    </w:p>
    <w:p>
      <w:pPr>
        <w:pStyle w:val="3"/>
        <w:spacing w:before="125" w:line="350" w:lineRule="auto"/>
        <w:ind w:left="100" w:right="216" w:firstLine="420"/>
        <w:jc w:val="both"/>
        <w:rPr>
          <w:rStyle w:val="15"/>
          <w:sz w:val="21"/>
          <w:szCs w:val="21"/>
        </w:rPr>
      </w:pPr>
      <w:r>
        <w:rPr>
          <w:rStyle w:val="15"/>
          <w:sz w:val="21"/>
          <w:szCs w:val="21"/>
        </w:rPr>
        <w:t>本次评标采用综合评估法。评标委员会对满足招标文件实质性要求的投标文件，按照本章“评标办法前附表”第 2.1、2.2 款规定的评分标准进行打分，并按综合得分由高到低顺序推荐中标候选人，或根据招标人授权直接确定中标人，但投标报价低于其成本的除外。综合评分相等时，以投标报价低的优先；投标价也相等时，以企业用于该项工程投标的资质高的优先；企业用于该项工程投标的资质也相等的，以技术标得分高的优先；技术标得分也相等的，由评标委员会采用记名投票方式确定。</w:t>
      </w:r>
    </w:p>
    <w:p>
      <w:pPr>
        <w:pStyle w:val="9"/>
        <w:spacing w:before="26"/>
        <w:ind w:left="100"/>
        <w:rPr>
          <w:rStyle w:val="15"/>
          <w:sz w:val="21"/>
          <w:szCs w:val="21"/>
        </w:rPr>
      </w:pPr>
      <w:bookmarkStart w:id="228" w:name="_bookmark85"/>
      <w:bookmarkEnd w:id="228"/>
      <w:bookmarkStart w:id="229" w:name="2.评审标准"/>
      <w:bookmarkEnd w:id="229"/>
      <w:r>
        <w:rPr>
          <w:rStyle w:val="15"/>
          <w:sz w:val="21"/>
          <w:szCs w:val="21"/>
        </w:rPr>
        <w:t>2.评审标准</w:t>
      </w:r>
    </w:p>
    <w:p>
      <w:pPr>
        <w:pStyle w:val="17"/>
        <w:numPr>
          <w:ilvl w:val="1"/>
          <w:numId w:val="14"/>
        </w:numPr>
        <w:tabs>
          <w:tab w:val="left" w:pos="520"/>
        </w:tabs>
        <w:spacing w:before="125" w:after="0" w:line="240" w:lineRule="auto"/>
        <w:ind w:left="520" w:right="0" w:hanging="420"/>
        <w:jc w:val="left"/>
        <w:rPr>
          <w:rStyle w:val="15"/>
          <w:sz w:val="21"/>
          <w:szCs w:val="21"/>
        </w:rPr>
      </w:pPr>
      <w:bookmarkStart w:id="230" w:name="2.1 初步评审标准"/>
      <w:bookmarkEnd w:id="230"/>
      <w:bookmarkStart w:id="231" w:name="_bookmark86"/>
      <w:bookmarkEnd w:id="231"/>
      <w:bookmarkStart w:id="232" w:name="_bookmark86"/>
      <w:bookmarkEnd w:id="232"/>
      <w:r>
        <w:rPr>
          <w:rStyle w:val="15"/>
          <w:sz w:val="21"/>
          <w:szCs w:val="21"/>
        </w:rPr>
        <w:t>初步评审标准</w:t>
      </w:r>
    </w:p>
    <w:p>
      <w:pPr>
        <w:pStyle w:val="17"/>
        <w:numPr>
          <w:ilvl w:val="2"/>
          <w:numId w:val="14"/>
        </w:numPr>
        <w:tabs>
          <w:tab w:val="left" w:pos="1096"/>
        </w:tabs>
        <w:spacing w:before="125" w:after="0" w:line="240" w:lineRule="auto"/>
        <w:ind w:left="1096" w:right="0" w:hanging="576"/>
        <w:jc w:val="left"/>
        <w:rPr>
          <w:rStyle w:val="15"/>
          <w:sz w:val="21"/>
          <w:szCs w:val="21"/>
        </w:rPr>
      </w:pPr>
      <w:r>
        <w:rPr>
          <w:rStyle w:val="15"/>
          <w:sz w:val="21"/>
          <w:szCs w:val="21"/>
        </w:rPr>
        <w:t>资格评审标准：见“评标办法前附表”。</w:t>
      </w:r>
    </w:p>
    <w:p>
      <w:pPr>
        <w:pStyle w:val="17"/>
        <w:numPr>
          <w:ilvl w:val="2"/>
          <w:numId w:val="14"/>
        </w:numPr>
        <w:tabs>
          <w:tab w:val="left" w:pos="1096"/>
        </w:tabs>
        <w:spacing w:before="123" w:after="0" w:line="240" w:lineRule="auto"/>
        <w:ind w:left="1096" w:right="0" w:hanging="576"/>
        <w:jc w:val="left"/>
        <w:rPr>
          <w:rStyle w:val="15"/>
          <w:sz w:val="21"/>
          <w:szCs w:val="21"/>
        </w:rPr>
      </w:pPr>
      <w:r>
        <w:rPr>
          <w:rStyle w:val="15"/>
          <w:sz w:val="21"/>
          <w:szCs w:val="21"/>
        </w:rPr>
        <w:t>形式评审标准：见“评标办法前附表”。</w:t>
      </w:r>
    </w:p>
    <w:p>
      <w:pPr>
        <w:pStyle w:val="17"/>
        <w:numPr>
          <w:ilvl w:val="2"/>
          <w:numId w:val="14"/>
        </w:numPr>
        <w:tabs>
          <w:tab w:val="left" w:pos="1149"/>
        </w:tabs>
        <w:spacing w:before="126" w:after="0" w:line="240" w:lineRule="auto"/>
        <w:ind w:left="1148" w:right="0" w:hanging="628"/>
        <w:jc w:val="left"/>
        <w:rPr>
          <w:rStyle w:val="15"/>
          <w:sz w:val="21"/>
          <w:szCs w:val="21"/>
        </w:rPr>
      </w:pPr>
      <w:r>
        <w:rPr>
          <w:rStyle w:val="15"/>
          <w:sz w:val="21"/>
          <w:szCs w:val="21"/>
        </w:rPr>
        <w:t>响应性评审标准：见“评标办法前附表”。</w:t>
      </w:r>
    </w:p>
    <w:p>
      <w:pPr>
        <w:pStyle w:val="17"/>
        <w:numPr>
          <w:ilvl w:val="1"/>
          <w:numId w:val="14"/>
        </w:numPr>
        <w:tabs>
          <w:tab w:val="left" w:pos="520"/>
        </w:tabs>
        <w:spacing w:before="126" w:after="0" w:line="240" w:lineRule="auto"/>
        <w:ind w:left="520" w:right="0" w:hanging="420"/>
        <w:jc w:val="left"/>
        <w:rPr>
          <w:rStyle w:val="15"/>
          <w:sz w:val="21"/>
          <w:szCs w:val="21"/>
        </w:rPr>
      </w:pPr>
      <w:bookmarkStart w:id="233" w:name="_bookmark87"/>
      <w:bookmarkEnd w:id="233"/>
      <w:bookmarkStart w:id="234" w:name="_bookmark87"/>
      <w:bookmarkEnd w:id="234"/>
      <w:bookmarkStart w:id="235" w:name="2.2 详细评审标准"/>
      <w:bookmarkEnd w:id="235"/>
      <w:r>
        <w:rPr>
          <w:rStyle w:val="15"/>
          <w:sz w:val="21"/>
          <w:szCs w:val="21"/>
        </w:rPr>
        <w:t>详细评审标准</w:t>
      </w:r>
    </w:p>
    <w:p>
      <w:pPr>
        <w:pStyle w:val="17"/>
        <w:numPr>
          <w:ilvl w:val="2"/>
          <w:numId w:val="14"/>
        </w:numPr>
        <w:tabs>
          <w:tab w:val="left" w:pos="1149"/>
        </w:tabs>
        <w:spacing w:before="123" w:after="0" w:line="240" w:lineRule="auto"/>
        <w:ind w:left="1148" w:right="0" w:hanging="628"/>
        <w:jc w:val="left"/>
        <w:rPr>
          <w:rStyle w:val="15"/>
          <w:sz w:val="21"/>
          <w:szCs w:val="21"/>
        </w:rPr>
      </w:pPr>
      <w:r>
        <w:rPr>
          <w:rStyle w:val="15"/>
          <w:sz w:val="21"/>
          <w:szCs w:val="21"/>
        </w:rPr>
        <w:t>分值构成：见“评标办法前附表”。</w:t>
      </w:r>
    </w:p>
    <w:p>
      <w:pPr>
        <w:pStyle w:val="17"/>
        <w:numPr>
          <w:ilvl w:val="2"/>
          <w:numId w:val="14"/>
        </w:numPr>
        <w:tabs>
          <w:tab w:val="left" w:pos="1149"/>
        </w:tabs>
        <w:spacing w:before="125" w:after="0" w:line="240" w:lineRule="auto"/>
        <w:ind w:left="1148" w:right="0" w:hanging="628"/>
        <w:jc w:val="left"/>
        <w:rPr>
          <w:rStyle w:val="15"/>
          <w:sz w:val="21"/>
          <w:szCs w:val="21"/>
        </w:rPr>
      </w:pPr>
      <w:r>
        <w:rPr>
          <w:rStyle w:val="15"/>
          <w:sz w:val="21"/>
          <w:szCs w:val="21"/>
        </w:rPr>
        <w:t>评分标准</w:t>
      </w:r>
    </w:p>
    <w:p>
      <w:pPr>
        <w:pStyle w:val="3"/>
        <w:spacing w:before="125"/>
        <w:ind w:left="520"/>
        <w:rPr>
          <w:rStyle w:val="15"/>
          <w:sz w:val="21"/>
          <w:szCs w:val="21"/>
        </w:rPr>
      </w:pPr>
      <w:r>
        <w:rPr>
          <w:rStyle w:val="15"/>
          <w:sz w:val="21"/>
          <w:szCs w:val="21"/>
        </w:rPr>
        <w:t>（1）技术标评分标准：见“评标办法前附表”。</w:t>
      </w:r>
    </w:p>
    <w:p>
      <w:pPr>
        <w:pStyle w:val="3"/>
        <w:spacing w:before="123"/>
        <w:ind w:left="520"/>
        <w:rPr>
          <w:rStyle w:val="15"/>
          <w:sz w:val="21"/>
          <w:szCs w:val="21"/>
        </w:rPr>
      </w:pPr>
      <w:r>
        <w:rPr>
          <w:rStyle w:val="15"/>
          <w:sz w:val="21"/>
          <w:szCs w:val="21"/>
        </w:rPr>
        <w:t>（2）评标基准价计算方法：见“评标办法前附表”。</w:t>
      </w:r>
    </w:p>
    <w:p>
      <w:pPr>
        <w:pStyle w:val="3"/>
        <w:spacing w:before="126"/>
        <w:ind w:left="520"/>
        <w:rPr>
          <w:rStyle w:val="15"/>
          <w:sz w:val="21"/>
          <w:szCs w:val="21"/>
        </w:rPr>
      </w:pPr>
      <w:r>
        <w:rPr>
          <w:rStyle w:val="15"/>
          <w:sz w:val="21"/>
          <w:szCs w:val="21"/>
        </w:rPr>
        <w:t>（3）商务标评分标准：见“评标办法前附表”。</w:t>
      </w:r>
    </w:p>
    <w:p>
      <w:pPr>
        <w:pStyle w:val="9"/>
        <w:spacing w:before="126"/>
        <w:ind w:left="100"/>
      </w:pPr>
      <w:bookmarkStart w:id="236" w:name="_bookmark88"/>
      <w:bookmarkEnd w:id="236"/>
      <w:bookmarkStart w:id="237" w:name="3.评标程序"/>
      <w:bookmarkEnd w:id="237"/>
      <w:r>
        <w:rPr>
          <w:w w:val="95"/>
        </w:rPr>
        <w:t>3.评标程序</w:t>
      </w:r>
    </w:p>
    <w:p>
      <w:pPr>
        <w:pStyle w:val="17"/>
        <w:numPr>
          <w:ilvl w:val="1"/>
          <w:numId w:val="15"/>
        </w:numPr>
        <w:tabs>
          <w:tab w:val="left" w:pos="520"/>
        </w:tabs>
        <w:spacing w:before="123" w:after="0" w:line="240" w:lineRule="auto"/>
        <w:ind w:left="520" w:right="0" w:hanging="420"/>
        <w:jc w:val="left"/>
        <w:rPr>
          <w:rStyle w:val="15"/>
          <w:sz w:val="21"/>
          <w:szCs w:val="21"/>
        </w:rPr>
      </w:pPr>
      <w:bookmarkStart w:id="238" w:name="3.1 初步评审"/>
      <w:bookmarkEnd w:id="238"/>
      <w:bookmarkStart w:id="239" w:name="_bookmark89"/>
      <w:bookmarkEnd w:id="239"/>
      <w:bookmarkStart w:id="240" w:name="_bookmark89"/>
      <w:bookmarkEnd w:id="240"/>
      <w:r>
        <w:rPr>
          <w:rStyle w:val="15"/>
          <w:sz w:val="21"/>
          <w:szCs w:val="21"/>
        </w:rPr>
        <w:t>初步评审</w:t>
      </w:r>
    </w:p>
    <w:p>
      <w:pPr>
        <w:pStyle w:val="17"/>
        <w:numPr>
          <w:ilvl w:val="2"/>
          <w:numId w:val="15"/>
        </w:numPr>
        <w:tabs>
          <w:tab w:val="left" w:pos="1149"/>
        </w:tabs>
        <w:spacing w:before="125" w:after="0" w:line="350" w:lineRule="auto"/>
        <w:ind w:left="100" w:right="112" w:firstLine="420"/>
        <w:jc w:val="left"/>
        <w:rPr>
          <w:rStyle w:val="15"/>
          <w:sz w:val="21"/>
          <w:szCs w:val="21"/>
        </w:rPr>
      </w:pPr>
      <w:r>
        <w:rPr>
          <w:rStyle w:val="15"/>
          <w:sz w:val="21"/>
          <w:szCs w:val="21"/>
        </w:rPr>
        <w:t>评标委员会依据本章第 2.1 款规定的标准对投标文件进行初步评审。有一项不符合评审标准的， 作否决投标处理。</w:t>
      </w:r>
    </w:p>
    <w:p>
      <w:pPr>
        <w:pStyle w:val="17"/>
        <w:numPr>
          <w:ilvl w:val="2"/>
          <w:numId w:val="15"/>
        </w:numPr>
        <w:tabs>
          <w:tab w:val="left" w:pos="1149"/>
        </w:tabs>
        <w:spacing w:before="26" w:after="0" w:line="240" w:lineRule="auto"/>
        <w:ind w:left="100" w:right="0" w:firstLine="420"/>
        <w:jc w:val="left"/>
        <w:rPr>
          <w:rStyle w:val="15"/>
          <w:sz w:val="21"/>
          <w:szCs w:val="21"/>
        </w:rPr>
      </w:pPr>
      <w:r>
        <w:rPr>
          <w:rStyle w:val="15"/>
          <w:sz w:val="21"/>
          <w:szCs w:val="21"/>
        </w:rPr>
        <w:t>投标人有以下情形之一的，其投标作否决投标处理：</w:t>
      </w:r>
    </w:p>
    <w:p>
      <w:pPr>
        <w:pStyle w:val="3"/>
        <w:spacing w:before="125"/>
        <w:ind w:left="520"/>
        <w:rPr>
          <w:rStyle w:val="15"/>
          <w:sz w:val="21"/>
          <w:szCs w:val="21"/>
        </w:rPr>
      </w:pPr>
      <w:r>
        <w:rPr>
          <w:rStyle w:val="15"/>
          <w:sz w:val="21"/>
          <w:szCs w:val="21"/>
        </w:rPr>
        <w:t>（1）第二章“投标人须知”第 1.4.3 项规定的任何一种情形的；</w:t>
      </w:r>
    </w:p>
    <w:p>
      <w:pPr>
        <w:pStyle w:val="3"/>
        <w:spacing w:before="125"/>
        <w:ind w:left="520"/>
        <w:rPr>
          <w:rStyle w:val="15"/>
          <w:sz w:val="21"/>
          <w:szCs w:val="21"/>
        </w:rPr>
      </w:pPr>
      <w:r>
        <w:rPr>
          <w:rStyle w:val="15"/>
          <w:sz w:val="21"/>
          <w:szCs w:val="21"/>
        </w:rPr>
        <w:t>（2）串通投标或弄虚作假或有其他违法行为的；</w:t>
      </w:r>
    </w:p>
    <w:p>
      <w:pPr>
        <w:pStyle w:val="3"/>
        <w:spacing w:before="123"/>
        <w:ind w:left="520"/>
        <w:rPr>
          <w:rStyle w:val="15"/>
          <w:sz w:val="21"/>
          <w:szCs w:val="21"/>
        </w:rPr>
      </w:pPr>
      <w:r>
        <w:rPr>
          <w:rStyle w:val="15"/>
          <w:sz w:val="21"/>
          <w:szCs w:val="21"/>
        </w:rPr>
        <w:t>（3）不按评标委员会要求澄清、说明或补正的。</w:t>
      </w:r>
    </w:p>
    <w:p>
      <w:pPr>
        <w:pStyle w:val="17"/>
        <w:numPr>
          <w:ilvl w:val="2"/>
          <w:numId w:val="15"/>
        </w:numPr>
        <w:tabs>
          <w:tab w:val="left" w:pos="1152"/>
        </w:tabs>
        <w:spacing w:before="126" w:after="0" w:line="350" w:lineRule="auto"/>
        <w:ind w:left="100" w:right="221" w:firstLine="420"/>
        <w:jc w:val="left"/>
        <w:rPr>
          <w:rStyle w:val="15"/>
          <w:sz w:val="21"/>
          <w:szCs w:val="21"/>
        </w:rPr>
      </w:pPr>
      <w:r>
        <w:rPr>
          <w:rStyle w:val="15"/>
          <w:sz w:val="21"/>
          <w:szCs w:val="21"/>
        </w:rPr>
        <w:t>投标报价有算术错误的，评标委员会按以下原则对投标报价进行修正，修正的价格经投标人书面确认后具有约束力。投标人不接受修正价格的，其投标作否决投标处理。</w:t>
      </w:r>
    </w:p>
    <w:p>
      <w:pPr>
        <w:pStyle w:val="3"/>
        <w:spacing w:before="27"/>
        <w:ind w:left="520"/>
        <w:rPr>
          <w:rStyle w:val="15"/>
          <w:sz w:val="21"/>
          <w:szCs w:val="21"/>
        </w:rPr>
      </w:pPr>
      <w:r>
        <w:rPr>
          <w:rStyle w:val="15"/>
          <w:sz w:val="21"/>
          <w:szCs w:val="21"/>
        </w:rPr>
        <w:t>（1）投标文件中的大写金额与小写金额不一致的，以大写金额为准；</w:t>
      </w:r>
    </w:p>
    <w:p>
      <w:pPr>
        <w:pStyle w:val="3"/>
        <w:spacing w:before="126" w:line="350" w:lineRule="auto"/>
        <w:ind w:left="100" w:right="156" w:firstLine="420"/>
        <w:rPr>
          <w:rStyle w:val="15"/>
          <w:sz w:val="21"/>
          <w:szCs w:val="21"/>
        </w:rPr>
      </w:pPr>
      <w:r>
        <w:rPr>
          <w:rStyle w:val="15"/>
          <w:sz w:val="21"/>
          <w:szCs w:val="21"/>
        </w:rPr>
        <w:t>（2）总价金额与依据单价计算出的结果不一致的，以单价金额为准修正总价，但单价金额小数点有明   显错误的除外。</w:t>
      </w:r>
    </w:p>
    <w:p>
      <w:pPr>
        <w:pStyle w:val="17"/>
        <w:numPr>
          <w:ilvl w:val="1"/>
          <w:numId w:val="15"/>
        </w:numPr>
        <w:tabs>
          <w:tab w:val="left" w:pos="520"/>
        </w:tabs>
        <w:spacing w:before="27" w:after="0" w:line="240" w:lineRule="auto"/>
        <w:ind w:left="520" w:right="0" w:hanging="420"/>
        <w:jc w:val="left"/>
        <w:rPr>
          <w:rStyle w:val="15"/>
          <w:sz w:val="21"/>
          <w:szCs w:val="21"/>
        </w:rPr>
      </w:pPr>
      <w:bookmarkStart w:id="241" w:name="_bookmark90"/>
      <w:bookmarkEnd w:id="241"/>
      <w:bookmarkStart w:id="242" w:name="3.2 详细评审"/>
      <w:bookmarkEnd w:id="242"/>
      <w:bookmarkStart w:id="243" w:name="_bookmark90"/>
      <w:bookmarkEnd w:id="243"/>
      <w:r>
        <w:rPr>
          <w:rStyle w:val="15"/>
          <w:sz w:val="21"/>
          <w:szCs w:val="21"/>
        </w:rPr>
        <w:t>详细评审</w:t>
      </w:r>
    </w:p>
    <w:p>
      <w:pPr>
        <w:pStyle w:val="17"/>
        <w:numPr>
          <w:ilvl w:val="2"/>
          <w:numId w:val="15"/>
        </w:numPr>
        <w:tabs>
          <w:tab w:val="left" w:pos="1152"/>
        </w:tabs>
        <w:spacing w:before="126" w:after="0" w:line="240" w:lineRule="auto"/>
        <w:ind w:left="100" w:right="0" w:firstLine="420"/>
        <w:jc w:val="left"/>
        <w:rPr>
          <w:sz w:val="16"/>
        </w:rPr>
      </w:pPr>
      <w:r>
        <w:rPr>
          <w:spacing w:val="-3"/>
          <w:sz w:val="21"/>
        </w:rPr>
        <w:t xml:space="preserve">评标委员会按照本章“评标办法前附表”第 </w:t>
      </w:r>
      <w:r>
        <w:rPr>
          <w:sz w:val="21"/>
        </w:rPr>
        <w:t>2.2</w:t>
      </w:r>
      <w:r>
        <w:rPr>
          <w:spacing w:val="-6"/>
          <w:sz w:val="21"/>
        </w:rPr>
        <w:t xml:space="preserve"> 款规定的量化因素和分值进行打分，并计算出</w:t>
      </w:r>
    </w:p>
    <w:p>
      <w:pPr>
        <w:pStyle w:val="3"/>
        <w:spacing w:before="35"/>
        <w:ind w:left="100"/>
        <w:rPr>
          <w:rStyle w:val="15"/>
          <w:sz w:val="21"/>
          <w:szCs w:val="21"/>
        </w:rPr>
      </w:pPr>
      <w:r>
        <w:rPr>
          <w:rStyle w:val="15"/>
          <w:sz w:val="21"/>
          <w:szCs w:val="21"/>
        </w:rPr>
        <w:t>综合评估得分。</w:t>
      </w:r>
    </w:p>
    <w:p>
      <w:pPr>
        <w:pStyle w:val="17"/>
        <w:numPr>
          <w:ilvl w:val="2"/>
          <w:numId w:val="15"/>
        </w:numPr>
        <w:tabs>
          <w:tab w:val="left" w:pos="1149"/>
        </w:tabs>
        <w:spacing w:before="126" w:after="0" w:line="240" w:lineRule="auto"/>
        <w:ind w:left="1148" w:right="0" w:hanging="628"/>
        <w:jc w:val="left"/>
        <w:rPr>
          <w:rStyle w:val="15"/>
          <w:sz w:val="21"/>
          <w:szCs w:val="21"/>
        </w:rPr>
      </w:pPr>
      <w:r>
        <w:rPr>
          <w:rStyle w:val="15"/>
          <w:sz w:val="21"/>
          <w:szCs w:val="21"/>
        </w:rPr>
        <w:t>评分分值计算保留小数点后两位，小数点后第三位“四舍五入”。</w:t>
      </w:r>
    </w:p>
    <w:p>
      <w:pPr>
        <w:pStyle w:val="17"/>
        <w:numPr>
          <w:ilvl w:val="2"/>
          <w:numId w:val="15"/>
        </w:numPr>
        <w:tabs>
          <w:tab w:val="left" w:pos="1149"/>
        </w:tabs>
        <w:spacing w:before="123" w:after="0" w:line="240" w:lineRule="auto"/>
        <w:ind w:left="1148" w:right="0" w:hanging="628"/>
        <w:jc w:val="left"/>
        <w:rPr>
          <w:rStyle w:val="15"/>
          <w:sz w:val="21"/>
          <w:szCs w:val="21"/>
        </w:rPr>
      </w:pPr>
      <w:r>
        <w:rPr>
          <w:rStyle w:val="15"/>
          <w:sz w:val="21"/>
          <w:szCs w:val="21"/>
        </w:rPr>
        <w:t>投标人综合得分（满分 100 分）=商务标分+技术标分。</w:t>
      </w:r>
    </w:p>
    <w:p>
      <w:pPr>
        <w:pStyle w:val="17"/>
        <w:numPr>
          <w:ilvl w:val="2"/>
          <w:numId w:val="15"/>
        </w:numPr>
        <w:tabs>
          <w:tab w:val="left" w:pos="1152"/>
        </w:tabs>
        <w:spacing w:before="125" w:after="0" w:line="348" w:lineRule="auto"/>
        <w:ind w:left="100" w:right="218" w:firstLine="420"/>
        <w:jc w:val="both"/>
        <w:rPr>
          <w:rStyle w:val="15"/>
          <w:sz w:val="21"/>
          <w:szCs w:val="21"/>
        </w:rPr>
      </w:pPr>
      <w:r>
        <w:rPr>
          <w:rStyle w:val="15"/>
          <w:sz w:val="21"/>
          <w:szCs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17"/>
        <w:numPr>
          <w:ilvl w:val="1"/>
          <w:numId w:val="15"/>
        </w:numPr>
        <w:tabs>
          <w:tab w:val="left" w:pos="520"/>
        </w:tabs>
        <w:spacing w:before="31" w:after="0" w:line="240" w:lineRule="auto"/>
        <w:ind w:left="520" w:right="0" w:hanging="420"/>
        <w:jc w:val="left"/>
        <w:rPr>
          <w:rStyle w:val="15"/>
          <w:sz w:val="21"/>
          <w:szCs w:val="21"/>
        </w:rPr>
      </w:pPr>
      <w:bookmarkStart w:id="244" w:name="3.3 投标文件的澄清和补正"/>
      <w:bookmarkEnd w:id="244"/>
      <w:bookmarkStart w:id="245" w:name="_bookmark91"/>
      <w:bookmarkEnd w:id="245"/>
      <w:bookmarkStart w:id="246" w:name="_bookmark91"/>
      <w:bookmarkEnd w:id="246"/>
      <w:r>
        <w:rPr>
          <w:rStyle w:val="15"/>
          <w:sz w:val="21"/>
          <w:szCs w:val="21"/>
        </w:rPr>
        <w:t>投标文件的澄清和补正</w:t>
      </w:r>
    </w:p>
    <w:p>
      <w:pPr>
        <w:pStyle w:val="17"/>
        <w:numPr>
          <w:ilvl w:val="2"/>
          <w:numId w:val="15"/>
        </w:numPr>
        <w:tabs>
          <w:tab w:val="left" w:pos="1152"/>
        </w:tabs>
        <w:spacing w:before="126" w:after="0" w:line="348" w:lineRule="auto"/>
        <w:ind w:left="100" w:right="115" w:firstLine="420"/>
        <w:jc w:val="left"/>
        <w:rPr>
          <w:rStyle w:val="15"/>
          <w:sz w:val="21"/>
          <w:szCs w:val="21"/>
        </w:rPr>
      </w:pPr>
      <w:r>
        <w:rPr>
          <w:rStyle w:val="15"/>
          <w:sz w:val="21"/>
          <w:szCs w:val="21"/>
        </w:rPr>
        <w:t>在评标过程中，评标委员会可以书面形式要求投标人对所提交的投标文件中不明确的内容进行书面澄清或说明，也可以要求投标人对细微偏差进行补正。澄清、说明和补正必须由评标委员会书面提出、   投标人书面答复，否则无效。评标委员会不接受投标人主动提出的澄清、说明或补正。</w:t>
      </w:r>
    </w:p>
    <w:p>
      <w:pPr>
        <w:pStyle w:val="17"/>
        <w:numPr>
          <w:ilvl w:val="2"/>
          <w:numId w:val="15"/>
        </w:numPr>
        <w:tabs>
          <w:tab w:val="left" w:pos="1152"/>
        </w:tabs>
        <w:spacing w:before="31" w:after="0" w:line="348" w:lineRule="auto"/>
        <w:ind w:left="100" w:right="221" w:firstLine="420"/>
        <w:jc w:val="left"/>
        <w:rPr>
          <w:rStyle w:val="15"/>
          <w:sz w:val="21"/>
          <w:szCs w:val="21"/>
        </w:rPr>
      </w:pPr>
      <w:r>
        <w:rPr>
          <w:rStyle w:val="15"/>
          <w:sz w:val="21"/>
          <w:szCs w:val="21"/>
        </w:rPr>
        <w:t>澄清、说明和补正不得改变投标文件的实质性内容（算术性错误修正的除外）。投标人的书面澄清、说明和补正属于投标文件的组成部分。</w:t>
      </w:r>
    </w:p>
    <w:p>
      <w:pPr>
        <w:pStyle w:val="17"/>
        <w:numPr>
          <w:ilvl w:val="2"/>
          <w:numId w:val="15"/>
        </w:numPr>
        <w:tabs>
          <w:tab w:val="left" w:pos="1152"/>
        </w:tabs>
        <w:spacing w:before="31" w:after="0" w:line="350" w:lineRule="auto"/>
        <w:ind w:left="100" w:right="221" w:firstLine="420"/>
        <w:jc w:val="left"/>
        <w:rPr>
          <w:rStyle w:val="15"/>
          <w:sz w:val="21"/>
          <w:szCs w:val="21"/>
        </w:rPr>
      </w:pPr>
      <w:r>
        <w:rPr>
          <w:rStyle w:val="15"/>
          <w:sz w:val="21"/>
          <w:szCs w:val="21"/>
        </w:rPr>
        <w:t>评标委员会对投标人提交的澄清、说明或补正有疑问的，可以要求投标人进一步澄清、说明或补正，直至满足评标委员会的要求。</w:t>
      </w:r>
    </w:p>
    <w:p>
      <w:pPr>
        <w:pStyle w:val="17"/>
        <w:numPr>
          <w:ilvl w:val="2"/>
          <w:numId w:val="15"/>
        </w:numPr>
        <w:tabs>
          <w:tab w:val="left" w:pos="1152"/>
        </w:tabs>
        <w:spacing w:before="27" w:after="0" w:line="350" w:lineRule="auto"/>
        <w:ind w:left="100" w:right="221" w:firstLine="420"/>
        <w:jc w:val="left"/>
        <w:rPr>
          <w:rStyle w:val="15"/>
          <w:sz w:val="21"/>
          <w:szCs w:val="21"/>
        </w:rPr>
      </w:pPr>
      <w:r>
        <w:rPr>
          <w:rStyle w:val="15"/>
          <w:sz w:val="21"/>
          <w:szCs w:val="21"/>
        </w:rPr>
        <w:t>对投标文件进行澄清、说明和补正时来往的书面材料传递，必须在招投标监督管理部门的监督下，由招标代理机构人员或者交易中心的工作人员进行。</w:t>
      </w:r>
    </w:p>
    <w:p>
      <w:pPr>
        <w:pStyle w:val="17"/>
        <w:numPr>
          <w:ilvl w:val="1"/>
          <w:numId w:val="15"/>
        </w:numPr>
        <w:tabs>
          <w:tab w:val="left" w:pos="520"/>
        </w:tabs>
        <w:spacing w:before="29" w:after="0" w:line="240" w:lineRule="auto"/>
        <w:ind w:left="520" w:right="0" w:hanging="420"/>
        <w:jc w:val="left"/>
        <w:rPr>
          <w:rStyle w:val="15"/>
          <w:sz w:val="21"/>
          <w:szCs w:val="21"/>
        </w:rPr>
      </w:pPr>
      <w:bookmarkStart w:id="247" w:name="_bookmark92"/>
      <w:bookmarkEnd w:id="247"/>
      <w:bookmarkStart w:id="248" w:name="_bookmark92"/>
      <w:bookmarkEnd w:id="248"/>
      <w:bookmarkStart w:id="249" w:name="3.4 评标结果"/>
      <w:bookmarkEnd w:id="249"/>
      <w:r>
        <w:rPr>
          <w:rStyle w:val="15"/>
          <w:sz w:val="21"/>
          <w:szCs w:val="21"/>
        </w:rPr>
        <w:t>评标结果</w:t>
      </w:r>
    </w:p>
    <w:p>
      <w:pPr>
        <w:pStyle w:val="17"/>
        <w:numPr>
          <w:ilvl w:val="2"/>
          <w:numId w:val="15"/>
        </w:numPr>
        <w:tabs>
          <w:tab w:val="left" w:pos="1152"/>
        </w:tabs>
        <w:spacing w:before="123" w:after="0" w:line="350" w:lineRule="auto"/>
        <w:ind w:left="100" w:right="221" w:firstLine="420"/>
        <w:jc w:val="left"/>
        <w:rPr>
          <w:rStyle w:val="15"/>
          <w:sz w:val="21"/>
          <w:szCs w:val="21"/>
        </w:rPr>
      </w:pPr>
      <w:r>
        <w:rPr>
          <w:rStyle w:val="15"/>
          <w:sz w:val="21"/>
          <w:szCs w:val="21"/>
        </w:rPr>
        <w:t>除第二章“投标人须知前附表”授权直接确定中标人外，评标委员会按照本章规定的顺序推荐中标候选人。</w:t>
      </w:r>
    </w:p>
    <w:p>
      <w:pPr>
        <w:pStyle w:val="17"/>
        <w:numPr>
          <w:ilvl w:val="2"/>
          <w:numId w:val="15"/>
        </w:numPr>
        <w:tabs>
          <w:tab w:val="left" w:pos="1149"/>
        </w:tabs>
        <w:spacing w:before="29" w:after="0" w:line="240" w:lineRule="auto"/>
        <w:ind w:left="1148" w:right="0" w:hanging="628"/>
        <w:jc w:val="left"/>
        <w:rPr>
          <w:rStyle w:val="15"/>
          <w:sz w:val="21"/>
          <w:szCs w:val="21"/>
        </w:rPr>
      </w:pPr>
      <w:r>
        <w:rPr>
          <w:rStyle w:val="15"/>
          <w:sz w:val="21"/>
          <w:szCs w:val="21"/>
        </w:rPr>
        <w:t>评标委员会完成评标后，应当向招标人提交书面评标报告。</w:t>
      </w:r>
    </w:p>
    <w:p>
      <w:pPr>
        <w:pStyle w:val="17"/>
        <w:numPr>
          <w:ilvl w:val="2"/>
          <w:numId w:val="15"/>
        </w:numPr>
        <w:tabs>
          <w:tab w:val="left" w:pos="1152"/>
        </w:tabs>
        <w:spacing w:before="123" w:after="0" w:line="240" w:lineRule="auto"/>
        <w:ind w:left="100" w:right="0" w:firstLine="420"/>
        <w:jc w:val="left"/>
        <w:rPr>
          <w:rStyle w:val="15"/>
          <w:sz w:val="21"/>
          <w:szCs w:val="21"/>
        </w:rPr>
      </w:pPr>
      <w:r>
        <w:rPr>
          <w:rStyle w:val="15"/>
          <w:sz w:val="21"/>
          <w:szCs w:val="21"/>
        </w:rPr>
        <w:t>评标委员会应将评标过程中使用的文件、表格以及其他材料即时归还招标人。招标人应当按照</w:t>
      </w:r>
    </w:p>
    <w:p>
      <w:pPr>
        <w:pStyle w:val="3"/>
        <w:spacing w:before="125"/>
        <w:ind w:left="100"/>
        <w:sectPr>
          <w:footerReference r:id="rId8" w:type="default"/>
          <w:pgSz w:w="11910" w:h="16840"/>
          <w:pgMar w:top="1000" w:right="860" w:bottom="780" w:left="980" w:header="808" w:footer="575" w:gutter="0"/>
          <w:pgNumType w:fmt="decimal"/>
        </w:sectPr>
      </w:pPr>
      <w:r>
        <w:rPr>
          <w:rStyle w:val="15"/>
          <w:sz w:val="21"/>
          <w:szCs w:val="21"/>
        </w:rPr>
        <w:t>“投标人须知前附表”规定的封存方式封存评标资料。</w:t>
      </w:r>
    </w:p>
    <w:p>
      <w:pPr>
        <w:pStyle w:val="3"/>
        <w:rPr>
          <w:sz w:val="20"/>
        </w:rPr>
      </w:pPr>
    </w:p>
    <w:p>
      <w:pPr>
        <w:pStyle w:val="3"/>
        <w:spacing w:before="7"/>
        <w:rPr>
          <w:sz w:val="18"/>
        </w:rPr>
      </w:pPr>
    </w:p>
    <w:p>
      <w:pPr>
        <w:pStyle w:val="8"/>
      </w:pPr>
      <w:bookmarkStart w:id="250" w:name="_bookmark93"/>
      <w:bookmarkEnd w:id="250"/>
      <w:bookmarkStart w:id="251" w:name="附件A：评标详细程序"/>
      <w:bookmarkEnd w:id="251"/>
      <w:r>
        <w:t>附件 A：评标详细程序</w:t>
      </w:r>
    </w:p>
    <w:p>
      <w:pPr>
        <w:pStyle w:val="3"/>
        <w:spacing w:before="3"/>
        <w:rPr>
          <w:rFonts w:ascii="黑体"/>
          <w:b/>
          <w:sz w:val="39"/>
        </w:rPr>
      </w:pPr>
    </w:p>
    <w:p>
      <w:pPr>
        <w:pStyle w:val="9"/>
        <w:spacing w:before="0"/>
      </w:pPr>
      <w:bookmarkStart w:id="252" w:name="_bookmark94"/>
      <w:bookmarkEnd w:id="252"/>
      <w:bookmarkStart w:id="253" w:name="A0 总则"/>
      <w:bookmarkEnd w:id="253"/>
      <w:r>
        <w:t>A0 总则</w:t>
      </w:r>
    </w:p>
    <w:p>
      <w:pPr>
        <w:pStyle w:val="3"/>
        <w:spacing w:before="125" w:line="350" w:lineRule="auto"/>
        <w:ind w:left="112" w:right="188" w:firstLine="420"/>
        <w:jc w:val="both"/>
        <w:rPr>
          <w:rStyle w:val="15"/>
        </w:rPr>
      </w:pPr>
      <w:r>
        <w:rPr>
          <w:rStyle w:val="15"/>
        </w:rPr>
        <w:t>本附件是本章“评标办法”的组成部分，是对本章第 3 条所规定的评标程序的进一步细化，评标委员会应当按照本附件所规定的详细程序开展并完成评标工作。</w:t>
      </w:r>
    </w:p>
    <w:p>
      <w:pPr>
        <w:pStyle w:val="9"/>
        <w:spacing w:before="26"/>
        <w:rPr>
          <w:rStyle w:val="15"/>
        </w:rPr>
      </w:pPr>
      <w:bookmarkStart w:id="254" w:name="A1 基本程序"/>
      <w:bookmarkEnd w:id="254"/>
      <w:bookmarkStart w:id="255" w:name="_bookmark95"/>
      <w:bookmarkEnd w:id="255"/>
      <w:r>
        <w:rPr>
          <w:rStyle w:val="15"/>
        </w:rPr>
        <w:t>A1 基本程序</w:t>
      </w:r>
    </w:p>
    <w:p>
      <w:pPr>
        <w:pStyle w:val="3"/>
        <w:spacing w:before="125"/>
        <w:ind w:left="532"/>
        <w:rPr>
          <w:rStyle w:val="15"/>
        </w:rPr>
      </w:pPr>
      <w:r>
        <w:rPr>
          <w:rStyle w:val="15"/>
        </w:rPr>
        <w:t>评标活动将按以下五个步骤进行：</w:t>
      </w:r>
    </w:p>
    <w:p>
      <w:pPr>
        <w:pStyle w:val="3"/>
        <w:spacing w:before="125"/>
        <w:ind w:left="532"/>
        <w:rPr>
          <w:rStyle w:val="15"/>
        </w:rPr>
      </w:pPr>
      <w:r>
        <w:rPr>
          <w:rStyle w:val="15"/>
        </w:rPr>
        <w:t>（1）评标准备；</w:t>
      </w:r>
    </w:p>
    <w:p>
      <w:pPr>
        <w:pStyle w:val="3"/>
        <w:spacing w:before="123"/>
        <w:ind w:left="532"/>
        <w:rPr>
          <w:rStyle w:val="15"/>
        </w:rPr>
      </w:pPr>
      <w:r>
        <w:rPr>
          <w:rStyle w:val="15"/>
        </w:rPr>
        <w:t>（2）初步评审；</w:t>
      </w:r>
    </w:p>
    <w:p>
      <w:pPr>
        <w:pStyle w:val="3"/>
        <w:spacing w:before="126"/>
        <w:ind w:left="532"/>
        <w:rPr>
          <w:rStyle w:val="15"/>
        </w:rPr>
      </w:pPr>
      <w:r>
        <w:rPr>
          <w:rStyle w:val="15"/>
        </w:rPr>
        <w:t>（3）详细评审；</w:t>
      </w:r>
    </w:p>
    <w:p>
      <w:pPr>
        <w:pStyle w:val="3"/>
        <w:spacing w:before="126"/>
        <w:ind w:left="532"/>
        <w:rPr>
          <w:rStyle w:val="15"/>
        </w:rPr>
      </w:pPr>
      <w:r>
        <w:rPr>
          <w:rStyle w:val="15"/>
        </w:rPr>
        <w:t>（4）澄清、说明或补正；</w:t>
      </w:r>
    </w:p>
    <w:p>
      <w:pPr>
        <w:pStyle w:val="3"/>
        <w:spacing w:before="123"/>
        <w:ind w:left="532"/>
        <w:rPr>
          <w:rStyle w:val="15"/>
        </w:rPr>
      </w:pPr>
      <w:r>
        <w:rPr>
          <w:rStyle w:val="15"/>
        </w:rPr>
        <w:t>（5）推荐中标候选人或者直接确定中标人及提交评标报告。</w:t>
      </w:r>
    </w:p>
    <w:p>
      <w:pPr>
        <w:pStyle w:val="9"/>
        <w:spacing w:before="125"/>
      </w:pPr>
      <w:bookmarkStart w:id="256" w:name="A2 评标准备"/>
      <w:bookmarkEnd w:id="256"/>
      <w:bookmarkStart w:id="257" w:name="_bookmark96"/>
      <w:bookmarkEnd w:id="257"/>
      <w:r>
        <w:t>A2 评标准备</w:t>
      </w:r>
    </w:p>
    <w:p>
      <w:pPr>
        <w:pStyle w:val="3"/>
        <w:spacing w:before="125"/>
        <w:ind w:left="112"/>
        <w:rPr>
          <w:rStyle w:val="15"/>
        </w:rPr>
      </w:pPr>
      <w:r>
        <w:rPr>
          <w:rStyle w:val="15"/>
        </w:rPr>
        <w:t>A2.1 评标委员会成员签到</w:t>
      </w:r>
    </w:p>
    <w:p>
      <w:pPr>
        <w:pStyle w:val="3"/>
        <w:spacing w:before="123"/>
        <w:ind w:left="532"/>
        <w:rPr>
          <w:rStyle w:val="15"/>
        </w:rPr>
      </w:pPr>
      <w:r>
        <w:rPr>
          <w:rStyle w:val="15"/>
        </w:rPr>
        <w:t>评标委员会成员到达评标现场时应在签到表上签到以证明其出席。</w:t>
      </w:r>
    </w:p>
    <w:p>
      <w:pPr>
        <w:pStyle w:val="3"/>
        <w:spacing w:before="126"/>
        <w:ind w:left="112"/>
        <w:rPr>
          <w:rStyle w:val="15"/>
        </w:rPr>
      </w:pPr>
      <w:r>
        <w:rPr>
          <w:rStyle w:val="15"/>
        </w:rPr>
        <w:t>A2.2 评标委员会的组建和分工</w:t>
      </w:r>
    </w:p>
    <w:p>
      <w:pPr>
        <w:pStyle w:val="3"/>
        <w:spacing w:before="126" w:line="350" w:lineRule="auto"/>
        <w:ind w:left="112" w:right="188" w:firstLine="420"/>
        <w:jc w:val="both"/>
        <w:rPr>
          <w:rStyle w:val="15"/>
        </w:rPr>
      </w:pPr>
      <w:r>
        <w:rPr>
          <w:rStyle w:val="15"/>
        </w:rPr>
        <w:t>评标委员会应按照投标人须知前附表第 6.1 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采用工程量清单计价时，经济类的评委不应少于评标委员会总数的二分之一（采用电子辅助清标的，经济类专家可适当减少人数和比例）。</w:t>
      </w:r>
    </w:p>
    <w:p>
      <w:pPr>
        <w:pStyle w:val="3"/>
        <w:spacing w:before="27" w:line="350" w:lineRule="auto"/>
        <w:ind w:left="112" w:right="188"/>
        <w:rPr>
          <w:rStyle w:val="15"/>
        </w:rPr>
      </w:pPr>
      <w:r>
        <w:rPr>
          <w:rStyle w:val="15"/>
        </w:rPr>
        <w:t>在本附件的表述中，当评委划分为技术类、经济类时，除标明由技术类或经济类评委实施评审外，其余由评标委员会全体委员进行。</w:t>
      </w:r>
    </w:p>
    <w:p>
      <w:pPr>
        <w:pStyle w:val="3"/>
        <w:spacing w:before="29"/>
        <w:ind w:left="112"/>
        <w:rPr>
          <w:rStyle w:val="15"/>
        </w:rPr>
      </w:pPr>
      <w:r>
        <w:rPr>
          <w:rStyle w:val="15"/>
        </w:rPr>
        <w:t>A2.3 熟悉文件资料</w:t>
      </w:r>
    </w:p>
    <w:p>
      <w:pPr>
        <w:pStyle w:val="3"/>
        <w:spacing w:before="123" w:line="350" w:lineRule="auto"/>
        <w:ind w:left="112" w:right="188" w:firstLine="420"/>
        <w:jc w:val="both"/>
        <w:rPr>
          <w:rStyle w:val="15"/>
        </w:rPr>
      </w:pPr>
      <w:r>
        <w:rPr>
          <w:rStyle w:val="15"/>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3"/>
        <w:spacing w:before="26" w:line="350" w:lineRule="auto"/>
        <w:ind w:left="112" w:right="105" w:firstLine="420"/>
        <w:jc w:val="both"/>
        <w:rPr>
          <w:rStyle w:val="15"/>
        </w:rPr>
      </w:pPr>
      <w:r>
        <w:t>A2.3.2</w:t>
      </w:r>
      <w:r>
        <w:rPr>
          <w:spacing w:val="-1"/>
        </w:rPr>
        <w:t xml:space="preserve"> 招标人或招标代理机构应向评标委员会提供评标所需的信息和数据，包括招标文件、未在开标会上</w:t>
      </w:r>
      <w:r>
        <w:rPr>
          <w:spacing w:val="-17"/>
        </w:rPr>
        <w:t>当场拒绝的各投标文件、开标会记录、招标控制价、工程所在地工程造价管理部门颁布的工程造价信息、定额</w:t>
      </w:r>
      <w:r>
        <w:rPr>
          <w:rStyle w:val="15"/>
        </w:rPr>
        <w:t>（如作为计价依据时）、有关的法律、法规、规章、国家标准以及招标人或评标委员会认为必要的其他信息和数据。</w:t>
      </w:r>
    </w:p>
    <w:p>
      <w:pPr>
        <w:pStyle w:val="9"/>
        <w:spacing w:before="26"/>
      </w:pPr>
      <w:bookmarkStart w:id="258" w:name="_bookmark97"/>
      <w:bookmarkEnd w:id="258"/>
      <w:bookmarkStart w:id="259" w:name="A3 初步评审"/>
      <w:bookmarkEnd w:id="259"/>
      <w:r>
        <w:t>A3 初步评审</w:t>
      </w:r>
    </w:p>
    <w:p>
      <w:pPr>
        <w:pStyle w:val="3"/>
        <w:spacing w:before="125"/>
        <w:ind w:left="112"/>
      </w:pPr>
      <w:r>
        <w:t>A3.1 资格评审</w:t>
      </w:r>
    </w:p>
    <w:p>
      <w:pPr>
        <w:pStyle w:val="3"/>
        <w:spacing w:before="125"/>
        <w:ind w:left="532"/>
        <w:rPr>
          <w:rStyle w:val="15"/>
        </w:rPr>
      </w:pPr>
      <w:r>
        <w:rPr>
          <w:rStyle w:val="15"/>
        </w:rPr>
        <w:t>评标委员会</w:t>
      </w:r>
      <w:r>
        <w:rPr>
          <w:rStyle w:val="15"/>
          <w:rFonts w:hint="eastAsia"/>
          <w:lang w:eastAsia="zh-CN"/>
        </w:rPr>
        <w:t>业主评委</w:t>
      </w:r>
      <w:r>
        <w:rPr>
          <w:rStyle w:val="15"/>
        </w:rPr>
        <w:t>根据“评标办法前附表”中规定的评审因素和评审标准，对投标人的投标文件进行资格评审。</w:t>
      </w:r>
    </w:p>
    <w:p>
      <w:pPr>
        <w:pStyle w:val="3"/>
        <w:spacing w:before="123"/>
        <w:ind w:left="112"/>
        <w:rPr>
          <w:rStyle w:val="15"/>
        </w:rPr>
      </w:pPr>
      <w:r>
        <w:rPr>
          <w:rStyle w:val="15"/>
        </w:rPr>
        <w:t>A3.2 形式评审</w:t>
      </w:r>
    </w:p>
    <w:p>
      <w:pPr>
        <w:pStyle w:val="3"/>
        <w:spacing w:before="125"/>
        <w:ind w:left="532"/>
        <w:rPr>
          <w:rStyle w:val="15"/>
        </w:rPr>
      </w:pPr>
      <w:r>
        <w:rPr>
          <w:rStyle w:val="15"/>
        </w:rPr>
        <w:t>评标委员会根据“评标办法前附表”中规定的评审因素和评审标准，对投标人的投标文件进行形式评审。</w:t>
      </w:r>
    </w:p>
    <w:p>
      <w:pPr>
        <w:pStyle w:val="3"/>
        <w:spacing w:before="125"/>
        <w:ind w:left="112"/>
      </w:pPr>
      <w:r>
        <w:t>A3.3 响应性评审</w:t>
      </w:r>
    </w:p>
    <w:p>
      <w:pPr>
        <w:spacing w:after="0"/>
        <w:sectPr>
          <w:pgSz w:w="11910" w:h="16840"/>
          <w:pgMar w:top="1000" w:right="660" w:bottom="760" w:left="740" w:header="808" w:footer="575" w:gutter="0"/>
          <w:pgNumType w:fmt="decimal"/>
        </w:sectPr>
      </w:pPr>
    </w:p>
    <w:p>
      <w:pPr>
        <w:pStyle w:val="3"/>
        <w:spacing w:before="8"/>
        <w:rPr>
          <w:sz w:val="12"/>
        </w:rPr>
      </w:pPr>
    </w:p>
    <w:p>
      <w:pPr>
        <w:pStyle w:val="3"/>
        <w:spacing w:before="34" w:line="350" w:lineRule="auto"/>
        <w:ind w:left="112" w:right="110" w:firstLine="420"/>
        <w:rPr>
          <w:rStyle w:val="15"/>
        </w:rPr>
      </w:pPr>
      <w:r>
        <w:t>A3.3.1 评标委员会根据“评标办法前附表”中规定的评审因素和评审标准，对投标人的投标文件进行响应</w:t>
      </w:r>
      <w:r>
        <w:rPr>
          <w:rStyle w:val="15"/>
        </w:rPr>
        <w:t>性评审。</w:t>
      </w:r>
    </w:p>
    <w:p>
      <w:pPr>
        <w:pStyle w:val="3"/>
        <w:spacing w:before="28" w:line="348" w:lineRule="auto"/>
        <w:ind w:left="112" w:right="110" w:firstLine="420"/>
        <w:rPr>
          <w:rStyle w:val="15"/>
        </w:rPr>
      </w:pPr>
      <w:r>
        <w:rPr>
          <w:rStyle w:val="15"/>
        </w:rPr>
        <w:t>A3.3.2 投标人投标总价不得超出（不含等于）招标人公布的招标控制价，凡投标人的投标总价超出招标控制价的，该投标人的投标文件不能通过响应性评审。</w:t>
      </w:r>
    </w:p>
    <w:p>
      <w:pPr>
        <w:pStyle w:val="3"/>
        <w:spacing w:before="31"/>
        <w:ind w:left="112"/>
      </w:pPr>
      <w:r>
        <w:t>A3.4 判断投标是否为否决投标</w:t>
      </w:r>
    </w:p>
    <w:p>
      <w:pPr>
        <w:pStyle w:val="3"/>
        <w:spacing w:before="126"/>
        <w:ind w:left="532"/>
      </w:pPr>
      <w:r>
        <w:t>A3.4.1 判断投标人的投标是否为否决投标的全部条件（包括本章第 3.1.2 项中规定的条件），在本章附件</w:t>
      </w:r>
    </w:p>
    <w:p>
      <w:pPr>
        <w:pStyle w:val="3"/>
        <w:spacing w:before="123"/>
        <w:ind w:left="112"/>
      </w:pPr>
      <w:r>
        <w:t>B 中集中列示。</w:t>
      </w:r>
    </w:p>
    <w:p>
      <w:pPr>
        <w:pStyle w:val="3"/>
        <w:spacing w:before="125" w:line="350" w:lineRule="auto"/>
        <w:ind w:left="112" w:right="110" w:firstLine="420"/>
        <w:rPr>
          <w:rStyle w:val="15"/>
        </w:rPr>
      </w:pPr>
      <w:r>
        <w:t>A3.4.2</w:t>
      </w:r>
      <w:r>
        <w:rPr>
          <w:spacing w:val="-10"/>
        </w:rPr>
        <w:t xml:space="preserve"> 本章附件 </w:t>
      </w:r>
      <w:r>
        <w:t>B</w:t>
      </w:r>
      <w:r>
        <w:rPr>
          <w:spacing w:val="-8"/>
        </w:rPr>
        <w:t xml:space="preserve"> 集中列示的否决投标条件不应与第二章“投标人须知”和本章正文部分包</w:t>
      </w:r>
      <w:r>
        <w:rPr>
          <w:rStyle w:val="15"/>
        </w:rPr>
        <w:t>括的否决投标条件抵触，如果出现相互矛盾的情况，以第二章“投标人须知”和本章正文部分的规定为准。</w:t>
      </w:r>
    </w:p>
    <w:p>
      <w:pPr>
        <w:pStyle w:val="3"/>
        <w:spacing w:before="26"/>
        <w:ind w:left="532"/>
      </w:pPr>
      <w:r>
        <w:t>A3.4.3 评标委员会在评标过程中，依据本章附件 B 中规定的否决投标条件判断投标人的投标是否为否决投</w:t>
      </w:r>
    </w:p>
    <w:p>
      <w:pPr>
        <w:pStyle w:val="3"/>
        <w:spacing w:before="125"/>
        <w:ind w:left="112"/>
        <w:rPr>
          <w:rStyle w:val="15"/>
        </w:rPr>
      </w:pPr>
      <w:r>
        <w:rPr>
          <w:rStyle w:val="15"/>
        </w:rPr>
        <w:t>标。</w:t>
      </w:r>
    </w:p>
    <w:p>
      <w:pPr>
        <w:pStyle w:val="3"/>
        <w:spacing w:before="125"/>
        <w:ind w:left="112"/>
        <w:rPr>
          <w:rStyle w:val="15"/>
        </w:rPr>
      </w:pPr>
      <w:r>
        <w:rPr>
          <w:rStyle w:val="15"/>
        </w:rPr>
        <w:t>A3.5 澄清、说明或补正</w:t>
      </w:r>
    </w:p>
    <w:p>
      <w:pPr>
        <w:pStyle w:val="3"/>
        <w:spacing w:before="123" w:line="350" w:lineRule="auto"/>
        <w:ind w:left="112" w:right="108" w:firstLine="420"/>
        <w:jc w:val="both"/>
        <w:rPr>
          <w:rStyle w:val="15"/>
        </w:rPr>
      </w:pPr>
      <w:r>
        <w:rPr>
          <w:rStyle w:val="15"/>
        </w:rPr>
        <w:t>在初步评审过程中，评标委员会应当就投标文件中不明确的内容要求投标人进行澄清、说明或者补正。投标   人应当根据问题澄清通知要求，以书面形式予以澄清、说明或者补正。澄清、说明或补正根据本章第 3.3 款的规定进行。</w:t>
      </w:r>
    </w:p>
    <w:p>
      <w:pPr>
        <w:pStyle w:val="9"/>
        <w:spacing w:before="27"/>
        <w:rPr>
          <w:rStyle w:val="15"/>
        </w:rPr>
      </w:pPr>
      <w:bookmarkStart w:id="260" w:name="A4 详细评审"/>
      <w:bookmarkEnd w:id="260"/>
      <w:bookmarkStart w:id="261" w:name="_bookmark98"/>
      <w:bookmarkEnd w:id="261"/>
      <w:r>
        <w:rPr>
          <w:rStyle w:val="15"/>
        </w:rPr>
        <w:t>A4 详细评审</w:t>
      </w:r>
    </w:p>
    <w:p>
      <w:pPr>
        <w:pStyle w:val="3"/>
        <w:spacing w:before="126"/>
        <w:ind w:left="532"/>
        <w:rPr>
          <w:rStyle w:val="15"/>
        </w:rPr>
      </w:pPr>
      <w:r>
        <w:rPr>
          <w:rStyle w:val="15"/>
        </w:rPr>
        <w:t>只有通过了初步评审、被判定为合格的投标方可进入详细评审。</w:t>
      </w:r>
    </w:p>
    <w:p>
      <w:pPr>
        <w:pStyle w:val="3"/>
        <w:spacing w:before="126"/>
        <w:ind w:left="112"/>
      </w:pPr>
      <w:r>
        <w:t>A4.1 对投标文件进行基础性数据分析和整理工作（清标）</w:t>
      </w:r>
    </w:p>
    <w:p>
      <w:pPr>
        <w:pStyle w:val="3"/>
        <w:spacing w:before="123"/>
        <w:ind w:left="112"/>
      </w:pPr>
      <w:r>
        <w:t>A4.2 技术标评审</w:t>
      </w:r>
    </w:p>
    <w:p>
      <w:pPr>
        <w:pStyle w:val="3"/>
        <w:spacing w:before="125"/>
        <w:ind w:left="532"/>
        <w:rPr>
          <w:rStyle w:val="15"/>
        </w:rPr>
      </w:pPr>
      <w:r>
        <w:rPr>
          <w:rStyle w:val="15"/>
        </w:rPr>
        <w:t>评标委员会的技术组评委根据“评标办法前附表”中规定的评审因素和评审标准，对投标人的技术标进行评</w:t>
      </w:r>
    </w:p>
    <w:p>
      <w:pPr>
        <w:pStyle w:val="3"/>
        <w:spacing w:before="125"/>
        <w:ind w:left="112"/>
        <w:rPr>
          <w:rStyle w:val="15"/>
        </w:rPr>
      </w:pPr>
      <w:r>
        <w:rPr>
          <w:rStyle w:val="15"/>
        </w:rPr>
        <w:t>审。</w:t>
      </w:r>
    </w:p>
    <w:p>
      <w:pPr>
        <w:pStyle w:val="3"/>
        <w:spacing w:before="123"/>
        <w:ind w:left="112"/>
        <w:rPr>
          <w:rStyle w:val="15"/>
        </w:rPr>
      </w:pPr>
      <w:r>
        <w:rPr>
          <w:rStyle w:val="15"/>
        </w:rPr>
        <w:t>A4.3 详细评审的程序</w:t>
      </w:r>
    </w:p>
    <w:p>
      <w:pPr>
        <w:pStyle w:val="3"/>
        <w:spacing w:before="126"/>
        <w:ind w:left="532"/>
        <w:rPr>
          <w:rStyle w:val="15"/>
        </w:rPr>
      </w:pPr>
      <w:r>
        <w:rPr>
          <w:rStyle w:val="15"/>
        </w:rPr>
        <w:t>A4.3.1 评标委员会按照本章第 3.2 款中规定的程序进行详细评审：</w:t>
      </w:r>
    </w:p>
    <w:p>
      <w:pPr>
        <w:pStyle w:val="3"/>
        <w:spacing w:before="126"/>
        <w:ind w:left="532"/>
        <w:rPr>
          <w:rStyle w:val="15"/>
        </w:rPr>
      </w:pPr>
      <w:r>
        <w:rPr>
          <w:rStyle w:val="15"/>
        </w:rPr>
        <w:t>（1）技术标评审（或评分）；</w:t>
      </w:r>
    </w:p>
    <w:p>
      <w:pPr>
        <w:pStyle w:val="3"/>
        <w:spacing w:before="123"/>
        <w:ind w:left="532"/>
        <w:rPr>
          <w:rStyle w:val="15"/>
        </w:rPr>
      </w:pPr>
      <w:r>
        <w:rPr>
          <w:rStyle w:val="15"/>
        </w:rPr>
        <w:t>（2）商务标评审和评分；</w:t>
      </w:r>
    </w:p>
    <w:p>
      <w:pPr>
        <w:pStyle w:val="3"/>
        <w:spacing w:before="125"/>
        <w:ind w:left="532"/>
        <w:rPr>
          <w:rStyle w:val="15"/>
        </w:rPr>
      </w:pPr>
      <w:r>
        <w:rPr>
          <w:rStyle w:val="15"/>
        </w:rPr>
        <w:t>（3）汇总评分结果。</w:t>
      </w:r>
    </w:p>
    <w:p>
      <w:pPr>
        <w:pStyle w:val="3"/>
        <w:spacing w:before="125"/>
        <w:ind w:left="112"/>
        <w:rPr>
          <w:rStyle w:val="15"/>
        </w:rPr>
      </w:pPr>
      <w:r>
        <w:rPr>
          <w:rStyle w:val="15"/>
        </w:rPr>
        <w:t>A4.4 技术标评审（或评分）</w:t>
      </w:r>
    </w:p>
    <w:p>
      <w:pPr>
        <w:pStyle w:val="3"/>
        <w:spacing w:before="123" w:line="350" w:lineRule="auto"/>
        <w:ind w:left="112" w:right="110" w:firstLine="420"/>
        <w:rPr>
          <w:rStyle w:val="15"/>
        </w:rPr>
      </w:pPr>
      <w:r>
        <w:rPr>
          <w:rStyle w:val="15"/>
        </w:rPr>
        <w:t>按照“评标办法前附表”中规定的各项评分因素、评审标准，由技术组评委对施工组织设计进行评审（或评   分）。</w:t>
      </w:r>
    </w:p>
    <w:p>
      <w:pPr>
        <w:pStyle w:val="3"/>
        <w:spacing w:before="29"/>
        <w:ind w:left="112"/>
      </w:pPr>
      <w:r>
        <w:t>A4.5 商务标评审和评分</w:t>
      </w:r>
    </w:p>
    <w:p>
      <w:pPr>
        <w:pStyle w:val="3"/>
        <w:spacing w:before="123"/>
        <w:ind w:left="532"/>
      </w:pPr>
      <w:r>
        <w:t>A4.5.1 经济组评委按照“评标办法前附表”中规定的方法计算“经评审的合理低价”。</w:t>
      </w:r>
    </w:p>
    <w:p>
      <w:pPr>
        <w:pStyle w:val="3"/>
        <w:spacing w:before="126" w:line="350" w:lineRule="auto"/>
        <w:ind w:left="112" w:right="110" w:firstLine="420"/>
      </w:pPr>
      <w:r>
        <w:t>A4.5.2 按照“评标办法前附表”中规定的方法，计算各个已通过了初步评审和技术标评审的投标人商务标</w:t>
      </w:r>
      <w:r>
        <w:rPr>
          <w:w w:val="95"/>
        </w:rPr>
        <w:t>得分。</w:t>
      </w:r>
    </w:p>
    <w:p>
      <w:pPr>
        <w:pStyle w:val="3"/>
        <w:spacing w:before="27"/>
        <w:ind w:left="112"/>
      </w:pPr>
      <w:r>
        <w:t>A4.6 判断投标报价是否低于成本</w:t>
      </w:r>
    </w:p>
    <w:p>
      <w:pPr>
        <w:pStyle w:val="3"/>
        <w:spacing w:before="126"/>
        <w:ind w:left="532"/>
        <w:rPr>
          <w:rStyle w:val="15"/>
        </w:rPr>
      </w:pPr>
      <w:r>
        <w:rPr>
          <w:rStyle w:val="15"/>
        </w:rPr>
        <w:t>由评标委员会的经济组评委认定投标人是否以低于成本竞标。</w:t>
      </w:r>
    </w:p>
    <w:p>
      <w:pPr>
        <w:pStyle w:val="3"/>
        <w:spacing w:before="126"/>
        <w:ind w:left="112"/>
      </w:pPr>
      <w:r>
        <w:t>A4.7 澄清、说明或补正</w:t>
      </w:r>
    </w:p>
    <w:p>
      <w:pPr>
        <w:spacing w:after="0"/>
        <w:sectPr>
          <w:pgSz w:w="11910" w:h="16840"/>
          <w:pgMar w:top="1000" w:right="740" w:bottom="760" w:left="740" w:header="808" w:footer="575" w:gutter="0"/>
          <w:pgNumType w:fmt="decimal"/>
        </w:sectPr>
      </w:pPr>
    </w:p>
    <w:p>
      <w:pPr>
        <w:pStyle w:val="3"/>
        <w:spacing w:before="8"/>
        <w:rPr>
          <w:sz w:val="12"/>
        </w:rPr>
      </w:pPr>
    </w:p>
    <w:p>
      <w:pPr>
        <w:pStyle w:val="3"/>
        <w:spacing w:before="34" w:line="350" w:lineRule="auto"/>
        <w:ind w:left="112" w:right="208" w:firstLine="420"/>
        <w:jc w:val="both"/>
        <w:rPr>
          <w:rStyle w:val="15"/>
        </w:rPr>
      </w:pPr>
      <w:r>
        <w:rPr>
          <w:rStyle w:val="15"/>
        </w:rPr>
        <w:t>在评审过程中，评标委员会应当就投标文件中不明确的内容要求投标人进行澄清、说明或者补正。投标人应当根据问题澄清通知要求，以书面形式予以澄清、说明或者补正。澄清、说明或补正根据本章第 3.3 款的规定进行。</w:t>
      </w:r>
    </w:p>
    <w:p>
      <w:pPr>
        <w:pStyle w:val="3"/>
        <w:spacing w:before="26"/>
        <w:ind w:left="112"/>
      </w:pPr>
      <w:r>
        <w:t>A4.8 汇总评分结果</w:t>
      </w:r>
    </w:p>
    <w:p>
      <w:pPr>
        <w:pStyle w:val="3"/>
        <w:spacing w:before="125" w:line="350" w:lineRule="auto"/>
        <w:ind w:left="112" w:right="210" w:firstLine="420"/>
        <w:rPr>
          <w:rStyle w:val="15"/>
        </w:rPr>
      </w:pPr>
      <w:r>
        <w:rPr>
          <w:rStyle w:val="15"/>
        </w:rPr>
        <w:t>详细评审工作全部结束后，汇总评标委员会各成员的详细评审评分结果，并按照详细评审最终得分由高至低的次序对投标人进行排序。</w:t>
      </w:r>
    </w:p>
    <w:p>
      <w:pPr>
        <w:pStyle w:val="9"/>
        <w:spacing w:before="26"/>
      </w:pPr>
      <w:bookmarkStart w:id="262" w:name="_bookmark99"/>
      <w:bookmarkEnd w:id="262"/>
      <w:bookmarkStart w:id="263" w:name="A5推荐中标候选人或者直接确定中标人"/>
      <w:bookmarkEnd w:id="263"/>
      <w:r>
        <w:t>A5 推荐中标候选人或者直接确定中标人</w:t>
      </w:r>
    </w:p>
    <w:p>
      <w:pPr>
        <w:pStyle w:val="3"/>
        <w:spacing w:before="125"/>
        <w:ind w:left="112"/>
      </w:pPr>
      <w:r>
        <w:t>A5.1 推荐中标候选人</w:t>
      </w:r>
    </w:p>
    <w:p>
      <w:pPr>
        <w:pStyle w:val="3"/>
        <w:spacing w:before="125" w:line="348" w:lineRule="auto"/>
        <w:ind w:left="112" w:right="102" w:firstLine="420"/>
        <w:rPr>
          <w:rStyle w:val="15"/>
        </w:rPr>
      </w:pPr>
      <w:r>
        <w:t>A5.1.1</w:t>
      </w:r>
      <w:r>
        <w:rPr>
          <w:spacing w:val="-12"/>
        </w:rPr>
        <w:t xml:space="preserve"> 除第二章“投标人须知”前附表第 </w:t>
      </w:r>
      <w:r>
        <w:t>7.1</w:t>
      </w:r>
      <w:r>
        <w:rPr>
          <w:spacing w:val="-10"/>
        </w:rPr>
        <w:t xml:space="preserve"> 款授权直接确定中标人外，评标委员会在推荐中标候选人时，</w:t>
      </w:r>
      <w:r>
        <w:rPr>
          <w:rStyle w:val="15"/>
        </w:rPr>
        <w:t xml:space="preserve"> 应遵照以下原则：</w:t>
      </w:r>
    </w:p>
    <w:p>
      <w:pPr>
        <w:pStyle w:val="3"/>
        <w:spacing w:before="31" w:line="350" w:lineRule="auto"/>
        <w:ind w:left="112" w:right="210" w:firstLine="420"/>
        <w:rPr>
          <w:rStyle w:val="15"/>
        </w:rPr>
      </w:pPr>
      <w:r>
        <w:rPr>
          <w:rStyle w:val="15"/>
        </w:rPr>
        <w:t>（1）评标委员会按照最终得分由高至低的次序排列，并根据第二章“投标人须知”前附表第 7.1 款规定及本章的规定推荐中标候选人。</w:t>
      </w:r>
    </w:p>
    <w:p>
      <w:pPr>
        <w:pStyle w:val="3"/>
        <w:spacing w:before="26" w:line="350" w:lineRule="auto"/>
        <w:ind w:left="112" w:right="102" w:firstLine="420"/>
        <w:rPr>
          <w:rStyle w:val="15"/>
        </w:rPr>
      </w:pPr>
      <w:r>
        <w:rPr>
          <w:rStyle w:val="15"/>
        </w:rPr>
        <w:t>（2）如果评标委员会根据本章的规定作否决投标处理后，有效投标不足三个，且少于第二章“投标人须知”   前附表第 7.1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3"/>
        <w:spacing w:before="28" w:line="350" w:lineRule="auto"/>
        <w:ind w:left="112" w:right="210" w:firstLine="420"/>
        <w:rPr>
          <w:rStyle w:val="15"/>
        </w:rPr>
      </w:pPr>
      <w:r>
        <w:rPr>
          <w:rStyle w:val="15"/>
        </w:rPr>
        <w:t>A5.1.2 投标截止时间前递交投标文件的投标人数量少于三个或者所有投标被否决的，招标人应当依法重新招标。</w:t>
      </w:r>
    </w:p>
    <w:p>
      <w:pPr>
        <w:pStyle w:val="3"/>
        <w:spacing w:before="26"/>
        <w:ind w:left="112"/>
        <w:rPr>
          <w:rStyle w:val="15"/>
        </w:rPr>
      </w:pPr>
      <w:r>
        <w:rPr>
          <w:rStyle w:val="15"/>
        </w:rPr>
        <w:t>A5.2 直接确定中标人</w:t>
      </w:r>
    </w:p>
    <w:p>
      <w:pPr>
        <w:pStyle w:val="3"/>
        <w:spacing w:before="125" w:line="350" w:lineRule="auto"/>
        <w:ind w:left="112" w:right="208" w:firstLine="420"/>
        <w:rPr>
          <w:rStyle w:val="15"/>
        </w:rPr>
      </w:pPr>
      <w:r>
        <w:rPr>
          <w:rStyle w:val="15"/>
        </w:rPr>
        <w:t>第二章“投标人须知”前附表授权评标委员会直接确定中标人的，评标委员会按照最终得分由高至低的次序   排列，按照本章的规定直接确定中标人。</w:t>
      </w:r>
    </w:p>
    <w:p>
      <w:pPr>
        <w:pStyle w:val="3"/>
        <w:spacing w:before="26"/>
        <w:ind w:left="112"/>
      </w:pPr>
      <w:r>
        <w:t>A5.3 编制评标报告</w:t>
      </w:r>
    </w:p>
    <w:p>
      <w:pPr>
        <w:pStyle w:val="3"/>
        <w:spacing w:before="125" w:line="350" w:lineRule="auto"/>
        <w:ind w:left="112" w:right="208" w:firstLine="420"/>
        <w:rPr>
          <w:rStyle w:val="15"/>
        </w:rPr>
      </w:pPr>
      <w:r>
        <w:rPr>
          <w:rStyle w:val="15"/>
        </w:rPr>
        <w:t>评标委员会向招标人提交评标报告。评标报告应当由全体评标委员会成员签字，并于评标结束时抄送有关行政监督部门。评标报告应当包括但不限于以下内容：</w:t>
      </w:r>
    </w:p>
    <w:p>
      <w:pPr>
        <w:pStyle w:val="3"/>
        <w:spacing w:before="26"/>
        <w:ind w:left="532"/>
        <w:rPr>
          <w:rStyle w:val="15"/>
        </w:rPr>
      </w:pPr>
      <w:r>
        <w:rPr>
          <w:rStyle w:val="15"/>
        </w:rPr>
        <w:t>（1）基本情况和数据表；</w:t>
      </w:r>
    </w:p>
    <w:p>
      <w:pPr>
        <w:pStyle w:val="3"/>
        <w:spacing w:before="125"/>
        <w:ind w:left="532"/>
        <w:rPr>
          <w:rStyle w:val="15"/>
        </w:rPr>
      </w:pPr>
      <w:r>
        <w:rPr>
          <w:rStyle w:val="15"/>
        </w:rPr>
        <w:t>（2）评标委员会成员名单；</w:t>
      </w:r>
    </w:p>
    <w:p>
      <w:pPr>
        <w:pStyle w:val="3"/>
        <w:spacing w:before="125"/>
        <w:ind w:left="532"/>
        <w:rPr>
          <w:rStyle w:val="15"/>
        </w:rPr>
      </w:pPr>
      <w:r>
        <w:rPr>
          <w:rStyle w:val="15"/>
        </w:rPr>
        <w:t>（3）开标记录；</w:t>
      </w:r>
    </w:p>
    <w:p>
      <w:pPr>
        <w:pStyle w:val="3"/>
        <w:spacing w:before="123"/>
        <w:ind w:left="532"/>
        <w:rPr>
          <w:rStyle w:val="15"/>
        </w:rPr>
      </w:pPr>
      <w:r>
        <w:rPr>
          <w:rStyle w:val="15"/>
        </w:rPr>
        <w:t>（4）符合要求的投标一览表；</w:t>
      </w:r>
    </w:p>
    <w:p>
      <w:pPr>
        <w:pStyle w:val="3"/>
        <w:spacing w:before="125"/>
        <w:ind w:left="532"/>
        <w:rPr>
          <w:rStyle w:val="15"/>
        </w:rPr>
      </w:pPr>
      <w:r>
        <w:rPr>
          <w:rStyle w:val="15"/>
        </w:rPr>
        <w:t>（5）否决投标情况说明；</w:t>
      </w:r>
    </w:p>
    <w:p>
      <w:pPr>
        <w:pStyle w:val="3"/>
        <w:spacing w:before="125"/>
        <w:ind w:left="532"/>
        <w:rPr>
          <w:rStyle w:val="15"/>
        </w:rPr>
      </w:pPr>
      <w:r>
        <w:rPr>
          <w:rStyle w:val="15"/>
        </w:rPr>
        <w:t>（6）评标标准、评标方法或者评标因素一览表；</w:t>
      </w:r>
    </w:p>
    <w:p>
      <w:pPr>
        <w:pStyle w:val="3"/>
        <w:spacing w:before="123" w:line="350" w:lineRule="auto"/>
        <w:ind w:left="112" w:right="102" w:firstLine="420"/>
        <w:rPr>
          <w:rStyle w:val="15"/>
        </w:rPr>
      </w:pPr>
      <w:r>
        <w:rPr>
          <w:rStyle w:val="15"/>
        </w:rPr>
        <w:t>（7）经评审的价格一览表（包括评标委员会在评标过程中所形成的所有记载评标结果、结论的表格、说明、记录等文件）；</w:t>
      </w:r>
    </w:p>
    <w:p>
      <w:pPr>
        <w:pStyle w:val="3"/>
        <w:spacing w:before="29"/>
        <w:ind w:left="532"/>
        <w:rPr>
          <w:rStyle w:val="15"/>
        </w:rPr>
      </w:pPr>
      <w:r>
        <w:rPr>
          <w:rStyle w:val="15"/>
        </w:rPr>
        <w:t>（8）经评审的投标人排序；</w:t>
      </w:r>
    </w:p>
    <w:p>
      <w:pPr>
        <w:pStyle w:val="3"/>
        <w:spacing w:before="123" w:line="350" w:lineRule="auto"/>
        <w:ind w:left="112" w:right="209" w:firstLine="420"/>
        <w:rPr>
          <w:rStyle w:val="15"/>
        </w:rPr>
      </w:pPr>
      <w:r>
        <w:rPr>
          <w:rStyle w:val="15"/>
        </w:rPr>
        <w:t>（9）推荐的中标候选人名单（如果第二章“投标人须知”前附表授权评标委员会直接确定中标人，则为“确定的中标人”）与签订合同前要处理的事宜；</w:t>
      </w:r>
    </w:p>
    <w:p>
      <w:pPr>
        <w:pStyle w:val="3"/>
        <w:spacing w:before="29"/>
        <w:ind w:left="532"/>
        <w:rPr>
          <w:rStyle w:val="15"/>
        </w:rPr>
      </w:pPr>
      <w:r>
        <w:rPr>
          <w:rStyle w:val="15"/>
        </w:rPr>
        <w:t>（10）澄清、说明、补正事项纪要。</w:t>
      </w:r>
    </w:p>
    <w:p>
      <w:pPr>
        <w:spacing w:after="0"/>
        <w:rPr>
          <w:rStyle w:val="15"/>
        </w:rPr>
        <w:sectPr>
          <w:pgSz w:w="11910" w:h="16840"/>
          <w:pgMar w:top="1000" w:right="640" w:bottom="760" w:left="740" w:header="808" w:footer="575" w:gutter="0"/>
          <w:pgNumType w:fmt="decimal"/>
        </w:sectPr>
      </w:pPr>
    </w:p>
    <w:p>
      <w:pPr>
        <w:pStyle w:val="3"/>
        <w:spacing w:before="8"/>
        <w:rPr>
          <w:sz w:val="12"/>
        </w:rPr>
      </w:pPr>
    </w:p>
    <w:p>
      <w:pPr>
        <w:pStyle w:val="9"/>
        <w:spacing w:before="34"/>
      </w:pPr>
      <w:bookmarkStart w:id="264" w:name="A6 特殊情况的处置程序"/>
      <w:bookmarkEnd w:id="264"/>
      <w:bookmarkStart w:id="265" w:name="_bookmark100"/>
      <w:bookmarkEnd w:id="265"/>
      <w:r>
        <w:t>A6 特殊情况的处置程序</w:t>
      </w:r>
    </w:p>
    <w:p>
      <w:pPr>
        <w:pStyle w:val="3"/>
        <w:spacing w:before="125"/>
        <w:ind w:left="112"/>
        <w:rPr>
          <w:rStyle w:val="15"/>
        </w:rPr>
      </w:pPr>
      <w:r>
        <w:rPr>
          <w:rStyle w:val="15"/>
        </w:rPr>
        <w:t>A6.1 暗标评审的评审程序规定（适用于对施工组织设计进行暗标评审的）</w:t>
      </w:r>
    </w:p>
    <w:p>
      <w:pPr>
        <w:pStyle w:val="3"/>
        <w:spacing w:before="125"/>
        <w:ind w:left="112"/>
        <w:rPr>
          <w:rStyle w:val="15"/>
        </w:rPr>
      </w:pPr>
      <w:r>
        <w:rPr>
          <w:rStyle w:val="15"/>
        </w:rPr>
        <w:t>A6.2 关于评标活动暂停</w:t>
      </w:r>
    </w:p>
    <w:p>
      <w:pPr>
        <w:pStyle w:val="3"/>
        <w:spacing w:before="123" w:line="350" w:lineRule="auto"/>
        <w:ind w:left="112" w:right="110" w:firstLine="420"/>
        <w:rPr>
          <w:rStyle w:val="15"/>
        </w:rPr>
      </w:pPr>
      <w:r>
        <w:rPr>
          <w:rStyle w:val="15"/>
        </w:rPr>
        <w:t>A6.2.1 评标委员会应当执行连续评标的原则，按评标办法中规定的程序、内容、方法、标准完成全部评标工作。只有发生不可抗力导致评标工作无法继续时，评标活动方可暂停。</w:t>
      </w:r>
    </w:p>
    <w:p>
      <w:pPr>
        <w:pStyle w:val="3"/>
        <w:spacing w:before="29" w:line="348" w:lineRule="auto"/>
        <w:ind w:left="112" w:right="110" w:firstLine="420"/>
        <w:rPr>
          <w:rStyle w:val="15"/>
        </w:rPr>
      </w:pPr>
      <w:r>
        <w:rPr>
          <w:rStyle w:val="15"/>
        </w:rPr>
        <w:t>A6.2.2 发生评标暂停情况时，评标委员会应当封存全部投标文件和评标记录，待不可抗力的影响结束且具备继续评标的条件时，由原评标委员会继续评标。</w:t>
      </w:r>
    </w:p>
    <w:p>
      <w:pPr>
        <w:pStyle w:val="3"/>
        <w:spacing w:before="31"/>
        <w:ind w:left="112"/>
        <w:rPr>
          <w:rStyle w:val="15"/>
        </w:rPr>
      </w:pPr>
      <w:r>
        <w:rPr>
          <w:rStyle w:val="15"/>
        </w:rPr>
        <w:t>A6.3 关于评标中途更换评委</w:t>
      </w:r>
    </w:p>
    <w:p>
      <w:pPr>
        <w:pStyle w:val="3"/>
        <w:spacing w:before="126"/>
        <w:ind w:left="532"/>
        <w:rPr>
          <w:rStyle w:val="15"/>
        </w:rPr>
      </w:pPr>
      <w:r>
        <w:rPr>
          <w:rStyle w:val="15"/>
        </w:rPr>
        <w:t>A6.3.1 除非发生下列情况之一，评标委员会成员不得在评标中途更换：</w:t>
      </w:r>
    </w:p>
    <w:p>
      <w:pPr>
        <w:pStyle w:val="3"/>
        <w:spacing w:before="123"/>
        <w:ind w:left="532"/>
        <w:rPr>
          <w:rStyle w:val="15"/>
        </w:rPr>
      </w:pPr>
      <w:r>
        <w:rPr>
          <w:rStyle w:val="15"/>
        </w:rPr>
        <w:t>（1）因不可抗拒的客观原因，不能到场或需在评标中途退出评标活动。</w:t>
      </w:r>
    </w:p>
    <w:p>
      <w:pPr>
        <w:pStyle w:val="3"/>
        <w:spacing w:before="125"/>
        <w:ind w:left="532"/>
        <w:rPr>
          <w:rStyle w:val="15"/>
        </w:rPr>
      </w:pPr>
      <w:r>
        <w:rPr>
          <w:rStyle w:val="15"/>
        </w:rPr>
        <w:t>（2）根据法律法规规定，某个或某几个评标委员会成员需要回避。</w:t>
      </w:r>
    </w:p>
    <w:p>
      <w:pPr>
        <w:pStyle w:val="3"/>
        <w:spacing w:before="125" w:line="348" w:lineRule="auto"/>
        <w:ind w:left="112" w:right="110" w:firstLine="420"/>
        <w:rPr>
          <w:rStyle w:val="15"/>
        </w:rPr>
      </w:pPr>
      <w:r>
        <w:rPr>
          <w:rStyle w:val="15"/>
        </w:rPr>
        <w:t>A6.3.2 退出评标的评标委员会成员，其已完成的评标行为无效。由招标人根据本招标文件规定的评标委员会成员生产方式另行确定替代者进行评标。</w:t>
      </w:r>
    </w:p>
    <w:p>
      <w:pPr>
        <w:pStyle w:val="3"/>
        <w:spacing w:before="31"/>
        <w:ind w:left="112"/>
        <w:rPr>
          <w:rStyle w:val="15"/>
        </w:rPr>
      </w:pPr>
      <w:r>
        <w:rPr>
          <w:rStyle w:val="15"/>
        </w:rPr>
        <w:t>A6.4 记名投票</w:t>
      </w:r>
    </w:p>
    <w:p>
      <w:pPr>
        <w:pStyle w:val="3"/>
        <w:spacing w:before="126" w:line="348" w:lineRule="auto"/>
        <w:ind w:left="112" w:right="110" w:firstLine="420"/>
        <w:rPr>
          <w:rStyle w:val="15"/>
        </w:rPr>
      </w:pPr>
      <w:r>
        <w:rPr>
          <w:rStyle w:val="15"/>
        </w:rPr>
        <w:t>需评标委员会就某项定性的评审结论做出表决的，由评标委员会全体成员按照少数服从多数的原则，以记名   投票方式表决。</w:t>
      </w:r>
    </w:p>
    <w:p>
      <w:pPr>
        <w:pStyle w:val="9"/>
        <w:spacing w:before="31"/>
      </w:pPr>
      <w:bookmarkStart w:id="266" w:name="A7 补充条款"/>
      <w:bookmarkEnd w:id="266"/>
      <w:bookmarkStart w:id="267" w:name="_bookmark101"/>
      <w:bookmarkEnd w:id="267"/>
      <w:r>
        <w:t>A7 补充条款</w:t>
      </w:r>
    </w:p>
    <w:p>
      <w:pPr>
        <w:pStyle w:val="3"/>
        <w:spacing w:before="125"/>
        <w:ind w:left="112"/>
      </w:pPr>
      <w:r>
        <w:t>……</w:t>
      </w:r>
    </w:p>
    <w:p>
      <w:pPr>
        <w:spacing w:after="0"/>
        <w:sectPr>
          <w:pgSz w:w="11910" w:h="16840"/>
          <w:pgMar w:top="1000" w:right="740" w:bottom="760" w:left="740" w:header="808" w:footer="575" w:gutter="0"/>
          <w:pgNumType w:fmt="decimal"/>
        </w:sectPr>
      </w:pPr>
    </w:p>
    <w:p>
      <w:pPr>
        <w:pStyle w:val="3"/>
        <w:rPr>
          <w:sz w:val="20"/>
        </w:rPr>
      </w:pPr>
    </w:p>
    <w:p>
      <w:pPr>
        <w:pStyle w:val="3"/>
        <w:spacing w:before="7"/>
        <w:rPr>
          <w:sz w:val="18"/>
        </w:rPr>
      </w:pPr>
    </w:p>
    <w:p>
      <w:pPr>
        <w:pStyle w:val="8"/>
      </w:pPr>
      <w:bookmarkStart w:id="268" w:name="附件B：否决投标条件"/>
      <w:bookmarkEnd w:id="268"/>
      <w:bookmarkStart w:id="269" w:name="_bookmark102"/>
      <w:bookmarkEnd w:id="269"/>
      <w:r>
        <w:t>附件 B：否决投标条件</w:t>
      </w:r>
    </w:p>
    <w:p>
      <w:pPr>
        <w:pStyle w:val="3"/>
        <w:spacing w:before="3"/>
        <w:rPr>
          <w:rFonts w:ascii="黑体"/>
          <w:b/>
          <w:sz w:val="39"/>
        </w:rPr>
      </w:pPr>
    </w:p>
    <w:p>
      <w:pPr>
        <w:pStyle w:val="9"/>
        <w:spacing w:before="0"/>
      </w:pPr>
      <w:r>
        <w:t>B0 总则</w:t>
      </w:r>
    </w:p>
    <w:p>
      <w:pPr>
        <w:pStyle w:val="3"/>
        <w:spacing w:before="125" w:line="348" w:lineRule="auto"/>
        <w:ind w:left="112" w:right="208" w:firstLine="420"/>
        <w:jc w:val="both"/>
        <w:rPr>
          <w:rStyle w:val="15"/>
        </w:rPr>
      </w:pPr>
      <w:r>
        <w:rPr>
          <w:rStyle w:val="15"/>
        </w:rPr>
        <w:t>本附件所集中列示的否决投标条件，是本章“评标办法”的组成部分，是对第二章“投标人须知”和本章正   文部分所规定的否决投标条件的总结和补充，如果出现相互矛盾的情况，以第二章“投标人须知”和本章正文部分的规定为准。</w:t>
      </w:r>
    </w:p>
    <w:p>
      <w:pPr>
        <w:pStyle w:val="9"/>
        <w:spacing w:before="31"/>
        <w:rPr>
          <w:rStyle w:val="15"/>
        </w:rPr>
      </w:pPr>
      <w:r>
        <w:rPr>
          <w:rStyle w:val="15"/>
        </w:rPr>
        <w:t>B1 否决投标条件</w:t>
      </w:r>
    </w:p>
    <w:p>
      <w:pPr>
        <w:pStyle w:val="3"/>
        <w:spacing w:before="126"/>
        <w:ind w:left="532"/>
        <w:rPr>
          <w:rStyle w:val="15"/>
        </w:rPr>
      </w:pPr>
      <w:r>
        <w:rPr>
          <w:rStyle w:val="15"/>
        </w:rPr>
        <w:t>投标人或其投标文件有下列情形之一的，其投标作否决投标处理：</w:t>
      </w:r>
    </w:p>
    <w:p>
      <w:pPr>
        <w:pStyle w:val="3"/>
        <w:spacing w:before="123"/>
        <w:ind w:left="532"/>
        <w:rPr>
          <w:rStyle w:val="15"/>
        </w:rPr>
      </w:pPr>
      <w:r>
        <w:rPr>
          <w:rStyle w:val="15"/>
        </w:rPr>
        <w:t>B1.1 有第二章“投标人须知”第 1.4.3 项规定的任何一种情形的；</w:t>
      </w:r>
    </w:p>
    <w:p>
      <w:pPr>
        <w:pStyle w:val="3"/>
        <w:spacing w:before="125"/>
        <w:ind w:left="532"/>
        <w:rPr>
          <w:rStyle w:val="15"/>
        </w:rPr>
      </w:pPr>
      <w:r>
        <w:rPr>
          <w:rStyle w:val="15"/>
        </w:rPr>
        <w:t>B1.2 有串通投标或弄虚作假或有其他违法行为的；</w:t>
      </w:r>
    </w:p>
    <w:p>
      <w:pPr>
        <w:pStyle w:val="3"/>
        <w:spacing w:before="125"/>
        <w:ind w:left="532"/>
      </w:pPr>
      <w:r>
        <w:t>B1.3 不按评标委员会要求澄清、说明或补正的；</w:t>
      </w:r>
    </w:p>
    <w:p>
      <w:pPr>
        <w:pStyle w:val="3"/>
        <w:spacing w:before="123" w:line="350" w:lineRule="auto"/>
        <w:ind w:left="112" w:right="102" w:firstLine="420"/>
        <w:rPr>
          <w:rStyle w:val="15"/>
        </w:rPr>
      </w:pPr>
      <w:r>
        <w:t>B1.4</w:t>
      </w:r>
      <w:r>
        <w:rPr>
          <w:spacing w:val="-11"/>
        </w:rPr>
        <w:t xml:space="preserve"> 在资格评审、形式评审、响应性评审中，评标委员会认定投标人的投标文件不符合“评标办法前附表” </w:t>
      </w:r>
      <w:r>
        <w:rPr>
          <w:spacing w:val="-11"/>
          <w:w w:val="95"/>
        </w:rPr>
        <w:t>中</w:t>
      </w:r>
      <w:r>
        <w:rPr>
          <w:rStyle w:val="15"/>
        </w:rPr>
        <w:t>规定的任何一项评审标准的；</w:t>
      </w:r>
    </w:p>
    <w:p>
      <w:pPr>
        <w:pStyle w:val="3"/>
        <w:spacing w:before="29"/>
        <w:ind w:left="532"/>
        <w:rPr>
          <w:rStyle w:val="15"/>
        </w:rPr>
      </w:pPr>
      <w:r>
        <w:rPr>
          <w:rStyle w:val="15"/>
        </w:rPr>
        <w:t>B1.5 在技术标评审中，评标委员会认定投标人的投标未能通过此项评审的；</w:t>
      </w:r>
    </w:p>
    <w:p>
      <w:pPr>
        <w:pStyle w:val="3"/>
        <w:spacing w:before="123"/>
        <w:ind w:left="532"/>
        <w:rPr>
          <w:rStyle w:val="15"/>
        </w:rPr>
      </w:pPr>
      <w:r>
        <w:rPr>
          <w:rStyle w:val="15"/>
        </w:rPr>
        <w:t>B1.6 不按第二章投标须知前附表第 3.1.1 条内容提供资料的；</w:t>
      </w:r>
    </w:p>
    <w:p>
      <w:pPr>
        <w:pStyle w:val="3"/>
        <w:spacing w:before="126"/>
        <w:ind w:left="532"/>
        <w:rPr>
          <w:rStyle w:val="15"/>
        </w:rPr>
      </w:pPr>
      <w:r>
        <w:rPr>
          <w:rStyle w:val="15"/>
        </w:rPr>
        <w:t>B1.7 由委托代理人签字或盖章，但未随投标文件一起提交有效的“授权委托书”原件的；</w:t>
      </w:r>
    </w:p>
    <w:p>
      <w:pPr>
        <w:pStyle w:val="3"/>
        <w:spacing w:before="126"/>
        <w:ind w:left="532"/>
        <w:rPr>
          <w:rStyle w:val="15"/>
        </w:rPr>
      </w:pPr>
      <w:r>
        <w:rPr>
          <w:rStyle w:val="15"/>
        </w:rPr>
        <w:t>B1.8 投标文件的关键内容字迹模糊、辨认不清的；</w:t>
      </w:r>
    </w:p>
    <w:p>
      <w:pPr>
        <w:pStyle w:val="3"/>
        <w:spacing w:before="123"/>
        <w:ind w:left="532"/>
        <w:rPr>
          <w:rStyle w:val="15"/>
        </w:rPr>
      </w:pPr>
      <w:r>
        <w:rPr>
          <w:rStyle w:val="15"/>
        </w:rPr>
        <w:t>B1.9 投标人不接受评标委员会按第三章“评标办法”第 3.1.3 条的原则对投标报价进行修正的；</w:t>
      </w:r>
    </w:p>
    <w:p>
      <w:pPr>
        <w:pStyle w:val="3"/>
        <w:spacing w:before="125"/>
        <w:ind w:left="532"/>
        <w:rPr>
          <w:rStyle w:val="15"/>
        </w:rPr>
      </w:pPr>
      <w:r>
        <w:rPr>
          <w:rStyle w:val="15"/>
        </w:rPr>
        <w:t>B1.10 投标人不具备独立法人资格或作为独立法人资格但就本工程提交一个以上的投标文件的；</w:t>
      </w:r>
    </w:p>
    <w:p>
      <w:pPr>
        <w:pStyle w:val="3"/>
        <w:spacing w:before="125"/>
        <w:ind w:left="532"/>
        <w:rPr>
          <w:rStyle w:val="15"/>
        </w:rPr>
      </w:pPr>
      <w:r>
        <w:rPr>
          <w:rStyle w:val="15"/>
        </w:rPr>
        <w:t>B1.11 投标人没有提供建设工程项目管理承诺书的；</w:t>
      </w:r>
    </w:p>
    <w:p>
      <w:pPr>
        <w:pStyle w:val="3"/>
        <w:spacing w:before="123"/>
        <w:ind w:left="532"/>
        <w:rPr>
          <w:rStyle w:val="15"/>
        </w:rPr>
      </w:pPr>
      <w:r>
        <w:rPr>
          <w:rStyle w:val="15"/>
        </w:rPr>
        <w:t>B1.12 投标人采用总价优惠或以总价百分比优惠的方式进行投标报价的；</w:t>
      </w:r>
    </w:p>
    <w:p>
      <w:pPr>
        <w:pStyle w:val="3"/>
        <w:spacing w:before="126"/>
        <w:ind w:left="532"/>
        <w:rPr>
          <w:rStyle w:val="15"/>
        </w:rPr>
      </w:pPr>
      <w:r>
        <w:rPr>
          <w:rStyle w:val="15"/>
        </w:rPr>
        <w:t>B1.13 安全文明施工费和规费、增值税不按我区费用定额及造价管理相关文件规定报价的；</w:t>
      </w:r>
    </w:p>
    <w:p>
      <w:pPr>
        <w:pStyle w:val="3"/>
        <w:spacing w:before="126"/>
        <w:ind w:left="532"/>
        <w:rPr>
          <w:rStyle w:val="15"/>
        </w:rPr>
      </w:pPr>
      <w:r>
        <w:rPr>
          <w:rStyle w:val="15"/>
        </w:rPr>
        <w:t>B1.14 投标人已标价工程量清单的项目编码、计量单位、工程量任何一处与招标工程量清单不一致的；</w:t>
      </w:r>
    </w:p>
    <w:p>
      <w:pPr>
        <w:pStyle w:val="3"/>
        <w:spacing w:before="123" w:line="350" w:lineRule="auto"/>
        <w:ind w:left="112" w:right="209" w:firstLine="420"/>
        <w:rPr>
          <w:rStyle w:val="15"/>
        </w:rPr>
      </w:pPr>
      <w:r>
        <w:rPr>
          <w:rStyle w:val="15"/>
        </w:rPr>
        <w:t>B1.15 投标人已标价工程量清单的项目名称或项目特征与招标工程量清单不一致，评标委员会要求澄清、说明或补正，但投标人拒绝澄清、说明或补正的；</w:t>
      </w:r>
    </w:p>
    <w:p>
      <w:pPr>
        <w:pStyle w:val="3"/>
        <w:spacing w:before="29"/>
        <w:ind w:left="532"/>
        <w:rPr>
          <w:rStyle w:val="15"/>
        </w:rPr>
      </w:pPr>
      <w:r>
        <w:rPr>
          <w:rStyle w:val="15"/>
        </w:rPr>
        <w:t>B1.16 投标函中的总报价与已标价的工程量清单汇总表不一致的；</w:t>
      </w:r>
    </w:p>
    <w:p>
      <w:pPr>
        <w:pStyle w:val="3"/>
        <w:spacing w:before="123" w:line="350" w:lineRule="auto"/>
        <w:ind w:left="112" w:right="208" w:firstLine="420"/>
        <w:rPr>
          <w:rStyle w:val="15"/>
        </w:rPr>
      </w:pPr>
      <w:r>
        <w:rPr>
          <w:rStyle w:val="15"/>
        </w:rPr>
        <w:t>B1.17 设有暂估价、暂列金额的，投标时未按招标人工程量清单给出的暂估价总价、暂列金额总价计入投标总报价中的；</w:t>
      </w:r>
    </w:p>
    <w:p>
      <w:pPr>
        <w:pStyle w:val="3"/>
        <w:spacing w:before="28"/>
        <w:ind w:left="532"/>
        <w:rPr>
          <w:rStyle w:val="15"/>
        </w:rPr>
      </w:pPr>
      <w:r>
        <w:rPr>
          <w:rStyle w:val="15"/>
        </w:rPr>
        <w:t>B1.18 投标文件实质上没有响应招标文件的要求的；</w:t>
      </w:r>
    </w:p>
    <w:p>
      <w:pPr>
        <w:pStyle w:val="3"/>
        <w:spacing w:before="123"/>
        <w:ind w:left="532"/>
        <w:rPr>
          <w:rStyle w:val="15"/>
        </w:rPr>
      </w:pPr>
      <w:r>
        <w:rPr>
          <w:rStyle w:val="15"/>
        </w:rPr>
        <w:t>B1.19 法规规定的其他否决投标条款。</w:t>
      </w:r>
    </w:p>
    <w:p>
      <w:pPr>
        <w:spacing w:after="0"/>
        <w:rPr>
          <w:rStyle w:val="15"/>
        </w:rPr>
        <w:sectPr>
          <w:pgSz w:w="11910" w:h="16840"/>
          <w:pgMar w:top="1000" w:right="640" w:bottom="760" w:left="740" w:header="808" w:footer="575" w:gutter="0"/>
          <w:pgNumType w:fmt="decimal"/>
        </w:sectPr>
      </w:pPr>
    </w:p>
    <w:p>
      <w:pPr>
        <w:pStyle w:val="3"/>
        <w:rPr>
          <w:sz w:val="20"/>
        </w:rPr>
      </w:pPr>
    </w:p>
    <w:p>
      <w:pPr>
        <w:pStyle w:val="3"/>
        <w:rPr>
          <w:sz w:val="16"/>
        </w:rPr>
      </w:pPr>
    </w:p>
    <w:p>
      <w:pPr>
        <w:pStyle w:val="6"/>
        <w:tabs>
          <w:tab w:val="left" w:pos="4731"/>
        </w:tabs>
        <w:ind w:left="3448"/>
        <w:jc w:val="left"/>
      </w:pPr>
      <w:bookmarkStart w:id="270" w:name="_bookmark103"/>
      <w:bookmarkEnd w:id="270"/>
      <w:bookmarkStart w:id="271" w:name="第四章  合同条款及格式"/>
      <w:bookmarkEnd w:id="271"/>
      <w:r>
        <w:t>第四章</w:t>
      </w:r>
      <w:r>
        <w:tab/>
      </w:r>
      <w:r>
        <w:rPr>
          <w:w w:val="95"/>
        </w:rPr>
        <w:t>合同条款及格式</w:t>
      </w:r>
    </w:p>
    <w:p>
      <w:pPr>
        <w:pStyle w:val="3"/>
        <w:rPr>
          <w:rFonts w:ascii="黑体"/>
          <w:b/>
          <w:sz w:val="20"/>
        </w:rPr>
      </w:pPr>
    </w:p>
    <w:p>
      <w:pPr>
        <w:pStyle w:val="8"/>
        <w:tabs>
          <w:tab w:val="left" w:pos="1235"/>
        </w:tabs>
        <w:spacing w:before="168"/>
      </w:pPr>
      <w:bookmarkStart w:id="272" w:name="_bookmark104"/>
      <w:bookmarkEnd w:id="272"/>
      <w:bookmarkStart w:id="273" w:name="第一节  通用合同条款"/>
      <w:bookmarkEnd w:id="273"/>
      <w:r>
        <w:t>第一节</w:t>
      </w:r>
      <w:r>
        <w:tab/>
      </w:r>
      <w:r>
        <w:rPr>
          <w:spacing w:val="-1"/>
          <w:w w:val="95"/>
        </w:rPr>
        <w:t>通用</w:t>
      </w:r>
      <w:r>
        <w:rPr>
          <w:w w:val="95"/>
        </w:rPr>
        <w:t>合同条款</w:t>
      </w:r>
    </w:p>
    <w:p>
      <w:pPr>
        <w:pStyle w:val="3"/>
        <w:spacing w:before="4"/>
        <w:rPr>
          <w:rFonts w:ascii="黑体"/>
          <w:b/>
          <w:sz w:val="39"/>
        </w:rPr>
      </w:pPr>
    </w:p>
    <w:p>
      <w:pPr>
        <w:pStyle w:val="3"/>
        <w:ind w:left="112"/>
      </w:pPr>
      <w:r>
        <w:t>[见《公路工程国内招标文件范本》（2009 年版）]</w:t>
      </w:r>
    </w:p>
    <w:p>
      <w:pPr>
        <w:spacing w:after="0"/>
        <w:sectPr>
          <w:pgSz w:w="11910" w:h="16840"/>
          <w:pgMar w:top="1000" w:right="740" w:bottom="760" w:left="740" w:header="808" w:footer="575" w:gutter="0"/>
          <w:pgNumType w:fmt="decimal"/>
        </w:sectPr>
      </w:pPr>
    </w:p>
    <w:p>
      <w:pPr>
        <w:pStyle w:val="3"/>
        <w:rPr>
          <w:sz w:val="20"/>
        </w:rPr>
      </w:pPr>
    </w:p>
    <w:p>
      <w:pPr>
        <w:pStyle w:val="3"/>
        <w:spacing w:before="7"/>
        <w:rPr>
          <w:sz w:val="18"/>
        </w:rPr>
      </w:pPr>
    </w:p>
    <w:p>
      <w:pPr>
        <w:pStyle w:val="8"/>
        <w:tabs>
          <w:tab w:val="left" w:pos="1235"/>
        </w:tabs>
      </w:pPr>
      <w:bookmarkStart w:id="274" w:name="_bookmark105"/>
      <w:bookmarkEnd w:id="274"/>
      <w:bookmarkStart w:id="275" w:name="第二节  专用合同条款"/>
      <w:bookmarkEnd w:id="275"/>
      <w:r>
        <w:t>第二节</w:t>
      </w:r>
      <w:r>
        <w:tab/>
      </w:r>
      <w:r>
        <w:rPr>
          <w:spacing w:val="-1"/>
          <w:w w:val="95"/>
        </w:rPr>
        <w:t>专用</w:t>
      </w:r>
      <w:r>
        <w:rPr>
          <w:w w:val="95"/>
        </w:rPr>
        <w:t>合同条款</w:t>
      </w:r>
    </w:p>
    <w:p>
      <w:pPr>
        <w:pStyle w:val="3"/>
        <w:spacing w:before="3"/>
        <w:rPr>
          <w:rFonts w:ascii="黑体"/>
          <w:b/>
          <w:sz w:val="39"/>
        </w:rPr>
      </w:pPr>
    </w:p>
    <w:p>
      <w:pPr>
        <w:pStyle w:val="9"/>
        <w:spacing w:before="0"/>
      </w:pPr>
      <w:bookmarkStart w:id="276" w:name="A．公路行业标准专用合同条款"/>
      <w:bookmarkEnd w:id="276"/>
      <w:bookmarkStart w:id="277" w:name="_bookmark106"/>
      <w:bookmarkEnd w:id="277"/>
      <w:r>
        <w:rPr>
          <w:w w:val="95"/>
        </w:rPr>
        <w:t>A．公路行业标准专用合同条款</w:t>
      </w:r>
    </w:p>
    <w:p>
      <w:pPr>
        <w:pStyle w:val="3"/>
        <w:spacing w:before="125" w:line="350" w:lineRule="auto"/>
        <w:ind w:left="112" w:right="108"/>
        <w:rPr>
          <w:rStyle w:val="15"/>
          <w:sz w:val="21"/>
          <w:szCs w:val="21"/>
        </w:rPr>
      </w:pPr>
      <w:r>
        <w:rPr>
          <w:b/>
          <w:spacing w:val="-5"/>
          <w:w w:val="95"/>
        </w:rPr>
        <w:t>说明：</w:t>
      </w:r>
      <w:r>
        <w:rPr>
          <w:rStyle w:val="15"/>
          <w:sz w:val="21"/>
          <w:szCs w:val="21"/>
        </w:rPr>
        <w:t>“公路工程专用合同条款”采用《公路工程标准施工招标文件》的第四章第二节“A.公路工程专用合同条款”，其内容详见《公路工程标准施工招标文件》，本《招标文件》中不再摘录。</w:t>
      </w:r>
    </w:p>
    <w:p>
      <w:pPr>
        <w:spacing w:after="0" w:line="350" w:lineRule="auto"/>
        <w:rPr>
          <w:rStyle w:val="15"/>
          <w:sz w:val="21"/>
          <w:szCs w:val="21"/>
        </w:rPr>
        <w:sectPr>
          <w:pgSz w:w="11910" w:h="16840"/>
          <w:pgMar w:top="1000" w:right="740" w:bottom="760" w:left="740" w:header="808" w:footer="575" w:gutter="0"/>
          <w:pgNumType w:fmt="decimal"/>
        </w:sectPr>
      </w:pPr>
    </w:p>
    <w:p>
      <w:pPr>
        <w:pStyle w:val="3"/>
        <w:rPr>
          <w:sz w:val="20"/>
        </w:rPr>
      </w:pPr>
      <w:r>
        <mc:AlternateContent>
          <mc:Choice Requires="wpg">
            <w:drawing>
              <wp:anchor distT="0" distB="0" distL="114300" distR="114300" simplePos="0" relativeHeight="503071744" behindDoc="1" locked="0" layoutInCell="1" allowOverlap="1">
                <wp:simplePos x="0" y="0"/>
                <wp:positionH relativeFrom="page">
                  <wp:posOffset>1689100</wp:posOffset>
                </wp:positionH>
                <wp:positionV relativeFrom="page">
                  <wp:posOffset>9337040</wp:posOffset>
                </wp:positionV>
                <wp:extent cx="212090" cy="178435"/>
                <wp:effectExtent l="1270" t="1270" r="15240" b="3175"/>
                <wp:wrapNone/>
                <wp:docPr id="5" name="组合 2"/>
                <wp:cNvGraphicFramePr/>
                <a:graphic xmlns:a="http://schemas.openxmlformats.org/drawingml/2006/main">
                  <a:graphicData uri="http://schemas.microsoft.com/office/word/2010/wordprocessingGroup">
                    <wpg:wgp>
                      <wpg:cNvGrpSpPr/>
                      <wpg:grpSpPr>
                        <a:xfrm>
                          <a:off x="0" y="0"/>
                          <a:ext cx="212090" cy="178435"/>
                          <a:chOff x="2660" y="14704"/>
                          <a:chExt cx="334" cy="281"/>
                        </a:xfrm>
                      </wpg:grpSpPr>
                      <wps:wsp>
                        <wps:cNvPr id="1" name="直线 3"/>
                        <wps:cNvCnPr/>
                        <wps:spPr>
                          <a:xfrm>
                            <a:off x="2660" y="14709"/>
                            <a:ext cx="334" cy="0"/>
                          </a:xfrm>
                          <a:prstGeom prst="line">
                            <a:avLst/>
                          </a:prstGeom>
                          <a:ln w="6096" cap="flat" cmpd="sng">
                            <a:solidFill>
                              <a:srgbClr val="000000"/>
                            </a:solidFill>
                            <a:prstDash val="solid"/>
                            <a:headEnd type="none" w="med" len="med"/>
                            <a:tailEnd type="none" w="med" len="med"/>
                          </a:ln>
                        </wps:spPr>
                        <wps:bodyPr upright="1"/>
                      </wps:wsp>
                      <wps:wsp>
                        <wps:cNvPr id="2" name="直线 4"/>
                        <wps:cNvCnPr/>
                        <wps:spPr>
                          <a:xfrm>
                            <a:off x="2660" y="14980"/>
                            <a:ext cx="334" cy="0"/>
                          </a:xfrm>
                          <a:prstGeom prst="line">
                            <a:avLst/>
                          </a:prstGeom>
                          <a:ln w="6096" cap="flat" cmpd="sng">
                            <a:solidFill>
                              <a:srgbClr val="000000"/>
                            </a:solidFill>
                            <a:prstDash val="solid"/>
                            <a:headEnd type="none" w="med" len="med"/>
                            <a:tailEnd type="none" w="med" len="med"/>
                          </a:ln>
                        </wps:spPr>
                        <wps:bodyPr upright="1"/>
                      </wps:wsp>
                      <wps:wsp>
                        <wps:cNvPr id="3" name="直线 5"/>
                        <wps:cNvCnPr/>
                        <wps:spPr>
                          <a:xfrm>
                            <a:off x="2665" y="14704"/>
                            <a:ext cx="0" cy="281"/>
                          </a:xfrm>
                          <a:prstGeom prst="line">
                            <a:avLst/>
                          </a:prstGeom>
                          <a:ln w="6096" cap="flat" cmpd="sng">
                            <a:solidFill>
                              <a:srgbClr val="000000"/>
                            </a:solidFill>
                            <a:prstDash val="solid"/>
                            <a:headEnd type="none" w="med" len="med"/>
                            <a:tailEnd type="none" w="med" len="med"/>
                          </a:ln>
                        </wps:spPr>
                        <wps:bodyPr upright="1"/>
                      </wps:wsp>
                      <wps:wsp>
                        <wps:cNvPr id="4" name="直线 6"/>
                        <wps:cNvCnPr/>
                        <wps:spPr>
                          <a:xfrm>
                            <a:off x="2989" y="14714"/>
                            <a:ext cx="0" cy="271"/>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33pt;margin-top:735.2pt;height:14.05pt;width:16.7pt;mso-position-horizontal-relative:page;mso-position-vertical-relative:page;z-index:-244736;mso-width-relative:page;mso-height-relative:page;" coordorigin="2660,14704" coordsize="334,281" o:gfxdata="UEsDBAoAAAAAAIdO4kAAAAAAAAAAAAAAAAAEAAAAZHJzL1BLAwQUAAAACACHTuJAt5knjNwAAAAN&#10;AQAADwAAAGRycy9kb3ducmV2LnhtbE2PQU/DMAyF70j8h8hI3FjSspW1NJ3QBJwmJDYkxM1rvbZa&#10;k1RN1m7/Hu8EN9vv6fl7+epsOjHS4FtnNUQzBYJs6arW1hq+dm8PSxA+oK2wc5Y0XMjDqri9yTGr&#10;3GQ/adyGWnCI9RlqaELoMyl92ZBBP3M9WdYObjAYeB1qWQ04cbjpZKxUIg22lj802NO6ofK4PRkN&#10;7xNOL4/R67g5HtaXn93i43sTkdb3d5F6BhHoHP7McMVndCiYae9OtvKi0xAnCXcJLMyf1BwEW+I0&#10;5WF/PaXLBcgil/9bFL9QSwMEFAAAAAgAh07iQPorbzydAgAAvgoAAA4AAABkcnMvZTJvRG9jLnht&#10;bO1WvW7bMBDeC/QdCO6Nfuw4tmA5Q5x4KdoAaR+AliiJAEUSJGPZe4eO3fsandohT1PkNXqkZKV2&#10;OrguCmSwB5nkHY9333c83vRyXXO0otowKVIcnYUYUZHJnIkyxR8/3LwZY2QsETnhUtAUb6jBl7PX&#10;r6aNSmgsK8lzqhEYESZpVIora1USBCaraE3MmVRUgLCQuiYWproMck0asF7zIA7DUdBInSstM2oM&#10;rM5bIZ55+0VBM/u+KAy1iKcYfLP+q/136b7BbEqSUhNVsaxzgxzhRU2YgEN7U3NiCbrX7JmpmmVa&#10;GlnYs0zWgSwKllEfA0QThXvRLLS8Vz6WMmlK1cME0O7hdLTZ7N3qViOWp/gcI0FqoOjxx6efXz6j&#10;2GHTqDIBlYVWd+pWdwtlO3Phrgtdu38IBK09qpseVbq2KIPFOIrDCWCfgSi6GA8H5y3qWQXUuF3x&#10;aARiJx1ehMOt8LrbPhgM273xOHKyYHtq4JzrfWkUJJB5wsj8G0Z3FVHUQ28cAB1GUY/R12+P3x/Q&#10;wDnkTgaVK9EBZBIDWP0BnZ04J22cW5D6KH1K9jGSRGljF1TWyA1SzJlwbpGErN4a28KxVXHLXKAm&#10;xaNwMgLQCFyoghMLw1oBxUaUfq+RnOU3jHO3w+hyecU1WhF3Rfyvg3lHzR0yJ6Zq9byojaCiJL8W&#10;ObIbBckj4JZj50JNc4w4haLgRuAoSSxh/BBNiJ4LINoB20LpRkuZb4CGe6VZWQESbTJ0tLcs/Hf+&#10;4z3+fbIew/9k3JWeE//PM+Xl8j/Y499Xsr/hH4rsbp3b8t/Vx/0ad7r/vpS+lPsPL1H3Rrb1f+QK&#10;2+H8T8aTLf9R987t83+x+8ad+D+Uf98NQJPkG4SuoXNd2O9z/6Y8tZ2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LeZJ4zcAAAADQEAAA8AAAAAAAAAAQAgAAAAIgAAAGRycy9kb3ducmV2LnhtbFBL&#10;AQIUABQAAAAIAIdO4kD6K288nQIAAL4KAAAOAAAAAAAAAAEAIAAAACsBAABkcnMvZTJvRG9jLnht&#10;bFBLBQYAAAAABgAGAFkBAAA6BgAAAAA=&#10;">
                <o:lock v:ext="edit" aspectratio="f"/>
                <v:line id="直线 3" o:spid="_x0000_s1026" o:spt="20" style="position:absolute;left:2660;top:14709;height:0;width:334;"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 o:spid="_x0000_s1026" o:spt="20" style="position:absolute;left:2660;top:14980;height:0;width:334;"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2665;top:14704;height:281;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2989;top:14714;height:271;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pStyle w:val="3"/>
        <w:spacing w:before="3"/>
        <w:rPr>
          <w:sz w:val="23"/>
        </w:rPr>
      </w:pPr>
    </w:p>
    <w:p>
      <w:pPr>
        <w:pStyle w:val="9"/>
        <w:ind w:left="232"/>
      </w:pPr>
      <w:bookmarkStart w:id="278" w:name="B．项目专用合同条款"/>
      <w:bookmarkEnd w:id="278"/>
      <w:bookmarkStart w:id="279" w:name="_bookmark107"/>
      <w:bookmarkEnd w:id="279"/>
      <w:r>
        <w:rPr>
          <w:w w:val="95"/>
        </w:rPr>
        <w:t>B．项目专用合同条款</w:t>
      </w:r>
    </w:p>
    <w:p>
      <w:pPr>
        <w:pStyle w:val="3"/>
        <w:rPr>
          <w:b/>
          <w:sz w:val="20"/>
        </w:rPr>
      </w:pPr>
    </w:p>
    <w:p>
      <w:pPr>
        <w:pStyle w:val="3"/>
        <w:spacing w:before="1"/>
        <w:rPr>
          <w:b/>
          <w:sz w:val="20"/>
        </w:rPr>
      </w:pPr>
    </w:p>
    <w:p>
      <w:pPr>
        <w:pStyle w:val="3"/>
        <w:ind w:left="232"/>
        <w:rPr>
          <w:rStyle w:val="15"/>
        </w:rPr>
      </w:pPr>
      <w:r>
        <w:rPr>
          <w:rStyle w:val="15"/>
        </w:rPr>
        <w:t>说明：</w:t>
      </w:r>
    </w:p>
    <w:p>
      <w:pPr>
        <w:pStyle w:val="3"/>
        <w:spacing w:before="126"/>
        <w:ind w:left="232"/>
        <w:rPr>
          <w:rStyle w:val="15"/>
        </w:rPr>
      </w:pPr>
      <w:r>
        <w:rPr>
          <w:rStyle w:val="15"/>
        </w:rPr>
        <w:t>1．“项目专用合同条款”是根据本项目的具体特点和管理需要对“A.公路工程专用合同条款”的补充、细化。</w:t>
      </w:r>
    </w:p>
    <w:p>
      <w:pPr>
        <w:pStyle w:val="3"/>
        <w:spacing w:before="126" w:line="348" w:lineRule="auto"/>
        <w:ind w:left="232" w:right="110"/>
        <w:rPr>
          <w:rStyle w:val="15"/>
        </w:rPr>
      </w:pPr>
      <w:r>
        <w:rPr>
          <w:rStyle w:val="15"/>
        </w:rPr>
        <w:t>2．“项目专用合同条款数据表”是项目专用合同条款中适用于本项目的信息和数据的归纳与提示，是项目专用合同条款的组成部分。</w:t>
      </w:r>
    </w:p>
    <w:p>
      <w:pPr>
        <w:pStyle w:val="3"/>
        <w:rPr>
          <w:rStyle w:val="15"/>
        </w:rPr>
      </w:pPr>
    </w:p>
    <w:p>
      <w:pPr>
        <w:pStyle w:val="9"/>
        <w:spacing w:before="170" w:after="49"/>
        <w:ind w:left="232"/>
      </w:pPr>
      <w:bookmarkStart w:id="280" w:name="(一)项目专用合同条款数据表"/>
      <w:bookmarkEnd w:id="280"/>
      <w:r>
        <w:rPr>
          <w:w w:val="95"/>
        </w:rPr>
        <w:t>(一)项目专用合同条款数据表</w:t>
      </w:r>
    </w:p>
    <w:tbl>
      <w:tblPr>
        <w:tblStyle w:val="14"/>
        <w:tblW w:w="1031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981"/>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6"/>
              <w:ind w:left="194" w:right="183"/>
              <w:jc w:val="center"/>
              <w:rPr>
                <w:b/>
                <w:sz w:val="21"/>
              </w:rPr>
            </w:pPr>
            <w:r>
              <w:rPr>
                <w:b/>
                <w:w w:val="95"/>
                <w:sz w:val="21"/>
              </w:rPr>
              <w:t>序号</w:t>
            </w:r>
          </w:p>
        </w:tc>
        <w:tc>
          <w:tcPr>
            <w:tcW w:w="981" w:type="dxa"/>
          </w:tcPr>
          <w:p>
            <w:pPr>
              <w:pStyle w:val="18"/>
              <w:spacing w:before="16"/>
              <w:ind w:left="173"/>
              <w:rPr>
                <w:b/>
                <w:sz w:val="21"/>
              </w:rPr>
            </w:pPr>
            <w:r>
              <w:rPr>
                <w:b/>
                <w:w w:val="95"/>
                <w:sz w:val="21"/>
              </w:rPr>
              <w:t>条目号</w:t>
            </w:r>
          </w:p>
        </w:tc>
        <w:tc>
          <w:tcPr>
            <w:tcW w:w="8505" w:type="dxa"/>
          </w:tcPr>
          <w:p>
            <w:pPr>
              <w:pStyle w:val="18"/>
              <w:spacing w:before="16"/>
              <w:ind w:left="3730" w:right="3722"/>
              <w:jc w:val="center"/>
              <w:rPr>
                <w:b/>
                <w:sz w:val="21"/>
              </w:rPr>
            </w:pPr>
            <w:r>
              <w:rPr>
                <w:b/>
                <w:w w:val="95"/>
                <w:sz w:val="21"/>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6"/>
              <w:ind w:left="8"/>
              <w:jc w:val="center"/>
              <w:rPr>
                <w:rStyle w:val="15"/>
                <w:sz w:val="21"/>
                <w:szCs w:val="21"/>
              </w:rPr>
            </w:pPr>
            <w:r>
              <w:rPr>
                <w:rStyle w:val="15"/>
                <w:sz w:val="21"/>
                <w:szCs w:val="21"/>
              </w:rPr>
              <w:t>1</w:t>
            </w:r>
          </w:p>
        </w:tc>
        <w:tc>
          <w:tcPr>
            <w:tcW w:w="981" w:type="dxa"/>
          </w:tcPr>
          <w:p>
            <w:pPr>
              <w:pStyle w:val="18"/>
              <w:spacing w:before="146"/>
              <w:ind w:left="123"/>
              <w:rPr>
                <w:rStyle w:val="15"/>
                <w:sz w:val="21"/>
                <w:szCs w:val="21"/>
              </w:rPr>
            </w:pPr>
            <w:r>
              <w:rPr>
                <w:rStyle w:val="15"/>
                <w:sz w:val="21"/>
                <w:szCs w:val="21"/>
              </w:rPr>
              <w:t>1.1.2.2</w:t>
            </w:r>
          </w:p>
        </w:tc>
        <w:tc>
          <w:tcPr>
            <w:tcW w:w="8505" w:type="dxa"/>
          </w:tcPr>
          <w:p>
            <w:pPr>
              <w:pStyle w:val="18"/>
              <w:spacing w:line="270" w:lineRule="exact"/>
              <w:ind w:left="106"/>
              <w:rPr>
                <w:rStyle w:val="15"/>
                <w:sz w:val="21"/>
                <w:szCs w:val="21"/>
              </w:rPr>
            </w:pPr>
            <w:r>
              <w:rPr>
                <w:rStyle w:val="15"/>
                <w:sz w:val="21"/>
                <w:szCs w:val="21"/>
              </w:rPr>
              <w:t>发包人：</w:t>
            </w:r>
            <w:r>
              <w:rPr>
                <w:rStyle w:val="15"/>
                <w:rFonts w:hint="eastAsia"/>
                <w:sz w:val="21"/>
                <w:szCs w:val="21"/>
                <w:lang w:val="en-US" w:eastAsia="zh-CN"/>
              </w:rPr>
              <w:t>富川瑶族自治县交通运输局</w:t>
            </w:r>
          </w:p>
          <w:p>
            <w:pPr>
              <w:pStyle w:val="18"/>
              <w:tabs>
                <w:tab w:val="left" w:pos="526"/>
              </w:tabs>
              <w:spacing w:before="25"/>
              <w:ind w:left="106"/>
              <w:rPr>
                <w:rStyle w:val="15"/>
                <w:rFonts w:hint="default"/>
                <w:sz w:val="21"/>
                <w:szCs w:val="21"/>
                <w:lang w:val="en-US" w:eastAsia="zh-CN"/>
              </w:rPr>
            </w:pPr>
            <w:r>
              <w:rPr>
                <w:rStyle w:val="15"/>
                <w:sz w:val="21"/>
                <w:szCs w:val="21"/>
              </w:rPr>
              <w:t>地</w:t>
            </w:r>
            <w:r>
              <w:rPr>
                <w:rStyle w:val="15"/>
                <w:sz w:val="21"/>
                <w:szCs w:val="21"/>
              </w:rPr>
              <w:tab/>
            </w:r>
            <w:r>
              <w:rPr>
                <w:rStyle w:val="15"/>
                <w:sz w:val="21"/>
                <w:szCs w:val="21"/>
              </w:rPr>
              <w:t>址：</w:t>
            </w:r>
            <w:r>
              <w:rPr>
                <w:rStyle w:val="15"/>
                <w:rFonts w:hint="eastAsia"/>
                <w:sz w:val="21"/>
                <w:szCs w:val="21"/>
                <w:lang w:eastAsia="zh-CN"/>
              </w:rPr>
              <w:t>富阳镇凤凰路</w:t>
            </w:r>
            <w:r>
              <w:rPr>
                <w:rStyle w:val="15"/>
                <w:rFonts w:hint="eastAsia"/>
                <w:sz w:val="21"/>
                <w:szCs w:val="21"/>
                <w:lang w:val="en-US" w:eastAsia="zh-CN"/>
              </w:rPr>
              <w:t>206号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5"/>
              <w:ind w:left="8"/>
              <w:jc w:val="center"/>
              <w:rPr>
                <w:rStyle w:val="15"/>
                <w:sz w:val="21"/>
                <w:szCs w:val="21"/>
              </w:rPr>
            </w:pPr>
            <w:r>
              <w:rPr>
                <w:rStyle w:val="15"/>
                <w:sz w:val="21"/>
                <w:szCs w:val="21"/>
              </w:rPr>
              <w:t>2</w:t>
            </w:r>
          </w:p>
        </w:tc>
        <w:tc>
          <w:tcPr>
            <w:tcW w:w="981" w:type="dxa"/>
          </w:tcPr>
          <w:p>
            <w:pPr>
              <w:pStyle w:val="18"/>
              <w:spacing w:before="145"/>
              <w:ind w:left="123"/>
              <w:rPr>
                <w:rStyle w:val="15"/>
                <w:sz w:val="21"/>
                <w:szCs w:val="21"/>
              </w:rPr>
            </w:pPr>
            <w:r>
              <w:rPr>
                <w:rStyle w:val="15"/>
                <w:sz w:val="21"/>
                <w:szCs w:val="21"/>
              </w:rPr>
              <w:t>1.1.2.6</w:t>
            </w:r>
          </w:p>
        </w:tc>
        <w:tc>
          <w:tcPr>
            <w:tcW w:w="8505" w:type="dxa"/>
          </w:tcPr>
          <w:p>
            <w:pPr>
              <w:pStyle w:val="18"/>
              <w:spacing w:line="269" w:lineRule="exact"/>
              <w:ind w:left="106"/>
              <w:rPr>
                <w:rStyle w:val="15"/>
                <w:sz w:val="21"/>
                <w:szCs w:val="21"/>
              </w:rPr>
            </w:pPr>
            <w:r>
              <w:rPr>
                <w:rStyle w:val="15"/>
                <w:sz w:val="21"/>
                <w:szCs w:val="21"/>
              </w:rPr>
              <w:t>监理人：（开工前通知）</w:t>
            </w:r>
          </w:p>
          <w:p>
            <w:pPr>
              <w:pStyle w:val="18"/>
              <w:tabs>
                <w:tab w:val="left" w:pos="526"/>
              </w:tabs>
              <w:spacing w:before="25"/>
              <w:ind w:left="106"/>
              <w:rPr>
                <w:rStyle w:val="15"/>
                <w:sz w:val="21"/>
                <w:szCs w:val="21"/>
              </w:rPr>
            </w:pPr>
            <w:r>
              <w:rPr>
                <w:rStyle w:val="15"/>
                <w:sz w:val="21"/>
                <w:szCs w:val="21"/>
              </w:rPr>
              <w:t>地</w:t>
            </w:r>
            <w:r>
              <w:rPr>
                <w:rStyle w:val="15"/>
                <w:sz w:val="21"/>
                <w:szCs w:val="21"/>
              </w:rPr>
              <w:tab/>
            </w:r>
            <w:r>
              <w:rPr>
                <w:rStyle w:val="15"/>
                <w:sz w:val="21"/>
                <w:szCs w:val="21"/>
              </w:rPr>
              <w:t>址：（开工前通知）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28" w:type="dxa"/>
          </w:tcPr>
          <w:p>
            <w:pPr>
              <w:pStyle w:val="18"/>
              <w:spacing w:before="6"/>
              <w:rPr>
                <w:rStyle w:val="15"/>
                <w:sz w:val="21"/>
                <w:szCs w:val="21"/>
              </w:rPr>
            </w:pPr>
          </w:p>
          <w:p>
            <w:pPr>
              <w:pStyle w:val="18"/>
              <w:ind w:left="8"/>
              <w:jc w:val="center"/>
              <w:rPr>
                <w:rStyle w:val="15"/>
                <w:sz w:val="21"/>
                <w:szCs w:val="21"/>
              </w:rPr>
            </w:pPr>
            <w:r>
              <w:rPr>
                <w:rStyle w:val="15"/>
                <w:sz w:val="21"/>
                <w:szCs w:val="21"/>
              </w:rPr>
              <w:t>3</w:t>
            </w:r>
          </w:p>
        </w:tc>
        <w:tc>
          <w:tcPr>
            <w:tcW w:w="981" w:type="dxa"/>
          </w:tcPr>
          <w:p>
            <w:pPr>
              <w:pStyle w:val="18"/>
              <w:spacing w:before="6"/>
              <w:rPr>
                <w:rStyle w:val="15"/>
                <w:sz w:val="21"/>
                <w:szCs w:val="21"/>
              </w:rPr>
            </w:pPr>
          </w:p>
          <w:p>
            <w:pPr>
              <w:pStyle w:val="18"/>
              <w:ind w:left="123"/>
              <w:rPr>
                <w:rStyle w:val="15"/>
                <w:sz w:val="21"/>
                <w:szCs w:val="21"/>
              </w:rPr>
            </w:pPr>
            <w:r>
              <w:rPr>
                <w:rStyle w:val="15"/>
                <w:sz w:val="21"/>
                <w:szCs w:val="21"/>
              </w:rPr>
              <w:t>1.1.4.5</w:t>
            </w:r>
          </w:p>
        </w:tc>
        <w:tc>
          <w:tcPr>
            <w:tcW w:w="8505" w:type="dxa"/>
          </w:tcPr>
          <w:p>
            <w:pPr>
              <w:pStyle w:val="18"/>
              <w:spacing w:line="269" w:lineRule="exact"/>
              <w:ind w:left="106"/>
              <w:rPr>
                <w:rStyle w:val="15"/>
                <w:sz w:val="21"/>
                <w:szCs w:val="21"/>
              </w:rPr>
            </w:pPr>
            <w:r>
              <w:rPr>
                <w:rStyle w:val="15"/>
                <w:sz w:val="21"/>
                <w:szCs w:val="21"/>
              </w:rPr>
              <w:t>缺陷责任期：</w:t>
            </w:r>
          </w:p>
          <w:p>
            <w:pPr>
              <w:pStyle w:val="18"/>
              <w:spacing w:before="25"/>
              <w:ind w:left="106"/>
              <w:rPr>
                <w:rStyle w:val="15"/>
                <w:sz w:val="21"/>
                <w:szCs w:val="21"/>
              </w:rPr>
            </w:pPr>
            <w:r>
              <w:rPr>
                <w:rStyle w:val="15"/>
                <w:sz w:val="21"/>
                <w:szCs w:val="21"/>
              </w:rPr>
              <w:t>道路工程：自实际交工日期起计算 1 年；</w:t>
            </w:r>
          </w:p>
          <w:p>
            <w:pPr>
              <w:pStyle w:val="18"/>
              <w:spacing w:before="25"/>
              <w:ind w:left="106"/>
              <w:rPr>
                <w:rStyle w:val="15"/>
                <w:sz w:val="21"/>
                <w:szCs w:val="21"/>
              </w:rPr>
            </w:pPr>
            <w:r>
              <w:rPr>
                <w:rStyle w:val="15"/>
                <w:sz w:val="21"/>
                <w:szCs w:val="21"/>
              </w:rPr>
              <w:t>桥梁工程：自实际交工日期起计算 2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4"/>
              <w:ind w:left="8"/>
              <w:jc w:val="center"/>
              <w:rPr>
                <w:rStyle w:val="15"/>
                <w:sz w:val="21"/>
                <w:szCs w:val="21"/>
              </w:rPr>
            </w:pPr>
            <w:r>
              <w:rPr>
                <w:rStyle w:val="15"/>
                <w:sz w:val="21"/>
                <w:szCs w:val="21"/>
              </w:rPr>
              <w:t>4</w:t>
            </w:r>
          </w:p>
        </w:tc>
        <w:tc>
          <w:tcPr>
            <w:tcW w:w="981" w:type="dxa"/>
          </w:tcPr>
          <w:p>
            <w:pPr>
              <w:pStyle w:val="18"/>
              <w:spacing w:before="144"/>
              <w:ind w:left="228"/>
              <w:rPr>
                <w:rStyle w:val="15"/>
                <w:sz w:val="21"/>
                <w:szCs w:val="21"/>
              </w:rPr>
            </w:pPr>
            <w:r>
              <w:rPr>
                <w:rStyle w:val="15"/>
                <w:sz w:val="21"/>
                <w:szCs w:val="21"/>
              </w:rPr>
              <w:t>1.6.3</w:t>
            </w:r>
          </w:p>
        </w:tc>
        <w:tc>
          <w:tcPr>
            <w:tcW w:w="8505" w:type="dxa"/>
          </w:tcPr>
          <w:p>
            <w:pPr>
              <w:pStyle w:val="18"/>
              <w:spacing w:before="1" w:line="300" w:lineRule="exact"/>
              <w:ind w:left="106" w:right="95"/>
              <w:rPr>
                <w:rStyle w:val="15"/>
                <w:sz w:val="21"/>
                <w:szCs w:val="21"/>
              </w:rPr>
            </w:pPr>
            <w:r>
              <w:rPr>
                <w:rStyle w:val="15"/>
                <w:sz w:val="21"/>
                <w:szCs w:val="21"/>
              </w:rPr>
              <w:t>图纸需要修改和补充的，应由监理人取得发包人同意后，在该工程或工程相应部位施工前 5 天签发图纸修改图给承包人。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28" w:type="dxa"/>
          </w:tcPr>
          <w:p>
            <w:pPr>
              <w:pStyle w:val="18"/>
              <w:rPr>
                <w:rStyle w:val="15"/>
                <w:sz w:val="21"/>
                <w:szCs w:val="21"/>
              </w:rPr>
            </w:pPr>
          </w:p>
          <w:p>
            <w:pPr>
              <w:pStyle w:val="18"/>
              <w:spacing w:before="11"/>
              <w:rPr>
                <w:rStyle w:val="15"/>
                <w:sz w:val="21"/>
                <w:szCs w:val="21"/>
              </w:rPr>
            </w:pPr>
          </w:p>
          <w:p>
            <w:pPr>
              <w:pStyle w:val="18"/>
              <w:ind w:left="8"/>
              <w:jc w:val="center"/>
              <w:rPr>
                <w:rStyle w:val="15"/>
                <w:sz w:val="21"/>
                <w:szCs w:val="21"/>
              </w:rPr>
            </w:pPr>
            <w:r>
              <w:rPr>
                <w:rStyle w:val="15"/>
                <w:sz w:val="21"/>
                <w:szCs w:val="21"/>
              </w:rPr>
              <w:t>5</w:t>
            </w:r>
          </w:p>
        </w:tc>
        <w:tc>
          <w:tcPr>
            <w:tcW w:w="981" w:type="dxa"/>
          </w:tcPr>
          <w:p>
            <w:pPr>
              <w:pStyle w:val="18"/>
              <w:rPr>
                <w:rStyle w:val="15"/>
                <w:sz w:val="21"/>
                <w:szCs w:val="21"/>
              </w:rPr>
            </w:pPr>
          </w:p>
          <w:p>
            <w:pPr>
              <w:pStyle w:val="18"/>
              <w:spacing w:before="11"/>
              <w:rPr>
                <w:rStyle w:val="15"/>
                <w:sz w:val="21"/>
                <w:szCs w:val="21"/>
              </w:rPr>
            </w:pPr>
          </w:p>
          <w:p>
            <w:pPr>
              <w:pStyle w:val="18"/>
              <w:ind w:left="228"/>
              <w:rPr>
                <w:rStyle w:val="15"/>
                <w:sz w:val="21"/>
                <w:szCs w:val="21"/>
              </w:rPr>
            </w:pPr>
            <w:r>
              <w:rPr>
                <w:rStyle w:val="15"/>
                <w:sz w:val="21"/>
                <w:szCs w:val="21"/>
              </w:rPr>
              <w:t>3.1.1</w:t>
            </w:r>
          </w:p>
        </w:tc>
        <w:tc>
          <w:tcPr>
            <w:tcW w:w="8505" w:type="dxa"/>
          </w:tcPr>
          <w:p>
            <w:pPr>
              <w:pStyle w:val="18"/>
              <w:spacing w:line="269" w:lineRule="exact"/>
              <w:ind w:left="106"/>
              <w:rPr>
                <w:rStyle w:val="15"/>
                <w:sz w:val="21"/>
                <w:szCs w:val="21"/>
              </w:rPr>
            </w:pPr>
            <w:r>
              <w:rPr>
                <w:rStyle w:val="15"/>
                <w:sz w:val="21"/>
                <w:szCs w:val="21"/>
              </w:rPr>
              <w:t>监理人在行使下列权力前需要经发包人事先批准：</w:t>
            </w:r>
          </w:p>
          <w:p>
            <w:pPr>
              <w:pStyle w:val="18"/>
              <w:spacing w:line="300" w:lineRule="atLeast"/>
              <w:ind w:left="106" w:right="96"/>
              <w:jc w:val="both"/>
              <w:rPr>
                <w:rStyle w:val="15"/>
                <w:sz w:val="21"/>
                <w:szCs w:val="21"/>
              </w:rPr>
            </w:pPr>
            <w:r>
              <w:rPr>
                <w:rStyle w:val="15"/>
                <w:sz w:val="21"/>
                <w:szCs w:val="21"/>
              </w:rPr>
              <w:t>（6）根据第 15.3 款发出的变更指示，其单项工程变更涉及的金额超过了该单项工程签约合同价的 / %或累计变更超过了签约合同价的 / %（即凡涉及费用调整的均应事先取得发包人的专门批准）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28" w:type="dxa"/>
          </w:tcPr>
          <w:p>
            <w:pPr>
              <w:pStyle w:val="18"/>
              <w:rPr>
                <w:rStyle w:val="15"/>
                <w:sz w:val="21"/>
                <w:szCs w:val="21"/>
              </w:rPr>
            </w:pPr>
          </w:p>
          <w:p>
            <w:pPr>
              <w:pStyle w:val="18"/>
              <w:rPr>
                <w:rStyle w:val="15"/>
                <w:sz w:val="21"/>
                <w:szCs w:val="21"/>
              </w:rPr>
            </w:pPr>
          </w:p>
          <w:p>
            <w:pPr>
              <w:pStyle w:val="18"/>
              <w:spacing w:before="5"/>
              <w:rPr>
                <w:rStyle w:val="15"/>
                <w:sz w:val="21"/>
                <w:szCs w:val="21"/>
              </w:rPr>
            </w:pPr>
          </w:p>
          <w:p>
            <w:pPr>
              <w:pStyle w:val="18"/>
              <w:ind w:left="8"/>
              <w:jc w:val="center"/>
              <w:rPr>
                <w:rStyle w:val="15"/>
                <w:sz w:val="21"/>
                <w:szCs w:val="21"/>
              </w:rPr>
            </w:pPr>
            <w:r>
              <w:rPr>
                <w:rStyle w:val="15"/>
                <w:sz w:val="21"/>
                <w:szCs w:val="21"/>
              </w:rPr>
              <w:t>6</w:t>
            </w:r>
          </w:p>
        </w:tc>
        <w:tc>
          <w:tcPr>
            <w:tcW w:w="981" w:type="dxa"/>
          </w:tcPr>
          <w:p>
            <w:pPr>
              <w:pStyle w:val="18"/>
              <w:rPr>
                <w:rStyle w:val="15"/>
                <w:sz w:val="21"/>
                <w:szCs w:val="21"/>
              </w:rPr>
            </w:pPr>
          </w:p>
          <w:p>
            <w:pPr>
              <w:pStyle w:val="18"/>
              <w:rPr>
                <w:rStyle w:val="15"/>
                <w:sz w:val="21"/>
                <w:szCs w:val="21"/>
              </w:rPr>
            </w:pPr>
          </w:p>
          <w:p>
            <w:pPr>
              <w:pStyle w:val="18"/>
              <w:spacing w:before="5"/>
              <w:rPr>
                <w:rStyle w:val="15"/>
                <w:sz w:val="21"/>
                <w:szCs w:val="21"/>
              </w:rPr>
            </w:pPr>
          </w:p>
          <w:p>
            <w:pPr>
              <w:pStyle w:val="18"/>
              <w:ind w:left="228"/>
              <w:rPr>
                <w:rStyle w:val="15"/>
                <w:sz w:val="21"/>
                <w:szCs w:val="21"/>
              </w:rPr>
            </w:pPr>
            <w:r>
              <w:rPr>
                <w:rStyle w:val="15"/>
                <w:sz w:val="21"/>
                <w:szCs w:val="21"/>
              </w:rPr>
              <w:t>5.2.1</w:t>
            </w:r>
          </w:p>
        </w:tc>
        <w:tc>
          <w:tcPr>
            <w:tcW w:w="8505" w:type="dxa"/>
          </w:tcPr>
          <w:p>
            <w:pPr>
              <w:pStyle w:val="18"/>
              <w:spacing w:line="270" w:lineRule="exact"/>
              <w:ind w:left="109"/>
              <w:rPr>
                <w:rStyle w:val="15"/>
                <w:sz w:val="21"/>
                <w:szCs w:val="21"/>
              </w:rPr>
            </w:pPr>
            <w:r>
              <w:rPr>
                <w:rStyle w:val="15"/>
                <w:sz w:val="21"/>
                <w:szCs w:val="21"/>
              </w:rPr>
              <w:t>发包人是否提供材料或工程设备：无</w:t>
            </w:r>
          </w:p>
          <w:p>
            <w:pPr>
              <w:pStyle w:val="18"/>
              <w:spacing w:line="300" w:lineRule="atLeast"/>
              <w:ind w:left="106" w:right="-15"/>
              <w:rPr>
                <w:rStyle w:val="15"/>
                <w:sz w:val="21"/>
                <w:szCs w:val="21"/>
              </w:rPr>
            </w:pPr>
            <w:r>
              <w:rPr>
                <w:rStyle w:val="15"/>
                <w:sz w:val="21"/>
                <w:szCs w:val="21"/>
              </w:rPr>
              <w:t>如发包人负责提供部分材料或工程设备，相关规定如下：发包人提供的光圆钢筋、带肋钢筋、用于隧道永久性支护的工字钢等材料的供应数量不超过设计数量（含设计变更）及按交通运输部《公路工程预算定额》（JTG/T B06-02-2007）规定计算的正常施工损耗量之和， 供应价格和供应地点、其他事项等具体规定详见项目专用合同条款第 5.2.1 款的补充规定。投标人相关支付子目的投标报价必须考虑包含光圆 钢筋、带肋钢筋此类材料费（材料价格），以及由此产生的相关税费等一切费用。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6"/>
              <w:ind w:left="8"/>
              <w:jc w:val="center"/>
              <w:rPr>
                <w:rStyle w:val="15"/>
                <w:sz w:val="21"/>
                <w:szCs w:val="21"/>
              </w:rPr>
            </w:pPr>
            <w:r>
              <w:rPr>
                <w:rStyle w:val="15"/>
                <w:sz w:val="21"/>
                <w:szCs w:val="21"/>
              </w:rPr>
              <w:t>7</w:t>
            </w:r>
          </w:p>
        </w:tc>
        <w:tc>
          <w:tcPr>
            <w:tcW w:w="981" w:type="dxa"/>
          </w:tcPr>
          <w:p>
            <w:pPr>
              <w:pStyle w:val="18"/>
              <w:spacing w:before="146"/>
              <w:ind w:left="331"/>
              <w:rPr>
                <w:rStyle w:val="15"/>
                <w:sz w:val="21"/>
                <w:szCs w:val="21"/>
              </w:rPr>
            </w:pPr>
            <w:r>
              <w:rPr>
                <w:rStyle w:val="15"/>
                <w:sz w:val="21"/>
                <w:szCs w:val="21"/>
              </w:rPr>
              <w:t>6.2</w:t>
            </w:r>
          </w:p>
        </w:tc>
        <w:tc>
          <w:tcPr>
            <w:tcW w:w="8505" w:type="dxa"/>
          </w:tcPr>
          <w:p>
            <w:pPr>
              <w:pStyle w:val="18"/>
              <w:spacing w:line="270" w:lineRule="exact"/>
              <w:ind w:left="106"/>
              <w:rPr>
                <w:rStyle w:val="15"/>
                <w:sz w:val="21"/>
                <w:szCs w:val="21"/>
              </w:rPr>
            </w:pPr>
            <w:r>
              <w:rPr>
                <w:rStyle w:val="15"/>
                <w:sz w:val="21"/>
                <w:szCs w:val="21"/>
              </w:rPr>
              <w:t>发包人是否提供施工设施或临时设施：否</w:t>
            </w:r>
          </w:p>
          <w:p>
            <w:pPr>
              <w:pStyle w:val="18"/>
              <w:spacing w:before="25"/>
              <w:ind w:left="106"/>
              <w:rPr>
                <w:rStyle w:val="15"/>
                <w:sz w:val="21"/>
                <w:szCs w:val="21"/>
              </w:rPr>
            </w:pPr>
            <w:r>
              <w:rPr>
                <w:rStyle w:val="15"/>
                <w:sz w:val="21"/>
                <w:szCs w:val="21"/>
              </w:rPr>
              <w:t>如发包人负责提供部分施工设施或临时设施，相关规定如下：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28" w:type="dxa"/>
          </w:tcPr>
          <w:p>
            <w:pPr>
              <w:pStyle w:val="18"/>
              <w:spacing w:before="6"/>
              <w:rPr>
                <w:rStyle w:val="15"/>
                <w:sz w:val="21"/>
                <w:szCs w:val="21"/>
              </w:rPr>
            </w:pPr>
          </w:p>
          <w:p>
            <w:pPr>
              <w:pStyle w:val="18"/>
              <w:ind w:left="8"/>
              <w:jc w:val="center"/>
              <w:rPr>
                <w:rStyle w:val="15"/>
                <w:sz w:val="21"/>
                <w:szCs w:val="21"/>
              </w:rPr>
            </w:pPr>
            <w:r>
              <w:rPr>
                <w:rStyle w:val="15"/>
                <w:sz w:val="21"/>
                <w:szCs w:val="21"/>
              </w:rPr>
              <w:t>8</w:t>
            </w:r>
          </w:p>
        </w:tc>
        <w:tc>
          <w:tcPr>
            <w:tcW w:w="981" w:type="dxa"/>
          </w:tcPr>
          <w:p>
            <w:pPr>
              <w:pStyle w:val="18"/>
              <w:spacing w:before="6"/>
              <w:rPr>
                <w:rStyle w:val="15"/>
                <w:sz w:val="21"/>
                <w:szCs w:val="21"/>
              </w:rPr>
            </w:pPr>
          </w:p>
          <w:p>
            <w:pPr>
              <w:pStyle w:val="18"/>
              <w:ind w:left="228"/>
              <w:rPr>
                <w:rStyle w:val="15"/>
                <w:sz w:val="21"/>
                <w:szCs w:val="21"/>
              </w:rPr>
            </w:pPr>
            <w:r>
              <w:rPr>
                <w:rStyle w:val="15"/>
                <w:sz w:val="21"/>
                <w:szCs w:val="21"/>
              </w:rPr>
              <w:t>8.1.1</w:t>
            </w:r>
          </w:p>
        </w:tc>
        <w:tc>
          <w:tcPr>
            <w:tcW w:w="8505" w:type="dxa"/>
          </w:tcPr>
          <w:p>
            <w:pPr>
              <w:pStyle w:val="18"/>
              <w:spacing w:line="261" w:lineRule="auto"/>
              <w:ind w:left="106" w:right="78"/>
              <w:rPr>
                <w:rStyle w:val="15"/>
                <w:sz w:val="21"/>
                <w:szCs w:val="21"/>
              </w:rPr>
            </w:pPr>
            <w:r>
              <w:rPr>
                <w:rStyle w:val="15"/>
                <w:sz w:val="21"/>
                <w:szCs w:val="21"/>
              </w:rPr>
              <w:t>发包人提供测量基准点、基准线和水准点及其书面资料的期限：承包人接到开工通知后 14 天内</w:t>
            </w:r>
          </w:p>
          <w:p>
            <w:pPr>
              <w:pStyle w:val="18"/>
              <w:spacing w:before="12"/>
              <w:ind w:left="106"/>
              <w:rPr>
                <w:rStyle w:val="15"/>
                <w:sz w:val="21"/>
                <w:szCs w:val="21"/>
              </w:rPr>
            </w:pPr>
            <w:r>
              <w:rPr>
                <w:rStyle w:val="15"/>
                <w:sz w:val="21"/>
                <w:szCs w:val="21"/>
              </w:rPr>
              <w:t>承包人将施工控制网资料报送监理人审批的期限：工程（单项工程）开工 7 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5"/>
              <w:ind w:left="8"/>
              <w:jc w:val="center"/>
              <w:rPr>
                <w:rStyle w:val="15"/>
                <w:sz w:val="21"/>
                <w:szCs w:val="21"/>
              </w:rPr>
            </w:pPr>
            <w:r>
              <w:rPr>
                <w:rStyle w:val="15"/>
                <w:sz w:val="21"/>
                <w:szCs w:val="21"/>
              </w:rPr>
              <w:t>9</w:t>
            </w:r>
          </w:p>
        </w:tc>
        <w:tc>
          <w:tcPr>
            <w:tcW w:w="981" w:type="dxa"/>
          </w:tcPr>
          <w:p>
            <w:pPr>
              <w:pStyle w:val="18"/>
              <w:spacing w:before="15"/>
              <w:ind w:left="279"/>
              <w:rPr>
                <w:rStyle w:val="15"/>
                <w:sz w:val="21"/>
                <w:szCs w:val="21"/>
              </w:rPr>
            </w:pPr>
            <w:r>
              <w:rPr>
                <w:rStyle w:val="15"/>
                <w:sz w:val="21"/>
                <w:szCs w:val="21"/>
              </w:rPr>
              <w:t>11.5</w:t>
            </w:r>
          </w:p>
        </w:tc>
        <w:tc>
          <w:tcPr>
            <w:tcW w:w="8505" w:type="dxa"/>
          </w:tcPr>
          <w:p>
            <w:pPr>
              <w:pStyle w:val="18"/>
              <w:spacing w:before="15"/>
              <w:ind w:left="106"/>
              <w:rPr>
                <w:rStyle w:val="15"/>
                <w:sz w:val="21"/>
                <w:szCs w:val="21"/>
              </w:rPr>
            </w:pPr>
            <w:r>
              <w:rPr>
                <w:rStyle w:val="15"/>
                <w:sz w:val="21"/>
                <w:szCs w:val="21"/>
              </w:rPr>
              <w:t>逾期交工违约金：0.5 万元/天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6"/>
              <w:ind w:left="191" w:right="183"/>
              <w:jc w:val="center"/>
              <w:rPr>
                <w:rStyle w:val="15"/>
                <w:sz w:val="21"/>
                <w:szCs w:val="21"/>
              </w:rPr>
            </w:pPr>
            <w:r>
              <w:rPr>
                <w:rStyle w:val="15"/>
                <w:sz w:val="21"/>
                <w:szCs w:val="21"/>
              </w:rPr>
              <w:t>10</w:t>
            </w:r>
          </w:p>
        </w:tc>
        <w:tc>
          <w:tcPr>
            <w:tcW w:w="981" w:type="dxa"/>
          </w:tcPr>
          <w:p>
            <w:pPr>
              <w:pStyle w:val="18"/>
              <w:spacing w:before="16"/>
              <w:ind w:left="279"/>
              <w:rPr>
                <w:rStyle w:val="15"/>
                <w:sz w:val="21"/>
                <w:szCs w:val="21"/>
              </w:rPr>
            </w:pPr>
            <w:r>
              <w:rPr>
                <w:rStyle w:val="15"/>
                <w:sz w:val="21"/>
                <w:szCs w:val="21"/>
              </w:rPr>
              <w:t>11.5</w:t>
            </w:r>
          </w:p>
        </w:tc>
        <w:tc>
          <w:tcPr>
            <w:tcW w:w="8505" w:type="dxa"/>
          </w:tcPr>
          <w:p>
            <w:pPr>
              <w:pStyle w:val="18"/>
              <w:spacing w:before="16"/>
              <w:ind w:left="106"/>
              <w:rPr>
                <w:rStyle w:val="15"/>
                <w:sz w:val="21"/>
                <w:szCs w:val="21"/>
              </w:rPr>
            </w:pPr>
            <w:r>
              <w:rPr>
                <w:rStyle w:val="15"/>
                <w:sz w:val="21"/>
                <w:szCs w:val="21"/>
              </w:rPr>
              <w:t>逾期交工违约金限额：5%签约合同价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4"/>
              <w:ind w:left="191" w:right="183"/>
              <w:jc w:val="center"/>
              <w:rPr>
                <w:rStyle w:val="15"/>
                <w:sz w:val="21"/>
                <w:szCs w:val="21"/>
              </w:rPr>
            </w:pPr>
            <w:r>
              <w:rPr>
                <w:rStyle w:val="15"/>
                <w:sz w:val="21"/>
                <w:szCs w:val="21"/>
              </w:rPr>
              <w:t>11</w:t>
            </w:r>
          </w:p>
        </w:tc>
        <w:tc>
          <w:tcPr>
            <w:tcW w:w="981" w:type="dxa"/>
          </w:tcPr>
          <w:p>
            <w:pPr>
              <w:pStyle w:val="18"/>
              <w:spacing w:before="14"/>
              <w:ind w:left="279"/>
              <w:rPr>
                <w:rStyle w:val="15"/>
                <w:sz w:val="21"/>
                <w:szCs w:val="21"/>
              </w:rPr>
            </w:pPr>
            <w:r>
              <w:rPr>
                <w:rStyle w:val="15"/>
                <w:sz w:val="21"/>
                <w:szCs w:val="21"/>
              </w:rPr>
              <w:t>11.6</w:t>
            </w:r>
          </w:p>
        </w:tc>
        <w:tc>
          <w:tcPr>
            <w:tcW w:w="8505" w:type="dxa"/>
          </w:tcPr>
          <w:p>
            <w:pPr>
              <w:pStyle w:val="18"/>
              <w:spacing w:before="14"/>
              <w:ind w:left="106"/>
              <w:rPr>
                <w:rStyle w:val="15"/>
                <w:sz w:val="21"/>
                <w:szCs w:val="21"/>
              </w:rPr>
            </w:pPr>
            <w:r>
              <w:rPr>
                <w:rStyle w:val="15"/>
                <w:sz w:val="21"/>
                <w:szCs w:val="21"/>
              </w:rPr>
              <w:t>提前交工的奖金：0 万元/天（前提是发包人要求承包人提前交工）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4"/>
              <w:ind w:left="191" w:right="183"/>
              <w:jc w:val="center"/>
              <w:rPr>
                <w:rStyle w:val="15"/>
                <w:sz w:val="21"/>
                <w:szCs w:val="21"/>
              </w:rPr>
            </w:pPr>
            <w:r>
              <w:rPr>
                <w:rStyle w:val="15"/>
                <w:sz w:val="21"/>
                <w:szCs w:val="21"/>
              </w:rPr>
              <w:t>12</w:t>
            </w:r>
          </w:p>
        </w:tc>
        <w:tc>
          <w:tcPr>
            <w:tcW w:w="981" w:type="dxa"/>
          </w:tcPr>
          <w:p>
            <w:pPr>
              <w:pStyle w:val="18"/>
              <w:spacing w:before="14"/>
              <w:ind w:left="279"/>
              <w:rPr>
                <w:rStyle w:val="15"/>
                <w:sz w:val="21"/>
                <w:szCs w:val="21"/>
              </w:rPr>
            </w:pPr>
            <w:r>
              <w:rPr>
                <w:rStyle w:val="15"/>
                <w:sz w:val="21"/>
                <w:szCs w:val="21"/>
              </w:rPr>
              <w:t>11.6</w:t>
            </w:r>
          </w:p>
        </w:tc>
        <w:tc>
          <w:tcPr>
            <w:tcW w:w="8505" w:type="dxa"/>
          </w:tcPr>
          <w:p>
            <w:pPr>
              <w:pStyle w:val="18"/>
              <w:spacing w:before="14"/>
              <w:ind w:left="106"/>
              <w:rPr>
                <w:rStyle w:val="15"/>
                <w:sz w:val="21"/>
                <w:szCs w:val="21"/>
              </w:rPr>
            </w:pPr>
            <w:r>
              <w:rPr>
                <w:rStyle w:val="15"/>
                <w:sz w:val="21"/>
                <w:szCs w:val="21"/>
              </w:rPr>
              <w:t>提前交工的奖金限额：0%签约合同价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4"/>
              <w:ind w:left="191" w:right="183"/>
              <w:jc w:val="center"/>
              <w:rPr>
                <w:rStyle w:val="15"/>
                <w:sz w:val="21"/>
                <w:szCs w:val="21"/>
              </w:rPr>
            </w:pPr>
            <w:r>
              <w:rPr>
                <w:rStyle w:val="15"/>
                <w:sz w:val="21"/>
                <w:szCs w:val="21"/>
              </w:rPr>
              <w:t>13</w:t>
            </w:r>
          </w:p>
        </w:tc>
        <w:tc>
          <w:tcPr>
            <w:tcW w:w="981" w:type="dxa"/>
          </w:tcPr>
          <w:p>
            <w:pPr>
              <w:pStyle w:val="18"/>
              <w:spacing w:before="144"/>
              <w:ind w:left="173"/>
              <w:rPr>
                <w:rStyle w:val="15"/>
                <w:sz w:val="21"/>
                <w:szCs w:val="21"/>
              </w:rPr>
            </w:pPr>
            <w:r>
              <w:rPr>
                <w:rStyle w:val="15"/>
                <w:sz w:val="21"/>
                <w:szCs w:val="21"/>
              </w:rPr>
              <w:t>15.5.2</w:t>
            </w:r>
          </w:p>
        </w:tc>
        <w:tc>
          <w:tcPr>
            <w:tcW w:w="8505" w:type="dxa"/>
          </w:tcPr>
          <w:p>
            <w:pPr>
              <w:pStyle w:val="18"/>
              <w:spacing w:before="1" w:line="300" w:lineRule="exact"/>
              <w:ind w:left="106" w:right="98"/>
              <w:rPr>
                <w:rStyle w:val="15"/>
                <w:sz w:val="21"/>
                <w:szCs w:val="21"/>
              </w:rPr>
            </w:pPr>
            <w:r>
              <w:rPr>
                <w:rStyle w:val="15"/>
                <w:sz w:val="21"/>
                <w:szCs w:val="21"/>
              </w:rPr>
              <w:t>承包人提出的合理化建议降低了合同价格或者提高了工程经济效益的，发包人按所节约成本的 / %或增加收益的 / %给予奖励（不适用）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28" w:type="dxa"/>
          </w:tcPr>
          <w:p>
            <w:pPr>
              <w:pStyle w:val="18"/>
              <w:spacing w:before="6"/>
              <w:rPr>
                <w:rStyle w:val="15"/>
                <w:sz w:val="21"/>
                <w:szCs w:val="21"/>
              </w:rPr>
            </w:pPr>
          </w:p>
          <w:p>
            <w:pPr>
              <w:pStyle w:val="18"/>
              <w:ind w:left="191" w:right="183"/>
              <w:jc w:val="center"/>
              <w:rPr>
                <w:rStyle w:val="15"/>
                <w:sz w:val="21"/>
                <w:szCs w:val="21"/>
              </w:rPr>
            </w:pPr>
            <w:r>
              <w:rPr>
                <w:rStyle w:val="15"/>
                <w:sz w:val="21"/>
                <w:szCs w:val="21"/>
              </w:rPr>
              <w:t>14</w:t>
            </w:r>
          </w:p>
        </w:tc>
        <w:tc>
          <w:tcPr>
            <w:tcW w:w="981" w:type="dxa"/>
          </w:tcPr>
          <w:p>
            <w:pPr>
              <w:pStyle w:val="18"/>
              <w:spacing w:before="6"/>
              <w:rPr>
                <w:rStyle w:val="15"/>
                <w:sz w:val="21"/>
                <w:szCs w:val="21"/>
              </w:rPr>
            </w:pPr>
          </w:p>
          <w:p>
            <w:pPr>
              <w:pStyle w:val="18"/>
              <w:ind w:left="279"/>
              <w:rPr>
                <w:rStyle w:val="15"/>
                <w:sz w:val="21"/>
                <w:szCs w:val="21"/>
              </w:rPr>
            </w:pPr>
            <w:r>
              <w:rPr>
                <w:rStyle w:val="15"/>
                <w:sz w:val="21"/>
                <w:szCs w:val="21"/>
              </w:rPr>
              <w:t>16.1</w:t>
            </w:r>
          </w:p>
        </w:tc>
        <w:tc>
          <w:tcPr>
            <w:tcW w:w="8505" w:type="dxa"/>
          </w:tcPr>
          <w:p>
            <w:pPr>
              <w:pStyle w:val="18"/>
              <w:spacing w:line="261" w:lineRule="auto"/>
              <w:ind w:left="358" w:right="2695" w:hanging="243"/>
              <w:rPr>
                <w:rStyle w:val="15"/>
                <w:sz w:val="21"/>
                <w:szCs w:val="21"/>
              </w:rPr>
            </w:pPr>
            <w:r>
              <w:rPr>
                <w:rStyle w:val="15"/>
                <w:sz w:val="21"/>
                <w:szCs w:val="21"/>
              </w:rPr>
              <w:t>√ 因物价波动引起的价格调整按照 16.1.2 项约定的原则处理价格调整具体约定详见本项目专用合同条款第 16 条。</w:t>
            </w:r>
          </w:p>
          <w:p>
            <w:pPr>
              <w:pStyle w:val="18"/>
              <w:spacing w:before="11"/>
              <w:ind w:left="106"/>
              <w:rPr>
                <w:rStyle w:val="15"/>
                <w:sz w:val="21"/>
                <w:szCs w:val="21"/>
              </w:rPr>
            </w:pPr>
            <w:r>
              <w:rPr>
                <w:rStyle w:val="15"/>
                <w:sz w:val="21"/>
                <w:szCs w:val="21"/>
              </w:rPr>
              <w:t>□合同期内不调价</w:t>
            </w:r>
          </w:p>
        </w:tc>
      </w:tr>
    </w:tbl>
    <w:p>
      <w:pPr>
        <w:spacing w:after="0"/>
        <w:rPr>
          <w:sz w:val="21"/>
        </w:rPr>
        <w:sectPr>
          <w:pgSz w:w="11910" w:h="16840"/>
          <w:pgMar w:top="1000" w:right="740" w:bottom="760" w:left="620" w:header="808" w:footer="575" w:gutter="0"/>
          <w:pgNumType w:fmt="decimal"/>
        </w:sectPr>
      </w:pPr>
    </w:p>
    <w:p>
      <w:pPr>
        <w:pStyle w:val="3"/>
        <w:spacing w:before="11"/>
        <w:rPr>
          <w:rFonts w:ascii="Times New Roman"/>
          <w:sz w:val="10"/>
        </w:rPr>
      </w:pPr>
    </w:p>
    <w:tbl>
      <w:tblPr>
        <w:tblStyle w:val="14"/>
        <w:tblW w:w="1031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981"/>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5"/>
              <w:ind w:left="191" w:right="183"/>
              <w:jc w:val="center"/>
              <w:rPr>
                <w:sz w:val="21"/>
              </w:rPr>
            </w:pPr>
            <w:r>
              <w:rPr>
                <w:sz w:val="21"/>
              </w:rPr>
              <w:t>15</w:t>
            </w:r>
          </w:p>
        </w:tc>
        <w:tc>
          <w:tcPr>
            <w:tcW w:w="981" w:type="dxa"/>
          </w:tcPr>
          <w:p>
            <w:pPr>
              <w:pStyle w:val="18"/>
              <w:spacing w:line="269" w:lineRule="exact"/>
              <w:ind w:left="173"/>
              <w:rPr>
                <w:rStyle w:val="15"/>
                <w:sz w:val="21"/>
                <w:szCs w:val="21"/>
              </w:rPr>
            </w:pPr>
            <w:r>
              <w:rPr>
                <w:rStyle w:val="15"/>
                <w:sz w:val="21"/>
                <w:szCs w:val="21"/>
              </w:rPr>
              <w:t>17.2.1</w:t>
            </w:r>
          </w:p>
          <w:p>
            <w:pPr>
              <w:pStyle w:val="18"/>
              <w:spacing w:before="25"/>
              <w:ind w:left="228"/>
              <w:rPr>
                <w:rStyle w:val="15"/>
                <w:sz w:val="21"/>
                <w:szCs w:val="21"/>
              </w:rPr>
            </w:pPr>
            <w:r>
              <w:rPr>
                <w:rStyle w:val="15"/>
                <w:sz w:val="21"/>
                <w:szCs w:val="21"/>
              </w:rPr>
              <w:t>（1）</w:t>
            </w:r>
          </w:p>
        </w:tc>
        <w:tc>
          <w:tcPr>
            <w:tcW w:w="8505" w:type="dxa"/>
          </w:tcPr>
          <w:p>
            <w:pPr>
              <w:pStyle w:val="18"/>
              <w:spacing w:before="110"/>
              <w:ind w:left="214"/>
              <w:rPr>
                <w:rStyle w:val="15"/>
                <w:sz w:val="21"/>
                <w:szCs w:val="21"/>
              </w:rPr>
            </w:pPr>
            <w:r>
              <w:rPr>
                <w:rStyle w:val="15"/>
                <w:sz w:val="21"/>
                <w:szCs w:val="21"/>
              </w:rPr>
              <w:t>开工预付款金额：</w:t>
            </w:r>
            <w:r>
              <w:rPr>
                <w:rStyle w:val="15"/>
                <w:rFonts w:hint="eastAsia"/>
                <w:sz w:val="21"/>
                <w:szCs w:val="21"/>
                <w:lang w:eastAsia="zh-CN"/>
              </w:rPr>
              <w:t>本项目无预付款</w:t>
            </w:r>
            <w:r>
              <w:rPr>
                <w:rStyle w:val="1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5"/>
              <w:ind w:left="191" w:right="183"/>
              <w:jc w:val="center"/>
              <w:rPr>
                <w:sz w:val="21"/>
              </w:rPr>
            </w:pPr>
            <w:r>
              <w:rPr>
                <w:sz w:val="21"/>
              </w:rPr>
              <w:t>16</w:t>
            </w:r>
          </w:p>
        </w:tc>
        <w:tc>
          <w:tcPr>
            <w:tcW w:w="981" w:type="dxa"/>
          </w:tcPr>
          <w:p>
            <w:pPr>
              <w:pStyle w:val="18"/>
              <w:spacing w:line="269" w:lineRule="exact"/>
              <w:ind w:left="173"/>
              <w:rPr>
                <w:rStyle w:val="15"/>
                <w:sz w:val="21"/>
                <w:szCs w:val="21"/>
              </w:rPr>
            </w:pPr>
            <w:r>
              <w:rPr>
                <w:rStyle w:val="15"/>
                <w:sz w:val="21"/>
                <w:szCs w:val="21"/>
              </w:rPr>
              <w:t>17.2.1</w:t>
            </w:r>
          </w:p>
          <w:p>
            <w:pPr>
              <w:pStyle w:val="18"/>
              <w:spacing w:before="25"/>
              <w:ind w:left="228"/>
              <w:rPr>
                <w:rStyle w:val="15"/>
                <w:sz w:val="21"/>
                <w:szCs w:val="21"/>
              </w:rPr>
            </w:pPr>
            <w:r>
              <w:rPr>
                <w:rStyle w:val="15"/>
                <w:sz w:val="21"/>
                <w:szCs w:val="21"/>
              </w:rPr>
              <w:t>（2）</w:t>
            </w:r>
          </w:p>
        </w:tc>
        <w:tc>
          <w:tcPr>
            <w:tcW w:w="8505" w:type="dxa"/>
          </w:tcPr>
          <w:p>
            <w:pPr>
              <w:pStyle w:val="18"/>
              <w:spacing w:before="145"/>
              <w:ind w:left="214"/>
              <w:rPr>
                <w:rStyle w:val="15"/>
                <w:sz w:val="21"/>
                <w:szCs w:val="21"/>
              </w:rPr>
            </w:pPr>
            <w:r>
              <w:rPr>
                <w:rStyle w:val="15"/>
                <w:sz w:val="21"/>
                <w:szCs w:val="21"/>
              </w:rPr>
              <w:t>材料、设备预付款比例：/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5"/>
              <w:ind w:left="191" w:right="183"/>
              <w:jc w:val="center"/>
              <w:rPr>
                <w:sz w:val="21"/>
              </w:rPr>
            </w:pPr>
            <w:r>
              <w:rPr>
                <w:sz w:val="21"/>
              </w:rPr>
              <w:t>17</w:t>
            </w:r>
          </w:p>
        </w:tc>
        <w:tc>
          <w:tcPr>
            <w:tcW w:w="981" w:type="dxa"/>
          </w:tcPr>
          <w:p>
            <w:pPr>
              <w:pStyle w:val="18"/>
              <w:spacing w:before="15"/>
              <w:ind w:left="153" w:right="147"/>
              <w:jc w:val="center"/>
              <w:rPr>
                <w:sz w:val="21"/>
              </w:rPr>
            </w:pPr>
            <w:r>
              <w:rPr>
                <w:sz w:val="21"/>
              </w:rPr>
              <w:t>17.3.2</w:t>
            </w:r>
          </w:p>
        </w:tc>
        <w:tc>
          <w:tcPr>
            <w:tcW w:w="8505" w:type="dxa"/>
          </w:tcPr>
          <w:p>
            <w:pPr>
              <w:pStyle w:val="18"/>
              <w:spacing w:before="15"/>
              <w:ind w:left="106"/>
              <w:rPr>
                <w:sz w:val="21"/>
              </w:rPr>
            </w:pPr>
            <w:r>
              <w:rPr>
                <w:sz w:val="21"/>
              </w:rPr>
              <w:t>承包人在每个付款周期末向监理人提交进度付款申请单的份数：</w:t>
            </w:r>
            <w:r>
              <w:rPr>
                <w:sz w:val="21"/>
                <w:u w:val="single"/>
              </w:rPr>
              <w:t>5</w:t>
            </w:r>
            <w:r>
              <w:rPr>
                <w:sz w:val="21"/>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28" w:type="dxa"/>
          </w:tcPr>
          <w:p>
            <w:pPr>
              <w:pStyle w:val="18"/>
              <w:rPr>
                <w:rStyle w:val="15"/>
                <w:sz w:val="21"/>
                <w:szCs w:val="21"/>
              </w:rPr>
            </w:pPr>
          </w:p>
          <w:p>
            <w:pPr>
              <w:pStyle w:val="18"/>
              <w:rPr>
                <w:rStyle w:val="15"/>
                <w:sz w:val="21"/>
                <w:szCs w:val="21"/>
              </w:rPr>
            </w:pPr>
          </w:p>
          <w:p>
            <w:pPr>
              <w:pStyle w:val="18"/>
              <w:spacing w:before="134"/>
              <w:ind w:left="191" w:right="183"/>
              <w:jc w:val="center"/>
              <w:rPr>
                <w:rStyle w:val="15"/>
                <w:sz w:val="21"/>
                <w:szCs w:val="21"/>
              </w:rPr>
            </w:pPr>
            <w:r>
              <w:rPr>
                <w:rStyle w:val="15"/>
                <w:sz w:val="21"/>
                <w:szCs w:val="21"/>
              </w:rPr>
              <w:t>18</w:t>
            </w:r>
          </w:p>
        </w:tc>
        <w:tc>
          <w:tcPr>
            <w:tcW w:w="981" w:type="dxa"/>
          </w:tcPr>
          <w:p>
            <w:pPr>
              <w:pStyle w:val="18"/>
              <w:rPr>
                <w:rStyle w:val="15"/>
                <w:sz w:val="21"/>
                <w:szCs w:val="21"/>
              </w:rPr>
            </w:pPr>
          </w:p>
          <w:p>
            <w:pPr>
              <w:pStyle w:val="18"/>
              <w:spacing w:before="8"/>
              <w:rPr>
                <w:rStyle w:val="15"/>
                <w:sz w:val="21"/>
                <w:szCs w:val="21"/>
              </w:rPr>
            </w:pPr>
          </w:p>
          <w:p>
            <w:pPr>
              <w:pStyle w:val="18"/>
              <w:ind w:left="173"/>
              <w:rPr>
                <w:rStyle w:val="15"/>
                <w:sz w:val="21"/>
                <w:szCs w:val="21"/>
              </w:rPr>
            </w:pPr>
            <w:r>
              <w:rPr>
                <w:rStyle w:val="15"/>
                <w:sz w:val="21"/>
                <w:szCs w:val="21"/>
              </w:rPr>
              <w:t>17.3.3</w:t>
            </w:r>
          </w:p>
          <w:p>
            <w:pPr>
              <w:pStyle w:val="18"/>
              <w:spacing w:before="25"/>
              <w:ind w:left="228"/>
              <w:rPr>
                <w:rStyle w:val="15"/>
                <w:sz w:val="21"/>
                <w:szCs w:val="21"/>
              </w:rPr>
            </w:pPr>
            <w:r>
              <w:rPr>
                <w:rStyle w:val="15"/>
                <w:sz w:val="21"/>
                <w:szCs w:val="21"/>
              </w:rPr>
              <w:t>（1）</w:t>
            </w:r>
          </w:p>
        </w:tc>
        <w:tc>
          <w:tcPr>
            <w:tcW w:w="8505" w:type="dxa"/>
          </w:tcPr>
          <w:p>
            <w:pPr>
              <w:pStyle w:val="18"/>
              <w:spacing w:line="300" w:lineRule="atLeast"/>
              <w:ind w:left="106" w:right="-15"/>
              <w:rPr>
                <w:rStyle w:val="15"/>
                <w:sz w:val="21"/>
                <w:szCs w:val="21"/>
              </w:rPr>
            </w:pPr>
            <w:r>
              <w:rPr>
                <w:rStyle w:val="15"/>
                <w:sz w:val="21"/>
                <w:szCs w:val="21"/>
              </w:rPr>
              <w:t>进度款支付方式：工程</w:t>
            </w:r>
            <w:r>
              <w:rPr>
                <w:rStyle w:val="15"/>
                <w:rFonts w:hint="eastAsia"/>
                <w:sz w:val="21"/>
                <w:szCs w:val="21"/>
                <w:lang w:eastAsia="zh-CN"/>
              </w:rPr>
              <w:t>进度</w:t>
            </w:r>
            <w:r>
              <w:rPr>
                <w:rStyle w:val="15"/>
                <w:sz w:val="21"/>
                <w:szCs w:val="21"/>
              </w:rPr>
              <w:t>款原则上按月支付，合同内进度款支付</w:t>
            </w:r>
            <w:r>
              <w:rPr>
                <w:rStyle w:val="15"/>
                <w:rFonts w:hint="eastAsia"/>
                <w:sz w:val="21"/>
                <w:szCs w:val="21"/>
                <w:lang w:eastAsia="zh-CN"/>
              </w:rPr>
              <w:t>限</w:t>
            </w:r>
            <w:r>
              <w:rPr>
                <w:rStyle w:val="15"/>
                <w:sz w:val="21"/>
                <w:szCs w:val="21"/>
              </w:rPr>
              <w:t>额为已完成</w:t>
            </w:r>
            <w:r>
              <w:rPr>
                <w:rStyle w:val="15"/>
                <w:rFonts w:hint="eastAsia"/>
                <w:sz w:val="21"/>
                <w:szCs w:val="21"/>
                <w:lang w:eastAsia="zh-CN"/>
              </w:rPr>
              <w:t>合格</w:t>
            </w:r>
            <w:r>
              <w:rPr>
                <w:rStyle w:val="15"/>
                <w:sz w:val="21"/>
                <w:szCs w:val="21"/>
              </w:rPr>
              <w:t>工程量的 80%，工程变更部分进度款支付</w:t>
            </w:r>
            <w:r>
              <w:rPr>
                <w:rStyle w:val="15"/>
                <w:rFonts w:hint="eastAsia"/>
                <w:sz w:val="21"/>
                <w:szCs w:val="21"/>
                <w:lang w:eastAsia="zh-CN"/>
              </w:rPr>
              <w:t>限</w:t>
            </w:r>
            <w:r>
              <w:rPr>
                <w:rStyle w:val="15"/>
                <w:sz w:val="21"/>
                <w:szCs w:val="21"/>
              </w:rPr>
              <w:t>额为已完成</w:t>
            </w:r>
            <w:r>
              <w:rPr>
                <w:rStyle w:val="15"/>
                <w:rFonts w:hint="eastAsia"/>
                <w:sz w:val="21"/>
                <w:szCs w:val="21"/>
                <w:lang w:eastAsia="zh-CN"/>
              </w:rPr>
              <w:t>合格</w:t>
            </w:r>
            <w:r>
              <w:rPr>
                <w:rStyle w:val="15"/>
                <w:sz w:val="21"/>
                <w:szCs w:val="21"/>
              </w:rPr>
              <w:t>工程量的</w:t>
            </w:r>
            <w:r>
              <w:rPr>
                <w:rStyle w:val="15"/>
                <w:rFonts w:hint="eastAsia"/>
                <w:sz w:val="21"/>
                <w:szCs w:val="21"/>
                <w:lang w:val="en-US" w:eastAsia="zh-CN"/>
              </w:rPr>
              <w:t>7</w:t>
            </w:r>
            <w:r>
              <w:rPr>
                <w:rStyle w:val="15"/>
                <w:sz w:val="21"/>
                <w:szCs w:val="21"/>
              </w:rPr>
              <w:t>0%；工程</w:t>
            </w:r>
            <w:r>
              <w:rPr>
                <w:rStyle w:val="15"/>
                <w:rFonts w:hint="eastAsia"/>
                <w:sz w:val="21"/>
                <w:szCs w:val="21"/>
                <w:lang w:eastAsia="zh-CN"/>
              </w:rPr>
              <w:t>竣工</w:t>
            </w:r>
            <w:r>
              <w:rPr>
                <w:rStyle w:val="15"/>
                <w:sz w:val="21"/>
                <w:szCs w:val="21"/>
              </w:rPr>
              <w:t>验收达到质量要求，结算经有关部门审定后，工程款支付至结算总价的 97%； 发包人按工程价款结算总额的 3%预留工程质量保修金，待工程</w:t>
            </w:r>
            <w:r>
              <w:rPr>
                <w:rStyle w:val="15"/>
                <w:rFonts w:hint="eastAsia"/>
                <w:sz w:val="21"/>
                <w:szCs w:val="21"/>
                <w:lang w:eastAsia="zh-CN"/>
              </w:rPr>
              <w:t>质量保修期</w:t>
            </w:r>
            <w:r>
              <w:rPr>
                <w:rStyle w:val="15"/>
                <w:sz w:val="21"/>
                <w:szCs w:val="21"/>
              </w:rPr>
              <w:t>满后返还</w:t>
            </w:r>
            <w:r>
              <w:rPr>
                <w:rStyle w:val="15"/>
                <w:rFonts w:hint="eastAsia"/>
                <w:sz w:val="21"/>
                <w:szCs w:val="21"/>
                <w:lang w:eastAsia="zh-CN"/>
              </w:rPr>
              <w:t>（无息）</w:t>
            </w:r>
            <w:r>
              <w:rPr>
                <w:rStyle w:val="1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4"/>
              <w:ind w:left="191" w:right="183"/>
              <w:jc w:val="center"/>
              <w:rPr>
                <w:rStyle w:val="15"/>
                <w:sz w:val="21"/>
                <w:szCs w:val="21"/>
              </w:rPr>
            </w:pPr>
            <w:r>
              <w:rPr>
                <w:rStyle w:val="15"/>
                <w:sz w:val="21"/>
                <w:szCs w:val="21"/>
              </w:rPr>
              <w:t>19</w:t>
            </w:r>
          </w:p>
        </w:tc>
        <w:tc>
          <w:tcPr>
            <w:tcW w:w="981" w:type="dxa"/>
          </w:tcPr>
          <w:p>
            <w:pPr>
              <w:pStyle w:val="18"/>
              <w:spacing w:line="271" w:lineRule="exact"/>
              <w:ind w:left="173"/>
              <w:rPr>
                <w:rStyle w:val="15"/>
                <w:sz w:val="21"/>
                <w:szCs w:val="21"/>
              </w:rPr>
            </w:pPr>
            <w:r>
              <w:rPr>
                <w:rStyle w:val="15"/>
                <w:sz w:val="21"/>
                <w:szCs w:val="21"/>
              </w:rPr>
              <w:t>17.3.3</w:t>
            </w:r>
          </w:p>
          <w:p>
            <w:pPr>
              <w:pStyle w:val="18"/>
              <w:spacing w:before="25"/>
              <w:ind w:left="228"/>
              <w:rPr>
                <w:rStyle w:val="15"/>
                <w:sz w:val="21"/>
                <w:szCs w:val="21"/>
              </w:rPr>
            </w:pPr>
            <w:r>
              <w:rPr>
                <w:rStyle w:val="15"/>
                <w:sz w:val="21"/>
                <w:szCs w:val="21"/>
              </w:rPr>
              <w:t>（2）</w:t>
            </w:r>
          </w:p>
        </w:tc>
        <w:tc>
          <w:tcPr>
            <w:tcW w:w="8505" w:type="dxa"/>
          </w:tcPr>
          <w:p>
            <w:pPr>
              <w:pStyle w:val="18"/>
              <w:spacing w:before="144"/>
              <w:ind w:left="106"/>
              <w:rPr>
                <w:rStyle w:val="15"/>
                <w:sz w:val="21"/>
                <w:szCs w:val="21"/>
              </w:rPr>
            </w:pPr>
            <w:r>
              <w:rPr>
                <w:rStyle w:val="15"/>
                <w:sz w:val="21"/>
                <w:szCs w:val="21"/>
              </w:rPr>
              <w:t>逾期付款违约金的利率：相当于中国人民银行短期贷款利率加手续费。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4"/>
              <w:ind w:left="191" w:right="183"/>
              <w:jc w:val="center"/>
              <w:rPr>
                <w:sz w:val="21"/>
              </w:rPr>
            </w:pPr>
            <w:r>
              <w:rPr>
                <w:sz w:val="21"/>
              </w:rPr>
              <w:t>20</w:t>
            </w:r>
          </w:p>
        </w:tc>
        <w:tc>
          <w:tcPr>
            <w:tcW w:w="981" w:type="dxa"/>
          </w:tcPr>
          <w:p>
            <w:pPr>
              <w:pStyle w:val="18"/>
              <w:spacing w:before="14"/>
              <w:ind w:left="153" w:right="147"/>
              <w:jc w:val="center"/>
              <w:rPr>
                <w:sz w:val="21"/>
              </w:rPr>
            </w:pPr>
            <w:r>
              <w:rPr>
                <w:sz w:val="21"/>
              </w:rPr>
              <w:t>17.4.1</w:t>
            </w:r>
          </w:p>
        </w:tc>
        <w:tc>
          <w:tcPr>
            <w:tcW w:w="8505" w:type="dxa"/>
          </w:tcPr>
          <w:p>
            <w:pPr>
              <w:pStyle w:val="18"/>
              <w:spacing w:before="14"/>
              <w:ind w:left="106"/>
              <w:rPr>
                <w:sz w:val="21"/>
              </w:rPr>
            </w:pPr>
            <w:r>
              <w:rPr>
                <w:sz w:val="21"/>
              </w:rPr>
              <w:t xml:space="preserve">质量保证金百分比：月计量额的 </w:t>
            </w:r>
            <w:r>
              <w:rPr>
                <w:sz w:val="21"/>
                <w:u w:val="single"/>
              </w:rPr>
              <w:t>3</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28" w:type="dxa"/>
          </w:tcPr>
          <w:p>
            <w:pPr>
              <w:pStyle w:val="18"/>
              <w:rPr>
                <w:rFonts w:ascii="Times New Roman"/>
                <w:sz w:val="20"/>
              </w:rPr>
            </w:pPr>
          </w:p>
          <w:p>
            <w:pPr>
              <w:pStyle w:val="18"/>
              <w:spacing w:before="7"/>
              <w:rPr>
                <w:rFonts w:ascii="Times New Roman"/>
                <w:sz w:val="18"/>
              </w:rPr>
            </w:pPr>
          </w:p>
          <w:p>
            <w:pPr>
              <w:pStyle w:val="18"/>
              <w:ind w:left="191" w:right="183"/>
              <w:jc w:val="center"/>
              <w:rPr>
                <w:sz w:val="21"/>
              </w:rPr>
            </w:pPr>
            <w:r>
              <w:rPr>
                <w:sz w:val="21"/>
              </w:rPr>
              <w:t>21</w:t>
            </w:r>
          </w:p>
        </w:tc>
        <w:tc>
          <w:tcPr>
            <w:tcW w:w="981" w:type="dxa"/>
          </w:tcPr>
          <w:p>
            <w:pPr>
              <w:pStyle w:val="18"/>
              <w:rPr>
                <w:rFonts w:ascii="Times New Roman"/>
                <w:sz w:val="20"/>
              </w:rPr>
            </w:pPr>
          </w:p>
          <w:p>
            <w:pPr>
              <w:pStyle w:val="18"/>
              <w:spacing w:before="7"/>
              <w:rPr>
                <w:rFonts w:ascii="Times New Roman"/>
                <w:sz w:val="18"/>
              </w:rPr>
            </w:pPr>
          </w:p>
          <w:p>
            <w:pPr>
              <w:pStyle w:val="18"/>
              <w:ind w:left="153" w:right="147"/>
              <w:jc w:val="center"/>
              <w:rPr>
                <w:sz w:val="21"/>
              </w:rPr>
            </w:pPr>
            <w:r>
              <w:rPr>
                <w:sz w:val="21"/>
              </w:rPr>
              <w:t>17.4.1</w:t>
            </w:r>
          </w:p>
        </w:tc>
        <w:tc>
          <w:tcPr>
            <w:tcW w:w="8505" w:type="dxa"/>
          </w:tcPr>
          <w:p>
            <w:pPr>
              <w:pStyle w:val="18"/>
              <w:spacing w:before="1" w:line="300" w:lineRule="exact"/>
              <w:ind w:left="106" w:right="96"/>
              <w:jc w:val="both"/>
              <w:rPr>
                <w:sz w:val="21"/>
              </w:rPr>
            </w:pPr>
            <w:r>
              <w:rPr>
                <w:sz w:val="21"/>
              </w:rPr>
              <w:t>质量保证金限额：</w:t>
            </w:r>
            <w:r>
              <w:rPr>
                <w:sz w:val="21"/>
                <w:u w:val="single"/>
              </w:rPr>
              <w:t>3</w:t>
            </w:r>
            <w:r>
              <w:rPr>
                <w:sz w:val="21"/>
              </w:rPr>
              <w:t>%合同价格，若交工验收时承包人具备被广西壮族自治区交通运输厅评定的最高信用等级（AA</w:t>
            </w:r>
            <w:r>
              <w:rPr>
                <w:spacing w:val="-32"/>
                <w:sz w:val="21"/>
              </w:rPr>
              <w:t xml:space="preserve"> 级</w:t>
            </w:r>
            <w:r>
              <w:rPr>
                <w:sz w:val="21"/>
              </w:rPr>
              <w:t>），</w:t>
            </w:r>
            <w:r>
              <w:rPr>
                <w:spacing w:val="-11"/>
                <w:sz w:val="21"/>
              </w:rPr>
              <w:t xml:space="preserve">发包人给予 </w:t>
            </w:r>
            <w:r>
              <w:rPr>
                <w:sz w:val="21"/>
                <w:u w:val="single"/>
              </w:rPr>
              <w:t>2</w:t>
            </w:r>
            <w:r>
              <w:rPr>
                <w:sz w:val="21"/>
              </w:rPr>
              <w:t>%合同价格质量保证金的优惠，并在工程通过交工验收后向承包人返还质量保证金优惠的金额（</w:t>
            </w:r>
            <w:r>
              <w:rPr>
                <w:spacing w:val="-2"/>
                <w:sz w:val="21"/>
              </w:rPr>
              <w:t xml:space="preserve">即可提前向承包人退还 </w:t>
            </w:r>
            <w:r>
              <w:rPr>
                <w:sz w:val="21"/>
              </w:rPr>
              <w:t>2%合同价格质量保</w:t>
            </w:r>
            <w:r>
              <w:rPr>
                <w:w w:val="95"/>
                <w:sz w:val="21"/>
              </w:rPr>
              <w:t>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828" w:type="dxa"/>
          </w:tcPr>
          <w:p>
            <w:pPr>
              <w:pStyle w:val="18"/>
              <w:spacing w:before="13"/>
              <w:ind w:left="191" w:right="183"/>
              <w:jc w:val="center"/>
              <w:rPr>
                <w:sz w:val="21"/>
              </w:rPr>
            </w:pPr>
            <w:r>
              <w:rPr>
                <w:sz w:val="21"/>
              </w:rPr>
              <w:t>22</w:t>
            </w:r>
          </w:p>
        </w:tc>
        <w:tc>
          <w:tcPr>
            <w:tcW w:w="981" w:type="dxa"/>
          </w:tcPr>
          <w:p>
            <w:pPr>
              <w:pStyle w:val="18"/>
              <w:spacing w:before="13"/>
              <w:ind w:left="153" w:right="147"/>
              <w:jc w:val="center"/>
              <w:rPr>
                <w:sz w:val="21"/>
              </w:rPr>
            </w:pPr>
            <w:r>
              <w:rPr>
                <w:sz w:val="21"/>
              </w:rPr>
              <w:t>17.5.1</w:t>
            </w:r>
          </w:p>
        </w:tc>
        <w:tc>
          <w:tcPr>
            <w:tcW w:w="8505" w:type="dxa"/>
          </w:tcPr>
          <w:p>
            <w:pPr>
              <w:pStyle w:val="18"/>
              <w:spacing w:before="13"/>
              <w:ind w:left="106"/>
              <w:rPr>
                <w:sz w:val="21"/>
              </w:rPr>
            </w:pPr>
            <w:r>
              <w:rPr>
                <w:sz w:val="21"/>
              </w:rPr>
              <w:t>承包人向监理人提交交工付款申请单（包括相关证明材料）的份数：</w:t>
            </w:r>
            <w:r>
              <w:rPr>
                <w:sz w:val="21"/>
                <w:u w:val="single"/>
              </w:rPr>
              <w:t>2</w:t>
            </w:r>
            <w:r>
              <w:rPr>
                <w:sz w:val="21"/>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5"/>
              <w:ind w:left="191" w:right="183"/>
              <w:jc w:val="center"/>
              <w:rPr>
                <w:sz w:val="21"/>
              </w:rPr>
            </w:pPr>
            <w:r>
              <w:rPr>
                <w:sz w:val="21"/>
              </w:rPr>
              <w:t>23</w:t>
            </w:r>
          </w:p>
        </w:tc>
        <w:tc>
          <w:tcPr>
            <w:tcW w:w="981" w:type="dxa"/>
          </w:tcPr>
          <w:p>
            <w:pPr>
              <w:pStyle w:val="18"/>
              <w:spacing w:before="15"/>
              <w:ind w:left="153" w:right="147"/>
              <w:jc w:val="center"/>
              <w:rPr>
                <w:sz w:val="21"/>
              </w:rPr>
            </w:pPr>
            <w:r>
              <w:rPr>
                <w:sz w:val="21"/>
              </w:rPr>
              <w:t>17.6.1</w:t>
            </w:r>
          </w:p>
        </w:tc>
        <w:tc>
          <w:tcPr>
            <w:tcW w:w="8505" w:type="dxa"/>
          </w:tcPr>
          <w:p>
            <w:pPr>
              <w:pStyle w:val="18"/>
              <w:spacing w:before="15"/>
              <w:ind w:left="106"/>
              <w:rPr>
                <w:sz w:val="21"/>
              </w:rPr>
            </w:pPr>
            <w:r>
              <w:rPr>
                <w:sz w:val="21"/>
              </w:rPr>
              <w:t>承包人向监理人提交最终结清申请单（包括相关证明材料）的份数：</w:t>
            </w:r>
            <w:r>
              <w:rPr>
                <w:sz w:val="21"/>
                <w:u w:val="single"/>
              </w:rPr>
              <w:t>2</w:t>
            </w:r>
            <w:r>
              <w:rPr>
                <w:sz w:val="21"/>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5"/>
              <w:ind w:left="191" w:right="183"/>
              <w:jc w:val="center"/>
              <w:rPr>
                <w:sz w:val="21"/>
              </w:rPr>
            </w:pPr>
            <w:r>
              <w:rPr>
                <w:sz w:val="21"/>
              </w:rPr>
              <w:t>24</w:t>
            </w:r>
          </w:p>
        </w:tc>
        <w:tc>
          <w:tcPr>
            <w:tcW w:w="981" w:type="dxa"/>
          </w:tcPr>
          <w:p>
            <w:pPr>
              <w:pStyle w:val="18"/>
              <w:spacing w:before="15"/>
              <w:ind w:left="153" w:right="145"/>
              <w:jc w:val="center"/>
              <w:rPr>
                <w:sz w:val="21"/>
              </w:rPr>
            </w:pPr>
            <w:r>
              <w:rPr>
                <w:sz w:val="21"/>
              </w:rPr>
              <w:t>18.2</w:t>
            </w:r>
          </w:p>
        </w:tc>
        <w:tc>
          <w:tcPr>
            <w:tcW w:w="8505" w:type="dxa"/>
          </w:tcPr>
          <w:p>
            <w:pPr>
              <w:pStyle w:val="18"/>
              <w:spacing w:before="15"/>
              <w:ind w:left="106"/>
              <w:rPr>
                <w:sz w:val="21"/>
              </w:rPr>
            </w:pPr>
            <w:r>
              <w:rPr>
                <w:sz w:val="21"/>
              </w:rPr>
              <w:t>竣工资料的份数：</w:t>
            </w:r>
            <w:r>
              <w:rPr>
                <w:sz w:val="21"/>
                <w:u w:val="single"/>
              </w:rPr>
              <w:t>3</w:t>
            </w:r>
            <w:r>
              <w:rPr>
                <w:sz w:val="21"/>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28" w:type="dxa"/>
          </w:tcPr>
          <w:p>
            <w:pPr>
              <w:pStyle w:val="18"/>
              <w:spacing w:before="6"/>
              <w:rPr>
                <w:rFonts w:ascii="Times New Roman"/>
                <w:sz w:val="25"/>
              </w:rPr>
            </w:pPr>
          </w:p>
          <w:p>
            <w:pPr>
              <w:pStyle w:val="18"/>
              <w:spacing w:before="1"/>
              <w:ind w:left="191" w:right="183"/>
              <w:jc w:val="center"/>
              <w:rPr>
                <w:sz w:val="21"/>
              </w:rPr>
            </w:pPr>
            <w:r>
              <w:rPr>
                <w:sz w:val="21"/>
              </w:rPr>
              <w:t>25</w:t>
            </w:r>
          </w:p>
        </w:tc>
        <w:tc>
          <w:tcPr>
            <w:tcW w:w="981" w:type="dxa"/>
          </w:tcPr>
          <w:p>
            <w:pPr>
              <w:pStyle w:val="18"/>
              <w:spacing w:before="6"/>
              <w:rPr>
                <w:rStyle w:val="15"/>
                <w:sz w:val="21"/>
                <w:szCs w:val="21"/>
              </w:rPr>
            </w:pPr>
          </w:p>
          <w:p>
            <w:pPr>
              <w:pStyle w:val="18"/>
              <w:spacing w:before="1"/>
              <w:ind w:left="153" w:right="147"/>
              <w:jc w:val="center"/>
              <w:rPr>
                <w:rStyle w:val="15"/>
                <w:sz w:val="21"/>
                <w:szCs w:val="21"/>
              </w:rPr>
            </w:pPr>
            <w:r>
              <w:rPr>
                <w:rStyle w:val="15"/>
                <w:sz w:val="21"/>
                <w:szCs w:val="21"/>
              </w:rPr>
              <w:t>18.5.1</w:t>
            </w:r>
          </w:p>
        </w:tc>
        <w:tc>
          <w:tcPr>
            <w:tcW w:w="8505" w:type="dxa"/>
          </w:tcPr>
          <w:p>
            <w:pPr>
              <w:pStyle w:val="18"/>
              <w:spacing w:line="269" w:lineRule="exact"/>
              <w:ind w:left="106"/>
              <w:rPr>
                <w:rStyle w:val="15"/>
                <w:sz w:val="21"/>
                <w:szCs w:val="21"/>
              </w:rPr>
            </w:pPr>
            <w:r>
              <w:rPr>
                <w:rStyle w:val="15"/>
                <w:sz w:val="21"/>
                <w:szCs w:val="21"/>
              </w:rPr>
              <w:t>单位工程或工程设备是否需投入施工期运营：否</w:t>
            </w:r>
          </w:p>
          <w:p>
            <w:pPr>
              <w:pStyle w:val="18"/>
              <w:spacing w:line="300" w:lineRule="atLeast"/>
              <w:ind w:left="106" w:right="98"/>
              <w:rPr>
                <w:rStyle w:val="15"/>
                <w:sz w:val="21"/>
                <w:szCs w:val="21"/>
              </w:rPr>
            </w:pPr>
            <w:r>
              <w:rPr>
                <w:rStyle w:val="15"/>
                <w:sz w:val="21"/>
                <w:szCs w:val="21"/>
              </w:rPr>
              <w:t xml:space="preserve">如单位工程或工程设备需要进行施工期运行，需要施工期运行的单位工程或工程设备规定如下：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5"/>
              <w:ind w:left="191" w:right="183"/>
              <w:jc w:val="center"/>
              <w:rPr>
                <w:sz w:val="21"/>
              </w:rPr>
            </w:pPr>
            <w:r>
              <w:rPr>
                <w:sz w:val="21"/>
              </w:rPr>
              <w:t>26</w:t>
            </w:r>
          </w:p>
        </w:tc>
        <w:tc>
          <w:tcPr>
            <w:tcW w:w="981" w:type="dxa"/>
          </w:tcPr>
          <w:p>
            <w:pPr>
              <w:pStyle w:val="18"/>
              <w:spacing w:before="145"/>
              <w:ind w:left="153" w:right="147"/>
              <w:jc w:val="center"/>
              <w:rPr>
                <w:rStyle w:val="15"/>
                <w:sz w:val="21"/>
                <w:szCs w:val="21"/>
              </w:rPr>
            </w:pPr>
            <w:r>
              <w:rPr>
                <w:rStyle w:val="15"/>
                <w:sz w:val="21"/>
                <w:szCs w:val="21"/>
              </w:rPr>
              <w:t>18.6.1</w:t>
            </w:r>
          </w:p>
        </w:tc>
        <w:tc>
          <w:tcPr>
            <w:tcW w:w="8505" w:type="dxa"/>
          </w:tcPr>
          <w:p>
            <w:pPr>
              <w:pStyle w:val="18"/>
              <w:spacing w:line="269" w:lineRule="exact"/>
              <w:ind w:left="106"/>
              <w:rPr>
                <w:rStyle w:val="15"/>
                <w:sz w:val="21"/>
                <w:szCs w:val="21"/>
              </w:rPr>
            </w:pPr>
            <w:r>
              <w:rPr>
                <w:rStyle w:val="15"/>
                <w:sz w:val="21"/>
                <w:szCs w:val="21"/>
              </w:rPr>
              <w:t>本工程及工程设备是否进行试运行：否</w:t>
            </w:r>
          </w:p>
          <w:p>
            <w:pPr>
              <w:pStyle w:val="18"/>
              <w:tabs>
                <w:tab w:val="left" w:pos="6406"/>
              </w:tabs>
              <w:spacing w:before="25"/>
              <w:ind w:left="106"/>
              <w:rPr>
                <w:rStyle w:val="15"/>
                <w:sz w:val="21"/>
                <w:szCs w:val="21"/>
              </w:rPr>
            </w:pPr>
            <w:r>
              <w:rPr>
                <w:rStyle w:val="15"/>
                <w:sz w:val="21"/>
                <w:szCs w:val="21"/>
              </w:rPr>
              <w:t>如本工程及工程设备需要进行试运行，试运行的具体规定如下： /</w:t>
            </w:r>
            <w:r>
              <w:rPr>
                <w:rStyle w:val="15"/>
                <w:sz w:val="21"/>
                <w:szCs w:val="21"/>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5"/>
              <w:ind w:left="191" w:right="183"/>
              <w:jc w:val="center"/>
              <w:rPr>
                <w:sz w:val="21"/>
              </w:rPr>
            </w:pPr>
            <w:r>
              <w:rPr>
                <w:sz w:val="21"/>
              </w:rPr>
              <w:t>27</w:t>
            </w:r>
          </w:p>
        </w:tc>
        <w:tc>
          <w:tcPr>
            <w:tcW w:w="981" w:type="dxa"/>
          </w:tcPr>
          <w:p>
            <w:pPr>
              <w:pStyle w:val="18"/>
              <w:spacing w:before="15"/>
              <w:ind w:left="153" w:right="145"/>
              <w:jc w:val="center"/>
              <w:rPr>
                <w:rStyle w:val="15"/>
                <w:sz w:val="21"/>
                <w:szCs w:val="21"/>
              </w:rPr>
            </w:pPr>
            <w:r>
              <w:rPr>
                <w:rStyle w:val="15"/>
                <w:sz w:val="21"/>
                <w:szCs w:val="21"/>
              </w:rPr>
              <w:t>19.7</w:t>
            </w:r>
          </w:p>
        </w:tc>
        <w:tc>
          <w:tcPr>
            <w:tcW w:w="8505" w:type="dxa"/>
          </w:tcPr>
          <w:p>
            <w:pPr>
              <w:pStyle w:val="18"/>
              <w:spacing w:before="15"/>
              <w:ind w:left="106"/>
              <w:rPr>
                <w:rStyle w:val="15"/>
                <w:sz w:val="21"/>
                <w:szCs w:val="21"/>
              </w:rPr>
            </w:pPr>
            <w:r>
              <w:rPr>
                <w:rStyle w:val="15"/>
                <w:sz w:val="21"/>
                <w:szCs w:val="21"/>
              </w:rPr>
              <w:t>保修期：按附件十二：工程质量保修书执行。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28" w:type="dxa"/>
          </w:tcPr>
          <w:p>
            <w:pPr>
              <w:pStyle w:val="18"/>
              <w:spacing w:before="15"/>
              <w:ind w:left="191" w:right="183"/>
              <w:jc w:val="center"/>
              <w:rPr>
                <w:sz w:val="21"/>
              </w:rPr>
            </w:pPr>
            <w:r>
              <w:rPr>
                <w:sz w:val="21"/>
              </w:rPr>
              <w:t>28</w:t>
            </w:r>
          </w:p>
        </w:tc>
        <w:tc>
          <w:tcPr>
            <w:tcW w:w="981" w:type="dxa"/>
          </w:tcPr>
          <w:p>
            <w:pPr>
              <w:pStyle w:val="18"/>
              <w:spacing w:before="15"/>
              <w:ind w:left="153" w:right="145"/>
              <w:jc w:val="center"/>
              <w:rPr>
                <w:rStyle w:val="15"/>
                <w:sz w:val="21"/>
                <w:szCs w:val="21"/>
              </w:rPr>
            </w:pPr>
            <w:r>
              <w:rPr>
                <w:rStyle w:val="15"/>
                <w:sz w:val="21"/>
                <w:szCs w:val="21"/>
              </w:rPr>
              <w:t>20.1</w:t>
            </w:r>
          </w:p>
        </w:tc>
        <w:tc>
          <w:tcPr>
            <w:tcW w:w="8505" w:type="dxa"/>
          </w:tcPr>
          <w:p>
            <w:pPr>
              <w:pStyle w:val="18"/>
              <w:spacing w:before="15"/>
              <w:ind w:left="106"/>
              <w:rPr>
                <w:rStyle w:val="15"/>
                <w:sz w:val="21"/>
                <w:szCs w:val="21"/>
              </w:rPr>
            </w:pPr>
            <w:r>
              <w:rPr>
                <w:rStyle w:val="15"/>
                <w:sz w:val="21"/>
                <w:szCs w:val="21"/>
              </w:rPr>
              <w:t>建筑工程一切险的保险费率：3‰（千分之叁）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5"/>
              <w:ind w:left="191" w:right="183"/>
              <w:jc w:val="center"/>
              <w:rPr>
                <w:sz w:val="21"/>
              </w:rPr>
            </w:pPr>
            <w:r>
              <w:rPr>
                <w:sz w:val="21"/>
              </w:rPr>
              <w:t>29</w:t>
            </w:r>
          </w:p>
        </w:tc>
        <w:tc>
          <w:tcPr>
            <w:tcW w:w="981" w:type="dxa"/>
          </w:tcPr>
          <w:p>
            <w:pPr>
              <w:pStyle w:val="18"/>
              <w:spacing w:before="145"/>
              <w:ind w:left="153" w:right="147"/>
              <w:jc w:val="center"/>
              <w:rPr>
                <w:rStyle w:val="15"/>
                <w:sz w:val="21"/>
                <w:szCs w:val="21"/>
              </w:rPr>
            </w:pPr>
            <w:r>
              <w:rPr>
                <w:rStyle w:val="15"/>
                <w:sz w:val="21"/>
                <w:szCs w:val="21"/>
              </w:rPr>
              <w:t>20.4.2</w:t>
            </w:r>
          </w:p>
        </w:tc>
        <w:tc>
          <w:tcPr>
            <w:tcW w:w="8505" w:type="dxa"/>
          </w:tcPr>
          <w:p>
            <w:pPr>
              <w:pStyle w:val="18"/>
              <w:spacing w:line="269" w:lineRule="exact"/>
              <w:ind w:left="106"/>
              <w:rPr>
                <w:rStyle w:val="15"/>
                <w:sz w:val="21"/>
                <w:szCs w:val="21"/>
              </w:rPr>
            </w:pPr>
            <w:r>
              <w:rPr>
                <w:rStyle w:val="15"/>
                <w:sz w:val="21"/>
                <w:szCs w:val="21"/>
              </w:rPr>
              <w:t>第三者责任险的最低投保金额：300 万元，事故次数不限（不计免赔额）</w:t>
            </w:r>
          </w:p>
          <w:p>
            <w:pPr>
              <w:pStyle w:val="18"/>
              <w:spacing w:before="25"/>
              <w:ind w:left="106"/>
              <w:rPr>
                <w:rStyle w:val="15"/>
                <w:sz w:val="21"/>
                <w:szCs w:val="21"/>
              </w:rPr>
            </w:pPr>
            <w:r>
              <w:rPr>
                <w:rStyle w:val="15"/>
                <w:sz w:val="21"/>
                <w:szCs w:val="21"/>
              </w:rPr>
              <w:t>保险费率：3‰（千分之叁）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8" w:type="dxa"/>
          </w:tcPr>
          <w:p>
            <w:pPr>
              <w:pStyle w:val="18"/>
              <w:spacing w:before="145"/>
              <w:ind w:left="191" w:right="183"/>
              <w:jc w:val="center"/>
              <w:rPr>
                <w:sz w:val="21"/>
              </w:rPr>
            </w:pPr>
            <w:r>
              <w:rPr>
                <w:sz w:val="21"/>
              </w:rPr>
              <w:t>30</w:t>
            </w:r>
          </w:p>
        </w:tc>
        <w:tc>
          <w:tcPr>
            <w:tcW w:w="981" w:type="dxa"/>
          </w:tcPr>
          <w:p>
            <w:pPr>
              <w:pStyle w:val="18"/>
              <w:spacing w:before="145"/>
              <w:ind w:left="153" w:right="145"/>
              <w:jc w:val="center"/>
              <w:rPr>
                <w:rStyle w:val="15"/>
                <w:sz w:val="21"/>
                <w:szCs w:val="21"/>
              </w:rPr>
            </w:pPr>
            <w:r>
              <w:rPr>
                <w:rStyle w:val="15"/>
                <w:sz w:val="21"/>
                <w:szCs w:val="21"/>
              </w:rPr>
              <w:t>24.1</w:t>
            </w:r>
          </w:p>
        </w:tc>
        <w:tc>
          <w:tcPr>
            <w:tcW w:w="8505" w:type="dxa"/>
          </w:tcPr>
          <w:p>
            <w:pPr>
              <w:pStyle w:val="18"/>
              <w:spacing w:line="269" w:lineRule="exact"/>
              <w:ind w:left="106"/>
              <w:rPr>
                <w:rStyle w:val="15"/>
                <w:sz w:val="21"/>
                <w:szCs w:val="21"/>
              </w:rPr>
            </w:pPr>
            <w:r>
              <w:rPr>
                <w:rStyle w:val="15"/>
                <w:sz w:val="21"/>
                <w:szCs w:val="21"/>
              </w:rPr>
              <w:t>争议的最终解决方式：向发包人所在地具有管辖权的人民法院提起诉讼</w:t>
            </w:r>
          </w:p>
          <w:p>
            <w:pPr>
              <w:pStyle w:val="18"/>
              <w:spacing w:before="25"/>
              <w:ind w:left="106"/>
              <w:rPr>
                <w:rStyle w:val="15"/>
                <w:sz w:val="21"/>
                <w:szCs w:val="21"/>
              </w:rPr>
            </w:pPr>
            <w:r>
              <w:rPr>
                <w:rStyle w:val="15"/>
                <w:sz w:val="21"/>
                <w:szCs w:val="21"/>
              </w:rPr>
              <w:t>如采用仲裁，仲载委员会名称：/（不适用）</w:t>
            </w:r>
          </w:p>
        </w:tc>
      </w:tr>
    </w:tbl>
    <w:p>
      <w:pPr>
        <w:spacing w:after="0"/>
        <w:rPr>
          <w:sz w:val="21"/>
        </w:rPr>
        <w:sectPr>
          <w:footerReference r:id="rId9" w:type="default"/>
          <w:pgSz w:w="11910" w:h="16840"/>
          <w:pgMar w:top="1000" w:right="740" w:bottom="760" w:left="620" w:header="808" w:footer="575" w:gutter="0"/>
          <w:pgNumType w:fmt="decimal"/>
        </w:sectPr>
      </w:pPr>
    </w:p>
    <w:p>
      <w:pPr>
        <w:pStyle w:val="3"/>
        <w:rPr>
          <w:rFonts w:ascii="Times New Roman"/>
          <w:sz w:val="20"/>
        </w:rPr>
      </w:pPr>
    </w:p>
    <w:p>
      <w:pPr>
        <w:pStyle w:val="3"/>
        <w:spacing w:before="2"/>
        <w:rPr>
          <w:rFonts w:ascii="Times New Roman"/>
          <w:sz w:val="29"/>
        </w:rPr>
      </w:pPr>
    </w:p>
    <w:p>
      <w:pPr>
        <w:pStyle w:val="9"/>
      </w:pPr>
      <w:bookmarkStart w:id="281" w:name="（二）项目专用合同条款"/>
      <w:bookmarkEnd w:id="281"/>
      <w:r>
        <w:rPr>
          <w:w w:val="95"/>
        </w:rPr>
        <w:t>（二）项目专用合同条款</w:t>
      </w:r>
    </w:p>
    <w:p>
      <w:pPr>
        <w:pStyle w:val="3"/>
        <w:rPr>
          <w:b/>
          <w:sz w:val="20"/>
        </w:rPr>
      </w:pPr>
    </w:p>
    <w:p>
      <w:pPr>
        <w:pStyle w:val="3"/>
        <w:rPr>
          <w:b/>
          <w:sz w:val="20"/>
        </w:rPr>
      </w:pPr>
    </w:p>
    <w:p>
      <w:pPr>
        <w:pStyle w:val="3"/>
        <w:spacing w:line="350" w:lineRule="auto"/>
        <w:ind w:left="112" w:right="108"/>
        <w:rPr>
          <w:rStyle w:val="15"/>
        </w:rPr>
      </w:pPr>
      <w:r>
        <w:rPr>
          <w:b/>
          <w:spacing w:val="-9"/>
          <w:w w:val="95"/>
        </w:rPr>
        <w:t>说明：</w:t>
      </w:r>
      <w:r>
        <w:rPr>
          <w:rStyle w:val="15"/>
        </w:rPr>
        <w:t>本部分所列的项目专用合同条款是对“公路工程专用合同条款”中规定必须在项目专用合同条款中明确的    内容，以及对通用合同条款、公路工程专用合同条款的补充、细化。</w:t>
      </w:r>
    </w:p>
    <w:p>
      <w:pPr>
        <w:pStyle w:val="3"/>
        <w:rPr>
          <w:sz w:val="20"/>
        </w:rPr>
      </w:pPr>
    </w:p>
    <w:p>
      <w:pPr>
        <w:pStyle w:val="9"/>
        <w:spacing w:before="165"/>
      </w:pPr>
      <w:r>
        <w:t>1.1 词语定义</w:t>
      </w:r>
    </w:p>
    <w:p>
      <w:pPr>
        <w:pStyle w:val="3"/>
        <w:spacing w:before="125" w:line="350" w:lineRule="auto"/>
        <w:ind w:left="112" w:right="110" w:firstLine="480"/>
        <w:jc w:val="both"/>
        <w:rPr>
          <w:color w:val="auto"/>
        </w:rPr>
      </w:pPr>
      <w:r>
        <w:rPr>
          <w:spacing w:val="-19"/>
        </w:rPr>
        <w:t xml:space="preserve">第 </w:t>
      </w:r>
      <w:r>
        <w:t>1.1.2.2</w:t>
      </w:r>
      <w:r>
        <w:rPr>
          <w:spacing w:val="-7"/>
        </w:rPr>
        <w:t xml:space="preserve"> 目补充：发包人根据项目建设需要，成立了</w:t>
      </w:r>
      <w:r>
        <w:rPr>
          <w:rFonts w:hint="eastAsia"/>
          <w:color w:val="auto"/>
          <w:spacing w:val="-7"/>
          <w:lang w:eastAsia="zh-CN"/>
        </w:rPr>
        <w:t>富川县新华至连山道路路面修复工程</w:t>
      </w:r>
      <w:r>
        <w:rPr>
          <w:color w:val="auto"/>
          <w:spacing w:val="-7"/>
        </w:rPr>
        <w:t>建设指挥</w:t>
      </w:r>
      <w:r>
        <w:rPr>
          <w:rStyle w:val="15"/>
          <w:color w:val="auto"/>
        </w:rPr>
        <w:t>部，负责本项目建设的相关准备工作和现场管理等工作。</w:t>
      </w:r>
    </w:p>
    <w:p>
      <w:pPr>
        <w:pStyle w:val="9"/>
        <w:spacing w:before="26"/>
      </w:pPr>
      <w:r>
        <w:t>1.6 图纸和承包人文件</w:t>
      </w:r>
    </w:p>
    <w:p>
      <w:pPr>
        <w:pStyle w:val="3"/>
        <w:spacing w:before="125" w:line="350" w:lineRule="auto"/>
        <w:ind w:left="112" w:right="110" w:firstLine="480"/>
        <w:jc w:val="both"/>
        <w:rPr>
          <w:rStyle w:val="15"/>
        </w:rPr>
      </w:pPr>
      <w:r>
        <w:rPr>
          <w:rStyle w:val="15"/>
        </w:rPr>
        <w:t>第 1.6.4 项补充：上述差错、遗漏或缺陷应以国内现行规范为依据，或以国内惯例来解释处理，承包人不得因此而提出额外费用。</w:t>
      </w:r>
    </w:p>
    <w:p>
      <w:pPr>
        <w:pStyle w:val="3"/>
        <w:spacing w:before="26"/>
        <w:ind w:left="591"/>
        <w:rPr>
          <w:rStyle w:val="15"/>
        </w:rPr>
      </w:pPr>
      <w:r>
        <w:rPr>
          <w:rStyle w:val="15"/>
        </w:rPr>
        <w:t>本款补充第 1.6.6 项：</w:t>
      </w:r>
    </w:p>
    <w:p>
      <w:pPr>
        <w:pStyle w:val="3"/>
        <w:spacing w:before="125"/>
        <w:ind w:left="591"/>
        <w:rPr>
          <w:rStyle w:val="15"/>
        </w:rPr>
      </w:pPr>
      <w:r>
        <w:rPr>
          <w:rStyle w:val="15"/>
        </w:rPr>
        <w:t>1.6.6 承包人对图纸的复查</w:t>
      </w:r>
    </w:p>
    <w:p>
      <w:pPr>
        <w:pStyle w:val="3"/>
        <w:spacing w:before="125"/>
        <w:ind w:left="591"/>
        <w:rPr>
          <w:rStyle w:val="15"/>
        </w:rPr>
      </w:pPr>
      <w:r>
        <w:rPr>
          <w:rStyle w:val="15"/>
        </w:rPr>
        <w:t>承包人在任何单项工程开工前，必须对设计和图纸进行如下复查，并有责任及时向监理人报告：</w:t>
      </w:r>
    </w:p>
    <w:p>
      <w:pPr>
        <w:pStyle w:val="3"/>
        <w:spacing w:before="123"/>
        <w:ind w:left="591"/>
        <w:rPr>
          <w:rStyle w:val="15"/>
        </w:rPr>
      </w:pPr>
      <w:r>
        <w:rPr>
          <w:rStyle w:val="15"/>
        </w:rPr>
        <w:t>（1）由于外部环境的变化或设计中不可预见的因素，造成的明显设计不合理；</w:t>
      </w:r>
    </w:p>
    <w:p>
      <w:pPr>
        <w:pStyle w:val="3"/>
        <w:spacing w:before="125"/>
        <w:ind w:left="591"/>
        <w:rPr>
          <w:rStyle w:val="15"/>
        </w:rPr>
      </w:pPr>
      <w:r>
        <w:rPr>
          <w:rStyle w:val="15"/>
        </w:rPr>
        <w:t>（2）图纸中有关坐标、尺寸、标高的错误及设计中明显的遗漏；</w:t>
      </w:r>
    </w:p>
    <w:p>
      <w:pPr>
        <w:pStyle w:val="3"/>
        <w:spacing w:before="125"/>
        <w:ind w:left="591"/>
        <w:rPr>
          <w:rStyle w:val="15"/>
        </w:rPr>
      </w:pPr>
      <w:r>
        <w:rPr>
          <w:rStyle w:val="15"/>
        </w:rPr>
        <w:t>（3）由于地质条件的变化造成设计明显不合理。</w:t>
      </w:r>
    </w:p>
    <w:p>
      <w:pPr>
        <w:pStyle w:val="3"/>
        <w:spacing w:before="123" w:line="350" w:lineRule="auto"/>
        <w:ind w:left="112" w:right="108" w:firstLine="480"/>
        <w:jc w:val="both"/>
        <w:rPr>
          <w:rStyle w:val="15"/>
        </w:rPr>
      </w:pPr>
      <w:r>
        <w:rPr>
          <w:rStyle w:val="15"/>
        </w:rPr>
        <w:t>除非施工前确实不可预见，承包人均应在其单项工程开工报告中提出上述问题（如果有），同时，承包人在施工过程中同样有责任及时向监理人报告上述问题（如果有）。</w:t>
      </w:r>
    </w:p>
    <w:p>
      <w:pPr>
        <w:pStyle w:val="3"/>
        <w:spacing w:before="29" w:line="348" w:lineRule="auto"/>
        <w:ind w:left="112" w:right="108" w:firstLine="480"/>
        <w:jc w:val="both"/>
        <w:rPr>
          <w:rStyle w:val="15"/>
        </w:rPr>
      </w:pPr>
      <w:r>
        <w:rPr>
          <w:rStyle w:val="15"/>
        </w:rPr>
        <w:t>对于所有这些问题的处理，承包人均须按照监理人的指令进行，这些问题的处理产生的费用，承包人可按合同有关规定获得支付，但承包人不得据此提出任何索赔要求。如果由于承包人未及时报告或未按监理人的指令处理，对于明显问题造成的任何损失均由承包人承担。</w:t>
      </w:r>
    </w:p>
    <w:p>
      <w:pPr>
        <w:spacing w:before="31" w:line="348" w:lineRule="auto"/>
        <w:ind w:left="532" w:right="7751" w:hanging="420"/>
        <w:jc w:val="left"/>
        <w:rPr>
          <w:sz w:val="21"/>
        </w:rPr>
      </w:pPr>
      <w:r>
        <w:rPr>
          <w:b/>
          <w:sz w:val="21"/>
        </w:rPr>
        <w:t>3.1 监理人的职责和权力</w:t>
      </w:r>
      <w:r>
        <w:rPr>
          <w:sz w:val="21"/>
        </w:rPr>
        <w:t>本款补充第 3.1.4 项：</w:t>
      </w:r>
    </w:p>
    <w:p>
      <w:pPr>
        <w:pStyle w:val="3"/>
        <w:spacing w:before="31" w:line="350" w:lineRule="auto"/>
        <w:ind w:left="112" w:right="108" w:firstLine="420"/>
        <w:jc w:val="both"/>
        <w:rPr>
          <w:rStyle w:val="15"/>
        </w:rPr>
      </w:pPr>
      <w:r>
        <w:t>3.1.4</w:t>
      </w:r>
      <w:r>
        <w:rPr>
          <w:spacing w:val="-11"/>
        </w:rPr>
        <w:t xml:space="preserve"> 监理人进驻工地施工现场的有关监理费用，均已由发包人另行支付，施工承包合同价格不计入该项费</w:t>
      </w:r>
      <w:r>
        <w:rPr>
          <w:spacing w:val="-11"/>
          <w:w w:val="95"/>
        </w:rPr>
        <w:t>用。</w:t>
      </w:r>
      <w:r>
        <w:rPr>
          <w:rStyle w:val="15"/>
        </w:rPr>
        <w:t>承包人不得以任何理由向监理人赠送礼品和报酬，否则作行贿处理。</w:t>
      </w:r>
    </w:p>
    <w:p>
      <w:pPr>
        <w:pStyle w:val="9"/>
        <w:numPr>
          <w:ilvl w:val="1"/>
          <w:numId w:val="16"/>
        </w:numPr>
        <w:tabs>
          <w:tab w:val="left" w:pos="532"/>
        </w:tabs>
        <w:spacing w:before="27" w:after="0" w:line="240" w:lineRule="auto"/>
        <w:ind w:left="532" w:right="0" w:hanging="420"/>
        <w:jc w:val="left"/>
      </w:pPr>
      <w:r>
        <w:rPr>
          <w:w w:val="95"/>
        </w:rPr>
        <w:t>承包人的一般义务</w:t>
      </w:r>
    </w:p>
    <w:p>
      <w:pPr>
        <w:pStyle w:val="3"/>
        <w:spacing w:before="126" w:line="348" w:lineRule="auto"/>
        <w:ind w:left="112" w:right="105" w:firstLine="420"/>
        <w:jc w:val="both"/>
        <w:rPr>
          <w:rStyle w:val="15"/>
        </w:rPr>
      </w:pPr>
      <w:r>
        <w:rPr>
          <w:rStyle w:val="15"/>
        </w:rPr>
        <w:t>第 4.1.1 项补充：承包人应认可并遵守发包人、发包人上级业务管理单位（贺州市交通运输局）制定的相关细则、办法等，以及其他有关本工程项目的管理工作程序、流程和要求。同时，加强施工现场和临建设施的标准化、规范化管理，认真执行发包人及上级（管理）单位的标准化施工管理实施方案、标准化技术指南（合同附件十一）以及出台的相关管理与技术要求，并实行自治区公路建设要求采取的相关工程质量、加快工程进度的保证措施和施工方法等，在投标期间及合同实施期间，发包人下发并适用于本工程的文件、规定、办法等，如其内容不违背国家的法律、法规和部门规章的，承包人应无条件执行。</w:t>
      </w:r>
    </w:p>
    <w:p>
      <w:pPr>
        <w:pStyle w:val="3"/>
        <w:spacing w:before="31" w:line="350" w:lineRule="auto"/>
        <w:ind w:left="112" w:right="108" w:firstLine="480"/>
        <w:jc w:val="both"/>
      </w:pPr>
      <w:r>
        <w:rPr>
          <w:spacing w:val="-22"/>
        </w:rPr>
        <w:t xml:space="preserve">第 </w:t>
      </w:r>
      <w:r>
        <w:t>4.1.3</w:t>
      </w:r>
      <w:r>
        <w:rPr>
          <w:spacing w:val="-9"/>
        </w:rPr>
        <w:t xml:space="preserve"> 项约定为：承包人须按合同约定以及监理人根据第 </w:t>
      </w:r>
      <w:r>
        <w:t>3.4</w:t>
      </w:r>
      <w:r>
        <w:rPr>
          <w:spacing w:val="-7"/>
        </w:rPr>
        <w:t xml:space="preserve"> 款作出的指示，实施、完成全部工程，并</w:t>
      </w:r>
      <w:r>
        <w:rPr>
          <w:spacing w:val="-12"/>
          <w:w w:val="95"/>
        </w:rPr>
        <w:t>修</w:t>
      </w:r>
      <w:r>
        <w:rPr>
          <w:rStyle w:val="15"/>
        </w:rPr>
        <w:t>补工程中的任何缺陷。承包人应在开工前自行负责将生活和施工所需水、电、电讯、互联网等管网线从施工场</w:t>
      </w:r>
    </w:p>
    <w:p>
      <w:pPr>
        <w:spacing w:after="0" w:line="350" w:lineRule="auto"/>
        <w:jc w:val="both"/>
        <w:sectPr>
          <w:pgSz w:w="11910" w:h="16840"/>
          <w:pgMar w:top="1000" w:right="740" w:bottom="760" w:left="740" w:header="808" w:footer="575" w:gutter="0"/>
          <w:pgNumType w:fmt="decimal"/>
        </w:sectPr>
      </w:pPr>
    </w:p>
    <w:p>
      <w:pPr>
        <w:pStyle w:val="3"/>
        <w:spacing w:before="8"/>
        <w:rPr>
          <w:sz w:val="12"/>
        </w:rPr>
      </w:pPr>
    </w:p>
    <w:p>
      <w:pPr>
        <w:pStyle w:val="3"/>
        <w:spacing w:before="34" w:line="350" w:lineRule="auto"/>
        <w:ind w:left="112" w:right="102"/>
        <w:rPr>
          <w:rStyle w:val="15"/>
          <w:sz w:val="21"/>
          <w:szCs w:val="21"/>
        </w:rPr>
      </w:pPr>
      <w:r>
        <w:rPr>
          <w:rStyle w:val="15"/>
          <w:sz w:val="21"/>
          <w:szCs w:val="21"/>
        </w:rPr>
        <w:t>地外部，接至生活驻地和施工现场位置，保证生活和施工期间的需要。承包人应提供为完成合同工作所需的劳务、材料、施工设备、工程设备和其他物品，并按合同约定负责临时设施的设计、建造、运行、维护、管理和拆除， 负责施工用水、电、电讯、互联网等的设备购置、接入和使用。上述相关全部费用由承包人承担，并计入相关子目报价中，发包人不另行支付。</w:t>
      </w:r>
    </w:p>
    <w:p>
      <w:pPr>
        <w:pStyle w:val="3"/>
        <w:spacing w:before="28" w:line="348" w:lineRule="auto"/>
        <w:ind w:left="112" w:right="208" w:firstLine="480"/>
        <w:jc w:val="both"/>
        <w:rPr>
          <w:rStyle w:val="15"/>
          <w:sz w:val="21"/>
          <w:szCs w:val="21"/>
        </w:rPr>
      </w:pPr>
      <w:r>
        <w:rPr>
          <w:rStyle w:val="15"/>
          <w:sz w:val="21"/>
          <w:szCs w:val="21"/>
        </w:rPr>
        <w:t>第 4.1.8 项约定为：承包人须按监理人的指示为他人在施工场地或附近实施与工程有关的其他各项工作提供可能的条件。承包人的临时道路和桥梁，也应允许为本工程施工服务的任何运输车辆通行。本项承包人为他人提供有关条件或方便的内容和可能发生的费用，由承包人承担并计入相关子目报价中，发包人不另行支付。</w:t>
      </w:r>
    </w:p>
    <w:p>
      <w:pPr>
        <w:pStyle w:val="3"/>
        <w:spacing w:before="31" w:line="348" w:lineRule="auto"/>
        <w:ind w:left="112" w:right="208" w:firstLine="480"/>
        <w:jc w:val="both"/>
        <w:rPr>
          <w:rStyle w:val="15"/>
          <w:sz w:val="21"/>
          <w:szCs w:val="21"/>
        </w:rPr>
      </w:pPr>
      <w:r>
        <w:rPr>
          <w:rStyle w:val="15"/>
          <w:sz w:val="21"/>
          <w:szCs w:val="21"/>
        </w:rPr>
        <w:t>第 4.1.10（1）项补充：承包人在申请办理使用临时用地时，须按国家和自治区有关法律、法规向当地有关部门缴纳临时用地复垦费押金等一切相关费用。承包人应根据实际需要尽快完成复垦工作并办理移交手续，最迟在工程交工验收后一个月内办理完毕临时用地移交手续，将临时占地归还被租用人，所发生的移交费用由承包人负担。因临时用地复垦、移交不及时产生的一切后果由承包人承担。如因承包人撤离后未按规定对临时占地进行恢复或虽进行了恢复但未达到使用标准的，必要时发包人可委托第三方对其恢复，所发生的费用将从应付给承包人的任何款项内扣除。</w:t>
      </w:r>
    </w:p>
    <w:p>
      <w:pPr>
        <w:pStyle w:val="3"/>
        <w:spacing w:before="31" w:line="348" w:lineRule="auto"/>
        <w:ind w:left="112" w:right="104" w:firstLine="480"/>
        <w:rPr>
          <w:rStyle w:val="15"/>
          <w:sz w:val="21"/>
          <w:szCs w:val="21"/>
        </w:rPr>
      </w:pPr>
      <w:r>
        <w:rPr>
          <w:rStyle w:val="15"/>
          <w:sz w:val="21"/>
          <w:szCs w:val="21"/>
        </w:rPr>
        <w:t>临时占地范围包括承包人驻地办公室、食堂、宿舍、道路和机械设备停车场、材料堆放场地、取（弃）土地、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征（租）用（包括购买土源等）、复耕、地面附着物（电力、电信、房屋、坟墓除外）的拆迁补偿、复原等全部相关费用。除项目专用合同条款另有约定外，临时占地的租地费用实行总额包干，列入工程量清单 100 章中由承包人按总额报价。</w:t>
      </w:r>
    </w:p>
    <w:p>
      <w:pPr>
        <w:pStyle w:val="3"/>
        <w:spacing w:before="31" w:line="350" w:lineRule="auto"/>
        <w:ind w:left="112" w:right="208" w:firstLine="480"/>
        <w:rPr>
          <w:rStyle w:val="15"/>
          <w:sz w:val="21"/>
          <w:szCs w:val="21"/>
        </w:rPr>
      </w:pPr>
      <w:r>
        <w:rPr>
          <w:rStyle w:val="15"/>
          <w:sz w:val="21"/>
          <w:szCs w:val="21"/>
        </w:rPr>
        <w:t>第 4.1.10（2）项补充：本项所述的料场使用费及其他开支或补偿费，包括购买黏土及其他路基填筑料等的费用。</w:t>
      </w:r>
    </w:p>
    <w:p>
      <w:pPr>
        <w:pStyle w:val="3"/>
        <w:spacing w:before="27" w:line="350" w:lineRule="auto"/>
        <w:ind w:left="112" w:right="116" w:firstLine="480"/>
        <w:rPr>
          <w:rStyle w:val="15"/>
          <w:sz w:val="21"/>
          <w:szCs w:val="21"/>
        </w:rPr>
      </w:pPr>
      <w:r>
        <w:rPr>
          <w:rStyle w:val="15"/>
          <w:sz w:val="21"/>
          <w:szCs w:val="21"/>
        </w:rPr>
        <w:t>第 4.1.10（3）项补充：承包人对支付工程款和工资劳务报酬等表现出管理能力不足时，监理人有权干涉， 对承包人提出警告、部分或全部停工整顿等，避免事态进一步发展，并提出处理意见报发包人。发包人保留停止对承包人中期支付和其它支付的权利，直至承包人妥善处理好上述纠纷为止。</w:t>
      </w:r>
    </w:p>
    <w:p>
      <w:pPr>
        <w:pStyle w:val="3"/>
        <w:spacing w:before="27"/>
        <w:ind w:left="591"/>
        <w:rPr>
          <w:rStyle w:val="15"/>
          <w:sz w:val="21"/>
          <w:szCs w:val="21"/>
        </w:rPr>
      </w:pPr>
      <w:r>
        <w:rPr>
          <w:rStyle w:val="15"/>
          <w:sz w:val="21"/>
          <w:szCs w:val="21"/>
        </w:rPr>
        <w:t>第 4.1.10（4）项承包人应履行的其他义务约定为：</w:t>
      </w:r>
    </w:p>
    <w:p>
      <w:pPr>
        <w:pStyle w:val="3"/>
        <w:spacing w:before="126" w:line="350" w:lineRule="auto"/>
        <w:ind w:left="112" w:right="213" w:firstLine="480"/>
        <w:rPr>
          <w:rStyle w:val="15"/>
          <w:sz w:val="21"/>
          <w:szCs w:val="21"/>
        </w:rPr>
      </w:pPr>
      <w:r>
        <w:rPr>
          <w:rStyle w:val="15"/>
          <w:sz w:val="21"/>
          <w:szCs w:val="21"/>
        </w:rPr>
        <w:t>①公路路线设计红线范围内的土石、矿产等资源均属于发包人财产，承包人不得擅自出售土石方等资源， 在本工程项目范围内调配时可由承包人支配使用。</w:t>
      </w:r>
    </w:p>
    <w:p>
      <w:pPr>
        <w:pStyle w:val="3"/>
        <w:spacing w:before="27"/>
        <w:ind w:left="591"/>
        <w:rPr>
          <w:rStyle w:val="15"/>
          <w:sz w:val="21"/>
          <w:szCs w:val="21"/>
        </w:rPr>
      </w:pPr>
      <w:r>
        <w:rPr>
          <w:rStyle w:val="15"/>
          <w:sz w:val="21"/>
          <w:szCs w:val="21"/>
        </w:rPr>
        <w:t>②本项目实行农民工工资保证金制度，中标后承包人应根据投标承诺将投标保证金转为农民工工资保证金</w:t>
      </w:r>
    </w:p>
    <w:p>
      <w:pPr>
        <w:pStyle w:val="3"/>
        <w:spacing w:before="126" w:line="350" w:lineRule="auto"/>
        <w:ind w:left="112" w:right="208"/>
        <w:rPr>
          <w:rStyle w:val="15"/>
          <w:sz w:val="21"/>
          <w:szCs w:val="21"/>
        </w:rPr>
      </w:pPr>
      <w:r>
        <w:rPr>
          <w:rStyle w:val="15"/>
          <w:sz w:val="21"/>
          <w:szCs w:val="21"/>
        </w:rPr>
        <w:t>(或在签订合同前按投标保证金额度缴存农民工工资保证金)，并根据《关于建立交通行业农民工工资保证金制度的通知》（桂劳社发[2007]147 号）的规定缴纳农民工工资保证金。有关要求如下：</w:t>
      </w:r>
    </w:p>
    <w:p>
      <w:pPr>
        <w:pStyle w:val="3"/>
        <w:spacing w:before="27" w:line="350" w:lineRule="auto"/>
        <w:ind w:left="112" w:right="179" w:firstLine="480"/>
        <w:rPr>
          <w:rStyle w:val="15"/>
          <w:sz w:val="21"/>
          <w:szCs w:val="21"/>
        </w:rPr>
      </w:pPr>
      <w:r>
        <w:rPr>
          <w:rStyle w:val="15"/>
          <w:sz w:val="21"/>
          <w:szCs w:val="21"/>
        </w:rPr>
        <w:t>a.承包人应缴纳的农民工工资保证金额度为：5000 万元×2%+（A-5000 万元）×1.5%，其中 A 为承包人的中标价（结算价），若出现中标价与结算价不一致时，以实际结算价为准。当 A 小于 5000 万元的，按 2%存入。</w:t>
      </w:r>
    </w:p>
    <w:p>
      <w:pPr>
        <w:pStyle w:val="17"/>
        <w:numPr>
          <w:ilvl w:val="2"/>
          <w:numId w:val="16"/>
        </w:numPr>
        <w:tabs>
          <w:tab w:val="left" w:pos="907"/>
        </w:tabs>
        <w:spacing w:before="29" w:after="0" w:line="348" w:lineRule="auto"/>
        <w:ind w:left="112" w:right="210" w:firstLine="480"/>
        <w:jc w:val="left"/>
        <w:rPr>
          <w:rStyle w:val="15"/>
          <w:sz w:val="21"/>
          <w:szCs w:val="21"/>
        </w:rPr>
      </w:pPr>
      <w:r>
        <w:rPr>
          <w:rStyle w:val="15"/>
          <w:sz w:val="21"/>
          <w:szCs w:val="21"/>
        </w:rPr>
        <w:t>在合同实施时由发包人在每次计量款中按 2%代扣直至补足应缴额度（包含中标后按投标保证金额度转存为农民工工资保证金的部分），承包人所存入的农民工工资保证金额度最高不超过上述第（a）点的规定。</w:t>
      </w:r>
    </w:p>
    <w:p>
      <w:pPr>
        <w:pStyle w:val="17"/>
        <w:numPr>
          <w:ilvl w:val="2"/>
          <w:numId w:val="16"/>
        </w:numPr>
        <w:tabs>
          <w:tab w:val="left" w:pos="907"/>
        </w:tabs>
        <w:spacing w:before="31" w:after="0" w:line="350" w:lineRule="auto"/>
        <w:ind w:left="112" w:right="169" w:firstLine="480"/>
        <w:jc w:val="left"/>
        <w:rPr>
          <w:sz w:val="12"/>
        </w:rPr>
      </w:pPr>
      <w:r>
        <w:rPr>
          <w:rStyle w:val="15"/>
          <w:sz w:val="21"/>
          <w:szCs w:val="21"/>
        </w:rPr>
        <w:t>施工单位存入的农民工工资保证金专项用于解决拖欠或克扣农民工工资的问题。出现以下情形之一的，可从其存入的工资保证金中先予支取：</w:t>
      </w:r>
    </w:p>
    <w:p>
      <w:pPr>
        <w:pStyle w:val="3"/>
        <w:tabs>
          <w:tab w:val="left" w:pos="1191"/>
        </w:tabs>
        <w:spacing w:before="34"/>
        <w:ind w:left="560"/>
        <w:rPr>
          <w:rStyle w:val="15"/>
          <w:sz w:val="21"/>
          <w:szCs w:val="21"/>
        </w:rPr>
      </w:pPr>
      <w:r>
        <w:rPr>
          <w:rStyle w:val="15"/>
          <w:sz w:val="21"/>
          <w:szCs w:val="21"/>
        </w:rPr>
        <w:t>i．施工单位拖欠农民工工资的；</w:t>
      </w:r>
    </w:p>
    <w:p>
      <w:pPr>
        <w:pStyle w:val="3"/>
        <w:tabs>
          <w:tab w:val="left" w:pos="1191"/>
        </w:tabs>
        <w:spacing w:before="125"/>
        <w:ind w:left="560"/>
        <w:rPr>
          <w:rStyle w:val="15"/>
          <w:sz w:val="21"/>
          <w:szCs w:val="21"/>
        </w:rPr>
      </w:pPr>
      <w:r>
        <w:rPr>
          <w:rStyle w:val="15"/>
          <w:sz w:val="21"/>
          <w:szCs w:val="21"/>
        </w:rPr>
        <w:t>ii．工程项目实行分包，承包方（分包方）拖欠农民工工资的；</w:t>
      </w:r>
    </w:p>
    <w:p>
      <w:pPr>
        <w:pStyle w:val="3"/>
        <w:spacing w:before="125"/>
        <w:ind w:left="560"/>
        <w:rPr>
          <w:rStyle w:val="15"/>
          <w:sz w:val="21"/>
          <w:szCs w:val="21"/>
        </w:rPr>
      </w:pPr>
      <w:r>
        <w:rPr>
          <w:rStyle w:val="15"/>
          <w:sz w:val="21"/>
          <w:szCs w:val="21"/>
        </w:rPr>
        <w:t>iii．其他依法应支付的工资而未支付的。</w:t>
      </w:r>
    </w:p>
    <w:p>
      <w:pPr>
        <w:pStyle w:val="17"/>
        <w:numPr>
          <w:ilvl w:val="2"/>
          <w:numId w:val="16"/>
        </w:numPr>
        <w:tabs>
          <w:tab w:val="left" w:pos="907"/>
        </w:tabs>
        <w:spacing w:before="123" w:after="0" w:line="350" w:lineRule="auto"/>
        <w:ind w:left="112" w:right="188" w:firstLine="480"/>
        <w:jc w:val="both"/>
        <w:rPr>
          <w:rStyle w:val="15"/>
          <w:sz w:val="21"/>
          <w:szCs w:val="21"/>
        </w:rPr>
      </w:pPr>
      <w:r>
        <w:rPr>
          <w:rStyle w:val="15"/>
          <w:sz w:val="21"/>
          <w:szCs w:val="21"/>
        </w:rPr>
        <w:t>发包人有权监督承包人对为其服务的农民工（含其他劳务人员）的工资发放，对承包人拖欠工人的工资导致上访或投诉的，凭工人提供的有效证明，发包人有权要求项目经理及财务到场处理，并现场办公兑付工人工资；工人通过诉讼解决的，发包人有权依据判决书从应支付承包人的工程款或保留金或民工工资保证金中直接支付。</w:t>
      </w:r>
    </w:p>
    <w:p>
      <w:pPr>
        <w:pStyle w:val="17"/>
        <w:numPr>
          <w:ilvl w:val="2"/>
          <w:numId w:val="16"/>
        </w:numPr>
        <w:tabs>
          <w:tab w:val="left" w:pos="907"/>
        </w:tabs>
        <w:spacing w:before="29" w:after="0" w:line="350" w:lineRule="auto"/>
        <w:ind w:left="112" w:right="190" w:firstLine="480"/>
        <w:jc w:val="both"/>
        <w:rPr>
          <w:rStyle w:val="15"/>
          <w:sz w:val="21"/>
          <w:szCs w:val="21"/>
        </w:rPr>
      </w:pPr>
      <w:r>
        <w:rPr>
          <w:rStyle w:val="15"/>
          <w:sz w:val="21"/>
          <w:szCs w:val="21"/>
        </w:rPr>
        <w:t>其它未尽事宜，按《关于建立交通行业农民工工资保证金制度的通知》（桂劳社发[2007]147 号）的规定执行。</w:t>
      </w:r>
    </w:p>
    <w:p>
      <w:pPr>
        <w:pStyle w:val="17"/>
        <w:numPr>
          <w:ilvl w:val="2"/>
          <w:numId w:val="16"/>
        </w:numPr>
        <w:tabs>
          <w:tab w:val="left" w:pos="907"/>
        </w:tabs>
        <w:spacing w:before="26" w:after="0" w:line="350" w:lineRule="auto"/>
        <w:ind w:left="112" w:right="190" w:firstLine="480"/>
        <w:jc w:val="both"/>
        <w:rPr>
          <w:rStyle w:val="15"/>
          <w:sz w:val="21"/>
          <w:szCs w:val="21"/>
        </w:rPr>
      </w:pPr>
      <w:r>
        <w:rPr>
          <w:rStyle w:val="15"/>
          <w:sz w:val="21"/>
          <w:szCs w:val="21"/>
        </w:rPr>
        <w:t>承包人不按规定存入农民工工资保证金的，发包人不核发开工令和暂停支付，并上报交通行政主管部门处理及通报批评，同时，发包人有权课以投标保证金同等额度的违约金。</w:t>
      </w:r>
    </w:p>
    <w:p>
      <w:pPr>
        <w:pStyle w:val="3"/>
        <w:spacing w:before="29" w:line="348" w:lineRule="auto"/>
        <w:ind w:left="112" w:right="105" w:firstLine="480"/>
        <w:rPr>
          <w:rStyle w:val="15"/>
          <w:sz w:val="21"/>
          <w:szCs w:val="21"/>
        </w:rPr>
      </w:pPr>
      <w:r>
        <w:rPr>
          <w:rStyle w:val="15"/>
          <w:sz w:val="21"/>
          <w:szCs w:val="21"/>
        </w:rPr>
        <w:t>③合同实施时承包人应投入足够的技术和管理人员以满足工程施工需要，发包人要求承包人应投入本合同的最低人员要求见合同附件四（含相应要求的备选人员），在不少于合同附件四要求前提下，为确保工程进度，    监理工程师有权要求承包人增加相应技术和管理人员以满足施工需要。</w:t>
      </w:r>
    </w:p>
    <w:p>
      <w:pPr>
        <w:pStyle w:val="3"/>
        <w:spacing w:before="31" w:line="350" w:lineRule="auto"/>
        <w:ind w:left="112" w:right="189" w:firstLine="480"/>
        <w:jc w:val="both"/>
        <w:rPr>
          <w:rStyle w:val="15"/>
          <w:sz w:val="21"/>
          <w:szCs w:val="21"/>
        </w:rPr>
      </w:pPr>
      <w:r>
        <w:rPr>
          <w:rStyle w:val="15"/>
          <w:sz w:val="21"/>
          <w:szCs w:val="21"/>
        </w:rPr>
        <w:t>合同实施时，若发包人或监理人认为承包人派驻现场的管理、技术或质检人员的资质或数量不能满足工程进度和安全质量要求时，应由监理人向承包人发出增加相关人员的指令，承包人在接到指令后 14 天内，必须按指令要求调整到位，增加人员的费用视为承包人在投标时已考虑在相关报价中，发包人不再支付或补偿费用。若承包人在接到指令 14 天内未按要求执行，将按第 22.1 款违约有关规定处理。</w:t>
      </w:r>
    </w:p>
    <w:p>
      <w:pPr>
        <w:pStyle w:val="3"/>
        <w:spacing w:before="26" w:line="350" w:lineRule="auto"/>
        <w:ind w:left="112" w:right="188" w:firstLine="480"/>
        <w:jc w:val="both"/>
        <w:rPr>
          <w:rStyle w:val="15"/>
          <w:sz w:val="21"/>
          <w:szCs w:val="21"/>
        </w:rPr>
      </w:pPr>
      <w:r>
        <w:rPr>
          <w:rStyle w:val="15"/>
          <w:sz w:val="21"/>
          <w:szCs w:val="21"/>
        </w:rPr>
        <w:t>④合同实施时承包人应投入足够的施工机械与设备以满足工程施工需要，发包人要求承包人应投入本合同的最低主要机械设备要求见合同附件五，在不少于合同附件五要求前提下，为确保工程进度，监理工程师有权要求承包人增加相应施工机械与设备以满足施工需要。</w:t>
      </w:r>
    </w:p>
    <w:p>
      <w:pPr>
        <w:pStyle w:val="3"/>
        <w:spacing w:before="26" w:line="350" w:lineRule="auto"/>
        <w:ind w:left="160" w:right="240" w:firstLine="316"/>
        <w:jc w:val="both"/>
        <w:rPr>
          <w:rStyle w:val="15"/>
          <w:sz w:val="21"/>
          <w:szCs w:val="21"/>
        </w:rPr>
      </w:pPr>
      <w:r>
        <w:rPr>
          <w:rStyle w:val="15"/>
          <w:sz w:val="21"/>
          <w:szCs w:val="21"/>
        </w:rPr>
        <w:t>合同实施时，若发包人或监理人认为承包人投入现场的施工机械设备数量、型号不能满足工程进度和安全质   量要求时，应由监理人向承包人发出增加或调整相关设备的指令，承包人在接到指令后14天内，必须按指令要求调整到位，增加或调整设备的费用视为承包人在投标时已考虑在相关报价中，发包人不再支付或补偿费用。若承包人在接到指令14天内未按要求执行，将按第22.1款违约有关规定处理。</w:t>
      </w:r>
    </w:p>
    <w:p>
      <w:pPr>
        <w:pStyle w:val="3"/>
        <w:spacing w:before="29" w:line="350" w:lineRule="auto"/>
        <w:ind w:left="160" w:right="159" w:firstLine="316"/>
        <w:rPr>
          <w:rStyle w:val="15"/>
          <w:sz w:val="21"/>
          <w:szCs w:val="21"/>
        </w:rPr>
      </w:pPr>
      <w:r>
        <w:rPr>
          <w:rStyle w:val="15"/>
          <w:sz w:val="21"/>
          <w:szCs w:val="21"/>
        </w:rPr>
        <w:t>⑤凡标段内与已建或在建铁路、公路、航道、电站、油库、通讯电缆（含光缆）、电力电线、管道等有交叉干扰的地段，承包人应在不干扰铁路、公路、航道、电站、油库、通讯电缆（含光缆）、电力电线、管道等设施正常运行或施工的前提下，合理安排施工组织计划，采取有效措施保证施工和上述设施运营安全，并采取有效措施疏导现有交通流，做好交通组织管理工作。如发包人或监理人要求，应进行封闭施工，承包人应无条件执行，封闭施工所采取的程序、措施应符合国家及地方交通建设等管理部门颁发的相关法律法规规章的规定。同时，承包人在施工时须按相关管理部门（包括但不限于交警、路政、铁路、航道、管线和路产单位等）的规定办理有关手续和施工，符合相关规定并缴纳有关费用。上述措施引起的相关临时安全措施费用和有关费用包含在相关子目单价或第100章安全生产费用总额中。如因承包人采取措施不力，其施工影响铁路、公路、航道、    电站、油库、通讯电缆（含光缆）、电力电线、管道等正常安全运营或施工而导致索赔、赔偿、诉讼等情况， 或给其他部门或个人造成的一切损失，或造成工期的拖延或施工费用的增加，均由承包人自行承担一切责任和费用。</w:t>
      </w:r>
    </w:p>
    <w:p>
      <w:pPr>
        <w:spacing w:after="0" w:line="350" w:lineRule="auto"/>
        <w:sectPr>
          <w:pgSz w:w="11910" w:h="16840"/>
          <w:pgMar w:top="1000" w:right="660" w:bottom="760" w:left="740" w:header="808" w:footer="575" w:gutter="0"/>
          <w:pgNumType w:fmt="decimal"/>
        </w:sectPr>
      </w:pPr>
    </w:p>
    <w:p>
      <w:pPr>
        <w:pStyle w:val="3"/>
        <w:spacing w:before="8"/>
        <w:rPr>
          <w:sz w:val="12"/>
        </w:rPr>
      </w:pPr>
    </w:p>
    <w:p>
      <w:pPr>
        <w:pStyle w:val="3"/>
        <w:spacing w:before="34" w:line="350" w:lineRule="auto"/>
        <w:ind w:left="160" w:right="115" w:firstLine="316"/>
        <w:rPr>
          <w:rStyle w:val="15"/>
        </w:rPr>
      </w:pPr>
      <w:r>
        <w:rPr>
          <w:rStyle w:val="15"/>
        </w:rPr>
        <w:t>⑥承包人应充分考虑当地风俗习惯对工程施工的影响，妥善处理好与地方关系，与地方政府协调处理好阻路、阻工等不良现象，承包人在相关子目投标报价时要考虑到可能造成的延误、费用增加的风险，该风险不作为承包人的索赔依据。</w:t>
      </w:r>
    </w:p>
    <w:p>
      <w:pPr>
        <w:pStyle w:val="3"/>
        <w:spacing w:before="26"/>
        <w:ind w:left="591"/>
        <w:rPr>
          <w:rStyle w:val="15"/>
        </w:rPr>
      </w:pPr>
      <w:r>
        <w:rPr>
          <w:rStyle w:val="15"/>
        </w:rPr>
        <w:t>上述第①至第⑥点的所有有关费用由承包人自行考虑在报价中，发包人不单独支付。</w:t>
      </w:r>
    </w:p>
    <w:p>
      <w:pPr>
        <w:pStyle w:val="3"/>
        <w:spacing w:before="125" w:line="348" w:lineRule="auto"/>
        <w:ind w:left="112" w:right="170" w:firstLine="540"/>
        <w:jc w:val="both"/>
        <w:rPr>
          <w:rStyle w:val="15"/>
        </w:rPr>
      </w:pPr>
      <w:r>
        <w:rPr>
          <w:rStyle w:val="15"/>
        </w:rPr>
        <w:t>⑦本项目工程结合交通运输部、广西壮族自治区交通运输厅标准化施工的要求，实施“标准化、规范化、   精细化、人本化”管理，承包人的施工应满足现行公路施工规范要求，投标人在报价时应考虑包含实施施工标准    化等“四化”制度（以下简称“施工标准化”）所发生的费用。施工标准化将作为计量的要件。</w:t>
      </w:r>
    </w:p>
    <w:p>
      <w:pPr>
        <w:pStyle w:val="3"/>
        <w:spacing w:before="30" w:line="350" w:lineRule="auto"/>
        <w:ind w:left="112" w:right="170" w:firstLine="540"/>
        <w:jc w:val="both"/>
        <w:rPr>
          <w:rStyle w:val="15"/>
        </w:rPr>
      </w:pPr>
      <w:r>
        <w:rPr>
          <w:rStyle w:val="15"/>
        </w:rPr>
        <w:t>⑧中标的投标人与发包人签订合同协议书时应同时与发包人签订《廉政合同》、《安全生产合同》，并与   发包人指定的银行签署工程资金监管协议，基本格式见合同附件格式之附件二、附件三、附件九，廉政合同、安    全生产合同的内容在保证本项目有效廉政和安全监管的前提下可由发包人按项目实际需要制定或调整，工程资金监管协议内容在保证本项目资金有效监管的前提下由发包人按项目实际需要制定。</w:t>
      </w:r>
    </w:p>
    <w:p>
      <w:pPr>
        <w:pStyle w:val="3"/>
        <w:spacing w:before="28" w:line="348" w:lineRule="auto"/>
        <w:ind w:left="112" w:right="168" w:firstLine="420"/>
        <w:jc w:val="both"/>
        <w:rPr>
          <w:rStyle w:val="15"/>
        </w:rPr>
      </w:pPr>
      <w:r>
        <w:rPr>
          <w:rStyle w:val="15"/>
        </w:rPr>
        <w:t>⑨承包人应根据《关于严格落实公路工程质量责任制的若干意见》（交公路发〔2008〕116 号）执行质量责任登记制度并报备发包人审查备案。</w:t>
      </w:r>
    </w:p>
    <w:p>
      <w:pPr>
        <w:pStyle w:val="3"/>
        <w:spacing w:before="31" w:line="348" w:lineRule="auto"/>
        <w:ind w:left="112" w:right="168" w:firstLine="420"/>
        <w:jc w:val="both"/>
        <w:rPr>
          <w:rStyle w:val="15"/>
        </w:rPr>
      </w:pPr>
      <w:r>
        <w:rPr>
          <w:rStyle w:val="15"/>
        </w:rPr>
        <w:t>⑩承包人应积极深入地开展“平安工地”建设活动，编制应急救援预案并组织演练工作；对重大危险源、高危作业的重要分部、分项工程编制专项安全施工方案；保证安全生产的投入和专款专用，据实和凭证计量安全生产费用。</w:t>
      </w:r>
    </w:p>
    <w:p>
      <w:pPr>
        <w:pStyle w:val="3"/>
        <w:spacing w:before="31" w:line="328" w:lineRule="auto"/>
        <w:ind w:left="112" w:right="163" w:firstLine="420"/>
        <w:jc w:val="both"/>
        <w:rPr>
          <w:rStyle w:val="15"/>
        </w:rPr>
      </w:pPr>
      <w:r>
        <w:rPr>
          <w:rStyle w:val="15"/>
        </w:rPr>
        <w:t>⑪根据《关于开展安全生产管理“单元预警法”的通知》（桂交投发〔2014〕172 号）等文件要求，承包人应严格执行“单元预警法”各项工作措施，积极深入开展安全生产管理“单元预警法”相关活动。</w:t>
      </w:r>
    </w:p>
    <w:p>
      <w:pPr>
        <w:pStyle w:val="9"/>
        <w:numPr>
          <w:ilvl w:val="1"/>
          <w:numId w:val="16"/>
        </w:numPr>
        <w:tabs>
          <w:tab w:val="left" w:pos="532"/>
        </w:tabs>
        <w:spacing w:before="45" w:after="0" w:line="240" w:lineRule="auto"/>
        <w:ind w:left="532" w:right="0" w:hanging="420"/>
        <w:jc w:val="left"/>
        <w:rPr>
          <w:rStyle w:val="15"/>
        </w:rPr>
      </w:pPr>
      <w:r>
        <w:rPr>
          <w:rStyle w:val="15"/>
        </w:rPr>
        <w:t>履约担保</w:t>
      </w:r>
    </w:p>
    <w:p>
      <w:pPr>
        <w:pStyle w:val="3"/>
        <w:spacing w:before="125" w:line="350" w:lineRule="auto"/>
        <w:ind w:left="112" w:right="168" w:firstLine="480"/>
        <w:jc w:val="both"/>
        <w:rPr>
          <w:rStyle w:val="15"/>
        </w:rPr>
      </w:pPr>
      <w:r>
        <w:rPr>
          <w:rStyle w:val="15"/>
        </w:rPr>
        <w:t>本款补充：履约担保在退还承包人之前，承包人应已提交了经监理人审核合格的竣工文件。履约保函原件不予退还承包人，可由发包人出具一份失效证明。履约担保采用现金的，履约担保退还给承包人时不计利息。</w:t>
      </w:r>
    </w:p>
    <w:p>
      <w:pPr>
        <w:pStyle w:val="3"/>
        <w:spacing w:before="26" w:line="350" w:lineRule="auto"/>
        <w:ind w:left="112" w:right="168" w:firstLine="480"/>
        <w:jc w:val="both"/>
        <w:rPr>
          <w:rStyle w:val="15"/>
        </w:rPr>
      </w:pPr>
      <w:r>
        <w:rPr>
          <w:rStyle w:val="15"/>
        </w:rPr>
        <w:t>如履约担保有效期未能满足工期要求的（或工期延长的），承包人应在履约担保失效前 3 个月按投标人须知前附表的要求重新出具履约保函，以保障项目正常履约。</w:t>
      </w:r>
    </w:p>
    <w:p>
      <w:pPr>
        <w:pStyle w:val="9"/>
        <w:numPr>
          <w:ilvl w:val="1"/>
          <w:numId w:val="16"/>
        </w:numPr>
        <w:tabs>
          <w:tab w:val="left" w:pos="532"/>
        </w:tabs>
        <w:spacing w:before="29" w:after="0" w:line="240" w:lineRule="auto"/>
        <w:ind w:left="532" w:right="0" w:hanging="420"/>
        <w:jc w:val="left"/>
        <w:rPr>
          <w:rStyle w:val="15"/>
        </w:rPr>
      </w:pPr>
      <w:r>
        <w:rPr>
          <w:rStyle w:val="15"/>
        </w:rPr>
        <w:t>分包（本项目不允许分包）</w:t>
      </w:r>
    </w:p>
    <w:p>
      <w:pPr>
        <w:pStyle w:val="3"/>
        <w:spacing w:before="123" w:line="350" w:lineRule="auto"/>
        <w:ind w:left="112" w:right="163" w:firstLine="420"/>
        <w:jc w:val="both"/>
        <w:rPr>
          <w:rStyle w:val="15"/>
        </w:rPr>
      </w:pPr>
      <w:r>
        <w:rPr>
          <w:rStyle w:val="15"/>
        </w:rPr>
        <w:t>第 4.3.1 项补充：如发现承包人违反本条款，发包人将严格按《合同法》及《招标投标法》进行处理，列入不受欢迎承包人名单进行通报，并课以没收全部履约担保的违约处理。同时还在进行相关履约评价后，上报贺州市交通运输局和广西壮族自治区交通运输厅进行进一步处理。</w:t>
      </w:r>
    </w:p>
    <w:p>
      <w:pPr>
        <w:pStyle w:val="3"/>
        <w:spacing w:before="26"/>
        <w:ind w:left="532"/>
        <w:rPr>
          <w:rStyle w:val="15"/>
        </w:rPr>
      </w:pPr>
      <w:r>
        <w:rPr>
          <w:rStyle w:val="15"/>
        </w:rPr>
        <w:t>第 4.3.3（1）项修改为：</w:t>
      </w:r>
    </w:p>
    <w:p>
      <w:pPr>
        <w:pStyle w:val="3"/>
        <w:spacing w:before="125" w:line="348" w:lineRule="auto"/>
        <w:ind w:left="112" w:right="170" w:firstLine="420"/>
        <w:jc w:val="both"/>
        <w:rPr>
          <w:rStyle w:val="15"/>
        </w:rPr>
      </w:pPr>
      <w:r>
        <w:rPr>
          <w:rStyle w:val="15"/>
        </w:rPr>
        <w:t>4.3.3（1）投标人根据招标文件载明的招标项目实际情况，拟在合同履行过程中实施专业分包的，应当在投    标文件中载明。分包应符合交通运输部令2011年第11号《关于修改&lt;公路建设市场管理办法&gt;的决定》及交通运输    部令2011年第685号《关于印发公路工程施工分包管理办法的通知》及发包人有关分包管理办法的规定。</w:t>
      </w:r>
    </w:p>
    <w:p>
      <w:pPr>
        <w:pStyle w:val="3"/>
        <w:spacing w:before="31" w:line="350" w:lineRule="auto"/>
        <w:ind w:left="112" w:right="170" w:firstLine="420"/>
        <w:jc w:val="both"/>
        <w:rPr>
          <w:rStyle w:val="15"/>
        </w:rPr>
      </w:pPr>
      <w:r>
        <w:rPr>
          <w:rStyle w:val="15"/>
        </w:rPr>
        <w:t>增加补充第4.3.7项：在农民工工资支付纠纷、劳务分包纠纷等中，被法院、仲裁机构或政府相关职能部门认定承包人存在转包、分包行为，或由于存在转包、分包行为导致纠纷，且该分包之前没有按规定报发包人备案的，发包人可据此认定，承包人在合同实施中存在转包、违规分包，并根据相关合同条款对承包人的转包、违规分包进行违约处理，课以相应违约金。</w:t>
      </w:r>
    </w:p>
    <w:p>
      <w:pPr>
        <w:pStyle w:val="9"/>
        <w:spacing w:before="29"/>
      </w:pPr>
      <w:r>
        <w:rPr>
          <w:rStyle w:val="15"/>
        </w:rPr>
        <w:t>4.6 承包人人员的管理</w:t>
      </w:r>
    </w:p>
    <w:p>
      <w:pPr>
        <w:spacing w:after="0"/>
        <w:sectPr>
          <w:pgSz w:w="11910" w:h="16840"/>
          <w:pgMar w:top="1000" w:right="680" w:bottom="760" w:left="740" w:header="808" w:footer="575" w:gutter="0"/>
          <w:pgNumType w:fmt="decimal"/>
        </w:sectPr>
      </w:pPr>
    </w:p>
    <w:p>
      <w:pPr>
        <w:pStyle w:val="3"/>
        <w:spacing w:before="8"/>
        <w:rPr>
          <w:b/>
          <w:sz w:val="12"/>
        </w:rPr>
      </w:pPr>
    </w:p>
    <w:p>
      <w:pPr>
        <w:pStyle w:val="3"/>
        <w:spacing w:before="34" w:line="350" w:lineRule="auto"/>
        <w:ind w:left="112" w:right="210" w:firstLine="314"/>
        <w:jc w:val="both"/>
        <w:rPr>
          <w:rStyle w:val="15"/>
          <w:sz w:val="21"/>
          <w:szCs w:val="21"/>
        </w:rPr>
      </w:pPr>
      <w:r>
        <w:rPr>
          <w:rStyle w:val="15"/>
          <w:sz w:val="21"/>
          <w:szCs w:val="21"/>
        </w:rPr>
        <w:t>第 4.6.4 项补充：如发包人认为需要，承包人按合同约定投入到本项目的各类专业技术人员等均应参加由监理人或发包人组织的岗前培训并通过考试合格后方准予上岗。在工程施工期间增加的或经发包人按照合同条款同意更换的人员参照该要求执行。承包人应有现场培训场所和机构，对工人进行培训，相关培训考试费用由承包人自行负责，并计入相关报价中。</w:t>
      </w:r>
    </w:p>
    <w:p>
      <w:pPr>
        <w:pStyle w:val="3"/>
        <w:spacing w:before="28" w:line="350" w:lineRule="auto"/>
        <w:ind w:left="112" w:right="210" w:firstLine="420"/>
        <w:rPr>
          <w:rStyle w:val="15"/>
          <w:sz w:val="21"/>
          <w:szCs w:val="21"/>
        </w:rPr>
      </w:pPr>
      <w:r>
        <w:rPr>
          <w:rStyle w:val="15"/>
          <w:sz w:val="21"/>
          <w:szCs w:val="21"/>
        </w:rPr>
        <w:t>工程施工后期根据完工情况，项目经理、总工及合同所列主要管理和技术人员如确实无驻现场的必要时可安排退场，但必须至少提前一个月报监理人和发包人审核同意，未经同意退场的将按缺勤违约处理。</w:t>
      </w:r>
    </w:p>
    <w:p>
      <w:pPr>
        <w:spacing w:before="26" w:line="350" w:lineRule="auto"/>
        <w:ind w:left="591" w:right="8096" w:hanging="480"/>
        <w:jc w:val="left"/>
        <w:rPr>
          <w:rStyle w:val="15"/>
          <w:sz w:val="21"/>
          <w:szCs w:val="21"/>
        </w:rPr>
      </w:pPr>
      <w:r>
        <w:rPr>
          <w:rStyle w:val="15"/>
          <w:sz w:val="21"/>
          <w:szCs w:val="21"/>
        </w:rPr>
        <w:t>4.9 工程价款应专款专用本款补充：</w:t>
      </w:r>
    </w:p>
    <w:p>
      <w:pPr>
        <w:pStyle w:val="3"/>
        <w:spacing w:before="29" w:line="348" w:lineRule="auto"/>
        <w:ind w:left="112" w:right="146" w:firstLine="480"/>
        <w:rPr>
          <w:rStyle w:val="15"/>
          <w:sz w:val="21"/>
          <w:szCs w:val="21"/>
        </w:rPr>
      </w:pPr>
      <w:r>
        <w:rPr>
          <w:rStyle w:val="15"/>
          <w:sz w:val="21"/>
          <w:szCs w:val="21"/>
        </w:rPr>
        <w:t>（1）承包人及其内部核算单位必须在发包人指定的银行开立银行账户，凡不在发包人指定银行开户的承包   人，发包人将不对其支付任何款项。承包人应向开户银行授权同意发包人监管承包人资金的余额及流向。</w:t>
      </w:r>
    </w:p>
    <w:p>
      <w:pPr>
        <w:pStyle w:val="3"/>
        <w:spacing w:before="31" w:line="350" w:lineRule="auto"/>
        <w:ind w:left="112" w:right="104" w:firstLine="480"/>
        <w:rPr>
          <w:rStyle w:val="15"/>
          <w:sz w:val="21"/>
          <w:szCs w:val="21"/>
        </w:rPr>
      </w:pPr>
      <w:r>
        <w:rPr>
          <w:rStyle w:val="15"/>
          <w:sz w:val="21"/>
          <w:szCs w:val="21"/>
        </w:rPr>
        <w:t>（2）发包人按合同条款规定对各承包人支付的款项，只对合同规定的法人或者法人代表的授权代理人支付，不对其内部独立核算单位直接支付（合同有专项规定者除外）。</w:t>
      </w:r>
    </w:p>
    <w:p>
      <w:pPr>
        <w:pStyle w:val="3"/>
        <w:spacing w:before="26" w:line="350" w:lineRule="auto"/>
        <w:ind w:left="112" w:right="208" w:firstLine="480"/>
        <w:jc w:val="both"/>
        <w:rPr>
          <w:rStyle w:val="15"/>
          <w:sz w:val="21"/>
          <w:szCs w:val="21"/>
        </w:rPr>
      </w:pPr>
      <w:r>
        <w:rPr>
          <w:rStyle w:val="15"/>
          <w:sz w:val="21"/>
          <w:szCs w:val="21"/>
        </w:rPr>
        <w:t>（3）在合同执行期间，承包人必须接受发包人的监督与检查。承包人应保证从发包人处取得的款项完全用于本项目工程，承包人凡是汇往其上级主管部门、基地或其所属部门、单位的款项，不管其以任何理由、用途和采取任何方式，都必须经发包人批准后，各承包人的开户银行才给予受理。承包人按合同规定按期按质按量完成工程施工，并交工验收后，承包人结存的资金，任由承包人调度。未经发包人同意不得将资金转出本项目之外或者转移至未经发包人监管的账户内，否则发包人有权停止向承包人支付各种款项，并要求承包人在规定的时间内转回相应数额的资金，同时承包人需向发包人支付相当于转移抽逃资金数额百分之五的违约金。</w:t>
      </w:r>
    </w:p>
    <w:p>
      <w:pPr>
        <w:pStyle w:val="3"/>
        <w:spacing w:before="26" w:line="350" w:lineRule="auto"/>
        <w:ind w:left="112" w:right="169" w:firstLine="480"/>
        <w:jc w:val="both"/>
        <w:rPr>
          <w:rStyle w:val="15"/>
          <w:sz w:val="21"/>
          <w:szCs w:val="21"/>
        </w:rPr>
      </w:pPr>
      <w:r>
        <w:rPr>
          <w:rStyle w:val="15"/>
          <w:sz w:val="21"/>
          <w:szCs w:val="21"/>
        </w:rPr>
        <w:t>（4）为保证本项目的顺利进行，承包人与本工程无关的任何诉讼，均不得使用指定的银行开立结算账户，   即与外界的任何诉讼只与承包人总部的银行开立结算账户相关。</w:t>
      </w:r>
    </w:p>
    <w:p>
      <w:pPr>
        <w:pStyle w:val="3"/>
        <w:spacing w:before="29" w:line="350" w:lineRule="auto"/>
        <w:ind w:left="112" w:right="209" w:firstLine="480"/>
        <w:jc w:val="both"/>
        <w:rPr>
          <w:rStyle w:val="15"/>
          <w:sz w:val="21"/>
          <w:szCs w:val="21"/>
        </w:rPr>
      </w:pPr>
      <w:r>
        <w:rPr>
          <w:rStyle w:val="15"/>
          <w:sz w:val="21"/>
          <w:szCs w:val="21"/>
        </w:rPr>
        <w:t>（5）合同实施时若承包人的现场流动资金不能满足施工要求，经监理人和发包人核实，给承包人发出书面通知，承包人须按投标时的承诺投入规定标准的信贷证明资金（现金）用于现场施工和周转，否则发包人有权暂停资金拨付。若实际交工时间超出银行信贷证明有效期的，承包人应及时办理信贷证明有效期顺延相应手续，确保银行信贷证明在交工时间前保持有效。</w:t>
      </w:r>
    </w:p>
    <w:p>
      <w:pPr>
        <w:pStyle w:val="3"/>
        <w:spacing w:before="27" w:line="350" w:lineRule="auto"/>
        <w:ind w:left="112" w:right="145" w:firstLine="480"/>
        <w:rPr>
          <w:rStyle w:val="15"/>
          <w:sz w:val="21"/>
          <w:szCs w:val="21"/>
        </w:rPr>
      </w:pPr>
      <w:r>
        <w:rPr>
          <w:rStyle w:val="15"/>
          <w:sz w:val="21"/>
          <w:szCs w:val="21"/>
        </w:rPr>
        <w:t>（6）承包人申请拨付资金时，须按发包人的要求提供有关资料并及时办理，否则发包人有权拒绝支付；承   包人应严格按照发包人资金管理的有关规定和要求进行资金管理。</w:t>
      </w:r>
    </w:p>
    <w:p>
      <w:pPr>
        <w:pStyle w:val="9"/>
        <w:spacing w:before="29"/>
        <w:rPr>
          <w:rStyle w:val="15"/>
          <w:sz w:val="21"/>
          <w:szCs w:val="21"/>
        </w:rPr>
      </w:pPr>
      <w:r>
        <w:rPr>
          <w:rStyle w:val="15"/>
          <w:sz w:val="21"/>
          <w:szCs w:val="21"/>
        </w:rPr>
        <w:t>4.11 不利物质条件</w:t>
      </w:r>
    </w:p>
    <w:p>
      <w:pPr>
        <w:pStyle w:val="3"/>
        <w:spacing w:before="123"/>
        <w:ind w:left="591"/>
        <w:rPr>
          <w:rStyle w:val="15"/>
          <w:sz w:val="21"/>
          <w:szCs w:val="21"/>
        </w:rPr>
      </w:pPr>
      <w:r>
        <w:rPr>
          <w:rStyle w:val="15"/>
          <w:sz w:val="21"/>
          <w:szCs w:val="21"/>
        </w:rPr>
        <w:t>第 4.11.1 项补充：本专用合同条款约定的可预见的不利物质条件还包括：</w:t>
      </w:r>
    </w:p>
    <w:p>
      <w:pPr>
        <w:pStyle w:val="3"/>
        <w:spacing w:before="125"/>
        <w:ind w:left="591"/>
        <w:rPr>
          <w:rStyle w:val="15"/>
          <w:sz w:val="21"/>
          <w:szCs w:val="21"/>
        </w:rPr>
      </w:pPr>
      <w:r>
        <w:rPr>
          <w:rStyle w:val="15"/>
          <w:sz w:val="21"/>
          <w:szCs w:val="21"/>
        </w:rPr>
        <w:t>（1）施工图设计中未标示的地下管线；</w:t>
      </w:r>
    </w:p>
    <w:p>
      <w:pPr>
        <w:pStyle w:val="3"/>
        <w:spacing w:before="125"/>
        <w:ind w:left="591"/>
        <w:rPr>
          <w:rStyle w:val="15"/>
          <w:sz w:val="21"/>
          <w:szCs w:val="21"/>
        </w:rPr>
      </w:pPr>
      <w:r>
        <w:rPr>
          <w:rStyle w:val="15"/>
          <w:sz w:val="21"/>
          <w:szCs w:val="21"/>
        </w:rPr>
        <w:t>（2）有历史文物价值的地下文物、古迹。</w:t>
      </w:r>
    </w:p>
    <w:p>
      <w:pPr>
        <w:spacing w:before="123" w:line="350" w:lineRule="auto"/>
        <w:ind w:left="532" w:right="7240" w:hanging="420"/>
        <w:jc w:val="left"/>
        <w:rPr>
          <w:rStyle w:val="15"/>
          <w:sz w:val="21"/>
          <w:szCs w:val="21"/>
        </w:rPr>
      </w:pPr>
      <w:r>
        <w:rPr>
          <w:rStyle w:val="15"/>
          <w:sz w:val="21"/>
          <w:szCs w:val="21"/>
        </w:rPr>
        <w:t>5.1 承包人提供的材料和工程设备本款补充增加 5.1.4 项：</w:t>
      </w:r>
    </w:p>
    <w:p>
      <w:pPr>
        <w:pStyle w:val="3"/>
        <w:spacing w:before="29" w:line="350" w:lineRule="auto"/>
        <w:ind w:left="112" w:right="102" w:firstLine="420"/>
      </w:pPr>
      <w:r>
        <w:rPr>
          <w:rStyle w:val="15"/>
          <w:sz w:val="21"/>
          <w:szCs w:val="21"/>
        </w:rPr>
        <w:t>5.1.4 工程中使用的钢材、水泥、路面用碎石等大宗材料，承包人在采购前必须提前一个月向发包人、监理、设计单位提交材料样品、合格证等有关资料，发包人有权审查承包人以及产品生产制造商是否有能力令人满意地履行合同，包括对承包人和产品生产制造商的企业规模、产品生产经营资格、人员、场地、拟投入产品技术性能等方面审查或现场核实、检测（如需要），产品经发包人确认合格后，才能用于工程。发包人将根据需要适</w:t>
      </w:r>
      <w:r>
        <w:rPr>
          <w:rStyle w:val="15"/>
        </w:rPr>
        <w:t>时对经确认的材料、设备进行封样并以此为验货的依据。</w:t>
      </w:r>
    </w:p>
    <w:p>
      <w:pPr>
        <w:pStyle w:val="9"/>
        <w:spacing w:before="125"/>
      </w:pPr>
      <w:r>
        <w:t>6.1 承包人提供的施工设备和临时设施</w:t>
      </w:r>
    </w:p>
    <w:p>
      <w:pPr>
        <w:pStyle w:val="3"/>
        <w:spacing w:before="125" w:line="350" w:lineRule="auto"/>
        <w:ind w:left="112" w:right="205" w:firstLine="420"/>
        <w:jc w:val="both"/>
        <w:rPr>
          <w:rStyle w:val="15"/>
          <w:sz w:val="21"/>
          <w:szCs w:val="21"/>
        </w:rPr>
      </w:pPr>
      <w:r>
        <w:rPr>
          <w:rStyle w:val="15"/>
          <w:sz w:val="21"/>
          <w:szCs w:val="21"/>
        </w:rPr>
        <w:t>第 6.1.1 项补充：承包人投入到本工程的机械设备均应手续合法，严禁使用或雇用手续不全的“三无”车辆为本工程服务，包括在施工现场任何为承包人提供服务的车辆，一经发现使用或雇用“三无”车辆，发包人将立即清退该车辆出场，承包人必须在 7 天内补足符合要求的车辆。对因使用或雇用“三无”车辆而发生伤亡事故或其它责任事故的，承包人自行承担责任，同时发包人还将追究承包人的责任。</w:t>
      </w:r>
    </w:p>
    <w:p>
      <w:pPr>
        <w:pStyle w:val="9"/>
        <w:spacing w:before="26"/>
        <w:rPr>
          <w:rStyle w:val="15"/>
          <w:sz w:val="21"/>
          <w:szCs w:val="21"/>
        </w:rPr>
      </w:pPr>
      <w:r>
        <w:rPr>
          <w:rStyle w:val="15"/>
          <w:sz w:val="21"/>
          <w:szCs w:val="21"/>
        </w:rPr>
        <w:t>6.3 要求承包人增加或更换施工设备</w:t>
      </w:r>
    </w:p>
    <w:p>
      <w:pPr>
        <w:pStyle w:val="3"/>
        <w:spacing w:before="125" w:line="348" w:lineRule="auto"/>
        <w:ind w:left="112" w:right="208" w:firstLine="480"/>
        <w:jc w:val="both"/>
        <w:rPr>
          <w:rStyle w:val="15"/>
          <w:sz w:val="21"/>
          <w:szCs w:val="21"/>
        </w:rPr>
      </w:pPr>
      <w:r>
        <w:rPr>
          <w:rStyle w:val="15"/>
          <w:sz w:val="21"/>
          <w:szCs w:val="21"/>
        </w:rPr>
        <w:t>6.3 本款补充：承包人如果没能按合同规定将工程所需设备运抵施工现场（或经发包人同意按施工计划将所需设备运抵施工现场），或该项工程未完时将设备私自移出工地，监理人应及时将情况报告发包人。当发包人认为工程受到影响时，发包人有权另行组织设备以确保工程进展，期间所发生的全部费用将由承包人承担。</w:t>
      </w:r>
    </w:p>
    <w:p>
      <w:pPr>
        <w:pStyle w:val="9"/>
        <w:numPr>
          <w:ilvl w:val="1"/>
          <w:numId w:val="17"/>
        </w:numPr>
        <w:tabs>
          <w:tab w:val="left" w:pos="532"/>
        </w:tabs>
        <w:spacing w:before="30" w:after="0" w:line="240" w:lineRule="auto"/>
        <w:ind w:left="532" w:right="0" w:hanging="420"/>
        <w:jc w:val="left"/>
        <w:rPr>
          <w:rStyle w:val="15"/>
          <w:sz w:val="21"/>
          <w:szCs w:val="21"/>
        </w:rPr>
      </w:pPr>
      <w:r>
        <w:rPr>
          <w:rStyle w:val="15"/>
          <w:sz w:val="21"/>
          <w:szCs w:val="21"/>
        </w:rPr>
        <w:t>场内施工道路</w:t>
      </w:r>
    </w:p>
    <w:p>
      <w:pPr>
        <w:pStyle w:val="3"/>
        <w:spacing w:before="125" w:line="348" w:lineRule="auto"/>
        <w:ind w:left="112" w:right="209" w:firstLine="480"/>
        <w:jc w:val="both"/>
        <w:rPr>
          <w:rStyle w:val="15"/>
          <w:sz w:val="21"/>
          <w:szCs w:val="21"/>
        </w:rPr>
      </w:pPr>
      <w:r>
        <w:rPr>
          <w:rStyle w:val="15"/>
          <w:sz w:val="21"/>
          <w:szCs w:val="21"/>
        </w:rPr>
        <w:t>第 7.2.1 项补充：承包人应养护临时道路以及现有的道路和桥梁，尽量维护便道的通畅，使监理人满意， 否则，应在监理人指定的时间内给予维护。承包人拒绝执行时，监理人有权终止支付或扣回临时工程的款项，指定专人完成并报发包人，所发生费用由承包人承担。</w:t>
      </w:r>
    </w:p>
    <w:p>
      <w:pPr>
        <w:pStyle w:val="9"/>
        <w:numPr>
          <w:ilvl w:val="1"/>
          <w:numId w:val="17"/>
        </w:numPr>
        <w:tabs>
          <w:tab w:val="left" w:pos="532"/>
        </w:tabs>
        <w:spacing w:before="31" w:after="0" w:line="240" w:lineRule="auto"/>
        <w:ind w:left="532" w:right="0" w:hanging="420"/>
        <w:jc w:val="left"/>
        <w:rPr>
          <w:rStyle w:val="15"/>
          <w:sz w:val="21"/>
          <w:szCs w:val="21"/>
        </w:rPr>
      </w:pPr>
      <w:r>
        <w:rPr>
          <w:rStyle w:val="15"/>
          <w:sz w:val="21"/>
          <w:szCs w:val="21"/>
        </w:rPr>
        <w:t>场外交通</w:t>
      </w:r>
    </w:p>
    <w:p>
      <w:pPr>
        <w:pStyle w:val="3"/>
        <w:spacing w:before="123"/>
        <w:ind w:left="591"/>
        <w:rPr>
          <w:rStyle w:val="15"/>
          <w:sz w:val="21"/>
          <w:szCs w:val="21"/>
        </w:rPr>
      </w:pPr>
      <w:r>
        <w:rPr>
          <w:rStyle w:val="15"/>
          <w:sz w:val="21"/>
          <w:szCs w:val="21"/>
        </w:rPr>
        <w:t>本款补充第 7.3.3 项：</w:t>
      </w:r>
    </w:p>
    <w:p>
      <w:pPr>
        <w:pStyle w:val="3"/>
        <w:spacing w:before="125"/>
        <w:ind w:left="591"/>
        <w:rPr>
          <w:rStyle w:val="15"/>
          <w:sz w:val="21"/>
          <w:szCs w:val="21"/>
        </w:rPr>
      </w:pPr>
      <w:r>
        <w:rPr>
          <w:rStyle w:val="15"/>
          <w:sz w:val="21"/>
          <w:szCs w:val="21"/>
        </w:rPr>
        <w:t>7.3.3 为保证道路交通安全及运输畅通，承包人应采取以下措施：</w:t>
      </w:r>
    </w:p>
    <w:p>
      <w:pPr>
        <w:pStyle w:val="3"/>
        <w:spacing w:before="125" w:line="350" w:lineRule="auto"/>
        <w:ind w:left="112" w:right="104" w:firstLine="480"/>
        <w:rPr>
          <w:rStyle w:val="15"/>
          <w:sz w:val="21"/>
          <w:szCs w:val="21"/>
        </w:rPr>
      </w:pPr>
      <w:r>
        <w:rPr>
          <w:rStyle w:val="15"/>
          <w:sz w:val="21"/>
          <w:szCs w:val="21"/>
        </w:rPr>
        <w:t>（1）当施工期间，道路暂时堵塞时，承包人必须与交通和公安部门协商，采取足够的措施引导、疏导交通。但不管何种原因，因其交通堵塞时间均不能超过以下规定的时间：二级及以上公路 15 分钟；三级及以下公路 30 分钟，地方道路堵塞状况应在地方政府及群众允许的程度。若堵塞交通超过上述规定的时间，监理人可指令采取任何措施疏通，一切费用由承包人承担。</w:t>
      </w:r>
    </w:p>
    <w:p>
      <w:pPr>
        <w:pStyle w:val="3"/>
        <w:spacing w:before="26" w:line="350" w:lineRule="auto"/>
        <w:ind w:left="112" w:right="208" w:firstLine="480"/>
        <w:jc w:val="both"/>
        <w:rPr>
          <w:rStyle w:val="15"/>
          <w:sz w:val="21"/>
          <w:szCs w:val="21"/>
        </w:rPr>
      </w:pPr>
      <w:r>
        <w:rPr>
          <w:rStyle w:val="15"/>
          <w:sz w:val="21"/>
          <w:szCs w:val="21"/>
        </w:rPr>
        <w:t>（2）考虑到施工对原有道路的影响，承包人应对原有的道路进行养护和维修，并在开工前与地方道路（交   通）管理部门签订养护维修责任协议。承包人不与地方道路（交通）管理部门签订养护维修责任协议并未对原有道路等进行养护和维修的，由承包人自行承担相应的后果和责任，同时，发包人有权停止支付或扣留承包人的临时（原有）道路养护费用，用于地方道路（交通）管理部门对原有道路进行养护和维修。</w:t>
      </w:r>
    </w:p>
    <w:p>
      <w:pPr>
        <w:pStyle w:val="3"/>
        <w:spacing w:before="28" w:line="350" w:lineRule="auto"/>
        <w:ind w:left="112" w:right="169" w:firstLine="480"/>
        <w:jc w:val="both"/>
        <w:rPr>
          <w:rStyle w:val="15"/>
          <w:sz w:val="21"/>
          <w:szCs w:val="21"/>
        </w:rPr>
      </w:pPr>
      <w:r>
        <w:rPr>
          <w:rStyle w:val="15"/>
          <w:sz w:val="21"/>
          <w:szCs w:val="21"/>
        </w:rPr>
        <w:t>（3）承包人在退场前，应就使用原有道路的养护和维修问题获得地方道路（交通）管理部门的书面认可，   并报发包人备案。</w:t>
      </w:r>
    </w:p>
    <w:p>
      <w:pPr>
        <w:pStyle w:val="3"/>
        <w:spacing w:before="26"/>
        <w:ind w:left="591"/>
        <w:rPr>
          <w:rStyle w:val="15"/>
          <w:sz w:val="21"/>
          <w:szCs w:val="21"/>
        </w:rPr>
      </w:pPr>
      <w:r>
        <w:rPr>
          <w:rStyle w:val="15"/>
          <w:sz w:val="21"/>
          <w:szCs w:val="21"/>
        </w:rPr>
        <w:t>（4）在项目交工验收之前，承包人有责任阻止或限制任何超载车辆进入已完工的道路。</w:t>
      </w:r>
    </w:p>
    <w:p>
      <w:pPr>
        <w:pStyle w:val="9"/>
        <w:spacing w:before="125"/>
        <w:rPr>
          <w:rStyle w:val="15"/>
          <w:sz w:val="21"/>
          <w:szCs w:val="21"/>
        </w:rPr>
      </w:pPr>
      <w:r>
        <w:rPr>
          <w:rStyle w:val="15"/>
          <w:sz w:val="21"/>
          <w:szCs w:val="21"/>
        </w:rPr>
        <w:t>8.3 基准资料错误的责任</w:t>
      </w:r>
    </w:p>
    <w:p>
      <w:pPr>
        <w:pStyle w:val="3"/>
        <w:spacing w:before="125" w:line="348" w:lineRule="auto"/>
        <w:ind w:left="112" w:right="208" w:firstLine="420"/>
        <w:jc w:val="both"/>
        <w:rPr>
          <w:rStyle w:val="15"/>
          <w:sz w:val="21"/>
          <w:szCs w:val="21"/>
        </w:rPr>
      </w:pPr>
      <w:r>
        <w:rPr>
          <w:rStyle w:val="15"/>
          <w:sz w:val="21"/>
          <w:szCs w:val="21"/>
        </w:rPr>
        <w:t>本款补充：承包人在使用发包人提供的测量基准点、基准线和水准点前有义务对测量基准点、基准线和水准点进行复测校核，如果承包人未对上述基准资料进行复测校核或发现上述基准资料存在明显错误或疏忽不通知监理人造成工程损失的，承包人应承担由此引发工程损失的全部责任。</w:t>
      </w:r>
    </w:p>
    <w:p>
      <w:pPr>
        <w:pStyle w:val="9"/>
        <w:spacing w:before="31"/>
        <w:rPr>
          <w:rStyle w:val="15"/>
          <w:sz w:val="21"/>
          <w:szCs w:val="21"/>
        </w:rPr>
      </w:pPr>
      <w:r>
        <w:rPr>
          <w:rStyle w:val="15"/>
          <w:sz w:val="21"/>
          <w:szCs w:val="21"/>
        </w:rPr>
        <w:t>9.2 承包人的施工安全责任</w:t>
      </w:r>
    </w:p>
    <w:p>
      <w:pPr>
        <w:pStyle w:val="3"/>
        <w:spacing w:before="123"/>
        <w:ind w:left="591"/>
        <w:rPr>
          <w:rStyle w:val="15"/>
          <w:sz w:val="21"/>
          <w:szCs w:val="21"/>
        </w:rPr>
      </w:pPr>
      <w:r>
        <w:rPr>
          <w:rStyle w:val="15"/>
          <w:sz w:val="21"/>
          <w:szCs w:val="21"/>
        </w:rPr>
        <w:t>第 9.2.5 项细化的条款内容中的安全生产费用调整为：安全生产费用按控制价上限的 1.5%计。</w:t>
      </w:r>
    </w:p>
    <w:p>
      <w:pPr>
        <w:pStyle w:val="9"/>
        <w:numPr>
          <w:ilvl w:val="1"/>
          <w:numId w:val="18"/>
        </w:numPr>
        <w:tabs>
          <w:tab w:val="left" w:pos="532"/>
        </w:tabs>
        <w:spacing w:before="125" w:after="0" w:line="240" w:lineRule="auto"/>
        <w:ind w:left="532" w:right="0" w:hanging="420"/>
        <w:jc w:val="left"/>
        <w:rPr>
          <w:rStyle w:val="15"/>
          <w:sz w:val="21"/>
          <w:szCs w:val="21"/>
        </w:rPr>
      </w:pPr>
      <w:r>
        <w:rPr>
          <w:rStyle w:val="15"/>
          <w:sz w:val="21"/>
          <w:szCs w:val="21"/>
        </w:rPr>
        <w:t>环境保护</w:t>
      </w:r>
    </w:p>
    <w:p>
      <w:pPr>
        <w:pStyle w:val="3"/>
        <w:spacing w:before="125"/>
        <w:ind w:left="591"/>
        <w:rPr>
          <w:rStyle w:val="15"/>
          <w:sz w:val="21"/>
          <w:szCs w:val="21"/>
        </w:rPr>
      </w:pPr>
      <w:r>
        <w:rPr>
          <w:rStyle w:val="15"/>
          <w:sz w:val="21"/>
          <w:szCs w:val="21"/>
        </w:rPr>
        <w:t>本款增加第 9.4.12 项：</w:t>
      </w:r>
    </w:p>
    <w:p>
      <w:pPr>
        <w:spacing w:after="0"/>
        <w:rPr>
          <w:rStyle w:val="15"/>
          <w:sz w:val="21"/>
          <w:szCs w:val="21"/>
        </w:rPr>
        <w:sectPr>
          <w:pgSz w:w="11910" w:h="16840"/>
          <w:pgMar w:top="1000" w:right="640" w:bottom="760" w:left="740" w:header="808" w:footer="575" w:gutter="0"/>
          <w:pgNumType w:fmt="decimal"/>
        </w:sectPr>
      </w:pPr>
    </w:p>
    <w:p>
      <w:pPr>
        <w:pStyle w:val="3"/>
        <w:spacing w:before="8"/>
        <w:rPr>
          <w:sz w:val="12"/>
        </w:rPr>
      </w:pPr>
    </w:p>
    <w:p>
      <w:pPr>
        <w:pStyle w:val="3"/>
        <w:spacing w:before="34" w:line="350" w:lineRule="auto"/>
        <w:ind w:left="112" w:right="208" w:firstLine="480"/>
        <w:jc w:val="both"/>
        <w:rPr>
          <w:rStyle w:val="15"/>
        </w:rPr>
      </w:pPr>
      <w:r>
        <w:rPr>
          <w:rStyle w:val="15"/>
        </w:rPr>
        <w:t>9.4.12 对承包人违反或不满足耕地保护和环境保护的相关规定的，监理人有权作出指令要求承包人进行整改或修复并满足环境保护的相关规定，相关费用由承包人承担；若承包人不执行监理人指令的，监理人有权中    止支付或另行进行处理，所发生费用由承包人承担。</w:t>
      </w:r>
    </w:p>
    <w:p>
      <w:pPr>
        <w:pStyle w:val="9"/>
        <w:numPr>
          <w:ilvl w:val="1"/>
          <w:numId w:val="18"/>
        </w:numPr>
        <w:tabs>
          <w:tab w:val="left" w:pos="532"/>
        </w:tabs>
        <w:spacing w:before="26" w:after="0" w:line="240" w:lineRule="auto"/>
        <w:ind w:left="532" w:right="0" w:hanging="420"/>
        <w:jc w:val="left"/>
        <w:rPr>
          <w:rStyle w:val="15"/>
        </w:rPr>
      </w:pPr>
      <w:r>
        <w:rPr>
          <w:rStyle w:val="15"/>
        </w:rPr>
        <w:t>文明施工</w:t>
      </w:r>
    </w:p>
    <w:p>
      <w:pPr>
        <w:pStyle w:val="3"/>
        <w:spacing w:before="125"/>
        <w:ind w:left="532"/>
        <w:rPr>
          <w:rStyle w:val="15"/>
        </w:rPr>
      </w:pPr>
      <w:r>
        <w:rPr>
          <w:rStyle w:val="15"/>
        </w:rPr>
        <w:t>承包人施工时，在以下方面应作好相关文明施工措施：</w:t>
      </w:r>
    </w:p>
    <w:p>
      <w:pPr>
        <w:pStyle w:val="3"/>
        <w:spacing w:before="125" w:line="348" w:lineRule="auto"/>
        <w:ind w:left="112" w:right="210" w:firstLine="420"/>
        <w:jc w:val="both"/>
        <w:rPr>
          <w:rStyle w:val="15"/>
        </w:rPr>
      </w:pPr>
      <w:r>
        <w:rPr>
          <w:rStyle w:val="15"/>
        </w:rPr>
        <w:t>（1）施工人员管理。进入现场作业的管理人员、施工人员（含劳务队伍），提倡着与施工工程相适应的配套工作服，要求配戴安全帽，并佩戴现场施工工作证或上岗证（按发包人审定的统一格式），以便于与当地群众或非施工人员的区分。施工作业现场安排专人维持施工，避免非施工人员进行作业现场。</w:t>
      </w:r>
    </w:p>
    <w:p>
      <w:pPr>
        <w:pStyle w:val="3"/>
        <w:spacing w:before="31" w:line="348" w:lineRule="auto"/>
        <w:ind w:left="112" w:right="205" w:firstLine="420"/>
        <w:jc w:val="both"/>
        <w:rPr>
          <w:rStyle w:val="15"/>
        </w:rPr>
      </w:pPr>
      <w:r>
        <w:rPr>
          <w:rStyle w:val="15"/>
        </w:rPr>
        <w:t>（2）施工现场标志布置，注意场容场貌，特殊工地现场的必要围挡措施。施工现场办公、生活区与作业区分开设置，保持安全距离。项目部、劳务队伍宿舍、拌和站、堆料场等驻地设有施工企业识别标识。驻地进门处悬挂工程项目名称、管理或负责人名字电话及监督电话，主要工程施工点按标准化施工技术指南要求设置相关工程标识牌，有责任人、联系电话等标识。对特殊施工点，如桩基坑、结构物沟槽或施工路段断面等处若尚未回填时还应设置必要围挡，以防意外坠落事故。临时配电箱及电路设置规范，按要求设好保护装置，选用质量合格的配电箱和漏电保护器，做好电源开关安全防护措施。施工安全重点路段和部位、炸药库、油料仓库及存放点的安全设施及管理措施应严格按有关规定落实到位，同时应设置管理人员，并设置危险地点及危险物品安全警告标志牌。</w:t>
      </w:r>
    </w:p>
    <w:p>
      <w:pPr>
        <w:pStyle w:val="3"/>
        <w:spacing w:before="31" w:line="350" w:lineRule="auto"/>
        <w:ind w:left="112" w:right="102" w:firstLine="420"/>
        <w:rPr>
          <w:rStyle w:val="15"/>
        </w:rPr>
      </w:pPr>
      <w:r>
        <w:rPr>
          <w:rStyle w:val="15"/>
        </w:rPr>
        <w:t>（3）严格按</w:t>
      </w:r>
      <w:r>
        <w:rPr>
          <w:rStyle w:val="15"/>
        </w:rPr>
        <w:fldChar w:fldCharType="begin"/>
      </w:r>
      <w:r>
        <w:rPr>
          <w:rStyle w:val="15"/>
        </w:rPr>
        <w:instrText xml:space="preserve"> HYPERLINK "http://www.fdcew.com/Soft/kfsj/" \h </w:instrText>
      </w:r>
      <w:r>
        <w:rPr>
          <w:rStyle w:val="15"/>
        </w:rPr>
        <w:fldChar w:fldCharType="separate"/>
      </w:r>
      <w:r>
        <w:rPr>
          <w:rStyle w:val="15"/>
        </w:rPr>
        <w:t>规范</w:t>
      </w:r>
      <w:r>
        <w:rPr>
          <w:rStyle w:val="15"/>
        </w:rPr>
        <w:fldChar w:fldCharType="end"/>
      </w:r>
      <w:r>
        <w:rPr>
          <w:rStyle w:val="15"/>
        </w:rPr>
        <w:fldChar w:fldCharType="begin"/>
      </w:r>
      <w:r>
        <w:rPr>
          <w:rStyle w:val="15"/>
        </w:rPr>
        <w:instrText xml:space="preserve"> HYPERLINK "http://www.fdcew.com/Soft/jzsg/" \h </w:instrText>
      </w:r>
      <w:r>
        <w:rPr>
          <w:rStyle w:val="15"/>
        </w:rPr>
        <w:fldChar w:fldCharType="separate"/>
      </w:r>
      <w:r>
        <w:rPr>
          <w:rStyle w:val="15"/>
        </w:rPr>
        <w:t>施工</w:t>
      </w:r>
      <w:r>
        <w:rPr>
          <w:rStyle w:val="15"/>
        </w:rPr>
        <w:fldChar w:fldCharType="end"/>
      </w:r>
      <w:r>
        <w:rPr>
          <w:rStyle w:val="15"/>
        </w:rPr>
        <w:t>，按发包人标准化施工技术指南要求，全面推行现场施工标准化作业。主要措施要求：施工点设置相应防护、安全、卫生、防火设施；路基作业面、施工便道要经常洒水，每半天至少洒水两次，施工高峰期视情况增加洒水次数，防止尘土飞扬；桥梁或其他结构物施工过程中泥浆及废弃物在完工时要即时清理干净，各工点做到工完场清，对已部分建成的结构物不得随意作为堆料场所、设备停放场所；做好施工时水土保持措施，避免污染环境或污染当地农作物，或阻塞道路、水利沟渠、河道等；建筑弃渣、废水等不得直接排入饮用水水源和有环保要求的水道；不得在路基范围内废弃垃圾，或设置机械设备修理场所；爆破作业设置符合要求的防护区，做好安全措施方案，对爆破作业时可能受到影响的当地居住区或交通管理事先做好提醒、警示、安全指导等措施；未经监理人批准不得在高速公路路线施工区域设置设备停放场、材料加工厂以及拌和厂（施工工艺要求必须的除外）。遵守发包人标准化施工技术指南中相关文明施工要求。设计中标明需采用静态爆破的施工路段，承包人必须严格按照规定采用静态爆破施工法进行石方开挖，因采用静态爆破施工增加的费用不单独计量，由承包人考虑在相关报价子目中。其余施工路段承包人应严格按照技术规范的规定进行石方开挖，施工中可能遇到的风险产生的费用（包括需采用预裂、光面、控制爆破、劈裂爆破、破碎锤破碎、膨胀剂静态爆破等施工技术产生的费用）视为承包人已按照合同条件第 4.10 款的规定考虑在相关报价子目中。</w:t>
      </w:r>
    </w:p>
    <w:p>
      <w:pPr>
        <w:pStyle w:val="3"/>
        <w:spacing w:before="29" w:line="348" w:lineRule="auto"/>
        <w:ind w:left="112" w:right="210" w:firstLine="420"/>
        <w:rPr>
          <w:rStyle w:val="15"/>
        </w:rPr>
      </w:pPr>
      <w:r>
        <w:rPr>
          <w:rStyle w:val="15"/>
        </w:rPr>
        <w:t>（4）做好施工区域内现有管网和周围的建、构筑物的保护。施工中如发现古文化遗址、文物等，立即停止施工，保护好现场，积极与发包人及有关文物管理职能部门取得联系，并大力配合，妥善处理后再进行施工。</w:t>
      </w:r>
    </w:p>
    <w:p>
      <w:pPr>
        <w:pStyle w:val="3"/>
        <w:spacing w:before="31" w:line="350" w:lineRule="auto"/>
        <w:ind w:left="112" w:right="210" w:firstLine="420"/>
        <w:rPr>
          <w:rStyle w:val="15"/>
        </w:rPr>
      </w:pPr>
      <w:r>
        <w:rPr>
          <w:rStyle w:val="15"/>
        </w:rPr>
        <w:t>（5）按项目专用合同条款第 9.4 款要求做好噪音、粉尘的污染控制措施，避免对当地造成不良影响。制订切实可行的现场卫生管理方案，驻地卫生满足基本生活要求和符合相关管理部门要求。</w:t>
      </w:r>
    </w:p>
    <w:p>
      <w:pPr>
        <w:pStyle w:val="3"/>
        <w:spacing w:before="26" w:line="350" w:lineRule="auto"/>
        <w:ind w:left="112" w:right="206" w:firstLine="420"/>
        <w:jc w:val="both"/>
      </w:pPr>
      <w:r>
        <w:rPr>
          <w:rStyle w:val="15"/>
        </w:rPr>
        <w:t>发包人发现承包人未按文明施工要求实施时，有权发出整改要求，并可视性质和严重程度处以 1000～50000 元/次的违约金。若造成其他损失或损坏的，由承包人自行恢复或赔偿，若承包人不予处理时，必要时发包人可另行委托他人处理，所发生费用由承包人负责（从承包人的计量款中支付）。</w:t>
      </w:r>
    </w:p>
    <w:p>
      <w:pPr>
        <w:spacing w:after="0" w:line="350" w:lineRule="auto"/>
        <w:jc w:val="both"/>
        <w:sectPr>
          <w:pgSz w:w="11910" w:h="16840"/>
          <w:pgMar w:top="1000" w:right="640" w:bottom="760" w:left="740" w:header="808" w:footer="575" w:gutter="0"/>
          <w:pgNumType w:fmt="decimal"/>
        </w:sectPr>
      </w:pPr>
    </w:p>
    <w:p>
      <w:pPr>
        <w:pStyle w:val="3"/>
        <w:spacing w:before="8"/>
        <w:rPr>
          <w:sz w:val="12"/>
        </w:rPr>
      </w:pPr>
    </w:p>
    <w:p>
      <w:pPr>
        <w:pStyle w:val="9"/>
        <w:spacing w:before="34"/>
      </w:pPr>
      <w:r>
        <w:t>10.1 合同进度计划</w:t>
      </w:r>
    </w:p>
    <w:p>
      <w:pPr>
        <w:pStyle w:val="3"/>
        <w:spacing w:before="125" w:line="350" w:lineRule="auto"/>
        <w:ind w:left="112" w:right="208" w:firstLine="480"/>
        <w:jc w:val="both"/>
        <w:rPr>
          <w:rStyle w:val="15"/>
          <w:sz w:val="21"/>
          <w:szCs w:val="21"/>
        </w:rPr>
      </w:pPr>
      <w:r>
        <w:rPr>
          <w:rStyle w:val="15"/>
          <w:sz w:val="21"/>
          <w:szCs w:val="21"/>
        </w:rPr>
        <w:t>承包人编制施工方案的内容：承包人须按发包人和监理人的要求编制施工标段总体施工方案以及单位工程的施工方案，如有需要时还应编制分部工程、分项工程的施工方案。</w:t>
      </w:r>
    </w:p>
    <w:p>
      <w:pPr>
        <w:pStyle w:val="3"/>
        <w:spacing w:before="26" w:line="350" w:lineRule="auto"/>
        <w:ind w:left="112" w:right="206" w:firstLine="480"/>
        <w:jc w:val="both"/>
        <w:rPr>
          <w:rStyle w:val="15"/>
          <w:sz w:val="21"/>
          <w:szCs w:val="21"/>
        </w:rPr>
      </w:pPr>
      <w:r>
        <w:rPr>
          <w:rStyle w:val="15"/>
          <w:sz w:val="21"/>
          <w:szCs w:val="21"/>
        </w:rPr>
        <w:t>本款补充：监理人对承包人的施工进度计划和施工方案提出修改意见后，承包人应在接到监理人指令后的 7 天内将修订后的进度计划和施工方案提交给监理人审批。修改后的工程进度计划和施工方案，仍保证本合同工程在合同规定的工期内完成。</w:t>
      </w:r>
    </w:p>
    <w:p>
      <w:pPr>
        <w:pStyle w:val="9"/>
        <w:numPr>
          <w:ilvl w:val="1"/>
          <w:numId w:val="19"/>
        </w:numPr>
        <w:tabs>
          <w:tab w:val="left" w:pos="640"/>
        </w:tabs>
        <w:spacing w:before="26" w:after="0" w:line="240" w:lineRule="auto"/>
        <w:ind w:left="640" w:right="0" w:hanging="528"/>
        <w:jc w:val="left"/>
        <w:rPr>
          <w:rStyle w:val="15"/>
          <w:sz w:val="21"/>
          <w:szCs w:val="21"/>
        </w:rPr>
      </w:pPr>
      <w:r>
        <w:rPr>
          <w:rStyle w:val="15"/>
          <w:sz w:val="21"/>
          <w:szCs w:val="21"/>
        </w:rPr>
        <w:t>异常恶劣的气候条件</w:t>
      </w:r>
    </w:p>
    <w:p>
      <w:pPr>
        <w:pStyle w:val="3"/>
        <w:spacing w:before="125" w:line="350" w:lineRule="auto"/>
        <w:ind w:left="112" w:right="208" w:firstLine="480"/>
        <w:jc w:val="both"/>
        <w:rPr>
          <w:rStyle w:val="15"/>
          <w:sz w:val="21"/>
          <w:szCs w:val="21"/>
        </w:rPr>
      </w:pPr>
      <w:r>
        <w:rPr>
          <w:rStyle w:val="15"/>
          <w:sz w:val="21"/>
          <w:szCs w:val="21"/>
        </w:rPr>
        <w:t>异常恶劣的气候条件的范围：对本项目而言，指发生烈度七度及以上地震、龙卷风、桥梁施工现场受淹超过发包人提供的设计图纸指明的设计洪水位引起延误的情况。</w:t>
      </w:r>
    </w:p>
    <w:p>
      <w:pPr>
        <w:pStyle w:val="3"/>
        <w:spacing w:before="26" w:line="350" w:lineRule="auto"/>
        <w:ind w:left="112" w:right="208" w:firstLine="480"/>
        <w:jc w:val="both"/>
        <w:rPr>
          <w:rStyle w:val="15"/>
          <w:sz w:val="21"/>
          <w:szCs w:val="21"/>
        </w:rPr>
      </w:pPr>
      <w:r>
        <w:rPr>
          <w:rStyle w:val="15"/>
          <w:sz w:val="21"/>
          <w:szCs w:val="21"/>
        </w:rPr>
        <w:t>本款补充：异常恶劣的气候条件，政府及有关部门预先有预报的，由于承包人没有应急措施或没有采取应急措施的，造成的损失和工期延误，由承包人负责。</w:t>
      </w:r>
    </w:p>
    <w:p>
      <w:pPr>
        <w:pStyle w:val="9"/>
        <w:numPr>
          <w:ilvl w:val="1"/>
          <w:numId w:val="19"/>
        </w:numPr>
        <w:tabs>
          <w:tab w:val="left" w:pos="640"/>
        </w:tabs>
        <w:spacing w:before="29" w:after="0" w:line="240" w:lineRule="auto"/>
        <w:ind w:left="640" w:right="0" w:hanging="528"/>
        <w:jc w:val="left"/>
        <w:rPr>
          <w:rStyle w:val="15"/>
          <w:sz w:val="21"/>
          <w:szCs w:val="21"/>
        </w:rPr>
      </w:pPr>
      <w:r>
        <w:rPr>
          <w:rStyle w:val="15"/>
          <w:sz w:val="21"/>
          <w:szCs w:val="21"/>
        </w:rPr>
        <w:t>承包人的工期延误</w:t>
      </w:r>
    </w:p>
    <w:p>
      <w:pPr>
        <w:pStyle w:val="3"/>
        <w:spacing w:before="123" w:line="350" w:lineRule="auto"/>
        <w:ind w:left="112" w:right="208" w:firstLine="480"/>
        <w:jc w:val="both"/>
        <w:rPr>
          <w:rStyle w:val="15"/>
          <w:sz w:val="21"/>
          <w:szCs w:val="21"/>
        </w:rPr>
      </w:pPr>
      <w:r>
        <w:rPr>
          <w:rStyle w:val="15"/>
          <w:sz w:val="21"/>
          <w:szCs w:val="21"/>
        </w:rPr>
        <w:t>本款第（1）项补充：此外，发包人或监理人指令确认的关键分项工程按其属于施工组织设计中的关键线路进行考核。当监理人评估该关键分项工程实际已拖期，并已下达针对该分项工程的两次施工进度指令，在指令规定时间内，未能达到要求，即开始计算该分项工程的拖期损失赔偿金（分项工程拖期损失赔偿金=分项工程的合同金额×0.3%/天×拖期天数）。除此之外，发包人同时还有权聘请其他承包人来完成，由此产生的所有费用由拖期的承包人承担。如承包人能根据监理人审批的施工进度整改方案如期实现项目进度计划，则发包人可视情况减免本项违约金。</w:t>
      </w:r>
    </w:p>
    <w:p>
      <w:pPr>
        <w:pStyle w:val="9"/>
        <w:spacing w:before="26"/>
        <w:rPr>
          <w:rStyle w:val="15"/>
          <w:sz w:val="21"/>
          <w:szCs w:val="21"/>
        </w:rPr>
      </w:pPr>
      <w:r>
        <w:rPr>
          <w:rStyle w:val="15"/>
          <w:sz w:val="21"/>
          <w:szCs w:val="21"/>
        </w:rPr>
        <w:t>12.1 承包人暂停施工的责任</w:t>
      </w:r>
    </w:p>
    <w:p>
      <w:pPr>
        <w:pStyle w:val="3"/>
        <w:spacing w:before="125" w:line="350" w:lineRule="auto"/>
        <w:ind w:left="112" w:right="102" w:firstLine="480"/>
        <w:rPr>
          <w:rStyle w:val="15"/>
          <w:sz w:val="21"/>
          <w:szCs w:val="21"/>
        </w:rPr>
      </w:pPr>
      <w:r>
        <w:rPr>
          <w:rStyle w:val="15"/>
          <w:sz w:val="21"/>
          <w:szCs w:val="21"/>
        </w:rPr>
        <w:t>本款第（6）项由承包人承担的其他暂停施工约定为：政府因故向社会发布的必须执行的短暂（每次 7 天内） 停工要求。</w:t>
      </w:r>
    </w:p>
    <w:p>
      <w:pPr>
        <w:pStyle w:val="9"/>
        <w:numPr>
          <w:ilvl w:val="1"/>
          <w:numId w:val="20"/>
        </w:numPr>
        <w:tabs>
          <w:tab w:val="left" w:pos="640"/>
        </w:tabs>
        <w:spacing w:before="26" w:after="0" w:line="240" w:lineRule="auto"/>
        <w:ind w:left="640" w:right="0" w:hanging="528"/>
        <w:jc w:val="left"/>
        <w:rPr>
          <w:rStyle w:val="15"/>
          <w:sz w:val="21"/>
          <w:szCs w:val="21"/>
        </w:rPr>
      </w:pPr>
      <w:r>
        <w:rPr>
          <w:rStyle w:val="15"/>
          <w:sz w:val="21"/>
          <w:szCs w:val="21"/>
        </w:rPr>
        <w:t>工程质量要求</w:t>
      </w:r>
    </w:p>
    <w:p>
      <w:pPr>
        <w:pStyle w:val="3"/>
        <w:spacing w:before="125" w:line="348" w:lineRule="auto"/>
        <w:ind w:left="112" w:right="101" w:firstLine="472"/>
        <w:rPr>
          <w:rStyle w:val="15"/>
          <w:sz w:val="21"/>
          <w:szCs w:val="21"/>
        </w:rPr>
      </w:pPr>
      <w:r>
        <w:rPr>
          <w:rStyle w:val="15"/>
          <w:sz w:val="21"/>
          <w:szCs w:val="21"/>
        </w:rPr>
        <w:t>第 13.1.1 项补充：本合同工程质量要求为：工程交工验收的质量评定：合格；竣工验收的质量评定：优良。分项工程合格率 100%。工程质量验收按技术规范及《公路工程质量检验评定标准》执行，工程质量达不到约定的质量标准，承包人应承担违约责任。</w:t>
      </w:r>
    </w:p>
    <w:p>
      <w:pPr>
        <w:pStyle w:val="9"/>
        <w:numPr>
          <w:ilvl w:val="1"/>
          <w:numId w:val="20"/>
        </w:numPr>
        <w:tabs>
          <w:tab w:val="left" w:pos="640"/>
        </w:tabs>
        <w:spacing w:before="31" w:after="0" w:line="240" w:lineRule="auto"/>
        <w:ind w:left="640" w:right="0" w:hanging="528"/>
        <w:jc w:val="left"/>
        <w:rPr>
          <w:rStyle w:val="15"/>
          <w:sz w:val="21"/>
          <w:szCs w:val="21"/>
        </w:rPr>
      </w:pPr>
      <w:r>
        <w:rPr>
          <w:rStyle w:val="15"/>
          <w:sz w:val="21"/>
          <w:szCs w:val="21"/>
        </w:rPr>
        <w:t>修改为：承包人的质量、安全管理</w:t>
      </w:r>
    </w:p>
    <w:p>
      <w:pPr>
        <w:pStyle w:val="3"/>
        <w:spacing w:before="126" w:line="348" w:lineRule="auto"/>
        <w:ind w:left="112" w:right="208" w:firstLine="480"/>
        <w:jc w:val="both"/>
        <w:rPr>
          <w:rStyle w:val="15"/>
          <w:sz w:val="21"/>
          <w:szCs w:val="21"/>
        </w:rPr>
      </w:pPr>
      <w:r>
        <w:rPr>
          <w:rStyle w:val="15"/>
          <w:sz w:val="21"/>
          <w:szCs w:val="21"/>
        </w:rPr>
        <w:t>补充 13.2.7：承包人应加强工程质量管理，重视质量通病的治理，预防重大工程质量风险，防止工程质量事故的发生，发生工程质量事故后，承包人必须按照规定及时报告，并立即采取有效措施，防止事故扩大，保护事故现场，协助事故检查。对因施工单位原因造成的工程质量事故承担直接责任。因承包人管理不善或因承包人原因导致发生质量事故的，除承包人承担全部责任损失外，发包人有权按如下标准进行违约处罚：发生三级一般质量事故的，发包人对承包人处以 10 万元/次违约金处罚；发生二级一般质量事故的，发包人对承包人处以 20</w:t>
      </w:r>
    </w:p>
    <w:p>
      <w:pPr>
        <w:pStyle w:val="3"/>
        <w:spacing w:before="31"/>
        <w:ind w:left="112"/>
        <w:rPr>
          <w:rStyle w:val="15"/>
          <w:sz w:val="21"/>
          <w:szCs w:val="21"/>
        </w:rPr>
      </w:pPr>
      <w:r>
        <w:rPr>
          <w:rStyle w:val="15"/>
          <w:sz w:val="21"/>
          <w:szCs w:val="21"/>
        </w:rPr>
        <w:t>万元/次违约金处罚；发生一级一般质量事故的，发包人对承包人处以 30 万元/次违约金处罚；发生重大质量事</w:t>
      </w:r>
    </w:p>
    <w:p>
      <w:pPr>
        <w:pStyle w:val="3"/>
        <w:spacing w:before="125" w:line="348" w:lineRule="auto"/>
        <w:ind w:left="112" w:right="208"/>
        <w:rPr>
          <w:rStyle w:val="15"/>
          <w:sz w:val="21"/>
          <w:szCs w:val="21"/>
        </w:rPr>
      </w:pPr>
      <w:r>
        <w:rPr>
          <w:rStyle w:val="15"/>
          <w:sz w:val="21"/>
          <w:szCs w:val="21"/>
        </w:rPr>
        <w:t>故的，发包人对承包人处以 50 万元/次违约金处罚。质量事故等级划分依据为国家或交通运输部发布的《公路工程质量事故等级划分及报告制度》文件内容。</w:t>
      </w:r>
    </w:p>
    <w:p>
      <w:pPr>
        <w:pStyle w:val="3"/>
        <w:spacing w:before="31" w:line="350" w:lineRule="auto"/>
        <w:ind w:left="112" w:right="210" w:firstLine="480"/>
        <w:jc w:val="both"/>
        <w:rPr>
          <w:rStyle w:val="15"/>
          <w:sz w:val="21"/>
          <w:szCs w:val="21"/>
        </w:rPr>
      </w:pPr>
      <w:r>
        <w:rPr>
          <w:rStyle w:val="15"/>
          <w:sz w:val="21"/>
          <w:szCs w:val="21"/>
        </w:rPr>
        <w:t>承包人在质量事故中未履行质量管理职责，视情节轻重，予以函告、通报、违约处罚等，或建议上级单位取消其 1～2 年在相关系统建设项目的投标资格；涉嫌构成犯罪的，将移交司法机关处理。</w:t>
      </w:r>
    </w:p>
    <w:p>
      <w:pPr>
        <w:spacing w:after="0" w:line="350" w:lineRule="auto"/>
        <w:jc w:val="both"/>
        <w:rPr>
          <w:rStyle w:val="15"/>
          <w:sz w:val="21"/>
          <w:szCs w:val="21"/>
        </w:rPr>
        <w:sectPr>
          <w:pgSz w:w="11910" w:h="16840"/>
          <w:pgMar w:top="1000" w:right="640" w:bottom="760" w:left="740" w:header="808" w:footer="575" w:gutter="0"/>
          <w:pgNumType w:fmt="decimal"/>
        </w:sectPr>
      </w:pPr>
    </w:p>
    <w:p>
      <w:pPr>
        <w:pStyle w:val="3"/>
        <w:spacing w:before="8"/>
        <w:rPr>
          <w:sz w:val="12"/>
        </w:rPr>
      </w:pPr>
    </w:p>
    <w:p>
      <w:pPr>
        <w:pStyle w:val="3"/>
        <w:spacing w:before="34" w:line="350" w:lineRule="auto"/>
        <w:ind w:left="112" w:right="208" w:firstLine="420"/>
        <w:jc w:val="both"/>
        <w:rPr>
          <w:rStyle w:val="15"/>
          <w:sz w:val="21"/>
          <w:szCs w:val="21"/>
        </w:rPr>
      </w:pPr>
      <w:r>
        <w:rPr>
          <w:rStyle w:val="15"/>
          <w:sz w:val="21"/>
          <w:szCs w:val="21"/>
        </w:rPr>
        <w:t>补充 13.2.8：发包人的质量、安全管理人员在日常巡视检查时发现的问题通知监理工程师和承包人，通过监理工程师责成、督促承包人进行纠正、整改，监理工程师可以在现场立即发出整改指令或要求暂停施工，并根据质量、安全违约的严重程度给予经济处罚，无论承包人是否对处罚单据进行签认，只要违约情况属实并有影像记录或现场监理人员确认，处罚均可生效。由监理工程师按整改指令的要求对其督促承包人执行，并在事后书面上报业主。</w:t>
      </w:r>
    </w:p>
    <w:p>
      <w:pPr>
        <w:pStyle w:val="3"/>
        <w:spacing w:before="28" w:line="348" w:lineRule="auto"/>
        <w:ind w:left="112" w:right="205" w:firstLine="420"/>
        <w:jc w:val="both"/>
        <w:rPr>
          <w:rStyle w:val="15"/>
          <w:sz w:val="21"/>
          <w:szCs w:val="21"/>
        </w:rPr>
      </w:pPr>
      <w:r>
        <w:rPr>
          <w:rStyle w:val="15"/>
          <w:sz w:val="21"/>
          <w:szCs w:val="21"/>
        </w:rPr>
        <w:t>补充 13.2.9：发包人将根据工程施工实际情况，定期与不定期召开质量、安全总结会议，承包人的项目负责人、技术负责人、质量、安全主管人员必须参加会议，不得无故缺席，无正当理由缺席的，发包人将对承包人处以 5000 元/人次。</w:t>
      </w:r>
    </w:p>
    <w:p>
      <w:pPr>
        <w:pStyle w:val="9"/>
        <w:spacing w:before="31"/>
        <w:rPr>
          <w:rStyle w:val="15"/>
          <w:sz w:val="21"/>
          <w:szCs w:val="21"/>
        </w:rPr>
      </w:pPr>
      <w:r>
        <w:rPr>
          <w:rStyle w:val="15"/>
          <w:sz w:val="21"/>
          <w:szCs w:val="21"/>
        </w:rPr>
        <w:t>13.5 工程隐蔽部位覆盖前的检查</w:t>
      </w:r>
    </w:p>
    <w:p>
      <w:pPr>
        <w:pStyle w:val="3"/>
        <w:spacing w:before="123"/>
        <w:ind w:left="532"/>
        <w:rPr>
          <w:rStyle w:val="15"/>
          <w:sz w:val="21"/>
          <w:szCs w:val="21"/>
        </w:rPr>
      </w:pPr>
      <w:r>
        <w:rPr>
          <w:rStyle w:val="15"/>
          <w:sz w:val="21"/>
          <w:szCs w:val="21"/>
        </w:rPr>
        <w:t>13.5.1 本项补充：承包人隐蔽工程检查通知至少应提前 24 小时提交给监理人。</w:t>
      </w:r>
    </w:p>
    <w:p>
      <w:pPr>
        <w:pStyle w:val="9"/>
        <w:spacing w:before="125"/>
        <w:rPr>
          <w:rStyle w:val="15"/>
          <w:sz w:val="21"/>
          <w:szCs w:val="21"/>
        </w:rPr>
      </w:pPr>
      <w:r>
        <w:rPr>
          <w:rStyle w:val="15"/>
          <w:sz w:val="21"/>
          <w:szCs w:val="21"/>
        </w:rPr>
        <w:t>15.4 变更的估价原则</w:t>
      </w:r>
    </w:p>
    <w:p>
      <w:pPr>
        <w:pStyle w:val="3"/>
        <w:spacing w:before="125" w:line="348" w:lineRule="auto"/>
        <w:ind w:left="112" w:right="125" w:firstLine="420"/>
        <w:jc w:val="both"/>
        <w:rPr>
          <w:rStyle w:val="15"/>
          <w:sz w:val="21"/>
          <w:szCs w:val="21"/>
        </w:rPr>
      </w:pPr>
      <w:r>
        <w:rPr>
          <w:rStyle w:val="15"/>
          <w:sz w:val="21"/>
          <w:szCs w:val="21"/>
        </w:rPr>
        <w:t>第15.4.3项、第15.4.4项中缺项单价确定原则细化为：根据交通运输部《公路工程预算定额》及费率计算，   由承包人向监理人提出申请，经监理人审核后报业主审批，并按以下原则执行：</w:t>
      </w:r>
    </w:p>
    <w:p>
      <w:pPr>
        <w:pStyle w:val="3"/>
        <w:spacing w:before="30"/>
        <w:ind w:left="532"/>
        <w:rPr>
          <w:rStyle w:val="15"/>
          <w:sz w:val="21"/>
          <w:szCs w:val="21"/>
        </w:rPr>
      </w:pPr>
      <w:r>
        <w:rPr>
          <w:rStyle w:val="15"/>
          <w:sz w:val="21"/>
          <w:szCs w:val="21"/>
        </w:rPr>
        <w:t>（1）工程量按履行了变更手续审核的施工图设计进行计算。</w:t>
      </w:r>
    </w:p>
    <w:p>
      <w:pPr>
        <w:pStyle w:val="3"/>
        <w:spacing w:before="125" w:line="350" w:lineRule="auto"/>
        <w:ind w:left="112" w:right="210" w:firstLine="420"/>
        <w:jc w:val="both"/>
        <w:rPr>
          <w:rStyle w:val="15"/>
          <w:sz w:val="21"/>
          <w:szCs w:val="21"/>
        </w:rPr>
      </w:pPr>
      <w:r>
        <w:rPr>
          <w:rStyle w:val="15"/>
          <w:sz w:val="21"/>
          <w:szCs w:val="21"/>
        </w:rPr>
        <w:t>（2）原材料价格按施工当期当地造价管理机构造价信息中发布的单价，信息价格中有上、下限的，以下限为准。当期造价管理机构发布的材料信息价格缺价的，可参照不超过12个月内最近一期的材料信息价格；前述材料信息价格仍缺价的，由承包人通过市场调查等取得有合法依据的市场价格后提出，报监理人和发包人审批。地材（砂、碎石等）按信息价取值后，不再考虑计算至工地现场的运费。</w:t>
      </w:r>
    </w:p>
    <w:p>
      <w:pPr>
        <w:pStyle w:val="3"/>
        <w:spacing w:before="26"/>
        <w:ind w:left="532"/>
        <w:rPr>
          <w:rStyle w:val="15"/>
          <w:sz w:val="21"/>
          <w:szCs w:val="21"/>
        </w:rPr>
      </w:pPr>
      <w:r>
        <w:rPr>
          <w:rStyle w:val="15"/>
          <w:sz w:val="21"/>
          <w:szCs w:val="21"/>
        </w:rPr>
        <w:t>（3）按预算定额和当期材料价计算得出的单价，再下浮调整系数（A值）后，作为用于计量支付的缺项单价。A值取值标准为5%。</w:t>
      </w:r>
    </w:p>
    <w:p>
      <w:pPr>
        <w:pStyle w:val="9"/>
        <w:numPr>
          <w:ilvl w:val="0"/>
          <w:numId w:val="21"/>
        </w:numPr>
        <w:tabs>
          <w:tab w:val="left" w:pos="532"/>
        </w:tabs>
        <w:spacing w:before="125" w:after="0" w:line="240" w:lineRule="auto"/>
        <w:ind w:left="532" w:right="0" w:hanging="420"/>
        <w:jc w:val="left"/>
        <w:rPr>
          <w:rStyle w:val="15"/>
          <w:sz w:val="21"/>
          <w:szCs w:val="21"/>
        </w:rPr>
      </w:pPr>
      <w:r>
        <w:rPr>
          <w:rStyle w:val="15"/>
          <w:sz w:val="21"/>
          <w:szCs w:val="21"/>
        </w:rPr>
        <w:t>价格调整</w:t>
      </w:r>
    </w:p>
    <w:p>
      <w:pPr>
        <w:spacing w:before="123"/>
        <w:ind w:left="112" w:right="0" w:firstLine="0"/>
        <w:jc w:val="left"/>
        <w:rPr>
          <w:rStyle w:val="15"/>
          <w:sz w:val="21"/>
          <w:szCs w:val="21"/>
        </w:rPr>
      </w:pPr>
      <w:r>
        <w:rPr>
          <w:rStyle w:val="15"/>
          <w:sz w:val="21"/>
          <w:szCs w:val="21"/>
        </w:rPr>
        <w:t>16.1 物价波动引起的价格调整</w:t>
      </w:r>
    </w:p>
    <w:p>
      <w:pPr>
        <w:pStyle w:val="3"/>
        <w:spacing w:before="126" w:line="350" w:lineRule="auto"/>
        <w:ind w:left="532" w:right="6727"/>
        <w:rPr>
          <w:rStyle w:val="15"/>
          <w:sz w:val="21"/>
          <w:szCs w:val="21"/>
        </w:rPr>
      </w:pPr>
      <w:r>
        <w:rPr>
          <w:rStyle w:val="15"/>
          <w:sz w:val="21"/>
          <w:szCs w:val="21"/>
        </w:rPr>
        <w:t>16.1.2 采用造价信息调整价格差额本项修改为：</w:t>
      </w:r>
    </w:p>
    <w:p>
      <w:pPr>
        <w:pStyle w:val="3"/>
        <w:spacing w:before="27" w:line="350" w:lineRule="auto"/>
        <w:ind w:left="112" w:right="205" w:firstLine="420"/>
        <w:jc w:val="both"/>
        <w:rPr>
          <w:rStyle w:val="15"/>
          <w:sz w:val="21"/>
          <w:szCs w:val="21"/>
        </w:rPr>
      </w:pPr>
      <w:r>
        <w:rPr>
          <w:rStyle w:val="15"/>
          <w:sz w:val="21"/>
          <w:szCs w:val="21"/>
        </w:rPr>
        <w:t>施工期间，因人工、材料、设备和机械台班价格波动影响合同价格时，对钢筋、水泥、砂石料等这几类材料进行价格调整，人工、其他材料、设备和机械台班等均不予调整（价格波动风险由承包人在投标时考虑并包含在相应项目的投标报价中）。价格调整要求如下：</w:t>
      </w:r>
    </w:p>
    <w:p>
      <w:pPr>
        <w:pStyle w:val="3"/>
        <w:spacing w:before="27" w:line="350" w:lineRule="auto"/>
        <w:ind w:left="232" w:right="208" w:firstLine="420"/>
        <w:jc w:val="both"/>
        <w:rPr>
          <w:rStyle w:val="15"/>
          <w:sz w:val="21"/>
          <w:szCs w:val="21"/>
        </w:rPr>
      </w:pPr>
      <w:r>
        <w:rPr>
          <w:rStyle w:val="15"/>
          <w:sz w:val="21"/>
          <w:szCs w:val="21"/>
        </w:rPr>
        <w:t>（1）进行价格调整的水泥，仅限于本项目永久性工程，防护工程和临时工程的所用材料不予进行调整；进行价格调整的柴油，按施工图预算数量的 80%进行调整；施工过程中按项目专用合同条款第 15.4 款约定的变更已按现行价格计价的也不予进行调整。</w:t>
      </w:r>
    </w:p>
    <w:p>
      <w:pPr>
        <w:pStyle w:val="3"/>
        <w:spacing w:before="27" w:line="350" w:lineRule="auto"/>
        <w:ind w:left="232" w:right="205" w:firstLine="420"/>
        <w:jc w:val="both"/>
        <w:rPr>
          <w:rStyle w:val="15"/>
          <w:sz w:val="21"/>
          <w:szCs w:val="21"/>
        </w:rPr>
      </w:pPr>
      <w:r>
        <w:rPr>
          <w:rStyle w:val="15"/>
          <w:sz w:val="21"/>
          <w:szCs w:val="21"/>
        </w:rPr>
        <w:t>（2）材料价差每 4 个月计算调整一次，开工令签发之日所在月份起 4 个月内不做调整，此后每 4 个月调整一次。工程材料的价格调整以工程所在地市建设工程造价造价管理机构发布的《建设工程造价信息》中公布的材料信息价的价差进行调整。</w:t>
      </w:r>
    </w:p>
    <w:p>
      <w:pPr>
        <w:pStyle w:val="3"/>
        <w:spacing w:before="27" w:line="350" w:lineRule="auto"/>
        <w:ind w:left="112" w:right="208" w:firstLine="420"/>
        <w:jc w:val="both"/>
        <w:rPr>
          <w:rStyle w:val="15"/>
          <w:sz w:val="21"/>
          <w:szCs w:val="21"/>
        </w:rPr>
      </w:pPr>
      <w:r>
        <w:rPr>
          <w:rStyle w:val="15"/>
          <w:sz w:val="21"/>
          <w:szCs w:val="21"/>
        </w:rPr>
        <w:t>基期价格： 开工令签发之日所在月份起前 4 个月内所有月份《建设工程造价信息》中公布的材料信息价， 信息价分上、下限，或者分高、中、低位价的，以下限或低位价为准。单位为人民币“元”。</w:t>
      </w:r>
    </w:p>
    <w:p>
      <w:pPr>
        <w:pStyle w:val="3"/>
        <w:spacing w:before="29"/>
        <w:ind w:left="232" w:leftChars="0" w:firstLine="298" w:firstLineChars="142"/>
        <w:rPr>
          <w:rStyle w:val="15"/>
        </w:rPr>
      </w:pPr>
      <w:r>
        <w:rPr>
          <w:rStyle w:val="15"/>
          <w:sz w:val="21"/>
          <w:szCs w:val="21"/>
        </w:rPr>
        <w:t>当期价格：调价周期（即连续 4 个月）内，《建设工程造价信息》公布的 4 个月份（或全部期刊）的材料</w:t>
      </w:r>
      <w:r>
        <w:rPr>
          <w:rStyle w:val="15"/>
        </w:rPr>
        <w:t>信息价的算术平均值。调价周期内某月份或某期造价信息缺失信息价的，以有信息价的月份或期刊计算算术平均值。最后一个调价周期不足 4 个月的，按实际月数的算术平均值计算。单位为人民币“元”。</w:t>
      </w:r>
    </w:p>
    <w:p>
      <w:pPr>
        <w:pStyle w:val="3"/>
        <w:spacing w:before="28" w:line="348" w:lineRule="auto"/>
        <w:ind w:left="112" w:right="193" w:firstLine="420"/>
        <w:jc w:val="both"/>
      </w:pPr>
      <w:r>
        <w:rPr>
          <w:spacing w:val="-3"/>
        </w:rPr>
        <w:t>当期调价的材料数量：调价年度内经计量的工程实体消耗的水泥数量</w:t>
      </w:r>
      <w:r>
        <w:t>（当期调价的水泥数量</w:t>
      </w:r>
      <w:r>
        <w:rPr>
          <w:spacing w:val="-21"/>
        </w:rPr>
        <w:t>）</w:t>
      </w:r>
      <w:r>
        <w:rPr>
          <w:spacing w:val="-5"/>
        </w:rPr>
        <w:t>，即调价当年经计量的第（1）点中可进行价格调整的工程实体所消耗水泥的数量，根据调价当年承包人每期计量的工程实体</w:t>
      </w:r>
      <w:r>
        <w:rPr>
          <w:spacing w:val="-8"/>
        </w:rPr>
        <w:t>量，按照行业标准定额规定的消耗量计算全年可调价的水泥数量；</w:t>
      </w:r>
      <w:r>
        <w:rPr>
          <w:b/>
          <w:spacing w:val="-3"/>
        </w:rPr>
        <w:t>调价年度内调价的柴油数量</w:t>
      </w:r>
      <w:r>
        <w:rPr>
          <w:b/>
        </w:rPr>
        <w:t>（当期调价的柴油数量）</w:t>
      </w:r>
      <w:r>
        <w:t>按施工图预算数量×80%×当期调整系数（当期调整系数＝调整年度内完成的工程计量额（不包括施工过</w:t>
      </w:r>
      <w:r>
        <w:rPr>
          <w:spacing w:val="-2"/>
        </w:rPr>
        <w:t xml:space="preserve">程中按项目专用合同条款第 </w:t>
      </w:r>
      <w:r>
        <w:t>15.4</w:t>
      </w:r>
      <w:r>
        <w:rPr>
          <w:spacing w:val="-3"/>
        </w:rPr>
        <w:t xml:space="preserve"> 款约定的变更已按现行价格计价部分</w:t>
      </w:r>
      <w:r>
        <w:rPr>
          <w:spacing w:val="5"/>
        </w:rPr>
        <w:t>）÷</w:t>
      </w:r>
      <w:r>
        <w:rPr>
          <w:spacing w:val="1"/>
        </w:rPr>
        <w:t>中标人投标报价中的建筑安装工程费）。其中，公路工程采用《公路工程预算定额》（JTG/T</w:t>
      </w:r>
      <w:r>
        <w:rPr>
          <w:spacing w:val="0"/>
        </w:rPr>
        <w:t xml:space="preserve"> </w:t>
      </w:r>
      <w:r>
        <w:t>B06-02-2007），（2013</w:t>
      </w:r>
      <w:r>
        <w:rPr>
          <w:spacing w:val="-31"/>
        </w:rPr>
        <w:t xml:space="preserve"> 版</w:t>
      </w:r>
      <w:r>
        <w:t>）。</w:t>
      </w:r>
    </w:p>
    <w:p>
      <w:pPr>
        <w:pStyle w:val="3"/>
        <w:spacing w:before="31" w:line="350" w:lineRule="auto"/>
        <w:ind w:left="112" w:right="104" w:firstLine="420"/>
        <w:rPr>
          <w:rStyle w:val="15"/>
          <w:sz w:val="21"/>
          <w:szCs w:val="21"/>
        </w:rPr>
      </w:pPr>
      <w:r>
        <w:rPr>
          <w:spacing w:val="-5"/>
        </w:rPr>
        <w:t>对于工程材料：当期价格价没有超出基期价格±</w:t>
      </w:r>
      <w:r>
        <w:t>5%</w:t>
      </w:r>
      <w:r>
        <w:rPr>
          <w:spacing w:val="-5"/>
        </w:rPr>
        <w:t>时不予调价，只有在当期价格超出基期价格±</w:t>
      </w:r>
      <w:r>
        <w:t>5</w:t>
      </w:r>
      <w:r>
        <w:rPr>
          <w:spacing w:val="-7"/>
        </w:rPr>
        <w:t>%时，仅对超出±5%</w:t>
      </w:r>
      <w:r>
        <w:rPr>
          <w:spacing w:val="-9"/>
        </w:rPr>
        <w:t>的部分进行调价</w:t>
      </w:r>
      <w:r>
        <w:t>（计算材料价差</w:t>
      </w:r>
      <w:r>
        <w:rPr>
          <w:spacing w:val="-16"/>
        </w:rPr>
        <w:t>）</w:t>
      </w:r>
      <w:r>
        <w:rPr>
          <w:spacing w:val="-8"/>
        </w:rPr>
        <w:t xml:space="preserve">，且需调整的材料价差金额，发包人承担 </w:t>
      </w:r>
      <w:r>
        <w:rPr>
          <w:spacing w:val="-5"/>
        </w:rPr>
        <w:t>70</w:t>
      </w:r>
      <w:r>
        <w:rPr>
          <w:spacing w:val="-9"/>
        </w:rPr>
        <w:t>%，施工承包人承担</w:t>
      </w:r>
      <w:r>
        <w:rPr>
          <w:rStyle w:val="15"/>
          <w:sz w:val="21"/>
          <w:szCs w:val="21"/>
        </w:rPr>
        <w:t xml:space="preserve"> 30%。当期价格价未超出基期价格±5%的材料价差，由发包人和承包人各自承担相应风险，承包人在相应支付子目投标报价时考虑包含相应材料价格波动的风险。</w:t>
      </w:r>
    </w:p>
    <w:p>
      <w:pPr>
        <w:pStyle w:val="3"/>
        <w:spacing w:before="27" w:line="350" w:lineRule="auto"/>
        <w:ind w:left="532" w:right="3484"/>
        <w:rPr>
          <w:rStyle w:val="15"/>
          <w:sz w:val="21"/>
          <w:szCs w:val="21"/>
        </w:rPr>
      </w:pPr>
      <w:r>
        <w:rPr>
          <w:rStyle w:val="15"/>
          <w:sz w:val="21"/>
          <w:szCs w:val="21"/>
        </w:rPr>
        <w:t>工程材料基期、当期的信息价，按相应工程材料品种取用和计算价差。  价格调整以公示表示如下：TJE = XL×（DQ-JQ×A）</w:t>
      </w:r>
    </w:p>
    <w:p>
      <w:pPr>
        <w:pStyle w:val="3"/>
        <w:spacing w:before="29" w:line="348" w:lineRule="auto"/>
        <w:ind w:left="112" w:right="205" w:firstLine="420"/>
        <w:jc w:val="both"/>
        <w:rPr>
          <w:rStyle w:val="15"/>
          <w:sz w:val="21"/>
          <w:szCs w:val="21"/>
        </w:rPr>
      </w:pPr>
      <w:r>
        <w:rPr>
          <w:rStyle w:val="15"/>
          <w:sz w:val="21"/>
          <w:szCs w:val="21"/>
        </w:rPr>
        <w:t>TJE—当期承包人可调材料价差。正值表示调增额，负值表示调减额。单位为人民币“元”。材料价差发包人承担 70%（即 TJE×70%），承包人承担 30%（即 TJE×30%），即调增时发包人支付调增金额的 70%，调减时发包人扣回调减金额的 70%。</w:t>
      </w:r>
    </w:p>
    <w:p>
      <w:pPr>
        <w:pStyle w:val="3"/>
        <w:spacing w:before="31" w:line="348" w:lineRule="auto"/>
        <w:ind w:left="532" w:right="7372"/>
        <w:rPr>
          <w:rStyle w:val="15"/>
          <w:sz w:val="21"/>
          <w:szCs w:val="21"/>
        </w:rPr>
      </w:pPr>
      <w:r>
        <w:rPr>
          <w:rStyle w:val="15"/>
          <w:sz w:val="21"/>
          <w:szCs w:val="21"/>
        </w:rPr>
        <w:t>XL —当期调价的材料数量。JQ — 基期价格。</w:t>
      </w:r>
    </w:p>
    <w:p>
      <w:pPr>
        <w:pStyle w:val="3"/>
        <w:spacing w:before="31"/>
        <w:ind w:left="532"/>
        <w:rPr>
          <w:rStyle w:val="15"/>
          <w:sz w:val="21"/>
          <w:szCs w:val="21"/>
        </w:rPr>
      </w:pPr>
      <w:r>
        <w:rPr>
          <w:rStyle w:val="15"/>
          <w:sz w:val="21"/>
          <w:szCs w:val="21"/>
        </w:rPr>
        <w:t>DQ —当期价格。</w:t>
      </w:r>
    </w:p>
    <w:p>
      <w:pPr>
        <w:pStyle w:val="3"/>
        <w:spacing w:before="125"/>
        <w:ind w:left="532"/>
        <w:rPr>
          <w:rStyle w:val="15"/>
          <w:sz w:val="21"/>
          <w:szCs w:val="21"/>
        </w:rPr>
      </w:pPr>
      <w:r>
        <w:rPr>
          <w:rStyle w:val="15"/>
          <w:sz w:val="21"/>
          <w:szCs w:val="21"/>
        </w:rPr>
        <w:t>A — 价格波动系数。当 DQ＞JQ×1.05 时，A＝1.05；当 DQ＜JQ×0.95 时，A＝0.95；当 JQ×1.1≥DQ≥JQ</w:t>
      </w:r>
    </w:p>
    <w:p>
      <w:pPr>
        <w:pStyle w:val="3"/>
        <w:spacing w:before="123"/>
        <w:ind w:left="112"/>
        <w:rPr>
          <w:rStyle w:val="15"/>
          <w:sz w:val="21"/>
          <w:szCs w:val="21"/>
        </w:rPr>
      </w:pPr>
      <w:r>
        <w:rPr>
          <w:rStyle w:val="15"/>
          <w:sz w:val="21"/>
          <w:szCs w:val="21"/>
        </w:rPr>
        <w:t>×0.95 时，TJE＝0。</w:t>
      </w:r>
    </w:p>
    <w:p>
      <w:pPr>
        <w:pStyle w:val="3"/>
        <w:spacing w:before="126" w:line="350" w:lineRule="auto"/>
        <w:ind w:left="112" w:right="208" w:firstLine="420"/>
        <w:jc w:val="both"/>
        <w:rPr>
          <w:rStyle w:val="15"/>
          <w:sz w:val="21"/>
          <w:szCs w:val="21"/>
        </w:rPr>
      </w:pPr>
      <w:r>
        <w:rPr>
          <w:rStyle w:val="15"/>
          <w:sz w:val="21"/>
          <w:szCs w:val="21"/>
        </w:rPr>
        <w:t>（3）合同期中调价时全额扣回调减的价差；调增的价差在交工验收前只支付至应付款额的 80%,经第三方出具的竣工结算报告后支付剩余的 17%。</w:t>
      </w:r>
    </w:p>
    <w:p>
      <w:pPr>
        <w:pStyle w:val="3"/>
        <w:spacing w:before="27" w:line="350" w:lineRule="auto"/>
        <w:ind w:left="112" w:right="208" w:firstLine="420"/>
        <w:jc w:val="both"/>
        <w:rPr>
          <w:rStyle w:val="15"/>
          <w:sz w:val="21"/>
          <w:szCs w:val="21"/>
        </w:rPr>
      </w:pPr>
      <w:r>
        <w:rPr>
          <w:rStyle w:val="15"/>
          <w:sz w:val="21"/>
          <w:szCs w:val="21"/>
        </w:rPr>
        <w:t>（4）发包人不承担由承包人原因引起延长工期（包括合同写明或规定的工期以及符合本合同并经发包人批准延长的工期）增加产生的材料价差。由于承包人原因未在约定的工期内交工的，对原约定交工日期后继续施工的工程，分别采用原约定交工日期前的最后一个调价周期信息价与实际交工日期信息价，按前述规则进行价差调整计算，出现调减的，按调减金额大的扣回；出现调增的，按调增金额小的支付。</w:t>
      </w:r>
    </w:p>
    <w:p>
      <w:pPr>
        <w:pStyle w:val="9"/>
        <w:numPr>
          <w:ilvl w:val="0"/>
          <w:numId w:val="21"/>
        </w:numPr>
        <w:tabs>
          <w:tab w:val="left" w:pos="532"/>
        </w:tabs>
        <w:spacing w:before="29" w:after="0" w:line="240" w:lineRule="auto"/>
        <w:ind w:left="532" w:right="0" w:hanging="420"/>
        <w:jc w:val="left"/>
        <w:rPr>
          <w:rStyle w:val="15"/>
          <w:sz w:val="21"/>
          <w:szCs w:val="21"/>
        </w:rPr>
      </w:pPr>
      <w:r>
        <w:rPr>
          <w:rStyle w:val="15"/>
          <w:sz w:val="21"/>
          <w:szCs w:val="21"/>
        </w:rPr>
        <w:t>计量与支付</w:t>
      </w:r>
    </w:p>
    <w:p>
      <w:pPr>
        <w:pStyle w:val="17"/>
        <w:numPr>
          <w:ilvl w:val="1"/>
          <w:numId w:val="22"/>
        </w:numPr>
        <w:tabs>
          <w:tab w:val="left" w:pos="640"/>
        </w:tabs>
        <w:spacing w:before="125" w:after="0" w:line="240" w:lineRule="auto"/>
        <w:ind w:left="640" w:right="0" w:hanging="528"/>
        <w:jc w:val="left"/>
        <w:rPr>
          <w:rStyle w:val="15"/>
          <w:sz w:val="21"/>
          <w:szCs w:val="21"/>
        </w:rPr>
      </w:pPr>
      <w:r>
        <w:rPr>
          <w:rStyle w:val="15"/>
          <w:sz w:val="21"/>
          <w:szCs w:val="21"/>
        </w:rPr>
        <w:t>预付款</w:t>
      </w:r>
    </w:p>
    <w:p>
      <w:pPr>
        <w:pStyle w:val="3"/>
        <w:spacing w:before="123"/>
        <w:ind w:left="532"/>
        <w:rPr>
          <w:rStyle w:val="15"/>
          <w:sz w:val="21"/>
          <w:szCs w:val="21"/>
        </w:rPr>
      </w:pPr>
      <w:r>
        <w:rPr>
          <w:rStyle w:val="15"/>
          <w:sz w:val="21"/>
          <w:szCs w:val="21"/>
        </w:rPr>
        <w:t>第 17.2.2 项补充：</w:t>
      </w:r>
    </w:p>
    <w:p>
      <w:pPr>
        <w:pStyle w:val="3"/>
        <w:spacing w:before="126" w:line="350" w:lineRule="auto"/>
        <w:ind w:left="532" w:right="4942"/>
        <w:rPr>
          <w:rStyle w:val="15"/>
          <w:sz w:val="21"/>
          <w:szCs w:val="21"/>
        </w:rPr>
      </w:pPr>
      <w:r>
        <w:rPr>
          <w:rStyle w:val="15"/>
          <w:sz w:val="21"/>
          <w:szCs w:val="21"/>
        </w:rPr>
        <w:t>预付款支付比例或金额：按合同价款金额的 30%拨付。预付款支付期限：发包人在合同签订后 7 天内支付</w:t>
      </w:r>
    </w:p>
    <w:p>
      <w:pPr>
        <w:pStyle w:val="3"/>
        <w:spacing w:before="27" w:line="350" w:lineRule="auto"/>
        <w:ind w:left="112" w:right="208" w:firstLine="420"/>
        <w:jc w:val="both"/>
        <w:rPr>
          <w:rStyle w:val="15"/>
          <w:sz w:val="21"/>
          <w:szCs w:val="21"/>
        </w:rPr>
      </w:pPr>
      <w:r>
        <w:rPr>
          <w:rStyle w:val="15"/>
          <w:sz w:val="21"/>
          <w:szCs w:val="21"/>
        </w:rPr>
        <w:t>预付款扣回的方式：发包人支付的工程预付款在承包人完成工程的 20%后，开始从每期进度款支付中参照工程进度比例优先扣还，最迟于工程量完成至 70%时全部扣清。</w:t>
      </w:r>
    </w:p>
    <w:p>
      <w:pPr>
        <w:pStyle w:val="9"/>
        <w:numPr>
          <w:ilvl w:val="1"/>
          <w:numId w:val="22"/>
        </w:numPr>
        <w:tabs>
          <w:tab w:val="left" w:pos="640"/>
        </w:tabs>
        <w:spacing w:before="29" w:after="0" w:line="240" w:lineRule="auto"/>
        <w:ind w:left="640" w:right="0" w:hanging="528"/>
        <w:jc w:val="left"/>
        <w:rPr>
          <w:rStyle w:val="15"/>
        </w:rPr>
      </w:pPr>
      <w:r>
        <w:rPr>
          <w:rStyle w:val="15"/>
        </w:rPr>
        <w:t>工程进度付款</w:t>
      </w:r>
    </w:p>
    <w:p>
      <w:pPr>
        <w:spacing w:after="0" w:line="240" w:lineRule="auto"/>
        <w:jc w:val="left"/>
        <w:sectPr>
          <w:footerReference r:id="rId10" w:type="default"/>
          <w:pgSz w:w="11910" w:h="16840"/>
          <w:pgMar w:top="1000" w:right="640" w:bottom="760" w:left="740" w:header="808" w:footer="575" w:gutter="0"/>
          <w:pgNumType w:fmt="decimal"/>
        </w:sectPr>
      </w:pPr>
    </w:p>
    <w:p>
      <w:pPr>
        <w:pStyle w:val="3"/>
        <w:spacing w:before="8"/>
        <w:rPr>
          <w:b/>
          <w:sz w:val="12"/>
        </w:rPr>
      </w:pPr>
    </w:p>
    <w:p>
      <w:pPr>
        <w:pStyle w:val="3"/>
        <w:spacing w:before="34" w:line="350" w:lineRule="auto"/>
        <w:ind w:left="109" w:right="210" w:firstLine="420"/>
        <w:jc w:val="both"/>
        <w:rPr>
          <w:rStyle w:val="15"/>
          <w:sz w:val="21"/>
          <w:szCs w:val="21"/>
        </w:rPr>
      </w:pPr>
      <w:r>
        <w:rPr>
          <w:rStyle w:val="15"/>
          <w:sz w:val="21"/>
          <w:szCs w:val="21"/>
        </w:rPr>
        <w:t>进度款支付方式：工程</w:t>
      </w:r>
      <w:r>
        <w:rPr>
          <w:rStyle w:val="15"/>
          <w:rFonts w:hint="eastAsia"/>
          <w:sz w:val="21"/>
          <w:szCs w:val="21"/>
          <w:lang w:eastAsia="zh-CN"/>
        </w:rPr>
        <w:t>进度</w:t>
      </w:r>
      <w:r>
        <w:rPr>
          <w:rStyle w:val="15"/>
          <w:sz w:val="21"/>
          <w:szCs w:val="21"/>
        </w:rPr>
        <w:t>款原则上按月支付，合同内进度款支付</w:t>
      </w:r>
      <w:r>
        <w:rPr>
          <w:rStyle w:val="15"/>
          <w:rFonts w:hint="eastAsia"/>
          <w:sz w:val="21"/>
          <w:szCs w:val="21"/>
          <w:lang w:eastAsia="zh-CN"/>
        </w:rPr>
        <w:t>限</w:t>
      </w:r>
      <w:r>
        <w:rPr>
          <w:rStyle w:val="15"/>
          <w:sz w:val="21"/>
          <w:szCs w:val="21"/>
        </w:rPr>
        <w:t>额为已完成</w:t>
      </w:r>
      <w:r>
        <w:rPr>
          <w:rStyle w:val="15"/>
          <w:rFonts w:hint="eastAsia"/>
          <w:sz w:val="21"/>
          <w:szCs w:val="21"/>
          <w:lang w:eastAsia="zh-CN"/>
        </w:rPr>
        <w:t>合格</w:t>
      </w:r>
      <w:r>
        <w:rPr>
          <w:rStyle w:val="15"/>
          <w:sz w:val="21"/>
          <w:szCs w:val="21"/>
        </w:rPr>
        <w:t>工程量的 80%，工程变更部分进度款支付</w:t>
      </w:r>
      <w:r>
        <w:rPr>
          <w:rStyle w:val="15"/>
          <w:rFonts w:hint="eastAsia"/>
          <w:sz w:val="21"/>
          <w:szCs w:val="21"/>
          <w:lang w:eastAsia="zh-CN"/>
        </w:rPr>
        <w:t>限</w:t>
      </w:r>
      <w:r>
        <w:rPr>
          <w:rStyle w:val="15"/>
          <w:sz w:val="21"/>
          <w:szCs w:val="21"/>
        </w:rPr>
        <w:t>额为已完成</w:t>
      </w:r>
      <w:r>
        <w:rPr>
          <w:rStyle w:val="15"/>
          <w:rFonts w:hint="eastAsia"/>
          <w:sz w:val="21"/>
          <w:szCs w:val="21"/>
          <w:lang w:eastAsia="zh-CN"/>
        </w:rPr>
        <w:t>合格</w:t>
      </w:r>
      <w:r>
        <w:rPr>
          <w:rStyle w:val="15"/>
          <w:sz w:val="21"/>
          <w:szCs w:val="21"/>
        </w:rPr>
        <w:t>工程量的</w:t>
      </w:r>
      <w:r>
        <w:rPr>
          <w:rStyle w:val="15"/>
          <w:rFonts w:hint="eastAsia"/>
          <w:sz w:val="21"/>
          <w:szCs w:val="21"/>
          <w:lang w:val="en-US" w:eastAsia="zh-CN"/>
        </w:rPr>
        <w:t>7</w:t>
      </w:r>
      <w:r>
        <w:rPr>
          <w:rStyle w:val="15"/>
          <w:sz w:val="21"/>
          <w:szCs w:val="21"/>
        </w:rPr>
        <w:t>0%；工程</w:t>
      </w:r>
      <w:r>
        <w:rPr>
          <w:rStyle w:val="15"/>
          <w:rFonts w:hint="eastAsia"/>
          <w:sz w:val="21"/>
          <w:szCs w:val="21"/>
          <w:lang w:eastAsia="zh-CN"/>
        </w:rPr>
        <w:t>竣工</w:t>
      </w:r>
      <w:r>
        <w:rPr>
          <w:rStyle w:val="15"/>
          <w:sz w:val="21"/>
          <w:szCs w:val="21"/>
        </w:rPr>
        <w:t>验收达到质量要求，结算经有关部门审定后，工程款支付至结算总价的 97%； 发包人按工程价款结算总额的 3%预留工程质量保修金，待工程</w:t>
      </w:r>
      <w:r>
        <w:rPr>
          <w:rStyle w:val="15"/>
          <w:rFonts w:hint="eastAsia"/>
          <w:sz w:val="21"/>
          <w:szCs w:val="21"/>
          <w:lang w:eastAsia="zh-CN"/>
        </w:rPr>
        <w:t>质量保修期</w:t>
      </w:r>
      <w:r>
        <w:rPr>
          <w:rStyle w:val="15"/>
          <w:sz w:val="21"/>
          <w:szCs w:val="21"/>
        </w:rPr>
        <w:t>满后返还</w:t>
      </w:r>
      <w:r>
        <w:rPr>
          <w:rStyle w:val="15"/>
          <w:rFonts w:hint="eastAsia"/>
          <w:sz w:val="21"/>
          <w:szCs w:val="21"/>
          <w:lang w:eastAsia="zh-CN"/>
        </w:rPr>
        <w:t>（无息）</w:t>
      </w:r>
      <w:r>
        <w:rPr>
          <w:rStyle w:val="15"/>
          <w:sz w:val="21"/>
          <w:szCs w:val="21"/>
        </w:rPr>
        <w:t>。</w:t>
      </w:r>
    </w:p>
    <w:p>
      <w:pPr>
        <w:pStyle w:val="9"/>
        <w:numPr>
          <w:ilvl w:val="1"/>
          <w:numId w:val="22"/>
        </w:numPr>
        <w:tabs>
          <w:tab w:val="left" w:pos="640"/>
        </w:tabs>
        <w:spacing w:before="26" w:after="0" w:line="240" w:lineRule="auto"/>
        <w:ind w:left="640" w:right="0" w:hanging="528"/>
        <w:jc w:val="left"/>
        <w:rPr>
          <w:rStyle w:val="15"/>
          <w:sz w:val="21"/>
          <w:szCs w:val="21"/>
        </w:rPr>
      </w:pPr>
      <w:r>
        <w:rPr>
          <w:rStyle w:val="15"/>
          <w:sz w:val="21"/>
          <w:szCs w:val="21"/>
        </w:rPr>
        <w:t>质量保证金</w:t>
      </w:r>
    </w:p>
    <w:p>
      <w:pPr>
        <w:pStyle w:val="3"/>
        <w:spacing w:before="125" w:line="348" w:lineRule="auto"/>
        <w:ind w:left="112" w:right="205" w:firstLine="420"/>
        <w:jc w:val="both"/>
        <w:rPr>
          <w:rStyle w:val="15"/>
          <w:sz w:val="21"/>
          <w:szCs w:val="21"/>
        </w:rPr>
      </w:pPr>
      <w:r>
        <w:rPr>
          <w:rStyle w:val="15"/>
          <w:sz w:val="21"/>
          <w:szCs w:val="21"/>
        </w:rPr>
        <w:t>第 17.4.2 项细化为：在第 1.1.4.5 目约定的缺陷责任期满时，承包人向发包人申请到期应返还的质量保证金，质保金为签约合同价的 3%，发包人应在 14 天内会同监理人、承包人按照合同约定的内容核实承包人是否完成缺陷责任及工程结算书是否准确无误。如无异议，发包人应当在核实后将剩余保证金返还承包人。</w:t>
      </w:r>
    </w:p>
    <w:p>
      <w:pPr>
        <w:pStyle w:val="3"/>
        <w:spacing w:before="30"/>
        <w:ind w:left="532"/>
        <w:rPr>
          <w:rStyle w:val="15"/>
          <w:sz w:val="21"/>
          <w:szCs w:val="21"/>
        </w:rPr>
      </w:pPr>
      <w:r>
        <w:rPr>
          <w:rStyle w:val="15"/>
          <w:sz w:val="21"/>
          <w:szCs w:val="21"/>
        </w:rPr>
        <w:t>本款补充第 17.4.4 项：</w:t>
      </w:r>
    </w:p>
    <w:p>
      <w:pPr>
        <w:pStyle w:val="3"/>
        <w:spacing w:before="125" w:line="348" w:lineRule="auto"/>
        <w:ind w:left="112" w:right="208" w:firstLine="420"/>
        <w:jc w:val="both"/>
        <w:rPr>
          <w:rStyle w:val="15"/>
          <w:sz w:val="21"/>
          <w:szCs w:val="21"/>
        </w:rPr>
      </w:pPr>
      <w:r>
        <w:rPr>
          <w:rStyle w:val="15"/>
          <w:sz w:val="21"/>
          <w:szCs w:val="21"/>
        </w:rPr>
        <w:t>17.4.4 本合同质量保证金通过计量扣留，也可采用银行保函形式。采用银行保函的应在开始计量前一次性开具，并确保在缺陷责任期满前一直有效，合同实施过程中因工程变更等导致质量保证金担保额度不足的应提前补足，否则将通过计量扣留。银行保函格式参照本合同“附件七 履约担保格式”并经发包人审核同意；出具保函的银行为承包人的基本账户开户行；若非承包人基本账户开户银行出具的，要求出具银行的级别为全国性的地市级分行（或支行）及以上级别银行。银行保函的开具应经公证机关对签署人的签字、担保人单位章的真实性进行公证。缺陷责任期满，质量保证金保函原件不予退还承包人，可由发包人出具一份失效证明。</w:t>
      </w:r>
    </w:p>
    <w:p>
      <w:pPr>
        <w:pStyle w:val="9"/>
        <w:numPr>
          <w:ilvl w:val="1"/>
          <w:numId w:val="22"/>
        </w:numPr>
        <w:tabs>
          <w:tab w:val="left" w:pos="640"/>
        </w:tabs>
        <w:spacing w:before="31" w:after="0" w:line="240" w:lineRule="auto"/>
        <w:ind w:left="640" w:right="0" w:hanging="528"/>
        <w:jc w:val="left"/>
        <w:rPr>
          <w:rStyle w:val="15"/>
          <w:sz w:val="21"/>
          <w:szCs w:val="21"/>
        </w:rPr>
      </w:pPr>
      <w:r>
        <w:rPr>
          <w:rStyle w:val="15"/>
          <w:sz w:val="21"/>
          <w:szCs w:val="21"/>
        </w:rPr>
        <w:t>交工结算</w:t>
      </w:r>
    </w:p>
    <w:p>
      <w:pPr>
        <w:pStyle w:val="3"/>
        <w:spacing w:before="123"/>
        <w:ind w:left="532"/>
        <w:rPr>
          <w:rStyle w:val="15"/>
          <w:sz w:val="21"/>
          <w:szCs w:val="21"/>
        </w:rPr>
      </w:pPr>
      <w:r>
        <w:rPr>
          <w:rStyle w:val="15"/>
          <w:sz w:val="21"/>
          <w:szCs w:val="21"/>
        </w:rPr>
        <w:t>第 17.5.1 项补充第（3）点：</w:t>
      </w:r>
    </w:p>
    <w:p>
      <w:pPr>
        <w:pStyle w:val="3"/>
        <w:spacing w:before="125" w:line="348" w:lineRule="auto"/>
        <w:ind w:left="112" w:right="208" w:firstLine="420"/>
        <w:jc w:val="both"/>
        <w:rPr>
          <w:rStyle w:val="15"/>
          <w:sz w:val="21"/>
          <w:szCs w:val="21"/>
        </w:rPr>
      </w:pPr>
      <w:r>
        <w:rPr>
          <w:rStyle w:val="15"/>
          <w:sz w:val="21"/>
          <w:szCs w:val="21"/>
        </w:rPr>
        <w:t>（3）承包人应确保所提交的计量结算支付资料（含决算）的准确性。承包人提交的计量结算支付资料（含决算）需接受第三方出具的竣工结算报告，若出现虚报、多报等情况的，承包人需承担相关责任并无条件按第三方意见进行核减。</w:t>
      </w:r>
    </w:p>
    <w:p>
      <w:pPr>
        <w:pStyle w:val="3"/>
        <w:spacing w:before="31"/>
        <w:ind w:left="112"/>
        <w:rPr>
          <w:rStyle w:val="15"/>
          <w:sz w:val="21"/>
          <w:szCs w:val="21"/>
        </w:rPr>
      </w:pPr>
      <w:r>
        <w:rPr>
          <w:rStyle w:val="15"/>
          <w:sz w:val="21"/>
          <w:szCs w:val="21"/>
        </w:rPr>
        <w:t>本款补充第 17.5.3 项：</w:t>
      </w:r>
    </w:p>
    <w:p>
      <w:pPr>
        <w:pStyle w:val="17"/>
        <w:numPr>
          <w:ilvl w:val="2"/>
          <w:numId w:val="22"/>
        </w:numPr>
        <w:tabs>
          <w:tab w:val="left" w:pos="1216"/>
        </w:tabs>
        <w:spacing w:before="126" w:after="0" w:line="348" w:lineRule="auto"/>
        <w:ind w:left="112" w:right="208" w:firstLine="420"/>
        <w:jc w:val="both"/>
        <w:rPr>
          <w:rStyle w:val="15"/>
          <w:sz w:val="21"/>
          <w:szCs w:val="21"/>
        </w:rPr>
      </w:pPr>
      <w:r>
        <w:rPr>
          <w:rStyle w:val="15"/>
          <w:sz w:val="21"/>
          <w:szCs w:val="21"/>
        </w:rPr>
        <w:t>承包人应在合同工期到期后六个月内向业主提交工程结算资料，未按时间提交的，将视为承包人不再有新的工程量结算，以已递交前一期的结算资料为承包人最终结算金额。</w:t>
      </w:r>
    </w:p>
    <w:p>
      <w:pPr>
        <w:pStyle w:val="9"/>
        <w:numPr>
          <w:ilvl w:val="1"/>
          <w:numId w:val="22"/>
        </w:numPr>
        <w:tabs>
          <w:tab w:val="left" w:pos="640"/>
        </w:tabs>
        <w:spacing w:before="31" w:after="0" w:line="240" w:lineRule="auto"/>
        <w:ind w:left="640" w:right="0" w:hanging="528"/>
        <w:jc w:val="left"/>
        <w:rPr>
          <w:rStyle w:val="15"/>
          <w:sz w:val="21"/>
          <w:szCs w:val="21"/>
        </w:rPr>
      </w:pPr>
      <w:r>
        <w:rPr>
          <w:rStyle w:val="15"/>
          <w:sz w:val="21"/>
          <w:szCs w:val="21"/>
        </w:rPr>
        <w:t>最终结清</w:t>
      </w:r>
    </w:p>
    <w:p>
      <w:pPr>
        <w:pStyle w:val="3"/>
        <w:spacing w:before="125"/>
        <w:ind w:left="532"/>
        <w:rPr>
          <w:rStyle w:val="15"/>
          <w:sz w:val="21"/>
          <w:szCs w:val="21"/>
        </w:rPr>
      </w:pPr>
      <w:r>
        <w:rPr>
          <w:rStyle w:val="15"/>
          <w:sz w:val="21"/>
          <w:szCs w:val="21"/>
        </w:rPr>
        <w:t>第 17.6.2 项补充第（5）点：</w:t>
      </w:r>
    </w:p>
    <w:p>
      <w:pPr>
        <w:pStyle w:val="3"/>
        <w:spacing w:before="123" w:line="350" w:lineRule="auto"/>
        <w:ind w:left="112" w:right="210" w:firstLine="420"/>
        <w:jc w:val="both"/>
        <w:rPr>
          <w:rStyle w:val="15"/>
          <w:sz w:val="21"/>
          <w:szCs w:val="21"/>
        </w:rPr>
      </w:pPr>
      <w:r>
        <w:rPr>
          <w:rStyle w:val="15"/>
          <w:sz w:val="21"/>
          <w:szCs w:val="21"/>
        </w:rPr>
        <w:t>（5）发包人审批最终结清申请单的前提条件是承包人已经按照合同规定提交了符合要求的竣工文件，且临时用地已经按规定复耕、恢复并移交完毕或足额赔偿无异议。</w:t>
      </w:r>
    </w:p>
    <w:p>
      <w:pPr>
        <w:pStyle w:val="3"/>
        <w:spacing w:before="29"/>
        <w:ind w:left="532"/>
        <w:rPr>
          <w:rStyle w:val="15"/>
          <w:sz w:val="21"/>
          <w:szCs w:val="21"/>
        </w:rPr>
      </w:pPr>
      <w:r>
        <w:rPr>
          <w:rStyle w:val="15"/>
          <w:sz w:val="21"/>
          <w:szCs w:val="21"/>
        </w:rPr>
        <w:t>本款补充第 17.6.3 项：</w:t>
      </w:r>
    </w:p>
    <w:p>
      <w:pPr>
        <w:pStyle w:val="17"/>
        <w:numPr>
          <w:ilvl w:val="2"/>
          <w:numId w:val="22"/>
        </w:numPr>
        <w:tabs>
          <w:tab w:val="left" w:pos="1267"/>
        </w:tabs>
        <w:spacing w:before="123" w:after="0" w:line="240" w:lineRule="auto"/>
        <w:ind w:left="1266" w:right="0" w:hanging="734"/>
        <w:jc w:val="left"/>
        <w:rPr>
          <w:rStyle w:val="15"/>
          <w:sz w:val="21"/>
          <w:szCs w:val="21"/>
        </w:rPr>
      </w:pPr>
      <w:r>
        <w:rPr>
          <w:rStyle w:val="15"/>
          <w:sz w:val="21"/>
          <w:szCs w:val="21"/>
        </w:rPr>
        <w:t>工程尾款支付规定</w:t>
      </w:r>
    </w:p>
    <w:p>
      <w:pPr>
        <w:pStyle w:val="3"/>
        <w:spacing w:before="126" w:line="348" w:lineRule="auto"/>
        <w:ind w:left="112" w:right="102" w:firstLine="559"/>
        <w:rPr>
          <w:rStyle w:val="15"/>
          <w:sz w:val="21"/>
          <w:szCs w:val="21"/>
        </w:rPr>
      </w:pPr>
      <w:r>
        <w:rPr>
          <w:rStyle w:val="15"/>
          <w:sz w:val="21"/>
          <w:szCs w:val="21"/>
        </w:rPr>
        <w:t>（1）为保证工程价款结算工作有序进行，根据《交通建设项目审计实施办法》（交审计发〔2000〕64 号） 的有关规定，发包人将在工程最后结算时暂扣工程尾款（不含质保金），该笔款项在经第三方出具的竣工结算报告，发包人依据竣工结算报告扣除有关费用（如果有）后，才能向承包人付清剩余的工程尾款。</w:t>
      </w:r>
    </w:p>
    <w:p>
      <w:pPr>
        <w:pStyle w:val="3"/>
        <w:spacing w:before="31"/>
        <w:ind w:left="671"/>
        <w:rPr>
          <w:rStyle w:val="15"/>
          <w:sz w:val="21"/>
          <w:szCs w:val="21"/>
        </w:rPr>
      </w:pPr>
      <w:r>
        <w:rPr>
          <w:rStyle w:val="15"/>
          <w:sz w:val="21"/>
          <w:szCs w:val="21"/>
        </w:rPr>
        <w:t>（2）发包人不承担因项目竣工结算导致迟付款的违约金和利息。</w:t>
      </w:r>
    </w:p>
    <w:p>
      <w:pPr>
        <w:pStyle w:val="9"/>
        <w:spacing w:before="125"/>
        <w:rPr>
          <w:rStyle w:val="15"/>
          <w:sz w:val="21"/>
          <w:szCs w:val="21"/>
        </w:rPr>
      </w:pPr>
      <w:r>
        <w:rPr>
          <w:rStyle w:val="15"/>
          <w:sz w:val="21"/>
          <w:szCs w:val="21"/>
        </w:rPr>
        <w:t>18.3 验收</w:t>
      </w:r>
    </w:p>
    <w:p>
      <w:pPr>
        <w:pStyle w:val="3"/>
        <w:spacing w:before="123" w:line="350" w:lineRule="auto"/>
        <w:ind w:left="112" w:right="206" w:firstLine="420"/>
        <w:jc w:val="both"/>
        <w:rPr>
          <w:rStyle w:val="15"/>
          <w:sz w:val="21"/>
          <w:szCs w:val="21"/>
        </w:rPr>
      </w:pPr>
      <w:r>
        <w:rPr>
          <w:rStyle w:val="15"/>
          <w:sz w:val="21"/>
          <w:szCs w:val="21"/>
        </w:rPr>
        <w:t>第 18.3.6 项细化为：发包人在收到经监理人审查后认为已具备竣工验收条件的承包人竣工验收申请报告 56 天后未进行验收的，视为验收合格，实际竣工日期以提交竣工验收申请报告的日期为准，但发包人由于不可抗力不能进行验收的除外。</w:t>
      </w:r>
    </w:p>
    <w:p>
      <w:pPr>
        <w:spacing w:after="0" w:line="350" w:lineRule="auto"/>
        <w:jc w:val="both"/>
        <w:rPr>
          <w:rStyle w:val="15"/>
          <w:sz w:val="21"/>
          <w:szCs w:val="21"/>
        </w:rPr>
        <w:sectPr>
          <w:pgSz w:w="11910" w:h="16840"/>
          <w:pgMar w:top="1000" w:right="640" w:bottom="760" w:left="740" w:header="808" w:footer="575" w:gutter="0"/>
          <w:pgNumType w:fmt="decimal"/>
        </w:sectPr>
      </w:pPr>
    </w:p>
    <w:p>
      <w:pPr>
        <w:pStyle w:val="3"/>
        <w:spacing w:before="8"/>
        <w:rPr>
          <w:sz w:val="12"/>
        </w:rPr>
      </w:pPr>
    </w:p>
    <w:p>
      <w:pPr>
        <w:pStyle w:val="9"/>
        <w:spacing w:before="34"/>
      </w:pPr>
      <w:r>
        <w:t>19.2 缺陷责任</w:t>
      </w:r>
    </w:p>
    <w:p>
      <w:pPr>
        <w:pStyle w:val="3"/>
        <w:spacing w:before="125" w:line="350" w:lineRule="auto"/>
        <w:ind w:left="112" w:right="102" w:firstLine="420"/>
        <w:rPr>
          <w:rStyle w:val="15"/>
          <w:sz w:val="21"/>
          <w:szCs w:val="21"/>
        </w:rPr>
      </w:pPr>
      <w:r>
        <w:rPr>
          <w:rStyle w:val="15"/>
          <w:sz w:val="21"/>
          <w:szCs w:val="21"/>
        </w:rPr>
        <w:t>第 19.2.2 项补充：本标段土建工程范围内的所有缺陷责任期内缺陷、未完工程，以及交工验收前和交工验收提出的增加的工程，均属本合同土建承包人的责任，由该土建承包人负责完成或修复。若承包人不予实施缺陷、未完工程，发包人有权另行委托第三方实施并由该土建承包人承担所有有关费用（费用从承包人的应得工程款中扣除并支付给第三方），同时发包人还将视造成影响的严重程度处以不超过保留金限额的违约金；增加的工程给予承包人按合同价格（缺项单价按本项目专用合同条款第 15.4.4 项规定执行）计量，若由于土建承包人不予实施导致发包人另行委托第三方实施完成的，因此致使发包人额外增加的费用（即超出由该土建承包人负责实施时按合同计算工程计量款额度的金额）也由该土建承包人承担，并从其剩余应付款项中扣除及支付给第三方。</w:t>
      </w:r>
    </w:p>
    <w:p>
      <w:pPr>
        <w:pStyle w:val="3"/>
        <w:spacing w:before="29"/>
        <w:ind w:left="532"/>
        <w:rPr>
          <w:rStyle w:val="15"/>
          <w:sz w:val="21"/>
          <w:szCs w:val="21"/>
        </w:rPr>
      </w:pPr>
      <w:r>
        <w:rPr>
          <w:rStyle w:val="15"/>
          <w:sz w:val="21"/>
          <w:szCs w:val="21"/>
        </w:rPr>
        <w:t>第 19.2.3 项补充：如监理人指令承包人修复的缺陷属发包人原因造成的，则合同价格的增加额按本合同的</w:t>
      </w:r>
    </w:p>
    <w:p>
      <w:pPr>
        <w:pStyle w:val="3"/>
        <w:spacing w:before="123" w:line="350" w:lineRule="auto"/>
        <w:ind w:left="112" w:right="208"/>
        <w:rPr>
          <w:rStyle w:val="15"/>
          <w:sz w:val="21"/>
          <w:szCs w:val="21"/>
        </w:rPr>
      </w:pPr>
      <w:r>
        <w:rPr>
          <w:rStyle w:val="15"/>
          <w:sz w:val="21"/>
          <w:szCs w:val="21"/>
        </w:rPr>
        <w:t>相应子目进行计量与支付，若属于缺项支付细目的，则合同价格的增加额按本项目专用合同条款第 15.4.4 项确定。</w:t>
      </w:r>
    </w:p>
    <w:p>
      <w:pPr>
        <w:pStyle w:val="9"/>
        <w:spacing w:before="29"/>
        <w:rPr>
          <w:rStyle w:val="15"/>
          <w:sz w:val="21"/>
          <w:szCs w:val="21"/>
        </w:rPr>
      </w:pPr>
      <w:r>
        <w:rPr>
          <w:rStyle w:val="15"/>
          <w:sz w:val="21"/>
          <w:szCs w:val="21"/>
        </w:rPr>
        <w:t>20.1 工程保险</w:t>
      </w:r>
    </w:p>
    <w:p>
      <w:pPr>
        <w:pStyle w:val="3"/>
        <w:spacing w:before="123" w:line="350" w:lineRule="auto"/>
        <w:ind w:left="112" w:right="237" w:firstLine="472"/>
        <w:rPr>
          <w:rStyle w:val="15"/>
          <w:sz w:val="21"/>
          <w:szCs w:val="21"/>
        </w:rPr>
      </w:pPr>
      <w:r>
        <w:rPr>
          <w:rStyle w:val="15"/>
          <w:sz w:val="21"/>
          <w:szCs w:val="21"/>
        </w:rPr>
        <w:t>本款补充：若承包人实际投保的保险费率高于发包人给定的保险费率，超出部分的成本由投标人考虑在其他项目的报价中。发包人向承包人支付的工程一切险的保险费累计不超过承包人工程量清单100章中的报价。</w:t>
      </w:r>
    </w:p>
    <w:p>
      <w:pPr>
        <w:pStyle w:val="3"/>
        <w:spacing w:before="28" w:line="350" w:lineRule="auto"/>
        <w:ind w:left="112" w:right="209" w:firstLine="420"/>
        <w:jc w:val="both"/>
        <w:rPr>
          <w:rStyle w:val="15"/>
          <w:sz w:val="21"/>
          <w:szCs w:val="21"/>
        </w:rPr>
      </w:pPr>
      <w:r>
        <w:rPr>
          <w:rStyle w:val="15"/>
          <w:sz w:val="21"/>
          <w:szCs w:val="21"/>
        </w:rPr>
        <w:t>保险办理流程要求：保险合同条款应当采用承保人在保监会备案的规范性条文，承包人与承保人约定的每次事故绝对免赔额标准不高于行业平均水平，保险责任应当包含清除残骸费用。承包人办理工程保险投保时应事先报发包人备案，明确投保的责任主体为承包人，受益人为发包人和承包人，保险合同中应约定保险事故出险通知及理赔结果承保人必须同时书面通知发包人。承包人经理部应设置或指定保险专员，负责联络处理保险事宜。否则，发包人有权拒付保险费，并由承包人承担未按约定投保的责任。变更工程的计量，发包人事先将审查是否属于保险责任事故，对属于保险责任事故的变更，未办理相关理赔手续的发包人将暂停计量，因承包人责任没有办理出险通知、理赔的，承包人承担未按约定投保的责任。</w:t>
      </w:r>
    </w:p>
    <w:p>
      <w:pPr>
        <w:pStyle w:val="9"/>
        <w:spacing w:before="26"/>
        <w:rPr>
          <w:rStyle w:val="15"/>
          <w:sz w:val="21"/>
          <w:szCs w:val="21"/>
        </w:rPr>
      </w:pPr>
      <w:r>
        <w:rPr>
          <w:rStyle w:val="15"/>
          <w:sz w:val="21"/>
          <w:szCs w:val="21"/>
        </w:rPr>
        <w:t>20.4 第三者责任险</w:t>
      </w:r>
    </w:p>
    <w:p>
      <w:pPr>
        <w:pStyle w:val="3"/>
        <w:spacing w:before="125" w:line="350" w:lineRule="auto"/>
        <w:ind w:left="112" w:right="125" w:firstLine="480"/>
        <w:rPr>
          <w:rStyle w:val="15"/>
          <w:sz w:val="21"/>
          <w:szCs w:val="21"/>
        </w:rPr>
      </w:pPr>
      <w:r>
        <w:rPr>
          <w:rStyle w:val="15"/>
          <w:sz w:val="21"/>
          <w:szCs w:val="21"/>
        </w:rPr>
        <w:t>本款补充：若承包人实际投保的保险费率高于发包人给定的保险费率，超出部分的成本由投标人考虑在其他项目的报价中。发包人向承包人支付的第三者责任险的保险费累计不超过承包人工程量清单 100 章中的报价。第三者责任险办理投保的流程要求参照前述第 20.1 款工程保险办理约定。</w:t>
      </w:r>
    </w:p>
    <w:p>
      <w:pPr>
        <w:pStyle w:val="9"/>
        <w:spacing w:before="125"/>
        <w:rPr>
          <w:rStyle w:val="15"/>
          <w:sz w:val="21"/>
          <w:szCs w:val="21"/>
        </w:rPr>
      </w:pPr>
      <w:r>
        <w:rPr>
          <w:rStyle w:val="15"/>
          <w:sz w:val="21"/>
          <w:szCs w:val="21"/>
        </w:rPr>
        <w:t>22.1 承包人违约</w:t>
      </w:r>
    </w:p>
    <w:p>
      <w:pPr>
        <w:pStyle w:val="3"/>
        <w:tabs>
          <w:tab w:val="left" w:pos="1371"/>
        </w:tabs>
        <w:spacing w:before="125"/>
        <w:ind w:left="532"/>
        <w:rPr>
          <w:rStyle w:val="15"/>
          <w:sz w:val="21"/>
          <w:szCs w:val="21"/>
        </w:rPr>
      </w:pPr>
      <w:r>
        <w:rPr>
          <w:rStyle w:val="15"/>
          <w:sz w:val="21"/>
          <w:szCs w:val="21"/>
        </w:rPr>
        <w:t>22.1.2</w:t>
      </w:r>
      <w:r>
        <w:rPr>
          <w:rStyle w:val="15"/>
          <w:sz w:val="21"/>
          <w:szCs w:val="21"/>
        </w:rPr>
        <w:tab/>
      </w:r>
      <w:r>
        <w:rPr>
          <w:rStyle w:val="15"/>
          <w:sz w:val="21"/>
          <w:szCs w:val="21"/>
        </w:rPr>
        <w:t>对承包人违约的处理</w:t>
      </w:r>
    </w:p>
    <w:p>
      <w:pPr>
        <w:pStyle w:val="3"/>
        <w:spacing w:before="123"/>
        <w:ind w:left="532"/>
        <w:rPr>
          <w:rStyle w:val="15"/>
          <w:sz w:val="21"/>
          <w:szCs w:val="21"/>
        </w:rPr>
      </w:pPr>
      <w:r>
        <w:rPr>
          <w:rStyle w:val="15"/>
          <w:sz w:val="21"/>
          <w:szCs w:val="21"/>
        </w:rPr>
        <w:t>第 22.1.2（4）项发包人向承包人处以违约金的约定为：</w:t>
      </w:r>
    </w:p>
    <w:p>
      <w:pPr>
        <w:pStyle w:val="3"/>
        <w:spacing w:before="125" w:line="350" w:lineRule="auto"/>
        <w:ind w:left="112" w:right="209" w:firstLine="480"/>
        <w:jc w:val="both"/>
        <w:rPr>
          <w:rStyle w:val="15"/>
          <w:sz w:val="21"/>
          <w:szCs w:val="21"/>
        </w:rPr>
      </w:pPr>
      <w:r>
        <w:rPr>
          <w:rStyle w:val="15"/>
          <w:sz w:val="21"/>
          <w:szCs w:val="21"/>
        </w:rPr>
        <w:t>①违反第 22.1.1（1）项规定，发包人或监理人可以发出停工令，暂时停止全部或部份合同工程的施工，并可向承包人处以不超过履约担保总金额的违约金（由发包人视严重情况而定），情节特别严重的发包人有权解除合同，没收其全部履约保证金并向违约方追偿相关损失。违规分包的，发包人将驱逐分包人，并可对承包人课以该分包项目总额的 10%以内（含 10%）的违约金（由发包人视严重情况而定），情节特别严重、恶劣的，发包人有权解除合同，没收其全部履约保证金。</w:t>
      </w:r>
    </w:p>
    <w:p>
      <w:pPr>
        <w:pStyle w:val="3"/>
        <w:spacing w:before="26" w:line="350" w:lineRule="auto"/>
        <w:ind w:left="112" w:right="210" w:firstLine="480"/>
        <w:rPr>
          <w:rStyle w:val="15"/>
          <w:sz w:val="21"/>
          <w:szCs w:val="21"/>
        </w:rPr>
      </w:pPr>
      <w:r>
        <w:rPr>
          <w:rStyle w:val="15"/>
          <w:sz w:val="21"/>
          <w:szCs w:val="21"/>
        </w:rPr>
        <w:t>②违反第 22.1.1（2）项规定，发包人可处以不超过履约担保总金额 50%以内（含 50%）的违约金（由发包人视严重情况而定）。</w:t>
      </w:r>
    </w:p>
    <w:p>
      <w:pPr>
        <w:pStyle w:val="3"/>
        <w:spacing w:before="29"/>
        <w:ind w:left="591"/>
        <w:rPr>
          <w:rStyle w:val="15"/>
          <w:sz w:val="21"/>
          <w:szCs w:val="21"/>
        </w:rPr>
      </w:pPr>
      <w:r>
        <w:rPr>
          <w:rStyle w:val="15"/>
          <w:sz w:val="21"/>
          <w:szCs w:val="21"/>
        </w:rPr>
        <w:t>③违反第 22.1.1（3）项规定，发包人将另行委托清除不合格工程，所发生费用由承包人承担，并可处以不</w:t>
      </w:r>
    </w:p>
    <w:p>
      <w:pPr>
        <w:spacing w:after="0"/>
        <w:sectPr>
          <w:pgSz w:w="11910" w:h="16840"/>
          <w:pgMar w:top="1000" w:right="640" w:bottom="760" w:left="740" w:header="808" w:footer="575" w:gutter="0"/>
          <w:pgNumType w:fmt="decimal"/>
        </w:sectPr>
      </w:pPr>
    </w:p>
    <w:p>
      <w:pPr>
        <w:pStyle w:val="3"/>
        <w:spacing w:before="8"/>
        <w:rPr>
          <w:sz w:val="12"/>
        </w:rPr>
      </w:pPr>
    </w:p>
    <w:p>
      <w:pPr>
        <w:pStyle w:val="3"/>
        <w:spacing w:before="34" w:line="350" w:lineRule="auto"/>
        <w:ind w:left="112" w:right="190"/>
        <w:jc w:val="both"/>
        <w:rPr>
          <w:rStyle w:val="15"/>
          <w:sz w:val="21"/>
          <w:szCs w:val="21"/>
        </w:rPr>
      </w:pPr>
      <w:r>
        <w:rPr>
          <w:rStyle w:val="15"/>
          <w:sz w:val="21"/>
          <w:szCs w:val="21"/>
        </w:rPr>
        <w:t>超过履约担保总金额 50%以内（含 50%）的违约金（由发包人视严重情况而定）。同时，发包人及监理人在合同实施时对日常质量、安全等将根据施工规范和施工标准化技术指南出台相应管理检查办法，对承包人违反相关管理规定的将处以相应违约金，具体细则另行制订下发。</w:t>
      </w:r>
    </w:p>
    <w:p>
      <w:pPr>
        <w:pStyle w:val="3"/>
        <w:spacing w:before="26"/>
        <w:ind w:left="591"/>
        <w:rPr>
          <w:rStyle w:val="15"/>
          <w:sz w:val="21"/>
          <w:szCs w:val="21"/>
        </w:rPr>
      </w:pPr>
      <w:r>
        <w:rPr>
          <w:rStyle w:val="15"/>
          <w:sz w:val="21"/>
          <w:szCs w:val="21"/>
        </w:rPr>
        <w:t>④违反第 22.1.1（4）项规定，发包人按规定处以相关逾期违约金。</w:t>
      </w:r>
    </w:p>
    <w:p>
      <w:pPr>
        <w:pStyle w:val="3"/>
        <w:spacing w:before="125" w:line="350" w:lineRule="auto"/>
        <w:ind w:left="112" w:right="190" w:firstLine="480"/>
        <w:rPr>
          <w:rStyle w:val="15"/>
          <w:sz w:val="21"/>
          <w:szCs w:val="21"/>
        </w:rPr>
      </w:pPr>
      <w:r>
        <w:rPr>
          <w:rStyle w:val="15"/>
          <w:sz w:val="21"/>
          <w:szCs w:val="21"/>
        </w:rPr>
        <w:t>⑤违反第 22.1.1（5）项规定，发包人可处以不超过履约担保总金额 50%以内（含 50%）的违约金（由发包人视严重情况而定）。</w:t>
      </w:r>
    </w:p>
    <w:p>
      <w:pPr>
        <w:pStyle w:val="3"/>
        <w:spacing w:before="26" w:line="350" w:lineRule="auto"/>
        <w:ind w:left="112" w:right="105" w:firstLine="480"/>
        <w:rPr>
          <w:rStyle w:val="15"/>
          <w:sz w:val="21"/>
          <w:szCs w:val="21"/>
        </w:rPr>
      </w:pPr>
      <w:r>
        <w:rPr>
          <w:rStyle w:val="15"/>
          <w:sz w:val="21"/>
          <w:szCs w:val="21"/>
        </w:rPr>
        <w:t>⑥违反第 22.1.1（7）项规定，可以向承包人处以 20000 元/天的开工延期损失赔偿金，情节严重，发包人可以终止对承包人的雇用，也可将本合同工程中的一部分工作给其它承包人或指定分包人完成。此外，承包人未能按批准的施工组织计划要求完成关键进度节点工作的，发包人有权按未完成关键进度节点的次数处以违约金，具体实施办法将于合同实施时制定。</w:t>
      </w:r>
    </w:p>
    <w:p>
      <w:pPr>
        <w:pStyle w:val="3"/>
        <w:spacing w:before="29" w:line="350" w:lineRule="auto"/>
        <w:ind w:left="112" w:right="180" w:firstLine="480"/>
        <w:rPr>
          <w:rStyle w:val="15"/>
          <w:sz w:val="21"/>
          <w:szCs w:val="21"/>
        </w:rPr>
      </w:pPr>
      <w:r>
        <w:rPr>
          <w:rStyle w:val="15"/>
          <w:sz w:val="21"/>
          <w:szCs w:val="21"/>
        </w:rPr>
        <w:t>⑦合同签订后，违反第 22.1.1（8）项规定，承包人更换项目主要管理人员的，发包人可处以违约金额为项目经理 50 万元/人·次，总工 30 万元/人·次，其他主要技术和管理人员 10 万元/人·次。合同中列明的项目经理和项目总工驻现场的时间每月应不少于 22 天，经监理人批准并获发包人同意的除外，项目经理或项目总工每人每缺勤 1 天，承包人应向发包人支付违约金 1000 元/人•天；除经理、总工以外的其他主要技术管理人员每人每缺勤 1 天，承包人应向发包人支付违约金 500 元/人•天，同时发包人有权拒绝出具对承包人人员的资历等相关证明。</w:t>
      </w:r>
    </w:p>
    <w:p>
      <w:pPr>
        <w:pStyle w:val="3"/>
        <w:spacing w:before="31"/>
        <w:ind w:left="532"/>
        <w:rPr>
          <w:rStyle w:val="15"/>
          <w:sz w:val="21"/>
          <w:szCs w:val="21"/>
        </w:rPr>
      </w:pPr>
      <w:r>
        <w:rPr>
          <w:rStyle w:val="15"/>
          <w:sz w:val="21"/>
          <w:szCs w:val="21"/>
        </w:rPr>
        <w:t>对承包人更换人员可减免的情形如下：</w:t>
      </w:r>
    </w:p>
    <w:p>
      <w:pPr>
        <w:pStyle w:val="3"/>
        <w:spacing w:before="125" w:line="348" w:lineRule="auto"/>
        <w:ind w:left="112" w:right="188" w:firstLine="420"/>
        <w:jc w:val="both"/>
        <w:rPr>
          <w:rStyle w:val="15"/>
          <w:sz w:val="21"/>
          <w:szCs w:val="21"/>
        </w:rPr>
      </w:pPr>
      <w:r>
        <w:rPr>
          <w:rStyle w:val="15"/>
          <w:sz w:val="21"/>
          <w:szCs w:val="21"/>
        </w:rPr>
        <w:t>a.在合同签订或合同实施过程中，因正选人员不能进场履约而承包人更换的人员为投标文件中列明的备选人员（或，正选人员履约不力且经监理人或发包人要求整改仍不满足要求的，监理人及发包人有权发出工作指令要求承包人更换备选人员），发包人不对承包人课以违约金处罚。</w:t>
      </w:r>
    </w:p>
    <w:p>
      <w:pPr>
        <w:pStyle w:val="3"/>
        <w:spacing w:before="31" w:line="350" w:lineRule="auto"/>
        <w:ind w:left="112" w:right="185" w:firstLine="420"/>
        <w:jc w:val="both"/>
        <w:rPr>
          <w:rStyle w:val="15"/>
          <w:sz w:val="21"/>
          <w:szCs w:val="21"/>
        </w:rPr>
      </w:pPr>
      <w:r>
        <w:rPr>
          <w:rStyle w:val="15"/>
          <w:sz w:val="21"/>
          <w:szCs w:val="21"/>
        </w:rPr>
        <w:t>b.承包人的人员若因重大疾病等原因更换人员（指备选之外人员），且更换后的人员满足合同要求并能很好的履行职责（如在发包人组织的履约考核中表现优良，或在质量、进度等合同履约方面较之前有较大改善，原则上给予 3 个月考核期），取得监理人和发包人认可的，发包人可酎情对人员更换违约金予以减免，具体减免时间和减免额度视考核结果由发包人确定。</w:t>
      </w:r>
    </w:p>
    <w:p>
      <w:pPr>
        <w:pStyle w:val="3"/>
        <w:spacing w:before="27" w:line="350" w:lineRule="auto"/>
        <w:ind w:left="112" w:right="188"/>
        <w:jc w:val="both"/>
        <w:rPr>
          <w:rStyle w:val="15"/>
          <w:sz w:val="21"/>
          <w:szCs w:val="21"/>
        </w:rPr>
      </w:pPr>
      <w:r>
        <w:rPr>
          <w:rStyle w:val="15"/>
          <w:sz w:val="21"/>
          <w:szCs w:val="21"/>
        </w:rPr>
        <w:t>⑧违反第 22.1.1（9）项规定，发包人将暂停安全生产费用的支付，或根据监理人的整改要求另行安排其他承包人完成安全生产相关工作，其费用直接从发包人应支付给本合同承包人的费用中扣除，并可根据发包人实施的安全生产管理规定处以相应违约金。</w:t>
      </w:r>
    </w:p>
    <w:p>
      <w:pPr>
        <w:pStyle w:val="3"/>
        <w:spacing w:before="27"/>
        <w:ind w:left="591"/>
        <w:rPr>
          <w:rStyle w:val="15"/>
          <w:sz w:val="21"/>
          <w:szCs w:val="21"/>
        </w:rPr>
      </w:pPr>
      <w:r>
        <w:rPr>
          <w:rStyle w:val="15"/>
          <w:sz w:val="21"/>
          <w:szCs w:val="21"/>
        </w:rPr>
        <w:t>⑨承包人不按合同约定履行施工标准化，发包人将暂停第 102 节的竣工文件和施工环保费、第 103 节临时</w:t>
      </w:r>
    </w:p>
    <w:p>
      <w:pPr>
        <w:pStyle w:val="3"/>
        <w:spacing w:before="126" w:line="350" w:lineRule="auto"/>
        <w:ind w:left="112" w:right="189"/>
        <w:jc w:val="both"/>
        <w:rPr>
          <w:rStyle w:val="15"/>
          <w:sz w:val="21"/>
          <w:szCs w:val="21"/>
        </w:rPr>
      </w:pPr>
      <w:r>
        <w:rPr>
          <w:rStyle w:val="15"/>
          <w:sz w:val="21"/>
          <w:szCs w:val="21"/>
        </w:rPr>
        <w:t>工程与设施、第 104 节承包人驻地建设和第 107 节施工标准化等费用的计量支付，并要求承包人限时按要求整改合格，如承包人未能在规定的时间按要求整改合格的，发包人将视施工标准化实施响应程度及该施工标准化项目在施工标准化总体中的重要性，可扣减部分或全部施工标准化费用，同时还可课以不超过履约保证金总额 10%的施工标准化违约金（具体视承包人不响应施工标准化要求的程度确定），但扣减的施工标准化费用及施工标准化违约金的总额不超过履约保证金总额的 10%。</w:t>
      </w:r>
    </w:p>
    <w:p>
      <w:pPr>
        <w:pStyle w:val="3"/>
        <w:spacing w:before="27" w:line="350" w:lineRule="auto"/>
        <w:ind w:left="112" w:right="188" w:firstLine="523"/>
        <w:rPr>
          <w:rStyle w:val="15"/>
          <w:sz w:val="21"/>
          <w:szCs w:val="21"/>
        </w:rPr>
      </w:pPr>
      <w:r>
        <w:rPr>
          <w:rStyle w:val="15"/>
          <w:sz w:val="21"/>
          <w:szCs w:val="21"/>
        </w:rPr>
        <w:t>⑩承包人未根据《关于严格落实公路工程质量责任制的若干意见》（交公路发〔2008〕116 号）执行质量责任登记制度并报备的，处以 10 万元的违约金并要求整改实施；未经过发包人审查备案并在现场相应单位或分部工程悬挂责任登记牌的，处以 1 万元的违约金并要求整改实施。</w:t>
      </w:r>
    </w:p>
    <w:p>
      <w:pPr>
        <w:spacing w:after="0"/>
        <w:jc w:val="both"/>
        <w:sectPr>
          <w:pgSz w:w="11910" w:h="16840"/>
          <w:pgMar w:top="1000" w:right="660" w:bottom="760" w:left="740" w:header="808" w:footer="575" w:gutter="0"/>
          <w:pgNumType w:fmt="decimal"/>
        </w:sectPr>
      </w:pPr>
    </w:p>
    <w:p>
      <w:pPr>
        <w:pStyle w:val="3"/>
        <w:spacing w:before="2"/>
        <w:rPr>
          <w:sz w:val="11"/>
        </w:rPr>
      </w:pPr>
    </w:p>
    <w:p>
      <w:pPr>
        <w:pStyle w:val="3"/>
        <w:spacing w:before="54" w:line="328" w:lineRule="auto"/>
        <w:ind w:left="112" w:right="250" w:firstLine="420"/>
        <w:jc w:val="both"/>
        <w:rPr>
          <w:rStyle w:val="15"/>
          <w:sz w:val="21"/>
          <w:szCs w:val="21"/>
        </w:rPr>
      </w:pPr>
      <w:r>
        <w:rPr>
          <w:rStyle w:val="15"/>
          <w:sz w:val="21"/>
          <w:szCs w:val="21"/>
        </w:rPr>
        <w:t>⑪承包人提交的计量结算支付资料误差若超出竣工结算核定后金额的正负百分之三的，承包人还应承担超出正负百分之三部分的竣工结算费用。</w:t>
      </w:r>
    </w:p>
    <w:p>
      <w:pPr>
        <w:pStyle w:val="3"/>
        <w:spacing w:before="48" w:line="338" w:lineRule="auto"/>
        <w:ind w:left="112" w:right="243" w:firstLine="420"/>
        <w:jc w:val="both"/>
        <w:rPr>
          <w:rStyle w:val="15"/>
          <w:sz w:val="21"/>
          <w:szCs w:val="21"/>
        </w:rPr>
      </w:pPr>
      <w:r>
        <w:rPr>
          <w:rStyle w:val="15"/>
          <w:sz w:val="21"/>
          <w:szCs w:val="21"/>
        </w:rPr>
        <w:t>⑫不按照《关于开展安全生产管理“单元预警法”的通知》（桂交投发〔2014〕172 号）等文件要求，开展安全生产管理“单元预警法”相关活动的，经监理工程师书面指令仍不整改的，每处次/处以 2000 元相应的违约金。</w:t>
      </w:r>
    </w:p>
    <w:p>
      <w:pPr>
        <w:pStyle w:val="3"/>
        <w:spacing w:before="39"/>
        <w:ind w:left="532"/>
        <w:rPr>
          <w:rStyle w:val="15"/>
          <w:sz w:val="21"/>
          <w:szCs w:val="21"/>
        </w:rPr>
      </w:pPr>
      <w:r>
        <w:rPr>
          <w:rStyle w:val="15"/>
          <w:sz w:val="21"/>
          <w:szCs w:val="21"/>
        </w:rPr>
        <w:t>⑬增加⑬承包人违反发包人实施的质量管理有关规定的，发包人对承包人处以违约金处罚的约定为：</w:t>
      </w:r>
    </w:p>
    <w:p>
      <w:pPr>
        <w:pStyle w:val="3"/>
        <w:spacing w:before="106"/>
        <w:ind w:left="532"/>
        <w:rPr>
          <w:rStyle w:val="15"/>
          <w:sz w:val="21"/>
          <w:szCs w:val="21"/>
        </w:rPr>
      </w:pPr>
      <w:r>
        <w:rPr>
          <w:rStyle w:val="15"/>
          <w:sz w:val="21"/>
          <w:szCs w:val="21"/>
        </w:rPr>
        <w:t>a.承包人有违规作业、野蛮施工、弄虚作假、偷工减料等行为，每处次处以 5000~20000 元的违约金。</w:t>
      </w:r>
    </w:p>
    <w:p>
      <w:pPr>
        <w:pStyle w:val="3"/>
        <w:spacing w:before="126" w:line="350" w:lineRule="auto"/>
        <w:ind w:left="112" w:right="248" w:firstLine="420"/>
        <w:rPr>
          <w:rStyle w:val="15"/>
          <w:sz w:val="21"/>
          <w:szCs w:val="21"/>
        </w:rPr>
      </w:pPr>
      <w:r>
        <w:rPr>
          <w:rStyle w:val="15"/>
          <w:sz w:val="21"/>
          <w:szCs w:val="21"/>
        </w:rPr>
        <w:t>b.承包人违反《</w:t>
      </w:r>
      <w:r>
        <w:rPr>
          <w:rStyle w:val="15"/>
          <w:rFonts w:hint="eastAsia"/>
          <w:color w:val="auto"/>
          <w:sz w:val="21"/>
          <w:szCs w:val="21"/>
          <w:lang w:eastAsia="zh-CN"/>
        </w:rPr>
        <w:t>富川县新华至连山道路路面修复工程项目</w:t>
      </w:r>
      <w:r>
        <w:rPr>
          <w:rStyle w:val="15"/>
          <w:color w:val="auto"/>
          <w:sz w:val="21"/>
          <w:szCs w:val="21"/>
        </w:rPr>
        <w:t>质量检查与评比实施细则（试行）》</w:t>
      </w:r>
      <w:r>
        <w:rPr>
          <w:rStyle w:val="15"/>
          <w:sz w:val="21"/>
          <w:szCs w:val="21"/>
        </w:rPr>
        <w:t>第四章第八条任一管理规定的，将被处以 500~50000 元的违约金，多项的则给予违约金累计叠加。</w:t>
      </w:r>
    </w:p>
    <w:p>
      <w:pPr>
        <w:pStyle w:val="3"/>
        <w:spacing w:before="27" w:line="328" w:lineRule="auto"/>
        <w:ind w:left="112" w:right="245" w:firstLine="420"/>
        <w:rPr>
          <w:rStyle w:val="15"/>
          <w:sz w:val="21"/>
          <w:szCs w:val="21"/>
        </w:rPr>
      </w:pPr>
      <w:r>
        <w:rPr>
          <w:rStyle w:val="15"/>
          <w:sz w:val="21"/>
          <w:szCs w:val="21"/>
        </w:rPr>
        <w:t>增加⑭承包人在各类（含上级单位）检查中发现质量情况恶劣且被全线通报的，将被处以 2 万元至 20 万元的违约金处罚。</w:t>
      </w:r>
    </w:p>
    <w:p>
      <w:pPr>
        <w:pStyle w:val="3"/>
        <w:spacing w:before="48" w:line="348" w:lineRule="auto"/>
        <w:ind w:left="112" w:right="248" w:firstLine="420"/>
        <w:rPr>
          <w:rStyle w:val="15"/>
          <w:sz w:val="21"/>
          <w:szCs w:val="21"/>
        </w:rPr>
      </w:pPr>
      <w:r>
        <w:rPr>
          <w:rStyle w:val="15"/>
          <w:sz w:val="21"/>
          <w:szCs w:val="21"/>
        </w:rPr>
        <w:t>c. 承包人实施的工程质量达不到《工程质量一次性抽检合格率实施细则》管理规定的，将被处以 10 万元以内的违约金处罚。</w:t>
      </w:r>
    </w:p>
    <w:p>
      <w:pPr>
        <w:pStyle w:val="3"/>
        <w:spacing w:before="31"/>
        <w:ind w:left="532"/>
        <w:rPr>
          <w:rStyle w:val="15"/>
          <w:sz w:val="21"/>
          <w:szCs w:val="21"/>
        </w:rPr>
      </w:pPr>
      <w:r>
        <w:rPr>
          <w:rStyle w:val="15"/>
          <w:sz w:val="21"/>
          <w:szCs w:val="21"/>
        </w:rPr>
        <w:t>第 22.1.2 项补充第（5）、（6）点：</w:t>
      </w:r>
    </w:p>
    <w:p>
      <w:pPr>
        <w:pStyle w:val="3"/>
        <w:spacing w:before="125" w:line="350" w:lineRule="auto"/>
        <w:ind w:left="112" w:right="248" w:firstLine="420"/>
        <w:jc w:val="both"/>
        <w:rPr>
          <w:rStyle w:val="15"/>
          <w:sz w:val="21"/>
          <w:szCs w:val="21"/>
        </w:rPr>
      </w:pPr>
      <w:r>
        <w:rPr>
          <w:rStyle w:val="15"/>
          <w:sz w:val="21"/>
          <w:szCs w:val="21"/>
        </w:rPr>
        <w:t>（5）承包人违约（更换人员的可给予 3 个月考核期）被发包人发出课以违约金处理通知的，将在最近一期工程款项计量支付手续中办理扣留相关违约金。经发包人同意可减免的违约金，将在发包人书面确认后，在最后一期工程款项计量支付时办理从已扣留的违约金中返还相应减免款额手续（具体减免时间和减免额度视考核结果可由发包人确定）。</w:t>
      </w:r>
    </w:p>
    <w:p>
      <w:pPr>
        <w:pStyle w:val="9"/>
        <w:spacing w:before="26"/>
        <w:rPr>
          <w:rStyle w:val="15"/>
          <w:sz w:val="21"/>
          <w:szCs w:val="21"/>
        </w:rPr>
      </w:pPr>
      <w:r>
        <w:rPr>
          <w:rStyle w:val="15"/>
          <w:sz w:val="21"/>
          <w:szCs w:val="21"/>
        </w:rPr>
        <w:t>23.1 承包人索赔的提出</w:t>
      </w:r>
    </w:p>
    <w:p>
      <w:pPr>
        <w:pStyle w:val="3"/>
        <w:spacing w:before="125" w:line="350" w:lineRule="auto"/>
        <w:ind w:left="112" w:right="250" w:firstLine="480"/>
        <w:rPr>
          <w:rStyle w:val="15"/>
          <w:sz w:val="21"/>
          <w:szCs w:val="21"/>
        </w:rPr>
      </w:pPr>
      <w:r>
        <w:rPr>
          <w:rStyle w:val="15"/>
          <w:sz w:val="21"/>
          <w:szCs w:val="21"/>
        </w:rPr>
        <w:t>本款第（4）项补充：承包人的最终索赔通知书获得批准后，最终要求索赔的追加付款金额应在获得批准后的最近一期计量支付申请中提出。</w:t>
      </w:r>
    </w:p>
    <w:p>
      <w:pPr>
        <w:pStyle w:val="9"/>
        <w:spacing w:before="26"/>
        <w:rPr>
          <w:rStyle w:val="15"/>
          <w:sz w:val="21"/>
          <w:szCs w:val="21"/>
        </w:rPr>
      </w:pPr>
      <w:r>
        <w:rPr>
          <w:rStyle w:val="15"/>
          <w:sz w:val="21"/>
          <w:szCs w:val="21"/>
        </w:rPr>
        <w:t>补充以下项目专用条款：</w:t>
      </w:r>
    </w:p>
    <w:p>
      <w:pPr>
        <w:spacing w:before="125"/>
        <w:ind w:left="112" w:right="0" w:firstLine="0"/>
        <w:jc w:val="left"/>
        <w:rPr>
          <w:rStyle w:val="15"/>
          <w:sz w:val="21"/>
          <w:szCs w:val="21"/>
        </w:rPr>
      </w:pPr>
      <w:r>
        <w:rPr>
          <w:rStyle w:val="15"/>
          <w:sz w:val="21"/>
          <w:szCs w:val="21"/>
        </w:rPr>
        <w:t>24. 审计决定的执行</w:t>
      </w:r>
    </w:p>
    <w:p>
      <w:pPr>
        <w:pStyle w:val="3"/>
        <w:spacing w:before="125" w:line="348" w:lineRule="auto"/>
        <w:ind w:left="112" w:right="250" w:firstLine="420"/>
        <w:jc w:val="both"/>
        <w:rPr>
          <w:rStyle w:val="15"/>
          <w:sz w:val="21"/>
          <w:szCs w:val="21"/>
        </w:rPr>
      </w:pPr>
      <w:r>
        <w:rPr>
          <w:rStyle w:val="15"/>
          <w:sz w:val="21"/>
          <w:szCs w:val="21"/>
        </w:rPr>
        <w:t>27.1 本工程项目是以政府投资为主体的项目，根据国家有关法律法规的规定，在工程建设过程和工程竣工决算中必须接受政府有关第三方出具的核算，对第三方作出的核算决定，发包人和合同承包人都必须遵守并予以执行。</w:t>
      </w:r>
    </w:p>
    <w:p>
      <w:pPr>
        <w:pStyle w:val="9"/>
        <w:spacing w:before="31"/>
        <w:rPr>
          <w:rStyle w:val="15"/>
          <w:sz w:val="21"/>
          <w:szCs w:val="21"/>
        </w:rPr>
      </w:pPr>
      <w:r>
        <w:rPr>
          <w:rStyle w:val="15"/>
          <w:sz w:val="21"/>
          <w:szCs w:val="21"/>
        </w:rPr>
        <w:t>25.不平衡报价调整</w:t>
      </w:r>
    </w:p>
    <w:p>
      <w:pPr>
        <w:pStyle w:val="17"/>
        <w:numPr>
          <w:ilvl w:val="1"/>
          <w:numId w:val="23"/>
        </w:numPr>
        <w:tabs>
          <w:tab w:val="left" w:pos="1005"/>
        </w:tabs>
        <w:spacing w:before="123" w:after="0" w:line="350" w:lineRule="auto"/>
        <w:ind w:left="112" w:right="250" w:firstLine="420"/>
        <w:jc w:val="left"/>
        <w:rPr>
          <w:rStyle w:val="15"/>
          <w:sz w:val="21"/>
          <w:szCs w:val="21"/>
        </w:rPr>
      </w:pPr>
      <w:r>
        <w:rPr>
          <w:rStyle w:val="15"/>
          <w:sz w:val="21"/>
          <w:szCs w:val="21"/>
        </w:rPr>
        <w:t>承包人的工程量清单中存在严重不平衡报价的，发包人有权在合同总价不变的情况下，对承包人的工程量清单中的严重不平衡报价支付子目进行调整。</w:t>
      </w:r>
    </w:p>
    <w:p>
      <w:pPr>
        <w:pStyle w:val="17"/>
        <w:numPr>
          <w:ilvl w:val="2"/>
          <w:numId w:val="23"/>
        </w:numPr>
        <w:tabs>
          <w:tab w:val="left" w:pos="1216"/>
        </w:tabs>
        <w:spacing w:before="29" w:after="0" w:line="348" w:lineRule="auto"/>
        <w:ind w:left="112" w:right="250" w:firstLine="420"/>
        <w:jc w:val="left"/>
        <w:rPr>
          <w:rStyle w:val="15"/>
          <w:sz w:val="21"/>
          <w:szCs w:val="21"/>
        </w:rPr>
      </w:pPr>
      <w:r>
        <w:rPr>
          <w:rStyle w:val="15"/>
          <w:sz w:val="21"/>
          <w:szCs w:val="21"/>
        </w:rPr>
        <w:t>严重不平衡报价的确认方法：投标支付子目报价＜0.7×招标人公布的支付子目最高限价的， 即视为严重不平衡报价，发包人有权在合同总价不变的前提下对这些投标支付子目报价进行调整。</w:t>
      </w:r>
    </w:p>
    <w:p>
      <w:pPr>
        <w:pStyle w:val="17"/>
        <w:numPr>
          <w:ilvl w:val="2"/>
          <w:numId w:val="23"/>
        </w:numPr>
        <w:tabs>
          <w:tab w:val="left" w:pos="1214"/>
        </w:tabs>
        <w:spacing w:before="31" w:after="0" w:line="240" w:lineRule="auto"/>
        <w:ind w:left="1213" w:right="0" w:hanging="681"/>
        <w:jc w:val="left"/>
        <w:rPr>
          <w:rStyle w:val="15"/>
          <w:sz w:val="21"/>
          <w:szCs w:val="21"/>
        </w:rPr>
      </w:pPr>
      <w:r>
        <w:rPr>
          <w:rStyle w:val="15"/>
          <w:sz w:val="21"/>
          <w:szCs w:val="21"/>
        </w:rPr>
        <w:t>严重不平衡报价的调整方式：</w:t>
      </w:r>
    </w:p>
    <w:p>
      <w:pPr>
        <w:pStyle w:val="3"/>
        <w:spacing w:before="125"/>
        <w:ind w:left="532"/>
        <w:rPr>
          <w:rStyle w:val="15"/>
          <w:sz w:val="21"/>
          <w:szCs w:val="21"/>
        </w:rPr>
      </w:pPr>
      <w:r>
        <w:rPr>
          <w:rStyle w:val="15"/>
          <w:sz w:val="21"/>
          <w:szCs w:val="21"/>
        </w:rPr>
        <w:t>（1）将小于子目最高限价×0.7 的所有投标子目单价统一调升至子目最高限价×0.7，计算出调增额（D1）；</w:t>
      </w:r>
    </w:p>
    <w:p>
      <w:pPr>
        <w:pStyle w:val="3"/>
        <w:spacing w:before="123"/>
        <w:ind w:left="532"/>
        <w:rPr>
          <w:rStyle w:val="15"/>
          <w:sz w:val="21"/>
          <w:szCs w:val="21"/>
        </w:rPr>
      </w:pPr>
      <w:r>
        <w:rPr>
          <w:rStyle w:val="15"/>
          <w:sz w:val="21"/>
          <w:szCs w:val="21"/>
        </w:rPr>
        <w:t>（2）计算在子目最高限价100%～95%范围的投标子目统一调低至子目最高限价×0.95，得出调减额（T1）；</w:t>
      </w:r>
    </w:p>
    <w:p>
      <w:pPr>
        <w:pStyle w:val="3"/>
        <w:spacing w:before="126"/>
        <w:ind w:left="532"/>
        <w:rPr>
          <w:rStyle w:val="15"/>
          <w:sz w:val="21"/>
          <w:szCs w:val="21"/>
        </w:rPr>
      </w:pPr>
      <w:r>
        <w:rPr>
          <w:rStyle w:val="15"/>
          <w:sz w:val="21"/>
          <w:szCs w:val="21"/>
        </w:rPr>
        <w:t>A.若 D1≤T1，在子目最高限价 100%～95%范围的投标子目单价按比例（即调增额 D1÷在子目最高限价 100%～</w:t>
      </w:r>
    </w:p>
    <w:p>
      <w:pPr>
        <w:pStyle w:val="3"/>
        <w:spacing w:before="8"/>
        <w:rPr>
          <w:sz w:val="12"/>
        </w:rPr>
      </w:pPr>
      <w:r>
        <w:rPr>
          <w:rStyle w:val="15"/>
          <w:sz w:val="21"/>
          <w:szCs w:val="21"/>
        </w:rPr>
        <w:t>95%范围的所有投标子目总价）调低；</w:t>
      </w:r>
    </w:p>
    <w:p>
      <w:pPr>
        <w:pStyle w:val="3"/>
        <w:spacing w:before="34" w:line="350" w:lineRule="auto"/>
        <w:ind w:left="112" w:right="189" w:firstLine="420"/>
        <w:jc w:val="both"/>
        <w:rPr>
          <w:rStyle w:val="15"/>
        </w:rPr>
      </w:pPr>
      <w:r>
        <w:rPr>
          <w:rStyle w:val="15"/>
        </w:rPr>
        <w:t>B.若 D1＞T1，先将在子目最高限价 100%～95%范围的投标子目单价统一调低至子目最高限价×0.95，余下调减差价（即 D1-T1），计算在子目最高限价 95%～90%范围的投标子目单价（含之前已调低至 95%的投标子目）统一调低至子目最高限价×0.90 得出调减额（T2）</w:t>
      </w:r>
    </w:p>
    <w:p>
      <w:pPr>
        <w:pStyle w:val="3"/>
        <w:spacing w:before="26" w:line="350" w:lineRule="auto"/>
        <w:ind w:left="112" w:right="184" w:firstLine="420"/>
        <w:jc w:val="both"/>
        <w:rPr>
          <w:rStyle w:val="15"/>
        </w:rPr>
      </w:pPr>
      <w:r>
        <w:rPr>
          <w:rStyle w:val="15"/>
        </w:rPr>
        <w:t>a.若调减差价（即 D1-T1）≤T2，再次在子目最高限价 95%～90%范围（含之前已调低至 95%的投标子目）的投标子目单价中，按照比例（即（D1-T1）÷在子目最高限价 95%～90%范围的所有子目总价&lt;含之前已调低至 95% 的投标子目&gt;）调低。</w:t>
      </w:r>
    </w:p>
    <w:p>
      <w:pPr>
        <w:pStyle w:val="3"/>
        <w:spacing w:before="26" w:line="350" w:lineRule="auto"/>
        <w:ind w:left="112" w:right="185" w:firstLine="420"/>
        <w:jc w:val="both"/>
        <w:rPr>
          <w:rStyle w:val="15"/>
        </w:rPr>
      </w:pPr>
      <w:r>
        <w:rPr>
          <w:rStyle w:val="15"/>
        </w:rPr>
        <w:t>b.若调减差价（即 D1-T1）＞T2，即子目最高限价 95%～90%范围的投标子目单价仍不足以调整消除的，则按前述原则对子目最高限价 90%～85%范围的投标子目单价进行调整，即按子目最高限价每 5 个百分点的比例范围计算调减，以此类推，直至消除严重不平衡报价。</w:t>
      </w:r>
    </w:p>
    <w:p>
      <w:pPr>
        <w:pStyle w:val="9"/>
        <w:spacing w:before="26"/>
        <w:rPr>
          <w:rStyle w:val="15"/>
        </w:rPr>
      </w:pPr>
      <w:r>
        <w:rPr>
          <w:rStyle w:val="15"/>
        </w:rPr>
        <w:t>26. 平安工地</w:t>
      </w:r>
    </w:p>
    <w:p>
      <w:pPr>
        <w:pStyle w:val="3"/>
        <w:spacing w:before="125" w:line="350" w:lineRule="auto"/>
        <w:ind w:left="112" w:right="183" w:firstLine="420"/>
        <w:jc w:val="both"/>
        <w:rPr>
          <w:rStyle w:val="15"/>
        </w:rPr>
      </w:pPr>
      <w:r>
        <w:rPr>
          <w:rStyle w:val="15"/>
        </w:rPr>
        <w:t>承包人必须严格贯彻执行交通运输部、区交通运输厅及发包人上级业务管理单位（贺州市交通运输局）、项目公司关于平安工地建设制定的相关制度、办法等文件规定。并根据《交通运输部关于开展公路水运工程“平安工地”考核评价工作的通知》（交质监发〔2012〕679 号）开展平安工地考核评价工作，确保验收达标，相关费用在相关投标报价中考虑，发包人不另行支付。</w:t>
      </w:r>
    </w:p>
    <w:p>
      <w:pPr>
        <w:pStyle w:val="9"/>
        <w:spacing w:before="28"/>
        <w:rPr>
          <w:rStyle w:val="15"/>
        </w:rPr>
      </w:pPr>
      <w:r>
        <w:rPr>
          <w:rStyle w:val="15"/>
        </w:rPr>
        <w:t>27.清洁工程</w:t>
      </w:r>
    </w:p>
    <w:p>
      <w:pPr>
        <w:pStyle w:val="3"/>
        <w:spacing w:before="123" w:line="350" w:lineRule="auto"/>
        <w:ind w:left="112" w:right="105" w:firstLine="420"/>
        <w:rPr>
          <w:rStyle w:val="15"/>
        </w:rPr>
      </w:pPr>
      <w:r>
        <w:rPr>
          <w:rStyle w:val="15"/>
        </w:rPr>
        <w:t>根据交通运输部、广西壮族自治区交通运输厅有关“标准化”施工以及实施“标准化、规范化、精细化、人本化”四化管理的要求，进一步规范各项目建设管理，全面提高项目建设工程质量、安全管理及文明施工水平。    本项目将实施“清洁工程”（具体实施方案或细则由发包人在工程实施过程中另行制定），对于发包人制定的实施方案或细则以及在施工过程中对方案或细则做出的补充或完善要求无条件执行，相关费用在投标报价中予以体现，发包人不另行支付。</w:t>
      </w:r>
    </w:p>
    <w:p>
      <w:pPr>
        <w:pStyle w:val="9"/>
        <w:numPr>
          <w:ilvl w:val="0"/>
          <w:numId w:val="24"/>
        </w:numPr>
        <w:tabs>
          <w:tab w:val="left" w:pos="639"/>
          <w:tab w:val="left" w:pos="640"/>
        </w:tabs>
        <w:spacing w:before="29" w:after="0" w:line="240" w:lineRule="auto"/>
        <w:ind w:left="640" w:right="0" w:hanging="528"/>
        <w:jc w:val="left"/>
        <w:rPr>
          <w:rStyle w:val="15"/>
        </w:rPr>
      </w:pPr>
      <w:r>
        <w:rPr>
          <w:rStyle w:val="15"/>
        </w:rPr>
        <w:t>科技创新管理</w:t>
      </w:r>
    </w:p>
    <w:p>
      <w:pPr>
        <w:pStyle w:val="3"/>
        <w:spacing w:before="123" w:line="350" w:lineRule="auto"/>
        <w:ind w:left="112" w:right="190" w:firstLine="420"/>
        <w:jc w:val="both"/>
        <w:rPr>
          <w:rStyle w:val="15"/>
        </w:rPr>
      </w:pPr>
      <w:r>
        <w:rPr>
          <w:rStyle w:val="15"/>
        </w:rPr>
        <w:t>发包人以优质工程作为项目建设目标，并结合交通运输部和发包人科技促进生产发展的目标及规划，发包人若在本项目中推广“四新”技术应用及选择科研课题进行研究，承包人必须按照相关要求予以配合实施。</w:t>
      </w:r>
    </w:p>
    <w:p>
      <w:pPr>
        <w:pStyle w:val="9"/>
        <w:numPr>
          <w:ilvl w:val="0"/>
          <w:numId w:val="24"/>
        </w:numPr>
        <w:tabs>
          <w:tab w:val="left" w:pos="532"/>
        </w:tabs>
        <w:spacing w:before="29" w:after="0" w:line="240" w:lineRule="auto"/>
        <w:ind w:left="532" w:right="0" w:hanging="420"/>
        <w:jc w:val="left"/>
        <w:rPr>
          <w:rStyle w:val="15"/>
        </w:rPr>
      </w:pPr>
      <w:r>
        <w:rPr>
          <w:rStyle w:val="15"/>
        </w:rPr>
        <w:t>工程管理办法和实施细则</w:t>
      </w:r>
    </w:p>
    <w:p>
      <w:pPr>
        <w:pStyle w:val="3"/>
        <w:spacing w:before="123" w:line="350" w:lineRule="auto"/>
        <w:ind w:left="112" w:right="105" w:firstLine="420"/>
        <w:jc w:val="both"/>
        <w:rPr>
          <w:rStyle w:val="15"/>
        </w:rPr>
      </w:pPr>
      <w:r>
        <w:rPr>
          <w:rStyle w:val="15"/>
        </w:rPr>
        <w:t>根据项目管理的需要，发包人将在项目实施过程中，制定相应的工程质量管理等考核及违约处罚管理办法，   承包人在项目实施过程中必须按发包人制定的工程管理办法和实施细则执行。</w:t>
      </w:r>
    </w:p>
    <w:p>
      <w:pPr>
        <w:spacing w:after="0" w:line="350" w:lineRule="auto"/>
        <w:jc w:val="both"/>
        <w:sectPr>
          <w:pgSz w:w="11910" w:h="16840"/>
          <w:pgMar w:top="1000" w:right="660" w:bottom="760" w:left="740" w:header="808" w:footer="575" w:gutter="0"/>
          <w:pgNumType w:fmt="decimal"/>
        </w:sectPr>
      </w:pPr>
    </w:p>
    <w:p>
      <w:pPr>
        <w:pStyle w:val="3"/>
        <w:spacing w:before="8"/>
        <w:rPr>
          <w:sz w:val="12"/>
        </w:rPr>
      </w:pPr>
    </w:p>
    <w:p>
      <w:pPr>
        <w:pStyle w:val="9"/>
        <w:spacing w:before="34"/>
      </w:pPr>
      <w:r>
        <w:rPr>
          <w:w w:val="95"/>
        </w:rPr>
        <w:t>附件一：合同协议书</w:t>
      </w:r>
    </w:p>
    <w:p>
      <w:pPr>
        <w:pStyle w:val="3"/>
        <w:rPr>
          <w:b/>
          <w:sz w:val="20"/>
        </w:rPr>
      </w:pPr>
    </w:p>
    <w:p>
      <w:pPr>
        <w:pStyle w:val="3"/>
        <w:spacing w:before="7"/>
        <w:rPr>
          <w:b/>
          <w:sz w:val="17"/>
        </w:rPr>
      </w:pPr>
    </w:p>
    <w:p>
      <w:pPr>
        <w:spacing w:before="35"/>
        <w:ind w:left="4688" w:right="0" w:firstLine="0"/>
        <w:jc w:val="left"/>
        <w:rPr>
          <w:b/>
          <w:sz w:val="21"/>
        </w:rPr>
      </w:pPr>
      <w:r>
        <w:rPr>
          <w:b/>
          <w:w w:val="95"/>
          <w:sz w:val="21"/>
        </w:rPr>
        <w:t>合同协议书</w:t>
      </w:r>
    </w:p>
    <w:p>
      <w:pPr>
        <w:pStyle w:val="3"/>
        <w:rPr>
          <w:b/>
          <w:sz w:val="20"/>
        </w:rPr>
      </w:pPr>
    </w:p>
    <w:p>
      <w:pPr>
        <w:pStyle w:val="3"/>
        <w:spacing w:before="1"/>
        <w:rPr>
          <w:b/>
          <w:sz w:val="20"/>
        </w:rPr>
      </w:pPr>
    </w:p>
    <w:p>
      <w:pPr>
        <w:pStyle w:val="3"/>
        <w:spacing w:line="360" w:lineRule="auto"/>
        <w:ind w:left="12" w:leftChars="0" w:firstLine="518" w:firstLineChars="247"/>
      </w:pPr>
      <w:r>
        <w:rPr>
          <w:rFonts w:hint="eastAsia"/>
          <w:u w:val="single"/>
          <w:lang w:val="en-US" w:eastAsia="zh-CN"/>
        </w:rPr>
        <w:t>富川瑶族自治县交通运输局</w:t>
      </w:r>
      <w:r>
        <w:rPr>
          <w:u w:val="single"/>
        </w:rPr>
        <w:t xml:space="preserve"> </w:t>
      </w:r>
      <w:r>
        <w:t>（发包人名称，以下简称“发包人”）为实施</w:t>
      </w:r>
      <w:r>
        <w:rPr>
          <w:rFonts w:hint="eastAsia"/>
          <w:u w:val="single"/>
          <w:lang w:eastAsia="zh-CN"/>
        </w:rPr>
        <w:t>富川县新华至莲山道路路面修复工程</w:t>
      </w:r>
      <w:r>
        <w:t>（项目名称），已接受</w:t>
      </w:r>
      <w:r>
        <w:rPr>
          <w:u w:val="single"/>
        </w:rPr>
        <w:t xml:space="preserve"> </w:t>
      </w:r>
      <w:r>
        <w:rPr>
          <w:u w:val="single"/>
        </w:rPr>
        <w:tab/>
      </w:r>
      <w:r>
        <w:rPr>
          <w:rStyle w:val="15"/>
        </w:rPr>
        <w:t>（承包人名称，以下简称“承包人”）对该项</w:t>
      </w:r>
      <w:r>
        <w:rPr>
          <w:w w:val="95"/>
        </w:rPr>
        <w:t xml:space="preserve">   </w:t>
      </w:r>
      <w:r>
        <w:t>目的投标。</w:t>
      </w:r>
      <w:r>
        <w:rPr>
          <w:spacing w:val="-14"/>
        </w:rPr>
        <w:t xml:space="preserve"> </w:t>
      </w:r>
      <w:r>
        <w:t>发包人和承包人共同达成如下协议。</w:t>
      </w:r>
    </w:p>
    <w:p>
      <w:pPr>
        <w:pStyle w:val="3"/>
        <w:tabs>
          <w:tab w:val="left" w:pos="1160"/>
          <w:tab w:val="left" w:pos="2264"/>
          <w:tab w:val="left" w:pos="2792"/>
          <w:tab w:val="left" w:pos="3471"/>
          <w:tab w:val="left" w:pos="3582"/>
          <w:tab w:val="left" w:pos="4107"/>
          <w:tab w:val="left" w:pos="4835"/>
          <w:tab w:val="left" w:pos="5161"/>
          <w:tab w:val="left" w:pos="7055"/>
          <w:tab w:val="left" w:pos="8843"/>
          <w:tab w:val="left" w:pos="9685"/>
        </w:tabs>
        <w:spacing w:before="31" w:line="360" w:lineRule="auto"/>
        <w:ind w:left="112" w:right="210" w:firstLine="420"/>
      </w:pPr>
      <w:r>
        <w:t>1．本工程由</w:t>
      </w:r>
      <w:r>
        <w:rPr>
          <w:spacing w:val="-54"/>
        </w:rPr>
        <w:t xml:space="preserve"> </w:t>
      </w:r>
      <w:r>
        <w:t>K</w:t>
      </w:r>
      <w:r>
        <w:rPr>
          <w:u w:val="single"/>
        </w:rPr>
        <w:t xml:space="preserve"> </w:t>
      </w:r>
      <w:r>
        <w:rPr>
          <w:u w:val="single"/>
        </w:rPr>
        <w:tab/>
      </w:r>
      <w:r>
        <w:t>+</w:t>
      </w:r>
      <w:r>
        <w:rPr>
          <w:u w:val="single"/>
        </w:rPr>
        <w:t xml:space="preserve"> </w:t>
      </w:r>
      <w:r>
        <w:rPr>
          <w:u w:val="single"/>
        </w:rPr>
        <w:tab/>
      </w:r>
      <w:r>
        <w:t>至</w:t>
      </w:r>
      <w:r>
        <w:rPr>
          <w:spacing w:val="-51"/>
        </w:rPr>
        <w:t xml:space="preserve"> </w:t>
      </w:r>
      <w:r>
        <w:t>K</w:t>
      </w:r>
      <w:r>
        <w:rPr>
          <w:u w:val="single"/>
        </w:rPr>
        <w:t xml:space="preserve"> </w:t>
      </w:r>
      <w:r>
        <w:rPr>
          <w:u w:val="single"/>
        </w:rPr>
        <w:tab/>
      </w:r>
      <w:r>
        <w:rPr>
          <w:u w:val="single"/>
        </w:rPr>
        <w:tab/>
      </w:r>
      <w:r>
        <w:t>+</w:t>
      </w:r>
      <w:r>
        <w:rPr>
          <w:u w:val="single"/>
        </w:rPr>
        <w:t xml:space="preserve"> </w:t>
      </w:r>
      <w:r>
        <w:rPr>
          <w:u w:val="single"/>
        </w:rPr>
        <w:tab/>
      </w:r>
      <w:r>
        <w:t>，长约</w:t>
      </w:r>
      <w:r>
        <w:rPr>
          <w:u w:val="single"/>
        </w:rPr>
        <w:t xml:space="preserve"> </w:t>
      </w:r>
      <w:r>
        <w:rPr>
          <w:u w:val="single"/>
        </w:rPr>
        <w:tab/>
      </w:r>
      <w:r>
        <w:t>km，公路等级为</w:t>
      </w:r>
      <w:r>
        <w:rPr>
          <w:u w:val="single"/>
        </w:rPr>
        <w:t xml:space="preserve"> </w:t>
      </w:r>
      <w:r>
        <w:rPr>
          <w:u w:val="single"/>
        </w:rPr>
        <w:tab/>
      </w:r>
      <w:r>
        <w:t>，设计时速为</w:t>
      </w:r>
      <w:r>
        <w:rPr>
          <w:u w:val="single"/>
        </w:rPr>
        <w:t xml:space="preserve"> </w:t>
      </w:r>
      <w:r>
        <w:rPr>
          <w:u w:val="single"/>
        </w:rPr>
        <w:tab/>
      </w:r>
      <w:r>
        <w:t>，</w:t>
      </w:r>
      <w:r>
        <w:rPr>
          <w:u w:val="single"/>
        </w:rPr>
        <w:t xml:space="preserve"> </w:t>
      </w:r>
      <w:r>
        <w:rPr>
          <w:u w:val="single"/>
        </w:rPr>
        <w:tab/>
      </w:r>
      <w:r>
        <w:rPr>
          <w:rStyle w:val="15"/>
        </w:rPr>
        <w:t>路面，</w:t>
      </w:r>
      <w:r>
        <w:rPr>
          <w:w w:val="95"/>
        </w:rPr>
        <w:t xml:space="preserve"> </w:t>
      </w:r>
      <w:r>
        <w:t>有桥梁</w:t>
      </w:r>
      <w:r>
        <w:rPr>
          <w:u w:val="single"/>
        </w:rPr>
        <w:t xml:space="preserve"> </w:t>
      </w:r>
      <w:r>
        <w:rPr>
          <w:u w:val="single"/>
        </w:rPr>
        <w:tab/>
      </w:r>
      <w:r>
        <w:rPr>
          <w:u w:val="single"/>
        </w:rPr>
        <w:t>座</w:t>
      </w:r>
      <w:r>
        <w:t>；计长</w:t>
      </w:r>
      <w:r>
        <w:rPr>
          <w:u w:val="single"/>
        </w:rPr>
        <w:t>/</w:t>
      </w:r>
      <w:r>
        <w:t>m；大中桥</w:t>
      </w:r>
      <w:r>
        <w:rPr>
          <w:u w:val="single"/>
        </w:rPr>
        <w:t xml:space="preserve"> </w:t>
      </w:r>
      <w:r>
        <w:rPr>
          <w:u w:val="single"/>
        </w:rPr>
        <w:tab/>
      </w:r>
      <w:r>
        <w:t>座，计长</w:t>
      </w:r>
      <w:r>
        <w:rPr>
          <w:u w:val="single"/>
        </w:rPr>
        <w:t xml:space="preserve"> </w:t>
      </w:r>
      <w:r>
        <w:rPr>
          <w:u w:val="single"/>
        </w:rPr>
        <w:tab/>
      </w:r>
      <w:r>
        <w:rPr>
          <w:rStyle w:val="15"/>
        </w:rPr>
        <w:t>以及其他构造物工程等。</w:t>
      </w:r>
    </w:p>
    <w:p>
      <w:pPr>
        <w:pStyle w:val="17"/>
        <w:numPr>
          <w:ilvl w:val="1"/>
          <w:numId w:val="24"/>
        </w:numPr>
        <w:tabs>
          <w:tab w:val="left" w:pos="847"/>
        </w:tabs>
        <w:spacing w:before="26" w:after="0" w:line="240" w:lineRule="auto"/>
        <w:ind w:left="112" w:right="0" w:firstLine="420"/>
        <w:jc w:val="left"/>
        <w:rPr>
          <w:rStyle w:val="15"/>
        </w:rPr>
      </w:pPr>
      <w:r>
        <w:rPr>
          <w:rStyle w:val="15"/>
        </w:rPr>
        <w:t>下列文件应视为构成合同文件的组成部分：</w:t>
      </w:r>
    </w:p>
    <w:p>
      <w:pPr>
        <w:pStyle w:val="3"/>
        <w:spacing w:before="125"/>
        <w:ind w:left="532"/>
        <w:rPr>
          <w:rStyle w:val="15"/>
        </w:rPr>
      </w:pPr>
      <w:r>
        <w:rPr>
          <w:rStyle w:val="15"/>
        </w:rPr>
        <w:t>（1）本协议书及各种合同附件（含评标期间和合同谈判过程中的澄清文件和补充资料）；</w:t>
      </w:r>
    </w:p>
    <w:p>
      <w:pPr>
        <w:pStyle w:val="3"/>
        <w:spacing w:before="125"/>
        <w:ind w:left="532"/>
        <w:rPr>
          <w:rStyle w:val="15"/>
        </w:rPr>
      </w:pPr>
      <w:r>
        <w:rPr>
          <w:rStyle w:val="15"/>
        </w:rPr>
        <w:t>（2）中标通知书；</w:t>
      </w:r>
    </w:p>
    <w:p>
      <w:pPr>
        <w:pStyle w:val="3"/>
        <w:spacing w:before="123"/>
        <w:ind w:left="532"/>
        <w:rPr>
          <w:rStyle w:val="15"/>
        </w:rPr>
      </w:pPr>
      <w:r>
        <w:rPr>
          <w:rStyle w:val="15"/>
        </w:rPr>
        <w:t>（3）补遗书（如有）；</w:t>
      </w:r>
    </w:p>
    <w:p>
      <w:pPr>
        <w:pStyle w:val="3"/>
        <w:spacing w:before="125"/>
        <w:ind w:left="532"/>
        <w:rPr>
          <w:rStyle w:val="15"/>
        </w:rPr>
      </w:pPr>
      <w:r>
        <w:rPr>
          <w:rStyle w:val="15"/>
        </w:rPr>
        <w:t>（4）投标函及投标函附录；</w:t>
      </w:r>
    </w:p>
    <w:p>
      <w:pPr>
        <w:pStyle w:val="3"/>
        <w:spacing w:before="125"/>
        <w:ind w:left="532"/>
        <w:rPr>
          <w:rStyle w:val="15"/>
        </w:rPr>
      </w:pPr>
      <w:r>
        <w:rPr>
          <w:rStyle w:val="15"/>
        </w:rPr>
        <w:t>（5）项目专用合同条款；</w:t>
      </w:r>
    </w:p>
    <w:p>
      <w:pPr>
        <w:pStyle w:val="3"/>
        <w:spacing w:before="123"/>
        <w:ind w:left="532"/>
        <w:rPr>
          <w:rStyle w:val="15"/>
        </w:rPr>
      </w:pPr>
      <w:r>
        <w:rPr>
          <w:rStyle w:val="15"/>
        </w:rPr>
        <w:t>（6）公路工程专用合同条款；</w:t>
      </w:r>
    </w:p>
    <w:p>
      <w:pPr>
        <w:pStyle w:val="3"/>
        <w:spacing w:before="125"/>
        <w:ind w:left="532"/>
        <w:rPr>
          <w:rStyle w:val="15"/>
        </w:rPr>
      </w:pPr>
      <w:r>
        <w:rPr>
          <w:rStyle w:val="15"/>
        </w:rPr>
        <w:t>（7）通用合同条款；</w:t>
      </w:r>
    </w:p>
    <w:p>
      <w:pPr>
        <w:pStyle w:val="3"/>
        <w:spacing w:before="125"/>
        <w:ind w:left="532"/>
        <w:rPr>
          <w:rStyle w:val="15"/>
        </w:rPr>
      </w:pPr>
      <w:r>
        <w:rPr>
          <w:rStyle w:val="15"/>
        </w:rPr>
        <w:t>（8）技术规范；</w:t>
      </w:r>
    </w:p>
    <w:p>
      <w:pPr>
        <w:pStyle w:val="3"/>
        <w:spacing w:before="123"/>
        <w:ind w:left="532"/>
        <w:rPr>
          <w:rStyle w:val="15"/>
        </w:rPr>
      </w:pPr>
      <w:r>
        <w:rPr>
          <w:rStyle w:val="15"/>
        </w:rPr>
        <w:t>（9）图纸；</w:t>
      </w:r>
    </w:p>
    <w:p>
      <w:pPr>
        <w:pStyle w:val="3"/>
        <w:spacing w:before="125"/>
        <w:ind w:left="532"/>
        <w:rPr>
          <w:rStyle w:val="15"/>
        </w:rPr>
      </w:pPr>
      <w:r>
        <w:rPr>
          <w:rStyle w:val="15"/>
        </w:rPr>
        <w:t>（10）已标价工程量清单；</w:t>
      </w:r>
    </w:p>
    <w:p>
      <w:pPr>
        <w:pStyle w:val="3"/>
        <w:spacing w:before="125"/>
        <w:ind w:left="532"/>
        <w:rPr>
          <w:rStyle w:val="15"/>
        </w:rPr>
      </w:pPr>
      <w:r>
        <w:rPr>
          <w:rStyle w:val="15"/>
        </w:rPr>
        <w:t>（11）承包人有关人员、设备投入的承诺及投标文件中的施工组织设计；</w:t>
      </w:r>
    </w:p>
    <w:p>
      <w:pPr>
        <w:pStyle w:val="3"/>
        <w:spacing w:before="123"/>
        <w:ind w:left="532"/>
        <w:rPr>
          <w:rStyle w:val="15"/>
        </w:rPr>
      </w:pPr>
      <w:r>
        <w:rPr>
          <w:rStyle w:val="15"/>
        </w:rPr>
        <w:t>（12）其他合同文件。</w:t>
      </w:r>
    </w:p>
    <w:p>
      <w:pPr>
        <w:pStyle w:val="17"/>
        <w:numPr>
          <w:ilvl w:val="1"/>
          <w:numId w:val="24"/>
        </w:numPr>
        <w:tabs>
          <w:tab w:val="left" w:pos="847"/>
        </w:tabs>
        <w:spacing w:before="125" w:after="0" w:line="240" w:lineRule="auto"/>
        <w:ind w:left="112" w:right="0" w:firstLine="420"/>
        <w:jc w:val="left"/>
        <w:rPr>
          <w:rStyle w:val="15"/>
        </w:rPr>
      </w:pPr>
      <w:r>
        <w:rPr>
          <w:rStyle w:val="15"/>
        </w:rPr>
        <w:t>上述文件互相补充和解释，如有不明确或不一致之处，以合同约定次序在先者为准。</w:t>
      </w:r>
    </w:p>
    <w:p>
      <w:pPr>
        <w:pStyle w:val="17"/>
        <w:numPr>
          <w:ilvl w:val="1"/>
          <w:numId w:val="24"/>
        </w:numPr>
        <w:tabs>
          <w:tab w:val="left" w:pos="847"/>
        </w:tabs>
        <w:spacing w:before="125" w:after="0" w:line="240" w:lineRule="auto"/>
        <w:ind w:left="112" w:right="0" w:firstLine="420"/>
        <w:jc w:val="left"/>
        <w:rPr>
          <w:rStyle w:val="15"/>
        </w:rPr>
      </w:pPr>
      <w:r>
        <w:rPr>
          <w:rStyle w:val="15"/>
        </w:rPr>
        <w:t>根据工程量清单所列的预计数量和单价或总额价计算的签约合同价为：</w:t>
      </w:r>
    </w:p>
    <w:p>
      <w:pPr>
        <w:pStyle w:val="3"/>
        <w:tabs>
          <w:tab w:val="left" w:pos="3891"/>
          <w:tab w:val="left" w:pos="5255"/>
        </w:tabs>
        <w:spacing w:before="123"/>
        <w:ind w:left="532"/>
      </w:pPr>
      <w:r>
        <w:t>（人民币：大写）</w:t>
      </w:r>
      <w:r>
        <w:rPr>
          <w:u w:val="single"/>
        </w:rPr>
        <w:t xml:space="preserve"> </w:t>
      </w:r>
      <w:r>
        <w:rPr>
          <w:u w:val="single"/>
        </w:rPr>
        <w:tab/>
      </w:r>
      <w:r>
        <w:t>（¥</w:t>
      </w:r>
      <w:r>
        <w:rPr>
          <w:u w:val="single"/>
        </w:rPr>
        <w:t xml:space="preserve"> </w:t>
      </w:r>
      <w:r>
        <w:rPr>
          <w:u w:val="single"/>
        </w:rPr>
        <w:tab/>
      </w:r>
      <w:r>
        <w:rPr>
          <w:spacing w:val="-1"/>
          <w:w w:val="95"/>
        </w:rPr>
        <w:t>）</w:t>
      </w:r>
      <w:r>
        <w:rPr>
          <w:w w:val="95"/>
        </w:rPr>
        <w:t>。</w:t>
      </w:r>
    </w:p>
    <w:p>
      <w:pPr>
        <w:pStyle w:val="17"/>
        <w:numPr>
          <w:ilvl w:val="1"/>
          <w:numId w:val="24"/>
        </w:numPr>
        <w:tabs>
          <w:tab w:val="left" w:pos="847"/>
        </w:tabs>
        <w:spacing w:before="125" w:after="0" w:line="240" w:lineRule="auto"/>
        <w:ind w:left="112" w:right="0" w:firstLine="420"/>
        <w:jc w:val="left"/>
        <w:rPr>
          <w:rStyle w:val="15"/>
        </w:rPr>
      </w:pPr>
      <w:r>
        <w:rPr>
          <w:rStyle w:val="15"/>
        </w:rPr>
        <w:t>派往本项目人员安排：</w:t>
      </w:r>
    </w:p>
    <w:p>
      <w:pPr>
        <w:pStyle w:val="3"/>
        <w:tabs>
          <w:tab w:val="left" w:pos="3260"/>
        </w:tabs>
        <w:spacing w:before="125"/>
        <w:ind w:left="532"/>
      </w:pPr>
      <w:r>
        <w:t>承包人项目经理：</w:t>
      </w:r>
      <w:r>
        <w:rPr>
          <w:u w:val="single"/>
        </w:rPr>
        <w:t xml:space="preserve"> </w:t>
      </w:r>
      <w:r>
        <w:rPr>
          <w:u w:val="single"/>
        </w:rPr>
        <w:tab/>
      </w:r>
      <w:r>
        <w:t>。</w:t>
      </w:r>
    </w:p>
    <w:p>
      <w:pPr>
        <w:pStyle w:val="3"/>
        <w:tabs>
          <w:tab w:val="left" w:pos="4731"/>
        </w:tabs>
        <w:spacing w:before="123"/>
        <w:ind w:left="532"/>
      </w:pPr>
      <w:r>
        <w:t>承包人项目总工（技术负责人）：</w:t>
      </w:r>
      <w:r>
        <w:rPr>
          <w:u w:val="single"/>
        </w:rPr>
        <w:t xml:space="preserve"> </w:t>
      </w:r>
      <w:r>
        <w:rPr>
          <w:u w:val="single"/>
        </w:rPr>
        <w:tab/>
      </w:r>
      <w:r>
        <w:t>。</w:t>
      </w:r>
    </w:p>
    <w:p>
      <w:pPr>
        <w:pStyle w:val="17"/>
        <w:numPr>
          <w:ilvl w:val="1"/>
          <w:numId w:val="24"/>
        </w:numPr>
        <w:tabs>
          <w:tab w:val="left" w:pos="847"/>
          <w:tab w:val="left" w:pos="3155"/>
        </w:tabs>
        <w:spacing w:before="125" w:after="0" w:line="240" w:lineRule="auto"/>
        <w:ind w:left="112" w:right="0" w:firstLine="420"/>
        <w:jc w:val="left"/>
        <w:rPr>
          <w:rStyle w:val="15"/>
        </w:rPr>
      </w:pPr>
      <w:r>
        <w:rPr>
          <w:sz w:val="21"/>
        </w:rPr>
        <w:t>工程质量符合</w:t>
      </w:r>
      <w:r>
        <w:rPr>
          <w:sz w:val="21"/>
          <w:u w:val="single"/>
        </w:rPr>
        <w:t xml:space="preserve"> </w:t>
      </w:r>
      <w:r>
        <w:rPr>
          <w:sz w:val="21"/>
          <w:u w:val="single"/>
        </w:rPr>
        <w:tab/>
      </w:r>
      <w:r>
        <w:rPr>
          <w:rStyle w:val="15"/>
        </w:rPr>
        <w:t>标准。</w:t>
      </w:r>
    </w:p>
    <w:p>
      <w:pPr>
        <w:pStyle w:val="17"/>
        <w:numPr>
          <w:ilvl w:val="1"/>
          <w:numId w:val="24"/>
        </w:numPr>
        <w:tabs>
          <w:tab w:val="left" w:pos="847"/>
        </w:tabs>
        <w:spacing w:before="125" w:after="0" w:line="240" w:lineRule="auto"/>
        <w:ind w:left="112" w:right="0" w:firstLine="420"/>
        <w:jc w:val="left"/>
        <w:rPr>
          <w:rStyle w:val="15"/>
        </w:rPr>
      </w:pPr>
      <w:r>
        <w:rPr>
          <w:rStyle w:val="15"/>
        </w:rPr>
        <w:t>承包人承诺按合同约定承担工程的实施、完成及缺陷修复。</w:t>
      </w:r>
    </w:p>
    <w:p>
      <w:pPr>
        <w:pStyle w:val="17"/>
        <w:numPr>
          <w:ilvl w:val="1"/>
          <w:numId w:val="24"/>
        </w:numPr>
        <w:tabs>
          <w:tab w:val="left" w:pos="847"/>
        </w:tabs>
        <w:spacing w:before="123" w:after="0" w:line="240" w:lineRule="auto"/>
        <w:ind w:left="112" w:right="0" w:firstLine="420"/>
        <w:jc w:val="left"/>
        <w:rPr>
          <w:rStyle w:val="15"/>
        </w:rPr>
      </w:pPr>
      <w:r>
        <w:rPr>
          <w:rStyle w:val="15"/>
        </w:rPr>
        <w:t>发包人承诺按合同约定的条件、时间和方式向承包人支付合同价款。</w:t>
      </w:r>
    </w:p>
    <w:p>
      <w:pPr>
        <w:pStyle w:val="17"/>
        <w:numPr>
          <w:ilvl w:val="1"/>
          <w:numId w:val="24"/>
        </w:numPr>
        <w:tabs>
          <w:tab w:val="left" w:pos="847"/>
          <w:tab w:val="left" w:pos="5466"/>
        </w:tabs>
        <w:spacing w:before="125" w:after="0" w:line="240" w:lineRule="auto"/>
        <w:ind w:left="112" w:right="0" w:firstLine="420"/>
        <w:jc w:val="left"/>
        <w:rPr>
          <w:sz w:val="21"/>
        </w:rPr>
      </w:pPr>
      <w:r>
        <w:rPr>
          <w:sz w:val="21"/>
        </w:rPr>
        <w:t>承包人应按照监理人指示开工，工期为</w:t>
      </w:r>
      <w:r>
        <w:rPr>
          <w:sz w:val="21"/>
          <w:u w:val="single"/>
        </w:rPr>
        <w:t xml:space="preserve"> </w:t>
      </w:r>
      <w:r>
        <w:rPr>
          <w:sz w:val="21"/>
          <w:u w:val="single"/>
        </w:rPr>
        <w:tab/>
      </w:r>
      <w:r>
        <w:rPr>
          <w:rStyle w:val="15"/>
        </w:rPr>
        <w:t>日历天</w:t>
      </w:r>
      <w:r>
        <w:rPr>
          <w:w w:val="95"/>
          <w:sz w:val="21"/>
        </w:rPr>
        <w:t>。</w:t>
      </w:r>
    </w:p>
    <w:p>
      <w:pPr>
        <w:pStyle w:val="17"/>
        <w:numPr>
          <w:ilvl w:val="1"/>
          <w:numId w:val="24"/>
        </w:numPr>
        <w:tabs>
          <w:tab w:val="left" w:pos="952"/>
        </w:tabs>
        <w:spacing w:before="125" w:after="0" w:line="348" w:lineRule="auto"/>
        <w:ind w:left="112" w:right="208" w:firstLine="420"/>
        <w:jc w:val="left"/>
        <w:rPr>
          <w:rStyle w:val="15"/>
        </w:rPr>
      </w:pPr>
      <w:r>
        <w:rPr>
          <w:rStyle w:val="15"/>
        </w:rPr>
        <w:t>本协议书在承包人提供履约担保后，由双方法定代表人或其委托代理人签署并加盖单位章后生效。全部   工程完工后经竣交工验收合格、缺陷责任期满签发缺陷责任终止证书后生效。</w:t>
      </w:r>
    </w:p>
    <w:p>
      <w:pPr>
        <w:pStyle w:val="3"/>
        <w:tabs>
          <w:tab w:val="left" w:pos="2564"/>
          <w:tab w:val="left" w:pos="3757"/>
          <w:tab w:val="left" w:pos="5581"/>
          <w:tab w:val="left" w:pos="6774"/>
          <w:tab w:val="left" w:pos="8809"/>
          <w:tab w:val="left" w:pos="10002"/>
        </w:tabs>
        <w:spacing w:before="31" w:line="350" w:lineRule="auto"/>
        <w:ind w:left="112" w:right="104" w:firstLine="420"/>
        <w:rPr>
          <w:rStyle w:val="15"/>
        </w:rPr>
      </w:pPr>
      <w:r>
        <w:rPr>
          <w:spacing w:val="-23"/>
        </w:rPr>
        <w:t>11．</w:t>
      </w:r>
      <w:r>
        <w:t>本协议书正本</w:t>
      </w:r>
      <w:r>
        <w:rPr>
          <w:u w:val="single"/>
        </w:rPr>
        <w:t xml:space="preserve"> </w:t>
      </w:r>
      <w:r>
        <w:rPr>
          <w:u w:val="single"/>
        </w:rPr>
        <w:tab/>
      </w:r>
      <w:r>
        <w:t>份</w:t>
      </w:r>
      <w:r>
        <w:rPr>
          <w:spacing w:val="-65"/>
        </w:rPr>
        <w:t>、</w:t>
      </w:r>
      <w:r>
        <w:t>副本</w:t>
      </w:r>
      <w:r>
        <w:rPr>
          <w:u w:val="single"/>
        </w:rPr>
        <w:t xml:space="preserve"> </w:t>
      </w:r>
      <w:r>
        <w:rPr>
          <w:u w:val="single"/>
        </w:rPr>
        <w:tab/>
      </w:r>
      <w:r>
        <w:t>份</w:t>
      </w:r>
      <w:r>
        <w:rPr>
          <w:spacing w:val="-68"/>
        </w:rPr>
        <w:t>，</w:t>
      </w:r>
      <w:r>
        <w:t>甲方执正本</w:t>
      </w:r>
      <w:r>
        <w:rPr>
          <w:u w:val="single"/>
        </w:rPr>
        <w:t xml:space="preserve"> </w:t>
      </w:r>
      <w:r>
        <w:rPr>
          <w:u w:val="single"/>
        </w:rPr>
        <w:tab/>
      </w:r>
      <w:r>
        <w:t>份</w:t>
      </w:r>
      <w:r>
        <w:rPr>
          <w:spacing w:val="-68"/>
        </w:rPr>
        <w:t>，</w:t>
      </w:r>
      <w:r>
        <w:t>副本</w:t>
      </w:r>
      <w:r>
        <w:rPr>
          <w:u w:val="single"/>
        </w:rPr>
        <w:t xml:space="preserve"> </w:t>
      </w:r>
      <w:r>
        <w:rPr>
          <w:u w:val="single"/>
        </w:rPr>
        <w:tab/>
      </w:r>
      <w:r>
        <w:t>份</w:t>
      </w:r>
      <w:r>
        <w:rPr>
          <w:spacing w:val="-65"/>
        </w:rPr>
        <w:t>，</w:t>
      </w:r>
      <w:r>
        <w:t>乙方执执正本</w:t>
      </w:r>
      <w:r>
        <w:rPr>
          <w:u w:val="single"/>
        </w:rPr>
        <w:t xml:space="preserve"> </w:t>
      </w:r>
      <w:r>
        <w:rPr>
          <w:u w:val="single"/>
        </w:rPr>
        <w:tab/>
      </w:r>
      <w:r>
        <w:t>份</w:t>
      </w:r>
      <w:r>
        <w:rPr>
          <w:spacing w:val="-65"/>
        </w:rPr>
        <w:t>，</w:t>
      </w:r>
      <w:r>
        <w:t>副本</w:t>
      </w:r>
      <w:r>
        <w:rPr>
          <w:u w:val="single"/>
        </w:rPr>
        <w:t xml:space="preserve"> </w:t>
      </w:r>
      <w:r>
        <w:rPr>
          <w:u w:val="single"/>
        </w:rPr>
        <w:tab/>
      </w:r>
      <w:r>
        <w:rPr>
          <w:spacing w:val="-1"/>
          <w:w w:val="95"/>
        </w:rPr>
        <w:t>份</w:t>
      </w:r>
      <w:r>
        <w:rPr>
          <w:w w:val="95"/>
        </w:rPr>
        <w:t xml:space="preserve">， </w:t>
      </w:r>
      <w:r>
        <w:rPr>
          <w:rStyle w:val="15"/>
        </w:rPr>
        <w:t>采购代理机构执副本壹份，项目所在地公共资源交易中心执副本壹份。当正本与副本的内容不一致时，以正本为</w:t>
      </w:r>
    </w:p>
    <w:p>
      <w:pPr>
        <w:spacing w:after="0" w:line="350" w:lineRule="auto"/>
        <w:rPr>
          <w:rStyle w:val="15"/>
        </w:rPr>
        <w:sectPr>
          <w:pgSz w:w="11910" w:h="16840"/>
          <w:pgMar w:top="1000" w:right="640" w:bottom="760" w:left="740" w:header="808" w:footer="575" w:gutter="0"/>
          <w:pgNumType w:fmt="decimal"/>
        </w:sectPr>
      </w:pPr>
    </w:p>
    <w:p>
      <w:pPr>
        <w:pStyle w:val="3"/>
        <w:spacing w:before="8"/>
        <w:rPr>
          <w:sz w:val="12"/>
        </w:rPr>
      </w:pPr>
    </w:p>
    <w:p>
      <w:pPr>
        <w:pStyle w:val="3"/>
        <w:spacing w:before="34"/>
        <w:ind w:left="112"/>
        <w:rPr>
          <w:rStyle w:val="15"/>
        </w:rPr>
      </w:pPr>
      <w:r>
        <w:rPr>
          <w:rStyle w:val="15"/>
        </w:rPr>
        <w:t>准。</w:t>
      </w:r>
    </w:p>
    <w:p>
      <w:pPr>
        <w:pStyle w:val="3"/>
        <w:spacing w:before="125"/>
        <w:ind w:left="532"/>
        <w:rPr>
          <w:rStyle w:val="15"/>
        </w:rPr>
      </w:pPr>
      <w:r>
        <w:rPr>
          <w:rStyle w:val="15"/>
        </w:rPr>
        <w:t>12.合同未尽事宜，双方另行签订补充协议。补充协议是合同的组成部分。</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8"/>
        </w:rPr>
      </w:pPr>
    </w:p>
    <w:p>
      <w:pPr>
        <w:pStyle w:val="3"/>
        <w:tabs>
          <w:tab w:val="left" w:pos="2631"/>
          <w:tab w:val="left" w:pos="4311"/>
          <w:tab w:val="left" w:pos="7251"/>
        </w:tabs>
        <w:spacing w:before="41" w:line="350" w:lineRule="auto"/>
        <w:ind w:left="112" w:right="1915"/>
      </w:pPr>
      <w:r>
        <w:t>发包人：</w:t>
      </w:r>
      <w:r>
        <w:rPr>
          <w:u w:val="single"/>
        </w:rPr>
        <w:t xml:space="preserve"> </w:t>
      </w:r>
      <w:r>
        <w:rPr>
          <w:u w:val="single"/>
        </w:rPr>
        <w:tab/>
      </w:r>
      <w:r>
        <w:t>（盖单位章）</w:t>
      </w:r>
      <w:r>
        <w:tab/>
      </w:r>
      <w:r>
        <w:t>承包人：</w:t>
      </w:r>
      <w:r>
        <w:rPr>
          <w:u w:val="single"/>
        </w:rPr>
        <w:t xml:space="preserve"> </w:t>
      </w:r>
      <w:r>
        <w:rPr>
          <w:u w:val="single"/>
        </w:rPr>
        <w:tab/>
      </w:r>
      <w:r>
        <w:rPr>
          <w:rStyle w:val="15"/>
        </w:rPr>
        <w:t>（盖单位章</w:t>
      </w:r>
      <w:r>
        <w:rPr>
          <w:w w:val="95"/>
        </w:rPr>
        <w:t xml:space="preserve">） </w:t>
      </w:r>
      <w:r>
        <w:t>法定代表人或其委托代理人：</w:t>
      </w:r>
      <w:r>
        <w:tab/>
      </w:r>
      <w:r>
        <w:rPr>
          <w:rStyle w:val="15"/>
        </w:rPr>
        <w:t>法定代表人或其委托代理人：</w:t>
      </w:r>
    </w:p>
    <w:p>
      <w:pPr>
        <w:pStyle w:val="3"/>
        <w:rPr>
          <w:sz w:val="20"/>
        </w:rPr>
      </w:pPr>
    </w:p>
    <w:p>
      <w:pPr>
        <w:pStyle w:val="3"/>
        <w:tabs>
          <w:tab w:val="left" w:pos="3051"/>
          <w:tab w:val="left" w:pos="4311"/>
          <w:tab w:val="left" w:pos="7671"/>
        </w:tabs>
        <w:spacing w:before="166"/>
        <w:ind w:left="112"/>
      </w:pPr>
      <w:r>
        <w:rPr>
          <w:rFonts w:ascii="Times New Roman" w:eastAsia="Times New Roman"/>
          <w:w w:val="99"/>
          <w:u w:val="single"/>
        </w:rPr>
        <w:t xml:space="preserve"> </w:t>
      </w:r>
      <w:r>
        <w:rPr>
          <w:rFonts w:ascii="Times New Roman" w:eastAsia="Times New Roman"/>
          <w:u w:val="single"/>
        </w:rPr>
        <w:tab/>
      </w:r>
      <w:r>
        <w:t>（签字）</w:t>
      </w:r>
      <w:r>
        <w:tab/>
      </w:r>
      <w:r>
        <w:rPr>
          <w:u w:val="single"/>
        </w:rPr>
        <w:t xml:space="preserve"> </w:t>
      </w:r>
      <w:r>
        <w:rPr>
          <w:u w:val="single"/>
        </w:rPr>
        <w:tab/>
      </w:r>
      <w:r>
        <w:rPr>
          <w:w w:val="95"/>
        </w:rPr>
        <w:t>（</w:t>
      </w:r>
      <w:r>
        <w:rPr>
          <w:rStyle w:val="15"/>
        </w:rPr>
        <w:t>签字）</w:t>
      </w:r>
    </w:p>
    <w:p>
      <w:pPr>
        <w:pStyle w:val="3"/>
        <w:tabs>
          <w:tab w:val="left" w:pos="1895"/>
          <w:tab w:val="left" w:pos="2526"/>
          <w:tab w:val="left" w:pos="3155"/>
          <w:tab w:val="left" w:pos="5991"/>
          <w:tab w:val="left" w:pos="6620"/>
          <w:tab w:val="left" w:pos="7251"/>
          <w:tab w:val="left" w:pos="7880"/>
        </w:tabs>
        <w:spacing w:before="126"/>
        <w:ind w:left="1266"/>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000" w:right="740" w:bottom="760" w:left="740" w:header="808" w:footer="575" w:gutter="0"/>
          <w:pgNumType w:fmt="decimal"/>
        </w:sectPr>
      </w:pPr>
    </w:p>
    <w:p>
      <w:pPr>
        <w:pStyle w:val="3"/>
        <w:spacing w:before="8"/>
        <w:rPr>
          <w:sz w:val="12"/>
        </w:rPr>
      </w:pPr>
    </w:p>
    <w:p>
      <w:pPr>
        <w:pStyle w:val="9"/>
        <w:spacing w:before="34"/>
        <w:rPr>
          <w:rStyle w:val="15"/>
          <w:sz w:val="21"/>
          <w:szCs w:val="21"/>
        </w:rPr>
      </w:pPr>
      <w:r>
        <w:rPr>
          <w:rStyle w:val="15"/>
          <w:sz w:val="21"/>
          <w:szCs w:val="21"/>
        </w:rPr>
        <w:t>附件二：廉政合同</w:t>
      </w:r>
    </w:p>
    <w:p>
      <w:pPr>
        <w:pStyle w:val="3"/>
        <w:rPr>
          <w:rStyle w:val="15"/>
          <w:sz w:val="21"/>
          <w:szCs w:val="21"/>
        </w:rPr>
      </w:pPr>
    </w:p>
    <w:p>
      <w:pPr>
        <w:pStyle w:val="3"/>
        <w:spacing w:before="2"/>
        <w:rPr>
          <w:rStyle w:val="15"/>
          <w:sz w:val="21"/>
          <w:szCs w:val="21"/>
        </w:rPr>
      </w:pPr>
    </w:p>
    <w:p>
      <w:pPr>
        <w:spacing w:before="0"/>
        <w:ind w:left="4792" w:right="0" w:firstLine="0"/>
        <w:jc w:val="left"/>
        <w:rPr>
          <w:rStyle w:val="15"/>
          <w:sz w:val="21"/>
          <w:szCs w:val="21"/>
        </w:rPr>
      </w:pPr>
      <w:r>
        <w:rPr>
          <w:rStyle w:val="15"/>
          <w:sz w:val="21"/>
          <w:szCs w:val="21"/>
        </w:rPr>
        <w:t>廉政合同</w:t>
      </w:r>
    </w:p>
    <w:p>
      <w:pPr>
        <w:pStyle w:val="3"/>
        <w:tabs>
          <w:tab w:val="left" w:pos="4100"/>
        </w:tabs>
        <w:spacing w:before="123" w:line="350" w:lineRule="auto"/>
        <w:ind w:left="112" w:right="208" w:firstLine="420"/>
        <w:jc w:val="both"/>
        <w:rPr>
          <w:rStyle w:val="15"/>
          <w:sz w:val="21"/>
          <w:szCs w:val="21"/>
          <w:u w:val="none"/>
        </w:rPr>
      </w:pPr>
      <w:r>
        <w:rPr>
          <w:rStyle w:val="15"/>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spacing w:val="-29"/>
          <w:w w:val="95"/>
        </w:rPr>
        <w:t>，</w:t>
      </w:r>
      <w:r>
        <w:rPr>
          <w:rStyle w:val="15"/>
          <w:rFonts w:hint="eastAsia"/>
          <w:sz w:val="21"/>
          <w:szCs w:val="21"/>
          <w:u w:val="single"/>
          <w:lang w:eastAsia="zh-CN"/>
        </w:rPr>
        <w:t>富川县新华至莲山道路路面修复工程</w:t>
      </w:r>
      <w:r>
        <w:rPr>
          <w:rStyle w:val="15"/>
          <w:sz w:val="21"/>
          <w:szCs w:val="21"/>
          <w:u w:val="none"/>
        </w:rPr>
        <w:t>项目法人</w:t>
      </w:r>
      <w:r>
        <w:rPr>
          <w:rStyle w:val="15"/>
          <w:rFonts w:hint="eastAsia"/>
          <w:sz w:val="21"/>
          <w:szCs w:val="21"/>
          <w:u w:val="single"/>
          <w:lang w:val="en-US" w:eastAsia="zh-CN"/>
        </w:rPr>
        <w:t>富川瑶族自治县交通运输局</w:t>
      </w:r>
      <w:r>
        <w:rPr>
          <w:rStyle w:val="15"/>
          <w:sz w:val="21"/>
          <w:szCs w:val="21"/>
          <w:u w:val="none"/>
        </w:rPr>
        <w:t>（项目法人名称，以下简称“发包人”）与该项目施工单位</w:t>
      </w:r>
      <w:r>
        <w:rPr>
          <w:rStyle w:val="15"/>
          <w:sz w:val="21"/>
          <w:szCs w:val="21"/>
          <w:u w:val="single"/>
        </w:rPr>
        <w:t xml:space="preserve"> </w:t>
      </w:r>
      <w:r>
        <w:rPr>
          <w:rStyle w:val="15"/>
          <w:sz w:val="21"/>
          <w:szCs w:val="21"/>
          <w:u w:val="single"/>
        </w:rPr>
        <w:tab/>
      </w:r>
      <w:r>
        <w:rPr>
          <w:rStyle w:val="15"/>
          <w:sz w:val="21"/>
          <w:szCs w:val="21"/>
          <w:u w:val="none"/>
        </w:rPr>
        <w:t>（施工单位名称，以下简称“承包人”），特订立如下合同。</w:t>
      </w:r>
    </w:p>
    <w:p>
      <w:pPr>
        <w:pStyle w:val="3"/>
        <w:spacing w:before="29"/>
        <w:ind w:left="532"/>
        <w:rPr>
          <w:rStyle w:val="15"/>
        </w:rPr>
      </w:pPr>
      <w:r>
        <w:rPr>
          <w:rStyle w:val="15"/>
        </w:rPr>
        <w:t>1．发包人和承包人双方的权利和义务</w:t>
      </w:r>
    </w:p>
    <w:p>
      <w:pPr>
        <w:pStyle w:val="3"/>
        <w:spacing w:before="125"/>
        <w:ind w:left="532"/>
      </w:pPr>
      <w:r>
        <w:rPr>
          <w:rStyle w:val="15"/>
        </w:rPr>
        <w:t>（1）严格遵守党的政策规定和国家有关法律法规及交通运输部的有关规定</w:t>
      </w:r>
      <w:r>
        <w:rPr>
          <w:w w:val="95"/>
        </w:rPr>
        <w:t>。</w:t>
      </w:r>
    </w:p>
    <w:p>
      <w:pPr>
        <w:pStyle w:val="3"/>
        <w:spacing w:before="123"/>
        <w:ind w:left="532"/>
        <w:rPr>
          <w:rStyle w:val="15"/>
        </w:rPr>
      </w:pPr>
      <w:r>
        <w:rPr>
          <w:rStyle w:val="15"/>
        </w:rPr>
        <w:t>（2）严格执行</w:t>
      </w:r>
      <w:r>
        <w:rPr>
          <w:rStyle w:val="15"/>
          <w:rFonts w:hint="eastAsia"/>
          <w:u w:val="single"/>
          <w:lang w:eastAsia="zh-CN"/>
        </w:rPr>
        <w:t>富川县新华至莲山道路路面修复工程</w:t>
      </w:r>
      <w:r>
        <w:rPr>
          <w:rStyle w:val="15"/>
        </w:rPr>
        <w:t>施工合同文件，自觉按合同办事。</w:t>
      </w:r>
    </w:p>
    <w:p>
      <w:pPr>
        <w:pStyle w:val="3"/>
        <w:spacing w:before="126" w:line="350" w:lineRule="auto"/>
        <w:ind w:left="112" w:right="104" w:firstLine="420"/>
        <w:rPr>
          <w:rStyle w:val="15"/>
        </w:rPr>
      </w:pPr>
      <w:r>
        <w:rPr>
          <w:rStyle w:val="15"/>
        </w:rPr>
        <w:t>（3）双方的业务活动坚持公开、公正、诚信、透明的原则（法律认定的商业秘密和合同文件另有规定除外），不得损害国家和集体利益，不得违反工程建设管理规章制度。</w:t>
      </w:r>
    </w:p>
    <w:p>
      <w:pPr>
        <w:pStyle w:val="3"/>
        <w:spacing w:before="27"/>
        <w:ind w:left="532"/>
        <w:rPr>
          <w:rStyle w:val="15"/>
        </w:rPr>
      </w:pPr>
      <w:r>
        <w:rPr>
          <w:rStyle w:val="15"/>
        </w:rPr>
        <w:t>（4）建立健全廉政制度，开展廉政教育，设立廉政告示牌，公布举报电话，监督并认真查处违法违纪行为。</w:t>
      </w:r>
    </w:p>
    <w:p>
      <w:pPr>
        <w:pStyle w:val="3"/>
        <w:spacing w:before="126"/>
        <w:ind w:left="532"/>
        <w:rPr>
          <w:rStyle w:val="15"/>
        </w:rPr>
      </w:pPr>
      <w:r>
        <w:rPr>
          <w:rStyle w:val="15"/>
        </w:rPr>
        <w:t>（5）发现对方在业务活动中有违反廉政规定的行为，有及时提醒对方纠正的权利和义务。</w:t>
      </w:r>
    </w:p>
    <w:p>
      <w:pPr>
        <w:pStyle w:val="3"/>
        <w:spacing w:before="126" w:line="348" w:lineRule="auto"/>
        <w:ind w:left="112" w:right="210" w:firstLine="420"/>
        <w:rPr>
          <w:rStyle w:val="15"/>
        </w:rPr>
      </w:pPr>
      <w:r>
        <w:t>（6）发现对方严重违反本合同义务条款的行为，有向其上级有关部门举报、建议给予处理并要求告知处理</w:t>
      </w:r>
      <w:r>
        <w:rPr>
          <w:rStyle w:val="15"/>
        </w:rPr>
        <w:t>结果的权利。</w:t>
      </w:r>
    </w:p>
    <w:p>
      <w:pPr>
        <w:pStyle w:val="3"/>
        <w:spacing w:before="31"/>
        <w:ind w:left="532"/>
        <w:rPr>
          <w:rStyle w:val="15"/>
        </w:rPr>
      </w:pPr>
      <w:r>
        <w:rPr>
          <w:rStyle w:val="15"/>
        </w:rPr>
        <w:t>2．发包人的义务</w:t>
      </w:r>
    </w:p>
    <w:p>
      <w:pPr>
        <w:pStyle w:val="3"/>
        <w:spacing w:before="125" w:line="348" w:lineRule="auto"/>
        <w:ind w:left="112" w:right="210" w:firstLine="420"/>
        <w:rPr>
          <w:rStyle w:val="15"/>
        </w:rPr>
      </w:pPr>
      <w:r>
        <w:rPr>
          <w:rStyle w:val="15"/>
        </w:rPr>
        <w:t>（1）发包人及其工作人员不得索要或接受承包人的礼金、有价证券和贵重物品，不得让承包人报销任何应由发包人或发包人工作人员个人支付的费用等。</w:t>
      </w:r>
    </w:p>
    <w:p>
      <w:pPr>
        <w:pStyle w:val="3"/>
        <w:spacing w:before="31" w:line="350" w:lineRule="auto"/>
        <w:ind w:left="112" w:right="210" w:firstLine="420"/>
        <w:rPr>
          <w:rStyle w:val="15"/>
        </w:rPr>
      </w:pPr>
      <w:r>
        <w:rPr>
          <w:rStyle w:val="15"/>
        </w:rPr>
        <w:t>（2）发包人工作人员不得参加承包人安排的超标准宴请和娱乐活动；不得接受承包人提供的通讯工具、交通工具和高档办公用品等。</w:t>
      </w:r>
    </w:p>
    <w:p>
      <w:pPr>
        <w:pStyle w:val="3"/>
        <w:spacing w:before="27" w:line="350" w:lineRule="auto"/>
        <w:ind w:left="112" w:right="210" w:firstLine="420"/>
        <w:rPr>
          <w:rStyle w:val="15"/>
        </w:rPr>
      </w:pPr>
      <w:r>
        <w:rPr>
          <w:rStyle w:val="15"/>
        </w:rPr>
        <w:t>（3）发包人及其工作人员不利要求或者接受承包人为其住房装修、婚丧嫁娶活动、配偶子女的工作安排以及出国出境、旅游等提供方便等。</w:t>
      </w:r>
    </w:p>
    <w:p>
      <w:pPr>
        <w:pStyle w:val="3"/>
        <w:spacing w:before="29" w:line="348" w:lineRule="auto"/>
        <w:ind w:left="112" w:right="210" w:firstLine="420"/>
        <w:rPr>
          <w:rStyle w:val="15"/>
        </w:rPr>
      </w:pPr>
      <w:r>
        <w:rPr>
          <w:rStyle w:val="15"/>
        </w:rPr>
        <w:t>（4）发包人工作人员及其配偶、子女不得从事与发包人工作有关的材料设备供应、工程分包、劳务等经济活动等。</w:t>
      </w:r>
    </w:p>
    <w:p>
      <w:pPr>
        <w:pStyle w:val="3"/>
        <w:spacing w:before="31" w:line="350" w:lineRule="auto"/>
        <w:ind w:left="112" w:right="210" w:firstLine="420"/>
        <w:rPr>
          <w:rStyle w:val="15"/>
        </w:rPr>
      </w:pPr>
      <w:r>
        <w:rPr>
          <w:rStyle w:val="15"/>
        </w:rPr>
        <w:t>（5）发包人及期工作人员不得以任何理由向承包人推荐分包单位或推销材料，不得要求承包人购买合同规定外的材料和设备。</w:t>
      </w:r>
    </w:p>
    <w:p>
      <w:pPr>
        <w:pStyle w:val="3"/>
        <w:spacing w:before="27" w:line="350" w:lineRule="auto"/>
        <w:ind w:left="112" w:right="210" w:firstLine="420"/>
        <w:rPr>
          <w:rStyle w:val="15"/>
        </w:rPr>
      </w:pPr>
      <w:r>
        <w:rPr>
          <w:rStyle w:val="15"/>
        </w:rPr>
        <w:t>（6）发包人工作人员要秉公办事，不准营私舞弊，不准利用职权从事各种个人有偿中介活动和安排个人施工队伍。</w:t>
      </w:r>
    </w:p>
    <w:p>
      <w:pPr>
        <w:pStyle w:val="3"/>
        <w:spacing w:before="29"/>
        <w:ind w:left="532"/>
        <w:rPr>
          <w:rStyle w:val="15"/>
        </w:rPr>
      </w:pPr>
      <w:r>
        <w:rPr>
          <w:rStyle w:val="15"/>
        </w:rPr>
        <w:t>3．承包人的义务</w:t>
      </w:r>
    </w:p>
    <w:p>
      <w:pPr>
        <w:pStyle w:val="3"/>
        <w:spacing w:before="123"/>
        <w:ind w:left="532"/>
        <w:rPr>
          <w:rStyle w:val="15"/>
        </w:rPr>
      </w:pPr>
      <w:r>
        <w:rPr>
          <w:rStyle w:val="15"/>
        </w:rPr>
        <w:t>（1）承包人不得以任何理由向发包人及其工作人员行贿或馈赠礼金、有价证券、贵重礼品。</w:t>
      </w:r>
    </w:p>
    <w:p>
      <w:pPr>
        <w:pStyle w:val="3"/>
        <w:spacing w:before="126"/>
        <w:ind w:left="532"/>
        <w:rPr>
          <w:rStyle w:val="15"/>
        </w:rPr>
      </w:pPr>
      <w:r>
        <w:rPr>
          <w:rStyle w:val="15"/>
        </w:rPr>
        <w:t>（2）承包人不得以任何名义为发包人及其工作人员报销应由发包人单位或个人支付的任何费用。</w:t>
      </w:r>
    </w:p>
    <w:p>
      <w:pPr>
        <w:pStyle w:val="3"/>
        <w:spacing w:before="126"/>
        <w:ind w:left="532"/>
        <w:rPr>
          <w:rStyle w:val="15"/>
        </w:rPr>
      </w:pPr>
      <w:r>
        <w:rPr>
          <w:rStyle w:val="15"/>
        </w:rPr>
        <w:t>（3）承包人不得以任何理由安排发包人工作人员参加超标准宴请及娱乐活动。</w:t>
      </w:r>
    </w:p>
    <w:p>
      <w:pPr>
        <w:pStyle w:val="3"/>
        <w:spacing w:before="123"/>
        <w:ind w:left="532"/>
        <w:rPr>
          <w:rStyle w:val="15"/>
        </w:rPr>
      </w:pPr>
      <w:r>
        <w:rPr>
          <w:rStyle w:val="15"/>
        </w:rPr>
        <w:t>（4）承包人不得为发包人单位和个人购置或提供通讯工具、交通工具和高档办公用品等。</w:t>
      </w:r>
    </w:p>
    <w:p>
      <w:pPr>
        <w:pStyle w:val="3"/>
        <w:spacing w:before="125"/>
        <w:ind w:left="532"/>
        <w:rPr>
          <w:rStyle w:val="15"/>
        </w:rPr>
      </w:pPr>
      <w:r>
        <w:rPr>
          <w:rStyle w:val="15"/>
        </w:rPr>
        <w:t>4．违约责任</w:t>
      </w:r>
    </w:p>
    <w:p>
      <w:pPr>
        <w:pStyle w:val="3"/>
        <w:spacing w:before="125"/>
        <w:ind w:left="532"/>
      </w:pPr>
      <w:r>
        <w:t>（1）发包人及其工作人员违反本合同第 1、2 条，按管理权限，依据有关规定给予党纪、政纪或组织处理；</w:t>
      </w:r>
    </w:p>
    <w:p>
      <w:pPr>
        <w:spacing w:after="0"/>
        <w:sectPr>
          <w:pgSz w:w="11910" w:h="16840"/>
          <w:pgMar w:top="1000" w:right="640" w:bottom="760" w:left="740" w:header="808" w:footer="575" w:gutter="0"/>
          <w:pgNumType w:fmt="decimal"/>
        </w:sectPr>
      </w:pPr>
    </w:p>
    <w:p>
      <w:pPr>
        <w:pStyle w:val="3"/>
        <w:spacing w:before="8"/>
        <w:rPr>
          <w:sz w:val="12"/>
        </w:rPr>
      </w:pPr>
    </w:p>
    <w:p>
      <w:pPr>
        <w:pStyle w:val="3"/>
        <w:spacing w:before="34"/>
        <w:ind w:left="112"/>
        <w:rPr>
          <w:rStyle w:val="15"/>
        </w:rPr>
      </w:pPr>
      <w:r>
        <w:rPr>
          <w:rStyle w:val="15"/>
        </w:rPr>
        <w:t>涉嫌犯罪的，移交司法机关追究刑事责任；给承包人单位造成经济损失的，应予以赔偿。</w:t>
      </w:r>
    </w:p>
    <w:p>
      <w:pPr>
        <w:pStyle w:val="3"/>
        <w:spacing w:before="125" w:line="348" w:lineRule="auto"/>
        <w:ind w:left="112" w:right="105" w:firstLine="420"/>
        <w:rPr>
          <w:rStyle w:val="15"/>
        </w:rPr>
      </w:pPr>
      <w:r>
        <w:rPr>
          <w:rStyle w:val="15"/>
        </w:rPr>
        <w:t>（2）承包人及其工作人员违反本合同第 1、3 条，按管理权限，依据有关规定给予党纪、政纪或组织处理； 给发包人单位造成经济损失的，应予以赔偿；情节严重的，发包人建议交通主管部门给予承包人一至三年内不得进入其主管的公路建设市场的处罚。</w:t>
      </w:r>
    </w:p>
    <w:p>
      <w:pPr>
        <w:pStyle w:val="3"/>
        <w:spacing w:before="31" w:line="348" w:lineRule="auto"/>
        <w:ind w:left="112" w:right="188" w:firstLine="420"/>
        <w:jc w:val="both"/>
        <w:rPr>
          <w:rStyle w:val="15"/>
        </w:rPr>
      </w:pPr>
      <w:r>
        <w:rPr>
          <w:rStyle w:val="15"/>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3"/>
        <w:spacing w:before="31"/>
        <w:ind w:left="532"/>
        <w:rPr>
          <w:rStyle w:val="15"/>
        </w:rPr>
      </w:pPr>
      <w:r>
        <w:rPr>
          <w:rStyle w:val="15"/>
        </w:rPr>
        <w:t>6.本合同有效期为发包人和承包人签署之日起至该工程项目竣工验收后止。</w:t>
      </w:r>
    </w:p>
    <w:p>
      <w:pPr>
        <w:pStyle w:val="3"/>
        <w:tabs>
          <w:tab w:val="left" w:pos="7579"/>
        </w:tabs>
        <w:spacing w:before="125" w:line="348" w:lineRule="auto"/>
        <w:ind w:left="112" w:right="190" w:firstLine="420"/>
        <w:rPr>
          <w:rStyle w:val="15"/>
        </w:rPr>
      </w:pPr>
      <w:r>
        <w:t>7．本合同作为</w:t>
      </w:r>
      <w:r>
        <w:rPr>
          <w:rFonts w:hint="eastAsia"/>
          <w:u w:val="single"/>
          <w:lang w:eastAsia="zh-CN"/>
        </w:rPr>
        <w:t>富川县新华至莲山道路路面修复工程</w:t>
      </w:r>
      <w:r>
        <w:rPr>
          <w:u w:val="single"/>
        </w:rPr>
        <w:t xml:space="preserve"> </w:t>
      </w:r>
      <w:r>
        <w:t>（项目名称）</w:t>
      </w:r>
      <w:r>
        <w:rPr>
          <w:spacing w:val="102"/>
          <w:u w:val="single"/>
        </w:rPr>
        <w:t xml:space="preserve"> </w:t>
      </w:r>
      <w:r>
        <w:rPr>
          <w:u w:val="single"/>
        </w:rPr>
        <w:t>/</w:t>
      </w:r>
      <w:r>
        <w:rPr>
          <w:u w:val="single"/>
        </w:rPr>
        <w:tab/>
      </w:r>
      <w:r>
        <w:rPr>
          <w:rStyle w:val="15"/>
        </w:rPr>
        <w:t>标段施工合同的附件，与工程  施工合同具有同等的法律效力，经合同双方签署后立即生效。</w:t>
      </w:r>
    </w:p>
    <w:p>
      <w:pPr>
        <w:pStyle w:val="3"/>
        <w:spacing w:before="30"/>
        <w:ind w:left="532"/>
        <w:rPr>
          <w:rStyle w:val="15"/>
        </w:rPr>
      </w:pPr>
      <w:r>
        <w:rPr>
          <w:rStyle w:val="15"/>
        </w:rPr>
        <w:t>8．本合同一式四份，由发包人和承包人各执—份，送交发包人和承包人的监督单位各一份</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tabs>
          <w:tab w:val="left" w:pos="2631"/>
          <w:tab w:val="left" w:pos="4311"/>
          <w:tab w:val="left" w:pos="6831"/>
        </w:tabs>
        <w:spacing w:before="153" w:line="350" w:lineRule="auto"/>
        <w:ind w:left="112" w:right="2415"/>
        <w:rPr>
          <w:rStyle w:val="15"/>
        </w:rPr>
      </w:pPr>
      <w:r>
        <w:t>发包人：</w:t>
      </w:r>
      <w:r>
        <w:rPr>
          <w:u w:val="single"/>
        </w:rPr>
        <w:t xml:space="preserve"> </w:t>
      </w:r>
      <w:r>
        <w:rPr>
          <w:u w:val="single"/>
        </w:rPr>
        <w:tab/>
      </w:r>
      <w:r>
        <w:t>（盖单位章）</w:t>
      </w:r>
      <w:r>
        <w:tab/>
      </w:r>
      <w:r>
        <w:t>承包人：</w:t>
      </w:r>
      <w:r>
        <w:rPr>
          <w:u w:val="single"/>
        </w:rPr>
        <w:t xml:space="preserve"> </w:t>
      </w:r>
      <w:r>
        <w:rPr>
          <w:u w:val="single"/>
        </w:rPr>
        <w:tab/>
      </w:r>
      <w:r>
        <w:rPr>
          <w:rStyle w:val="15"/>
        </w:rPr>
        <w:t xml:space="preserve">（盖单位章） </w:t>
      </w:r>
      <w:r>
        <w:t>法定代表人或其委托代理人：</w:t>
      </w:r>
      <w:r>
        <w:tab/>
      </w:r>
      <w:r>
        <w:rPr>
          <w:rStyle w:val="15"/>
        </w:rPr>
        <w:t>法定代表人或其委托代理人：</w:t>
      </w:r>
    </w:p>
    <w:p>
      <w:pPr>
        <w:pStyle w:val="3"/>
        <w:spacing w:before="6"/>
        <w:rPr>
          <w:sz w:val="29"/>
        </w:rPr>
      </w:pPr>
    </w:p>
    <w:p>
      <w:pPr>
        <w:pStyle w:val="3"/>
        <w:tabs>
          <w:tab w:val="left" w:pos="3051"/>
          <w:tab w:val="left" w:pos="4311"/>
          <w:tab w:val="left" w:pos="7671"/>
        </w:tabs>
        <w:spacing w:before="42"/>
        <w:ind w:left="112"/>
      </w:pPr>
      <w:r>
        <w:rPr>
          <w:rFonts w:ascii="Times New Roman" w:eastAsia="Times New Roman"/>
          <w:w w:val="99"/>
          <w:u w:val="single"/>
        </w:rPr>
        <w:t xml:space="preserve"> </w:t>
      </w:r>
      <w:r>
        <w:rPr>
          <w:rFonts w:ascii="Times New Roman" w:eastAsia="Times New Roman"/>
          <w:u w:val="single"/>
        </w:rPr>
        <w:tab/>
      </w:r>
      <w:r>
        <w:t>（签字）</w:t>
      </w:r>
      <w:r>
        <w:tab/>
      </w:r>
      <w:r>
        <w:rPr>
          <w:u w:val="single"/>
        </w:rPr>
        <w:t xml:space="preserve"> </w:t>
      </w:r>
      <w:r>
        <w:rPr>
          <w:u w:val="single"/>
        </w:rPr>
        <w:tab/>
      </w:r>
      <w:r>
        <w:rPr>
          <w:rStyle w:val="15"/>
        </w:rPr>
        <w:t>（签字）</w:t>
      </w:r>
    </w:p>
    <w:p>
      <w:pPr>
        <w:pStyle w:val="3"/>
        <w:tabs>
          <w:tab w:val="left" w:pos="1895"/>
          <w:tab w:val="left" w:pos="2526"/>
          <w:tab w:val="left" w:pos="3155"/>
          <w:tab w:val="left" w:pos="4415"/>
          <w:tab w:val="left" w:pos="5991"/>
          <w:tab w:val="left" w:pos="6620"/>
          <w:tab w:val="left" w:pos="7251"/>
          <w:tab w:val="left" w:pos="7880"/>
        </w:tabs>
        <w:spacing w:before="126" w:line="698" w:lineRule="auto"/>
        <w:ind w:left="112" w:right="2206" w:firstLine="1154"/>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 发包人监督单位：</w:t>
      </w:r>
      <w:r>
        <w:rPr>
          <w:u w:val="single"/>
        </w:rPr>
        <w:t>（全称）</w:t>
      </w:r>
      <w:r>
        <w:rPr>
          <w:spacing w:val="-6"/>
          <w:u w:val="single"/>
        </w:rPr>
        <w:t xml:space="preserve"> </w:t>
      </w:r>
      <w:r>
        <w:rPr>
          <w:u w:val="single"/>
        </w:rPr>
        <w:t>（盖单位章）</w:t>
      </w:r>
      <w:r>
        <w:tab/>
      </w:r>
      <w:r>
        <w:t>承包人监督单位：</w:t>
      </w:r>
      <w:r>
        <w:rPr>
          <w:u w:val="single"/>
        </w:rPr>
        <w:t>（全称）</w:t>
      </w:r>
      <w:r>
        <w:rPr>
          <w:spacing w:val="-12"/>
          <w:u w:val="single"/>
        </w:rPr>
        <w:t xml:space="preserve"> </w:t>
      </w:r>
      <w:r>
        <w:rPr>
          <w:u w:val="single"/>
        </w:rPr>
        <w:t>（盖单位章）</w:t>
      </w:r>
    </w:p>
    <w:p>
      <w:pPr>
        <w:spacing w:after="0" w:line="698" w:lineRule="auto"/>
        <w:sectPr>
          <w:pgSz w:w="11910" w:h="16840"/>
          <w:pgMar w:top="1000" w:right="660" w:bottom="760" w:left="740" w:header="808" w:footer="575" w:gutter="0"/>
          <w:pgNumType w:fmt="decimal"/>
        </w:sectPr>
      </w:pPr>
    </w:p>
    <w:p>
      <w:pPr>
        <w:pStyle w:val="3"/>
        <w:spacing w:before="8"/>
        <w:rPr>
          <w:sz w:val="12"/>
        </w:rPr>
      </w:pPr>
    </w:p>
    <w:p>
      <w:pPr>
        <w:pStyle w:val="9"/>
        <w:spacing w:before="34"/>
        <w:rPr>
          <w:rStyle w:val="15"/>
          <w:b/>
          <w:bCs/>
          <w:sz w:val="21"/>
          <w:szCs w:val="21"/>
        </w:rPr>
      </w:pPr>
      <w:r>
        <w:rPr>
          <w:rStyle w:val="15"/>
          <w:b/>
          <w:bCs/>
          <w:sz w:val="21"/>
          <w:szCs w:val="21"/>
        </w:rPr>
        <w:t>附件三：安全生产合同</w:t>
      </w:r>
    </w:p>
    <w:p>
      <w:pPr>
        <w:pStyle w:val="3"/>
        <w:rPr>
          <w:rStyle w:val="15"/>
          <w:b/>
          <w:bCs/>
          <w:sz w:val="21"/>
          <w:szCs w:val="21"/>
        </w:rPr>
      </w:pPr>
    </w:p>
    <w:p>
      <w:pPr>
        <w:pStyle w:val="3"/>
        <w:spacing w:before="7"/>
        <w:rPr>
          <w:rStyle w:val="15"/>
          <w:b/>
          <w:bCs/>
          <w:sz w:val="21"/>
          <w:szCs w:val="21"/>
        </w:rPr>
      </w:pPr>
    </w:p>
    <w:p>
      <w:pPr>
        <w:spacing w:before="35"/>
        <w:ind w:left="4583" w:right="0" w:firstLine="0"/>
        <w:jc w:val="left"/>
        <w:rPr>
          <w:rStyle w:val="15"/>
          <w:b/>
          <w:bCs/>
          <w:sz w:val="21"/>
          <w:szCs w:val="21"/>
        </w:rPr>
      </w:pPr>
      <w:r>
        <w:rPr>
          <w:rStyle w:val="15"/>
          <w:b/>
          <w:bCs/>
          <w:sz w:val="21"/>
          <w:szCs w:val="21"/>
        </w:rPr>
        <w:t>安全生产合同</w:t>
      </w:r>
    </w:p>
    <w:p>
      <w:pPr>
        <w:pStyle w:val="3"/>
        <w:rPr>
          <w:b/>
          <w:sz w:val="20"/>
        </w:rPr>
      </w:pPr>
    </w:p>
    <w:p>
      <w:pPr>
        <w:pStyle w:val="3"/>
        <w:spacing w:before="1"/>
        <w:rPr>
          <w:b/>
          <w:sz w:val="20"/>
        </w:rPr>
      </w:pPr>
    </w:p>
    <w:p>
      <w:pPr>
        <w:pStyle w:val="3"/>
        <w:spacing w:line="350" w:lineRule="auto"/>
        <w:ind w:left="112" w:right="210" w:firstLine="420"/>
      </w:pPr>
      <w:r>
        <w:t>为在</w:t>
      </w:r>
      <w:r>
        <w:rPr>
          <w:spacing w:val="-4"/>
          <w:u w:val="single"/>
        </w:rPr>
        <w:t xml:space="preserve"> </w:t>
      </w:r>
      <w:r>
        <w:rPr>
          <w:rFonts w:hint="eastAsia"/>
          <w:spacing w:val="-4"/>
          <w:u w:val="single"/>
          <w:lang w:eastAsia="zh-CN"/>
        </w:rPr>
        <w:t>富川县新华至莲山道路路面修复工程</w:t>
      </w:r>
      <w:r>
        <w:rPr>
          <w:spacing w:val="-4"/>
          <w:u w:val="single"/>
        </w:rPr>
        <w:t xml:space="preserve"> </w:t>
      </w:r>
      <w:r>
        <w:rPr>
          <w:spacing w:val="-5"/>
        </w:rPr>
        <w:t>施工合同的实施过程中创造安全、高效的施工环境，切实搞</w:t>
      </w:r>
      <w:r>
        <w:t>好本项目的安全管理工作，本项目发包人</w:t>
      </w:r>
      <w:r>
        <w:rPr>
          <w:spacing w:val="0"/>
          <w:u w:val="single"/>
        </w:rPr>
        <w:t xml:space="preserve"> </w:t>
      </w:r>
      <w:r>
        <w:rPr>
          <w:rFonts w:hint="eastAsia"/>
          <w:spacing w:val="0"/>
          <w:u w:val="single"/>
          <w:lang w:val="en-US" w:eastAsia="zh-CN"/>
        </w:rPr>
        <w:t>富川瑶族自治县交通运输局</w:t>
      </w:r>
      <w:r>
        <w:rPr>
          <w:spacing w:val="0"/>
          <w:u w:val="single"/>
        </w:rPr>
        <w:t xml:space="preserve"> </w:t>
      </w:r>
      <w:r>
        <w:rPr>
          <w:spacing w:val="2"/>
        </w:rPr>
        <w:t>（</w:t>
      </w:r>
      <w:r>
        <w:t>发包人名称，以下简称“发包人</w:t>
      </w:r>
      <w:r>
        <w:rPr>
          <w:spacing w:val="2"/>
        </w:rPr>
        <w:t>”）</w:t>
      </w:r>
      <w:r>
        <w:t>与承包人</w:t>
      </w:r>
    </w:p>
    <w:p>
      <w:pPr>
        <w:pStyle w:val="3"/>
        <w:spacing w:before="27"/>
        <w:ind w:left="112"/>
        <w:rPr>
          <w:rStyle w:val="15"/>
        </w:rPr>
      </w:pPr>
      <w:r>
        <w:rPr>
          <w:rStyle w:val="15"/>
        </w:rPr>
        <w:t>（承包人名称，以下简称“承包人”）特此签订安全生产合同：</w:t>
      </w:r>
    </w:p>
    <w:p>
      <w:pPr>
        <w:pStyle w:val="3"/>
        <w:spacing w:before="126"/>
        <w:ind w:left="532"/>
        <w:rPr>
          <w:rStyle w:val="15"/>
        </w:rPr>
      </w:pPr>
      <w:r>
        <w:rPr>
          <w:rStyle w:val="15"/>
        </w:rPr>
        <w:t>1.发包人职责</w:t>
      </w:r>
    </w:p>
    <w:p>
      <w:pPr>
        <w:pStyle w:val="3"/>
        <w:spacing w:before="126"/>
        <w:ind w:left="532"/>
        <w:rPr>
          <w:rStyle w:val="15"/>
        </w:rPr>
      </w:pPr>
      <w:r>
        <w:rPr>
          <w:rStyle w:val="15"/>
        </w:rPr>
        <w:t>（1）严格遵守国家有关安全生产的法律法规，认真执行工程承包合同中的有关安全要求。</w:t>
      </w:r>
    </w:p>
    <w:p>
      <w:pPr>
        <w:pStyle w:val="3"/>
        <w:spacing w:before="123" w:line="350" w:lineRule="auto"/>
        <w:ind w:left="112" w:right="210" w:firstLine="420"/>
        <w:rPr>
          <w:rStyle w:val="15"/>
        </w:rPr>
      </w:pPr>
      <w:r>
        <w:rPr>
          <w:rStyle w:val="15"/>
        </w:rPr>
        <w:t>（2）按照“安全第一、预防为主”和坚持“管生产必须管安全”的原则进行安全生产管理，做到生产与安全工作同时计划、布置、检查、总结和评比。</w:t>
      </w:r>
    </w:p>
    <w:p>
      <w:pPr>
        <w:pStyle w:val="3"/>
        <w:spacing w:before="28" w:line="348" w:lineRule="auto"/>
        <w:ind w:left="112" w:right="102" w:firstLine="420"/>
        <w:rPr>
          <w:rStyle w:val="15"/>
        </w:rPr>
      </w:pPr>
      <w:r>
        <w:rPr>
          <w:rStyle w:val="15"/>
        </w:rPr>
        <w:t>（3）重要的安全设施必须坚持与主体工程“三同时”的原则，即：同时设计、审批，同时施工，同时验收，    投入使用。</w:t>
      </w:r>
    </w:p>
    <w:p>
      <w:pPr>
        <w:pStyle w:val="3"/>
        <w:spacing w:before="31"/>
        <w:ind w:left="532"/>
        <w:rPr>
          <w:rStyle w:val="15"/>
        </w:rPr>
      </w:pPr>
      <w:r>
        <w:rPr>
          <w:rStyle w:val="15"/>
        </w:rPr>
        <w:t>（4）定期召开安全生产调度会，及时传达中央及地方有关安全生产的精神。</w:t>
      </w:r>
    </w:p>
    <w:p>
      <w:pPr>
        <w:pStyle w:val="3"/>
        <w:spacing w:before="126"/>
        <w:ind w:left="532"/>
        <w:rPr>
          <w:rStyle w:val="15"/>
        </w:rPr>
      </w:pPr>
      <w:r>
        <w:rPr>
          <w:rStyle w:val="15"/>
        </w:rPr>
        <w:t>（5）组织对承包人施工现场安全生产检查，监督承包人及时处理发现的各种安全隐患。</w:t>
      </w:r>
    </w:p>
    <w:p>
      <w:pPr>
        <w:pStyle w:val="3"/>
        <w:spacing w:before="123"/>
        <w:ind w:left="532"/>
        <w:rPr>
          <w:rStyle w:val="15"/>
        </w:rPr>
      </w:pPr>
      <w:r>
        <w:rPr>
          <w:rStyle w:val="15"/>
        </w:rPr>
        <w:t>2.承包人职责</w:t>
      </w:r>
    </w:p>
    <w:p>
      <w:pPr>
        <w:pStyle w:val="3"/>
        <w:spacing w:before="125" w:line="348" w:lineRule="auto"/>
        <w:ind w:left="112" w:right="205" w:firstLine="420"/>
        <w:jc w:val="both"/>
        <w:rPr>
          <w:rStyle w:val="15"/>
        </w:rPr>
      </w:pPr>
      <w:r>
        <w:rPr>
          <w:rStyle w:val="15"/>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pStyle w:val="3"/>
        <w:spacing w:before="31" w:line="350" w:lineRule="auto"/>
        <w:ind w:left="112" w:right="208" w:firstLine="420"/>
        <w:jc w:val="both"/>
        <w:rPr>
          <w:rStyle w:val="15"/>
        </w:rPr>
      </w:pPr>
      <w:r>
        <w:rPr>
          <w:rStyle w:val="15"/>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3"/>
        <w:spacing w:before="29" w:line="348" w:lineRule="auto"/>
        <w:ind w:left="112" w:right="208" w:firstLine="420"/>
        <w:jc w:val="both"/>
        <w:rPr>
          <w:rStyle w:val="15"/>
        </w:rPr>
      </w:pPr>
      <w:r>
        <w:rPr>
          <w:rStyle w:val="15"/>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3"/>
        <w:spacing w:before="31" w:line="350" w:lineRule="auto"/>
        <w:ind w:left="112" w:right="210" w:firstLine="420"/>
        <w:rPr>
          <w:rStyle w:val="15"/>
        </w:rPr>
      </w:pPr>
      <w:r>
        <w:rPr>
          <w:rStyle w:val="15"/>
        </w:rPr>
        <w:t>（4）承包人在任何时候都应采取各种合理的预防措施，防止其员工发生任何违法、违禁、暴力或妨碍治安的行为。</w:t>
      </w:r>
    </w:p>
    <w:p>
      <w:pPr>
        <w:pStyle w:val="3"/>
        <w:spacing w:before="27" w:line="350" w:lineRule="auto"/>
        <w:ind w:left="112" w:right="102" w:firstLine="420"/>
        <w:rPr>
          <w:rStyle w:val="15"/>
        </w:rPr>
      </w:pPr>
      <w:r>
        <w:rPr>
          <w:rStyle w:val="15"/>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3"/>
        <w:spacing w:before="29"/>
        <w:ind w:left="532"/>
      </w:pPr>
      <w:r>
        <w:rPr>
          <w:rStyle w:val="15"/>
        </w:rPr>
        <w:t>（6）对于易燃易爆的材料除应专门妥善保管之外，还应配备有足够的消防设施，所有施工人员都应熟悉消</w:t>
      </w:r>
    </w:p>
    <w:p>
      <w:pPr>
        <w:spacing w:after="0"/>
        <w:sectPr>
          <w:footerReference r:id="rId11" w:type="default"/>
          <w:pgSz w:w="11910" w:h="16840"/>
          <w:pgMar w:top="1000" w:right="640" w:bottom="760" w:left="740" w:header="808" w:footer="575" w:gutter="0"/>
          <w:pgNumType w:fmt="decimal"/>
        </w:sectPr>
      </w:pPr>
    </w:p>
    <w:p>
      <w:pPr>
        <w:pStyle w:val="3"/>
        <w:spacing w:before="8"/>
        <w:rPr>
          <w:sz w:val="12"/>
        </w:rPr>
      </w:pPr>
    </w:p>
    <w:p>
      <w:pPr>
        <w:pStyle w:val="3"/>
        <w:spacing w:before="34" w:line="350" w:lineRule="auto"/>
        <w:ind w:left="112" w:right="102"/>
        <w:rPr>
          <w:rStyle w:val="15"/>
        </w:rPr>
      </w:pPr>
      <w:r>
        <w:rPr>
          <w:rStyle w:val="15"/>
        </w:rPr>
        <w:t>防设备的性能和使用方法；承包人不得将任何种类的爆炸物给予、易货或以其他方式转让给任何其他人，或允许、容忍上述同样行为。</w:t>
      </w:r>
    </w:p>
    <w:p>
      <w:pPr>
        <w:pStyle w:val="3"/>
        <w:spacing w:before="28" w:line="348" w:lineRule="auto"/>
        <w:ind w:left="112" w:right="210" w:firstLine="420"/>
        <w:rPr>
          <w:rStyle w:val="15"/>
        </w:rPr>
      </w:pPr>
      <w:r>
        <w:rPr>
          <w:rStyle w:val="15"/>
        </w:rPr>
        <w:t>（7）操作人员上岗，必须按规定穿戴防护用品。施工负责人和安全检查员应随时检查劳动防护用品的穿戴情况，不按规定穿戴防护用品的人员不得上岗。</w:t>
      </w:r>
    </w:p>
    <w:p>
      <w:pPr>
        <w:pStyle w:val="3"/>
        <w:spacing w:before="31" w:line="350" w:lineRule="auto"/>
        <w:ind w:left="112" w:right="210" w:firstLine="420"/>
        <w:rPr>
          <w:rStyle w:val="15"/>
        </w:rPr>
      </w:pPr>
      <w:r>
        <w:rPr>
          <w:rStyle w:val="15"/>
        </w:rPr>
        <w:t>（8）所有施工机具设备和高空作业的设备均应定期检查，并有安全员的签字记录，保证其经常处于完好状态；不合格的机具、设备和劳动保护用品严禁使用：</w:t>
      </w:r>
    </w:p>
    <w:p>
      <w:pPr>
        <w:pStyle w:val="3"/>
        <w:spacing w:before="27" w:line="350" w:lineRule="auto"/>
        <w:ind w:left="112" w:right="210" w:firstLine="420"/>
        <w:rPr>
          <w:rStyle w:val="15"/>
        </w:rPr>
      </w:pPr>
      <w:r>
        <w:rPr>
          <w:rStyle w:val="15"/>
        </w:rPr>
        <w:t>（9）施工中采用新技术、新工艺、新设备、新材料时，必须制定相应的安全技术措施，施工现场必须具有相关的安全标志牌。</w:t>
      </w:r>
    </w:p>
    <w:p>
      <w:pPr>
        <w:pStyle w:val="3"/>
        <w:spacing w:before="29" w:line="348" w:lineRule="auto"/>
        <w:ind w:left="112" w:right="208" w:firstLine="420"/>
        <w:jc w:val="both"/>
        <w:rPr>
          <w:rStyle w:val="15"/>
        </w:rPr>
      </w:pPr>
      <w:r>
        <w:rPr>
          <w:rStyle w:val="15"/>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Style w:val="3"/>
        <w:spacing w:before="31"/>
        <w:ind w:left="532"/>
        <w:rPr>
          <w:rStyle w:val="15"/>
        </w:rPr>
      </w:pPr>
      <w:r>
        <w:rPr>
          <w:rStyle w:val="15"/>
        </w:rPr>
        <w:t>（11）安全生产费用按照《公路水运工程安全生产监督管理办法》的相关规定使用和管理。</w:t>
      </w:r>
    </w:p>
    <w:p>
      <w:pPr>
        <w:pStyle w:val="3"/>
        <w:spacing w:before="123"/>
        <w:ind w:left="532"/>
        <w:rPr>
          <w:rStyle w:val="15"/>
        </w:rPr>
      </w:pPr>
      <w:r>
        <w:rPr>
          <w:rStyle w:val="15"/>
        </w:rPr>
        <w:t>3.违约责任</w:t>
      </w:r>
    </w:p>
    <w:p>
      <w:pPr>
        <w:pStyle w:val="3"/>
        <w:spacing w:before="125"/>
        <w:ind w:left="532"/>
        <w:rPr>
          <w:rStyle w:val="15"/>
        </w:rPr>
      </w:pPr>
      <w:r>
        <w:rPr>
          <w:rStyle w:val="15"/>
        </w:rPr>
        <w:t>如因发包人或承包人违约造成安全事故，将依法追究责任。</w:t>
      </w:r>
    </w:p>
    <w:p>
      <w:pPr>
        <w:pStyle w:val="3"/>
        <w:spacing w:before="125"/>
        <w:ind w:left="532"/>
        <w:rPr>
          <w:rStyle w:val="15"/>
        </w:rPr>
      </w:pPr>
      <w:r>
        <w:rPr>
          <w:rStyle w:val="15"/>
        </w:rPr>
        <w:t>4.本合同由双方法定代表人或其授权的代理人签署并加盖单位章后生效，全部工程竣工验收后失效。</w:t>
      </w:r>
    </w:p>
    <w:p>
      <w:pPr>
        <w:pStyle w:val="3"/>
        <w:spacing w:before="123" w:line="350" w:lineRule="auto"/>
        <w:ind w:left="112" w:right="102" w:firstLine="420"/>
      </w:pPr>
      <w:r>
        <w:t>5</w:t>
      </w:r>
      <w:r>
        <w:rPr>
          <w:spacing w:val="-5"/>
        </w:rPr>
        <w:t>.本合同正本—式二份，副本</w:t>
      </w:r>
      <w:r>
        <w:rPr>
          <w:spacing w:val="-4"/>
          <w:u w:val="single"/>
        </w:rPr>
        <w:t xml:space="preserve"> 二 </w:t>
      </w:r>
      <w:r>
        <w:rPr>
          <w:spacing w:val="-12"/>
        </w:rPr>
        <w:t>份，合同双方各执正本—份，副本</w:t>
      </w:r>
      <w:r>
        <w:rPr>
          <w:spacing w:val="-4"/>
          <w:u w:val="single"/>
        </w:rPr>
        <w:t xml:space="preserve"> 一 </w:t>
      </w:r>
      <w:r>
        <w:rPr>
          <w:spacing w:val="-7"/>
        </w:rPr>
        <w:t xml:space="preserve">份，当正本与副本的内容不一致时， </w:t>
      </w:r>
      <w:r>
        <w:rPr>
          <w:spacing w:val="-7"/>
          <w:w w:val="95"/>
        </w:rPr>
        <w:t>以正本为准。</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4"/>
        </w:rPr>
      </w:pPr>
    </w:p>
    <w:p>
      <w:pPr>
        <w:pStyle w:val="3"/>
        <w:tabs>
          <w:tab w:val="left" w:pos="2631"/>
          <w:tab w:val="left" w:pos="4311"/>
          <w:tab w:val="left" w:pos="6831"/>
        </w:tabs>
        <w:spacing w:before="1" w:line="350" w:lineRule="auto"/>
        <w:ind w:left="112" w:right="2435"/>
      </w:pPr>
      <w:r>
        <w:t>发包人：</w:t>
      </w:r>
      <w:r>
        <w:rPr>
          <w:u w:val="single"/>
        </w:rPr>
        <w:t xml:space="preserve"> </w:t>
      </w:r>
      <w:r>
        <w:rPr>
          <w:u w:val="single"/>
        </w:rPr>
        <w:tab/>
      </w:r>
      <w:r>
        <w:t>（盖单位章）</w:t>
      </w:r>
      <w:r>
        <w:tab/>
      </w:r>
      <w:r>
        <w:t>承包人：</w:t>
      </w:r>
      <w:r>
        <w:rPr>
          <w:u w:val="single"/>
        </w:rPr>
        <w:t xml:space="preserve"> </w:t>
      </w:r>
      <w:r>
        <w:rPr>
          <w:u w:val="single"/>
        </w:rPr>
        <w:tab/>
      </w:r>
      <w:r>
        <w:rPr>
          <w:rStyle w:val="15"/>
        </w:rPr>
        <w:t>（盖单位章）</w:t>
      </w:r>
      <w:r>
        <w:rPr>
          <w:w w:val="95"/>
        </w:rPr>
        <w:t xml:space="preserve"> </w:t>
      </w:r>
      <w:r>
        <w:t>法定代表人或其委托代理人：</w:t>
      </w:r>
      <w:r>
        <w:tab/>
      </w:r>
      <w:r>
        <w:rPr>
          <w:rStyle w:val="15"/>
        </w:rPr>
        <w:t>法定代表人或其委托代理人：</w:t>
      </w:r>
    </w:p>
    <w:p>
      <w:pPr>
        <w:pStyle w:val="3"/>
        <w:rPr>
          <w:sz w:val="20"/>
        </w:rPr>
      </w:pPr>
    </w:p>
    <w:p>
      <w:pPr>
        <w:pStyle w:val="3"/>
        <w:tabs>
          <w:tab w:val="left" w:pos="3051"/>
          <w:tab w:val="left" w:pos="4311"/>
          <w:tab w:val="left" w:pos="7671"/>
        </w:tabs>
        <w:spacing w:before="166"/>
        <w:ind w:left="112"/>
      </w:pPr>
      <w:r>
        <w:rPr>
          <w:rFonts w:ascii="Times New Roman" w:eastAsia="Times New Roman"/>
          <w:w w:val="99"/>
          <w:u w:val="single"/>
        </w:rPr>
        <w:t xml:space="preserve"> </w:t>
      </w:r>
      <w:r>
        <w:rPr>
          <w:rFonts w:ascii="Times New Roman" w:eastAsia="Times New Roman"/>
          <w:u w:val="single"/>
        </w:rPr>
        <w:tab/>
      </w:r>
      <w:r>
        <w:t>（签字）</w:t>
      </w:r>
      <w:r>
        <w:tab/>
      </w:r>
      <w:r>
        <w:rPr>
          <w:u w:val="single"/>
        </w:rPr>
        <w:t xml:space="preserve"> </w:t>
      </w:r>
      <w:r>
        <w:rPr>
          <w:u w:val="single"/>
        </w:rPr>
        <w:tab/>
      </w:r>
      <w:r>
        <w:rPr>
          <w:rStyle w:val="15"/>
        </w:rPr>
        <w:t>（签字）</w:t>
      </w:r>
    </w:p>
    <w:p>
      <w:pPr>
        <w:pStyle w:val="3"/>
        <w:tabs>
          <w:tab w:val="left" w:pos="1895"/>
          <w:tab w:val="left" w:pos="2526"/>
          <w:tab w:val="left" w:pos="3155"/>
          <w:tab w:val="left" w:pos="5991"/>
          <w:tab w:val="left" w:pos="6620"/>
          <w:tab w:val="left" w:pos="7251"/>
          <w:tab w:val="left" w:pos="7880"/>
        </w:tabs>
        <w:spacing w:before="126"/>
        <w:ind w:left="1266"/>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000" w:right="640" w:bottom="760" w:left="740" w:header="808" w:footer="575" w:gutter="0"/>
          <w:pgNumType w:fmt="decimal"/>
        </w:sectPr>
      </w:pPr>
    </w:p>
    <w:p>
      <w:pPr>
        <w:pStyle w:val="3"/>
        <w:spacing w:before="8"/>
        <w:rPr>
          <w:sz w:val="12"/>
        </w:rPr>
      </w:pPr>
    </w:p>
    <w:p>
      <w:pPr>
        <w:pStyle w:val="9"/>
        <w:spacing w:before="34"/>
        <w:ind w:left="232"/>
        <w:rPr>
          <w:rStyle w:val="15"/>
          <w:sz w:val="21"/>
          <w:szCs w:val="21"/>
        </w:rPr>
      </w:pPr>
      <w:r>
        <w:rPr>
          <w:rStyle w:val="15"/>
          <w:sz w:val="21"/>
          <w:szCs w:val="21"/>
        </w:rPr>
        <w:t>附件四：其他主要管理人员和技术人员表</w:t>
      </w:r>
    </w:p>
    <w:p>
      <w:pPr>
        <w:pStyle w:val="3"/>
        <w:rPr>
          <w:rStyle w:val="15"/>
          <w:sz w:val="21"/>
          <w:szCs w:val="21"/>
        </w:rPr>
      </w:pPr>
    </w:p>
    <w:p>
      <w:pPr>
        <w:pStyle w:val="3"/>
        <w:spacing w:before="5"/>
        <w:rPr>
          <w:rStyle w:val="15"/>
          <w:sz w:val="21"/>
          <w:szCs w:val="21"/>
        </w:rPr>
      </w:pPr>
    </w:p>
    <w:tbl>
      <w:tblPr>
        <w:tblStyle w:val="14"/>
        <w:tblW w:w="1031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2496"/>
        <w:gridCol w:w="1898"/>
        <w:gridCol w:w="1929"/>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5"/>
              <w:ind w:left="328" w:right="323"/>
              <w:jc w:val="center"/>
              <w:rPr>
                <w:rStyle w:val="15"/>
                <w:sz w:val="21"/>
                <w:szCs w:val="21"/>
              </w:rPr>
            </w:pPr>
            <w:r>
              <w:rPr>
                <w:rStyle w:val="15"/>
                <w:sz w:val="21"/>
                <w:szCs w:val="21"/>
              </w:rPr>
              <w:t>序号</w:t>
            </w:r>
          </w:p>
        </w:tc>
        <w:tc>
          <w:tcPr>
            <w:tcW w:w="2496" w:type="dxa"/>
          </w:tcPr>
          <w:p>
            <w:pPr>
              <w:pStyle w:val="18"/>
              <w:spacing w:before="15"/>
              <w:ind w:left="226" w:right="221"/>
              <w:jc w:val="center"/>
              <w:rPr>
                <w:rStyle w:val="15"/>
                <w:sz w:val="21"/>
                <w:szCs w:val="21"/>
              </w:rPr>
            </w:pPr>
            <w:r>
              <w:rPr>
                <w:rStyle w:val="15"/>
                <w:sz w:val="21"/>
                <w:szCs w:val="21"/>
              </w:rPr>
              <w:t>人员职位</w:t>
            </w:r>
          </w:p>
        </w:tc>
        <w:tc>
          <w:tcPr>
            <w:tcW w:w="1898" w:type="dxa"/>
          </w:tcPr>
          <w:p>
            <w:pPr>
              <w:pStyle w:val="18"/>
              <w:spacing w:line="271" w:lineRule="exact"/>
              <w:ind w:left="727" w:right="721"/>
              <w:jc w:val="center"/>
              <w:rPr>
                <w:rStyle w:val="15"/>
                <w:sz w:val="21"/>
                <w:szCs w:val="21"/>
              </w:rPr>
            </w:pPr>
            <w:r>
              <w:rPr>
                <w:rStyle w:val="15"/>
                <w:sz w:val="21"/>
                <w:szCs w:val="21"/>
              </w:rPr>
              <w:t>姓名</w:t>
            </w:r>
          </w:p>
        </w:tc>
        <w:tc>
          <w:tcPr>
            <w:tcW w:w="1929" w:type="dxa"/>
          </w:tcPr>
          <w:p>
            <w:pPr>
              <w:pStyle w:val="18"/>
              <w:spacing w:before="15"/>
              <w:ind w:left="742" w:right="738"/>
              <w:jc w:val="center"/>
              <w:rPr>
                <w:rStyle w:val="15"/>
                <w:sz w:val="21"/>
                <w:szCs w:val="21"/>
              </w:rPr>
            </w:pPr>
            <w:r>
              <w:rPr>
                <w:rStyle w:val="15"/>
                <w:sz w:val="21"/>
                <w:szCs w:val="21"/>
              </w:rPr>
              <w:t>职称</w:t>
            </w:r>
          </w:p>
        </w:tc>
        <w:tc>
          <w:tcPr>
            <w:tcW w:w="2890" w:type="dxa"/>
          </w:tcPr>
          <w:p>
            <w:pPr>
              <w:pStyle w:val="18"/>
              <w:spacing w:before="15"/>
              <w:ind w:left="1024" w:right="1017"/>
              <w:jc w:val="center"/>
              <w:rPr>
                <w:rStyle w:val="15"/>
                <w:sz w:val="21"/>
                <w:szCs w:val="21"/>
              </w:rPr>
            </w:pPr>
            <w:r>
              <w:rPr>
                <w:rStyle w:val="15"/>
                <w:sz w:val="21"/>
                <w:szCs w:val="21"/>
              </w:rPr>
              <w:t>执业资格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5"/>
              <w:ind w:left="8"/>
              <w:jc w:val="center"/>
              <w:rPr>
                <w:rStyle w:val="15"/>
                <w:sz w:val="21"/>
                <w:szCs w:val="21"/>
              </w:rPr>
            </w:pPr>
            <w:r>
              <w:rPr>
                <w:rStyle w:val="15"/>
                <w:sz w:val="21"/>
                <w:szCs w:val="21"/>
              </w:rPr>
              <w:t>1</w:t>
            </w:r>
          </w:p>
        </w:tc>
        <w:tc>
          <w:tcPr>
            <w:tcW w:w="2496" w:type="dxa"/>
          </w:tcPr>
          <w:p>
            <w:pPr>
              <w:pStyle w:val="18"/>
              <w:spacing w:before="15"/>
              <w:ind w:left="226" w:right="221"/>
              <w:jc w:val="center"/>
              <w:rPr>
                <w:rStyle w:val="15"/>
                <w:sz w:val="21"/>
                <w:szCs w:val="21"/>
              </w:rPr>
            </w:pPr>
            <w:r>
              <w:rPr>
                <w:rStyle w:val="15"/>
                <w:sz w:val="21"/>
                <w:szCs w:val="21"/>
              </w:rPr>
              <w:t>项目经理</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6"/>
              <w:ind w:left="8"/>
              <w:jc w:val="center"/>
              <w:rPr>
                <w:rStyle w:val="15"/>
                <w:sz w:val="21"/>
                <w:szCs w:val="21"/>
              </w:rPr>
            </w:pPr>
            <w:r>
              <w:rPr>
                <w:rStyle w:val="15"/>
                <w:sz w:val="21"/>
                <w:szCs w:val="21"/>
              </w:rPr>
              <w:t>2</w:t>
            </w:r>
          </w:p>
        </w:tc>
        <w:tc>
          <w:tcPr>
            <w:tcW w:w="2496" w:type="dxa"/>
          </w:tcPr>
          <w:p>
            <w:pPr>
              <w:pStyle w:val="18"/>
              <w:spacing w:before="16"/>
              <w:ind w:left="229" w:right="221"/>
              <w:jc w:val="center"/>
              <w:rPr>
                <w:rStyle w:val="15"/>
                <w:sz w:val="21"/>
                <w:szCs w:val="21"/>
              </w:rPr>
            </w:pPr>
            <w:r>
              <w:rPr>
                <w:rStyle w:val="15"/>
                <w:sz w:val="21"/>
                <w:szCs w:val="21"/>
              </w:rPr>
              <w:t>项目技术负责人</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4"/>
              <w:ind w:left="8"/>
              <w:jc w:val="center"/>
              <w:rPr>
                <w:rStyle w:val="15"/>
                <w:sz w:val="21"/>
                <w:szCs w:val="21"/>
              </w:rPr>
            </w:pPr>
            <w:r>
              <w:rPr>
                <w:rStyle w:val="15"/>
                <w:sz w:val="21"/>
                <w:szCs w:val="21"/>
              </w:rPr>
              <w:t>3</w:t>
            </w:r>
          </w:p>
        </w:tc>
        <w:tc>
          <w:tcPr>
            <w:tcW w:w="2496" w:type="dxa"/>
          </w:tcPr>
          <w:p>
            <w:pPr>
              <w:pStyle w:val="18"/>
              <w:spacing w:before="14"/>
              <w:ind w:left="229" w:right="219"/>
              <w:jc w:val="center"/>
              <w:rPr>
                <w:rStyle w:val="15"/>
                <w:sz w:val="21"/>
                <w:szCs w:val="21"/>
              </w:rPr>
            </w:pPr>
            <w:r>
              <w:rPr>
                <w:rStyle w:val="15"/>
                <w:sz w:val="21"/>
                <w:szCs w:val="21"/>
              </w:rPr>
              <w:t>生产副经理</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4"/>
              <w:ind w:left="8"/>
              <w:jc w:val="center"/>
              <w:rPr>
                <w:rStyle w:val="15"/>
                <w:sz w:val="21"/>
                <w:szCs w:val="21"/>
              </w:rPr>
            </w:pPr>
            <w:r>
              <w:rPr>
                <w:rStyle w:val="15"/>
                <w:sz w:val="21"/>
                <w:szCs w:val="21"/>
              </w:rPr>
              <w:t>4</w:t>
            </w:r>
          </w:p>
        </w:tc>
        <w:tc>
          <w:tcPr>
            <w:tcW w:w="2496" w:type="dxa"/>
          </w:tcPr>
          <w:p>
            <w:pPr>
              <w:pStyle w:val="18"/>
              <w:spacing w:before="14"/>
              <w:ind w:left="229" w:right="219"/>
              <w:jc w:val="center"/>
              <w:rPr>
                <w:rStyle w:val="15"/>
                <w:sz w:val="21"/>
                <w:szCs w:val="21"/>
              </w:rPr>
            </w:pPr>
            <w:r>
              <w:rPr>
                <w:rStyle w:val="15"/>
                <w:sz w:val="21"/>
                <w:szCs w:val="21"/>
              </w:rPr>
              <w:t>专业工程师</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4"/>
              <w:ind w:left="8"/>
              <w:jc w:val="center"/>
              <w:rPr>
                <w:rStyle w:val="15"/>
                <w:sz w:val="21"/>
                <w:szCs w:val="21"/>
              </w:rPr>
            </w:pPr>
            <w:r>
              <w:rPr>
                <w:rStyle w:val="15"/>
                <w:sz w:val="21"/>
                <w:szCs w:val="21"/>
              </w:rPr>
              <w:t>5</w:t>
            </w:r>
          </w:p>
        </w:tc>
        <w:tc>
          <w:tcPr>
            <w:tcW w:w="2496" w:type="dxa"/>
          </w:tcPr>
          <w:p>
            <w:pPr>
              <w:pStyle w:val="18"/>
              <w:spacing w:before="14"/>
              <w:ind w:left="229" w:right="219"/>
              <w:jc w:val="center"/>
              <w:rPr>
                <w:rStyle w:val="15"/>
                <w:sz w:val="21"/>
                <w:szCs w:val="21"/>
              </w:rPr>
            </w:pPr>
            <w:r>
              <w:rPr>
                <w:rStyle w:val="15"/>
                <w:sz w:val="21"/>
                <w:szCs w:val="21"/>
              </w:rPr>
              <w:t>专业工程师</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5"/>
              <w:ind w:left="8"/>
              <w:jc w:val="center"/>
              <w:rPr>
                <w:rStyle w:val="15"/>
                <w:sz w:val="21"/>
                <w:szCs w:val="21"/>
              </w:rPr>
            </w:pPr>
            <w:r>
              <w:rPr>
                <w:rStyle w:val="15"/>
                <w:sz w:val="21"/>
                <w:szCs w:val="21"/>
              </w:rPr>
              <w:t>6</w:t>
            </w:r>
          </w:p>
        </w:tc>
        <w:tc>
          <w:tcPr>
            <w:tcW w:w="2496" w:type="dxa"/>
          </w:tcPr>
          <w:p>
            <w:pPr>
              <w:pStyle w:val="18"/>
              <w:spacing w:before="15"/>
              <w:ind w:left="229" w:right="219"/>
              <w:jc w:val="center"/>
              <w:rPr>
                <w:rStyle w:val="15"/>
                <w:sz w:val="21"/>
                <w:szCs w:val="21"/>
              </w:rPr>
            </w:pPr>
            <w:r>
              <w:rPr>
                <w:rStyle w:val="15"/>
                <w:sz w:val="21"/>
                <w:szCs w:val="21"/>
              </w:rPr>
              <w:t>试验工程师</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5"/>
              <w:ind w:left="8"/>
              <w:jc w:val="center"/>
              <w:rPr>
                <w:rStyle w:val="15"/>
                <w:sz w:val="21"/>
                <w:szCs w:val="21"/>
              </w:rPr>
            </w:pPr>
            <w:r>
              <w:rPr>
                <w:rStyle w:val="15"/>
                <w:sz w:val="21"/>
                <w:szCs w:val="21"/>
              </w:rPr>
              <w:t>7</w:t>
            </w:r>
          </w:p>
        </w:tc>
        <w:tc>
          <w:tcPr>
            <w:tcW w:w="2496" w:type="dxa"/>
          </w:tcPr>
          <w:p>
            <w:pPr>
              <w:pStyle w:val="18"/>
              <w:spacing w:before="15"/>
              <w:ind w:left="229" w:right="219"/>
              <w:jc w:val="center"/>
              <w:rPr>
                <w:rStyle w:val="15"/>
                <w:sz w:val="21"/>
                <w:szCs w:val="21"/>
              </w:rPr>
            </w:pPr>
            <w:r>
              <w:rPr>
                <w:rStyle w:val="15"/>
                <w:sz w:val="21"/>
                <w:szCs w:val="21"/>
              </w:rPr>
              <w:t>测量工程师</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6"/>
              <w:ind w:left="8"/>
              <w:jc w:val="center"/>
              <w:rPr>
                <w:rStyle w:val="15"/>
                <w:sz w:val="21"/>
                <w:szCs w:val="21"/>
              </w:rPr>
            </w:pPr>
            <w:r>
              <w:rPr>
                <w:rStyle w:val="15"/>
                <w:sz w:val="21"/>
                <w:szCs w:val="21"/>
              </w:rPr>
              <w:t>8</w:t>
            </w:r>
          </w:p>
        </w:tc>
        <w:tc>
          <w:tcPr>
            <w:tcW w:w="2496" w:type="dxa"/>
          </w:tcPr>
          <w:p>
            <w:pPr>
              <w:pStyle w:val="18"/>
              <w:spacing w:before="16"/>
              <w:ind w:left="229" w:right="221"/>
              <w:jc w:val="center"/>
              <w:rPr>
                <w:rStyle w:val="15"/>
                <w:sz w:val="21"/>
                <w:szCs w:val="21"/>
              </w:rPr>
            </w:pPr>
            <w:r>
              <w:rPr>
                <w:rStyle w:val="15"/>
                <w:sz w:val="21"/>
                <w:szCs w:val="21"/>
              </w:rPr>
              <w:t>计量支付工程师</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4"/>
              <w:ind w:left="23"/>
              <w:jc w:val="center"/>
              <w:rPr>
                <w:rStyle w:val="15"/>
                <w:sz w:val="21"/>
                <w:szCs w:val="21"/>
              </w:rPr>
            </w:pPr>
            <w:r>
              <w:rPr>
                <w:rStyle w:val="15"/>
                <w:sz w:val="21"/>
                <w:szCs w:val="21"/>
              </w:rPr>
              <w:t>9</w:t>
            </w:r>
          </w:p>
        </w:tc>
        <w:tc>
          <w:tcPr>
            <w:tcW w:w="2496" w:type="dxa"/>
          </w:tcPr>
          <w:p>
            <w:pPr>
              <w:pStyle w:val="18"/>
              <w:spacing w:before="14"/>
              <w:ind w:left="229" w:right="221"/>
              <w:jc w:val="center"/>
              <w:rPr>
                <w:rStyle w:val="15"/>
                <w:sz w:val="21"/>
                <w:szCs w:val="21"/>
              </w:rPr>
            </w:pPr>
            <w:r>
              <w:rPr>
                <w:rStyle w:val="15"/>
                <w:sz w:val="21"/>
                <w:szCs w:val="21"/>
              </w:rPr>
              <w:t>质量员</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4"/>
              <w:ind w:left="328" w:right="305"/>
              <w:jc w:val="center"/>
              <w:rPr>
                <w:rStyle w:val="15"/>
                <w:sz w:val="21"/>
                <w:szCs w:val="21"/>
              </w:rPr>
            </w:pPr>
            <w:r>
              <w:rPr>
                <w:rStyle w:val="15"/>
                <w:sz w:val="21"/>
                <w:szCs w:val="21"/>
              </w:rPr>
              <w:t>10</w:t>
            </w:r>
          </w:p>
        </w:tc>
        <w:tc>
          <w:tcPr>
            <w:tcW w:w="2496" w:type="dxa"/>
          </w:tcPr>
          <w:p>
            <w:pPr>
              <w:pStyle w:val="18"/>
              <w:spacing w:before="14"/>
              <w:ind w:left="229" w:right="221"/>
              <w:jc w:val="center"/>
              <w:rPr>
                <w:rStyle w:val="15"/>
                <w:sz w:val="21"/>
                <w:szCs w:val="21"/>
              </w:rPr>
            </w:pPr>
            <w:r>
              <w:rPr>
                <w:rStyle w:val="15"/>
                <w:sz w:val="21"/>
                <w:szCs w:val="21"/>
              </w:rPr>
              <w:t>资料员</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4"/>
              <w:ind w:left="328" w:right="305"/>
              <w:jc w:val="center"/>
              <w:rPr>
                <w:rStyle w:val="15"/>
                <w:sz w:val="21"/>
                <w:szCs w:val="21"/>
              </w:rPr>
            </w:pPr>
            <w:r>
              <w:rPr>
                <w:rStyle w:val="15"/>
                <w:sz w:val="21"/>
                <w:szCs w:val="21"/>
              </w:rPr>
              <w:t>11</w:t>
            </w:r>
          </w:p>
        </w:tc>
        <w:tc>
          <w:tcPr>
            <w:tcW w:w="2496" w:type="dxa"/>
          </w:tcPr>
          <w:p>
            <w:pPr>
              <w:pStyle w:val="18"/>
              <w:spacing w:before="14"/>
              <w:ind w:left="229" w:right="221"/>
              <w:jc w:val="center"/>
              <w:rPr>
                <w:rStyle w:val="15"/>
                <w:sz w:val="21"/>
                <w:szCs w:val="21"/>
              </w:rPr>
            </w:pPr>
            <w:r>
              <w:rPr>
                <w:rStyle w:val="15"/>
                <w:sz w:val="21"/>
                <w:szCs w:val="21"/>
              </w:rPr>
              <w:t>施工员</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18"/>
              <w:spacing w:before="15"/>
              <w:ind w:left="328" w:right="305"/>
              <w:jc w:val="center"/>
              <w:rPr>
                <w:rStyle w:val="15"/>
                <w:sz w:val="21"/>
                <w:szCs w:val="21"/>
              </w:rPr>
            </w:pPr>
            <w:r>
              <w:rPr>
                <w:rStyle w:val="15"/>
                <w:sz w:val="21"/>
                <w:szCs w:val="21"/>
              </w:rPr>
              <w:t>12</w:t>
            </w:r>
          </w:p>
        </w:tc>
        <w:tc>
          <w:tcPr>
            <w:tcW w:w="2496" w:type="dxa"/>
          </w:tcPr>
          <w:p>
            <w:pPr>
              <w:pStyle w:val="18"/>
              <w:spacing w:before="15"/>
              <w:ind w:left="229" w:right="221"/>
              <w:jc w:val="center"/>
              <w:rPr>
                <w:rStyle w:val="15"/>
                <w:sz w:val="21"/>
                <w:szCs w:val="21"/>
              </w:rPr>
            </w:pPr>
            <w:r>
              <w:rPr>
                <w:rStyle w:val="15"/>
                <w:sz w:val="21"/>
                <w:szCs w:val="21"/>
              </w:rPr>
              <w:t>专职安全生产管理人员</w:t>
            </w:r>
          </w:p>
        </w:tc>
        <w:tc>
          <w:tcPr>
            <w:tcW w:w="1898" w:type="dxa"/>
          </w:tcPr>
          <w:p>
            <w:pPr>
              <w:pStyle w:val="18"/>
              <w:rPr>
                <w:rStyle w:val="15"/>
                <w:sz w:val="21"/>
                <w:szCs w:val="21"/>
              </w:rPr>
            </w:pPr>
          </w:p>
        </w:tc>
        <w:tc>
          <w:tcPr>
            <w:tcW w:w="1929" w:type="dxa"/>
          </w:tcPr>
          <w:p>
            <w:pPr>
              <w:pStyle w:val="18"/>
              <w:rPr>
                <w:rStyle w:val="15"/>
                <w:sz w:val="21"/>
                <w:szCs w:val="21"/>
              </w:rPr>
            </w:pPr>
          </w:p>
        </w:tc>
        <w:tc>
          <w:tcPr>
            <w:tcW w:w="2890" w:type="dxa"/>
          </w:tcPr>
          <w:p>
            <w:pPr>
              <w:pStyle w:val="18"/>
              <w:rPr>
                <w:rStyle w:val="15"/>
                <w:sz w:val="21"/>
                <w:szCs w:val="21"/>
              </w:rPr>
            </w:pPr>
          </w:p>
        </w:tc>
      </w:tr>
    </w:tbl>
    <w:p>
      <w:pPr>
        <w:spacing w:after="0"/>
        <w:rPr>
          <w:rFonts w:ascii="Times New Roman"/>
          <w:sz w:val="18"/>
        </w:rPr>
        <w:sectPr>
          <w:pgSz w:w="11910" w:h="16840"/>
          <w:pgMar w:top="1000" w:right="740" w:bottom="760" w:left="620" w:header="808" w:footer="575" w:gutter="0"/>
          <w:pgNumType w:fmt="decimal"/>
        </w:sectPr>
      </w:pPr>
    </w:p>
    <w:p>
      <w:pPr>
        <w:pStyle w:val="3"/>
        <w:spacing w:before="8"/>
        <w:rPr>
          <w:b/>
          <w:sz w:val="12"/>
        </w:rPr>
      </w:pPr>
    </w:p>
    <w:p>
      <w:pPr>
        <w:spacing w:before="34"/>
        <w:ind w:left="232" w:right="0" w:firstLine="0"/>
        <w:jc w:val="left"/>
        <w:rPr>
          <w:rStyle w:val="15"/>
          <w:sz w:val="21"/>
          <w:szCs w:val="21"/>
        </w:rPr>
      </w:pPr>
      <w:r>
        <w:rPr>
          <w:rStyle w:val="15"/>
          <w:sz w:val="21"/>
          <w:szCs w:val="21"/>
        </w:rPr>
        <w:t>附件五：主要机械设备和试验检测设备表</w:t>
      </w:r>
    </w:p>
    <w:p>
      <w:pPr>
        <w:pStyle w:val="3"/>
        <w:rPr>
          <w:rStyle w:val="15"/>
          <w:sz w:val="21"/>
          <w:szCs w:val="21"/>
        </w:rPr>
      </w:pPr>
    </w:p>
    <w:p>
      <w:pPr>
        <w:pStyle w:val="3"/>
        <w:spacing w:before="5"/>
        <w:rPr>
          <w:rStyle w:val="15"/>
          <w:sz w:val="21"/>
          <w:szCs w:val="21"/>
        </w:rPr>
      </w:pPr>
    </w:p>
    <w:tbl>
      <w:tblPr>
        <w:tblStyle w:val="14"/>
        <w:tblW w:w="1031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3549"/>
        <w:gridCol w:w="3549"/>
        <w:gridCol w:w="127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vMerge w:val="restart"/>
          </w:tcPr>
          <w:p>
            <w:pPr>
              <w:pStyle w:val="18"/>
              <w:spacing w:before="7"/>
              <w:rPr>
                <w:rStyle w:val="15"/>
                <w:sz w:val="21"/>
                <w:szCs w:val="21"/>
              </w:rPr>
            </w:pPr>
          </w:p>
          <w:p>
            <w:pPr>
              <w:pStyle w:val="18"/>
              <w:ind w:left="120"/>
              <w:rPr>
                <w:rStyle w:val="15"/>
                <w:sz w:val="21"/>
                <w:szCs w:val="21"/>
              </w:rPr>
            </w:pPr>
            <w:r>
              <w:rPr>
                <w:rStyle w:val="15"/>
                <w:sz w:val="21"/>
                <w:szCs w:val="21"/>
              </w:rPr>
              <w:t>序号</w:t>
            </w:r>
          </w:p>
        </w:tc>
        <w:tc>
          <w:tcPr>
            <w:tcW w:w="7098" w:type="dxa"/>
            <w:gridSpan w:val="2"/>
          </w:tcPr>
          <w:p>
            <w:pPr>
              <w:pStyle w:val="18"/>
              <w:spacing w:before="15"/>
              <w:ind w:left="3127" w:right="3122"/>
              <w:jc w:val="center"/>
              <w:rPr>
                <w:rStyle w:val="15"/>
                <w:sz w:val="21"/>
                <w:szCs w:val="21"/>
              </w:rPr>
            </w:pPr>
            <w:r>
              <w:rPr>
                <w:rStyle w:val="15"/>
                <w:sz w:val="21"/>
                <w:szCs w:val="21"/>
              </w:rPr>
              <w:t>关键设备</w:t>
            </w:r>
          </w:p>
        </w:tc>
        <w:tc>
          <w:tcPr>
            <w:tcW w:w="1275" w:type="dxa"/>
            <w:vMerge w:val="restart"/>
          </w:tcPr>
          <w:p>
            <w:pPr>
              <w:pStyle w:val="18"/>
              <w:spacing w:before="7"/>
              <w:rPr>
                <w:rStyle w:val="15"/>
                <w:sz w:val="21"/>
                <w:szCs w:val="21"/>
              </w:rPr>
            </w:pPr>
          </w:p>
          <w:p>
            <w:pPr>
              <w:pStyle w:val="18"/>
              <w:ind w:left="426"/>
              <w:rPr>
                <w:rStyle w:val="15"/>
                <w:sz w:val="21"/>
                <w:szCs w:val="21"/>
              </w:rPr>
            </w:pPr>
            <w:r>
              <w:rPr>
                <w:rStyle w:val="15"/>
                <w:sz w:val="21"/>
                <w:szCs w:val="21"/>
              </w:rPr>
              <w:t>数量</w:t>
            </w:r>
          </w:p>
        </w:tc>
        <w:tc>
          <w:tcPr>
            <w:tcW w:w="1276" w:type="dxa"/>
            <w:vMerge w:val="restart"/>
          </w:tcPr>
          <w:p>
            <w:pPr>
              <w:pStyle w:val="18"/>
              <w:spacing w:before="7"/>
              <w:rPr>
                <w:rStyle w:val="15"/>
                <w:sz w:val="21"/>
                <w:szCs w:val="21"/>
              </w:rPr>
            </w:pPr>
          </w:p>
          <w:p>
            <w:pPr>
              <w:pStyle w:val="18"/>
              <w:ind w:left="428"/>
              <w:rPr>
                <w:rStyle w:val="15"/>
                <w:sz w:val="21"/>
                <w:szCs w:val="21"/>
              </w:rPr>
            </w:pPr>
            <w:r>
              <w:rPr>
                <w:rStyle w:val="1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vMerge w:val="continue"/>
            <w:tcBorders>
              <w:top w:val="nil"/>
            </w:tcBorders>
          </w:tcPr>
          <w:p>
            <w:pPr>
              <w:rPr>
                <w:rStyle w:val="15"/>
                <w:sz w:val="21"/>
                <w:szCs w:val="21"/>
              </w:rPr>
            </w:pPr>
          </w:p>
        </w:tc>
        <w:tc>
          <w:tcPr>
            <w:tcW w:w="3549" w:type="dxa"/>
            <w:tcBorders>
              <w:right w:val="single" w:color="000000" w:sz="8" w:space="0"/>
            </w:tcBorders>
          </w:tcPr>
          <w:p>
            <w:pPr>
              <w:pStyle w:val="18"/>
              <w:spacing w:before="15"/>
              <w:ind w:left="1354" w:right="1342"/>
              <w:jc w:val="center"/>
              <w:rPr>
                <w:rStyle w:val="15"/>
                <w:sz w:val="21"/>
                <w:szCs w:val="21"/>
              </w:rPr>
            </w:pPr>
            <w:r>
              <w:rPr>
                <w:rStyle w:val="15"/>
                <w:sz w:val="21"/>
                <w:szCs w:val="21"/>
              </w:rPr>
              <w:t>设备名称</w:t>
            </w:r>
          </w:p>
        </w:tc>
        <w:tc>
          <w:tcPr>
            <w:tcW w:w="3549" w:type="dxa"/>
            <w:tcBorders>
              <w:left w:val="single" w:color="000000" w:sz="8" w:space="0"/>
            </w:tcBorders>
          </w:tcPr>
          <w:p>
            <w:pPr>
              <w:pStyle w:val="18"/>
              <w:spacing w:before="15"/>
              <w:ind w:left="101"/>
              <w:rPr>
                <w:rStyle w:val="15"/>
                <w:sz w:val="21"/>
                <w:szCs w:val="21"/>
              </w:rPr>
            </w:pPr>
            <w:r>
              <w:rPr>
                <w:rStyle w:val="15"/>
                <w:sz w:val="21"/>
                <w:szCs w:val="21"/>
              </w:rPr>
              <w:t>规格及型号</w:t>
            </w:r>
          </w:p>
        </w:tc>
        <w:tc>
          <w:tcPr>
            <w:tcW w:w="1275" w:type="dxa"/>
            <w:vMerge w:val="continue"/>
            <w:tcBorders>
              <w:top w:val="nil"/>
            </w:tcBorders>
          </w:tcPr>
          <w:p>
            <w:pPr>
              <w:rPr>
                <w:rStyle w:val="15"/>
                <w:sz w:val="21"/>
                <w:szCs w:val="21"/>
              </w:rPr>
            </w:pPr>
          </w:p>
        </w:tc>
        <w:tc>
          <w:tcPr>
            <w:tcW w:w="1276" w:type="dxa"/>
            <w:vMerge w:val="continue"/>
            <w:tcBorders>
              <w:top w:val="nil"/>
            </w:tcBorders>
          </w:tcPr>
          <w:p>
            <w:pPr>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6"/>
              <w:ind w:left="279"/>
              <w:rPr>
                <w:rStyle w:val="15"/>
                <w:sz w:val="21"/>
                <w:szCs w:val="21"/>
              </w:rPr>
            </w:pPr>
            <w:r>
              <w:rPr>
                <w:rStyle w:val="15"/>
                <w:sz w:val="21"/>
                <w:szCs w:val="21"/>
              </w:rPr>
              <w:t>1</w:t>
            </w:r>
          </w:p>
        </w:tc>
        <w:tc>
          <w:tcPr>
            <w:tcW w:w="3549" w:type="dxa"/>
            <w:tcBorders>
              <w:right w:val="single" w:color="000000" w:sz="8" w:space="0"/>
            </w:tcBorders>
          </w:tcPr>
          <w:p>
            <w:pPr>
              <w:pStyle w:val="18"/>
              <w:spacing w:before="16"/>
              <w:ind w:left="1354" w:right="1340"/>
              <w:jc w:val="center"/>
              <w:rPr>
                <w:rStyle w:val="15"/>
                <w:sz w:val="21"/>
                <w:szCs w:val="21"/>
              </w:rPr>
            </w:pPr>
            <w:r>
              <w:rPr>
                <w:rStyle w:val="15"/>
                <w:sz w:val="21"/>
                <w:szCs w:val="21"/>
              </w:rPr>
              <w:t>挖掘机</w:t>
            </w:r>
          </w:p>
        </w:tc>
        <w:tc>
          <w:tcPr>
            <w:tcW w:w="3549" w:type="dxa"/>
            <w:tcBorders>
              <w:left w:val="single" w:color="000000" w:sz="8" w:space="0"/>
            </w:tcBorders>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4"/>
              <w:ind w:left="279"/>
              <w:rPr>
                <w:rStyle w:val="15"/>
                <w:sz w:val="21"/>
                <w:szCs w:val="21"/>
              </w:rPr>
            </w:pPr>
            <w:r>
              <w:rPr>
                <w:rStyle w:val="15"/>
                <w:sz w:val="21"/>
                <w:szCs w:val="21"/>
              </w:rPr>
              <w:t>2</w:t>
            </w:r>
          </w:p>
        </w:tc>
        <w:tc>
          <w:tcPr>
            <w:tcW w:w="3549" w:type="dxa"/>
            <w:tcBorders>
              <w:right w:val="single" w:color="000000" w:sz="8" w:space="0"/>
            </w:tcBorders>
          </w:tcPr>
          <w:p>
            <w:pPr>
              <w:pStyle w:val="18"/>
              <w:spacing w:before="14"/>
              <w:ind w:left="1354" w:right="1340"/>
              <w:jc w:val="center"/>
              <w:rPr>
                <w:rStyle w:val="15"/>
                <w:sz w:val="21"/>
                <w:szCs w:val="21"/>
              </w:rPr>
            </w:pPr>
            <w:r>
              <w:rPr>
                <w:rStyle w:val="15"/>
                <w:sz w:val="21"/>
                <w:szCs w:val="21"/>
              </w:rPr>
              <w:t>装载机</w:t>
            </w:r>
          </w:p>
        </w:tc>
        <w:tc>
          <w:tcPr>
            <w:tcW w:w="3549" w:type="dxa"/>
            <w:tcBorders>
              <w:left w:val="single" w:color="000000" w:sz="8" w:space="0"/>
            </w:tcBorders>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4"/>
              <w:ind w:left="279"/>
              <w:rPr>
                <w:rStyle w:val="15"/>
                <w:sz w:val="21"/>
                <w:szCs w:val="21"/>
              </w:rPr>
            </w:pPr>
            <w:r>
              <w:rPr>
                <w:rStyle w:val="15"/>
                <w:sz w:val="21"/>
                <w:szCs w:val="21"/>
              </w:rPr>
              <w:t>3</w:t>
            </w:r>
          </w:p>
        </w:tc>
        <w:tc>
          <w:tcPr>
            <w:tcW w:w="3549" w:type="dxa"/>
          </w:tcPr>
          <w:p>
            <w:pPr>
              <w:pStyle w:val="18"/>
              <w:spacing w:before="14"/>
              <w:ind w:left="456" w:right="447"/>
              <w:jc w:val="center"/>
              <w:rPr>
                <w:rStyle w:val="15"/>
                <w:sz w:val="21"/>
                <w:szCs w:val="21"/>
              </w:rPr>
            </w:pPr>
            <w:r>
              <w:rPr>
                <w:rStyle w:val="15"/>
                <w:sz w:val="21"/>
                <w:szCs w:val="21"/>
              </w:rPr>
              <w:t>平地机</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4"/>
              <w:ind w:left="279"/>
              <w:rPr>
                <w:rStyle w:val="15"/>
                <w:sz w:val="21"/>
                <w:szCs w:val="21"/>
              </w:rPr>
            </w:pPr>
            <w:r>
              <w:rPr>
                <w:rStyle w:val="15"/>
                <w:sz w:val="21"/>
                <w:szCs w:val="21"/>
              </w:rPr>
              <w:t>4</w:t>
            </w:r>
          </w:p>
        </w:tc>
        <w:tc>
          <w:tcPr>
            <w:tcW w:w="3549" w:type="dxa"/>
          </w:tcPr>
          <w:p>
            <w:pPr>
              <w:pStyle w:val="18"/>
              <w:spacing w:before="14"/>
              <w:ind w:left="456" w:right="447"/>
              <w:jc w:val="center"/>
              <w:rPr>
                <w:rStyle w:val="15"/>
                <w:sz w:val="21"/>
                <w:szCs w:val="21"/>
              </w:rPr>
            </w:pPr>
            <w:r>
              <w:rPr>
                <w:rStyle w:val="15"/>
                <w:sz w:val="21"/>
                <w:szCs w:val="21"/>
              </w:rPr>
              <w:t>推土机</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5"/>
              <w:ind w:left="279"/>
              <w:rPr>
                <w:rStyle w:val="15"/>
                <w:sz w:val="21"/>
                <w:szCs w:val="21"/>
              </w:rPr>
            </w:pPr>
            <w:r>
              <w:rPr>
                <w:rStyle w:val="15"/>
                <w:sz w:val="21"/>
                <w:szCs w:val="21"/>
              </w:rPr>
              <w:t>5</w:t>
            </w:r>
          </w:p>
        </w:tc>
        <w:tc>
          <w:tcPr>
            <w:tcW w:w="3549" w:type="dxa"/>
          </w:tcPr>
          <w:p>
            <w:pPr>
              <w:pStyle w:val="18"/>
              <w:spacing w:before="15"/>
              <w:ind w:left="456" w:right="449"/>
              <w:jc w:val="center"/>
              <w:rPr>
                <w:rStyle w:val="15"/>
                <w:sz w:val="21"/>
                <w:szCs w:val="21"/>
              </w:rPr>
            </w:pPr>
            <w:r>
              <w:rPr>
                <w:rStyle w:val="15"/>
                <w:sz w:val="21"/>
                <w:szCs w:val="21"/>
              </w:rPr>
              <w:t>石方爆破潜孔钻机</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5"/>
              <w:ind w:left="279"/>
              <w:rPr>
                <w:rStyle w:val="15"/>
                <w:sz w:val="21"/>
                <w:szCs w:val="21"/>
              </w:rPr>
            </w:pPr>
            <w:r>
              <w:rPr>
                <w:rStyle w:val="15"/>
                <w:sz w:val="21"/>
                <w:szCs w:val="21"/>
              </w:rPr>
              <w:t>6</w:t>
            </w:r>
          </w:p>
        </w:tc>
        <w:tc>
          <w:tcPr>
            <w:tcW w:w="3549" w:type="dxa"/>
          </w:tcPr>
          <w:p>
            <w:pPr>
              <w:pStyle w:val="18"/>
              <w:spacing w:before="15"/>
              <w:ind w:left="456" w:right="449"/>
              <w:jc w:val="center"/>
              <w:rPr>
                <w:rStyle w:val="15"/>
                <w:sz w:val="21"/>
                <w:szCs w:val="21"/>
              </w:rPr>
            </w:pPr>
            <w:r>
              <w:rPr>
                <w:rStyle w:val="15"/>
                <w:sz w:val="21"/>
                <w:szCs w:val="21"/>
              </w:rPr>
              <w:t>振动压路机</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6"/>
              <w:ind w:left="279"/>
              <w:rPr>
                <w:rStyle w:val="15"/>
                <w:sz w:val="21"/>
                <w:szCs w:val="21"/>
              </w:rPr>
            </w:pPr>
            <w:r>
              <w:rPr>
                <w:rStyle w:val="15"/>
                <w:sz w:val="21"/>
                <w:szCs w:val="21"/>
              </w:rPr>
              <w:t>7</w:t>
            </w:r>
          </w:p>
        </w:tc>
        <w:tc>
          <w:tcPr>
            <w:tcW w:w="3549" w:type="dxa"/>
          </w:tcPr>
          <w:p>
            <w:pPr>
              <w:pStyle w:val="18"/>
              <w:spacing w:before="16"/>
              <w:ind w:left="456" w:right="447"/>
              <w:jc w:val="center"/>
              <w:rPr>
                <w:rStyle w:val="15"/>
                <w:sz w:val="21"/>
                <w:szCs w:val="21"/>
              </w:rPr>
            </w:pPr>
            <w:r>
              <w:rPr>
                <w:rStyle w:val="15"/>
                <w:sz w:val="21"/>
                <w:szCs w:val="21"/>
              </w:rPr>
              <w:t>预应力数控智能张拉系统</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4"/>
              <w:ind w:left="279"/>
              <w:rPr>
                <w:rStyle w:val="15"/>
                <w:sz w:val="21"/>
                <w:szCs w:val="21"/>
              </w:rPr>
            </w:pPr>
            <w:r>
              <w:rPr>
                <w:rStyle w:val="15"/>
                <w:sz w:val="21"/>
                <w:szCs w:val="21"/>
              </w:rPr>
              <w:t>8</w:t>
            </w:r>
          </w:p>
        </w:tc>
        <w:tc>
          <w:tcPr>
            <w:tcW w:w="3549" w:type="dxa"/>
          </w:tcPr>
          <w:p>
            <w:pPr>
              <w:pStyle w:val="18"/>
              <w:spacing w:before="14"/>
              <w:ind w:left="456" w:right="449"/>
              <w:jc w:val="center"/>
              <w:rPr>
                <w:rStyle w:val="15"/>
                <w:sz w:val="21"/>
                <w:szCs w:val="21"/>
              </w:rPr>
            </w:pPr>
            <w:r>
              <w:rPr>
                <w:rStyle w:val="15"/>
                <w:sz w:val="21"/>
                <w:szCs w:val="21"/>
              </w:rPr>
              <w:t>智能循环压浆设备</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4"/>
              <w:ind w:left="279"/>
              <w:rPr>
                <w:rStyle w:val="15"/>
                <w:sz w:val="21"/>
                <w:szCs w:val="21"/>
              </w:rPr>
            </w:pPr>
            <w:r>
              <w:rPr>
                <w:rStyle w:val="15"/>
                <w:sz w:val="21"/>
                <w:szCs w:val="21"/>
              </w:rPr>
              <w:t>9</w:t>
            </w:r>
          </w:p>
        </w:tc>
        <w:tc>
          <w:tcPr>
            <w:tcW w:w="3549" w:type="dxa"/>
          </w:tcPr>
          <w:p>
            <w:pPr>
              <w:pStyle w:val="18"/>
              <w:spacing w:before="14"/>
              <w:ind w:left="456" w:right="447"/>
              <w:jc w:val="center"/>
              <w:rPr>
                <w:rStyle w:val="15"/>
                <w:sz w:val="21"/>
                <w:szCs w:val="21"/>
              </w:rPr>
            </w:pPr>
            <w:r>
              <w:rPr>
                <w:rStyle w:val="15"/>
                <w:sz w:val="21"/>
                <w:szCs w:val="21"/>
              </w:rPr>
              <w:t>混凝土自动喷淋养护系统</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4"/>
              <w:ind w:left="226"/>
              <w:rPr>
                <w:rStyle w:val="15"/>
                <w:sz w:val="21"/>
                <w:szCs w:val="21"/>
              </w:rPr>
            </w:pPr>
            <w:r>
              <w:rPr>
                <w:rStyle w:val="15"/>
                <w:sz w:val="21"/>
                <w:szCs w:val="21"/>
              </w:rPr>
              <w:t>10</w:t>
            </w:r>
          </w:p>
        </w:tc>
        <w:tc>
          <w:tcPr>
            <w:tcW w:w="3549" w:type="dxa"/>
          </w:tcPr>
          <w:p>
            <w:pPr>
              <w:pStyle w:val="18"/>
              <w:spacing w:before="14"/>
              <w:ind w:left="453" w:right="449"/>
              <w:jc w:val="center"/>
              <w:rPr>
                <w:rStyle w:val="15"/>
                <w:sz w:val="21"/>
                <w:szCs w:val="21"/>
              </w:rPr>
            </w:pPr>
            <w:r>
              <w:rPr>
                <w:rStyle w:val="15"/>
                <w:sz w:val="21"/>
                <w:szCs w:val="21"/>
              </w:rPr>
              <w:t>砼搅拌运输车</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5" w:type="dxa"/>
          </w:tcPr>
          <w:p>
            <w:pPr>
              <w:pStyle w:val="18"/>
              <w:spacing w:before="144"/>
              <w:ind w:left="226"/>
              <w:rPr>
                <w:rStyle w:val="15"/>
                <w:sz w:val="21"/>
                <w:szCs w:val="21"/>
              </w:rPr>
            </w:pPr>
            <w:r>
              <w:rPr>
                <w:rStyle w:val="15"/>
                <w:sz w:val="21"/>
                <w:szCs w:val="21"/>
              </w:rPr>
              <w:t>11</w:t>
            </w:r>
          </w:p>
        </w:tc>
        <w:tc>
          <w:tcPr>
            <w:tcW w:w="3549" w:type="dxa"/>
          </w:tcPr>
          <w:p>
            <w:pPr>
              <w:pStyle w:val="18"/>
              <w:spacing w:line="271" w:lineRule="exact"/>
              <w:ind w:left="453" w:right="449"/>
              <w:jc w:val="center"/>
              <w:rPr>
                <w:rStyle w:val="15"/>
                <w:sz w:val="21"/>
                <w:szCs w:val="21"/>
              </w:rPr>
            </w:pPr>
            <w:r>
              <w:rPr>
                <w:rStyle w:val="15"/>
                <w:sz w:val="21"/>
                <w:szCs w:val="21"/>
              </w:rPr>
              <w:t>集中拌和场或</w:t>
            </w:r>
          </w:p>
          <w:p>
            <w:pPr>
              <w:pStyle w:val="18"/>
              <w:spacing w:before="25"/>
              <w:ind w:left="456" w:right="449"/>
              <w:jc w:val="center"/>
              <w:rPr>
                <w:rStyle w:val="15"/>
                <w:sz w:val="21"/>
                <w:szCs w:val="21"/>
              </w:rPr>
            </w:pPr>
            <w:r>
              <w:rPr>
                <w:rStyle w:val="15"/>
                <w:sz w:val="21"/>
                <w:szCs w:val="21"/>
              </w:rPr>
              <w:t>预制场的自动计量水泥拌和站</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4"/>
              <w:ind w:left="226"/>
              <w:rPr>
                <w:rStyle w:val="15"/>
                <w:sz w:val="21"/>
                <w:szCs w:val="21"/>
              </w:rPr>
            </w:pPr>
            <w:r>
              <w:rPr>
                <w:rStyle w:val="15"/>
                <w:sz w:val="21"/>
                <w:szCs w:val="21"/>
              </w:rPr>
              <w:t>12</w:t>
            </w:r>
          </w:p>
        </w:tc>
        <w:tc>
          <w:tcPr>
            <w:tcW w:w="3549" w:type="dxa"/>
          </w:tcPr>
          <w:p>
            <w:pPr>
              <w:pStyle w:val="18"/>
              <w:spacing w:before="14"/>
              <w:ind w:left="453" w:right="449"/>
              <w:jc w:val="center"/>
              <w:rPr>
                <w:rStyle w:val="15"/>
                <w:sz w:val="21"/>
                <w:szCs w:val="21"/>
              </w:rPr>
            </w:pPr>
            <w:r>
              <w:rPr>
                <w:rStyle w:val="15"/>
                <w:sz w:val="21"/>
                <w:szCs w:val="21"/>
              </w:rPr>
              <w:t>自动计量水泥砼拌和站</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5"/>
              <w:ind w:left="226"/>
              <w:rPr>
                <w:rStyle w:val="15"/>
                <w:sz w:val="21"/>
                <w:szCs w:val="21"/>
              </w:rPr>
            </w:pPr>
            <w:r>
              <w:rPr>
                <w:rStyle w:val="15"/>
                <w:sz w:val="21"/>
                <w:szCs w:val="21"/>
              </w:rPr>
              <w:t>13</w:t>
            </w:r>
          </w:p>
        </w:tc>
        <w:tc>
          <w:tcPr>
            <w:tcW w:w="3549" w:type="dxa"/>
          </w:tcPr>
          <w:p>
            <w:pPr>
              <w:pStyle w:val="18"/>
              <w:spacing w:before="15"/>
              <w:ind w:left="456" w:right="447"/>
              <w:jc w:val="center"/>
              <w:rPr>
                <w:rStyle w:val="15"/>
                <w:sz w:val="21"/>
                <w:szCs w:val="21"/>
              </w:rPr>
            </w:pPr>
            <w:r>
              <w:rPr>
                <w:rStyle w:val="15"/>
                <w:sz w:val="21"/>
                <w:szCs w:val="21"/>
              </w:rPr>
              <w:t>洒水车</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Pr>
          <w:p>
            <w:pPr>
              <w:pStyle w:val="18"/>
              <w:spacing w:before="15"/>
              <w:ind w:left="226"/>
              <w:rPr>
                <w:rStyle w:val="15"/>
                <w:sz w:val="21"/>
                <w:szCs w:val="21"/>
              </w:rPr>
            </w:pPr>
            <w:r>
              <w:rPr>
                <w:rStyle w:val="15"/>
                <w:sz w:val="21"/>
                <w:szCs w:val="21"/>
              </w:rPr>
              <w:t>14</w:t>
            </w:r>
          </w:p>
        </w:tc>
        <w:tc>
          <w:tcPr>
            <w:tcW w:w="3549" w:type="dxa"/>
          </w:tcPr>
          <w:p>
            <w:pPr>
              <w:pStyle w:val="18"/>
              <w:spacing w:before="15"/>
              <w:ind w:left="456" w:right="449"/>
              <w:jc w:val="center"/>
              <w:rPr>
                <w:rStyle w:val="15"/>
                <w:sz w:val="21"/>
                <w:szCs w:val="21"/>
              </w:rPr>
            </w:pPr>
            <w:r>
              <w:rPr>
                <w:rStyle w:val="15"/>
                <w:sz w:val="21"/>
                <w:szCs w:val="21"/>
              </w:rPr>
              <w:t>砼抗渗仪</w:t>
            </w:r>
          </w:p>
        </w:tc>
        <w:tc>
          <w:tcPr>
            <w:tcW w:w="3549" w:type="dxa"/>
          </w:tcPr>
          <w:p>
            <w:pPr>
              <w:pStyle w:val="18"/>
              <w:rPr>
                <w:rStyle w:val="15"/>
                <w:sz w:val="21"/>
                <w:szCs w:val="21"/>
              </w:rPr>
            </w:pPr>
          </w:p>
        </w:tc>
        <w:tc>
          <w:tcPr>
            <w:tcW w:w="1275" w:type="dxa"/>
          </w:tcPr>
          <w:p>
            <w:pPr>
              <w:pStyle w:val="18"/>
              <w:rPr>
                <w:rStyle w:val="15"/>
                <w:sz w:val="21"/>
                <w:szCs w:val="21"/>
              </w:rPr>
            </w:pPr>
          </w:p>
        </w:tc>
        <w:tc>
          <w:tcPr>
            <w:tcW w:w="1276" w:type="dxa"/>
          </w:tcPr>
          <w:p>
            <w:pPr>
              <w:pStyle w:val="18"/>
              <w:rPr>
                <w:rStyle w:val="15"/>
                <w:sz w:val="21"/>
                <w:szCs w:val="21"/>
              </w:rPr>
            </w:pPr>
          </w:p>
        </w:tc>
      </w:tr>
    </w:tbl>
    <w:p>
      <w:pPr>
        <w:spacing w:after="0"/>
        <w:rPr>
          <w:rFonts w:ascii="Times New Roman"/>
          <w:sz w:val="20"/>
        </w:rPr>
        <w:sectPr>
          <w:pgSz w:w="11910" w:h="16840"/>
          <w:pgMar w:top="1000" w:right="740" w:bottom="760" w:left="620" w:header="808" w:footer="575" w:gutter="0"/>
          <w:pgNumType w:fmt="decimal"/>
        </w:sectPr>
      </w:pPr>
    </w:p>
    <w:p>
      <w:pPr>
        <w:pStyle w:val="3"/>
        <w:spacing w:before="8"/>
        <w:rPr>
          <w:b/>
          <w:sz w:val="12"/>
        </w:rPr>
      </w:pPr>
    </w:p>
    <w:p>
      <w:pPr>
        <w:spacing w:before="34"/>
        <w:ind w:left="112" w:right="0" w:firstLine="0"/>
        <w:jc w:val="left"/>
        <w:rPr>
          <w:rStyle w:val="15"/>
          <w:b/>
          <w:bCs/>
          <w:sz w:val="21"/>
          <w:szCs w:val="21"/>
        </w:rPr>
      </w:pPr>
      <w:r>
        <w:rPr>
          <w:rStyle w:val="15"/>
          <w:b/>
          <w:bCs/>
          <w:sz w:val="21"/>
          <w:szCs w:val="21"/>
        </w:rPr>
        <w:t>附件六：项目经理委托书</w:t>
      </w:r>
    </w:p>
    <w:p>
      <w:pPr>
        <w:pStyle w:val="3"/>
        <w:rPr>
          <w:rStyle w:val="15"/>
          <w:b/>
          <w:bCs/>
          <w:sz w:val="21"/>
          <w:szCs w:val="21"/>
        </w:rPr>
      </w:pPr>
    </w:p>
    <w:p>
      <w:pPr>
        <w:pStyle w:val="3"/>
        <w:spacing w:before="7"/>
        <w:rPr>
          <w:rStyle w:val="15"/>
          <w:b/>
          <w:bCs/>
          <w:sz w:val="21"/>
          <w:szCs w:val="21"/>
        </w:rPr>
      </w:pPr>
    </w:p>
    <w:p>
      <w:pPr>
        <w:spacing w:before="35"/>
        <w:ind w:left="1" w:right="0" w:firstLine="0"/>
        <w:jc w:val="center"/>
        <w:rPr>
          <w:rStyle w:val="15"/>
          <w:b/>
          <w:bCs/>
          <w:sz w:val="21"/>
          <w:szCs w:val="21"/>
        </w:rPr>
      </w:pPr>
      <w:r>
        <w:rPr>
          <w:rStyle w:val="15"/>
          <w:b/>
          <w:bCs/>
          <w:sz w:val="21"/>
          <w:szCs w:val="21"/>
        </w:rPr>
        <w:t>经理委任书</w:t>
      </w:r>
    </w:p>
    <w:p>
      <w:pPr>
        <w:pStyle w:val="3"/>
        <w:rPr>
          <w:rStyle w:val="15"/>
          <w:b/>
          <w:bCs/>
          <w:sz w:val="21"/>
          <w:szCs w:val="21"/>
        </w:rPr>
      </w:pPr>
    </w:p>
    <w:p>
      <w:pPr>
        <w:pStyle w:val="3"/>
        <w:spacing w:before="1"/>
        <w:rPr>
          <w:b/>
          <w:sz w:val="20"/>
        </w:rPr>
      </w:pPr>
    </w:p>
    <w:p>
      <w:pPr>
        <w:pStyle w:val="3"/>
        <w:ind w:left="112"/>
        <w:rPr>
          <w:rStyle w:val="15"/>
        </w:rPr>
      </w:pPr>
      <w:r>
        <w:rPr>
          <w:rStyle w:val="15"/>
        </w:rPr>
        <w:t>致：</w:t>
      </w:r>
      <w:r>
        <w:rPr>
          <w:rStyle w:val="15"/>
          <w:rFonts w:hint="eastAsia"/>
          <w:u w:val="single"/>
          <w:lang w:val="en-US" w:eastAsia="zh-CN"/>
        </w:rPr>
        <w:t>富川瑶族自治县交通运输局</w:t>
      </w:r>
    </w:p>
    <w:p>
      <w:pPr>
        <w:pStyle w:val="3"/>
        <w:tabs>
          <w:tab w:val="left" w:pos="2000"/>
          <w:tab w:val="left" w:pos="3891"/>
          <w:tab w:val="left" w:pos="6411"/>
          <w:tab w:val="left" w:pos="9687"/>
        </w:tabs>
        <w:spacing w:before="126" w:line="348" w:lineRule="auto"/>
        <w:ind w:left="112" w:right="108" w:firstLine="420"/>
        <w:jc w:val="both"/>
      </w:pPr>
      <w:r>
        <w:rPr>
          <w:rFonts w:ascii="Times New Roman" w:hAnsi="Times New Roman" w:eastAsia="Times New Roman"/>
          <w:w w:val="99"/>
          <w:u w:val="single"/>
        </w:rPr>
        <w:t xml:space="preserve"> </w:t>
      </w:r>
      <w:r>
        <w:rPr>
          <w:rFonts w:ascii="Times New Roman" w:hAnsi="Times New Roman" w:eastAsia="Times New Roman"/>
          <w:u w:val="single"/>
        </w:rPr>
        <w:tab/>
      </w:r>
      <w:r>
        <w:rPr>
          <w:rFonts w:ascii="Times New Roman" w:hAnsi="Times New Roman" w:eastAsia="Times New Roman"/>
          <w:u w:val="single"/>
        </w:rPr>
        <w:tab/>
      </w:r>
      <w:r>
        <w:t>（承包人名称</w:t>
      </w:r>
      <w:r>
        <w:rPr>
          <w:spacing w:val="-22"/>
        </w:rPr>
        <w:t>，</w:t>
      </w:r>
      <w:r>
        <w:t>以下简</w:t>
      </w:r>
      <w:r>
        <w:rPr>
          <w:spacing w:val="-20"/>
        </w:rPr>
        <w:t>称</w:t>
      </w:r>
      <w:r>
        <w:t>“承包人</w:t>
      </w:r>
      <w:r>
        <w:rPr>
          <w:spacing w:val="-21"/>
        </w:rPr>
        <w:t>”）</w:t>
      </w:r>
      <w:r>
        <w:t>法定代表人</w:t>
      </w:r>
      <w:r>
        <w:rPr>
          <w:u w:val="single"/>
        </w:rPr>
        <w:t xml:space="preserve"> </w:t>
      </w:r>
      <w:r>
        <w:rPr>
          <w:u w:val="single"/>
        </w:rPr>
        <w:tab/>
      </w:r>
      <w:r>
        <w:rPr>
          <w:rStyle w:val="15"/>
        </w:rPr>
        <w:t>代表本</w:t>
      </w:r>
      <w:r>
        <w:rPr>
          <w:w w:val="95"/>
        </w:rPr>
        <w:t xml:space="preserve"> </w:t>
      </w:r>
      <w:r>
        <w:t>单位委任</w:t>
      </w:r>
      <w:r>
        <w:rPr>
          <w:u w:val="single"/>
        </w:rPr>
        <w:t xml:space="preserve"> </w:t>
      </w:r>
      <w:r>
        <w:rPr>
          <w:u w:val="single"/>
        </w:rPr>
        <w:tab/>
      </w:r>
      <w:r>
        <w:rPr>
          <w:w w:val="95"/>
        </w:rPr>
        <w:t>为</w:t>
      </w:r>
      <w:r>
        <w:rPr>
          <w:rStyle w:val="15"/>
          <w:rFonts w:hint="eastAsia"/>
          <w:u w:val="single"/>
          <w:lang w:eastAsia="zh-CN"/>
        </w:rPr>
        <w:t>富川县新华至莲山道路路面修复工程</w:t>
      </w:r>
      <w:r>
        <w:rPr>
          <w:rStyle w:val="15"/>
        </w:rPr>
        <w:t xml:space="preserve">的项目经理。凡本合同执行中的有关技术、工程 </w:t>
      </w:r>
      <w:r>
        <w:rPr>
          <w:w w:val="95"/>
        </w:rPr>
        <w:t xml:space="preserve">    </w:t>
      </w:r>
      <w:r>
        <w:t>进度、现场管理、质量检验、结算与支付等方面工作，由</w:t>
      </w:r>
      <w:r>
        <w:rPr>
          <w:u w:val="single"/>
        </w:rPr>
        <w:t xml:space="preserve"> </w:t>
      </w:r>
      <w:r>
        <w:rPr>
          <w:u w:val="single"/>
        </w:rPr>
        <w:tab/>
      </w:r>
      <w:r>
        <w:rPr>
          <w:rStyle w:val="15"/>
        </w:rPr>
        <w:t>代表本单位全面负责</w:t>
      </w:r>
      <w:r>
        <w:rPr>
          <w:w w:val="95"/>
        </w:rPr>
        <w:t>。</w:t>
      </w:r>
    </w:p>
    <w:p>
      <w:pPr>
        <w:pStyle w:val="3"/>
        <w:spacing w:before="11"/>
        <w:rPr>
          <w:sz w:val="32"/>
        </w:rPr>
      </w:pPr>
    </w:p>
    <w:p>
      <w:pPr>
        <w:pStyle w:val="3"/>
        <w:tabs>
          <w:tab w:val="left" w:pos="9056"/>
          <w:tab w:val="left" w:pos="9371"/>
        </w:tabs>
        <w:spacing w:line="350" w:lineRule="auto"/>
        <w:ind w:left="5276" w:right="110"/>
        <w:jc w:val="right"/>
      </w:pPr>
      <w:r>
        <w:t>承包人：</w:t>
      </w:r>
      <w:r>
        <w:rPr>
          <w:u w:val="single"/>
        </w:rPr>
        <w:t xml:space="preserve"> </w:t>
      </w:r>
      <w:r>
        <w:rPr>
          <w:u w:val="single"/>
        </w:rPr>
        <w:tab/>
      </w:r>
      <w:r>
        <w:rPr>
          <w:rStyle w:val="15"/>
        </w:rPr>
        <w:t>（盖单位章）</w:t>
      </w:r>
      <w:r>
        <w:rPr>
          <w:w w:val="95"/>
        </w:rPr>
        <w:t xml:space="preserve"> </w:t>
      </w:r>
      <w:r>
        <w:t>法定代表人：</w:t>
      </w:r>
      <w:r>
        <w:rPr>
          <w:u w:val="single"/>
        </w:rPr>
        <w:t xml:space="preserve"> </w:t>
      </w:r>
      <w:r>
        <w:rPr>
          <w:u w:val="single"/>
        </w:rPr>
        <w:tab/>
      </w:r>
      <w:r>
        <w:rPr>
          <w:u w:val="single"/>
        </w:rPr>
        <w:tab/>
      </w:r>
      <w:r>
        <w:rPr>
          <w:rStyle w:val="15"/>
        </w:rPr>
        <w:t>（签字）</w:t>
      </w:r>
      <w:r>
        <w:rPr>
          <w:spacing w:val="1"/>
          <w:u w:val="single"/>
        </w:rPr>
        <w:t xml:space="preserve"> </w:t>
      </w:r>
    </w:p>
    <w:p>
      <w:pPr>
        <w:pStyle w:val="3"/>
        <w:tabs>
          <w:tab w:val="left" w:pos="945"/>
          <w:tab w:val="left" w:pos="1574"/>
          <w:tab w:val="left" w:pos="2360"/>
        </w:tabs>
        <w:spacing w:before="29"/>
        <w:ind w:right="110"/>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3"/>
        <w:rPr>
          <w:sz w:val="22"/>
        </w:rPr>
      </w:pPr>
    </w:p>
    <w:p>
      <w:pPr>
        <w:pStyle w:val="3"/>
        <w:rPr>
          <w:sz w:val="18"/>
        </w:rPr>
      </w:pPr>
    </w:p>
    <w:p>
      <w:pPr>
        <w:pStyle w:val="3"/>
        <w:spacing w:before="1"/>
        <w:ind w:left="112"/>
      </w:pPr>
      <w:r>
        <w:t>抄送：</w:t>
      </w:r>
      <w:r>
        <w:rPr>
          <w:spacing w:val="100"/>
          <w:u w:val="single"/>
        </w:rPr>
        <w:t xml:space="preserve"> </w:t>
      </w:r>
      <w:r>
        <w:rPr>
          <w:u w:val="single"/>
        </w:rPr>
        <w:t>（监理人）</w:t>
      </w:r>
    </w:p>
    <w:p>
      <w:pPr>
        <w:spacing w:after="0"/>
        <w:sectPr>
          <w:pgSz w:w="11910" w:h="16840"/>
          <w:pgMar w:top="1000" w:right="740" w:bottom="760" w:left="740" w:header="808" w:footer="575" w:gutter="0"/>
          <w:pgNumType w:fmt="decimal"/>
        </w:sectPr>
      </w:pPr>
    </w:p>
    <w:p>
      <w:pPr>
        <w:pStyle w:val="3"/>
        <w:spacing w:before="8"/>
        <w:rPr>
          <w:sz w:val="12"/>
        </w:rPr>
      </w:pPr>
    </w:p>
    <w:p>
      <w:pPr>
        <w:pStyle w:val="9"/>
        <w:spacing w:before="34"/>
        <w:rPr>
          <w:rStyle w:val="15"/>
          <w:sz w:val="21"/>
          <w:szCs w:val="21"/>
        </w:rPr>
      </w:pPr>
      <w:r>
        <w:rPr>
          <w:rStyle w:val="15"/>
          <w:sz w:val="21"/>
          <w:szCs w:val="21"/>
        </w:rPr>
        <w:t>附件七：履约担保（另附）</w:t>
      </w:r>
    </w:p>
    <w:p>
      <w:pPr>
        <w:pStyle w:val="3"/>
        <w:rPr>
          <w:rStyle w:val="15"/>
          <w:sz w:val="21"/>
          <w:szCs w:val="21"/>
        </w:rPr>
      </w:pPr>
    </w:p>
    <w:p>
      <w:pPr>
        <w:pStyle w:val="3"/>
        <w:spacing w:before="2"/>
        <w:rPr>
          <w:rStyle w:val="15"/>
          <w:sz w:val="21"/>
          <w:szCs w:val="21"/>
        </w:rPr>
      </w:pPr>
    </w:p>
    <w:p>
      <w:pPr>
        <w:pStyle w:val="3"/>
        <w:ind w:left="532"/>
        <w:rPr>
          <w:rStyle w:val="15"/>
          <w:sz w:val="21"/>
          <w:szCs w:val="21"/>
        </w:rPr>
      </w:pPr>
      <w:r>
        <w:rPr>
          <w:rStyle w:val="15"/>
          <w:sz w:val="21"/>
          <w:szCs w:val="21"/>
        </w:rPr>
        <w:t>由承包人提供具有法律效力的且开具单位满足相关法律资格约束的履约担保。</w:t>
      </w:r>
    </w:p>
    <w:p>
      <w:pPr>
        <w:spacing w:after="0"/>
        <w:rPr>
          <w:rStyle w:val="15"/>
          <w:sz w:val="21"/>
          <w:szCs w:val="21"/>
        </w:rPr>
        <w:sectPr>
          <w:pgSz w:w="11910" w:h="16840"/>
          <w:pgMar w:top="1000" w:right="740" w:bottom="760" w:left="740" w:header="808" w:footer="575" w:gutter="0"/>
          <w:pgNumType w:fmt="decimal"/>
        </w:sectPr>
      </w:pPr>
    </w:p>
    <w:p>
      <w:pPr>
        <w:pStyle w:val="3"/>
        <w:spacing w:before="8"/>
        <w:rPr>
          <w:sz w:val="12"/>
        </w:rPr>
      </w:pPr>
    </w:p>
    <w:p>
      <w:pPr>
        <w:pStyle w:val="9"/>
        <w:spacing w:before="34"/>
        <w:rPr>
          <w:rStyle w:val="15"/>
          <w:sz w:val="21"/>
          <w:szCs w:val="21"/>
        </w:rPr>
      </w:pPr>
      <w:r>
        <w:rPr>
          <w:rStyle w:val="15"/>
          <w:sz w:val="21"/>
          <w:szCs w:val="21"/>
        </w:rPr>
        <w:t>附件八：预付款担保（无）</w:t>
      </w:r>
    </w:p>
    <w:p>
      <w:pPr>
        <w:pStyle w:val="3"/>
        <w:rPr>
          <w:rStyle w:val="15"/>
          <w:sz w:val="21"/>
          <w:szCs w:val="21"/>
        </w:rPr>
      </w:pPr>
    </w:p>
    <w:p>
      <w:pPr>
        <w:pStyle w:val="3"/>
        <w:spacing w:before="7"/>
        <w:rPr>
          <w:rStyle w:val="15"/>
          <w:sz w:val="21"/>
          <w:szCs w:val="21"/>
        </w:rPr>
      </w:pPr>
    </w:p>
    <w:p>
      <w:pPr>
        <w:spacing w:before="35"/>
        <w:ind w:left="4093" w:right="4169" w:firstLine="0"/>
        <w:jc w:val="center"/>
        <w:rPr>
          <w:rStyle w:val="15"/>
          <w:sz w:val="21"/>
          <w:szCs w:val="21"/>
        </w:rPr>
      </w:pPr>
      <w:r>
        <w:rPr>
          <w:rStyle w:val="15"/>
          <w:sz w:val="21"/>
          <w:szCs w:val="21"/>
        </w:rPr>
        <w:t>预付款担保</w:t>
      </w:r>
    </w:p>
    <w:p>
      <w:pPr>
        <w:pStyle w:val="3"/>
        <w:rPr>
          <w:b/>
          <w:sz w:val="20"/>
        </w:rPr>
      </w:pPr>
    </w:p>
    <w:p>
      <w:pPr>
        <w:pStyle w:val="3"/>
        <w:spacing w:before="1"/>
        <w:rPr>
          <w:b/>
          <w:sz w:val="20"/>
        </w:rPr>
      </w:pPr>
    </w:p>
    <w:p>
      <w:pPr>
        <w:pStyle w:val="3"/>
        <w:ind w:left="112"/>
        <w:rPr>
          <w:rStyle w:val="15"/>
        </w:rPr>
      </w:pPr>
      <w:r>
        <w:rPr>
          <w:rStyle w:val="15"/>
          <w:rFonts w:hint="eastAsia"/>
          <w:u w:val="single"/>
          <w:lang w:val="en-US" w:eastAsia="zh-CN"/>
        </w:rPr>
        <w:t>富川瑶族自治县交通运输局</w:t>
      </w:r>
      <w:r>
        <w:rPr>
          <w:rStyle w:val="15"/>
        </w:rPr>
        <w:t>（发包人名称）：</w:t>
      </w:r>
    </w:p>
    <w:p>
      <w:pPr>
        <w:pStyle w:val="3"/>
        <w:tabs>
          <w:tab w:val="left" w:pos="4225"/>
          <w:tab w:val="left" w:pos="4299"/>
        </w:tabs>
        <w:spacing w:before="126" w:line="350" w:lineRule="auto"/>
        <w:ind w:left="112" w:right="185" w:firstLine="420"/>
        <w:jc w:val="both"/>
        <w:rPr>
          <w:rStyle w:val="15"/>
        </w:rPr>
      </w:pPr>
      <w:r>
        <w:t>根据</w:t>
      </w:r>
      <w:r>
        <w:rPr>
          <w:u w:val="single"/>
        </w:rPr>
        <w:t xml:space="preserve"> </w:t>
      </w:r>
      <w:r>
        <w:rPr>
          <w:u w:val="single"/>
        </w:rPr>
        <w:tab/>
      </w:r>
      <w:r>
        <w:rPr>
          <w:u w:val="single"/>
        </w:rPr>
        <w:tab/>
      </w:r>
      <w:r>
        <w:t>（承包人名称</w:t>
      </w:r>
      <w:r>
        <w:rPr>
          <w:spacing w:val="-15"/>
        </w:rPr>
        <w:t>，</w:t>
      </w:r>
      <w:r>
        <w:t>以下简</w:t>
      </w:r>
      <w:r>
        <w:rPr>
          <w:spacing w:val="-13"/>
        </w:rPr>
        <w:t>称</w:t>
      </w:r>
      <w:r>
        <w:t>“承包人</w:t>
      </w:r>
      <w:r>
        <w:rPr>
          <w:spacing w:val="-14"/>
        </w:rPr>
        <w:t>”）</w:t>
      </w:r>
      <w:r>
        <w:t>与</w:t>
      </w:r>
      <w:r>
        <w:rPr>
          <w:color w:val="auto"/>
          <w:spacing w:val="-10"/>
          <w:u w:val="single"/>
        </w:rPr>
        <w:t xml:space="preserve"> </w:t>
      </w:r>
      <w:r>
        <w:rPr>
          <w:rFonts w:hint="eastAsia"/>
          <w:color w:val="auto"/>
          <w:u w:val="single"/>
          <w:lang w:eastAsia="zh-CN"/>
        </w:rPr>
        <w:t>富川瑶族自治</w:t>
      </w:r>
      <w:r>
        <w:rPr>
          <w:u w:val="single"/>
        </w:rPr>
        <w:t>县交通运输局</w:t>
      </w:r>
      <w:r>
        <w:rPr>
          <w:spacing w:val="-20"/>
          <w:u w:val="single"/>
        </w:rPr>
        <w:t xml:space="preserve"> </w:t>
      </w:r>
      <w:r>
        <w:t>（发包人名称</w:t>
      </w:r>
      <w:r>
        <w:rPr>
          <w:spacing w:val="-29"/>
        </w:rPr>
        <w:t>）（</w:t>
      </w:r>
      <w:r>
        <w:t>以下简称“发包人</w:t>
      </w:r>
      <w:r>
        <w:rPr>
          <w:spacing w:val="-14"/>
        </w:rPr>
        <w:t>”）</w:t>
      </w:r>
      <w:r>
        <w:t>于</w:t>
      </w:r>
      <w:r>
        <w:rPr>
          <w:u w:val="single"/>
        </w:rPr>
        <w:t xml:space="preserve"> </w:t>
      </w:r>
      <w:r>
        <w:rPr>
          <w:u w:val="single"/>
        </w:rPr>
        <w:tab/>
      </w:r>
      <w:r>
        <w:t>年</w:t>
      </w:r>
      <w:r>
        <w:rPr>
          <w:u w:val="single"/>
        </w:rPr>
        <w:t xml:space="preserve">  </w:t>
      </w:r>
      <w:r>
        <w:rPr>
          <w:spacing w:val="100"/>
          <w:u w:val="single"/>
        </w:rPr>
        <w:t xml:space="preserve"> </w:t>
      </w:r>
      <w:r>
        <w:t>月</w:t>
      </w:r>
      <w:r>
        <w:rPr>
          <w:u w:val="single"/>
        </w:rPr>
        <w:t xml:space="preserve">  </w:t>
      </w:r>
      <w:r>
        <w:rPr>
          <w:spacing w:val="98"/>
          <w:u w:val="single"/>
        </w:rPr>
        <w:t xml:space="preserve"> </w:t>
      </w:r>
      <w:r>
        <w:t>日签订的</w:t>
      </w:r>
      <w:r>
        <w:rPr>
          <w:rFonts w:hint="eastAsia"/>
          <w:u w:val="single"/>
          <w:lang w:eastAsia="zh-CN"/>
        </w:rPr>
        <w:t>富川县新华至莲山道路路面修复工程</w:t>
      </w:r>
      <w:r>
        <w:t>施</w:t>
      </w:r>
      <w:r>
        <w:rPr>
          <w:w w:val="95"/>
        </w:rPr>
        <w:t>工承</w:t>
      </w:r>
      <w:r>
        <w:rPr>
          <w:rStyle w:val="15"/>
        </w:rPr>
        <w:t>包合同，承包人按约定的金额向发包人提交一份预付款担保，即有权得到发包人支付相等金额的预付款。我    方愿意就你方提供给承包人的预付款提供担保。</w:t>
      </w:r>
    </w:p>
    <w:p>
      <w:pPr>
        <w:pStyle w:val="3"/>
        <w:tabs>
          <w:tab w:val="left" w:pos="4940"/>
          <w:tab w:val="left" w:pos="6306"/>
        </w:tabs>
        <w:spacing w:before="27"/>
        <w:ind w:left="532"/>
      </w:pPr>
      <w:r>
        <w:t>1.担保金额（人民币：大写）</w:t>
      </w:r>
      <w:r>
        <w:rPr>
          <w:u w:val="single"/>
        </w:rPr>
        <w:t xml:space="preserve"> </w:t>
      </w:r>
      <w:r>
        <w:rPr>
          <w:u w:val="single"/>
        </w:rPr>
        <w:tab/>
      </w:r>
      <w:r>
        <w:t>（¥</w:t>
      </w:r>
      <w:r>
        <w:rPr>
          <w:u w:val="single"/>
        </w:rPr>
        <w:t xml:space="preserve"> </w:t>
      </w:r>
      <w:r>
        <w:rPr>
          <w:u w:val="single"/>
        </w:rPr>
        <w:tab/>
      </w:r>
      <w:r>
        <w:rPr>
          <w:spacing w:val="-1"/>
          <w:w w:val="95"/>
        </w:rPr>
        <w:t>）</w:t>
      </w:r>
      <w:r>
        <w:rPr>
          <w:w w:val="95"/>
        </w:rPr>
        <w:t>。</w:t>
      </w:r>
    </w:p>
    <w:p>
      <w:pPr>
        <w:pStyle w:val="3"/>
        <w:spacing w:before="126"/>
        <w:ind w:left="532"/>
        <w:rPr>
          <w:rStyle w:val="15"/>
        </w:rPr>
      </w:pPr>
      <w:r>
        <w:rPr>
          <w:rStyle w:val="15"/>
        </w:rPr>
        <w:t>2.担保有效期自预付款支付给承包人起生效，至发包人签发的进度付款证书说明已完全扣清止。</w:t>
      </w:r>
    </w:p>
    <w:p>
      <w:pPr>
        <w:pStyle w:val="3"/>
        <w:spacing w:before="126" w:line="348" w:lineRule="auto"/>
        <w:ind w:left="112" w:right="105" w:firstLine="420"/>
        <w:rPr>
          <w:rStyle w:val="15"/>
        </w:rPr>
      </w:pPr>
      <w:r>
        <w:rPr>
          <w:rStyle w:val="15"/>
        </w:rPr>
        <w:t>3.在本保函有效期内，因承包人违反合同约定的义务而要求收回预付款时，我方在收到你方的书面通知后，   在 7 天内无条件支付，无须你方出具证明或陈述理由。但本保函的担保金额，在任何时候不应超过预付款金额减去发包人按合同约定在向承包人签发的进度付款证书中扣除的金额。</w:t>
      </w:r>
    </w:p>
    <w:p>
      <w:pPr>
        <w:pStyle w:val="3"/>
        <w:spacing w:before="31"/>
        <w:ind w:left="532"/>
        <w:rPr>
          <w:rStyle w:val="15"/>
        </w:rPr>
      </w:pPr>
      <w:r>
        <w:rPr>
          <w:rStyle w:val="15"/>
        </w:rPr>
        <w:t>4.发包人和承包人按合同条款第 15 条变更合同时，我方承担本保函规定的义务不变。</w:t>
      </w:r>
    </w:p>
    <w:p>
      <w:pPr>
        <w:pStyle w:val="3"/>
        <w:spacing w:before="123"/>
        <w:ind w:left="532"/>
        <w:rPr>
          <w:rStyle w:val="15"/>
        </w:rPr>
      </w:pPr>
      <w:r>
        <w:rPr>
          <w:rStyle w:val="15"/>
        </w:rPr>
        <w:t>5.本担保函一经开出，除非受益人（即发包人）同意，在有效期内本担保不得撤销。</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tabs>
          <w:tab w:val="left" w:pos="2840"/>
          <w:tab w:val="left" w:pos="3471"/>
        </w:tabs>
        <w:spacing w:before="156" w:line="350" w:lineRule="auto"/>
        <w:ind w:left="112" w:right="5010" w:rightChars="0"/>
        <w:rPr>
          <w:rStyle w:val="15"/>
        </w:rPr>
      </w:pPr>
      <w:r>
        <w:t>担保人：</w:t>
      </w:r>
      <w:r>
        <w:rPr>
          <w:u w:val="single"/>
        </w:rPr>
        <w:t xml:space="preserve"> </w:t>
      </w:r>
      <w:r>
        <w:rPr>
          <w:u w:val="single"/>
        </w:rPr>
        <w:tab/>
      </w:r>
      <w:r>
        <w:rPr>
          <w:rStyle w:val="15"/>
        </w:rPr>
        <w:t xml:space="preserve">（盖单位章） </w:t>
      </w:r>
    </w:p>
    <w:p>
      <w:pPr>
        <w:pStyle w:val="3"/>
        <w:tabs>
          <w:tab w:val="left" w:pos="2840"/>
          <w:tab w:val="left" w:pos="3471"/>
        </w:tabs>
        <w:spacing w:before="156" w:line="350" w:lineRule="auto"/>
        <w:ind w:left="112" w:right="5010" w:rightChars="0"/>
        <w:rPr>
          <w:w w:val="95"/>
        </w:rPr>
      </w:pPr>
      <w:r>
        <w:rPr>
          <w:rStyle w:val="15"/>
        </w:rPr>
        <w:t>法定代表人或其委托代理人</w:t>
      </w:r>
      <w:r>
        <w:rPr>
          <w:w w:val="95"/>
        </w:rPr>
        <w:t>：</w:t>
      </w:r>
      <w:r>
        <w:rPr>
          <w:w w:val="95"/>
          <w:u w:val="single"/>
        </w:rPr>
        <w:t xml:space="preserve"> </w:t>
      </w:r>
      <w:r>
        <w:rPr>
          <w:w w:val="95"/>
          <w:u w:val="single"/>
        </w:rPr>
        <w:tab/>
      </w:r>
      <w:r>
        <w:rPr>
          <w:w w:val="95"/>
          <w:u w:val="single"/>
        </w:rPr>
        <w:tab/>
      </w:r>
      <w:r>
        <w:rPr>
          <w:rStyle w:val="15"/>
        </w:rPr>
        <w:t>（签字）</w:t>
      </w:r>
    </w:p>
    <w:p>
      <w:pPr>
        <w:pStyle w:val="3"/>
        <w:tabs>
          <w:tab w:val="left" w:pos="2840"/>
          <w:tab w:val="left" w:pos="3471"/>
        </w:tabs>
        <w:spacing w:before="156" w:line="350" w:lineRule="auto"/>
        <w:ind w:left="112" w:right="5010" w:rightChars="0"/>
        <w:rPr>
          <w:rFonts w:ascii="Times New Roman" w:eastAsia="Times New Roman"/>
        </w:rPr>
      </w:pPr>
      <w:r>
        <w:rPr>
          <w:rStyle w:val="15"/>
        </w:rPr>
        <w:t xml:space="preserve"> 地址：</w:t>
      </w:r>
      <w:r>
        <w:rPr>
          <w:w w:val="95"/>
          <w:u w:val="single"/>
        </w:rPr>
        <w:tab/>
      </w:r>
      <w:r>
        <w:rPr>
          <w:w w:val="95"/>
          <w:u w:val="single"/>
        </w:rPr>
        <w:tab/>
      </w:r>
      <w:r>
        <w:rPr>
          <w:w w:val="95"/>
          <w:u w:val="single"/>
        </w:rPr>
        <w:tab/>
      </w:r>
      <w:r>
        <w:rPr>
          <w:w w:val="95"/>
          <w:u w:val="single"/>
        </w:rPr>
        <w:t xml:space="preserve">                                   </w:t>
      </w:r>
      <w:r>
        <w:rPr>
          <w:rStyle w:val="15"/>
        </w:rPr>
        <w:t>邮政编码：</w:t>
      </w:r>
      <w:r>
        <w:rPr>
          <w:w w:val="95"/>
          <w:u w:val="single"/>
        </w:rPr>
        <w:tab/>
      </w:r>
      <w:r>
        <w:rPr>
          <w:w w:val="95"/>
          <w:u w:val="single"/>
        </w:rPr>
        <w:tab/>
      </w:r>
      <w:r>
        <w:rPr>
          <w:w w:val="95"/>
          <w:u w:val="single"/>
        </w:rPr>
        <w:tab/>
      </w:r>
      <w:r>
        <w:rPr>
          <w:w w:val="95"/>
          <w:u w:val="single"/>
        </w:rPr>
        <w:t xml:space="preserve">                             </w:t>
      </w:r>
      <w:r>
        <w:rPr>
          <w:spacing w:val="98"/>
          <w:w w:val="95"/>
          <w:u w:val="single"/>
        </w:rPr>
        <w:t xml:space="preserve"> </w:t>
      </w:r>
      <w:r>
        <w:rPr>
          <w:rStyle w:val="15"/>
        </w:rPr>
        <w:t>电话：</w:t>
      </w:r>
      <w:r>
        <w:rPr>
          <w:w w:val="95"/>
          <w:u w:val="single"/>
        </w:rPr>
        <w:tab/>
      </w:r>
      <w:r>
        <w:rPr>
          <w:w w:val="95"/>
          <w:u w:val="single"/>
        </w:rPr>
        <w:tab/>
      </w:r>
      <w:r>
        <w:rPr>
          <w:w w:val="95"/>
          <w:u w:val="single"/>
        </w:rPr>
        <w:tab/>
      </w:r>
      <w:r>
        <w:rPr>
          <w:w w:val="95"/>
          <w:u w:val="single"/>
        </w:rPr>
        <w:t xml:space="preserve">                                   </w:t>
      </w:r>
      <w:r>
        <w:rPr>
          <w:rStyle w:val="15"/>
        </w:rPr>
        <w:t>传真：</w:t>
      </w:r>
      <w:r>
        <w:rPr>
          <w:w w:val="95"/>
          <w:u w:val="single"/>
        </w:rPr>
        <w:tab/>
      </w:r>
      <w:r>
        <w:rPr>
          <w:w w:val="95"/>
          <w:u w:val="single"/>
        </w:rPr>
        <w:tab/>
      </w:r>
      <w:r>
        <w:rPr>
          <w:w w:val="95"/>
          <w:u w:val="single"/>
        </w:rPr>
        <w:tab/>
      </w:r>
      <w:r>
        <w:rPr>
          <w:w w:val="95"/>
          <w:u w:val="single"/>
        </w:rPr>
        <w:t xml:space="preserve">                                   </w:t>
      </w:r>
      <w:r>
        <w:rPr>
          <w:rStyle w:val="15"/>
        </w:rPr>
        <w:t>担保方的上级监管部门：</w:t>
      </w:r>
      <w:r>
        <w:rPr>
          <w:w w:val="95"/>
          <w:u w:val="single"/>
        </w:rPr>
        <w:tab/>
      </w:r>
      <w:r>
        <w:rPr>
          <w:w w:val="95"/>
          <w:u w:val="single"/>
        </w:rPr>
        <w:tab/>
      </w:r>
      <w:r>
        <w:rPr>
          <w:w w:val="95"/>
          <w:u w:val="single"/>
        </w:rPr>
        <w:tab/>
      </w:r>
      <w:r>
        <w:rPr>
          <w:w w:val="95"/>
          <w:u w:val="single"/>
        </w:rPr>
        <w:t xml:space="preserve">                  </w:t>
      </w:r>
      <w:r>
        <w:rPr>
          <w:rStyle w:val="15"/>
        </w:rPr>
        <w:t>监管部门联系人：</w:t>
      </w:r>
      <w:r>
        <w:rPr>
          <w:w w:val="95"/>
          <w:u w:val="single"/>
        </w:rPr>
        <w:tab/>
      </w:r>
      <w:r>
        <w:rPr>
          <w:w w:val="95"/>
          <w:u w:val="single"/>
        </w:rPr>
        <w:tab/>
      </w:r>
      <w:r>
        <w:rPr>
          <w:w w:val="95"/>
          <w:u w:val="single"/>
        </w:rPr>
        <w:tab/>
      </w:r>
      <w:r>
        <w:rPr>
          <w:w w:val="95"/>
          <w:u w:val="single"/>
        </w:rPr>
        <w:t xml:space="preserve">                        </w:t>
      </w:r>
      <w:r>
        <w:rPr>
          <w:rStyle w:val="15"/>
        </w:rPr>
        <w:t>监管部门联系电话：</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3"/>
        <w:tabs>
          <w:tab w:val="left" w:pos="1055"/>
          <w:tab w:val="left" w:pos="1686"/>
          <w:tab w:val="left" w:pos="2471"/>
        </w:tabs>
        <w:spacing w:before="29"/>
        <w:ind w:left="112"/>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spacing w:after="0"/>
        <w:sectPr>
          <w:pgSz w:w="11910" w:h="16840"/>
          <w:pgMar w:top="1000" w:right="660" w:bottom="760" w:left="740" w:header="808" w:footer="575" w:gutter="0"/>
          <w:pgNumType w:fmt="decimal"/>
        </w:sectPr>
      </w:pPr>
    </w:p>
    <w:p>
      <w:pPr>
        <w:pStyle w:val="3"/>
        <w:spacing w:before="8"/>
        <w:rPr>
          <w:sz w:val="12"/>
        </w:rPr>
      </w:pPr>
    </w:p>
    <w:p>
      <w:pPr>
        <w:pStyle w:val="9"/>
        <w:tabs>
          <w:tab w:val="left" w:pos="1057"/>
        </w:tabs>
        <w:spacing w:before="34"/>
        <w:rPr>
          <w:rStyle w:val="15"/>
        </w:rPr>
      </w:pPr>
      <w:r>
        <w:rPr>
          <w:rStyle w:val="15"/>
        </w:rPr>
        <w:t>附件九</w:t>
      </w:r>
      <w:r>
        <w:rPr>
          <w:rStyle w:val="15"/>
        </w:rPr>
        <w:tab/>
      </w:r>
      <w:r>
        <w:rPr>
          <w:rStyle w:val="15"/>
        </w:rPr>
        <w:t>工程资金监管协议</w:t>
      </w:r>
    </w:p>
    <w:p>
      <w:pPr>
        <w:pStyle w:val="3"/>
        <w:rPr>
          <w:rStyle w:val="15"/>
        </w:rPr>
      </w:pPr>
    </w:p>
    <w:p>
      <w:pPr>
        <w:pStyle w:val="3"/>
        <w:spacing w:before="2"/>
        <w:rPr>
          <w:rStyle w:val="15"/>
        </w:rPr>
      </w:pPr>
    </w:p>
    <w:p>
      <w:pPr>
        <w:pStyle w:val="3"/>
        <w:spacing w:line="348" w:lineRule="auto"/>
        <w:ind w:left="112" w:right="210"/>
        <w:rPr>
          <w:rStyle w:val="15"/>
        </w:rPr>
      </w:pPr>
      <w:r>
        <w:rPr>
          <w:rStyle w:val="15"/>
        </w:rPr>
        <w:t>（发包人与承包人签订合同协议书时应与发包人制订的银行签署工程资金监管协议，工程资金监管协议内容在保证本项目资金有效监管的前提下由三方共同商定）</w:t>
      </w:r>
    </w:p>
    <w:p>
      <w:pPr>
        <w:pStyle w:val="3"/>
        <w:rPr>
          <w:sz w:val="20"/>
        </w:rPr>
      </w:pPr>
    </w:p>
    <w:p>
      <w:pPr>
        <w:pStyle w:val="9"/>
        <w:spacing w:before="170"/>
        <w:ind w:left="3771" w:right="3867"/>
        <w:jc w:val="center"/>
        <w:rPr>
          <w:rFonts w:hint="eastAsia" w:ascii="黑体" w:eastAsia="黑体"/>
        </w:rPr>
      </w:pPr>
      <w:r>
        <w:rPr>
          <w:rFonts w:hint="eastAsia" w:ascii="黑体" w:eastAsia="黑体"/>
          <w:w w:val="95"/>
        </w:rPr>
        <w:t>工程资金监管协议</w:t>
      </w:r>
    </w:p>
    <w:p>
      <w:pPr>
        <w:pStyle w:val="3"/>
        <w:spacing w:before="123"/>
        <w:ind w:left="112"/>
        <w:rPr>
          <w:rStyle w:val="15"/>
        </w:rPr>
      </w:pPr>
      <w:r>
        <w:rPr>
          <w:rStyle w:val="15"/>
        </w:rPr>
        <w:t>发包人：</w:t>
      </w:r>
      <w:r>
        <w:rPr>
          <w:rStyle w:val="15"/>
          <w:rFonts w:hint="eastAsia"/>
          <w:u w:val="single"/>
          <w:lang w:val="en-US" w:eastAsia="zh-CN"/>
        </w:rPr>
        <w:t>富川瑶族自治县交通运输局</w:t>
      </w:r>
      <w:r>
        <w:rPr>
          <w:rStyle w:val="15"/>
        </w:rPr>
        <w:t>（以下简称“甲方”）</w:t>
      </w:r>
    </w:p>
    <w:p>
      <w:pPr>
        <w:pStyle w:val="3"/>
        <w:tabs>
          <w:tab w:val="left" w:pos="2631"/>
        </w:tabs>
        <w:spacing w:before="125" w:line="350" w:lineRule="auto"/>
        <w:ind w:left="112" w:right="3275"/>
      </w:pPr>
      <w:r>
        <w:t>承包</w:t>
      </w:r>
      <w:r>
        <w:rPr>
          <w:spacing w:val="-2"/>
        </w:rPr>
        <w:t xml:space="preserve"> </w:t>
      </w:r>
      <w:r>
        <w:t>人：</w:t>
      </w:r>
      <w:r>
        <w:rPr>
          <w:u w:val="single"/>
        </w:rPr>
        <w:t xml:space="preserve"> </w:t>
      </w:r>
      <w:r>
        <w:rPr>
          <w:u w:val="single"/>
        </w:rPr>
        <w:tab/>
      </w:r>
      <w:r>
        <w:rPr>
          <w:rStyle w:val="15"/>
        </w:rPr>
        <w:t>（承包人名称，以下简称“乙方”或“承包人”）</w:t>
      </w:r>
      <w:r>
        <w:rPr>
          <w:w w:val="95"/>
        </w:rPr>
        <w:t xml:space="preserve">   </w:t>
      </w:r>
      <w:r>
        <w:t>经办银行：</w:t>
      </w:r>
      <w:r>
        <w:rPr>
          <w:u w:val="single"/>
        </w:rPr>
        <w:t xml:space="preserve"> </w:t>
      </w:r>
      <w:r>
        <w:rPr>
          <w:u w:val="single"/>
        </w:rPr>
        <w:tab/>
      </w:r>
      <w:r>
        <w:rPr>
          <w:rStyle w:val="15"/>
        </w:rPr>
        <w:t>（以下简称“丙方”）</w:t>
      </w:r>
    </w:p>
    <w:p>
      <w:pPr>
        <w:pStyle w:val="3"/>
        <w:spacing w:before="8"/>
        <w:rPr>
          <w:sz w:val="32"/>
        </w:rPr>
      </w:pPr>
    </w:p>
    <w:p>
      <w:pPr>
        <w:pStyle w:val="3"/>
        <w:spacing w:line="348" w:lineRule="auto"/>
        <w:ind w:left="112" w:right="209" w:firstLine="420"/>
        <w:jc w:val="both"/>
        <w:rPr>
          <w:rStyle w:val="15"/>
        </w:rPr>
      </w:pPr>
      <w:r>
        <w:rPr>
          <w:rStyle w:val="15"/>
        </w:rPr>
        <w:t>为了促进</w:t>
      </w:r>
      <w:r>
        <w:rPr>
          <w:rStyle w:val="15"/>
          <w:rFonts w:hint="eastAsia"/>
          <w:u w:val="single"/>
          <w:lang w:eastAsia="zh-CN"/>
        </w:rPr>
        <w:t>富川县新华至莲山道路路面修复工程</w:t>
      </w:r>
      <w:r>
        <w:rPr>
          <w:rStyle w:val="15"/>
        </w:rPr>
        <w:t>（项目名称）的顺利实施，管好用好建设资金，确保工程   资金专款专用，同时为承包人提供便捷有效的银行业务服务，根据</w:t>
      </w:r>
      <w:r>
        <w:rPr>
          <w:rStyle w:val="15"/>
          <w:rFonts w:hint="eastAsia"/>
          <w:u w:val="single"/>
          <w:lang w:eastAsia="zh-CN"/>
        </w:rPr>
        <w:t>富川县新华至莲山道路路面修复工程</w:t>
      </w:r>
      <w:r>
        <w:rPr>
          <w:rStyle w:val="15"/>
        </w:rPr>
        <w:t>（项    目名称）合同条款有关规定，经甲、乙、丙三方协商，达成协议如下：</w:t>
      </w:r>
    </w:p>
    <w:p>
      <w:pPr>
        <w:pStyle w:val="3"/>
        <w:spacing w:before="31"/>
        <w:ind w:left="532"/>
        <w:rPr>
          <w:rStyle w:val="15"/>
        </w:rPr>
      </w:pPr>
      <w:r>
        <w:rPr>
          <w:rStyle w:val="15"/>
        </w:rPr>
        <w:t>1.资金管理的内容</w:t>
      </w:r>
    </w:p>
    <w:p>
      <w:pPr>
        <w:pStyle w:val="3"/>
        <w:spacing w:before="126" w:line="348" w:lineRule="auto"/>
        <w:ind w:left="112" w:right="210" w:firstLine="420"/>
        <w:rPr>
          <w:rStyle w:val="15"/>
        </w:rPr>
      </w:pPr>
      <w:r>
        <w:t>（1）乙方为完成</w:t>
      </w:r>
      <w:r>
        <w:rPr>
          <w:rFonts w:hint="eastAsia"/>
          <w:u w:val="single"/>
          <w:lang w:eastAsia="zh-CN"/>
        </w:rPr>
        <w:t>富川县新华至莲山道路路面修复工程</w:t>
      </w:r>
      <w:r>
        <w:t>（项目名称）工程成立的项目经理部在丙方开设</w:t>
      </w:r>
      <w:r>
        <w:rPr>
          <w:rStyle w:val="15"/>
        </w:rPr>
        <w:t>基本结算户；</w:t>
      </w:r>
    </w:p>
    <w:p>
      <w:pPr>
        <w:pStyle w:val="3"/>
        <w:spacing w:before="31"/>
        <w:ind w:left="532"/>
        <w:rPr>
          <w:rStyle w:val="15"/>
        </w:rPr>
      </w:pPr>
      <w:r>
        <w:rPr>
          <w:rStyle w:val="15"/>
        </w:rPr>
        <w:t>（2）甲方应将按合同规定将工程款（质量保证金除外）汇入乙方在丙方开设的账户；</w:t>
      </w:r>
    </w:p>
    <w:p>
      <w:pPr>
        <w:pStyle w:val="3"/>
        <w:spacing w:before="125"/>
        <w:ind w:left="532"/>
        <w:rPr>
          <w:rStyle w:val="15"/>
        </w:rPr>
      </w:pPr>
      <w:r>
        <w:rPr>
          <w:rStyle w:val="15"/>
        </w:rPr>
        <w:t>（3）乙方应将流动资金及甲方所拨付资金专项用于</w:t>
      </w:r>
      <w:r>
        <w:rPr>
          <w:rStyle w:val="15"/>
          <w:rFonts w:hint="eastAsia"/>
          <w:u w:val="single"/>
          <w:lang w:eastAsia="zh-CN"/>
        </w:rPr>
        <w:t>富川县新华至莲山道路路面修复工程</w:t>
      </w:r>
      <w:r>
        <w:rPr>
          <w:rStyle w:val="15"/>
        </w:rPr>
        <w:t>（项目名称）；</w:t>
      </w:r>
    </w:p>
    <w:p>
      <w:pPr>
        <w:pStyle w:val="3"/>
        <w:spacing w:before="123" w:line="350" w:lineRule="auto"/>
        <w:ind w:left="112" w:right="210" w:firstLine="420"/>
      </w:pPr>
      <w:r>
        <w:t>（4）丙方应为乙方提供便捷有效的银行业务服务，并接受甲方委托对乙方在丙方开设的基本结算户资金使</w:t>
      </w:r>
      <w:r>
        <w:rPr>
          <w:rStyle w:val="15"/>
        </w:rPr>
        <w:t>用情况进行监督。</w:t>
      </w:r>
    </w:p>
    <w:p>
      <w:pPr>
        <w:pStyle w:val="3"/>
        <w:spacing w:before="29"/>
        <w:ind w:left="532"/>
      </w:pPr>
      <w:r>
        <w:rPr>
          <w:w w:val="95"/>
        </w:rPr>
        <w:t>2.甲方的权责</w:t>
      </w:r>
    </w:p>
    <w:p>
      <w:pPr>
        <w:pStyle w:val="3"/>
        <w:spacing w:before="123" w:line="350" w:lineRule="auto"/>
        <w:ind w:left="112" w:right="210" w:firstLine="420"/>
        <w:rPr>
          <w:rStyle w:val="15"/>
        </w:rPr>
      </w:pPr>
      <w:r>
        <w:t>（1）按照</w:t>
      </w:r>
      <w:r>
        <w:rPr>
          <w:rStyle w:val="15"/>
          <w:rFonts w:hint="eastAsia"/>
          <w:u w:val="single"/>
          <w:lang w:eastAsia="zh-CN"/>
        </w:rPr>
        <w:t>富川县新华至莲山道路路面修复工程</w:t>
      </w:r>
      <w:r>
        <w:t>（项目名称）合同有关条款规定的时间和方式，向乙方</w:t>
      </w:r>
      <w:r>
        <w:rPr>
          <w:rStyle w:val="15"/>
        </w:rPr>
        <w:t>支付工程款；</w:t>
      </w:r>
    </w:p>
    <w:p>
      <w:pPr>
        <w:pStyle w:val="3"/>
        <w:spacing w:before="29"/>
        <w:ind w:left="532"/>
        <w:rPr>
          <w:rStyle w:val="15"/>
        </w:rPr>
      </w:pPr>
      <w:r>
        <w:rPr>
          <w:rStyle w:val="15"/>
        </w:rPr>
        <w:t>（2）在发现乙方将本项目资金挪用、转移时，甲方有权中止工程支付，直至乙方改正为止；</w:t>
      </w:r>
    </w:p>
    <w:p>
      <w:pPr>
        <w:pStyle w:val="3"/>
        <w:spacing w:before="123"/>
        <w:ind w:left="532"/>
        <w:rPr>
          <w:rStyle w:val="15"/>
        </w:rPr>
      </w:pPr>
      <w:r>
        <w:rPr>
          <w:rStyle w:val="15"/>
        </w:rPr>
        <w:t>（3）不定期审查丙方对乙方的资金使用监督情况，如丙方不能履行其责任，甲方有权随时终止本协议；</w:t>
      </w:r>
    </w:p>
    <w:p>
      <w:pPr>
        <w:pStyle w:val="3"/>
        <w:spacing w:before="125"/>
        <w:ind w:left="532"/>
        <w:rPr>
          <w:rStyle w:val="15"/>
        </w:rPr>
      </w:pPr>
      <w:r>
        <w:rPr>
          <w:rStyle w:val="15"/>
        </w:rPr>
        <w:t>（4）在乙、丙双方发生争议时，甲方应负责协调、解决。</w:t>
      </w:r>
    </w:p>
    <w:p>
      <w:pPr>
        <w:pStyle w:val="3"/>
        <w:spacing w:before="125"/>
        <w:ind w:left="532"/>
        <w:rPr>
          <w:rStyle w:val="15"/>
        </w:rPr>
      </w:pPr>
      <w:r>
        <w:rPr>
          <w:rStyle w:val="15"/>
        </w:rPr>
        <w:t>3.乙方的权责</w:t>
      </w:r>
    </w:p>
    <w:p>
      <w:pPr>
        <w:pStyle w:val="3"/>
        <w:spacing w:before="123"/>
        <w:ind w:left="532"/>
        <w:rPr>
          <w:rStyle w:val="15"/>
        </w:rPr>
      </w:pPr>
      <w:r>
        <w:rPr>
          <w:rStyle w:val="15"/>
        </w:rPr>
        <w:t>（1）项目经理部成立以后，乙方应尽快在丙方开设基本结算户；</w:t>
      </w:r>
    </w:p>
    <w:p>
      <w:pPr>
        <w:pStyle w:val="3"/>
        <w:spacing w:before="125" w:line="350" w:lineRule="auto"/>
        <w:ind w:left="112" w:right="210" w:firstLine="420"/>
        <w:rPr>
          <w:rStyle w:val="15"/>
        </w:rPr>
      </w:pPr>
      <w:r>
        <w:t>（2）确保本项目资金专款专用，不发生挪用、转移资金的现象；保证不通过权益转让、抵押、担保承担债</w:t>
      </w:r>
      <w:r>
        <w:rPr>
          <w:rStyle w:val="15"/>
        </w:rPr>
        <w:t>务等任何其他方式使用基本结算户的资金；</w:t>
      </w:r>
    </w:p>
    <w:p>
      <w:pPr>
        <w:pStyle w:val="3"/>
        <w:tabs>
          <w:tab w:val="left" w:pos="4695"/>
        </w:tabs>
        <w:spacing w:before="26" w:line="350" w:lineRule="auto"/>
        <w:ind w:left="112" w:right="125" w:firstLine="420"/>
        <w:rPr>
          <w:rStyle w:val="15"/>
        </w:rPr>
      </w:pPr>
      <w:r>
        <w:rPr>
          <w:spacing w:val="-6"/>
        </w:rPr>
        <w:t>（3）</w:t>
      </w:r>
      <w:r>
        <w:t>办理材料</w:t>
      </w:r>
      <w:r>
        <w:rPr>
          <w:spacing w:val="-15"/>
        </w:rPr>
        <w:t>、</w:t>
      </w:r>
      <w:r>
        <w:t>设备等采购业务金额在</w:t>
      </w:r>
      <w:r>
        <w:rPr>
          <w:u w:val="single"/>
        </w:rPr>
        <w:t xml:space="preserve"> </w:t>
      </w:r>
      <w:r>
        <w:rPr>
          <w:u w:val="single"/>
        </w:rPr>
        <w:tab/>
      </w:r>
      <w:r>
        <w:rPr>
          <w:rStyle w:val="15"/>
        </w:rPr>
        <w:t>万元以上的，应出示购货合同、协议和发票；在办理总额超过   万元以上的采购业务时，应将合同、协议和发票复印件送丙方备案；购买应急材料、设备时可先办理支付手续，    但事后必须补备有关资料；</w:t>
      </w:r>
    </w:p>
    <w:p>
      <w:pPr>
        <w:pStyle w:val="3"/>
        <w:spacing w:before="26"/>
        <w:ind w:left="532"/>
        <w:rPr>
          <w:rStyle w:val="15"/>
        </w:rPr>
      </w:pPr>
      <w:r>
        <w:rPr>
          <w:rStyle w:val="15"/>
        </w:rPr>
        <w:t>（4）用银行转账支票办理支付款项时，必须将转账支票送交丙方，由丙方负责办理支票转付手续；</w:t>
      </w:r>
    </w:p>
    <w:p>
      <w:pPr>
        <w:pStyle w:val="3"/>
        <w:spacing w:before="125"/>
        <w:ind w:left="532"/>
        <w:rPr>
          <w:rStyle w:val="15"/>
        </w:rPr>
      </w:pPr>
      <w:r>
        <w:rPr>
          <w:rStyle w:val="15"/>
        </w:rPr>
        <w:t>（5）向分包单位支付工程进度款时，应附甲方批准分包的文件；</w:t>
      </w:r>
    </w:p>
    <w:p>
      <w:pPr>
        <w:pStyle w:val="3"/>
        <w:spacing w:before="125"/>
        <w:ind w:left="532"/>
        <w:rPr>
          <w:rStyle w:val="15"/>
        </w:rPr>
      </w:pPr>
      <w:r>
        <w:rPr>
          <w:rStyle w:val="15"/>
        </w:rPr>
        <w:t>（6）向上级单位缴纳管理费、机械设备及周转材料租赁摊销费等款项时，应附上级单位出具的转账通知等</w:t>
      </w:r>
    </w:p>
    <w:p>
      <w:pPr>
        <w:spacing w:after="0"/>
        <w:sectPr>
          <w:pgSz w:w="11910" w:h="16840"/>
          <w:pgMar w:top="1000" w:right="640" w:bottom="760" w:left="740" w:header="808" w:footer="575" w:gutter="0"/>
          <w:pgNumType w:fmt="decimal"/>
        </w:sectPr>
      </w:pPr>
    </w:p>
    <w:p>
      <w:pPr>
        <w:pStyle w:val="3"/>
        <w:spacing w:before="8"/>
        <w:rPr>
          <w:sz w:val="12"/>
        </w:rPr>
      </w:pPr>
    </w:p>
    <w:p>
      <w:pPr>
        <w:pStyle w:val="3"/>
        <w:spacing w:before="34"/>
        <w:ind w:left="112"/>
        <w:rPr>
          <w:rStyle w:val="15"/>
        </w:rPr>
      </w:pPr>
      <w:r>
        <w:rPr>
          <w:rStyle w:val="15"/>
        </w:rPr>
        <w:t>有关资料，以确保资金专款专用。</w:t>
      </w:r>
    </w:p>
    <w:p>
      <w:pPr>
        <w:pStyle w:val="3"/>
        <w:spacing w:before="125"/>
        <w:ind w:left="532"/>
        <w:rPr>
          <w:rStyle w:val="15"/>
        </w:rPr>
      </w:pPr>
      <w:r>
        <w:rPr>
          <w:rStyle w:val="15"/>
        </w:rPr>
        <w:t>4.丙方的权责</w:t>
      </w:r>
    </w:p>
    <w:p>
      <w:pPr>
        <w:pStyle w:val="3"/>
        <w:spacing w:before="125" w:line="348" w:lineRule="auto"/>
        <w:ind w:left="112" w:right="110" w:firstLine="420"/>
        <w:rPr>
          <w:rStyle w:val="15"/>
        </w:rPr>
      </w:pPr>
      <w:r>
        <w:t>（1）成立</w:t>
      </w:r>
      <w:r>
        <w:rPr>
          <w:rFonts w:hint="eastAsia"/>
          <w:u w:val="single"/>
          <w:lang w:eastAsia="zh-CN"/>
        </w:rPr>
        <w:t>富川县新华至莲山道路路面修复工程</w:t>
      </w:r>
      <w:r>
        <w:t>（项目名称）工程资金管理服务小组，明确业务流程，</w:t>
      </w:r>
      <w:r>
        <w:rPr>
          <w:rStyle w:val="15"/>
        </w:rPr>
        <w:t xml:space="preserve"> 提高工作效率，杜绝“压票”现象；</w:t>
      </w:r>
    </w:p>
    <w:p>
      <w:pPr>
        <w:pStyle w:val="3"/>
        <w:spacing w:before="30" w:line="350" w:lineRule="auto"/>
        <w:ind w:left="112" w:right="110" w:firstLine="420"/>
        <w:rPr>
          <w:rStyle w:val="15"/>
        </w:rPr>
      </w:pPr>
      <w:r>
        <w:t>（2）根据乙方提供的购货合同、协议和发票，检查其所购材料、设备是否用于（项目名称）工程建设，对</w:t>
      </w:r>
      <w:r>
        <w:rPr>
          <w:rStyle w:val="15"/>
        </w:rPr>
        <w:t>本标段以外的购货款项，有权拒绝办理，并及时报告甲方；</w:t>
      </w:r>
    </w:p>
    <w:p>
      <w:pPr>
        <w:pStyle w:val="3"/>
        <w:spacing w:before="26" w:line="350" w:lineRule="auto"/>
        <w:ind w:left="112" w:right="110" w:firstLine="420"/>
        <w:rPr>
          <w:rStyle w:val="15"/>
        </w:rPr>
      </w:pPr>
      <w:r>
        <w:rPr>
          <w:rStyle w:val="15"/>
        </w:rPr>
        <w:t>（3）根据乙方与分包单位签订的合同及支付文件，检查其支付款项是否符合有关条件，向分包单位以外单位的支付有权拒绝办理，并及时报告甲方；</w:t>
      </w:r>
    </w:p>
    <w:p>
      <w:pPr>
        <w:pStyle w:val="3"/>
        <w:spacing w:before="29" w:line="348" w:lineRule="auto"/>
        <w:ind w:left="112" w:right="110" w:firstLine="420"/>
        <w:rPr>
          <w:rStyle w:val="15"/>
        </w:rPr>
      </w:pPr>
      <w:r>
        <w:rPr>
          <w:rStyle w:val="15"/>
        </w:rPr>
        <w:t>（4）根据乙方提供的上级单位出具的转账通知等有关资料，办理管理费、机械设备及周转材料租赁摊销费等款项的支付；对超出转账通知等有关资料以外的支付，有权拒绝办理，并及时转告甲方；</w:t>
      </w:r>
    </w:p>
    <w:p>
      <w:pPr>
        <w:pStyle w:val="3"/>
        <w:spacing w:before="31"/>
        <w:ind w:left="532"/>
        <w:rPr>
          <w:rStyle w:val="15"/>
        </w:rPr>
      </w:pPr>
      <w:r>
        <w:rPr>
          <w:rStyle w:val="15"/>
        </w:rPr>
        <w:t>（5）定期将乙方前一个周期的支付情况，整理后书面报送甲方；乙方复印备案的材料一并送甲方。</w:t>
      </w:r>
    </w:p>
    <w:p>
      <w:pPr>
        <w:pStyle w:val="3"/>
        <w:spacing w:before="125"/>
        <w:ind w:left="532"/>
        <w:rPr>
          <w:rStyle w:val="15"/>
        </w:rPr>
      </w:pPr>
      <w:r>
        <w:rPr>
          <w:rStyle w:val="15"/>
        </w:rPr>
        <w:t>5.甲、乙、丙三方都应履行保密责任，不得将其他两方的业务情况透露给三方以外的其他单位或个人。</w:t>
      </w:r>
    </w:p>
    <w:p>
      <w:pPr>
        <w:pStyle w:val="3"/>
        <w:spacing w:before="123"/>
        <w:ind w:left="532"/>
        <w:rPr>
          <w:rStyle w:val="15"/>
        </w:rPr>
      </w:pPr>
      <w:r>
        <w:rPr>
          <w:rStyle w:val="15"/>
        </w:rPr>
        <w:t>6.本协议有效期自乙方在丙方开户起，至工程交工验收甲方向乙方颁发交工验收证书后结束。</w:t>
      </w:r>
    </w:p>
    <w:p>
      <w:pPr>
        <w:pStyle w:val="3"/>
        <w:spacing w:before="126"/>
        <w:ind w:left="532"/>
        <w:rPr>
          <w:rStyle w:val="15"/>
        </w:rPr>
      </w:pPr>
      <w:r>
        <w:rPr>
          <w:rStyle w:val="15"/>
        </w:rPr>
        <w:t>7.本协议未尽事宜，由甲方牵头，三方协商解决。</w:t>
      </w:r>
    </w:p>
    <w:p>
      <w:pPr>
        <w:pStyle w:val="3"/>
        <w:tabs>
          <w:tab w:val="left" w:pos="7159"/>
        </w:tabs>
        <w:spacing w:before="126" w:line="348" w:lineRule="auto"/>
        <w:ind w:left="112" w:right="110" w:firstLine="420"/>
        <w:rPr>
          <w:rStyle w:val="15"/>
        </w:rPr>
      </w:pPr>
      <w:r>
        <w:t>8.本协议正本叁份、副本</w:t>
      </w:r>
      <w:r>
        <w:rPr>
          <w:u w:val="single"/>
        </w:rPr>
        <w:t xml:space="preserve">  叁</w:t>
      </w:r>
      <w:r>
        <w:rPr>
          <w:spacing w:val="-1"/>
          <w:u w:val="single"/>
        </w:rPr>
        <w:t xml:space="preserve"> </w:t>
      </w:r>
      <w:r>
        <w:t>份。合同三方各执正本壹份、副本</w:t>
      </w:r>
      <w:r>
        <w:rPr>
          <w:spacing w:val="103"/>
          <w:u w:val="single"/>
        </w:rPr>
        <w:t xml:space="preserve"> </w:t>
      </w:r>
      <w:r>
        <w:rPr>
          <w:u w:val="single"/>
        </w:rPr>
        <w:t>壹</w:t>
      </w:r>
      <w:r>
        <w:rPr>
          <w:u w:val="single"/>
        </w:rPr>
        <w:tab/>
      </w:r>
      <w:r>
        <w:rPr>
          <w:rStyle w:val="15"/>
        </w:rPr>
        <w:t>份，当正本与副本内容不一致时，  以正本为准。</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4"/>
        </w:rPr>
      </w:pPr>
    </w:p>
    <w:p>
      <w:pPr>
        <w:pStyle w:val="3"/>
        <w:tabs>
          <w:tab w:val="left" w:pos="9476"/>
        </w:tabs>
        <w:spacing w:line="348" w:lineRule="auto"/>
        <w:ind w:left="5485" w:right="110" w:firstLine="945"/>
        <w:jc w:val="right"/>
      </w:pPr>
      <w:r>
        <w:t>发包人：</w:t>
      </w:r>
      <w:r>
        <w:rPr>
          <w:rFonts w:hint="eastAsia"/>
          <w:u w:val="single"/>
          <w:lang w:val="en-US" w:eastAsia="zh-CN"/>
        </w:rPr>
        <w:t xml:space="preserve">               </w:t>
      </w:r>
      <w:r>
        <w:rPr>
          <w:spacing w:val="-12"/>
          <w:u w:val="single"/>
        </w:rPr>
        <w:t xml:space="preserve"> </w:t>
      </w:r>
      <w:r>
        <w:rPr>
          <w:u w:val="single"/>
        </w:rPr>
        <w:t>（</w:t>
      </w:r>
      <w:r>
        <w:t>盖单位章）法定人或代表其委托代理人：</w:t>
      </w:r>
      <w:r>
        <w:rPr>
          <w:u w:val="single"/>
        </w:rPr>
        <w:t xml:space="preserve"> </w:t>
      </w:r>
      <w:r>
        <w:rPr>
          <w:u w:val="single"/>
        </w:rPr>
        <w:tab/>
      </w:r>
      <w:r>
        <w:rPr>
          <w:w w:val="95"/>
        </w:rPr>
        <w:t>（签字）</w:t>
      </w:r>
    </w:p>
    <w:p>
      <w:pPr>
        <w:pStyle w:val="3"/>
        <w:tabs>
          <w:tab w:val="left" w:pos="840"/>
          <w:tab w:val="left" w:pos="1575"/>
          <w:tab w:val="left" w:pos="2309"/>
        </w:tabs>
        <w:spacing w:before="31"/>
        <w:ind w:right="110"/>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spacing w:val="-1"/>
          <w:w w:val="95"/>
        </w:rPr>
        <w:t>日</w:t>
      </w:r>
    </w:p>
    <w:p>
      <w:pPr>
        <w:pStyle w:val="3"/>
        <w:rPr>
          <w:sz w:val="22"/>
        </w:rPr>
      </w:pPr>
    </w:p>
    <w:p>
      <w:pPr>
        <w:pStyle w:val="3"/>
        <w:spacing w:before="1"/>
        <w:rPr>
          <w:sz w:val="18"/>
        </w:rPr>
      </w:pPr>
    </w:p>
    <w:p>
      <w:pPr>
        <w:pStyle w:val="3"/>
        <w:tabs>
          <w:tab w:val="left" w:pos="9056"/>
          <w:tab w:val="left" w:pos="9476"/>
        </w:tabs>
        <w:spacing w:line="350" w:lineRule="auto"/>
        <w:ind w:left="5485" w:right="110"/>
        <w:jc w:val="right"/>
      </w:pPr>
      <w:r>
        <w:t>承包人：</w:t>
      </w:r>
      <w:r>
        <w:rPr>
          <w:u w:val="single"/>
        </w:rPr>
        <w:t xml:space="preserve"> </w:t>
      </w:r>
      <w:r>
        <w:rPr>
          <w:u w:val="single"/>
        </w:rPr>
        <w:tab/>
      </w:r>
      <w:r>
        <w:rPr>
          <w:w w:val="95"/>
        </w:rPr>
        <w:t xml:space="preserve">（盖单位章） </w:t>
      </w:r>
      <w:r>
        <w:t>法定人或代表其委托代理人：</w:t>
      </w:r>
      <w:r>
        <w:rPr>
          <w:u w:val="single"/>
        </w:rPr>
        <w:t xml:space="preserve"> </w:t>
      </w:r>
      <w:r>
        <w:rPr>
          <w:u w:val="single"/>
        </w:rPr>
        <w:tab/>
      </w:r>
      <w:r>
        <w:rPr>
          <w:u w:val="single"/>
        </w:rPr>
        <w:tab/>
      </w:r>
      <w:r>
        <w:rPr>
          <w:w w:val="95"/>
        </w:rPr>
        <w:t>（签字）</w:t>
      </w:r>
    </w:p>
    <w:p>
      <w:pPr>
        <w:pStyle w:val="3"/>
        <w:tabs>
          <w:tab w:val="left" w:pos="840"/>
          <w:tab w:val="left" w:pos="1575"/>
          <w:tab w:val="left" w:pos="2309"/>
        </w:tabs>
        <w:spacing w:before="29"/>
        <w:ind w:right="110"/>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spacing w:val="-1"/>
          <w:w w:val="95"/>
        </w:rPr>
        <w:t>日</w:t>
      </w:r>
    </w:p>
    <w:p>
      <w:pPr>
        <w:pStyle w:val="3"/>
        <w:rPr>
          <w:sz w:val="22"/>
        </w:rPr>
      </w:pPr>
    </w:p>
    <w:p>
      <w:pPr>
        <w:pStyle w:val="3"/>
        <w:rPr>
          <w:sz w:val="18"/>
        </w:rPr>
      </w:pPr>
    </w:p>
    <w:p>
      <w:pPr>
        <w:pStyle w:val="3"/>
        <w:tabs>
          <w:tab w:val="left" w:pos="9056"/>
          <w:tab w:val="left" w:pos="9476"/>
        </w:tabs>
        <w:spacing w:line="350" w:lineRule="auto"/>
        <w:ind w:left="5485" w:right="110"/>
        <w:jc w:val="right"/>
      </w:pPr>
      <w:r>
        <w:t>经办银行：</w:t>
      </w:r>
      <w:r>
        <w:rPr>
          <w:u w:val="single"/>
        </w:rPr>
        <w:t xml:space="preserve"> </w:t>
      </w:r>
      <w:r>
        <w:rPr>
          <w:u w:val="single"/>
        </w:rPr>
        <w:tab/>
      </w:r>
      <w:r>
        <w:rPr>
          <w:w w:val="95"/>
        </w:rPr>
        <w:t xml:space="preserve">（盖单位章） </w:t>
      </w:r>
      <w:r>
        <w:t>法定人或代表其委托代理人：</w:t>
      </w:r>
      <w:r>
        <w:rPr>
          <w:u w:val="single"/>
        </w:rPr>
        <w:t xml:space="preserve"> </w:t>
      </w:r>
      <w:r>
        <w:rPr>
          <w:u w:val="single"/>
        </w:rPr>
        <w:tab/>
      </w:r>
      <w:r>
        <w:rPr>
          <w:u w:val="single"/>
        </w:rPr>
        <w:tab/>
      </w:r>
      <w:r>
        <w:rPr>
          <w:w w:val="95"/>
        </w:rPr>
        <w:t>（签字）</w:t>
      </w:r>
    </w:p>
    <w:p>
      <w:pPr>
        <w:pStyle w:val="3"/>
        <w:tabs>
          <w:tab w:val="left" w:pos="840"/>
          <w:tab w:val="left" w:pos="1575"/>
          <w:tab w:val="left" w:pos="2309"/>
        </w:tabs>
        <w:spacing w:before="26"/>
        <w:ind w:right="110"/>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spacing w:val="-1"/>
          <w:w w:val="95"/>
        </w:rPr>
        <w:t>日</w:t>
      </w:r>
    </w:p>
    <w:p>
      <w:pPr>
        <w:spacing w:after="0"/>
        <w:jc w:val="right"/>
        <w:sectPr>
          <w:pgSz w:w="11910" w:h="16840"/>
          <w:pgMar w:top="1000" w:right="740" w:bottom="760" w:left="740" w:header="808" w:footer="575" w:gutter="0"/>
          <w:pgNumType w:fmt="decimal"/>
        </w:sectPr>
      </w:pPr>
    </w:p>
    <w:p>
      <w:pPr>
        <w:pStyle w:val="3"/>
        <w:spacing w:before="8"/>
        <w:rPr>
          <w:sz w:val="12"/>
        </w:rPr>
      </w:pPr>
    </w:p>
    <w:p>
      <w:pPr>
        <w:pStyle w:val="9"/>
        <w:spacing w:before="34"/>
        <w:rPr>
          <w:rStyle w:val="15"/>
          <w:sz w:val="21"/>
          <w:szCs w:val="21"/>
        </w:rPr>
      </w:pPr>
      <w:r>
        <w:rPr>
          <w:rStyle w:val="15"/>
          <w:sz w:val="21"/>
          <w:szCs w:val="21"/>
        </w:rPr>
        <w:t>附件十：建设工程项目管理承诺书</w:t>
      </w:r>
    </w:p>
    <w:p>
      <w:pPr>
        <w:pStyle w:val="3"/>
        <w:rPr>
          <w:rStyle w:val="15"/>
          <w:sz w:val="21"/>
          <w:szCs w:val="21"/>
        </w:rPr>
      </w:pPr>
    </w:p>
    <w:p>
      <w:pPr>
        <w:pStyle w:val="3"/>
        <w:spacing w:before="7"/>
        <w:rPr>
          <w:rStyle w:val="15"/>
          <w:sz w:val="21"/>
          <w:szCs w:val="21"/>
        </w:rPr>
      </w:pPr>
    </w:p>
    <w:p>
      <w:pPr>
        <w:spacing w:before="35"/>
        <w:ind w:left="33" w:right="0" w:firstLine="0"/>
        <w:jc w:val="center"/>
        <w:rPr>
          <w:rStyle w:val="15"/>
          <w:sz w:val="21"/>
          <w:szCs w:val="21"/>
        </w:rPr>
      </w:pPr>
      <w:r>
        <w:rPr>
          <w:rStyle w:val="15"/>
          <w:sz w:val="21"/>
          <w:szCs w:val="21"/>
        </w:rPr>
        <w:t>建设工程项目管理承诺书</w:t>
      </w:r>
    </w:p>
    <w:p>
      <w:pPr>
        <w:pStyle w:val="3"/>
        <w:rPr>
          <w:b/>
          <w:sz w:val="20"/>
        </w:rPr>
      </w:pPr>
    </w:p>
    <w:p>
      <w:pPr>
        <w:pStyle w:val="3"/>
        <w:spacing w:before="6"/>
        <w:rPr>
          <w:rStyle w:val="15"/>
        </w:rPr>
      </w:pPr>
    </w:p>
    <w:p>
      <w:pPr>
        <w:pStyle w:val="3"/>
        <w:spacing w:before="34"/>
        <w:ind w:left="112"/>
        <w:rPr>
          <w:rStyle w:val="15"/>
        </w:rPr>
      </w:pPr>
      <w:r>
        <w:rPr>
          <w:rStyle w:val="15"/>
        </w:rPr>
        <w:t>摘录承包人投标文件格式的相关内容。</w:t>
      </w:r>
    </w:p>
    <w:p>
      <w:pPr>
        <w:spacing w:after="0"/>
        <w:sectPr>
          <w:pgSz w:w="11910" w:h="16840"/>
          <w:pgMar w:top="1000" w:right="740" w:bottom="760" w:left="740" w:header="808" w:footer="575" w:gutter="0"/>
          <w:pgNumType w:fmt="decimal"/>
        </w:sectPr>
      </w:pPr>
    </w:p>
    <w:p>
      <w:pPr>
        <w:pStyle w:val="3"/>
        <w:spacing w:before="8"/>
        <w:rPr>
          <w:sz w:val="12"/>
        </w:rPr>
      </w:pPr>
    </w:p>
    <w:p>
      <w:pPr>
        <w:pStyle w:val="9"/>
        <w:spacing w:before="34"/>
        <w:rPr>
          <w:rStyle w:val="15"/>
          <w:sz w:val="21"/>
          <w:szCs w:val="21"/>
        </w:rPr>
      </w:pPr>
      <w:r>
        <w:rPr>
          <w:rStyle w:val="15"/>
          <w:sz w:val="21"/>
          <w:szCs w:val="21"/>
        </w:rPr>
        <w:t>附件十一：农民工工资支付承诺书</w:t>
      </w:r>
    </w:p>
    <w:p>
      <w:pPr>
        <w:pStyle w:val="3"/>
        <w:rPr>
          <w:rStyle w:val="15"/>
          <w:sz w:val="21"/>
          <w:szCs w:val="21"/>
        </w:rPr>
      </w:pPr>
    </w:p>
    <w:p>
      <w:pPr>
        <w:pStyle w:val="3"/>
        <w:spacing w:before="7"/>
        <w:rPr>
          <w:rStyle w:val="15"/>
          <w:sz w:val="21"/>
          <w:szCs w:val="21"/>
        </w:rPr>
      </w:pPr>
    </w:p>
    <w:p>
      <w:pPr>
        <w:spacing w:before="35"/>
        <w:ind w:left="4177" w:right="0" w:firstLine="0"/>
        <w:jc w:val="left"/>
        <w:rPr>
          <w:rStyle w:val="15"/>
          <w:sz w:val="21"/>
          <w:szCs w:val="21"/>
        </w:rPr>
      </w:pPr>
      <w:r>
        <w:rPr>
          <w:rStyle w:val="15"/>
          <w:sz w:val="21"/>
          <w:szCs w:val="21"/>
        </w:rPr>
        <w:t>农民工工资支付承诺书</w:t>
      </w:r>
    </w:p>
    <w:p>
      <w:pPr>
        <w:pStyle w:val="3"/>
        <w:rPr>
          <w:b/>
          <w:sz w:val="20"/>
        </w:rPr>
      </w:pPr>
    </w:p>
    <w:p>
      <w:pPr>
        <w:pStyle w:val="3"/>
        <w:spacing w:before="1"/>
        <w:rPr>
          <w:b/>
          <w:sz w:val="20"/>
        </w:rPr>
      </w:pPr>
    </w:p>
    <w:p>
      <w:pPr>
        <w:pStyle w:val="3"/>
        <w:spacing w:line="350" w:lineRule="auto"/>
        <w:ind w:left="112" w:right="108" w:firstLine="420"/>
        <w:jc w:val="both"/>
        <w:rPr>
          <w:rStyle w:val="15"/>
        </w:rPr>
      </w:pPr>
      <w:r>
        <w:rPr>
          <w:spacing w:val="-4"/>
        </w:rPr>
        <w:t>根据《关于建立交通行业农民工工资保证金制度的通知》</w:t>
      </w:r>
      <w:r>
        <w:t>（桂劳社发[2007]147</w:t>
      </w:r>
      <w:r>
        <w:rPr>
          <w:spacing w:val="-36"/>
        </w:rPr>
        <w:t xml:space="preserve"> 号</w:t>
      </w:r>
      <w:r>
        <w:rPr>
          <w:spacing w:val="-5"/>
        </w:rPr>
        <w:t>），</w:t>
      </w:r>
      <w:r>
        <w:t>在</w:t>
      </w:r>
      <w:r>
        <w:rPr>
          <w:rFonts w:hint="eastAsia"/>
          <w:u w:val="single"/>
          <w:lang w:eastAsia="zh-CN"/>
        </w:rPr>
        <w:t>富川县新华至莲山道路路面修复工程</w:t>
      </w:r>
      <w:r>
        <w:rPr>
          <w:rStyle w:val="15"/>
        </w:rPr>
        <w:t>施工招标的投标中，我单位对农民工工资的支付作出以下郑重承诺：</w:t>
      </w:r>
    </w:p>
    <w:p>
      <w:pPr>
        <w:pStyle w:val="3"/>
        <w:spacing w:before="27" w:line="350" w:lineRule="auto"/>
        <w:ind w:left="112" w:right="108" w:firstLine="420"/>
        <w:jc w:val="both"/>
        <w:rPr>
          <w:rStyle w:val="15"/>
        </w:rPr>
      </w:pPr>
      <w:r>
        <w:t>（一）我单位在本招标项目递交投标文件截止时间</w:t>
      </w:r>
      <w:r>
        <w:rPr>
          <w:u w:val="single"/>
        </w:rPr>
        <w:t xml:space="preserve">  年   月   （开标日）</w:t>
      </w:r>
      <w:r>
        <w:t>前所承建的工程项目，不存</w:t>
      </w:r>
      <w:r>
        <w:rPr>
          <w:rStyle w:val="15"/>
        </w:rPr>
        <w:t>在拖欠或克扣农民工工资的行为。</w:t>
      </w:r>
    </w:p>
    <w:p>
      <w:pPr>
        <w:pStyle w:val="3"/>
        <w:spacing w:before="29" w:line="348" w:lineRule="auto"/>
        <w:ind w:left="112" w:right="105" w:firstLine="420"/>
        <w:jc w:val="both"/>
        <w:rPr>
          <w:rStyle w:val="15"/>
        </w:rPr>
      </w:pPr>
      <w:r>
        <w:rPr>
          <w:rStyle w:val="15"/>
        </w:rPr>
        <w:t>（二）投标中标后，我单位同意将投标保证金转为农民工工资保证金（或在签订合同前按投标保证金额度缴存农民工工资保证金）；投标保证金（含缴存部分）不足农民工工资保证金的，在项目实施时，同意将每次计量的计量款按 2%转为农民工工资保证金。所存入的农民工工资保证金额度符合招标文件中的规定。</w:t>
      </w:r>
    </w:p>
    <w:p>
      <w:pPr>
        <w:pStyle w:val="3"/>
        <w:spacing w:before="31" w:line="348" w:lineRule="auto"/>
        <w:ind w:left="112" w:right="108" w:firstLine="420"/>
        <w:jc w:val="both"/>
        <w:rPr>
          <w:rStyle w:val="15"/>
        </w:rPr>
      </w:pPr>
      <w:r>
        <w:rPr>
          <w:rStyle w:val="15"/>
        </w:rPr>
        <w:t>（三）在项目实施过程中，若出现中标价与结算价不一致时，以实际结算金额按招标文件规定的计算额度存   入农民工工资保证金。</w:t>
      </w:r>
    </w:p>
    <w:p>
      <w:pPr>
        <w:pStyle w:val="3"/>
        <w:spacing w:before="31" w:line="348" w:lineRule="auto"/>
        <w:ind w:left="112" w:right="109" w:firstLine="420"/>
        <w:jc w:val="both"/>
        <w:rPr>
          <w:rStyle w:val="15"/>
        </w:rPr>
      </w:pPr>
      <w:r>
        <w:rPr>
          <w:rStyle w:val="15"/>
        </w:rPr>
        <w:t>（四）我单位向建设单位承诺依法足额支付农民工工资，一旦我单位（包含我单位的分包商）承建的</w:t>
      </w:r>
      <w:r>
        <w:rPr>
          <w:rStyle w:val="15"/>
          <w:rFonts w:hint="eastAsia"/>
          <w:u w:val="single"/>
          <w:lang w:eastAsia="zh-CN"/>
        </w:rPr>
        <w:t>富川县新华至莲山道路路面修复工程</w:t>
      </w:r>
      <w:r>
        <w:rPr>
          <w:rStyle w:val="15"/>
        </w:rPr>
        <w:t>出现拖欠农民工工资情况的，可由劳动保障、交通主管部门（或授权机构）及    建设单位根据相关规定从其农民工工资保证金中先予支取。</w:t>
      </w:r>
    </w:p>
    <w:p>
      <w:pPr>
        <w:pStyle w:val="3"/>
        <w:spacing w:before="31" w:line="350" w:lineRule="auto"/>
        <w:ind w:left="112" w:right="108" w:firstLine="420"/>
        <w:jc w:val="both"/>
        <w:rPr>
          <w:rStyle w:val="15"/>
        </w:rPr>
      </w:pPr>
      <w:r>
        <w:rPr>
          <w:rStyle w:val="15"/>
        </w:rPr>
        <w:t>（五）其它未尽事宜按《关于建立交通行业农民工工资保证金制度的通知》（桂劳社发[2007]147 号）的有关规定执行。</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4"/>
        </w:rPr>
      </w:pPr>
    </w:p>
    <w:p>
      <w:pPr>
        <w:pStyle w:val="3"/>
        <w:tabs>
          <w:tab w:val="left" w:pos="9056"/>
          <w:tab w:val="left" w:pos="9476"/>
        </w:tabs>
        <w:spacing w:line="350" w:lineRule="auto"/>
        <w:ind w:left="5485" w:right="110"/>
        <w:jc w:val="right"/>
      </w:pPr>
      <w:r>
        <w:t>承包人：</w:t>
      </w:r>
      <w:r>
        <w:rPr>
          <w:u w:val="single"/>
        </w:rPr>
        <w:t xml:space="preserve"> </w:t>
      </w:r>
      <w:r>
        <w:rPr>
          <w:u w:val="single"/>
        </w:rPr>
        <w:tab/>
      </w:r>
      <w:r>
        <w:rPr>
          <w:w w:val="95"/>
        </w:rPr>
        <w:t xml:space="preserve">（盖单位章） </w:t>
      </w:r>
      <w:r>
        <w:t>法定人或代表其委托代理人：</w:t>
      </w:r>
      <w:r>
        <w:rPr>
          <w:u w:val="single"/>
        </w:rPr>
        <w:t xml:space="preserve"> </w:t>
      </w:r>
      <w:r>
        <w:rPr>
          <w:u w:val="single"/>
        </w:rPr>
        <w:tab/>
      </w:r>
      <w:r>
        <w:rPr>
          <w:u w:val="single"/>
        </w:rPr>
        <w:tab/>
      </w:r>
      <w:r>
        <w:rPr>
          <w:w w:val="95"/>
        </w:rPr>
        <w:t>（签字）</w:t>
      </w:r>
    </w:p>
    <w:p>
      <w:pPr>
        <w:pStyle w:val="3"/>
        <w:tabs>
          <w:tab w:val="left" w:pos="840"/>
          <w:tab w:val="left" w:pos="1575"/>
          <w:tab w:val="left" w:pos="2309"/>
        </w:tabs>
        <w:spacing w:before="27"/>
        <w:ind w:right="110"/>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spacing w:val="-1"/>
          <w:w w:val="95"/>
        </w:rPr>
        <w:t>日</w:t>
      </w:r>
    </w:p>
    <w:p>
      <w:pPr>
        <w:spacing w:after="0"/>
        <w:jc w:val="right"/>
        <w:sectPr>
          <w:footerReference r:id="rId12" w:type="default"/>
          <w:pgSz w:w="11910" w:h="16840"/>
          <w:pgMar w:top="1000" w:right="740" w:bottom="760" w:left="740" w:header="808" w:footer="575" w:gutter="0"/>
          <w:pgNumType w:fmt="decimal"/>
        </w:sectPr>
      </w:pPr>
    </w:p>
    <w:p>
      <w:pPr>
        <w:pStyle w:val="3"/>
        <w:spacing w:before="8"/>
        <w:rPr>
          <w:sz w:val="12"/>
        </w:rPr>
      </w:pPr>
    </w:p>
    <w:p>
      <w:pPr>
        <w:pStyle w:val="9"/>
        <w:spacing w:before="34"/>
        <w:rPr>
          <w:rStyle w:val="15"/>
          <w:sz w:val="21"/>
          <w:szCs w:val="21"/>
        </w:rPr>
      </w:pPr>
      <w:r>
        <w:rPr>
          <w:rStyle w:val="15"/>
          <w:sz w:val="21"/>
          <w:szCs w:val="21"/>
        </w:rPr>
        <w:t>附件十二：工程质量保修书</w:t>
      </w:r>
    </w:p>
    <w:p>
      <w:pPr>
        <w:pStyle w:val="3"/>
        <w:rPr>
          <w:rStyle w:val="15"/>
          <w:sz w:val="21"/>
          <w:szCs w:val="21"/>
        </w:rPr>
      </w:pPr>
    </w:p>
    <w:p>
      <w:pPr>
        <w:pStyle w:val="3"/>
        <w:spacing w:before="7"/>
        <w:rPr>
          <w:rStyle w:val="15"/>
          <w:sz w:val="21"/>
          <w:szCs w:val="21"/>
        </w:rPr>
      </w:pPr>
    </w:p>
    <w:p>
      <w:pPr>
        <w:spacing w:before="35"/>
        <w:ind w:left="30" w:right="0" w:firstLine="0"/>
        <w:jc w:val="center"/>
        <w:rPr>
          <w:rStyle w:val="15"/>
          <w:sz w:val="21"/>
          <w:szCs w:val="21"/>
        </w:rPr>
      </w:pPr>
      <w:r>
        <w:rPr>
          <w:rStyle w:val="15"/>
          <w:sz w:val="21"/>
          <w:szCs w:val="21"/>
        </w:rPr>
        <w:t>工程质量保修书</w:t>
      </w:r>
    </w:p>
    <w:p>
      <w:pPr>
        <w:pStyle w:val="3"/>
        <w:rPr>
          <w:rStyle w:val="15"/>
          <w:sz w:val="21"/>
          <w:szCs w:val="21"/>
        </w:rPr>
      </w:pPr>
    </w:p>
    <w:p>
      <w:pPr>
        <w:pStyle w:val="3"/>
        <w:spacing w:before="1"/>
        <w:rPr>
          <w:b/>
          <w:sz w:val="20"/>
        </w:rPr>
      </w:pPr>
    </w:p>
    <w:p>
      <w:pPr>
        <w:pStyle w:val="3"/>
        <w:tabs>
          <w:tab w:val="left" w:pos="5280"/>
        </w:tabs>
        <w:spacing w:line="350" w:lineRule="auto"/>
        <w:ind w:left="112" w:right="5590" w:rightChars="0"/>
      </w:pPr>
      <w:r>
        <w:t>发包人（全称）：</w:t>
      </w:r>
      <w:r>
        <w:rPr>
          <w:rFonts w:hint="eastAsia"/>
          <w:u w:val="single"/>
          <w:lang w:val="en-US" w:eastAsia="zh-CN"/>
        </w:rPr>
        <w:t>富川瑶族自治县交通运输局</w:t>
      </w:r>
      <w:r>
        <w:t xml:space="preserve"> </w:t>
      </w:r>
    </w:p>
    <w:p>
      <w:pPr>
        <w:pStyle w:val="3"/>
        <w:tabs>
          <w:tab w:val="left" w:pos="5280"/>
        </w:tabs>
        <w:spacing w:line="350" w:lineRule="auto"/>
        <w:ind w:left="112" w:right="5590" w:rightChars="0"/>
        <w:rPr>
          <w:rFonts w:ascii="Times New Roman" w:eastAsia="Times New Roman"/>
        </w:rPr>
      </w:pPr>
      <w:r>
        <w:rPr>
          <w:rStyle w:val="15"/>
        </w:rPr>
        <w:t>承包人（全称）：</w:t>
      </w:r>
      <w:r>
        <w:rPr>
          <w:rFonts w:ascii="Times New Roman" w:eastAsia="Times New Roman"/>
          <w:w w:val="95"/>
          <w:u w:val="single"/>
        </w:rPr>
        <w:t xml:space="preserve"> </w:t>
      </w:r>
      <w:r>
        <w:rPr>
          <w:rFonts w:ascii="Times New Roman" w:eastAsia="Times New Roman"/>
          <w:u w:val="single"/>
        </w:rPr>
        <w:tab/>
      </w:r>
    </w:p>
    <w:p>
      <w:pPr>
        <w:pStyle w:val="3"/>
        <w:spacing w:before="27" w:line="350" w:lineRule="auto"/>
        <w:ind w:left="112" w:right="223" w:firstLine="420"/>
      </w:pPr>
      <w:r>
        <w:t>发包人和承包人根据《中华人民共和国建筑法》和《建设工程质量管理条例》，经协商一致就</w:t>
      </w:r>
      <w:r>
        <w:rPr>
          <w:rStyle w:val="15"/>
          <w:rFonts w:hint="eastAsia"/>
          <w:u w:val="single"/>
          <w:lang w:eastAsia="zh-CN"/>
        </w:rPr>
        <w:t>富川县新华至莲山道路路面修复工程</w:t>
      </w:r>
      <w:r>
        <w:rPr>
          <w:rStyle w:val="15"/>
        </w:rPr>
        <w:t>（工程全称）签订工程质量保修书。</w:t>
      </w:r>
    </w:p>
    <w:p>
      <w:pPr>
        <w:pStyle w:val="3"/>
        <w:spacing w:before="29"/>
        <w:ind w:left="532"/>
        <w:rPr>
          <w:rStyle w:val="15"/>
        </w:rPr>
      </w:pPr>
      <w:r>
        <w:rPr>
          <w:rStyle w:val="15"/>
        </w:rPr>
        <w:t>一．工程质量保修范围和内容</w:t>
      </w:r>
    </w:p>
    <w:p>
      <w:pPr>
        <w:pStyle w:val="3"/>
        <w:spacing w:before="123"/>
        <w:ind w:left="532"/>
        <w:rPr>
          <w:rStyle w:val="15"/>
        </w:rPr>
      </w:pPr>
      <w:r>
        <w:rPr>
          <w:rStyle w:val="15"/>
        </w:rPr>
        <w:t>承包人在质量保修期内，按照有关法律规定和合同约定，承担工程质量保修责任。</w:t>
      </w:r>
    </w:p>
    <w:p>
      <w:pPr>
        <w:pStyle w:val="3"/>
        <w:spacing w:before="126" w:line="350" w:lineRule="auto"/>
        <w:ind w:left="112" w:right="220" w:firstLine="420"/>
        <w:rPr>
          <w:rStyle w:val="15"/>
          <w:u w:val="single"/>
        </w:rPr>
      </w:pPr>
      <w:r>
        <w:t>质量保修范围包括</w:t>
      </w:r>
      <w:r>
        <w:rPr>
          <w:rStyle w:val="15"/>
          <w:rFonts w:hint="eastAsia"/>
          <w:u w:val="single"/>
          <w:lang w:eastAsia="zh-CN"/>
        </w:rPr>
        <w:t>富川县新华至莲山道路路面修复工程</w:t>
      </w:r>
      <w:r>
        <w:t>，具体保修的内容，双方约定如下：</w:t>
      </w:r>
      <w:r>
        <w:rPr>
          <w:rStyle w:val="15"/>
          <w:u w:val="single"/>
        </w:rPr>
        <w:t>由承包人施工完成的路基、桥梁、涵洞、路面，交安工程等。</w:t>
      </w:r>
    </w:p>
    <w:p>
      <w:pPr>
        <w:pStyle w:val="3"/>
        <w:spacing w:before="27"/>
        <w:ind w:left="532"/>
        <w:rPr>
          <w:rStyle w:val="15"/>
        </w:rPr>
      </w:pPr>
      <w:r>
        <w:rPr>
          <w:rStyle w:val="15"/>
        </w:rPr>
        <w:t>二．质量保修期</w:t>
      </w:r>
    </w:p>
    <w:p>
      <w:pPr>
        <w:pStyle w:val="3"/>
        <w:spacing w:before="126"/>
        <w:ind w:left="532"/>
        <w:rPr>
          <w:rStyle w:val="15"/>
        </w:rPr>
      </w:pPr>
      <w:r>
        <w:rPr>
          <w:rStyle w:val="15"/>
        </w:rPr>
        <w:t>根据《建设工程质量管理条例》及有关规定，工程的质量保修期如下：</w:t>
      </w:r>
    </w:p>
    <w:p>
      <w:pPr>
        <w:pStyle w:val="3"/>
        <w:spacing w:before="126"/>
        <w:ind w:left="532"/>
      </w:pPr>
      <w:r>
        <w:t>1.桥梁工程为</w:t>
      </w:r>
      <w:r>
        <w:rPr>
          <w:u w:val="single"/>
        </w:rPr>
        <w:t xml:space="preserve"> 桥梁隧道主体结构工程为设计文件规定的合理使用年限 </w:t>
      </w:r>
      <w:r>
        <w:t>；</w:t>
      </w:r>
    </w:p>
    <w:p>
      <w:pPr>
        <w:pStyle w:val="3"/>
        <w:spacing w:before="123"/>
        <w:ind w:left="532"/>
      </w:pPr>
      <w:r>
        <w:t xml:space="preserve">2.道路工程为 </w:t>
      </w:r>
      <w:r>
        <w:rPr>
          <w:u w:val="single"/>
        </w:rPr>
        <w:t>1</w:t>
      </w:r>
      <w:r>
        <w:t xml:space="preserve"> 年；</w:t>
      </w:r>
    </w:p>
    <w:p>
      <w:pPr>
        <w:pStyle w:val="3"/>
        <w:spacing w:before="125"/>
        <w:ind w:left="532"/>
      </w:pPr>
      <w:r>
        <w:t xml:space="preserve">3.排水（雨水）工程为 </w:t>
      </w:r>
      <w:r>
        <w:rPr>
          <w:u w:val="single"/>
        </w:rPr>
        <w:t>3</w:t>
      </w:r>
      <w:r>
        <w:t xml:space="preserve"> 年；</w:t>
      </w:r>
    </w:p>
    <w:p>
      <w:pPr>
        <w:pStyle w:val="3"/>
        <w:spacing w:before="125"/>
        <w:ind w:left="532"/>
      </w:pPr>
      <w:r>
        <w:t>4.绿化工程为</w:t>
      </w:r>
      <w:r>
        <w:rPr>
          <w:u w:val="single"/>
        </w:rPr>
        <w:t xml:space="preserve"> 2 </w:t>
      </w:r>
      <w:r>
        <w:t>年；</w:t>
      </w:r>
    </w:p>
    <w:p>
      <w:pPr>
        <w:pStyle w:val="3"/>
        <w:spacing w:before="123"/>
        <w:ind w:left="532"/>
      </w:pPr>
      <w:r>
        <w:t xml:space="preserve">5.地下防水工程为 </w:t>
      </w:r>
      <w:r>
        <w:rPr>
          <w:u w:val="single"/>
        </w:rPr>
        <w:t>5</w:t>
      </w:r>
      <w:r>
        <w:t xml:space="preserve"> 年；</w:t>
      </w:r>
    </w:p>
    <w:p>
      <w:pPr>
        <w:pStyle w:val="3"/>
        <w:spacing w:before="126"/>
        <w:ind w:left="532"/>
      </w:pPr>
      <w:r>
        <w:t xml:space="preserve">6.其他附属工程为 </w:t>
      </w:r>
      <w:r>
        <w:rPr>
          <w:u w:val="single"/>
        </w:rPr>
        <w:t>2</w:t>
      </w:r>
      <w:r>
        <w:t xml:space="preserve"> 年；</w:t>
      </w:r>
    </w:p>
    <w:p>
      <w:pPr>
        <w:pStyle w:val="3"/>
        <w:tabs>
          <w:tab w:val="left" w:pos="9771"/>
        </w:tabs>
        <w:spacing w:before="126" w:line="348" w:lineRule="auto"/>
        <w:ind w:left="112" w:right="445" w:firstLine="420"/>
        <w:rPr>
          <w:rStyle w:val="15"/>
        </w:rPr>
      </w:pPr>
      <w:r>
        <w:t>7.其他项目保修期限约定：</w:t>
      </w:r>
      <w:r>
        <w:rPr>
          <w:u w:val="single"/>
        </w:rPr>
        <w:t xml:space="preserve"> </w:t>
      </w:r>
      <w:r>
        <w:rPr>
          <w:u w:val="single"/>
        </w:rPr>
        <w:tab/>
      </w:r>
      <w:r>
        <w:t>。</w:t>
      </w:r>
      <w:r>
        <w:rPr>
          <w:rStyle w:val="15"/>
        </w:rPr>
        <w:t>质量保修期自工程交工验收合格之日起计算。</w:t>
      </w:r>
    </w:p>
    <w:p>
      <w:pPr>
        <w:pStyle w:val="3"/>
        <w:spacing w:before="31"/>
        <w:ind w:left="532"/>
        <w:rPr>
          <w:rStyle w:val="15"/>
        </w:rPr>
      </w:pPr>
      <w:r>
        <w:rPr>
          <w:rStyle w:val="15"/>
        </w:rPr>
        <w:t>三．缺陷责任期</w:t>
      </w:r>
    </w:p>
    <w:p>
      <w:pPr>
        <w:pStyle w:val="3"/>
        <w:spacing w:before="125" w:line="348" w:lineRule="auto"/>
        <w:ind w:left="112" w:right="220" w:firstLine="420"/>
        <w:rPr>
          <w:rStyle w:val="15"/>
        </w:rPr>
      </w:pPr>
      <w:r>
        <w:rPr>
          <w:rStyle w:val="15"/>
        </w:rPr>
        <w:t>道路工程缺陷责任期为 12 个月，桥梁工程缺陷责任期为 24 个月，缺陷责任期自工程竣工验收合格之日起计算。单位工程先于全部工程进行验收，单位工程缺陷责任期自单位工程验收合格之日起算。</w:t>
      </w:r>
    </w:p>
    <w:p>
      <w:pPr>
        <w:pStyle w:val="3"/>
        <w:spacing w:before="31" w:line="350" w:lineRule="auto"/>
        <w:ind w:left="532" w:right="5275" w:hanging="420"/>
        <w:rPr>
          <w:rStyle w:val="15"/>
        </w:rPr>
      </w:pPr>
      <w:r>
        <w:rPr>
          <w:rStyle w:val="15"/>
        </w:rPr>
        <w:t>缺陷责任期终止后，发包人应退还剩余的质量保证金。 四．质量保修责任</w:t>
      </w:r>
    </w:p>
    <w:p>
      <w:pPr>
        <w:pStyle w:val="3"/>
        <w:spacing w:before="27" w:line="350" w:lineRule="auto"/>
        <w:ind w:left="112" w:right="223" w:firstLine="420"/>
        <w:rPr>
          <w:rStyle w:val="15"/>
        </w:rPr>
      </w:pPr>
      <w:r>
        <w:rPr>
          <w:rStyle w:val="15"/>
        </w:rPr>
        <w:t>1.属于保修范围、内容的项目，承包人应当在接到保修通知之日起 5 天内派人保修。承包人不在约定期限内派人保修的，发包人可以委托他人修理，修理费用从质量保修金内扣除。</w:t>
      </w:r>
    </w:p>
    <w:p>
      <w:pPr>
        <w:pStyle w:val="3"/>
        <w:spacing w:before="29"/>
        <w:ind w:left="532"/>
        <w:rPr>
          <w:rStyle w:val="15"/>
        </w:rPr>
      </w:pPr>
      <w:r>
        <w:rPr>
          <w:rStyle w:val="15"/>
        </w:rPr>
        <w:t>2.发生紧急事故需抢修的，承包人在接到事故通知后，应当立即到达事故现场抢修。</w:t>
      </w:r>
    </w:p>
    <w:p>
      <w:pPr>
        <w:pStyle w:val="3"/>
        <w:spacing w:before="123" w:line="350" w:lineRule="auto"/>
        <w:ind w:left="112" w:right="221" w:firstLine="420"/>
        <w:jc w:val="both"/>
        <w:rPr>
          <w:rStyle w:val="15"/>
        </w:rPr>
      </w:pPr>
      <w:r>
        <w:rPr>
          <w:rStyle w:val="15"/>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
        <w:spacing w:before="26" w:line="350" w:lineRule="auto"/>
        <w:ind w:left="532" w:right="6115"/>
        <w:rPr>
          <w:rStyle w:val="15"/>
        </w:rPr>
      </w:pPr>
      <w:r>
        <w:rPr>
          <w:rStyle w:val="15"/>
        </w:rPr>
        <w:t>4.质量保修完成后，由发包人组织验收。五．保修费用</w:t>
      </w:r>
    </w:p>
    <w:p>
      <w:pPr>
        <w:pStyle w:val="3"/>
        <w:spacing w:before="28"/>
        <w:ind w:left="532"/>
      </w:pPr>
      <w:r>
        <w:rPr>
          <w:rStyle w:val="15"/>
        </w:rPr>
        <w:t>保修费用由造成质量缺陷的责任方承担</w:t>
      </w:r>
      <w:r>
        <w:rPr>
          <w:w w:val="95"/>
        </w:rPr>
        <w:t>。</w:t>
      </w:r>
    </w:p>
    <w:p>
      <w:pPr>
        <w:spacing w:after="0"/>
        <w:sectPr>
          <w:pgSz w:w="11910" w:h="16840"/>
          <w:pgMar w:top="1000" w:right="740" w:bottom="760" w:left="740" w:header="808" w:footer="575" w:gutter="0"/>
          <w:pgNumType w:fmt="decimal"/>
        </w:sectPr>
      </w:pPr>
    </w:p>
    <w:p>
      <w:pPr>
        <w:pStyle w:val="3"/>
        <w:spacing w:before="1"/>
        <w:rPr>
          <w:sz w:val="12"/>
        </w:rPr>
      </w:pPr>
    </w:p>
    <w:p>
      <w:pPr>
        <w:pStyle w:val="3"/>
        <w:tabs>
          <w:tab w:val="left" w:pos="9771"/>
        </w:tabs>
        <w:spacing w:before="41" w:line="350" w:lineRule="auto"/>
        <w:ind w:left="532" w:right="221"/>
        <w:rPr>
          <w:rStyle w:val="15"/>
        </w:rPr>
      </w:pPr>
      <w:r>
        <w:t>六．双方约定的其他工程质量保修事项：</w:t>
      </w:r>
      <w:r>
        <w:rPr>
          <w:u w:val="single"/>
        </w:rPr>
        <w:t xml:space="preserve"> </w:t>
      </w:r>
      <w:r>
        <w:rPr>
          <w:u w:val="single"/>
        </w:rPr>
        <w:tab/>
      </w:r>
      <w:r>
        <w:t xml:space="preserve">。 </w:t>
      </w:r>
      <w:r>
        <w:rPr>
          <w:rStyle w:val="15"/>
        </w:rPr>
        <w:t>工程质量保修书由发包人、承包人在工程竣工验收前共同签署，作为施工合同附件，其有效期限至保修期</w:t>
      </w:r>
    </w:p>
    <w:p>
      <w:pPr>
        <w:pStyle w:val="3"/>
        <w:spacing w:before="28"/>
        <w:ind w:left="112"/>
        <w:rPr>
          <w:rStyle w:val="15"/>
        </w:rPr>
      </w:pPr>
      <w:r>
        <w:rPr>
          <w:rStyle w:val="15"/>
        </w:rPr>
        <w:t>满。</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28"/>
        </w:rPr>
      </w:pPr>
    </w:p>
    <w:p>
      <w:pPr>
        <w:pStyle w:val="3"/>
        <w:tabs>
          <w:tab w:val="left" w:pos="6146"/>
        </w:tabs>
        <w:spacing w:before="41" w:line="350" w:lineRule="auto"/>
        <w:ind w:left="112" w:right="4279"/>
        <w:jc w:val="both"/>
        <w:rPr>
          <w:rFonts w:ascii="Times New Roman" w:eastAsia="Times New Roman"/>
        </w:rPr>
      </w:pPr>
      <w:r>
        <w:rPr>
          <w:w w:val="95"/>
        </w:rPr>
        <w:t>发包人（公章）：</w:t>
      </w:r>
      <w:r>
        <w:rPr>
          <w:w w:val="95"/>
          <w:u w:val="single"/>
        </w:rPr>
        <w:tab/>
      </w:r>
      <w:r>
        <w:rPr>
          <w:w w:val="95"/>
          <w:u w:val="single"/>
        </w:rPr>
        <w:t xml:space="preserve">                                          </w:t>
      </w:r>
      <w:r>
        <w:rPr>
          <w:w w:val="95"/>
        </w:rPr>
        <w:t>地址：</w:t>
      </w:r>
      <w:r>
        <w:rPr>
          <w:w w:val="95"/>
          <w:u w:val="single"/>
        </w:rPr>
        <w:tab/>
      </w:r>
      <w:r>
        <w:rPr>
          <w:w w:val="95"/>
          <w:u w:val="single"/>
        </w:rPr>
        <w:t xml:space="preserve">                                                     </w:t>
      </w:r>
      <w:r>
        <w:rPr>
          <w:w w:val="95"/>
        </w:rPr>
        <w:t>法定代表人（签字）：</w:t>
      </w:r>
      <w:r>
        <w:rPr>
          <w:w w:val="95"/>
          <w:u w:val="single"/>
        </w:rPr>
        <w:tab/>
      </w:r>
      <w:r>
        <w:rPr>
          <w:w w:val="95"/>
          <w:u w:val="single"/>
        </w:rPr>
        <w:t xml:space="preserve">                                      </w:t>
      </w:r>
      <w:r>
        <w:rPr>
          <w:w w:val="95"/>
        </w:rPr>
        <w:t>委托代理人（签字）：</w:t>
      </w:r>
      <w:r>
        <w:rPr>
          <w:w w:val="95"/>
          <w:u w:val="single"/>
        </w:rPr>
        <w:tab/>
      </w:r>
      <w:r>
        <w:rPr>
          <w:w w:val="95"/>
          <w:u w:val="single"/>
        </w:rPr>
        <w:t xml:space="preserve">                                      </w:t>
      </w:r>
      <w:r>
        <w:rPr>
          <w:w w:val="95"/>
        </w:rPr>
        <w:t>电话：</w:t>
      </w:r>
      <w:r>
        <w:rPr>
          <w:w w:val="95"/>
          <w:u w:val="single"/>
        </w:rPr>
        <w:tab/>
      </w:r>
      <w:r>
        <w:rPr>
          <w:w w:val="95"/>
          <w:u w:val="single"/>
        </w:rPr>
        <w:t xml:space="preserve">                                                     </w:t>
      </w:r>
      <w:r>
        <w:rPr>
          <w:w w:val="95"/>
        </w:rPr>
        <w:t>传真：</w:t>
      </w:r>
      <w:r>
        <w:rPr>
          <w:w w:val="95"/>
          <w:u w:val="single"/>
        </w:rPr>
        <w:tab/>
      </w:r>
      <w:r>
        <w:rPr>
          <w:w w:val="95"/>
          <w:u w:val="single"/>
        </w:rPr>
        <w:t xml:space="preserve">                                                     </w:t>
      </w:r>
      <w:r>
        <w:rPr>
          <w:w w:val="95"/>
        </w:rPr>
        <w:t>开户银行：</w:t>
      </w:r>
      <w:r>
        <w:rPr>
          <w:w w:val="95"/>
          <w:u w:val="single"/>
        </w:rPr>
        <w:tab/>
      </w:r>
      <w:r>
        <w:rPr>
          <w:w w:val="95"/>
          <w:u w:val="single"/>
        </w:rPr>
        <w:t xml:space="preserve">                                                 </w:t>
      </w:r>
      <w:r>
        <w:rPr>
          <w:w w:val="95"/>
        </w:rPr>
        <w:t>账号：</w:t>
      </w:r>
      <w:r>
        <w:rPr>
          <w:w w:val="95"/>
          <w:u w:val="single"/>
        </w:rPr>
        <w:tab/>
      </w:r>
      <w:r>
        <w:rPr>
          <w:w w:val="95"/>
          <w:u w:val="single"/>
        </w:rPr>
        <w:t xml:space="preserve">                                                     </w:t>
      </w:r>
      <w:r>
        <w:rPr>
          <w:w w:val="95"/>
        </w:rPr>
        <w:t>邮政编码：</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spacing w:before="3"/>
        <w:rPr>
          <w:rFonts w:ascii="Times New Roman"/>
          <w:sz w:val="17"/>
        </w:rPr>
      </w:pPr>
    </w:p>
    <w:p>
      <w:pPr>
        <w:pStyle w:val="3"/>
        <w:tabs>
          <w:tab w:val="left" w:pos="6146"/>
        </w:tabs>
        <w:spacing w:before="1" w:line="350" w:lineRule="auto"/>
        <w:ind w:left="112" w:right="4279"/>
        <w:jc w:val="both"/>
        <w:rPr>
          <w:rFonts w:ascii="Times New Roman" w:eastAsia="Times New Roman"/>
        </w:rPr>
      </w:pPr>
      <w:r>
        <w:rPr>
          <w:w w:val="95"/>
        </w:rPr>
        <w:t>承包人（公章）：</w:t>
      </w:r>
      <w:r>
        <w:rPr>
          <w:w w:val="95"/>
          <w:u w:val="single"/>
        </w:rPr>
        <w:tab/>
      </w:r>
      <w:r>
        <w:rPr>
          <w:w w:val="95"/>
          <w:u w:val="single"/>
        </w:rPr>
        <w:t xml:space="preserve">                                          </w:t>
      </w:r>
      <w:r>
        <w:rPr>
          <w:w w:val="95"/>
        </w:rPr>
        <w:t>地址：</w:t>
      </w:r>
      <w:r>
        <w:rPr>
          <w:w w:val="95"/>
          <w:u w:val="single"/>
        </w:rPr>
        <w:tab/>
      </w:r>
      <w:r>
        <w:rPr>
          <w:w w:val="95"/>
          <w:u w:val="single"/>
        </w:rPr>
        <w:t xml:space="preserve">                                                     </w:t>
      </w:r>
      <w:r>
        <w:rPr>
          <w:w w:val="95"/>
        </w:rPr>
        <w:t>法定代表人（签字）：</w:t>
      </w:r>
      <w:r>
        <w:rPr>
          <w:w w:val="95"/>
          <w:u w:val="single"/>
        </w:rPr>
        <w:tab/>
      </w:r>
      <w:r>
        <w:rPr>
          <w:w w:val="95"/>
          <w:u w:val="single"/>
        </w:rPr>
        <w:t xml:space="preserve">                                      </w:t>
      </w:r>
      <w:r>
        <w:rPr>
          <w:w w:val="95"/>
        </w:rPr>
        <w:t>委托代理人（签字）：</w:t>
      </w:r>
      <w:r>
        <w:rPr>
          <w:w w:val="95"/>
          <w:u w:val="single"/>
        </w:rPr>
        <w:tab/>
      </w:r>
      <w:r>
        <w:rPr>
          <w:w w:val="95"/>
          <w:u w:val="single"/>
        </w:rPr>
        <w:t xml:space="preserve">                                      </w:t>
      </w:r>
      <w:r>
        <w:rPr>
          <w:w w:val="95"/>
        </w:rPr>
        <w:t>电话：</w:t>
      </w:r>
      <w:r>
        <w:rPr>
          <w:w w:val="95"/>
          <w:u w:val="single"/>
        </w:rPr>
        <w:tab/>
      </w:r>
      <w:r>
        <w:rPr>
          <w:w w:val="95"/>
          <w:u w:val="single"/>
        </w:rPr>
        <w:t xml:space="preserve">                                                     </w:t>
      </w:r>
      <w:r>
        <w:rPr>
          <w:w w:val="95"/>
        </w:rPr>
        <w:t>传真：</w:t>
      </w:r>
      <w:r>
        <w:rPr>
          <w:w w:val="95"/>
          <w:u w:val="single"/>
        </w:rPr>
        <w:tab/>
      </w:r>
      <w:r>
        <w:rPr>
          <w:w w:val="95"/>
          <w:u w:val="single"/>
        </w:rPr>
        <w:t xml:space="preserve">                                                     </w:t>
      </w:r>
      <w:r>
        <w:rPr>
          <w:w w:val="95"/>
        </w:rPr>
        <w:t>开户银行：</w:t>
      </w:r>
      <w:r>
        <w:rPr>
          <w:w w:val="95"/>
          <w:u w:val="single"/>
        </w:rPr>
        <w:tab/>
      </w:r>
      <w:r>
        <w:rPr>
          <w:w w:val="95"/>
          <w:u w:val="single"/>
        </w:rPr>
        <w:t xml:space="preserve">                                                 </w:t>
      </w:r>
      <w:r>
        <w:rPr>
          <w:w w:val="95"/>
        </w:rPr>
        <w:t>账号：</w:t>
      </w:r>
      <w:r>
        <w:rPr>
          <w:w w:val="95"/>
          <w:u w:val="single"/>
        </w:rPr>
        <w:tab/>
      </w:r>
      <w:r>
        <w:rPr>
          <w:w w:val="95"/>
          <w:u w:val="single"/>
        </w:rPr>
        <w:t xml:space="preserve">                                                     </w:t>
      </w:r>
      <w:r>
        <w:rPr>
          <w:w w:val="95"/>
        </w:rPr>
        <w:t>邮政编码：</w:t>
      </w:r>
      <w:r>
        <w:rPr>
          <w:rFonts w:ascii="Times New Roman" w:eastAsia="Times New Roman"/>
          <w:w w:val="95"/>
          <w:u w:val="single"/>
        </w:rPr>
        <w:t xml:space="preserve"> </w:t>
      </w:r>
      <w:r>
        <w:rPr>
          <w:rFonts w:ascii="Times New Roman" w:eastAsia="Times New Roman"/>
          <w:u w:val="single"/>
        </w:rPr>
        <w:tab/>
      </w:r>
    </w:p>
    <w:p>
      <w:pPr>
        <w:spacing w:after="0" w:line="350" w:lineRule="auto"/>
        <w:jc w:val="both"/>
        <w:rPr>
          <w:rFonts w:ascii="Times New Roman" w:eastAsia="Times New Roman"/>
        </w:rPr>
        <w:sectPr>
          <w:pgSz w:w="11910" w:h="16840"/>
          <w:pgMar w:top="1000" w:right="740" w:bottom="760" w:left="740" w:header="808" w:footer="575" w:gutter="0"/>
          <w:pgNumType w:fmt="decimal"/>
        </w:sectPr>
      </w:pPr>
    </w:p>
    <w:p>
      <w:pPr>
        <w:pStyle w:val="6"/>
        <w:tabs>
          <w:tab w:val="left" w:pos="1283"/>
        </w:tabs>
        <w:spacing w:before="73"/>
        <w:ind w:right="118"/>
      </w:pPr>
      <w:bookmarkStart w:id="282" w:name="_bookmark108"/>
      <w:bookmarkEnd w:id="282"/>
      <w:bookmarkStart w:id="283" w:name="第五章  工程量清单"/>
      <w:bookmarkEnd w:id="283"/>
      <w:r>
        <w:t>第五章</w:t>
      </w:r>
      <w:r>
        <w:tab/>
      </w:r>
      <w:r>
        <w:rPr>
          <w:w w:val="95"/>
        </w:rPr>
        <w:t>工程量清单</w:t>
      </w:r>
    </w:p>
    <w:p>
      <w:pPr>
        <w:pStyle w:val="3"/>
        <w:spacing w:before="10"/>
        <w:rPr>
          <w:rFonts w:ascii="黑体"/>
          <w:b/>
          <w:sz w:val="38"/>
        </w:rPr>
      </w:pPr>
    </w:p>
    <w:p>
      <w:pPr>
        <w:pStyle w:val="9"/>
        <w:spacing w:before="1"/>
        <w:rPr>
          <w:rStyle w:val="15"/>
          <w:sz w:val="21"/>
          <w:szCs w:val="21"/>
        </w:rPr>
      </w:pPr>
      <w:bookmarkStart w:id="284" w:name="_bookmark109"/>
      <w:bookmarkEnd w:id="284"/>
      <w:bookmarkStart w:id="285" w:name="1．工程量清单编制说明"/>
      <w:bookmarkEnd w:id="285"/>
      <w:r>
        <w:rPr>
          <w:rStyle w:val="15"/>
          <w:sz w:val="21"/>
          <w:szCs w:val="21"/>
        </w:rPr>
        <w:t>1．工程量清单编制说明</w:t>
      </w:r>
    </w:p>
    <w:p>
      <w:pPr>
        <w:pStyle w:val="17"/>
        <w:numPr>
          <w:ilvl w:val="1"/>
          <w:numId w:val="25"/>
        </w:numPr>
        <w:tabs>
          <w:tab w:val="left" w:pos="532"/>
        </w:tabs>
        <w:spacing w:before="123" w:after="0" w:line="350" w:lineRule="auto"/>
        <w:ind w:left="112" w:right="145" w:firstLine="0"/>
        <w:jc w:val="left"/>
        <w:rPr>
          <w:rStyle w:val="15"/>
          <w:sz w:val="21"/>
          <w:szCs w:val="21"/>
        </w:rPr>
      </w:pPr>
      <w:r>
        <w:rPr>
          <w:rStyle w:val="15"/>
          <w:sz w:val="21"/>
          <w:szCs w:val="21"/>
        </w:rPr>
        <w:t>本工程量清单是根据招标文件中包括的、有合同约束力的图纸以及有关工程量清单的国家标准、行业标准、   合同条款中约定的工程量计算规则编制。约定计量规则中没有的子目，其工程量按照有合同约束力的图纸所标示尺寸的理论净量计算。计量采用中华人民共和国法定计量单位。</w:t>
      </w:r>
    </w:p>
    <w:p>
      <w:pPr>
        <w:pStyle w:val="17"/>
        <w:numPr>
          <w:ilvl w:val="1"/>
          <w:numId w:val="25"/>
        </w:numPr>
        <w:tabs>
          <w:tab w:val="left" w:pos="532"/>
        </w:tabs>
        <w:spacing w:before="26" w:after="0" w:line="350" w:lineRule="auto"/>
        <w:ind w:left="112" w:right="228" w:firstLine="0"/>
        <w:jc w:val="left"/>
        <w:rPr>
          <w:rStyle w:val="15"/>
          <w:sz w:val="21"/>
          <w:szCs w:val="21"/>
        </w:rPr>
      </w:pPr>
      <w:r>
        <w:rPr>
          <w:rStyle w:val="15"/>
          <w:sz w:val="21"/>
          <w:szCs w:val="21"/>
        </w:rPr>
        <w:t>本工程量清单应与招标文件中的投标人须知、通用合同条款、专用合同条款、技术规范及图纸等一起阅读和理解。</w:t>
      </w:r>
    </w:p>
    <w:p>
      <w:pPr>
        <w:pStyle w:val="17"/>
        <w:numPr>
          <w:ilvl w:val="1"/>
          <w:numId w:val="25"/>
        </w:numPr>
        <w:tabs>
          <w:tab w:val="left" w:pos="477"/>
        </w:tabs>
        <w:spacing w:before="29" w:after="0" w:line="350" w:lineRule="auto"/>
        <w:ind w:left="112" w:right="124" w:firstLine="0"/>
        <w:jc w:val="left"/>
        <w:rPr>
          <w:rStyle w:val="15"/>
          <w:sz w:val="21"/>
          <w:szCs w:val="21"/>
        </w:rPr>
      </w:pPr>
      <w:r>
        <w:rPr>
          <w:rStyle w:val="15"/>
          <w:sz w:val="21"/>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 15．4 款的规定， 由监理人确定的单价或总额价计算支付额，</w:t>
      </w:r>
    </w:p>
    <w:p>
      <w:pPr>
        <w:pStyle w:val="17"/>
        <w:numPr>
          <w:ilvl w:val="1"/>
          <w:numId w:val="25"/>
        </w:numPr>
        <w:tabs>
          <w:tab w:val="left" w:pos="532"/>
        </w:tabs>
        <w:spacing w:before="27" w:after="0" w:line="350" w:lineRule="auto"/>
        <w:ind w:left="112" w:right="228" w:firstLine="0"/>
        <w:jc w:val="left"/>
        <w:rPr>
          <w:rStyle w:val="15"/>
          <w:sz w:val="21"/>
          <w:szCs w:val="21"/>
        </w:rPr>
      </w:pPr>
      <w:r>
        <w:rPr>
          <w:rStyle w:val="15"/>
          <w:sz w:val="21"/>
          <w:szCs w:val="21"/>
        </w:rPr>
        <w:t>工程量清单各章是按第七章“技术规范”的相应章次编号的，因此，工程量清单中各章的工程子目的范围与计量等应与“技术规范”相应章节的范围、计量与支付条款结合起来理解或解释。</w:t>
      </w:r>
    </w:p>
    <w:p>
      <w:pPr>
        <w:pStyle w:val="17"/>
        <w:numPr>
          <w:ilvl w:val="1"/>
          <w:numId w:val="25"/>
        </w:numPr>
        <w:tabs>
          <w:tab w:val="left" w:pos="532"/>
        </w:tabs>
        <w:spacing w:before="29" w:after="0" w:line="240" w:lineRule="auto"/>
        <w:ind w:left="112" w:right="0" w:firstLine="0"/>
        <w:jc w:val="left"/>
        <w:rPr>
          <w:rStyle w:val="15"/>
          <w:sz w:val="21"/>
          <w:szCs w:val="21"/>
        </w:rPr>
      </w:pPr>
      <w:r>
        <w:rPr>
          <w:rStyle w:val="15"/>
          <w:sz w:val="21"/>
          <w:szCs w:val="21"/>
        </w:rPr>
        <w:t>对作业和材料的—般说明或规定，未重复写入工程量清单内，在给工程量清单各子目标价前，应参阅第七章</w:t>
      </w:r>
    </w:p>
    <w:p>
      <w:pPr>
        <w:pStyle w:val="3"/>
        <w:spacing w:before="123"/>
        <w:ind w:left="112"/>
        <w:rPr>
          <w:rStyle w:val="15"/>
          <w:sz w:val="21"/>
          <w:szCs w:val="21"/>
        </w:rPr>
      </w:pPr>
      <w:r>
        <w:rPr>
          <w:rStyle w:val="15"/>
          <w:sz w:val="21"/>
          <w:szCs w:val="21"/>
        </w:rPr>
        <w:t>“技术规范”的有关内容。</w:t>
      </w:r>
    </w:p>
    <w:p>
      <w:pPr>
        <w:pStyle w:val="17"/>
        <w:numPr>
          <w:ilvl w:val="1"/>
          <w:numId w:val="25"/>
        </w:numPr>
        <w:tabs>
          <w:tab w:val="left" w:pos="532"/>
        </w:tabs>
        <w:spacing w:before="126" w:after="0" w:line="350" w:lineRule="auto"/>
        <w:ind w:left="112" w:right="230" w:firstLine="0"/>
        <w:jc w:val="left"/>
        <w:rPr>
          <w:rStyle w:val="15"/>
          <w:sz w:val="21"/>
          <w:szCs w:val="21"/>
        </w:rPr>
      </w:pPr>
      <w:r>
        <w:rPr>
          <w:rStyle w:val="15"/>
          <w:sz w:val="21"/>
          <w:szCs w:val="21"/>
        </w:rPr>
        <w:t>工程量清单中所列工程量的变动，丝毫不会降低或影响合同条款的效力，也不免除承包人按规定的标准进行施工和修复缺陷的责任。</w:t>
      </w:r>
    </w:p>
    <w:p>
      <w:pPr>
        <w:pStyle w:val="17"/>
        <w:numPr>
          <w:ilvl w:val="1"/>
          <w:numId w:val="25"/>
        </w:numPr>
        <w:tabs>
          <w:tab w:val="left" w:pos="532"/>
        </w:tabs>
        <w:spacing w:before="27" w:after="0" w:line="350" w:lineRule="auto"/>
        <w:ind w:left="112" w:right="228" w:firstLine="0"/>
        <w:jc w:val="left"/>
        <w:rPr>
          <w:rStyle w:val="15"/>
          <w:sz w:val="21"/>
          <w:szCs w:val="21"/>
        </w:rPr>
      </w:pPr>
      <w:r>
        <w:rPr>
          <w:rStyle w:val="15"/>
          <w:sz w:val="21"/>
          <w:szCs w:val="21"/>
        </w:rPr>
        <w:t>图纸中所列的工程数量表及数量汇总表仅是提供资料，不是工程量清单的外延。当图纸与工程量清单所列数量不一致时，以工程量清单所列数量作为报价的依据。</w:t>
      </w:r>
    </w:p>
    <w:p>
      <w:pPr>
        <w:pStyle w:val="9"/>
        <w:spacing w:before="29"/>
        <w:rPr>
          <w:rStyle w:val="15"/>
          <w:sz w:val="21"/>
          <w:szCs w:val="21"/>
        </w:rPr>
      </w:pPr>
      <w:bookmarkStart w:id="286" w:name="2．招标控制价编制说明"/>
      <w:bookmarkEnd w:id="286"/>
      <w:bookmarkStart w:id="287" w:name="_bookmark110"/>
      <w:bookmarkEnd w:id="287"/>
      <w:r>
        <w:rPr>
          <w:rStyle w:val="15"/>
          <w:sz w:val="21"/>
          <w:szCs w:val="21"/>
        </w:rPr>
        <w:t>2．招标控制价编制说明</w:t>
      </w:r>
    </w:p>
    <w:p>
      <w:pPr>
        <w:pStyle w:val="17"/>
        <w:numPr>
          <w:ilvl w:val="1"/>
          <w:numId w:val="26"/>
        </w:numPr>
        <w:tabs>
          <w:tab w:val="left" w:pos="532"/>
        </w:tabs>
        <w:spacing w:before="123" w:after="0" w:line="240" w:lineRule="auto"/>
        <w:ind w:left="112" w:right="0" w:firstLine="0"/>
        <w:jc w:val="left"/>
        <w:rPr>
          <w:rStyle w:val="15"/>
          <w:sz w:val="21"/>
          <w:szCs w:val="21"/>
        </w:rPr>
      </w:pPr>
      <w:r>
        <w:rPr>
          <w:rStyle w:val="15"/>
          <w:sz w:val="21"/>
          <w:szCs w:val="21"/>
        </w:rPr>
        <w:t>工程量清单中的每一子目须填入单价或价格，且只允许有一个报价。</w:t>
      </w:r>
    </w:p>
    <w:p>
      <w:pPr>
        <w:pStyle w:val="17"/>
        <w:numPr>
          <w:ilvl w:val="1"/>
          <w:numId w:val="26"/>
        </w:numPr>
        <w:tabs>
          <w:tab w:val="left" w:pos="532"/>
        </w:tabs>
        <w:spacing w:before="125" w:after="0" w:line="348" w:lineRule="auto"/>
        <w:ind w:left="112" w:right="117" w:firstLine="0"/>
        <w:jc w:val="left"/>
        <w:rPr>
          <w:rStyle w:val="15"/>
          <w:sz w:val="21"/>
          <w:szCs w:val="21"/>
        </w:rPr>
      </w:pPr>
      <w:r>
        <w:rPr>
          <w:rStyle w:val="15"/>
          <w:sz w:val="21"/>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Style w:val="17"/>
        <w:numPr>
          <w:ilvl w:val="1"/>
          <w:numId w:val="26"/>
        </w:numPr>
        <w:tabs>
          <w:tab w:val="left" w:pos="532"/>
        </w:tabs>
        <w:spacing w:before="31" w:after="0" w:line="350" w:lineRule="auto"/>
        <w:ind w:left="112" w:right="230" w:firstLine="0"/>
        <w:jc w:val="left"/>
        <w:rPr>
          <w:rStyle w:val="15"/>
          <w:sz w:val="21"/>
          <w:szCs w:val="21"/>
        </w:rPr>
      </w:pPr>
      <w:r>
        <w:rPr>
          <w:rStyle w:val="15"/>
          <w:sz w:val="21"/>
          <w:szCs w:val="21"/>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pStyle w:val="17"/>
        <w:numPr>
          <w:ilvl w:val="1"/>
          <w:numId w:val="26"/>
        </w:numPr>
        <w:tabs>
          <w:tab w:val="left" w:pos="532"/>
        </w:tabs>
        <w:spacing w:before="27" w:after="0" w:line="350" w:lineRule="auto"/>
        <w:ind w:left="112" w:right="230" w:firstLine="0"/>
        <w:jc w:val="left"/>
        <w:rPr>
          <w:rStyle w:val="15"/>
          <w:sz w:val="21"/>
          <w:szCs w:val="21"/>
        </w:rPr>
      </w:pPr>
      <w:r>
        <w:rPr>
          <w:rStyle w:val="15"/>
          <w:sz w:val="21"/>
          <w:szCs w:val="21"/>
        </w:rPr>
        <w:t>符合合同条款规定的全部费用应认为已被计入有标价的工程量清单所列各子目之中，未列子目不予计量的工作，其费用应视为已分摊在本合同工程的有关子目的单价或总额价之中。</w:t>
      </w:r>
    </w:p>
    <w:p>
      <w:pPr>
        <w:pStyle w:val="17"/>
        <w:numPr>
          <w:ilvl w:val="1"/>
          <w:numId w:val="26"/>
        </w:numPr>
        <w:tabs>
          <w:tab w:val="left" w:pos="477"/>
        </w:tabs>
        <w:spacing w:before="29" w:after="0" w:line="348" w:lineRule="auto"/>
        <w:ind w:left="112" w:right="228" w:firstLine="0"/>
        <w:jc w:val="left"/>
        <w:rPr>
          <w:rStyle w:val="15"/>
          <w:sz w:val="21"/>
          <w:szCs w:val="21"/>
        </w:rPr>
      </w:pPr>
      <w:r>
        <w:rPr>
          <w:rStyle w:val="15"/>
          <w:sz w:val="21"/>
          <w:szCs w:val="21"/>
        </w:rPr>
        <w:t>承包人用于本合同工程的各类装备的提供、运输、维护、拆卸、拼装等支付的费用，已包括在工程量清单的单价与总额价之中。</w:t>
      </w:r>
    </w:p>
    <w:p>
      <w:pPr>
        <w:pStyle w:val="17"/>
        <w:numPr>
          <w:ilvl w:val="1"/>
          <w:numId w:val="26"/>
        </w:numPr>
        <w:tabs>
          <w:tab w:val="left" w:pos="532"/>
        </w:tabs>
        <w:spacing w:before="31" w:after="0" w:line="240" w:lineRule="auto"/>
        <w:ind w:left="112" w:right="0" w:firstLine="0"/>
        <w:jc w:val="left"/>
        <w:rPr>
          <w:rStyle w:val="15"/>
          <w:sz w:val="21"/>
          <w:szCs w:val="21"/>
        </w:rPr>
      </w:pPr>
      <w:r>
        <w:rPr>
          <w:rStyle w:val="15"/>
          <w:sz w:val="21"/>
          <w:szCs w:val="21"/>
        </w:rPr>
        <w:t>工程量清单中各项金额均以人民币（元）结算。</w:t>
      </w:r>
    </w:p>
    <w:p>
      <w:pPr>
        <w:spacing w:before="125" w:line="348" w:lineRule="auto"/>
        <w:ind w:left="112" w:right="6326" w:firstLine="0"/>
        <w:jc w:val="left"/>
        <w:rPr>
          <w:rStyle w:val="15"/>
          <w:sz w:val="21"/>
          <w:szCs w:val="21"/>
        </w:rPr>
      </w:pPr>
      <w:bookmarkStart w:id="288" w:name="_bookmark111"/>
      <w:bookmarkEnd w:id="288"/>
      <w:bookmarkStart w:id="289" w:name="3．投标报价（已标价工程量清单）编制说明"/>
      <w:bookmarkEnd w:id="289"/>
      <w:r>
        <w:rPr>
          <w:rStyle w:val="15"/>
          <w:sz w:val="21"/>
          <w:szCs w:val="21"/>
        </w:rPr>
        <w:t>3．投标报价（已标价工程量清单）编制说明 本工程不计列计日工</w:t>
      </w:r>
    </w:p>
    <w:p>
      <w:pPr>
        <w:pStyle w:val="9"/>
        <w:spacing w:before="30"/>
        <w:rPr>
          <w:rStyle w:val="15"/>
          <w:sz w:val="21"/>
          <w:szCs w:val="21"/>
        </w:rPr>
      </w:pPr>
      <w:r>
        <w:rPr>
          <w:rStyle w:val="15"/>
          <w:sz w:val="21"/>
          <w:szCs w:val="21"/>
        </w:rPr>
        <w:t>4.其他说明：无</w:t>
      </w:r>
    </w:p>
    <w:p>
      <w:pPr>
        <w:spacing w:after="0"/>
        <w:rPr>
          <w:rStyle w:val="15"/>
          <w:sz w:val="21"/>
          <w:szCs w:val="21"/>
        </w:rPr>
        <w:sectPr>
          <w:pgSz w:w="11910" w:h="16840"/>
          <w:pgMar w:top="1000" w:right="620" w:bottom="760" w:left="740" w:header="808" w:footer="575" w:gutter="0"/>
          <w:pgNumType w:fmt="decimal"/>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4"/>
      </w:pPr>
      <w:bookmarkStart w:id="290" w:name="第二卷"/>
      <w:bookmarkEnd w:id="290"/>
      <w:bookmarkStart w:id="291" w:name="_bookmark112"/>
      <w:bookmarkEnd w:id="291"/>
      <w:r>
        <w:rPr>
          <w:w w:val="95"/>
        </w:rPr>
        <w:t>第二卷</w:t>
      </w:r>
    </w:p>
    <w:p>
      <w:pPr>
        <w:spacing w:after="0"/>
        <w:sectPr>
          <w:pgSz w:w="11910" w:h="16840"/>
          <w:pgMar w:top="1000" w:right="740" w:bottom="760" w:left="740" w:header="808" w:footer="575" w:gutter="0"/>
          <w:pgNumType w:fmt="decimal"/>
        </w:sectPr>
      </w:pPr>
    </w:p>
    <w:p>
      <w:pPr>
        <w:pStyle w:val="3"/>
        <w:rPr>
          <w:rFonts w:ascii="黑体"/>
          <w:b/>
          <w:sz w:val="20"/>
        </w:rPr>
      </w:pPr>
    </w:p>
    <w:p>
      <w:pPr>
        <w:pStyle w:val="3"/>
        <w:spacing w:before="3"/>
        <w:rPr>
          <w:rFonts w:ascii="黑体"/>
          <w:b/>
          <w:sz w:val="16"/>
        </w:rPr>
      </w:pPr>
    </w:p>
    <w:p>
      <w:pPr>
        <w:tabs>
          <w:tab w:val="left" w:pos="4573"/>
        </w:tabs>
        <w:spacing w:before="0"/>
        <w:ind w:left="3287" w:right="0" w:firstLine="0"/>
        <w:jc w:val="left"/>
        <w:rPr>
          <w:rFonts w:hint="eastAsia" w:ascii="黑体" w:eastAsia="黑体"/>
          <w:b/>
          <w:sz w:val="32"/>
        </w:rPr>
      </w:pPr>
      <w:bookmarkStart w:id="292" w:name="_bookmark113"/>
      <w:bookmarkEnd w:id="292"/>
      <w:bookmarkStart w:id="293" w:name="第六章  图纸（另册发放）"/>
      <w:bookmarkEnd w:id="293"/>
      <w:r>
        <w:rPr>
          <w:rFonts w:hint="eastAsia" w:ascii="黑体" w:eastAsia="黑体"/>
          <w:b/>
          <w:sz w:val="32"/>
        </w:rPr>
        <w:t>第六章</w:t>
      </w:r>
      <w:r>
        <w:rPr>
          <w:rFonts w:hint="eastAsia" w:ascii="黑体" w:eastAsia="黑体"/>
          <w:b/>
          <w:sz w:val="32"/>
        </w:rPr>
        <w:tab/>
      </w:r>
      <w:r>
        <w:rPr>
          <w:rFonts w:hint="eastAsia" w:ascii="黑体" w:eastAsia="黑体"/>
          <w:b/>
          <w:w w:val="95"/>
          <w:sz w:val="32"/>
        </w:rPr>
        <w:t>图纸（另册发放）</w:t>
      </w:r>
    </w:p>
    <w:p>
      <w:pPr>
        <w:spacing w:after="0"/>
        <w:jc w:val="left"/>
        <w:rPr>
          <w:rFonts w:hint="eastAsia" w:ascii="黑体" w:eastAsia="黑体"/>
          <w:sz w:val="32"/>
        </w:rPr>
        <w:sectPr>
          <w:pgSz w:w="11910" w:h="16840"/>
          <w:pgMar w:top="1000" w:right="740" w:bottom="760" w:left="740" w:header="808" w:footer="575" w:gutter="0"/>
          <w:pgNumType w:fmt="decimal"/>
        </w:sect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rPr>
          <w:rFonts w:ascii="黑体"/>
          <w:b/>
          <w:sz w:val="20"/>
        </w:rPr>
      </w:pPr>
    </w:p>
    <w:p>
      <w:pPr>
        <w:pStyle w:val="3"/>
        <w:spacing w:before="9"/>
        <w:rPr>
          <w:rFonts w:ascii="黑体"/>
          <w:b/>
          <w:sz w:val="20"/>
        </w:rPr>
      </w:pPr>
    </w:p>
    <w:p>
      <w:pPr>
        <w:pStyle w:val="4"/>
        <w:spacing w:line="940" w:lineRule="exact"/>
      </w:pPr>
      <w:bookmarkStart w:id="294" w:name="第三卷"/>
      <w:bookmarkEnd w:id="294"/>
      <w:bookmarkStart w:id="295" w:name="_bookmark114"/>
      <w:bookmarkEnd w:id="295"/>
      <w:r>
        <w:rPr>
          <w:w w:val="95"/>
        </w:rPr>
        <w:t>第三卷</w:t>
      </w:r>
    </w:p>
    <w:p>
      <w:pPr>
        <w:spacing w:after="0" w:line="940" w:lineRule="exact"/>
        <w:sectPr>
          <w:pgSz w:w="11910" w:h="16840"/>
          <w:pgMar w:top="1000" w:right="740" w:bottom="760" w:left="740" w:header="808" w:footer="575" w:gutter="0"/>
          <w:pgNumType w:fmt="decimal"/>
        </w:sectPr>
      </w:pPr>
    </w:p>
    <w:p>
      <w:pPr>
        <w:pStyle w:val="3"/>
        <w:rPr>
          <w:rFonts w:ascii="黑体"/>
          <w:b/>
          <w:sz w:val="20"/>
        </w:rPr>
      </w:pPr>
    </w:p>
    <w:p>
      <w:pPr>
        <w:pStyle w:val="3"/>
        <w:rPr>
          <w:rFonts w:ascii="黑体"/>
          <w:b/>
          <w:sz w:val="16"/>
        </w:rPr>
      </w:pPr>
    </w:p>
    <w:p>
      <w:pPr>
        <w:tabs>
          <w:tab w:val="left" w:pos="4731"/>
        </w:tabs>
        <w:spacing w:before="1"/>
        <w:ind w:left="3448" w:right="0" w:firstLine="0"/>
        <w:jc w:val="left"/>
        <w:rPr>
          <w:rFonts w:hint="eastAsia" w:ascii="黑体" w:eastAsia="黑体"/>
          <w:b/>
          <w:sz w:val="32"/>
        </w:rPr>
      </w:pPr>
      <w:bookmarkStart w:id="296" w:name="_bookmark115"/>
      <w:bookmarkEnd w:id="296"/>
      <w:bookmarkStart w:id="297" w:name="第七章  技术标准和要求"/>
      <w:bookmarkEnd w:id="297"/>
      <w:r>
        <w:rPr>
          <w:rFonts w:hint="eastAsia" w:ascii="黑体" w:eastAsia="黑体"/>
          <w:b/>
          <w:sz w:val="32"/>
        </w:rPr>
        <w:t>第七章</w:t>
      </w:r>
      <w:r>
        <w:rPr>
          <w:rFonts w:hint="eastAsia" w:ascii="黑体" w:eastAsia="黑体"/>
          <w:b/>
          <w:sz w:val="32"/>
        </w:rPr>
        <w:tab/>
      </w:r>
      <w:r>
        <w:rPr>
          <w:rFonts w:hint="eastAsia" w:ascii="黑体" w:eastAsia="黑体"/>
          <w:b/>
          <w:w w:val="95"/>
          <w:sz w:val="32"/>
        </w:rPr>
        <w:t>技术标准和要求</w:t>
      </w:r>
    </w:p>
    <w:p>
      <w:pPr>
        <w:pStyle w:val="3"/>
        <w:spacing w:before="11"/>
        <w:rPr>
          <w:rFonts w:ascii="黑体"/>
          <w:b/>
          <w:sz w:val="38"/>
        </w:rPr>
      </w:pPr>
    </w:p>
    <w:p>
      <w:pPr>
        <w:pStyle w:val="3"/>
        <w:ind w:left="112"/>
        <w:rPr>
          <w:rStyle w:val="15"/>
        </w:rPr>
      </w:pPr>
      <w:r>
        <w:rPr>
          <w:rStyle w:val="15"/>
        </w:rPr>
        <w:t>技术规范专用条款说明：</w:t>
      </w:r>
    </w:p>
    <w:p>
      <w:pPr>
        <w:pStyle w:val="3"/>
        <w:spacing w:before="125" w:line="350" w:lineRule="auto"/>
        <w:ind w:left="112" w:right="110" w:firstLine="420"/>
        <w:jc w:val="both"/>
        <w:rPr>
          <w:rStyle w:val="15"/>
        </w:rPr>
      </w:pPr>
      <w:r>
        <w:rPr>
          <w:rStyle w:val="15"/>
        </w:rPr>
        <w:t>1.技术规范专用条款是《技术规范》条款中明确指出要在技术规范专用条款中予以具体规定的信息或与工程所在地具体情况有关的规定，是必备的配套条款。</w:t>
      </w:r>
    </w:p>
    <w:p>
      <w:pPr>
        <w:pStyle w:val="3"/>
        <w:spacing w:before="28" w:line="350" w:lineRule="auto"/>
        <w:ind w:left="112" w:right="106" w:firstLine="420"/>
        <w:jc w:val="both"/>
      </w:pPr>
      <w:r>
        <w:rPr>
          <w:rFonts w:hint="eastAsia"/>
          <w:lang w:val="en-US" w:eastAsia="zh-CN"/>
        </w:rPr>
        <w:t>2</w:t>
      </w:r>
      <w:r>
        <w:t>.</w:t>
      </w:r>
      <w:r>
        <w:rPr>
          <w:rFonts w:hint="eastAsia"/>
        </w:rPr>
        <w:t>本工程施工图预算依据：</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1．JTG3830-2018 公路工程建设项目概算预算编制办法、JTG-T3832-2018公路工程预算定额、JTG-T3833-2018 公路工程机械台班费用定额；</w:t>
      </w:r>
    </w:p>
    <w:p>
      <w:pPr>
        <w:ind w:firstLine="403" w:firstLineChars="192"/>
        <w:rPr>
          <w:rFonts w:hint="eastAsia" w:ascii="宋体" w:hAnsi="宋体" w:eastAsia="宋体" w:cs="宋体"/>
          <w:sz w:val="21"/>
          <w:szCs w:val="21"/>
          <w:lang w:val="zh-CN"/>
        </w:rPr>
      </w:pPr>
      <w:r>
        <w:rPr>
          <w:rFonts w:hint="eastAsia" w:ascii="宋体" w:hAnsi="宋体" w:eastAsia="宋体" w:cs="宋体"/>
          <w:sz w:val="21"/>
          <w:szCs w:val="21"/>
        </w:rPr>
        <w:t>2．广西壮族自治区交通运输厅关于印发公路工程建设项目估算概算预算编制办法广西补充规定的通知 桂交建管发〔2019〕39号</w:t>
      </w:r>
      <w:r>
        <w:rPr>
          <w:rFonts w:hint="eastAsia" w:ascii="宋体" w:hAnsi="宋体" w:eastAsia="宋体" w:cs="宋体"/>
          <w:sz w:val="21"/>
          <w:szCs w:val="21"/>
          <w:lang w:val="zh-CN"/>
        </w:rPr>
        <w:t>。</w:t>
      </w:r>
    </w:p>
    <w:p>
      <w:pPr>
        <w:ind w:firstLine="403" w:firstLineChars="192"/>
        <w:rPr>
          <w:rFonts w:hint="eastAsia" w:ascii="宋体" w:hAnsi="宋体" w:eastAsia="宋体" w:cs="宋体"/>
          <w:sz w:val="21"/>
          <w:szCs w:val="21"/>
          <w:lang w:val="zh-CN"/>
        </w:rPr>
      </w:pPr>
      <w:r>
        <w:rPr>
          <w:rFonts w:hint="eastAsia" w:ascii="宋体" w:hAnsi="宋体" w:eastAsia="宋体" w:cs="宋体"/>
          <w:sz w:val="21"/>
          <w:szCs w:val="21"/>
        </w:rPr>
        <w:t>3、《关于公布取消和停止征收100项行政事业性收费项目的通知》（财综[2008]78号文）。</w:t>
      </w:r>
    </w:p>
    <w:p>
      <w:pPr>
        <w:ind w:firstLine="403" w:firstLineChars="192"/>
        <w:rPr>
          <w:rFonts w:hint="eastAsia" w:ascii="宋体" w:hAnsi="宋体" w:eastAsia="宋体" w:cs="宋体"/>
          <w:sz w:val="21"/>
          <w:szCs w:val="21"/>
          <w:lang w:val="zh-CN"/>
        </w:rPr>
      </w:pPr>
      <w:r>
        <w:rPr>
          <w:rFonts w:hint="eastAsia" w:ascii="宋体" w:hAnsi="宋体" w:eastAsia="宋体" w:cs="宋体"/>
          <w:sz w:val="21"/>
          <w:szCs w:val="21"/>
        </w:rPr>
        <w:t>4、《转发国家计委经贸委关于停止收取供（配）电工程贴费有关问题的通知》（桂价格字[2002]73号文）</w:t>
      </w:r>
      <w:r>
        <w:rPr>
          <w:rFonts w:hint="eastAsia" w:ascii="宋体" w:hAnsi="宋体" w:eastAsia="宋体" w:cs="宋体"/>
          <w:sz w:val="21"/>
          <w:szCs w:val="21"/>
          <w:lang w:val="zh-CN"/>
        </w:rPr>
        <w:t>。</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5、《关于对广西农村公路建设概预算编制补充规定的通知》（交基建[2007]52号文）</w:t>
      </w:r>
      <w:r>
        <w:rPr>
          <w:rFonts w:hint="eastAsia" w:ascii="宋体" w:hAnsi="宋体" w:eastAsia="宋体" w:cs="宋体"/>
          <w:color w:val="000000"/>
          <w:sz w:val="21"/>
          <w:szCs w:val="21"/>
          <w:lang w:eastAsia="zh-CN"/>
        </w:rPr>
        <w:t>。</w:t>
      </w:r>
    </w:p>
    <w:p>
      <w:pPr>
        <w:ind w:firstLine="403" w:firstLineChars="19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交通运输部办公厅交办公路</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66号文《关于印发公路工程营业税改增值税计价依据调整方案的通知》。</w:t>
      </w:r>
    </w:p>
    <w:p>
      <w:pPr>
        <w:ind w:firstLine="403" w:firstLineChars="192"/>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7、广西壮族自治区交通工程造价管理站文件桂交监造价发</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1号《关于印发广西公路工程材料价格“营改增”调整方案通知》。</w:t>
      </w:r>
    </w:p>
    <w:p>
      <w:pPr>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（二）、单价</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1、人工费：</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本工程地处位于广西贺州市，根据“编制办法”及“广西补充规定”，计算人工工资为：</w:t>
      </w:r>
      <w:r>
        <w:rPr>
          <w:rFonts w:hint="eastAsia" w:ascii="宋体" w:hAnsi="宋体" w:cs="宋体"/>
          <w:sz w:val="21"/>
          <w:szCs w:val="21"/>
          <w:lang w:val="en-US" w:eastAsia="zh-CN"/>
        </w:rPr>
        <w:t>101.25</w:t>
      </w:r>
      <w:r>
        <w:rPr>
          <w:rFonts w:hint="eastAsia" w:ascii="宋体" w:hAnsi="宋体" w:eastAsia="宋体" w:cs="宋体"/>
          <w:sz w:val="21"/>
          <w:szCs w:val="21"/>
        </w:rPr>
        <w:t>元/工日，机械工工资为：</w:t>
      </w:r>
      <w:r>
        <w:rPr>
          <w:rFonts w:hint="eastAsia" w:ascii="宋体" w:hAnsi="宋体" w:cs="宋体"/>
          <w:sz w:val="21"/>
          <w:szCs w:val="21"/>
          <w:lang w:val="en-US" w:eastAsia="zh-CN"/>
        </w:rPr>
        <w:t>101.25</w:t>
      </w:r>
      <w:r>
        <w:rPr>
          <w:rFonts w:hint="eastAsia" w:ascii="宋体" w:hAnsi="宋体" w:eastAsia="宋体" w:cs="宋体"/>
          <w:sz w:val="21"/>
          <w:szCs w:val="21"/>
        </w:rPr>
        <w:t>元/工日。</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2、材料费</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参照《贺州市建筑材料价格信息》(201</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年第</w:t>
      </w: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期)及当地的材料市场价计列材料单价，全部单价均按运至工地价计列，主要材料运距按</w:t>
      </w:r>
      <w:r>
        <w:rPr>
          <w:rFonts w:hint="eastAsia" w:ascii="宋体" w:hAnsi="宋体" w:cs="宋体"/>
          <w:color w:val="000000"/>
          <w:sz w:val="21"/>
          <w:szCs w:val="21"/>
          <w:lang w:eastAsia="zh-CN"/>
        </w:rPr>
        <w:t>料场至工地</w:t>
      </w:r>
      <w:r>
        <w:rPr>
          <w:rFonts w:hint="eastAsia" w:ascii="宋体" w:hAnsi="宋体" w:eastAsia="宋体" w:cs="宋体"/>
          <w:color w:val="000000"/>
          <w:sz w:val="21"/>
          <w:szCs w:val="21"/>
        </w:rPr>
        <w:t>运距减去</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公里计取（信息价包</w:t>
      </w:r>
      <w:r>
        <w:rPr>
          <w:rFonts w:hint="eastAsia" w:ascii="宋体" w:hAnsi="宋体" w:eastAsia="宋体" w:cs="宋体"/>
          <w:color w:val="000000"/>
          <w:sz w:val="21"/>
          <w:szCs w:val="21"/>
          <w:lang w:eastAsia="zh-CN"/>
        </w:rPr>
        <w:t>含</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公里），材料预算价格详见“人工、材料、机械台班单价汇总表(07表)”。</w:t>
      </w:r>
    </w:p>
    <w:p>
      <w:pPr>
        <w:rPr>
          <w:rFonts w:hint="eastAsia" w:ascii="宋体" w:hAnsi="宋体" w:eastAsia="宋体" w:cs="宋体"/>
          <w:b/>
          <w:sz w:val="21"/>
          <w:szCs w:val="21"/>
        </w:rPr>
      </w:pPr>
      <w:r>
        <w:rPr>
          <w:rFonts w:hint="eastAsia" w:ascii="宋体" w:hAnsi="宋体" w:eastAsia="宋体" w:cs="宋体"/>
          <w:b/>
          <w:sz w:val="21"/>
          <w:szCs w:val="21"/>
        </w:rPr>
        <w:t>（三）、其他直接费现场经费及间接费综合费率</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1.其他直接费率：</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(1)、按编制办法划分，我区无冬季和准冬季气温区，因此不列冬季施工增加费和职工取暖补贴费。</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(2)、本工程地处Ⅱ雨量区，雨季期为六个月，按编制办法规定计列雨季施工增加费。</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(3)、夜间施工增加费，</w:t>
      </w:r>
      <w:r>
        <w:rPr>
          <w:rFonts w:hint="eastAsia" w:ascii="宋体" w:hAnsi="宋体" w:cs="宋体"/>
          <w:sz w:val="21"/>
          <w:szCs w:val="21"/>
          <w:lang w:eastAsia="zh-CN"/>
        </w:rPr>
        <w:t>不</w:t>
      </w:r>
      <w:r>
        <w:rPr>
          <w:rFonts w:hint="eastAsia" w:ascii="宋体" w:hAnsi="宋体" w:eastAsia="宋体" w:cs="宋体"/>
          <w:sz w:val="21"/>
          <w:szCs w:val="21"/>
        </w:rPr>
        <w:t>计列。</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(4)、特殊地区施工增加费：</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本项目所在地不属高原地区，不计列。</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本项目所在地不属沿海地区，不计列。</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本项目所在地不属风沙地区，不计列。</w:t>
      </w:r>
    </w:p>
    <w:p>
      <w:pPr>
        <w:ind w:firstLine="403" w:firstLineChars="192"/>
        <w:rPr>
          <w:rFonts w:hint="eastAsia" w:ascii="宋体" w:hAnsi="宋体" w:eastAsia="宋体" w:cs="宋体"/>
          <w:sz w:val="21"/>
          <w:szCs w:val="21"/>
        </w:rPr>
      </w:pPr>
      <w:r>
        <w:rPr>
          <w:rFonts w:hint="eastAsia" w:ascii="宋体" w:hAnsi="宋体" w:eastAsia="宋体" w:cs="宋体"/>
          <w:sz w:val="21"/>
          <w:szCs w:val="21"/>
        </w:rPr>
        <w:t>(5)、行车干扰工程施工增加费，计列。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)、施工辅助费：按编制办法规定，计列。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)、工地转移费：按编制办法规定，计列。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2、规费：养老保险费为</w:t>
      </w:r>
      <w:r>
        <w:rPr>
          <w:rFonts w:hint="eastAsia" w:ascii="宋体" w:hAnsi="宋体" w:cs="宋体"/>
          <w:color w:val="000000"/>
          <w:sz w:val="21"/>
          <w:szCs w:val="21"/>
          <w:lang w:val="en-US" w:eastAsia="zh-CN"/>
        </w:rPr>
        <w:t>16</w:t>
      </w:r>
      <w:r>
        <w:rPr>
          <w:rFonts w:hint="eastAsia" w:ascii="宋体" w:hAnsi="宋体" w:eastAsia="宋体" w:cs="宋体"/>
          <w:color w:val="000000"/>
          <w:sz w:val="21"/>
          <w:szCs w:val="21"/>
        </w:rPr>
        <w:t>%、失业保险费为</w:t>
      </w:r>
      <w:r>
        <w:rPr>
          <w:rFonts w:hint="eastAsia" w:ascii="宋体" w:hAnsi="宋体" w:cs="宋体"/>
          <w:color w:val="000000"/>
          <w:sz w:val="21"/>
          <w:szCs w:val="21"/>
          <w:lang w:val="en-US" w:eastAsia="zh-CN"/>
        </w:rPr>
        <w:t>0.5</w:t>
      </w:r>
      <w:r>
        <w:rPr>
          <w:rFonts w:hint="eastAsia" w:ascii="宋体" w:hAnsi="宋体" w:eastAsia="宋体" w:cs="宋体"/>
          <w:color w:val="000000"/>
          <w:sz w:val="21"/>
          <w:szCs w:val="21"/>
        </w:rPr>
        <w:t>%、医疗保险费率为</w:t>
      </w:r>
      <w:r>
        <w:rPr>
          <w:rFonts w:hint="eastAsia" w:ascii="宋体" w:hAnsi="宋体" w:cs="宋体"/>
          <w:color w:val="000000"/>
          <w:sz w:val="21"/>
          <w:szCs w:val="21"/>
          <w:lang w:val="en-US" w:eastAsia="zh-CN"/>
        </w:rPr>
        <w:t>7.5</w:t>
      </w:r>
      <w:r>
        <w:rPr>
          <w:rFonts w:hint="eastAsia" w:ascii="宋体" w:hAnsi="宋体" w:eastAsia="宋体" w:cs="宋体"/>
          <w:color w:val="000000"/>
          <w:sz w:val="21"/>
          <w:szCs w:val="21"/>
        </w:rPr>
        <w:t>%、工伤保险费率为1%、住房公积金为</w:t>
      </w:r>
      <w:r>
        <w:rPr>
          <w:rFonts w:hint="eastAsia" w:ascii="宋体" w:hAnsi="宋体" w:cs="宋体"/>
          <w:color w:val="000000"/>
          <w:sz w:val="21"/>
          <w:szCs w:val="21"/>
          <w:lang w:val="en-US" w:eastAsia="zh-CN"/>
        </w:rPr>
        <w:t>8.5</w:t>
      </w:r>
      <w:r>
        <w:rPr>
          <w:rFonts w:hint="eastAsia" w:ascii="宋体" w:hAnsi="宋体" w:eastAsia="宋体" w:cs="宋体"/>
          <w:color w:val="000000"/>
          <w:sz w:val="21"/>
          <w:szCs w:val="21"/>
        </w:rPr>
        <w:t>%，合计规费费率为</w:t>
      </w:r>
      <w:r>
        <w:rPr>
          <w:rFonts w:hint="eastAsia" w:ascii="宋体" w:hAnsi="宋体" w:cs="宋体"/>
          <w:color w:val="000000"/>
          <w:sz w:val="21"/>
          <w:szCs w:val="21"/>
          <w:lang w:val="en-US" w:eastAsia="zh-CN"/>
        </w:rPr>
        <w:t>33.5</w:t>
      </w:r>
      <w:r>
        <w:rPr>
          <w:rFonts w:hint="eastAsia" w:ascii="宋体" w:hAnsi="宋体" w:eastAsia="宋体" w:cs="宋体"/>
          <w:color w:val="000000"/>
          <w:sz w:val="21"/>
          <w:szCs w:val="21"/>
        </w:rPr>
        <w:t>%，以各类工程的人工费之和为基数计算</w:t>
      </w:r>
      <w:r>
        <w:rPr>
          <w:rFonts w:hint="eastAsia" w:ascii="宋体" w:hAnsi="宋体" w:eastAsia="宋体" w:cs="宋体"/>
          <w:color w:val="000000"/>
          <w:sz w:val="21"/>
          <w:szCs w:val="21"/>
          <w:lang w:eastAsia="zh-CN"/>
        </w:rPr>
        <w:t>。</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3、企业管理费：</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（1）、企业管理费基本费用：计列。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（2）、主副食品运费补贴：计列。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（3)、职工探亲：不计列。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（4)、职工取暖：不计列。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（5)、财务费用：计列。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4、辅助生产：</w:t>
      </w:r>
      <w:r>
        <w:rPr>
          <w:rFonts w:hint="eastAsia" w:ascii="宋体" w:hAnsi="宋体" w:cs="宋体"/>
          <w:color w:val="000000"/>
          <w:sz w:val="21"/>
          <w:szCs w:val="21"/>
          <w:lang w:eastAsia="zh-CN"/>
        </w:rPr>
        <w:t>不</w:t>
      </w:r>
      <w:r>
        <w:rPr>
          <w:rFonts w:hint="eastAsia" w:ascii="宋体" w:hAnsi="宋体" w:eastAsia="宋体" w:cs="宋体"/>
          <w:color w:val="000000"/>
          <w:sz w:val="21"/>
          <w:szCs w:val="21"/>
        </w:rPr>
        <w:t>计列。</w:t>
      </w:r>
    </w:p>
    <w:p>
      <w:pPr>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、利润、税金的综合税率均按按编制办法规定计列，增值税税率按</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%计算。</w:t>
      </w:r>
    </w:p>
    <w:p>
      <w:pPr>
        <w:spacing w:after="0" w:line="350" w:lineRule="auto"/>
        <w:sectPr>
          <w:pgSz w:w="11910" w:h="16840"/>
          <w:pgMar w:top="1000" w:right="740" w:bottom="760" w:left="740" w:header="808" w:footer="575" w:gutter="0"/>
          <w:pgNumType w:fmt="decimal"/>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4"/>
      </w:pPr>
      <w:bookmarkStart w:id="298" w:name="_bookmark116"/>
      <w:bookmarkEnd w:id="298"/>
      <w:bookmarkStart w:id="299" w:name="第四卷"/>
      <w:bookmarkEnd w:id="299"/>
      <w:r>
        <w:rPr>
          <w:w w:val="95"/>
        </w:rPr>
        <w:t>第四卷</w:t>
      </w:r>
    </w:p>
    <w:p>
      <w:pPr>
        <w:spacing w:after="0"/>
        <w:sectPr>
          <w:pgSz w:w="11910" w:h="16840"/>
          <w:pgMar w:top="1000" w:right="740" w:bottom="760" w:left="740" w:header="808" w:footer="575" w:gutter="0"/>
          <w:pgNumType w:fmt="decimal"/>
        </w:sectPr>
      </w:pPr>
    </w:p>
    <w:p>
      <w:pPr>
        <w:pStyle w:val="3"/>
        <w:rPr>
          <w:rFonts w:ascii="黑体"/>
          <w:b/>
          <w:sz w:val="20"/>
        </w:rPr>
      </w:pPr>
    </w:p>
    <w:p>
      <w:pPr>
        <w:pStyle w:val="3"/>
        <w:rPr>
          <w:rFonts w:ascii="黑体"/>
          <w:b/>
          <w:sz w:val="16"/>
        </w:rPr>
      </w:pPr>
    </w:p>
    <w:p>
      <w:pPr>
        <w:pStyle w:val="6"/>
        <w:tabs>
          <w:tab w:val="left" w:pos="1283"/>
        </w:tabs>
      </w:pPr>
      <w:bookmarkStart w:id="300" w:name="_bookmark117"/>
      <w:bookmarkEnd w:id="300"/>
      <w:bookmarkStart w:id="301" w:name="第八章  投标文件格式"/>
      <w:bookmarkEnd w:id="301"/>
      <w:r>
        <w:t>第八章</w:t>
      </w:r>
      <w:r>
        <w:tab/>
      </w:r>
      <w:r>
        <w:rPr>
          <w:w w:val="95"/>
        </w:rPr>
        <w:t>投标文件格式</w:t>
      </w:r>
    </w:p>
    <w:p>
      <w:pPr>
        <w:pStyle w:val="3"/>
        <w:rPr>
          <w:rFonts w:ascii="黑体"/>
          <w:b/>
          <w:sz w:val="20"/>
        </w:rPr>
      </w:pPr>
    </w:p>
    <w:p>
      <w:pPr>
        <w:pStyle w:val="8"/>
        <w:spacing w:before="168"/>
      </w:pPr>
      <w:r>
        <w:rPr>
          <w:w w:val="95"/>
        </w:rPr>
        <w:t>封面格式：</w:t>
      </w:r>
    </w:p>
    <w:p>
      <w:pPr>
        <w:pStyle w:val="3"/>
        <w:rPr>
          <w:rFonts w:ascii="黑体"/>
          <w:b/>
          <w:sz w:val="20"/>
        </w:rPr>
      </w:pPr>
    </w:p>
    <w:p>
      <w:pPr>
        <w:tabs>
          <w:tab w:val="left" w:pos="2190"/>
        </w:tabs>
        <w:spacing w:before="171"/>
        <w:ind w:left="112" w:right="0" w:firstLine="0"/>
        <w:jc w:val="left"/>
        <w:rPr>
          <w:rFonts w:hint="eastAsia" w:ascii="黑体" w:eastAsia="黑体"/>
          <w:sz w:val="28"/>
        </w:rPr>
      </w:pPr>
      <w:r>
        <w:rPr>
          <w:rFonts w:ascii="Times New Roman" w:eastAsia="Times New Roman"/>
          <w:w w:val="100"/>
          <w:sz w:val="28"/>
          <w:u w:val="single"/>
        </w:rPr>
        <w:t xml:space="preserve"> </w:t>
      </w:r>
      <w:r>
        <w:rPr>
          <w:rFonts w:ascii="Times New Roman" w:eastAsia="Times New Roman"/>
          <w:sz w:val="28"/>
          <w:u w:val="single"/>
        </w:rPr>
        <w:tab/>
      </w:r>
      <w:r>
        <w:rPr>
          <w:rFonts w:hint="eastAsia" w:ascii="黑体" w:eastAsia="黑体"/>
          <w:spacing w:val="-1"/>
          <w:sz w:val="28"/>
        </w:rPr>
        <w:t>（</w:t>
      </w:r>
      <w:r>
        <w:rPr>
          <w:rFonts w:hint="eastAsia" w:ascii="黑体" w:eastAsia="黑体"/>
          <w:spacing w:val="-3"/>
          <w:sz w:val="28"/>
        </w:rPr>
        <w:t>项目名称</w:t>
      </w:r>
      <w:r>
        <w:rPr>
          <w:rFonts w:hint="eastAsia" w:ascii="黑体" w:eastAsia="黑体"/>
          <w:spacing w:val="-1"/>
          <w:sz w:val="28"/>
        </w:rPr>
        <w:t>）</w:t>
      </w:r>
      <w:r>
        <w:rPr>
          <w:rFonts w:hint="eastAsia" w:ascii="黑体" w:eastAsia="黑体"/>
          <w:spacing w:val="-2"/>
          <w:sz w:val="28"/>
        </w:rPr>
        <w:t>施工招标</w:t>
      </w:r>
    </w:p>
    <w:p>
      <w:pPr>
        <w:pStyle w:val="3"/>
        <w:rPr>
          <w:rFonts w:ascii="黑体"/>
          <w:sz w:val="30"/>
        </w:rPr>
      </w:pPr>
    </w:p>
    <w:p>
      <w:pPr>
        <w:pStyle w:val="3"/>
        <w:rPr>
          <w:rFonts w:ascii="黑体"/>
          <w:sz w:val="30"/>
        </w:rPr>
      </w:pPr>
    </w:p>
    <w:p>
      <w:pPr>
        <w:pStyle w:val="3"/>
        <w:rPr>
          <w:rFonts w:ascii="黑体"/>
          <w:sz w:val="30"/>
        </w:rPr>
      </w:pPr>
    </w:p>
    <w:p>
      <w:pPr>
        <w:pStyle w:val="3"/>
        <w:rPr>
          <w:rFonts w:ascii="黑体"/>
          <w:sz w:val="30"/>
        </w:rPr>
      </w:pPr>
    </w:p>
    <w:p>
      <w:pPr>
        <w:pStyle w:val="3"/>
        <w:spacing w:before="3"/>
        <w:rPr>
          <w:rFonts w:ascii="黑体"/>
          <w:sz w:val="32"/>
        </w:rPr>
      </w:pPr>
    </w:p>
    <w:p>
      <w:pPr>
        <w:tabs>
          <w:tab w:val="left" w:pos="1043"/>
          <w:tab w:val="left" w:pos="2087"/>
          <w:tab w:val="left" w:pos="3131"/>
        </w:tabs>
        <w:spacing w:before="1"/>
        <w:ind w:left="0" w:right="0" w:firstLine="0"/>
        <w:jc w:val="center"/>
        <w:rPr>
          <w:rFonts w:hint="eastAsia" w:ascii="黑体" w:eastAsia="黑体"/>
          <w:b/>
          <w:sz w:val="52"/>
        </w:rPr>
      </w:pPr>
      <w:r>
        <w:rPr>
          <w:rFonts w:hint="eastAsia" w:ascii="黑体" w:eastAsia="黑体"/>
          <w:b/>
          <w:sz w:val="52"/>
        </w:rPr>
        <w:t>投</w:t>
      </w:r>
      <w:r>
        <w:rPr>
          <w:rFonts w:hint="eastAsia" w:ascii="黑体" w:eastAsia="黑体"/>
          <w:b/>
          <w:sz w:val="52"/>
        </w:rPr>
        <w:tab/>
      </w:r>
      <w:r>
        <w:rPr>
          <w:rFonts w:hint="eastAsia" w:ascii="黑体" w:eastAsia="黑体"/>
          <w:b/>
          <w:sz w:val="52"/>
        </w:rPr>
        <w:t>标</w:t>
      </w:r>
      <w:r>
        <w:rPr>
          <w:rFonts w:hint="eastAsia" w:ascii="黑体" w:eastAsia="黑体"/>
          <w:b/>
          <w:sz w:val="52"/>
        </w:rPr>
        <w:tab/>
      </w:r>
      <w:r>
        <w:rPr>
          <w:rFonts w:hint="eastAsia" w:ascii="黑体" w:eastAsia="黑体"/>
          <w:b/>
          <w:sz w:val="52"/>
        </w:rPr>
        <w:t>文</w:t>
      </w:r>
      <w:r>
        <w:rPr>
          <w:rFonts w:hint="eastAsia" w:ascii="黑体" w:eastAsia="黑体"/>
          <w:b/>
          <w:sz w:val="52"/>
        </w:rPr>
        <w:tab/>
      </w:r>
      <w:r>
        <w:rPr>
          <w:rFonts w:hint="eastAsia" w:ascii="黑体" w:eastAsia="黑体"/>
          <w:b/>
          <w:sz w:val="52"/>
        </w:rPr>
        <w:t>件</w:t>
      </w:r>
    </w:p>
    <w:p>
      <w:pPr>
        <w:pStyle w:val="3"/>
        <w:rPr>
          <w:rFonts w:ascii="黑体"/>
          <w:b/>
          <w:sz w:val="52"/>
        </w:rPr>
      </w:pPr>
    </w:p>
    <w:p>
      <w:pPr>
        <w:pStyle w:val="3"/>
        <w:spacing w:before="2"/>
        <w:rPr>
          <w:rFonts w:ascii="黑体"/>
          <w:b/>
          <w:sz w:val="70"/>
        </w:rPr>
      </w:pPr>
    </w:p>
    <w:p>
      <w:pPr>
        <w:tabs>
          <w:tab w:val="left" w:pos="4127"/>
        </w:tabs>
        <w:spacing w:before="0"/>
        <w:ind w:left="0" w:right="194" w:firstLine="0"/>
        <w:jc w:val="center"/>
        <w:rPr>
          <w:rFonts w:ascii="Times New Roman" w:eastAsia="Times New Roman"/>
          <w:sz w:val="28"/>
        </w:rPr>
      </w:pPr>
      <w:r>
        <w:rPr>
          <w:rFonts w:hint="eastAsia" w:ascii="黑体" w:eastAsia="黑体"/>
          <w:spacing w:val="-1"/>
          <w:sz w:val="28"/>
        </w:rPr>
        <w:t>项</w:t>
      </w:r>
      <w:r>
        <w:rPr>
          <w:rFonts w:hint="eastAsia" w:ascii="黑体" w:eastAsia="黑体"/>
          <w:spacing w:val="-3"/>
          <w:sz w:val="28"/>
        </w:rPr>
        <w:t>目</w:t>
      </w:r>
      <w:r>
        <w:rPr>
          <w:rFonts w:hint="eastAsia" w:ascii="黑体" w:eastAsia="黑体"/>
          <w:spacing w:val="-1"/>
          <w:sz w:val="28"/>
        </w:rPr>
        <w:t>编号</w:t>
      </w:r>
      <w:r>
        <w:rPr>
          <w:rFonts w:hint="eastAsia" w:ascii="黑体" w:eastAsia="黑体"/>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18"/>
        </w:rPr>
      </w:pPr>
    </w:p>
    <w:p>
      <w:pPr>
        <w:spacing w:before="1"/>
        <w:ind w:left="4172" w:right="0" w:firstLine="0"/>
        <w:jc w:val="left"/>
        <w:rPr>
          <w:rFonts w:hint="eastAsia" w:ascii="黑体" w:eastAsia="黑体"/>
          <w:sz w:val="32"/>
        </w:rPr>
      </w:pPr>
      <w:r>
        <w:rPr>
          <w:rFonts w:hint="eastAsia" w:ascii="黑体" w:eastAsia="黑体"/>
          <w:w w:val="95"/>
          <w:sz w:val="32"/>
        </w:rPr>
        <w:t>（正本/副本）</w:t>
      </w: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spacing w:before="12"/>
        <w:rPr>
          <w:rFonts w:ascii="黑体"/>
          <w:sz w:val="26"/>
        </w:rPr>
      </w:pPr>
    </w:p>
    <w:p>
      <w:pPr>
        <w:tabs>
          <w:tab w:val="left" w:pos="3611"/>
          <w:tab w:val="left" w:pos="5291"/>
          <w:tab w:val="left" w:pos="5571"/>
          <w:tab w:val="left" w:pos="6970"/>
        </w:tabs>
        <w:spacing w:before="0" w:line="261" w:lineRule="auto"/>
        <w:ind w:left="112" w:right="3172" w:firstLine="0"/>
        <w:jc w:val="left"/>
        <w:rPr>
          <w:rFonts w:hint="eastAsia" w:ascii="黑体" w:eastAsia="黑体"/>
          <w:sz w:val="28"/>
        </w:rPr>
      </w:pPr>
      <w:r>
        <w:rPr>
          <w:rFonts w:hint="eastAsia" w:ascii="黑体" w:eastAsia="黑体"/>
          <w:sz w:val="28"/>
        </w:rPr>
        <w:t>投</w:t>
      </w:r>
      <w:r>
        <w:rPr>
          <w:rFonts w:hint="eastAsia" w:ascii="黑体" w:eastAsia="黑体"/>
          <w:spacing w:val="-3"/>
          <w:sz w:val="28"/>
        </w:rPr>
        <w:t>标</w:t>
      </w:r>
      <w:r>
        <w:rPr>
          <w:rFonts w:hint="eastAsia" w:ascii="黑体" w:eastAsia="黑体"/>
          <w:sz w:val="28"/>
        </w:rPr>
        <w:t>内容</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1"/>
          <w:sz w:val="28"/>
          <w:u w:val="single"/>
        </w:rPr>
        <w:t>资</w:t>
      </w:r>
      <w:r>
        <w:rPr>
          <w:rFonts w:hint="eastAsia" w:ascii="黑体" w:eastAsia="黑体"/>
          <w:spacing w:val="-3"/>
          <w:sz w:val="28"/>
          <w:u w:val="single"/>
        </w:rPr>
        <w:t>格</w:t>
      </w:r>
      <w:r>
        <w:rPr>
          <w:rFonts w:hint="eastAsia" w:ascii="黑体" w:eastAsia="黑体"/>
          <w:spacing w:val="-1"/>
          <w:sz w:val="28"/>
          <w:u w:val="single"/>
        </w:rPr>
        <w:t>审查</w:t>
      </w:r>
      <w:r>
        <w:rPr>
          <w:rFonts w:hint="eastAsia" w:ascii="黑体" w:eastAsia="黑体"/>
          <w:spacing w:val="-3"/>
          <w:sz w:val="28"/>
          <w:u w:val="single"/>
        </w:rPr>
        <w:t>部</w:t>
      </w:r>
      <w:r>
        <w:rPr>
          <w:rFonts w:hint="eastAsia" w:ascii="黑体" w:eastAsia="黑体"/>
          <w:sz w:val="28"/>
          <w:u w:val="single"/>
        </w:rPr>
        <w:t>分</w:t>
      </w:r>
      <w:r>
        <w:rPr>
          <w:rFonts w:hint="eastAsia" w:ascii="黑体" w:eastAsia="黑体"/>
          <w:sz w:val="28"/>
          <w:u w:val="single"/>
        </w:rPr>
        <w:tab/>
      </w:r>
      <w:r>
        <w:rPr>
          <w:rFonts w:hint="eastAsia" w:ascii="黑体" w:eastAsia="黑体"/>
          <w:sz w:val="28"/>
          <w:u w:val="single"/>
        </w:rPr>
        <w:tab/>
      </w:r>
      <w:r>
        <w:rPr>
          <w:rFonts w:hint="eastAsia" w:ascii="黑体" w:eastAsia="黑体"/>
          <w:sz w:val="28"/>
        </w:rPr>
        <w:t xml:space="preserve"> 投</w:t>
      </w:r>
      <w:r>
        <w:rPr>
          <w:rFonts w:hint="eastAsia" w:ascii="黑体" w:eastAsia="黑体"/>
          <w:spacing w:val="-3"/>
          <w:sz w:val="28"/>
        </w:rPr>
        <w:t>标</w:t>
      </w:r>
      <w:r>
        <w:rPr>
          <w:rFonts w:hint="eastAsia" w:ascii="黑体" w:eastAsia="黑体"/>
          <w:sz w:val="28"/>
        </w:rPr>
        <w:t>人</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3"/>
          <w:sz w:val="28"/>
          <w:u w:val="single"/>
        </w:rPr>
        <w:tab/>
      </w:r>
      <w:r>
        <w:rPr>
          <w:rFonts w:hint="eastAsia" w:ascii="黑体" w:eastAsia="黑体"/>
          <w:spacing w:val="-3"/>
          <w:sz w:val="28"/>
          <w:u w:val="single"/>
        </w:rPr>
        <w:tab/>
      </w:r>
      <w:r>
        <w:rPr>
          <w:rFonts w:hint="eastAsia" w:ascii="黑体" w:eastAsia="黑体"/>
          <w:spacing w:val="-1"/>
          <w:sz w:val="28"/>
        </w:rPr>
        <w:t>（</w:t>
      </w:r>
      <w:r>
        <w:rPr>
          <w:rFonts w:hint="eastAsia" w:ascii="黑体" w:eastAsia="黑体"/>
          <w:spacing w:val="-3"/>
          <w:sz w:val="28"/>
        </w:rPr>
        <w:t>盖</w:t>
      </w:r>
      <w:r>
        <w:rPr>
          <w:rFonts w:hint="eastAsia" w:ascii="黑体" w:eastAsia="黑体"/>
          <w:spacing w:val="-1"/>
          <w:sz w:val="28"/>
        </w:rPr>
        <w:t>单位</w:t>
      </w:r>
      <w:r>
        <w:rPr>
          <w:rFonts w:hint="eastAsia" w:ascii="黑体" w:eastAsia="黑体"/>
          <w:spacing w:val="-3"/>
          <w:sz w:val="28"/>
        </w:rPr>
        <w:t>章</w:t>
      </w:r>
      <w:r>
        <w:rPr>
          <w:rFonts w:hint="eastAsia" w:ascii="黑体" w:eastAsia="黑体"/>
          <w:sz w:val="28"/>
        </w:rPr>
        <w:t>） 法</w:t>
      </w:r>
      <w:r>
        <w:rPr>
          <w:rFonts w:hint="eastAsia" w:ascii="黑体" w:eastAsia="黑体"/>
          <w:spacing w:val="-3"/>
          <w:sz w:val="28"/>
        </w:rPr>
        <w:t>定</w:t>
      </w:r>
      <w:r>
        <w:rPr>
          <w:rFonts w:hint="eastAsia" w:ascii="黑体" w:eastAsia="黑体"/>
          <w:sz w:val="28"/>
        </w:rPr>
        <w:t>代表</w:t>
      </w:r>
      <w:r>
        <w:rPr>
          <w:rFonts w:hint="eastAsia" w:ascii="黑体" w:eastAsia="黑体"/>
          <w:spacing w:val="-3"/>
          <w:sz w:val="28"/>
        </w:rPr>
        <w:t>人</w:t>
      </w:r>
      <w:r>
        <w:rPr>
          <w:rFonts w:hint="eastAsia" w:ascii="黑体" w:eastAsia="黑体"/>
          <w:sz w:val="28"/>
        </w:rPr>
        <w:t>或其</w:t>
      </w:r>
      <w:r>
        <w:rPr>
          <w:rFonts w:hint="eastAsia" w:ascii="黑体" w:eastAsia="黑体"/>
          <w:spacing w:val="-3"/>
          <w:sz w:val="28"/>
        </w:rPr>
        <w:t>委</w:t>
      </w:r>
      <w:r>
        <w:rPr>
          <w:rFonts w:hint="eastAsia" w:ascii="黑体" w:eastAsia="黑体"/>
          <w:sz w:val="28"/>
        </w:rPr>
        <w:t>托代</w:t>
      </w:r>
      <w:r>
        <w:rPr>
          <w:rFonts w:hint="eastAsia" w:ascii="黑体" w:eastAsia="黑体"/>
          <w:spacing w:val="-3"/>
          <w:sz w:val="28"/>
        </w:rPr>
        <w:t>理</w:t>
      </w:r>
      <w:r>
        <w:rPr>
          <w:rFonts w:hint="eastAsia" w:ascii="黑体" w:eastAsia="黑体"/>
          <w:sz w:val="28"/>
        </w:rPr>
        <w:t>人</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1"/>
          <w:sz w:val="28"/>
        </w:rPr>
        <w:t>（</w:t>
      </w:r>
      <w:r>
        <w:rPr>
          <w:rFonts w:hint="eastAsia" w:ascii="黑体" w:eastAsia="黑体"/>
          <w:spacing w:val="-3"/>
          <w:sz w:val="28"/>
        </w:rPr>
        <w:t>签</w:t>
      </w:r>
      <w:r>
        <w:rPr>
          <w:rFonts w:hint="eastAsia" w:ascii="黑体" w:eastAsia="黑体"/>
          <w:spacing w:val="-1"/>
          <w:sz w:val="28"/>
        </w:rPr>
        <w:t>字或</w:t>
      </w:r>
      <w:r>
        <w:rPr>
          <w:rFonts w:hint="eastAsia" w:ascii="黑体" w:eastAsia="黑体"/>
          <w:spacing w:val="-3"/>
          <w:sz w:val="28"/>
        </w:rPr>
        <w:t>盖</w:t>
      </w:r>
      <w:r>
        <w:rPr>
          <w:rFonts w:hint="eastAsia" w:ascii="黑体" w:eastAsia="黑体"/>
          <w:spacing w:val="-1"/>
          <w:sz w:val="28"/>
        </w:rPr>
        <w:t>章</w:t>
      </w:r>
      <w:r>
        <w:rPr>
          <w:rFonts w:hint="eastAsia" w:ascii="黑体" w:eastAsia="黑体"/>
          <w:sz w:val="28"/>
        </w:rPr>
        <w:t>）</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9"/>
        <w:rPr>
          <w:rFonts w:ascii="黑体"/>
        </w:rPr>
      </w:pPr>
    </w:p>
    <w:p>
      <w:pPr>
        <w:tabs>
          <w:tab w:val="left" w:pos="6956"/>
          <w:tab w:val="left" w:pos="8495"/>
          <w:tab w:val="left" w:pos="10035"/>
        </w:tabs>
        <w:spacing w:before="14"/>
        <w:ind w:left="5696" w:right="0" w:firstLine="0"/>
        <w:jc w:val="left"/>
        <w:rPr>
          <w:rFonts w:hint="eastAsia" w:ascii="黑体" w:eastAsia="黑体"/>
          <w:sz w:val="28"/>
        </w:rPr>
      </w:pPr>
      <w:r>
        <w:rPr>
          <w:rFonts w:ascii="Times New Roman" w:eastAsia="Times New Roman"/>
          <w:w w:val="100"/>
          <w:sz w:val="28"/>
          <w:u w:val="single"/>
        </w:rPr>
        <w:t xml:space="preserve"> </w:t>
      </w:r>
      <w:r>
        <w:rPr>
          <w:rFonts w:ascii="Times New Roman" w:eastAsia="Times New Roman"/>
          <w:sz w:val="28"/>
          <w:u w:val="single"/>
        </w:rPr>
        <w:tab/>
      </w:r>
      <w:r>
        <w:rPr>
          <w:rFonts w:hint="eastAsia" w:ascii="黑体" w:eastAsia="黑体"/>
          <w:spacing w:val="-3"/>
          <w:sz w:val="28"/>
        </w:rPr>
        <w:t>年</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spacing w:after="0"/>
        <w:jc w:val="left"/>
        <w:rPr>
          <w:rFonts w:hint="eastAsia" w:ascii="黑体" w:eastAsia="黑体"/>
          <w:sz w:val="28"/>
        </w:rPr>
        <w:sectPr>
          <w:pgSz w:w="11910" w:h="16840"/>
          <w:pgMar w:top="1000" w:right="740" w:bottom="760" w:left="740" w:header="808" w:footer="575" w:gutter="0"/>
          <w:pgNumType w:fmt="decimal"/>
        </w:sectPr>
      </w:pPr>
    </w:p>
    <w:p>
      <w:pPr>
        <w:pStyle w:val="3"/>
        <w:rPr>
          <w:rFonts w:ascii="黑体"/>
          <w:sz w:val="20"/>
        </w:rPr>
      </w:pPr>
    </w:p>
    <w:p>
      <w:pPr>
        <w:pStyle w:val="3"/>
        <w:spacing w:before="7"/>
        <w:rPr>
          <w:rFonts w:ascii="黑体"/>
          <w:sz w:val="18"/>
        </w:rPr>
      </w:pPr>
    </w:p>
    <w:p>
      <w:pPr>
        <w:pStyle w:val="8"/>
      </w:pPr>
      <w:r>
        <w:rPr>
          <w:w w:val="95"/>
        </w:rPr>
        <w:t>目录（应附有页码）</w:t>
      </w:r>
    </w:p>
    <w:p>
      <w:pPr>
        <w:pStyle w:val="3"/>
        <w:spacing w:before="3"/>
        <w:rPr>
          <w:rFonts w:ascii="黑体"/>
          <w:b/>
          <w:sz w:val="39"/>
        </w:rPr>
      </w:pPr>
    </w:p>
    <w:p>
      <w:pPr>
        <w:pStyle w:val="3"/>
        <w:spacing w:line="350" w:lineRule="auto"/>
        <w:ind w:left="112" w:right="208" w:firstLine="420"/>
        <w:jc w:val="both"/>
        <w:rPr>
          <w:rStyle w:val="15"/>
          <w:sz w:val="21"/>
          <w:szCs w:val="21"/>
        </w:rPr>
      </w:pPr>
      <w:r>
        <w:rPr>
          <w:rStyle w:val="15"/>
          <w:sz w:val="21"/>
          <w:szCs w:val="21"/>
        </w:rPr>
        <w:t>1.法定代表人身份证明原件及身份证复印件（法定代表人签署投标文件时提供）或者投标文件签署授权委托书（原件），附：法定代表人身份证明及身份证、委托代理人身份证等材料的复印件（委托代理人签署投标文件时提供）；</w:t>
      </w:r>
    </w:p>
    <w:p>
      <w:pPr>
        <w:pStyle w:val="3"/>
        <w:spacing w:before="26" w:line="350" w:lineRule="auto"/>
        <w:ind w:left="112" w:right="208" w:firstLine="420"/>
        <w:jc w:val="both"/>
        <w:rPr>
          <w:rStyle w:val="15"/>
          <w:sz w:val="21"/>
          <w:szCs w:val="21"/>
        </w:rPr>
      </w:pPr>
      <w:r>
        <w:rPr>
          <w:rStyle w:val="15"/>
          <w:sz w:val="21"/>
          <w:szCs w:val="21"/>
        </w:rPr>
        <w:t>2.投标人基本情况表（附有效的《企业法人营业执照》、《企业资质证书》副本和《安全生产许可证》副本等材料的复印件）；</w:t>
      </w:r>
    </w:p>
    <w:p>
      <w:pPr>
        <w:pStyle w:val="3"/>
        <w:spacing w:before="29" w:line="348" w:lineRule="auto"/>
        <w:ind w:left="112" w:right="208" w:firstLine="420"/>
        <w:jc w:val="both"/>
        <w:rPr>
          <w:rStyle w:val="15"/>
          <w:sz w:val="21"/>
          <w:szCs w:val="21"/>
        </w:rPr>
      </w:pPr>
      <w:r>
        <w:rPr>
          <w:rStyle w:val="15"/>
          <w:sz w:val="21"/>
          <w:szCs w:val="21"/>
        </w:rPr>
        <w:t>3.银行保函或工程担保或工程保证保险复印件（原件核查）（采用保函方式提交投标保证金时提供）或投标保证金银行转帐（或电汇）底单复印件（原件核查）、基本账户开户许可证材料的复印件或加盖有开户行单位公章的《基本存款账户信息》凭条复印件（采用银行转账或电汇方式提交投标保证金时提供）；</w:t>
      </w:r>
    </w:p>
    <w:p>
      <w:pPr>
        <w:pStyle w:val="3"/>
        <w:spacing w:before="31"/>
        <w:ind w:left="532"/>
        <w:rPr>
          <w:rStyle w:val="15"/>
          <w:sz w:val="21"/>
          <w:szCs w:val="21"/>
        </w:rPr>
      </w:pPr>
      <w:r>
        <w:rPr>
          <w:rStyle w:val="15"/>
          <w:sz w:val="21"/>
          <w:szCs w:val="21"/>
        </w:rPr>
        <w:t>4.建设工程项目管理承诺书；</w:t>
      </w:r>
    </w:p>
    <w:p>
      <w:pPr>
        <w:pStyle w:val="3"/>
        <w:spacing w:before="123"/>
        <w:ind w:left="532"/>
        <w:rPr>
          <w:rStyle w:val="15"/>
          <w:sz w:val="21"/>
          <w:szCs w:val="21"/>
        </w:rPr>
      </w:pPr>
      <w:r>
        <w:rPr>
          <w:rStyle w:val="15"/>
          <w:sz w:val="21"/>
          <w:szCs w:val="21"/>
        </w:rPr>
        <w:t>5.拟派往本项目项目经理的注册建造师执业资格证书、《安全生产考核合格证书》（B 类）的复印件；</w:t>
      </w:r>
    </w:p>
    <w:p>
      <w:pPr>
        <w:pStyle w:val="3"/>
        <w:spacing w:before="126"/>
        <w:ind w:left="532"/>
        <w:rPr>
          <w:rStyle w:val="15"/>
          <w:sz w:val="21"/>
          <w:szCs w:val="21"/>
        </w:rPr>
      </w:pPr>
      <w:r>
        <w:rPr>
          <w:rStyle w:val="15"/>
          <w:sz w:val="21"/>
          <w:szCs w:val="21"/>
        </w:rPr>
        <w:t>6.拟派往本项目专职安全员的《安全生产考核合格证书》（C 类）的复印件；</w:t>
      </w:r>
    </w:p>
    <w:p>
      <w:pPr>
        <w:pStyle w:val="3"/>
        <w:spacing w:before="126" w:line="348" w:lineRule="auto"/>
        <w:ind w:left="112" w:right="101" w:firstLine="420"/>
        <w:rPr>
          <w:rStyle w:val="15"/>
          <w:sz w:val="21"/>
          <w:szCs w:val="21"/>
        </w:rPr>
      </w:pPr>
      <w:r>
        <w:rPr>
          <w:rStyle w:val="15"/>
          <w:sz w:val="21"/>
          <w:szCs w:val="21"/>
        </w:rPr>
        <w:t>7.拟派往本项目委托代理人、项目经理、技术负责人和主要管理人员近 3 个月（20</w:t>
      </w:r>
      <w:r>
        <w:rPr>
          <w:rStyle w:val="15"/>
          <w:rFonts w:hint="eastAsia"/>
          <w:sz w:val="21"/>
          <w:szCs w:val="21"/>
          <w:lang w:val="en-US" w:eastAsia="zh-CN"/>
        </w:rPr>
        <w:t>20</w:t>
      </w:r>
      <w:r>
        <w:rPr>
          <w:rStyle w:val="15"/>
          <w:sz w:val="21"/>
          <w:szCs w:val="21"/>
        </w:rPr>
        <w:t xml:space="preserve"> 年 </w:t>
      </w:r>
      <w:r>
        <w:rPr>
          <w:rStyle w:val="15"/>
          <w:rFonts w:hint="eastAsia"/>
          <w:sz w:val="21"/>
          <w:szCs w:val="21"/>
          <w:lang w:val="en-US" w:eastAsia="zh-CN"/>
        </w:rPr>
        <w:t>3</w:t>
      </w:r>
      <w:r>
        <w:rPr>
          <w:rStyle w:val="15"/>
          <w:sz w:val="21"/>
          <w:szCs w:val="21"/>
        </w:rPr>
        <w:t xml:space="preserve"> 月至 20</w:t>
      </w:r>
      <w:r>
        <w:rPr>
          <w:rStyle w:val="15"/>
          <w:rFonts w:hint="eastAsia"/>
          <w:sz w:val="21"/>
          <w:szCs w:val="21"/>
          <w:lang w:val="en-US" w:eastAsia="zh-CN"/>
        </w:rPr>
        <w:t>20</w:t>
      </w:r>
      <w:r>
        <w:rPr>
          <w:rStyle w:val="15"/>
          <w:sz w:val="21"/>
          <w:szCs w:val="21"/>
        </w:rPr>
        <w:t xml:space="preserve"> 年 </w:t>
      </w:r>
      <w:r>
        <w:rPr>
          <w:rStyle w:val="15"/>
          <w:rFonts w:hint="eastAsia"/>
          <w:sz w:val="21"/>
          <w:szCs w:val="21"/>
          <w:lang w:val="en-US" w:eastAsia="zh-CN"/>
        </w:rPr>
        <w:t>5</w:t>
      </w:r>
      <w:r>
        <w:rPr>
          <w:rStyle w:val="15"/>
          <w:sz w:val="21"/>
          <w:szCs w:val="21"/>
        </w:rPr>
        <w:t xml:space="preserve"> 月） 在现任职单位依法缴纳社会保险的证明材料复印件；</w:t>
      </w:r>
    </w:p>
    <w:p>
      <w:pPr>
        <w:pStyle w:val="3"/>
        <w:spacing w:before="31" w:line="348" w:lineRule="auto"/>
        <w:ind w:left="112" w:right="209" w:firstLine="420"/>
        <w:jc w:val="both"/>
        <w:rPr>
          <w:rStyle w:val="15"/>
          <w:sz w:val="21"/>
          <w:szCs w:val="21"/>
        </w:rPr>
      </w:pPr>
      <w:r>
        <w:rPr>
          <w:rStyle w:val="15"/>
          <w:sz w:val="21"/>
          <w:szCs w:val="21"/>
        </w:rPr>
        <w:t>8.资格审查需要的其他材料：（附：①拟派本项目项目管理机构配备表；②</w:t>
      </w:r>
      <w:r>
        <w:rPr>
          <w:rStyle w:val="15"/>
          <w:color w:val="auto"/>
          <w:sz w:val="21"/>
          <w:szCs w:val="21"/>
        </w:rPr>
        <w:t>企业法定代表人持有的</w:t>
      </w:r>
      <w:r>
        <w:rPr>
          <w:rStyle w:val="15"/>
          <w:rFonts w:hint="eastAsia"/>
          <w:color w:val="auto"/>
          <w:sz w:val="21"/>
          <w:szCs w:val="21"/>
          <w:lang w:eastAsia="zh-CN"/>
        </w:rPr>
        <w:t>建设部门或交通部门颁发的</w:t>
      </w:r>
      <w:r>
        <w:rPr>
          <w:rStyle w:val="15"/>
          <w:color w:val="auto"/>
          <w:sz w:val="21"/>
          <w:szCs w:val="21"/>
        </w:rPr>
        <w:t>有效的安全生产考核合格证书的复印件；</w:t>
      </w:r>
      <w:r>
        <w:rPr>
          <w:rStyle w:val="15"/>
          <w:sz w:val="21"/>
          <w:szCs w:val="21"/>
        </w:rPr>
        <w:t>③拟投入施工机械设备情况表、④企业考核期内已完成类似项目一览表（如有）、⑤企业考核期内财务状况表、⑥企业考核期内发生的诉讼和仲裁情况（如有）。</w:t>
      </w:r>
    </w:p>
    <w:p>
      <w:pPr>
        <w:spacing w:after="0" w:line="348" w:lineRule="auto"/>
        <w:jc w:val="both"/>
        <w:rPr>
          <w:rStyle w:val="15"/>
          <w:sz w:val="21"/>
          <w:szCs w:val="21"/>
        </w:rPr>
        <w:sectPr>
          <w:footerReference r:id="rId13" w:type="default"/>
          <w:pgSz w:w="11910" w:h="16840"/>
          <w:pgMar w:top="1000" w:right="640" w:bottom="760" w:left="740" w:header="808" w:footer="575" w:gutter="0"/>
          <w:pgNumType w:fmt="decimal"/>
        </w:sectPr>
      </w:pPr>
    </w:p>
    <w:p>
      <w:pPr>
        <w:pStyle w:val="3"/>
        <w:rPr>
          <w:sz w:val="20"/>
        </w:rPr>
      </w:pPr>
    </w:p>
    <w:p>
      <w:pPr>
        <w:pStyle w:val="3"/>
        <w:spacing w:before="7"/>
        <w:rPr>
          <w:sz w:val="18"/>
        </w:rPr>
      </w:pPr>
    </w:p>
    <w:p>
      <w:pPr>
        <w:pStyle w:val="8"/>
      </w:pPr>
      <w:r>
        <w:rPr>
          <w:w w:val="95"/>
        </w:rPr>
        <w:t>1.投标文件签署授权委托书（格式）</w:t>
      </w:r>
    </w:p>
    <w:p>
      <w:pPr>
        <w:pStyle w:val="3"/>
        <w:rPr>
          <w:rFonts w:ascii="黑体"/>
          <w:b/>
          <w:sz w:val="20"/>
        </w:rPr>
      </w:pPr>
    </w:p>
    <w:p>
      <w:pPr>
        <w:pStyle w:val="3"/>
        <w:spacing w:before="8"/>
        <w:rPr>
          <w:rFonts w:ascii="黑体"/>
          <w:b/>
          <w:sz w:val="16"/>
        </w:rPr>
      </w:pPr>
    </w:p>
    <w:p>
      <w:pPr>
        <w:pStyle w:val="9"/>
        <w:ind w:left="4688"/>
      </w:pPr>
      <w:r>
        <w:rPr>
          <w:w w:val="95"/>
        </w:rPr>
        <w:t>授权委托书</w:t>
      </w:r>
    </w:p>
    <w:p>
      <w:pPr>
        <w:pStyle w:val="3"/>
        <w:rPr>
          <w:b/>
          <w:sz w:val="20"/>
        </w:rPr>
      </w:pPr>
    </w:p>
    <w:p>
      <w:pPr>
        <w:pStyle w:val="3"/>
        <w:spacing w:before="3"/>
        <w:rPr>
          <w:b/>
          <w:sz w:val="20"/>
        </w:rPr>
      </w:pPr>
    </w:p>
    <w:p>
      <w:pPr>
        <w:pStyle w:val="3"/>
        <w:tabs>
          <w:tab w:val="left" w:pos="2111"/>
          <w:tab w:val="left" w:pos="3363"/>
          <w:tab w:val="left" w:pos="5259"/>
          <w:tab w:val="left" w:pos="9894"/>
        </w:tabs>
        <w:spacing w:line="348" w:lineRule="auto"/>
        <w:ind w:left="112" w:right="110" w:firstLine="410"/>
        <w:jc w:val="both"/>
        <w:rPr>
          <w:rStyle w:val="15"/>
        </w:rPr>
      </w:pPr>
      <w:r>
        <w:t>本授权委托书声明：我</w:t>
      </w:r>
      <w:r>
        <w:rPr>
          <w:u w:val="single"/>
        </w:rPr>
        <w:t xml:space="preserve"> </w:t>
      </w:r>
      <w:r>
        <w:rPr>
          <w:u w:val="single"/>
        </w:rPr>
        <w:tab/>
      </w:r>
      <w:r>
        <w:t>（姓名）系</w:t>
      </w:r>
      <w:r>
        <w:rPr>
          <w:u w:val="single"/>
        </w:rPr>
        <w:t xml:space="preserve"> </w:t>
      </w:r>
      <w:r>
        <w:rPr>
          <w:u w:val="single"/>
        </w:rPr>
        <w:tab/>
      </w:r>
      <w:r>
        <w:t>（投标人名称）的法定代表人，现授权委托</w:t>
      </w:r>
      <w:r>
        <w:rPr>
          <w:u w:val="single"/>
        </w:rPr>
        <w:t xml:space="preserve"> </w:t>
      </w:r>
      <w:r>
        <w:rPr>
          <w:u w:val="single"/>
        </w:rPr>
        <w:tab/>
      </w:r>
      <w:r>
        <w:t>（单位名称）</w:t>
      </w:r>
      <w:r>
        <w:rPr>
          <w:spacing w:val="-4"/>
        </w:rPr>
        <w:t>的</w:t>
      </w:r>
      <w:r>
        <w:rPr>
          <w:spacing w:val="-4"/>
          <w:u w:val="single"/>
        </w:rPr>
        <w:t xml:space="preserve"> </w:t>
      </w:r>
      <w:r>
        <w:rPr>
          <w:spacing w:val="-4"/>
          <w:u w:val="single"/>
        </w:rPr>
        <w:tab/>
      </w:r>
      <w:r>
        <w:rPr>
          <w:w w:val="95"/>
        </w:rPr>
        <w:t>（</w:t>
      </w:r>
      <w:r>
        <w:rPr>
          <w:rStyle w:val="15"/>
        </w:rPr>
        <w:t>姓名）为我公司签署本工程的投标文件的法定代表人授权委托代理人，我承认代理人全     权代表我所签署的本工程的投标文件的内容。</w:t>
      </w:r>
    </w:p>
    <w:p>
      <w:pPr>
        <w:pStyle w:val="3"/>
        <w:rPr>
          <w:sz w:val="20"/>
        </w:rPr>
      </w:pPr>
    </w:p>
    <w:p>
      <w:pPr>
        <w:pStyle w:val="3"/>
        <w:spacing w:before="167"/>
        <w:ind w:left="532"/>
        <w:rPr>
          <w:rStyle w:val="15"/>
        </w:rPr>
      </w:pPr>
      <w:r>
        <w:rPr>
          <w:rStyle w:val="15"/>
        </w:rPr>
        <w:t>代理人无转委托权，特此委托。</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tabs>
          <w:tab w:val="left" w:pos="1686"/>
          <w:tab w:val="left" w:pos="2526"/>
          <w:tab w:val="left" w:pos="3260"/>
          <w:tab w:val="left" w:pos="3995"/>
          <w:tab w:val="left" w:pos="4363"/>
          <w:tab w:val="left" w:pos="4835"/>
          <w:tab w:val="left" w:pos="5046"/>
          <w:tab w:val="left" w:pos="6146"/>
        </w:tabs>
        <w:spacing w:before="155" w:line="348" w:lineRule="auto"/>
        <w:ind w:left="112" w:right="4120"/>
        <w:rPr>
          <w:rFonts w:ascii="Times New Roman" w:eastAsia="Times New Roman"/>
          <w:u w:val="single"/>
        </w:rPr>
      </w:pPr>
      <w:r>
        <w:t>代理人：</w:t>
      </w:r>
      <w:r>
        <w:rPr>
          <w:u w:val="single"/>
        </w:rPr>
        <w:t xml:space="preserve"> </w:t>
      </w:r>
      <w:r>
        <w:rPr>
          <w:u w:val="single"/>
        </w:rPr>
        <w:tab/>
      </w:r>
      <w:r>
        <w:t>（签字）性别：</w:t>
      </w:r>
      <w:r>
        <w:rPr>
          <w:u w:val="single"/>
        </w:rPr>
        <w:tab/>
      </w:r>
      <w:r>
        <w:rPr>
          <w:u w:val="single"/>
        </w:rPr>
        <w:tab/>
      </w:r>
      <w:r>
        <w:rPr>
          <w:u w:val="single"/>
        </w:rPr>
        <w:tab/>
      </w:r>
      <w:r>
        <w:t>年龄：</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p>
    <w:p>
      <w:pPr>
        <w:pStyle w:val="3"/>
        <w:tabs>
          <w:tab w:val="left" w:pos="1686"/>
          <w:tab w:val="left" w:pos="2526"/>
          <w:tab w:val="left" w:pos="3260"/>
          <w:tab w:val="left" w:pos="3995"/>
          <w:tab w:val="left" w:pos="4363"/>
          <w:tab w:val="left" w:pos="4835"/>
          <w:tab w:val="left" w:pos="5046"/>
          <w:tab w:val="left" w:pos="6146"/>
        </w:tabs>
        <w:spacing w:before="155" w:line="348" w:lineRule="auto"/>
        <w:ind w:left="112" w:right="4120"/>
      </w:pPr>
      <w:r>
        <w:rPr>
          <w:rStyle w:val="15"/>
        </w:rPr>
        <w:t>身份证号码：</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t>投标人：</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w w:val="95"/>
        </w:rPr>
        <w:t xml:space="preserve">（盖单位章） </w:t>
      </w:r>
      <w:r>
        <w:t>法定代表人：</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95"/>
        </w:rPr>
        <w:t xml:space="preserve">（签字或盖章） </w:t>
      </w:r>
      <w:r>
        <w:t>授权委托日期：</w:t>
      </w:r>
      <w:r>
        <w:rPr>
          <w:u w:val="single"/>
        </w:rPr>
        <w:t xml:space="preserve"> </w:t>
      </w:r>
      <w:r>
        <w:rPr>
          <w:u w:val="single"/>
        </w:rPr>
        <w:tab/>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rPr>
          <w:sz w:val="22"/>
        </w:rPr>
      </w:pPr>
    </w:p>
    <w:p>
      <w:pPr>
        <w:pStyle w:val="3"/>
        <w:rPr>
          <w:sz w:val="22"/>
        </w:rPr>
      </w:pPr>
    </w:p>
    <w:p>
      <w:pPr>
        <w:pStyle w:val="3"/>
        <w:spacing w:before="5"/>
        <w:rPr>
          <w:sz w:val="19"/>
        </w:rPr>
      </w:pPr>
    </w:p>
    <w:p>
      <w:pPr>
        <w:pStyle w:val="3"/>
        <w:spacing w:line="350" w:lineRule="auto"/>
        <w:ind w:left="112" w:right="108"/>
        <w:rPr>
          <w:rStyle w:val="15"/>
        </w:rPr>
      </w:pPr>
      <w:r>
        <w:rPr>
          <w:rStyle w:val="15"/>
        </w:rPr>
        <w:t>备注：附法定代表人身份证明及身份证、授权委托代理人身份证等材料的复印件。以上复印件均须加盖投标人单位公章。</w:t>
      </w:r>
    </w:p>
    <w:p>
      <w:pPr>
        <w:spacing w:after="0" w:line="350" w:lineRule="auto"/>
        <w:rPr>
          <w:rStyle w:val="15"/>
        </w:rPr>
        <w:sectPr>
          <w:pgSz w:w="11910" w:h="16840"/>
          <w:pgMar w:top="1000" w:right="740" w:bottom="760" w:left="740" w:header="808" w:footer="575" w:gutter="0"/>
          <w:pgNumType w:fmt="decimal"/>
        </w:sectPr>
      </w:pPr>
    </w:p>
    <w:p>
      <w:pPr>
        <w:pStyle w:val="3"/>
        <w:rPr>
          <w:sz w:val="20"/>
        </w:rPr>
      </w:pPr>
    </w:p>
    <w:p>
      <w:pPr>
        <w:pStyle w:val="3"/>
        <w:spacing w:before="3"/>
        <w:rPr>
          <w:sz w:val="23"/>
        </w:rPr>
      </w:pPr>
    </w:p>
    <w:p>
      <w:pPr>
        <w:pStyle w:val="9"/>
        <w:ind w:left="6"/>
        <w:jc w:val="center"/>
        <w:rPr>
          <w:rStyle w:val="15"/>
        </w:rPr>
      </w:pPr>
      <w:r>
        <w:rPr>
          <w:rStyle w:val="15"/>
        </w:rPr>
        <w:t>法定代表人身份证明</w:t>
      </w:r>
    </w:p>
    <w:p>
      <w:pPr>
        <w:pStyle w:val="3"/>
        <w:rPr>
          <w:b/>
          <w:sz w:val="20"/>
        </w:rPr>
      </w:pPr>
    </w:p>
    <w:p>
      <w:pPr>
        <w:pStyle w:val="3"/>
        <w:spacing w:before="1"/>
        <w:rPr>
          <w:b/>
          <w:sz w:val="20"/>
        </w:rPr>
      </w:pPr>
    </w:p>
    <w:p>
      <w:pPr>
        <w:pStyle w:val="3"/>
        <w:ind w:left="635"/>
      </w:pPr>
      <w:r>
        <w:t>投 标 人：</w:t>
      </w:r>
    </w:p>
    <w:p>
      <w:pPr>
        <w:pStyle w:val="3"/>
        <w:tabs>
          <w:tab w:val="left" w:pos="3471"/>
          <w:tab w:val="left" w:pos="5151"/>
          <w:tab w:val="left" w:pos="6831"/>
          <w:tab w:val="left" w:pos="7617"/>
        </w:tabs>
        <w:spacing w:before="126" w:line="348" w:lineRule="auto"/>
        <w:ind w:left="635" w:right="2808"/>
        <w:jc w:val="both"/>
      </w:pPr>
      <w:r>
        <w:rPr>
          <w:rStyle w:val="15"/>
        </w:rPr>
        <w:t>单位性质：</w:t>
      </w:r>
      <w:r>
        <w:rPr>
          <w:w w:val="95"/>
          <w:u w:val="single"/>
        </w:rPr>
        <w:tab/>
      </w:r>
      <w:r>
        <w:rPr>
          <w:w w:val="95"/>
          <w:u w:val="single"/>
        </w:rPr>
        <w:tab/>
      </w:r>
      <w:r>
        <w:rPr>
          <w:w w:val="95"/>
          <w:u w:val="single"/>
        </w:rPr>
        <w:tab/>
      </w:r>
      <w:r>
        <w:rPr>
          <w:w w:val="95"/>
          <w:u w:val="single"/>
        </w:rPr>
        <w:tab/>
      </w:r>
      <w:r>
        <w:rPr>
          <w:w w:val="95"/>
          <w:u w:val="single"/>
        </w:rPr>
        <w:t xml:space="preserve"> </w:t>
      </w:r>
      <w:r>
        <w:t xml:space="preserve">地  </w:t>
      </w:r>
      <w:r>
        <w:rPr>
          <w:spacing w:val="102"/>
        </w:rPr>
        <w:t xml:space="preserve"> </w:t>
      </w:r>
      <w:r>
        <w:t>址：</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tabs>
          <w:tab w:val="left" w:pos="4415"/>
          <w:tab w:val="left" w:pos="7617"/>
        </w:tabs>
        <w:spacing w:before="31" w:line="348" w:lineRule="auto"/>
        <w:ind w:left="635" w:right="2808"/>
        <w:jc w:val="both"/>
        <w:rPr>
          <w:rFonts w:ascii="Times New Roman" w:eastAsia="Times New Roman"/>
        </w:rPr>
      </w:pPr>
      <w:r>
        <w:rPr>
          <w:rStyle w:val="15"/>
        </w:rPr>
        <w:t>经营期限：</w:t>
      </w:r>
      <w:r>
        <w:rPr>
          <w:w w:val="95"/>
          <w:u w:val="single"/>
        </w:rPr>
        <w:tab/>
      </w:r>
      <w:r>
        <w:rPr>
          <w:w w:val="95"/>
          <w:u w:val="single"/>
        </w:rPr>
        <w:tab/>
      </w:r>
      <w:r>
        <w:rPr>
          <w:w w:val="95"/>
          <w:u w:val="single"/>
        </w:rPr>
        <w:t xml:space="preserve"> </w:t>
      </w:r>
      <w:r>
        <w:t xml:space="preserve">姓  </w:t>
      </w:r>
      <w:r>
        <w:rPr>
          <w:spacing w:val="103"/>
        </w:rPr>
        <w:t xml:space="preserve"> </w:t>
      </w:r>
      <w:r>
        <w:t>名：</w:t>
      </w:r>
      <w:r>
        <w:rPr>
          <w:u w:val="single"/>
        </w:rPr>
        <w:t xml:space="preserve"> </w:t>
      </w:r>
      <w:r>
        <w:rPr>
          <w:u w:val="single"/>
        </w:rPr>
        <w:tab/>
      </w:r>
      <w:r>
        <w:t xml:space="preserve">性   </w:t>
      </w:r>
      <w:r>
        <w:rPr>
          <w:spacing w:val="103"/>
        </w:rPr>
        <w:t xml:space="preserve"> </w:t>
      </w:r>
      <w:r>
        <w:t>别：</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 xml:space="preserve">年  </w:t>
      </w:r>
      <w:r>
        <w:rPr>
          <w:spacing w:val="103"/>
        </w:rPr>
        <w:t xml:space="preserve"> </w:t>
      </w:r>
      <w:r>
        <w:t>龄：</w:t>
      </w:r>
      <w:r>
        <w:rPr>
          <w:u w:val="single"/>
        </w:rPr>
        <w:t xml:space="preserve"> </w:t>
      </w:r>
      <w:r>
        <w:rPr>
          <w:u w:val="single"/>
        </w:rPr>
        <w:tab/>
      </w:r>
      <w:r>
        <w:t xml:space="preserve">职  </w:t>
      </w:r>
      <w:r>
        <w:rPr>
          <w:spacing w:val="103"/>
        </w:rPr>
        <w:t xml:space="preserve"> </w:t>
      </w:r>
      <w:r>
        <w:t>务 ：</w:t>
      </w:r>
      <w:r>
        <w:rPr>
          <w:rFonts w:ascii="Times New Roman" w:eastAsia="Times New Roman"/>
          <w:u w:val="single"/>
        </w:rPr>
        <w:t xml:space="preserve"> </w:t>
      </w:r>
      <w:r>
        <w:rPr>
          <w:rFonts w:ascii="Times New Roman" w:eastAsia="Times New Roman"/>
          <w:u w:val="single"/>
        </w:rPr>
        <w:tab/>
      </w:r>
    </w:p>
    <w:p>
      <w:pPr>
        <w:pStyle w:val="3"/>
        <w:tabs>
          <w:tab w:val="left" w:pos="5991"/>
        </w:tabs>
        <w:spacing w:before="31" w:line="350" w:lineRule="auto"/>
        <w:ind w:left="532" w:right="1495" w:firstLine="103"/>
        <w:rPr>
          <w:rStyle w:val="15"/>
        </w:rPr>
      </w:pPr>
      <w:r>
        <w:t>系</w:t>
      </w:r>
      <w:r>
        <w:rPr>
          <w:u w:val="single"/>
        </w:rPr>
        <w:t xml:space="preserve"> </w:t>
      </w:r>
      <w:r>
        <w:rPr>
          <w:u w:val="single"/>
        </w:rPr>
        <w:tab/>
      </w:r>
      <w:r>
        <w:rPr>
          <w:rStyle w:val="15"/>
        </w:rPr>
        <w:t>（投标人名称）的法定代表人。  特此证明。</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4"/>
        </w:rPr>
      </w:pPr>
    </w:p>
    <w:p>
      <w:pPr>
        <w:pStyle w:val="3"/>
        <w:tabs>
          <w:tab w:val="left" w:pos="3571"/>
        </w:tabs>
        <w:ind w:right="110"/>
        <w:jc w:val="right"/>
      </w:pPr>
      <w:r>
        <w:t>投标人：</w:t>
      </w:r>
      <w:r>
        <w:rPr>
          <w:u w:val="single"/>
        </w:rPr>
        <w:t xml:space="preserve"> </w:t>
      </w:r>
      <w:r>
        <w:rPr>
          <w:u w:val="single"/>
        </w:rPr>
        <w:tab/>
      </w:r>
      <w:r>
        <w:rPr>
          <w:w w:val="95"/>
        </w:rPr>
        <w:t>（盖单位章）</w:t>
      </w:r>
    </w:p>
    <w:p>
      <w:pPr>
        <w:pStyle w:val="3"/>
        <w:tabs>
          <w:tab w:val="left" w:pos="945"/>
          <w:tab w:val="left" w:pos="1996"/>
          <w:tab w:val="left" w:pos="3045"/>
        </w:tabs>
        <w:spacing w:before="126"/>
        <w:ind w:right="110"/>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spacing w:val="-1"/>
          <w:w w:val="95"/>
        </w:rPr>
        <w:t>日</w:t>
      </w:r>
    </w:p>
    <w:p>
      <w:pPr>
        <w:spacing w:after="0"/>
        <w:jc w:val="right"/>
        <w:sectPr>
          <w:pgSz w:w="11910" w:h="16840"/>
          <w:pgMar w:top="1000" w:right="740" w:bottom="760" w:left="740" w:header="808" w:footer="575" w:gutter="0"/>
          <w:pgNumType w:fmt="decimal"/>
        </w:sectPr>
      </w:pPr>
    </w:p>
    <w:p>
      <w:pPr>
        <w:pStyle w:val="3"/>
        <w:rPr>
          <w:sz w:val="20"/>
        </w:rPr>
      </w:pPr>
    </w:p>
    <w:p>
      <w:pPr>
        <w:pStyle w:val="3"/>
        <w:spacing w:before="7"/>
        <w:rPr>
          <w:sz w:val="18"/>
        </w:rPr>
      </w:pPr>
    </w:p>
    <w:p>
      <w:pPr>
        <w:pStyle w:val="8"/>
        <w:ind w:left="232"/>
      </w:pPr>
      <w:r>
        <w:rPr>
          <w:w w:val="95"/>
        </w:rPr>
        <w:t>2.投标人基本情况表（格式）</w:t>
      </w:r>
    </w:p>
    <w:p>
      <w:pPr>
        <w:pStyle w:val="3"/>
        <w:rPr>
          <w:rFonts w:ascii="黑体"/>
          <w:b/>
          <w:sz w:val="20"/>
        </w:rPr>
      </w:pPr>
    </w:p>
    <w:p>
      <w:pPr>
        <w:pStyle w:val="3"/>
        <w:spacing w:before="8"/>
        <w:rPr>
          <w:rFonts w:ascii="黑体"/>
          <w:b/>
          <w:sz w:val="16"/>
        </w:rPr>
      </w:pPr>
    </w:p>
    <w:p>
      <w:pPr>
        <w:pStyle w:val="9"/>
        <w:ind w:left="479" w:right="358"/>
        <w:jc w:val="center"/>
        <w:rPr>
          <w:rStyle w:val="15"/>
        </w:rPr>
      </w:pPr>
      <w:r>
        <w:rPr>
          <w:rStyle w:val="15"/>
        </w:rPr>
        <w:t>投标人基本情况表</w:t>
      </w:r>
    </w:p>
    <w:p>
      <w:pPr>
        <w:pStyle w:val="3"/>
        <w:rPr>
          <w:b/>
          <w:sz w:val="20"/>
        </w:rPr>
      </w:pPr>
    </w:p>
    <w:p>
      <w:pPr>
        <w:pStyle w:val="3"/>
        <w:spacing w:before="6"/>
        <w:rPr>
          <w:b/>
          <w:sz w:val="14"/>
        </w:rPr>
      </w:pPr>
    </w:p>
    <w:tbl>
      <w:tblPr>
        <w:tblStyle w:val="14"/>
        <w:tblW w:w="10188"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993"/>
        <w:gridCol w:w="283"/>
        <w:gridCol w:w="195"/>
        <w:gridCol w:w="1246"/>
        <w:gridCol w:w="260"/>
        <w:gridCol w:w="709"/>
        <w:gridCol w:w="2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5"/>
              <w:ind w:left="193" w:right="183"/>
              <w:jc w:val="center"/>
              <w:rPr>
                <w:rStyle w:val="15"/>
                <w:sz w:val="21"/>
                <w:szCs w:val="21"/>
              </w:rPr>
            </w:pPr>
            <w:r>
              <w:rPr>
                <w:rStyle w:val="15"/>
                <w:sz w:val="21"/>
                <w:szCs w:val="21"/>
              </w:rPr>
              <w:t>投标人名称</w:t>
            </w:r>
          </w:p>
        </w:tc>
        <w:tc>
          <w:tcPr>
            <w:tcW w:w="8562" w:type="dxa"/>
            <w:gridSpan w:val="9"/>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5"/>
              <w:ind w:left="190" w:right="185"/>
              <w:jc w:val="center"/>
              <w:rPr>
                <w:rStyle w:val="15"/>
                <w:sz w:val="21"/>
                <w:szCs w:val="21"/>
              </w:rPr>
            </w:pPr>
            <w:r>
              <w:rPr>
                <w:rStyle w:val="15"/>
                <w:sz w:val="21"/>
                <w:szCs w:val="21"/>
              </w:rPr>
              <w:t>注册地址</w:t>
            </w:r>
          </w:p>
        </w:tc>
        <w:tc>
          <w:tcPr>
            <w:tcW w:w="3389" w:type="dxa"/>
            <w:gridSpan w:val="5"/>
          </w:tcPr>
          <w:p>
            <w:pPr>
              <w:pStyle w:val="18"/>
              <w:rPr>
                <w:rStyle w:val="15"/>
                <w:sz w:val="21"/>
                <w:szCs w:val="21"/>
              </w:rPr>
            </w:pPr>
          </w:p>
        </w:tc>
        <w:tc>
          <w:tcPr>
            <w:tcW w:w="1246" w:type="dxa"/>
          </w:tcPr>
          <w:p>
            <w:pPr>
              <w:pStyle w:val="18"/>
              <w:spacing w:before="15"/>
              <w:ind w:left="8"/>
              <w:jc w:val="center"/>
              <w:rPr>
                <w:rStyle w:val="15"/>
                <w:sz w:val="21"/>
                <w:szCs w:val="21"/>
              </w:rPr>
            </w:pPr>
            <w:r>
              <w:rPr>
                <w:rStyle w:val="15"/>
                <w:sz w:val="21"/>
                <w:szCs w:val="21"/>
              </w:rPr>
              <w:t>邮政编码</w:t>
            </w:r>
          </w:p>
        </w:tc>
        <w:tc>
          <w:tcPr>
            <w:tcW w:w="3927" w:type="dxa"/>
            <w:gridSpan w:val="3"/>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vMerge w:val="restart"/>
          </w:tcPr>
          <w:p>
            <w:pPr>
              <w:pStyle w:val="18"/>
              <w:spacing w:before="5"/>
              <w:rPr>
                <w:rStyle w:val="15"/>
                <w:sz w:val="21"/>
                <w:szCs w:val="21"/>
              </w:rPr>
            </w:pPr>
          </w:p>
          <w:p>
            <w:pPr>
              <w:pStyle w:val="18"/>
              <w:ind w:left="391"/>
              <w:rPr>
                <w:rStyle w:val="15"/>
                <w:sz w:val="21"/>
                <w:szCs w:val="21"/>
              </w:rPr>
            </w:pPr>
            <w:r>
              <w:rPr>
                <w:rStyle w:val="15"/>
                <w:sz w:val="21"/>
                <w:szCs w:val="21"/>
              </w:rPr>
              <w:t>联系方式</w:t>
            </w:r>
          </w:p>
        </w:tc>
        <w:tc>
          <w:tcPr>
            <w:tcW w:w="897" w:type="dxa"/>
          </w:tcPr>
          <w:p>
            <w:pPr>
              <w:pStyle w:val="18"/>
              <w:spacing w:before="16"/>
              <w:ind w:left="5"/>
              <w:jc w:val="center"/>
              <w:rPr>
                <w:rStyle w:val="15"/>
                <w:sz w:val="21"/>
                <w:szCs w:val="21"/>
              </w:rPr>
            </w:pPr>
            <w:r>
              <w:rPr>
                <w:rStyle w:val="15"/>
                <w:sz w:val="21"/>
                <w:szCs w:val="21"/>
              </w:rPr>
              <w:t>联系人</w:t>
            </w:r>
          </w:p>
        </w:tc>
        <w:tc>
          <w:tcPr>
            <w:tcW w:w="2492" w:type="dxa"/>
            <w:gridSpan w:val="4"/>
          </w:tcPr>
          <w:p>
            <w:pPr>
              <w:pStyle w:val="18"/>
              <w:rPr>
                <w:rStyle w:val="15"/>
                <w:sz w:val="21"/>
                <w:szCs w:val="21"/>
              </w:rPr>
            </w:pPr>
          </w:p>
        </w:tc>
        <w:tc>
          <w:tcPr>
            <w:tcW w:w="1246" w:type="dxa"/>
          </w:tcPr>
          <w:p>
            <w:pPr>
              <w:pStyle w:val="18"/>
              <w:tabs>
                <w:tab w:val="left" w:pos="426"/>
              </w:tabs>
              <w:spacing w:before="16"/>
              <w:ind w:left="6"/>
              <w:jc w:val="center"/>
              <w:rPr>
                <w:rStyle w:val="15"/>
                <w:sz w:val="21"/>
                <w:szCs w:val="21"/>
              </w:rPr>
            </w:pPr>
            <w:r>
              <w:rPr>
                <w:rStyle w:val="15"/>
                <w:sz w:val="21"/>
                <w:szCs w:val="21"/>
              </w:rPr>
              <w:t>电</w:t>
            </w:r>
            <w:r>
              <w:rPr>
                <w:rStyle w:val="15"/>
                <w:sz w:val="21"/>
                <w:szCs w:val="21"/>
              </w:rPr>
              <w:tab/>
            </w:r>
            <w:r>
              <w:rPr>
                <w:rStyle w:val="15"/>
                <w:sz w:val="21"/>
                <w:szCs w:val="21"/>
              </w:rPr>
              <w:t>话</w:t>
            </w:r>
          </w:p>
        </w:tc>
        <w:tc>
          <w:tcPr>
            <w:tcW w:w="3927" w:type="dxa"/>
            <w:gridSpan w:val="3"/>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vMerge w:val="continue"/>
            <w:tcBorders>
              <w:top w:val="nil"/>
            </w:tcBorders>
          </w:tcPr>
          <w:p>
            <w:pPr>
              <w:rPr>
                <w:rStyle w:val="15"/>
                <w:sz w:val="21"/>
                <w:szCs w:val="21"/>
              </w:rPr>
            </w:pPr>
          </w:p>
        </w:tc>
        <w:tc>
          <w:tcPr>
            <w:tcW w:w="897" w:type="dxa"/>
          </w:tcPr>
          <w:p>
            <w:pPr>
              <w:pStyle w:val="18"/>
              <w:tabs>
                <w:tab w:val="left" w:pos="425"/>
              </w:tabs>
              <w:spacing w:before="14"/>
              <w:ind w:left="5"/>
              <w:jc w:val="center"/>
              <w:rPr>
                <w:rStyle w:val="15"/>
                <w:sz w:val="21"/>
                <w:szCs w:val="21"/>
              </w:rPr>
            </w:pPr>
            <w:r>
              <w:rPr>
                <w:rStyle w:val="15"/>
                <w:sz w:val="21"/>
                <w:szCs w:val="21"/>
              </w:rPr>
              <w:t>传</w:t>
            </w:r>
            <w:r>
              <w:rPr>
                <w:rStyle w:val="15"/>
                <w:sz w:val="21"/>
                <w:szCs w:val="21"/>
              </w:rPr>
              <w:tab/>
            </w:r>
            <w:r>
              <w:rPr>
                <w:rStyle w:val="15"/>
                <w:sz w:val="21"/>
                <w:szCs w:val="21"/>
              </w:rPr>
              <w:t>真</w:t>
            </w:r>
          </w:p>
        </w:tc>
        <w:tc>
          <w:tcPr>
            <w:tcW w:w="2492" w:type="dxa"/>
            <w:gridSpan w:val="4"/>
          </w:tcPr>
          <w:p>
            <w:pPr>
              <w:pStyle w:val="18"/>
              <w:rPr>
                <w:rStyle w:val="15"/>
                <w:sz w:val="21"/>
                <w:szCs w:val="21"/>
              </w:rPr>
            </w:pPr>
          </w:p>
        </w:tc>
        <w:tc>
          <w:tcPr>
            <w:tcW w:w="1246" w:type="dxa"/>
          </w:tcPr>
          <w:p>
            <w:pPr>
              <w:pStyle w:val="18"/>
              <w:tabs>
                <w:tab w:val="left" w:pos="426"/>
              </w:tabs>
              <w:spacing w:before="14"/>
              <w:ind w:left="6"/>
              <w:jc w:val="center"/>
              <w:rPr>
                <w:rStyle w:val="15"/>
                <w:sz w:val="21"/>
                <w:szCs w:val="21"/>
              </w:rPr>
            </w:pPr>
            <w:r>
              <w:rPr>
                <w:rStyle w:val="15"/>
                <w:sz w:val="21"/>
                <w:szCs w:val="21"/>
              </w:rPr>
              <w:t>网</w:t>
            </w:r>
            <w:r>
              <w:rPr>
                <w:rStyle w:val="15"/>
                <w:sz w:val="21"/>
                <w:szCs w:val="21"/>
              </w:rPr>
              <w:tab/>
            </w:r>
            <w:r>
              <w:rPr>
                <w:rStyle w:val="15"/>
                <w:sz w:val="21"/>
                <w:szCs w:val="21"/>
              </w:rPr>
              <w:t>址</w:t>
            </w:r>
          </w:p>
        </w:tc>
        <w:tc>
          <w:tcPr>
            <w:tcW w:w="3927" w:type="dxa"/>
            <w:gridSpan w:val="3"/>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4"/>
              <w:ind w:left="190" w:right="185"/>
              <w:jc w:val="center"/>
              <w:rPr>
                <w:rStyle w:val="15"/>
                <w:sz w:val="21"/>
                <w:szCs w:val="21"/>
              </w:rPr>
            </w:pPr>
            <w:r>
              <w:rPr>
                <w:rStyle w:val="15"/>
                <w:sz w:val="21"/>
                <w:szCs w:val="21"/>
              </w:rPr>
              <w:t>组织机构</w:t>
            </w:r>
          </w:p>
        </w:tc>
        <w:tc>
          <w:tcPr>
            <w:tcW w:w="8562" w:type="dxa"/>
            <w:gridSpan w:val="9"/>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4"/>
              <w:ind w:left="193" w:right="183"/>
              <w:jc w:val="center"/>
              <w:rPr>
                <w:rStyle w:val="15"/>
                <w:sz w:val="21"/>
                <w:szCs w:val="21"/>
              </w:rPr>
            </w:pPr>
            <w:r>
              <w:rPr>
                <w:rStyle w:val="15"/>
                <w:sz w:val="21"/>
                <w:szCs w:val="21"/>
              </w:rPr>
              <w:t>法定代表人</w:t>
            </w:r>
          </w:p>
        </w:tc>
        <w:tc>
          <w:tcPr>
            <w:tcW w:w="897" w:type="dxa"/>
          </w:tcPr>
          <w:p>
            <w:pPr>
              <w:pStyle w:val="18"/>
              <w:spacing w:before="14"/>
              <w:ind w:left="5"/>
              <w:jc w:val="center"/>
              <w:rPr>
                <w:rStyle w:val="15"/>
                <w:sz w:val="21"/>
                <w:szCs w:val="21"/>
              </w:rPr>
            </w:pPr>
            <w:r>
              <w:rPr>
                <w:rStyle w:val="15"/>
                <w:sz w:val="21"/>
                <w:szCs w:val="21"/>
              </w:rPr>
              <w:t>姓名</w:t>
            </w:r>
          </w:p>
        </w:tc>
        <w:tc>
          <w:tcPr>
            <w:tcW w:w="1021" w:type="dxa"/>
          </w:tcPr>
          <w:p>
            <w:pPr>
              <w:pStyle w:val="18"/>
              <w:rPr>
                <w:rStyle w:val="15"/>
                <w:sz w:val="21"/>
                <w:szCs w:val="21"/>
              </w:rPr>
            </w:pPr>
          </w:p>
        </w:tc>
        <w:tc>
          <w:tcPr>
            <w:tcW w:w="1276" w:type="dxa"/>
            <w:gridSpan w:val="2"/>
          </w:tcPr>
          <w:p>
            <w:pPr>
              <w:pStyle w:val="18"/>
              <w:spacing w:before="14"/>
              <w:ind w:left="217"/>
              <w:rPr>
                <w:rStyle w:val="15"/>
                <w:sz w:val="21"/>
                <w:szCs w:val="21"/>
              </w:rPr>
            </w:pPr>
            <w:r>
              <w:rPr>
                <w:rStyle w:val="15"/>
                <w:sz w:val="21"/>
                <w:szCs w:val="21"/>
              </w:rPr>
              <w:t>技术职称</w:t>
            </w:r>
          </w:p>
        </w:tc>
        <w:tc>
          <w:tcPr>
            <w:tcW w:w="1701" w:type="dxa"/>
            <w:gridSpan w:val="3"/>
          </w:tcPr>
          <w:p>
            <w:pPr>
              <w:pStyle w:val="18"/>
              <w:rPr>
                <w:rStyle w:val="15"/>
                <w:sz w:val="21"/>
                <w:szCs w:val="21"/>
              </w:rPr>
            </w:pPr>
          </w:p>
        </w:tc>
        <w:tc>
          <w:tcPr>
            <w:tcW w:w="709" w:type="dxa"/>
          </w:tcPr>
          <w:p>
            <w:pPr>
              <w:pStyle w:val="18"/>
              <w:spacing w:before="14"/>
              <w:ind w:left="133" w:right="126"/>
              <w:jc w:val="center"/>
              <w:rPr>
                <w:rStyle w:val="15"/>
                <w:sz w:val="21"/>
                <w:szCs w:val="21"/>
              </w:rPr>
            </w:pPr>
            <w:r>
              <w:rPr>
                <w:rStyle w:val="15"/>
                <w:sz w:val="21"/>
                <w:szCs w:val="21"/>
              </w:rPr>
              <w:t>电话</w:t>
            </w:r>
          </w:p>
        </w:tc>
        <w:tc>
          <w:tcPr>
            <w:tcW w:w="2958"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5"/>
              <w:ind w:left="193" w:right="183"/>
              <w:jc w:val="center"/>
              <w:rPr>
                <w:rStyle w:val="15"/>
                <w:sz w:val="21"/>
                <w:szCs w:val="21"/>
              </w:rPr>
            </w:pPr>
            <w:r>
              <w:rPr>
                <w:rStyle w:val="15"/>
                <w:sz w:val="21"/>
                <w:szCs w:val="21"/>
              </w:rPr>
              <w:t>技术负责人</w:t>
            </w:r>
          </w:p>
        </w:tc>
        <w:tc>
          <w:tcPr>
            <w:tcW w:w="897" w:type="dxa"/>
          </w:tcPr>
          <w:p>
            <w:pPr>
              <w:pStyle w:val="18"/>
              <w:spacing w:before="15"/>
              <w:ind w:left="5"/>
              <w:jc w:val="center"/>
              <w:rPr>
                <w:rStyle w:val="15"/>
                <w:sz w:val="21"/>
                <w:szCs w:val="21"/>
              </w:rPr>
            </w:pPr>
            <w:r>
              <w:rPr>
                <w:rStyle w:val="15"/>
                <w:sz w:val="21"/>
                <w:szCs w:val="21"/>
              </w:rPr>
              <w:t>姓名</w:t>
            </w:r>
          </w:p>
        </w:tc>
        <w:tc>
          <w:tcPr>
            <w:tcW w:w="1021" w:type="dxa"/>
          </w:tcPr>
          <w:p>
            <w:pPr>
              <w:pStyle w:val="18"/>
              <w:rPr>
                <w:rStyle w:val="15"/>
                <w:sz w:val="21"/>
                <w:szCs w:val="21"/>
              </w:rPr>
            </w:pPr>
          </w:p>
        </w:tc>
        <w:tc>
          <w:tcPr>
            <w:tcW w:w="1276" w:type="dxa"/>
            <w:gridSpan w:val="2"/>
          </w:tcPr>
          <w:p>
            <w:pPr>
              <w:pStyle w:val="18"/>
              <w:spacing w:before="15"/>
              <w:ind w:left="217"/>
              <w:rPr>
                <w:rStyle w:val="15"/>
                <w:sz w:val="21"/>
                <w:szCs w:val="21"/>
              </w:rPr>
            </w:pPr>
            <w:r>
              <w:rPr>
                <w:rStyle w:val="15"/>
                <w:sz w:val="21"/>
                <w:szCs w:val="21"/>
              </w:rPr>
              <w:t>技术职称</w:t>
            </w:r>
          </w:p>
        </w:tc>
        <w:tc>
          <w:tcPr>
            <w:tcW w:w="1701" w:type="dxa"/>
            <w:gridSpan w:val="3"/>
          </w:tcPr>
          <w:p>
            <w:pPr>
              <w:pStyle w:val="18"/>
              <w:rPr>
                <w:rStyle w:val="15"/>
                <w:sz w:val="21"/>
                <w:szCs w:val="21"/>
              </w:rPr>
            </w:pPr>
          </w:p>
        </w:tc>
        <w:tc>
          <w:tcPr>
            <w:tcW w:w="709" w:type="dxa"/>
          </w:tcPr>
          <w:p>
            <w:pPr>
              <w:pStyle w:val="18"/>
              <w:spacing w:before="15"/>
              <w:ind w:left="133" w:right="126"/>
              <w:jc w:val="center"/>
              <w:rPr>
                <w:rStyle w:val="15"/>
                <w:sz w:val="21"/>
                <w:szCs w:val="21"/>
              </w:rPr>
            </w:pPr>
            <w:r>
              <w:rPr>
                <w:rStyle w:val="15"/>
                <w:sz w:val="21"/>
                <w:szCs w:val="21"/>
              </w:rPr>
              <w:t>电话</w:t>
            </w:r>
          </w:p>
        </w:tc>
        <w:tc>
          <w:tcPr>
            <w:tcW w:w="2958"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5"/>
              <w:ind w:left="190" w:right="185"/>
              <w:jc w:val="center"/>
              <w:rPr>
                <w:rStyle w:val="15"/>
                <w:sz w:val="21"/>
                <w:szCs w:val="21"/>
              </w:rPr>
            </w:pPr>
            <w:r>
              <w:rPr>
                <w:rStyle w:val="15"/>
                <w:sz w:val="21"/>
                <w:szCs w:val="21"/>
              </w:rPr>
              <w:t>成立时间</w:t>
            </w:r>
          </w:p>
        </w:tc>
        <w:tc>
          <w:tcPr>
            <w:tcW w:w="1918" w:type="dxa"/>
            <w:gridSpan w:val="2"/>
          </w:tcPr>
          <w:p>
            <w:pPr>
              <w:pStyle w:val="18"/>
              <w:rPr>
                <w:rStyle w:val="15"/>
                <w:sz w:val="21"/>
                <w:szCs w:val="21"/>
              </w:rPr>
            </w:pPr>
          </w:p>
        </w:tc>
        <w:tc>
          <w:tcPr>
            <w:tcW w:w="6644" w:type="dxa"/>
            <w:gridSpan w:val="7"/>
          </w:tcPr>
          <w:p>
            <w:pPr>
              <w:pStyle w:val="18"/>
              <w:spacing w:before="15"/>
              <w:ind w:left="2702" w:right="2695"/>
              <w:jc w:val="center"/>
              <w:rPr>
                <w:rStyle w:val="15"/>
                <w:sz w:val="21"/>
                <w:szCs w:val="21"/>
              </w:rPr>
            </w:pPr>
            <w:r>
              <w:rPr>
                <w:rStyle w:val="15"/>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6"/>
              <w:ind w:left="193" w:right="185"/>
              <w:jc w:val="center"/>
              <w:rPr>
                <w:rStyle w:val="15"/>
                <w:sz w:val="21"/>
                <w:szCs w:val="21"/>
              </w:rPr>
            </w:pPr>
            <w:r>
              <w:rPr>
                <w:rStyle w:val="15"/>
                <w:sz w:val="21"/>
                <w:szCs w:val="21"/>
              </w:rPr>
              <w:t>企业资质等级</w:t>
            </w:r>
          </w:p>
        </w:tc>
        <w:tc>
          <w:tcPr>
            <w:tcW w:w="1918" w:type="dxa"/>
            <w:gridSpan w:val="2"/>
          </w:tcPr>
          <w:p>
            <w:pPr>
              <w:pStyle w:val="18"/>
              <w:rPr>
                <w:rStyle w:val="15"/>
                <w:sz w:val="21"/>
                <w:szCs w:val="21"/>
              </w:rPr>
            </w:pPr>
          </w:p>
        </w:tc>
        <w:tc>
          <w:tcPr>
            <w:tcW w:w="993" w:type="dxa"/>
            <w:vMerge w:val="restart"/>
          </w:tcPr>
          <w:p>
            <w:pPr>
              <w:pStyle w:val="18"/>
              <w:rPr>
                <w:rStyle w:val="15"/>
                <w:sz w:val="21"/>
                <w:szCs w:val="21"/>
              </w:rPr>
            </w:pPr>
          </w:p>
          <w:p>
            <w:pPr>
              <w:pStyle w:val="18"/>
              <w:rPr>
                <w:rStyle w:val="15"/>
                <w:sz w:val="21"/>
                <w:szCs w:val="21"/>
              </w:rPr>
            </w:pPr>
          </w:p>
          <w:p>
            <w:pPr>
              <w:pStyle w:val="18"/>
              <w:spacing w:before="7"/>
              <w:rPr>
                <w:rStyle w:val="15"/>
                <w:sz w:val="21"/>
                <w:szCs w:val="21"/>
              </w:rPr>
            </w:pPr>
          </w:p>
          <w:p>
            <w:pPr>
              <w:pStyle w:val="18"/>
              <w:ind w:left="284"/>
              <w:rPr>
                <w:rStyle w:val="15"/>
                <w:sz w:val="21"/>
                <w:szCs w:val="21"/>
              </w:rPr>
            </w:pPr>
            <w:r>
              <w:rPr>
                <w:rStyle w:val="15"/>
                <w:sz w:val="21"/>
                <w:szCs w:val="21"/>
              </w:rPr>
              <w:t>其中</w:t>
            </w:r>
          </w:p>
        </w:tc>
        <w:tc>
          <w:tcPr>
            <w:tcW w:w="1984" w:type="dxa"/>
            <w:gridSpan w:val="4"/>
          </w:tcPr>
          <w:p>
            <w:pPr>
              <w:pStyle w:val="18"/>
              <w:spacing w:before="16"/>
              <w:ind w:left="570"/>
              <w:rPr>
                <w:rStyle w:val="15"/>
                <w:sz w:val="21"/>
                <w:szCs w:val="21"/>
              </w:rPr>
            </w:pPr>
            <w:r>
              <w:rPr>
                <w:rStyle w:val="15"/>
                <w:sz w:val="21"/>
                <w:szCs w:val="21"/>
              </w:rPr>
              <w:t>项目经理</w:t>
            </w:r>
          </w:p>
        </w:tc>
        <w:tc>
          <w:tcPr>
            <w:tcW w:w="3667" w:type="dxa"/>
            <w:gridSpan w:val="2"/>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626" w:type="dxa"/>
          </w:tcPr>
          <w:p>
            <w:pPr>
              <w:pStyle w:val="18"/>
              <w:spacing w:before="14"/>
              <w:ind w:left="193" w:right="183"/>
              <w:jc w:val="center"/>
              <w:rPr>
                <w:rStyle w:val="15"/>
                <w:sz w:val="21"/>
                <w:szCs w:val="21"/>
              </w:rPr>
            </w:pPr>
            <w:r>
              <w:rPr>
                <w:rStyle w:val="15"/>
                <w:sz w:val="21"/>
                <w:szCs w:val="21"/>
              </w:rPr>
              <w:t>营业执照号</w:t>
            </w:r>
          </w:p>
        </w:tc>
        <w:tc>
          <w:tcPr>
            <w:tcW w:w="1918" w:type="dxa"/>
            <w:gridSpan w:val="2"/>
          </w:tcPr>
          <w:p>
            <w:pPr>
              <w:pStyle w:val="18"/>
              <w:rPr>
                <w:rStyle w:val="15"/>
                <w:sz w:val="21"/>
                <w:szCs w:val="21"/>
              </w:rPr>
            </w:pPr>
          </w:p>
        </w:tc>
        <w:tc>
          <w:tcPr>
            <w:tcW w:w="993" w:type="dxa"/>
            <w:vMerge w:val="continue"/>
            <w:tcBorders>
              <w:top w:val="nil"/>
            </w:tcBorders>
          </w:tcPr>
          <w:p>
            <w:pPr>
              <w:rPr>
                <w:rStyle w:val="15"/>
                <w:sz w:val="21"/>
                <w:szCs w:val="21"/>
              </w:rPr>
            </w:pPr>
          </w:p>
        </w:tc>
        <w:tc>
          <w:tcPr>
            <w:tcW w:w="1984" w:type="dxa"/>
            <w:gridSpan w:val="4"/>
          </w:tcPr>
          <w:p>
            <w:pPr>
              <w:pStyle w:val="18"/>
              <w:spacing w:before="14"/>
              <w:ind w:left="362"/>
              <w:rPr>
                <w:rStyle w:val="15"/>
                <w:sz w:val="21"/>
                <w:szCs w:val="21"/>
              </w:rPr>
            </w:pPr>
            <w:r>
              <w:rPr>
                <w:rStyle w:val="15"/>
                <w:sz w:val="21"/>
                <w:szCs w:val="21"/>
              </w:rPr>
              <w:t>高级职称人员</w:t>
            </w:r>
          </w:p>
        </w:tc>
        <w:tc>
          <w:tcPr>
            <w:tcW w:w="3667" w:type="dxa"/>
            <w:gridSpan w:val="2"/>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4"/>
              <w:ind w:left="190" w:right="185"/>
              <w:jc w:val="center"/>
              <w:rPr>
                <w:rStyle w:val="15"/>
                <w:sz w:val="21"/>
                <w:szCs w:val="21"/>
              </w:rPr>
            </w:pPr>
            <w:r>
              <w:rPr>
                <w:rStyle w:val="15"/>
                <w:sz w:val="21"/>
                <w:szCs w:val="21"/>
              </w:rPr>
              <w:t>注册资金</w:t>
            </w:r>
          </w:p>
        </w:tc>
        <w:tc>
          <w:tcPr>
            <w:tcW w:w="1918" w:type="dxa"/>
            <w:gridSpan w:val="2"/>
          </w:tcPr>
          <w:p>
            <w:pPr>
              <w:pStyle w:val="18"/>
              <w:rPr>
                <w:rStyle w:val="15"/>
                <w:sz w:val="21"/>
                <w:szCs w:val="21"/>
              </w:rPr>
            </w:pPr>
          </w:p>
        </w:tc>
        <w:tc>
          <w:tcPr>
            <w:tcW w:w="993" w:type="dxa"/>
            <w:vMerge w:val="continue"/>
            <w:tcBorders>
              <w:top w:val="nil"/>
            </w:tcBorders>
          </w:tcPr>
          <w:p>
            <w:pPr>
              <w:rPr>
                <w:rStyle w:val="15"/>
                <w:sz w:val="21"/>
                <w:szCs w:val="21"/>
              </w:rPr>
            </w:pPr>
          </w:p>
        </w:tc>
        <w:tc>
          <w:tcPr>
            <w:tcW w:w="1984" w:type="dxa"/>
            <w:gridSpan w:val="4"/>
          </w:tcPr>
          <w:p>
            <w:pPr>
              <w:pStyle w:val="18"/>
              <w:spacing w:before="14"/>
              <w:ind w:left="362"/>
              <w:rPr>
                <w:rStyle w:val="15"/>
                <w:sz w:val="21"/>
                <w:szCs w:val="21"/>
              </w:rPr>
            </w:pPr>
            <w:r>
              <w:rPr>
                <w:rStyle w:val="15"/>
                <w:sz w:val="21"/>
                <w:szCs w:val="21"/>
              </w:rPr>
              <w:t>中级职称人员</w:t>
            </w:r>
          </w:p>
        </w:tc>
        <w:tc>
          <w:tcPr>
            <w:tcW w:w="3667" w:type="dxa"/>
            <w:gridSpan w:val="2"/>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4"/>
              <w:ind w:left="190" w:right="185"/>
              <w:jc w:val="center"/>
              <w:rPr>
                <w:rStyle w:val="15"/>
                <w:sz w:val="21"/>
                <w:szCs w:val="21"/>
              </w:rPr>
            </w:pPr>
            <w:r>
              <w:rPr>
                <w:rStyle w:val="15"/>
                <w:sz w:val="21"/>
                <w:szCs w:val="21"/>
              </w:rPr>
              <w:t>开户银行</w:t>
            </w:r>
          </w:p>
        </w:tc>
        <w:tc>
          <w:tcPr>
            <w:tcW w:w="1918" w:type="dxa"/>
            <w:gridSpan w:val="2"/>
          </w:tcPr>
          <w:p>
            <w:pPr>
              <w:pStyle w:val="18"/>
              <w:rPr>
                <w:rStyle w:val="15"/>
                <w:sz w:val="21"/>
                <w:szCs w:val="21"/>
              </w:rPr>
            </w:pPr>
          </w:p>
        </w:tc>
        <w:tc>
          <w:tcPr>
            <w:tcW w:w="993" w:type="dxa"/>
            <w:vMerge w:val="continue"/>
            <w:tcBorders>
              <w:top w:val="nil"/>
            </w:tcBorders>
          </w:tcPr>
          <w:p>
            <w:pPr>
              <w:rPr>
                <w:rStyle w:val="15"/>
                <w:sz w:val="21"/>
                <w:szCs w:val="21"/>
              </w:rPr>
            </w:pPr>
          </w:p>
        </w:tc>
        <w:tc>
          <w:tcPr>
            <w:tcW w:w="1984" w:type="dxa"/>
            <w:gridSpan w:val="4"/>
          </w:tcPr>
          <w:p>
            <w:pPr>
              <w:pStyle w:val="18"/>
              <w:spacing w:before="14"/>
              <w:ind w:left="362"/>
              <w:rPr>
                <w:rStyle w:val="15"/>
                <w:sz w:val="21"/>
                <w:szCs w:val="21"/>
              </w:rPr>
            </w:pPr>
            <w:r>
              <w:rPr>
                <w:rStyle w:val="15"/>
                <w:sz w:val="21"/>
                <w:szCs w:val="21"/>
              </w:rPr>
              <w:t>初级职称人员</w:t>
            </w:r>
          </w:p>
        </w:tc>
        <w:tc>
          <w:tcPr>
            <w:tcW w:w="3667" w:type="dxa"/>
            <w:gridSpan w:val="2"/>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5"/>
              <w:ind w:left="193" w:right="185"/>
              <w:jc w:val="center"/>
              <w:rPr>
                <w:rStyle w:val="15"/>
                <w:sz w:val="21"/>
                <w:szCs w:val="21"/>
              </w:rPr>
            </w:pPr>
            <w:r>
              <w:rPr>
                <w:rStyle w:val="15"/>
                <w:sz w:val="21"/>
                <w:szCs w:val="21"/>
              </w:rPr>
              <w:t>账号</w:t>
            </w:r>
          </w:p>
        </w:tc>
        <w:tc>
          <w:tcPr>
            <w:tcW w:w="1918" w:type="dxa"/>
            <w:gridSpan w:val="2"/>
          </w:tcPr>
          <w:p>
            <w:pPr>
              <w:pStyle w:val="18"/>
              <w:rPr>
                <w:rStyle w:val="15"/>
                <w:sz w:val="21"/>
                <w:szCs w:val="21"/>
              </w:rPr>
            </w:pPr>
          </w:p>
        </w:tc>
        <w:tc>
          <w:tcPr>
            <w:tcW w:w="993" w:type="dxa"/>
            <w:vMerge w:val="continue"/>
            <w:tcBorders>
              <w:top w:val="nil"/>
            </w:tcBorders>
          </w:tcPr>
          <w:p>
            <w:pPr>
              <w:rPr>
                <w:rStyle w:val="15"/>
                <w:sz w:val="21"/>
                <w:szCs w:val="21"/>
              </w:rPr>
            </w:pPr>
          </w:p>
        </w:tc>
        <w:tc>
          <w:tcPr>
            <w:tcW w:w="1984" w:type="dxa"/>
            <w:gridSpan w:val="4"/>
          </w:tcPr>
          <w:p>
            <w:pPr>
              <w:pStyle w:val="18"/>
              <w:spacing w:before="15"/>
              <w:ind w:left="771" w:right="763"/>
              <w:jc w:val="center"/>
              <w:rPr>
                <w:rStyle w:val="15"/>
                <w:sz w:val="21"/>
                <w:szCs w:val="21"/>
              </w:rPr>
            </w:pPr>
            <w:r>
              <w:rPr>
                <w:rStyle w:val="15"/>
                <w:sz w:val="21"/>
                <w:szCs w:val="21"/>
              </w:rPr>
              <w:t>技工</w:t>
            </w:r>
          </w:p>
        </w:tc>
        <w:tc>
          <w:tcPr>
            <w:tcW w:w="3667" w:type="dxa"/>
            <w:gridSpan w:val="2"/>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5"/>
              <w:ind w:left="190" w:right="185"/>
              <w:jc w:val="center"/>
              <w:rPr>
                <w:rStyle w:val="15"/>
                <w:sz w:val="21"/>
                <w:szCs w:val="21"/>
              </w:rPr>
            </w:pPr>
            <w:r>
              <w:rPr>
                <w:rStyle w:val="15"/>
                <w:sz w:val="21"/>
                <w:szCs w:val="21"/>
              </w:rPr>
              <w:t>经营范围</w:t>
            </w:r>
          </w:p>
        </w:tc>
        <w:tc>
          <w:tcPr>
            <w:tcW w:w="8562" w:type="dxa"/>
            <w:gridSpan w:val="9"/>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26" w:type="dxa"/>
          </w:tcPr>
          <w:p>
            <w:pPr>
              <w:pStyle w:val="18"/>
              <w:spacing w:before="16"/>
              <w:ind w:left="193" w:right="185"/>
              <w:jc w:val="center"/>
              <w:rPr>
                <w:rStyle w:val="15"/>
                <w:sz w:val="21"/>
                <w:szCs w:val="21"/>
              </w:rPr>
            </w:pPr>
            <w:r>
              <w:rPr>
                <w:rStyle w:val="15"/>
                <w:sz w:val="21"/>
                <w:szCs w:val="21"/>
              </w:rPr>
              <w:t>备注</w:t>
            </w:r>
          </w:p>
        </w:tc>
        <w:tc>
          <w:tcPr>
            <w:tcW w:w="8562" w:type="dxa"/>
            <w:gridSpan w:val="9"/>
          </w:tcPr>
          <w:p>
            <w:pPr>
              <w:pStyle w:val="18"/>
              <w:rPr>
                <w:rStyle w:val="15"/>
                <w:sz w:val="21"/>
                <w:szCs w:val="21"/>
              </w:rPr>
            </w:pPr>
          </w:p>
        </w:tc>
      </w:tr>
    </w:tbl>
    <w:p>
      <w:pPr>
        <w:pStyle w:val="3"/>
        <w:spacing w:before="74" w:line="350" w:lineRule="auto"/>
        <w:ind w:left="232" w:right="105"/>
        <w:rPr>
          <w:rStyle w:val="15"/>
          <w:sz w:val="21"/>
          <w:szCs w:val="21"/>
        </w:rPr>
      </w:pPr>
      <w:r>
        <w:rPr>
          <w:rStyle w:val="15"/>
          <w:sz w:val="21"/>
          <w:szCs w:val="21"/>
        </w:rPr>
        <w:t>备注：附有效的企业营业执照副本、《企业资质证书》副本和《安全生产许可证》副本等材料的复印件。以上复印件均须加盖投标人单位公章。</w:t>
      </w:r>
    </w:p>
    <w:p>
      <w:pPr>
        <w:spacing w:after="0" w:line="350" w:lineRule="auto"/>
        <w:sectPr>
          <w:pgSz w:w="11910" w:h="16840"/>
          <w:pgMar w:top="1000" w:right="740" w:bottom="760" w:left="620" w:header="808" w:footer="575" w:gutter="0"/>
          <w:pgNumType w:fmt="decimal"/>
        </w:sectPr>
      </w:pPr>
    </w:p>
    <w:p>
      <w:pPr>
        <w:pStyle w:val="3"/>
        <w:rPr>
          <w:sz w:val="20"/>
        </w:rPr>
      </w:pPr>
    </w:p>
    <w:p>
      <w:pPr>
        <w:pStyle w:val="3"/>
        <w:spacing w:before="7"/>
        <w:rPr>
          <w:sz w:val="18"/>
        </w:rPr>
      </w:pPr>
    </w:p>
    <w:p>
      <w:pPr>
        <w:pStyle w:val="8"/>
        <w:spacing w:line="261" w:lineRule="auto"/>
        <w:ind w:right="105"/>
        <w:jc w:val="both"/>
      </w:pPr>
      <w:r>
        <w:rPr>
          <w:rStyle w:val="15"/>
        </w:rPr>
        <w:t>3.银行保函或工程担保或工程保证保险复印件（原件核查）（采用保函方式提交投标保证金时提供）或投标保证金银行转帐（或电汇）底单复印件（原件核查）、基本账户开户许可证材料的复印件或加盖有开户行单位公章的《基本存款账户信息》凭条复印件（采用银行转账或电汇方式提交投标保证金时提供）</w:t>
      </w:r>
      <w:r>
        <w:rPr>
          <w:w w:val="95"/>
        </w:rPr>
        <w:t>。</w:t>
      </w:r>
    </w:p>
    <w:p>
      <w:pPr>
        <w:pStyle w:val="3"/>
        <w:spacing w:before="4"/>
        <w:rPr>
          <w:rFonts w:ascii="黑体"/>
          <w:b/>
          <w:sz w:val="37"/>
        </w:rPr>
      </w:pPr>
    </w:p>
    <w:p>
      <w:pPr>
        <w:pStyle w:val="3"/>
        <w:spacing w:line="350" w:lineRule="auto"/>
        <w:ind w:left="112" w:right="110"/>
        <w:jc w:val="both"/>
        <w:rPr>
          <w:rStyle w:val="15"/>
        </w:rPr>
      </w:pPr>
      <w:r>
        <w:rPr>
          <w:rStyle w:val="15"/>
        </w:rPr>
        <w:t>备注：投标保证金银行转帐（或电汇）的底单(电子转账的底单原件可采用彩色打印加盖转账单位公章)或银行保函或工程担保或工程保证保险原件在开标时需带原件核验，以上复印件均须加盖投标人单位公章。</w:t>
      </w:r>
    </w:p>
    <w:p>
      <w:pPr>
        <w:spacing w:after="0" w:line="350" w:lineRule="auto"/>
        <w:jc w:val="both"/>
        <w:sectPr>
          <w:pgSz w:w="11910" w:h="16840"/>
          <w:pgMar w:top="1000" w:right="740" w:bottom="760" w:left="740" w:header="808" w:footer="575" w:gutter="0"/>
          <w:pgNumType w:fmt="decimal"/>
        </w:sectPr>
      </w:pPr>
    </w:p>
    <w:p>
      <w:pPr>
        <w:pStyle w:val="3"/>
        <w:spacing w:before="1"/>
        <w:rPr>
          <w:sz w:val="8"/>
        </w:rPr>
      </w:pPr>
    </w:p>
    <w:p>
      <w:pPr>
        <w:pStyle w:val="8"/>
        <w:jc w:val="both"/>
      </w:pPr>
      <w:r>
        <w:rPr>
          <w:w w:val="95"/>
        </w:rPr>
        <w:t>4.建设工程项目管理承诺书（格式）</w:t>
      </w:r>
    </w:p>
    <w:p>
      <w:pPr>
        <w:pStyle w:val="3"/>
        <w:spacing w:before="3"/>
        <w:rPr>
          <w:rFonts w:ascii="黑体"/>
          <w:b/>
          <w:sz w:val="39"/>
        </w:rPr>
      </w:pPr>
    </w:p>
    <w:p>
      <w:pPr>
        <w:pStyle w:val="9"/>
        <w:spacing w:before="0"/>
        <w:ind w:left="4096" w:right="2810" w:rightChars="0"/>
        <w:jc w:val="both"/>
        <w:rPr>
          <w:rStyle w:val="15"/>
        </w:rPr>
      </w:pPr>
      <w:r>
        <w:rPr>
          <w:rStyle w:val="15"/>
        </w:rPr>
        <w:t>建设工程项目管理承诺书</w:t>
      </w:r>
    </w:p>
    <w:p>
      <w:pPr>
        <w:pStyle w:val="3"/>
        <w:rPr>
          <w:b/>
          <w:sz w:val="20"/>
        </w:rPr>
      </w:pPr>
    </w:p>
    <w:p>
      <w:pPr>
        <w:pStyle w:val="3"/>
        <w:rPr>
          <w:b/>
          <w:sz w:val="20"/>
        </w:rPr>
      </w:pPr>
    </w:p>
    <w:p>
      <w:pPr>
        <w:pStyle w:val="3"/>
        <w:tabs>
          <w:tab w:val="left" w:pos="951"/>
          <w:tab w:val="left" w:pos="2945"/>
        </w:tabs>
        <w:ind w:left="112"/>
      </w:pPr>
      <w:r>
        <w:t>致</w:t>
      </w:r>
      <w:r>
        <w:rPr>
          <w:u w:val="single"/>
        </w:rPr>
        <w:t xml:space="preserve"> </w:t>
      </w:r>
      <w:r>
        <w:rPr>
          <w:u w:val="single"/>
        </w:rPr>
        <w:tab/>
      </w:r>
      <w:r>
        <w:rPr>
          <w:u w:val="single"/>
        </w:rPr>
        <w:t>（招标人名称）</w:t>
      </w:r>
      <w:r>
        <w:rPr>
          <w:u w:val="single"/>
        </w:rPr>
        <w:tab/>
      </w:r>
      <w:r>
        <w:t>：</w:t>
      </w:r>
    </w:p>
    <w:p>
      <w:pPr>
        <w:pStyle w:val="3"/>
        <w:tabs>
          <w:tab w:val="left" w:pos="2108"/>
        </w:tabs>
        <w:spacing w:before="125" w:line="348" w:lineRule="auto"/>
        <w:ind w:left="112" w:right="207" w:firstLine="420"/>
        <w:jc w:val="both"/>
        <w:rPr>
          <w:rStyle w:val="15"/>
        </w:rPr>
      </w:pPr>
      <w:r>
        <w:rPr>
          <w:rStyle w:val="15"/>
        </w:rPr>
        <w:t>作为参与</w:t>
      </w:r>
      <w:r>
        <w:rPr>
          <w:rStyle w:val="15"/>
          <w:u w:val="single"/>
        </w:rPr>
        <w:t xml:space="preserve"> </w:t>
      </w:r>
      <w:r>
        <w:rPr>
          <w:rStyle w:val="15"/>
          <w:u w:val="single"/>
        </w:rPr>
        <w:tab/>
      </w:r>
      <w:r>
        <w:rPr>
          <w:rStyle w:val="15"/>
          <w:u w:val="single"/>
        </w:rPr>
        <w:t>（项目名称）</w:t>
      </w:r>
      <w:r>
        <w:rPr>
          <w:rStyle w:val="15"/>
        </w:rPr>
        <w:t>项目的投标方，根据国家、自治区及贺州市相关文件规定，我方在此向招标    人承诺：</w:t>
      </w:r>
    </w:p>
    <w:p>
      <w:pPr>
        <w:pStyle w:val="3"/>
        <w:spacing w:before="31" w:line="350" w:lineRule="auto"/>
        <w:ind w:left="112" w:right="189" w:firstLine="420"/>
        <w:jc w:val="both"/>
        <w:rPr>
          <w:rStyle w:val="15"/>
        </w:rPr>
      </w:pPr>
      <w:r>
        <w:t>1</w:t>
      </w:r>
      <w:r>
        <w:rPr>
          <w:spacing w:val="-10"/>
        </w:rPr>
        <w:t xml:space="preserve">.一旦中标，我方保证按照政府相关部门的规定，在发出中标通知书之日起 </w:t>
      </w:r>
      <w:r>
        <w:t>7</w:t>
      </w:r>
      <w:r>
        <w:rPr>
          <w:spacing w:val="-9"/>
        </w:rPr>
        <w:t xml:space="preserve"> 个工作日内足额将农民工工资</w:t>
      </w:r>
      <w:r>
        <w:rPr>
          <w:spacing w:val="-13"/>
          <w:w w:val="95"/>
        </w:rPr>
        <w:t>保</w:t>
      </w:r>
      <w:r>
        <w:rPr>
          <w:rStyle w:val="15"/>
        </w:rPr>
        <w:t>障金转入农民工工资保障金专用账户。一旦我方所承包的该项目中出现拖欠农民工工资情况，由劳动保障、住    房城乡建设行政主管部门按照《关于进一步完善建筑行业农民工工资保证金制度的通知》（桂劳社发〔2009〕50号）从我方农民工工资保障金中先予划支。</w:t>
      </w:r>
    </w:p>
    <w:p>
      <w:pPr>
        <w:pStyle w:val="3"/>
        <w:spacing w:before="29"/>
        <w:ind w:left="532"/>
        <w:rPr>
          <w:rStyle w:val="15"/>
        </w:rPr>
      </w:pPr>
      <w:r>
        <w:rPr>
          <w:rStyle w:val="15"/>
        </w:rPr>
        <w:t>2.一旦中标，我方保证在施工过程中，严格执行《广西壮族自治区建设工程安全文明施工费使用管理细则》</w:t>
      </w:r>
    </w:p>
    <w:p>
      <w:pPr>
        <w:pStyle w:val="3"/>
        <w:spacing w:before="123" w:line="350" w:lineRule="auto"/>
        <w:ind w:left="112" w:right="262"/>
        <w:jc w:val="both"/>
        <w:rPr>
          <w:rStyle w:val="15"/>
        </w:rPr>
      </w:pPr>
      <w:r>
        <w:rPr>
          <w:rStyle w:val="15"/>
        </w:rPr>
        <w:t>（桂建质〔2015〕16 号）的有关规定，确保建设工程各项安全防护、文明施工措施落实到位。如我方在该项目的承包中出现未按桂建质〔2015〕16 号文附件一规定执行的情形，我方愿意按照相关规定接受建设单位及有关主管部门的处罚。</w:t>
      </w:r>
    </w:p>
    <w:p>
      <w:pPr>
        <w:pStyle w:val="3"/>
        <w:spacing w:before="26" w:line="350" w:lineRule="auto"/>
        <w:ind w:left="112" w:right="190" w:firstLine="420"/>
        <w:jc w:val="both"/>
        <w:rPr>
          <w:rStyle w:val="15"/>
        </w:rPr>
      </w:pPr>
      <w:r>
        <w:rPr>
          <w:rStyle w:val="15"/>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pStyle w:val="3"/>
        <w:spacing w:before="26" w:line="350" w:lineRule="auto"/>
        <w:ind w:left="112" w:right="190" w:firstLine="420"/>
        <w:rPr>
          <w:rStyle w:val="15"/>
        </w:rPr>
      </w:pPr>
      <w:r>
        <w:rPr>
          <w:rStyle w:val="15"/>
        </w:rPr>
        <w:t>4.一旦中标，我方保证在施工过程中，严格执行《关于禁止使用不符合规范要求的竹脚手架的通知》（桂建管字〔2003〕40 号）的有关规定，不使用竹脚手架。如我方在该项目的承包中出现未按规定执行的情形，我方愿意按照相关规定接受建设单位及有关主管部门的处罚。</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4"/>
        </w:rPr>
      </w:pPr>
    </w:p>
    <w:p>
      <w:pPr>
        <w:pStyle w:val="3"/>
        <w:tabs>
          <w:tab w:val="left" w:pos="6851"/>
          <w:tab w:val="left" w:pos="7902"/>
          <w:tab w:val="left" w:pos="8845"/>
          <w:tab w:val="left" w:pos="8951"/>
          <w:tab w:val="left" w:pos="9055"/>
        </w:tabs>
        <w:spacing w:before="1" w:line="348" w:lineRule="auto"/>
        <w:ind w:left="5276" w:right="190" w:firstLine="208"/>
        <w:jc w:val="right"/>
      </w:pPr>
      <w:r>
        <w:t>投标人：</w:t>
      </w:r>
      <w:r>
        <w:rPr>
          <w:u w:val="single"/>
        </w:rPr>
        <w:t>（投标人名称）</w:t>
      </w:r>
      <w:r>
        <w:rPr>
          <w:u w:val="single"/>
        </w:rPr>
        <w:tab/>
      </w:r>
      <w:r>
        <w:rPr>
          <w:u w:val="single"/>
        </w:rPr>
        <w:tab/>
      </w:r>
      <w:r>
        <w:rPr>
          <w:u w:val="single"/>
        </w:rPr>
        <w:tab/>
      </w:r>
      <w:r>
        <w:rPr>
          <w:u w:val="single"/>
        </w:rPr>
        <w:tab/>
      </w:r>
      <w:r>
        <w:rPr>
          <w:w w:val="95"/>
        </w:rPr>
        <w:t xml:space="preserve">（盖单位章） </w:t>
      </w:r>
      <w:r>
        <w:t>法定代表人或授权代理人：</w:t>
      </w:r>
      <w:r>
        <w:rPr>
          <w:u w:val="single"/>
        </w:rPr>
        <w:t xml:space="preserve"> </w:t>
      </w:r>
      <w:r>
        <w:rPr>
          <w:u w:val="single"/>
        </w:rPr>
        <w:tab/>
      </w:r>
      <w:r>
        <w:rPr>
          <w:u w:val="single"/>
        </w:rPr>
        <w:tab/>
      </w:r>
      <w:r>
        <w:rPr>
          <w:w w:val="95"/>
        </w:rPr>
        <w:t xml:space="preserve">（签字或盖章）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u w:val="single"/>
        </w:rPr>
        <w:tab/>
      </w:r>
      <w:r>
        <w:rPr>
          <w:spacing w:val="-1"/>
          <w:w w:val="95"/>
        </w:rPr>
        <w:t>日</w:t>
      </w:r>
    </w:p>
    <w:p>
      <w:pPr>
        <w:spacing w:after="0" w:line="348" w:lineRule="auto"/>
        <w:jc w:val="right"/>
        <w:sectPr>
          <w:pgSz w:w="11910" w:h="16840"/>
          <w:pgMar w:top="1000" w:right="660" w:bottom="760" w:left="740" w:header="808" w:footer="575" w:gutter="0"/>
          <w:pgNumType w:fmt="decimal"/>
        </w:sectPr>
      </w:pPr>
    </w:p>
    <w:p>
      <w:pPr>
        <w:pStyle w:val="3"/>
        <w:rPr>
          <w:sz w:val="20"/>
        </w:rPr>
      </w:pPr>
    </w:p>
    <w:p>
      <w:pPr>
        <w:pStyle w:val="3"/>
        <w:spacing w:before="3"/>
        <w:rPr>
          <w:sz w:val="23"/>
        </w:rPr>
      </w:pPr>
    </w:p>
    <w:p>
      <w:pPr>
        <w:pStyle w:val="9"/>
        <w:spacing w:after="51"/>
        <w:ind w:left="232"/>
      </w:pPr>
      <w:r>
        <w:t>桂建质〔2015〕16 号文附件一：广西壮族自治区建设工程安全文明施工措施项目清单内容</w:t>
      </w:r>
    </w:p>
    <w:tbl>
      <w:tblPr>
        <w:tblStyle w:val="14"/>
        <w:tblW w:w="10278"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2"/>
        <w:gridCol w:w="571"/>
        <w:gridCol w:w="1680"/>
        <w:gridCol w:w="72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02" w:type="dxa"/>
            <w:tcBorders>
              <w:bottom w:val="single" w:color="000000" w:sz="4" w:space="0"/>
              <w:right w:val="single" w:color="000000" w:sz="4" w:space="0"/>
            </w:tcBorders>
          </w:tcPr>
          <w:p>
            <w:pPr>
              <w:pStyle w:val="18"/>
              <w:spacing w:before="14"/>
              <w:ind w:right="169"/>
              <w:jc w:val="right"/>
              <w:rPr>
                <w:rStyle w:val="15"/>
                <w:sz w:val="21"/>
                <w:szCs w:val="21"/>
              </w:rPr>
            </w:pPr>
            <w:r>
              <w:rPr>
                <w:rStyle w:val="15"/>
                <w:sz w:val="21"/>
                <w:szCs w:val="21"/>
              </w:rPr>
              <w:t>类别</w:t>
            </w:r>
          </w:p>
        </w:tc>
        <w:tc>
          <w:tcPr>
            <w:tcW w:w="2251" w:type="dxa"/>
            <w:gridSpan w:val="2"/>
            <w:tcBorders>
              <w:left w:val="single" w:color="000000" w:sz="4" w:space="0"/>
              <w:bottom w:val="single" w:color="000000" w:sz="4" w:space="0"/>
              <w:right w:val="single" w:color="000000" w:sz="4" w:space="0"/>
            </w:tcBorders>
          </w:tcPr>
          <w:p>
            <w:pPr>
              <w:pStyle w:val="18"/>
              <w:spacing w:before="14"/>
              <w:ind w:left="713"/>
              <w:rPr>
                <w:rStyle w:val="15"/>
                <w:sz w:val="21"/>
                <w:szCs w:val="21"/>
              </w:rPr>
            </w:pPr>
            <w:r>
              <w:rPr>
                <w:rStyle w:val="15"/>
                <w:sz w:val="21"/>
                <w:szCs w:val="21"/>
              </w:rPr>
              <w:t>项目名称</w:t>
            </w:r>
          </w:p>
        </w:tc>
        <w:tc>
          <w:tcPr>
            <w:tcW w:w="7225" w:type="dxa"/>
            <w:tcBorders>
              <w:left w:val="single" w:color="000000" w:sz="4" w:space="0"/>
              <w:bottom w:val="single" w:color="000000" w:sz="4" w:space="0"/>
            </w:tcBorders>
          </w:tcPr>
          <w:p>
            <w:pPr>
              <w:pStyle w:val="18"/>
              <w:spacing w:before="14"/>
              <w:ind w:left="2901" w:right="2365" w:rightChars="0"/>
              <w:jc w:val="center"/>
              <w:rPr>
                <w:rStyle w:val="15"/>
                <w:sz w:val="21"/>
                <w:szCs w:val="21"/>
              </w:rPr>
            </w:pPr>
            <w:r>
              <w:rPr>
                <w:rStyle w:val="15"/>
                <w:sz w:val="21"/>
                <w:szCs w:val="21"/>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02" w:type="dxa"/>
            <w:vMerge w:val="restart"/>
            <w:tcBorders>
              <w:top w:val="single" w:color="000000" w:sz="4" w:space="0"/>
              <w:bottom w:val="single" w:color="000000" w:sz="4" w:space="0"/>
              <w:right w:val="single" w:color="000000" w:sz="4" w:space="0"/>
            </w:tcBorders>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9"/>
              <w:rPr>
                <w:rStyle w:val="15"/>
                <w:sz w:val="21"/>
                <w:szCs w:val="21"/>
              </w:rPr>
            </w:pPr>
          </w:p>
          <w:p>
            <w:pPr>
              <w:pStyle w:val="18"/>
              <w:spacing w:line="261" w:lineRule="auto"/>
              <w:ind w:left="189" w:right="172"/>
              <w:jc w:val="center"/>
              <w:rPr>
                <w:rStyle w:val="15"/>
                <w:sz w:val="21"/>
                <w:szCs w:val="21"/>
              </w:rPr>
            </w:pPr>
            <w:r>
              <w:rPr>
                <w:rStyle w:val="15"/>
                <w:sz w:val="21"/>
                <w:szCs w:val="21"/>
              </w:rPr>
              <w:t>文明施工与 环境保护</w:t>
            </w: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44"/>
              <w:ind w:left="398"/>
              <w:rPr>
                <w:rStyle w:val="15"/>
                <w:sz w:val="21"/>
                <w:szCs w:val="21"/>
              </w:rPr>
            </w:pPr>
            <w:r>
              <w:rPr>
                <w:rStyle w:val="15"/>
                <w:sz w:val="21"/>
                <w:szCs w:val="21"/>
              </w:rPr>
              <w:t>安全警示标志牌</w:t>
            </w:r>
          </w:p>
        </w:tc>
        <w:tc>
          <w:tcPr>
            <w:tcW w:w="7225" w:type="dxa"/>
            <w:tcBorders>
              <w:top w:val="single" w:color="000000" w:sz="4" w:space="0"/>
              <w:left w:val="single" w:color="000000" w:sz="4" w:space="0"/>
              <w:bottom w:val="single" w:color="000000" w:sz="4" w:space="0"/>
            </w:tcBorders>
          </w:tcPr>
          <w:p>
            <w:pPr>
              <w:pStyle w:val="18"/>
              <w:spacing w:line="300" w:lineRule="exact"/>
              <w:ind w:left="118" w:right="76"/>
              <w:rPr>
                <w:rStyle w:val="15"/>
                <w:sz w:val="21"/>
                <w:szCs w:val="21"/>
              </w:rPr>
            </w:pPr>
            <w:r>
              <w:rPr>
                <w:rStyle w:val="15"/>
                <w:sz w:val="21"/>
                <w:szCs w:val="21"/>
              </w:rPr>
              <w:t>在易发伤亡事故（或危险）处设置明显的、符合国家标准要求的安全警示标志牌。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42"/>
              <w:ind w:left="713"/>
              <w:rPr>
                <w:rStyle w:val="15"/>
                <w:sz w:val="21"/>
                <w:szCs w:val="21"/>
              </w:rPr>
            </w:pPr>
            <w:r>
              <w:rPr>
                <w:rStyle w:val="15"/>
                <w:sz w:val="21"/>
                <w:szCs w:val="21"/>
              </w:rPr>
              <w:t>现场围挡</w:t>
            </w:r>
          </w:p>
        </w:tc>
        <w:tc>
          <w:tcPr>
            <w:tcW w:w="7225" w:type="dxa"/>
            <w:tcBorders>
              <w:top w:val="single" w:color="000000" w:sz="4" w:space="0"/>
              <w:left w:val="single" w:color="000000" w:sz="4" w:space="0"/>
              <w:bottom w:val="single" w:color="000000" w:sz="4" w:space="0"/>
            </w:tcBorders>
          </w:tcPr>
          <w:p>
            <w:pPr>
              <w:pStyle w:val="18"/>
              <w:numPr>
                <w:ilvl w:val="0"/>
                <w:numId w:val="27"/>
              </w:numPr>
              <w:tabs>
                <w:tab w:val="left" w:pos="433"/>
              </w:tabs>
              <w:spacing w:before="0" w:after="0" w:line="268" w:lineRule="exact"/>
              <w:ind w:left="432" w:right="0" w:hanging="314"/>
              <w:jc w:val="left"/>
              <w:rPr>
                <w:rStyle w:val="15"/>
                <w:sz w:val="21"/>
                <w:szCs w:val="21"/>
              </w:rPr>
            </w:pPr>
            <w:r>
              <w:rPr>
                <w:rStyle w:val="15"/>
                <w:sz w:val="21"/>
                <w:szCs w:val="21"/>
              </w:rPr>
              <w:t>现场采用封闭围挡，高度不小于 1.8m。</w:t>
            </w:r>
          </w:p>
          <w:p>
            <w:pPr>
              <w:pStyle w:val="18"/>
              <w:numPr>
                <w:ilvl w:val="0"/>
                <w:numId w:val="27"/>
              </w:numPr>
              <w:tabs>
                <w:tab w:val="left" w:pos="433"/>
              </w:tabs>
              <w:spacing w:before="25" w:after="0" w:line="240" w:lineRule="auto"/>
              <w:ind w:left="432" w:right="0" w:hanging="314"/>
              <w:jc w:val="left"/>
              <w:rPr>
                <w:rStyle w:val="15"/>
                <w:sz w:val="21"/>
                <w:szCs w:val="21"/>
              </w:rPr>
            </w:pPr>
            <w:r>
              <w:rPr>
                <w:rStyle w:val="15"/>
                <w:sz w:val="21"/>
                <w:szCs w:val="21"/>
              </w:rPr>
              <w:t>围挡材料可用彩色、定型钢板，砌块等墙体。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6"/>
              <w:rPr>
                <w:rStyle w:val="15"/>
                <w:sz w:val="21"/>
                <w:szCs w:val="21"/>
              </w:rPr>
            </w:pPr>
          </w:p>
          <w:p>
            <w:pPr>
              <w:pStyle w:val="18"/>
              <w:spacing w:before="1"/>
              <w:ind w:left="713"/>
              <w:rPr>
                <w:rStyle w:val="15"/>
                <w:sz w:val="21"/>
                <w:szCs w:val="21"/>
              </w:rPr>
            </w:pPr>
            <w:r>
              <w:rPr>
                <w:rStyle w:val="15"/>
                <w:sz w:val="21"/>
                <w:szCs w:val="21"/>
              </w:rPr>
              <w:t>七牌二图</w:t>
            </w:r>
          </w:p>
        </w:tc>
        <w:tc>
          <w:tcPr>
            <w:tcW w:w="7225" w:type="dxa"/>
            <w:tcBorders>
              <w:top w:val="single" w:color="000000" w:sz="4" w:space="0"/>
              <w:left w:val="single" w:color="000000" w:sz="4" w:space="0"/>
              <w:bottom w:val="single" w:color="000000" w:sz="4" w:space="0"/>
            </w:tcBorders>
          </w:tcPr>
          <w:p>
            <w:pPr>
              <w:pStyle w:val="18"/>
              <w:spacing w:line="300" w:lineRule="exact"/>
              <w:ind w:left="118" w:right="76"/>
              <w:jc w:val="both"/>
              <w:rPr>
                <w:rStyle w:val="15"/>
                <w:sz w:val="21"/>
                <w:szCs w:val="21"/>
              </w:rPr>
            </w:pPr>
            <w:r>
              <w:rPr>
                <w:rStyle w:val="15"/>
                <w:sz w:val="21"/>
                <w:szCs w:val="21"/>
              </w:rPr>
              <w:t>在进门处悬挂工程概况、现场出入制度、管理人员名单及监督电话、安全生产规定、文明施工、消防保卫、节能公示等七牌以及施工现场总平面图、工程效果图。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6"/>
              <w:ind w:left="713"/>
              <w:rPr>
                <w:rStyle w:val="15"/>
                <w:sz w:val="21"/>
                <w:szCs w:val="21"/>
              </w:rPr>
            </w:pPr>
            <w:r>
              <w:rPr>
                <w:rStyle w:val="15"/>
                <w:sz w:val="21"/>
                <w:szCs w:val="21"/>
              </w:rPr>
              <w:t>企业标志</w:t>
            </w:r>
          </w:p>
        </w:tc>
        <w:tc>
          <w:tcPr>
            <w:tcW w:w="7225" w:type="dxa"/>
            <w:tcBorders>
              <w:top w:val="single" w:color="000000" w:sz="4" w:space="0"/>
              <w:left w:val="single" w:color="000000" w:sz="4" w:space="0"/>
              <w:bottom w:val="single" w:color="000000" w:sz="4" w:space="0"/>
            </w:tcBorders>
          </w:tcPr>
          <w:p>
            <w:pPr>
              <w:pStyle w:val="18"/>
              <w:spacing w:before="16"/>
              <w:ind w:left="118"/>
              <w:rPr>
                <w:rStyle w:val="15"/>
                <w:sz w:val="21"/>
                <w:szCs w:val="21"/>
              </w:rPr>
            </w:pPr>
            <w:r>
              <w:rPr>
                <w:rStyle w:val="15"/>
                <w:sz w:val="21"/>
                <w:szCs w:val="21"/>
              </w:rPr>
              <w:t>现场出入的大门应设有本企业标志或企业标识。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rPr>
                <w:rStyle w:val="15"/>
                <w:sz w:val="21"/>
                <w:szCs w:val="21"/>
              </w:rPr>
            </w:pPr>
          </w:p>
          <w:p>
            <w:pPr>
              <w:pStyle w:val="18"/>
              <w:spacing w:before="1"/>
              <w:rPr>
                <w:rStyle w:val="15"/>
                <w:sz w:val="21"/>
                <w:szCs w:val="21"/>
              </w:rPr>
            </w:pPr>
          </w:p>
          <w:p>
            <w:pPr>
              <w:pStyle w:val="18"/>
              <w:ind w:left="713"/>
              <w:rPr>
                <w:rStyle w:val="15"/>
                <w:sz w:val="21"/>
                <w:szCs w:val="21"/>
              </w:rPr>
            </w:pPr>
            <w:r>
              <w:rPr>
                <w:rStyle w:val="15"/>
                <w:sz w:val="21"/>
                <w:szCs w:val="21"/>
              </w:rPr>
              <w:t>场容场貌</w:t>
            </w:r>
          </w:p>
        </w:tc>
        <w:tc>
          <w:tcPr>
            <w:tcW w:w="7225" w:type="dxa"/>
            <w:tcBorders>
              <w:top w:val="single" w:color="000000" w:sz="4" w:space="0"/>
              <w:left w:val="single" w:color="000000" w:sz="4" w:space="0"/>
              <w:bottom w:val="single" w:color="000000" w:sz="4" w:space="0"/>
            </w:tcBorders>
          </w:tcPr>
          <w:p>
            <w:pPr>
              <w:pStyle w:val="18"/>
              <w:numPr>
                <w:ilvl w:val="0"/>
                <w:numId w:val="28"/>
              </w:numPr>
              <w:tabs>
                <w:tab w:val="left" w:pos="433"/>
              </w:tabs>
              <w:spacing w:before="0" w:after="0" w:line="270" w:lineRule="exact"/>
              <w:ind w:left="118" w:right="0" w:firstLine="0"/>
              <w:jc w:val="left"/>
              <w:rPr>
                <w:rStyle w:val="15"/>
                <w:sz w:val="21"/>
                <w:szCs w:val="21"/>
              </w:rPr>
            </w:pPr>
            <w:r>
              <w:rPr>
                <w:rStyle w:val="15"/>
                <w:sz w:val="21"/>
                <w:szCs w:val="21"/>
              </w:rPr>
              <w:t>道路畅通。</w:t>
            </w:r>
          </w:p>
          <w:p>
            <w:pPr>
              <w:pStyle w:val="18"/>
              <w:numPr>
                <w:ilvl w:val="0"/>
                <w:numId w:val="28"/>
              </w:numPr>
              <w:tabs>
                <w:tab w:val="left" w:pos="433"/>
              </w:tabs>
              <w:spacing w:before="25" w:after="0" w:line="240" w:lineRule="auto"/>
              <w:ind w:left="118" w:right="0" w:firstLine="0"/>
              <w:jc w:val="left"/>
              <w:rPr>
                <w:rStyle w:val="15"/>
                <w:sz w:val="21"/>
                <w:szCs w:val="21"/>
              </w:rPr>
            </w:pPr>
            <w:r>
              <w:rPr>
                <w:rStyle w:val="15"/>
                <w:sz w:val="21"/>
                <w:szCs w:val="21"/>
              </w:rPr>
              <w:t>排水设施齐全畅通。</w:t>
            </w:r>
          </w:p>
          <w:p>
            <w:pPr>
              <w:pStyle w:val="18"/>
              <w:numPr>
                <w:ilvl w:val="0"/>
                <w:numId w:val="28"/>
              </w:numPr>
              <w:tabs>
                <w:tab w:val="left" w:pos="433"/>
              </w:tabs>
              <w:spacing w:before="0" w:after="0" w:line="300" w:lineRule="atLeast"/>
              <w:ind w:left="118" w:right="-44" w:firstLine="0"/>
              <w:jc w:val="left"/>
              <w:rPr>
                <w:rStyle w:val="15"/>
                <w:sz w:val="21"/>
                <w:szCs w:val="21"/>
              </w:rPr>
            </w:pPr>
            <w:r>
              <w:rPr>
                <w:rStyle w:val="15"/>
                <w:sz w:val="21"/>
                <w:szCs w:val="21"/>
              </w:rPr>
              <w:t>工地地面硬化处理（办公区、生活区、现场道路、材料堆放、混凝土搅拌、砂浆搅拌、钢筋加工等场地和外脚手架基础等）。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9"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6"/>
              <w:rPr>
                <w:rStyle w:val="15"/>
                <w:sz w:val="21"/>
                <w:szCs w:val="21"/>
              </w:rPr>
            </w:pPr>
          </w:p>
          <w:p>
            <w:pPr>
              <w:pStyle w:val="18"/>
              <w:ind w:left="713"/>
              <w:rPr>
                <w:rStyle w:val="15"/>
                <w:sz w:val="21"/>
                <w:szCs w:val="21"/>
              </w:rPr>
            </w:pPr>
            <w:r>
              <w:rPr>
                <w:rStyle w:val="15"/>
                <w:sz w:val="21"/>
                <w:szCs w:val="21"/>
              </w:rPr>
              <w:t>材料堆放</w:t>
            </w:r>
          </w:p>
        </w:tc>
        <w:tc>
          <w:tcPr>
            <w:tcW w:w="7225" w:type="dxa"/>
            <w:tcBorders>
              <w:top w:val="single" w:color="000000" w:sz="4" w:space="0"/>
              <w:left w:val="single" w:color="000000" w:sz="4" w:space="0"/>
              <w:bottom w:val="single" w:color="000000" w:sz="4" w:space="0"/>
            </w:tcBorders>
          </w:tcPr>
          <w:p>
            <w:pPr>
              <w:pStyle w:val="18"/>
              <w:numPr>
                <w:ilvl w:val="0"/>
                <w:numId w:val="29"/>
              </w:numPr>
              <w:tabs>
                <w:tab w:val="left" w:pos="433"/>
              </w:tabs>
              <w:spacing w:before="0" w:after="0" w:line="269" w:lineRule="exact"/>
              <w:ind w:left="432" w:right="0" w:hanging="314"/>
              <w:jc w:val="left"/>
              <w:rPr>
                <w:rStyle w:val="15"/>
                <w:sz w:val="21"/>
                <w:szCs w:val="21"/>
              </w:rPr>
            </w:pPr>
            <w:r>
              <w:rPr>
                <w:rStyle w:val="15"/>
                <w:sz w:val="21"/>
                <w:szCs w:val="21"/>
              </w:rPr>
              <w:t>材料、构件、料具等堆放时，应有名称、品种、规格等标牌。</w:t>
            </w:r>
          </w:p>
          <w:p>
            <w:pPr>
              <w:pStyle w:val="18"/>
              <w:numPr>
                <w:ilvl w:val="0"/>
                <w:numId w:val="29"/>
              </w:numPr>
              <w:tabs>
                <w:tab w:val="left" w:pos="433"/>
              </w:tabs>
              <w:spacing w:before="25" w:after="0" w:line="240" w:lineRule="auto"/>
              <w:ind w:left="432" w:right="0" w:hanging="314"/>
              <w:jc w:val="left"/>
              <w:rPr>
                <w:rStyle w:val="15"/>
                <w:sz w:val="21"/>
                <w:szCs w:val="21"/>
              </w:rPr>
            </w:pPr>
            <w:r>
              <w:rPr>
                <w:rStyle w:val="15"/>
                <w:sz w:val="21"/>
                <w:szCs w:val="21"/>
              </w:rPr>
              <w:t>水泥和其它易飞扬细颗粒建筑材料应封闭存放或采取覆盖等措施。</w:t>
            </w:r>
          </w:p>
          <w:p>
            <w:pPr>
              <w:pStyle w:val="18"/>
              <w:numPr>
                <w:ilvl w:val="0"/>
                <w:numId w:val="29"/>
              </w:numPr>
              <w:tabs>
                <w:tab w:val="left" w:pos="433"/>
              </w:tabs>
              <w:spacing w:before="25" w:after="0" w:line="240" w:lineRule="auto"/>
              <w:ind w:left="432" w:right="0" w:hanging="314"/>
              <w:jc w:val="left"/>
              <w:rPr>
                <w:rStyle w:val="15"/>
                <w:sz w:val="21"/>
                <w:szCs w:val="21"/>
              </w:rPr>
            </w:pPr>
            <w:r>
              <w:rPr>
                <w:rStyle w:val="15"/>
                <w:sz w:val="21"/>
                <w:szCs w:val="21"/>
              </w:rPr>
              <w:t>易燃、易爆和有毒有害物品分类存放。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5"/>
              <w:ind w:left="713"/>
              <w:rPr>
                <w:rStyle w:val="15"/>
                <w:sz w:val="21"/>
                <w:szCs w:val="21"/>
              </w:rPr>
            </w:pPr>
            <w:r>
              <w:rPr>
                <w:rStyle w:val="15"/>
                <w:sz w:val="21"/>
                <w:szCs w:val="21"/>
              </w:rPr>
              <w:t>现场防火</w:t>
            </w:r>
          </w:p>
        </w:tc>
        <w:tc>
          <w:tcPr>
            <w:tcW w:w="7225" w:type="dxa"/>
            <w:tcBorders>
              <w:top w:val="single" w:color="000000" w:sz="4" w:space="0"/>
              <w:left w:val="single" w:color="000000" w:sz="4" w:space="0"/>
              <w:bottom w:val="single" w:color="000000" w:sz="4" w:space="0"/>
            </w:tcBorders>
          </w:tcPr>
          <w:p>
            <w:pPr>
              <w:pStyle w:val="18"/>
              <w:spacing w:before="15"/>
              <w:ind w:left="118"/>
              <w:rPr>
                <w:rStyle w:val="15"/>
                <w:sz w:val="21"/>
                <w:szCs w:val="21"/>
              </w:rPr>
            </w:pPr>
            <w:r>
              <w:rPr>
                <w:rStyle w:val="15"/>
                <w:sz w:val="21"/>
                <w:szCs w:val="21"/>
              </w:rPr>
              <w:t>消防器材配置合理，符合消防要求。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45"/>
              <w:ind w:left="713"/>
              <w:rPr>
                <w:rStyle w:val="15"/>
                <w:sz w:val="21"/>
                <w:szCs w:val="21"/>
              </w:rPr>
            </w:pPr>
            <w:r>
              <w:rPr>
                <w:rStyle w:val="15"/>
                <w:sz w:val="21"/>
                <w:szCs w:val="21"/>
              </w:rPr>
              <w:t>垃圾清运</w:t>
            </w:r>
          </w:p>
        </w:tc>
        <w:tc>
          <w:tcPr>
            <w:tcW w:w="7225" w:type="dxa"/>
            <w:tcBorders>
              <w:top w:val="single" w:color="000000" w:sz="4" w:space="0"/>
              <w:left w:val="single" w:color="000000" w:sz="4" w:space="0"/>
              <w:bottom w:val="single" w:color="000000" w:sz="4" w:space="0"/>
            </w:tcBorders>
          </w:tcPr>
          <w:p>
            <w:pPr>
              <w:pStyle w:val="18"/>
              <w:numPr>
                <w:ilvl w:val="0"/>
                <w:numId w:val="30"/>
              </w:numPr>
              <w:tabs>
                <w:tab w:val="left" w:pos="433"/>
              </w:tabs>
              <w:spacing w:before="0" w:after="0" w:line="269" w:lineRule="exact"/>
              <w:ind w:left="432" w:right="0" w:hanging="314"/>
              <w:jc w:val="left"/>
              <w:rPr>
                <w:rStyle w:val="15"/>
                <w:sz w:val="21"/>
                <w:szCs w:val="21"/>
              </w:rPr>
            </w:pPr>
            <w:r>
              <w:rPr>
                <w:rStyle w:val="15"/>
                <w:sz w:val="21"/>
                <w:szCs w:val="21"/>
              </w:rPr>
              <w:t>施工现场应设置密闭式垃圾站，施工垃圾、生活垃圾应分类存放。</w:t>
            </w:r>
          </w:p>
          <w:p>
            <w:pPr>
              <w:pStyle w:val="18"/>
              <w:numPr>
                <w:ilvl w:val="0"/>
                <w:numId w:val="30"/>
              </w:numPr>
              <w:tabs>
                <w:tab w:val="left" w:pos="433"/>
              </w:tabs>
              <w:spacing w:before="25" w:after="0" w:line="240" w:lineRule="auto"/>
              <w:ind w:left="432" w:right="0" w:hanging="314"/>
              <w:jc w:val="left"/>
              <w:rPr>
                <w:rStyle w:val="15"/>
                <w:sz w:val="21"/>
                <w:szCs w:val="21"/>
              </w:rPr>
            </w:pPr>
            <w:r>
              <w:rPr>
                <w:rStyle w:val="15"/>
                <w:sz w:val="21"/>
                <w:szCs w:val="21"/>
              </w:rPr>
              <w:t>施工垃圾必须采用相应容器或管道运输。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line="269" w:lineRule="exact"/>
              <w:ind w:left="118"/>
              <w:rPr>
                <w:rStyle w:val="15"/>
                <w:sz w:val="21"/>
                <w:szCs w:val="21"/>
              </w:rPr>
            </w:pPr>
            <w:r>
              <w:rPr>
                <w:rStyle w:val="15"/>
                <w:sz w:val="21"/>
                <w:szCs w:val="21"/>
              </w:rPr>
              <w:t>宣传栏、环保及不扰民</w:t>
            </w:r>
          </w:p>
          <w:p>
            <w:pPr>
              <w:pStyle w:val="18"/>
              <w:spacing w:before="25"/>
              <w:ind w:left="118"/>
              <w:rPr>
                <w:rStyle w:val="15"/>
                <w:sz w:val="21"/>
                <w:szCs w:val="21"/>
              </w:rPr>
            </w:pPr>
            <w:r>
              <w:rPr>
                <w:rStyle w:val="15"/>
                <w:sz w:val="21"/>
                <w:szCs w:val="21"/>
              </w:rPr>
              <w:t>措施</w:t>
            </w:r>
          </w:p>
        </w:tc>
        <w:tc>
          <w:tcPr>
            <w:tcW w:w="7225" w:type="dxa"/>
            <w:tcBorders>
              <w:top w:val="single" w:color="000000" w:sz="4" w:space="0"/>
              <w:left w:val="single" w:color="000000" w:sz="4" w:space="0"/>
              <w:bottom w:val="single" w:color="000000" w:sz="4" w:space="0"/>
            </w:tcBorders>
          </w:tcPr>
          <w:p>
            <w:pPr>
              <w:pStyle w:val="18"/>
              <w:spacing w:line="269" w:lineRule="exact"/>
              <w:ind w:left="118"/>
              <w:rPr>
                <w:rStyle w:val="15"/>
                <w:sz w:val="21"/>
                <w:szCs w:val="21"/>
              </w:rPr>
            </w:pPr>
            <w:r>
              <w:rPr>
                <w:rStyle w:val="15"/>
                <w:sz w:val="21"/>
                <w:szCs w:val="21"/>
              </w:rPr>
              <w:t>宣传栏、安全宣传标语等，洗车（防止污染市区道路）、粉尘、噪声控制和</w:t>
            </w:r>
          </w:p>
          <w:p>
            <w:pPr>
              <w:pStyle w:val="18"/>
              <w:spacing w:before="25"/>
              <w:ind w:left="118"/>
              <w:rPr>
                <w:rStyle w:val="15"/>
                <w:sz w:val="21"/>
                <w:szCs w:val="21"/>
              </w:rPr>
            </w:pPr>
            <w:r>
              <w:rPr>
                <w:rStyle w:val="15"/>
                <w:sz w:val="21"/>
                <w:szCs w:val="21"/>
              </w:rPr>
              <w:t>排污（污水、废气）措施等。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802" w:type="dxa"/>
            <w:vMerge w:val="restart"/>
            <w:tcBorders>
              <w:top w:val="single" w:color="000000" w:sz="4" w:space="0"/>
              <w:bottom w:val="single" w:color="000000" w:sz="4" w:space="0"/>
              <w:right w:val="single" w:color="000000" w:sz="4" w:space="0"/>
            </w:tcBorders>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1"/>
              <w:rPr>
                <w:rStyle w:val="15"/>
                <w:sz w:val="21"/>
                <w:szCs w:val="21"/>
              </w:rPr>
            </w:pPr>
          </w:p>
          <w:p>
            <w:pPr>
              <w:pStyle w:val="18"/>
              <w:spacing w:line="261" w:lineRule="auto"/>
              <w:ind w:left="190" w:right="172"/>
              <w:rPr>
                <w:rStyle w:val="15"/>
                <w:sz w:val="21"/>
                <w:szCs w:val="21"/>
              </w:rPr>
            </w:pPr>
            <w:r>
              <w:rPr>
                <w:rStyle w:val="15"/>
                <w:sz w:val="21"/>
                <w:szCs w:val="21"/>
              </w:rPr>
              <w:t>临时设施</w:t>
            </w: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44" w:line="261" w:lineRule="auto"/>
              <w:ind w:left="713" w:right="688"/>
              <w:rPr>
                <w:rStyle w:val="15"/>
                <w:sz w:val="21"/>
                <w:szCs w:val="21"/>
              </w:rPr>
            </w:pPr>
            <w:r>
              <w:rPr>
                <w:rStyle w:val="15"/>
                <w:sz w:val="21"/>
                <w:szCs w:val="21"/>
              </w:rPr>
              <w:t>现场办公生活设施</w:t>
            </w:r>
          </w:p>
        </w:tc>
        <w:tc>
          <w:tcPr>
            <w:tcW w:w="7225" w:type="dxa"/>
            <w:tcBorders>
              <w:top w:val="single" w:color="000000" w:sz="4" w:space="0"/>
              <w:left w:val="single" w:color="000000" w:sz="4" w:space="0"/>
              <w:bottom w:val="single" w:color="000000" w:sz="4" w:space="0"/>
            </w:tcBorders>
          </w:tcPr>
          <w:p>
            <w:pPr>
              <w:pStyle w:val="18"/>
              <w:numPr>
                <w:ilvl w:val="0"/>
                <w:numId w:val="31"/>
              </w:numPr>
              <w:tabs>
                <w:tab w:val="left" w:pos="433"/>
              </w:tabs>
              <w:spacing w:before="0" w:after="0" w:line="271" w:lineRule="exact"/>
              <w:ind w:left="118" w:right="0" w:firstLine="0"/>
              <w:jc w:val="left"/>
              <w:rPr>
                <w:rStyle w:val="15"/>
                <w:sz w:val="21"/>
                <w:szCs w:val="21"/>
              </w:rPr>
            </w:pPr>
            <w:r>
              <w:rPr>
                <w:rStyle w:val="15"/>
                <w:sz w:val="21"/>
                <w:szCs w:val="21"/>
              </w:rPr>
              <w:t>施工现场办公、生活区与作业区分开设置，保持安全距离。</w:t>
            </w:r>
          </w:p>
          <w:p>
            <w:pPr>
              <w:pStyle w:val="18"/>
              <w:numPr>
                <w:ilvl w:val="0"/>
                <w:numId w:val="31"/>
              </w:numPr>
              <w:tabs>
                <w:tab w:val="left" w:pos="433"/>
              </w:tabs>
              <w:spacing w:before="0" w:after="0" w:line="300" w:lineRule="atLeast"/>
              <w:ind w:left="118" w:right="-29" w:firstLine="0"/>
              <w:jc w:val="left"/>
              <w:rPr>
                <w:rStyle w:val="15"/>
                <w:sz w:val="21"/>
                <w:szCs w:val="21"/>
              </w:rPr>
            </w:pPr>
            <w:r>
              <w:rPr>
                <w:rStyle w:val="15"/>
                <w:sz w:val="21"/>
                <w:szCs w:val="21"/>
              </w:rPr>
              <w:t>工地办公室、现场宿舍、食堂、厕所、饮水、沐浴、休息场所等符合卫生、  消防安全要求。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restart"/>
            <w:tcBorders>
              <w:top w:val="single" w:color="000000" w:sz="4" w:space="0"/>
              <w:left w:val="single" w:color="000000" w:sz="4" w:space="0"/>
              <w:bottom w:val="single" w:color="000000" w:sz="4" w:space="0"/>
              <w:right w:val="single" w:color="000000" w:sz="4" w:space="0"/>
            </w:tcBorders>
          </w:tcPr>
          <w:p>
            <w:pPr>
              <w:pStyle w:val="18"/>
              <w:rPr>
                <w:rStyle w:val="15"/>
                <w:sz w:val="21"/>
                <w:szCs w:val="21"/>
              </w:rPr>
            </w:pPr>
          </w:p>
          <w:p>
            <w:pPr>
              <w:pStyle w:val="18"/>
              <w:rPr>
                <w:rStyle w:val="15"/>
                <w:sz w:val="21"/>
                <w:szCs w:val="21"/>
              </w:rPr>
            </w:pPr>
          </w:p>
          <w:p>
            <w:pPr>
              <w:pStyle w:val="18"/>
              <w:spacing w:before="8"/>
              <w:rPr>
                <w:rStyle w:val="15"/>
                <w:sz w:val="21"/>
                <w:szCs w:val="21"/>
              </w:rPr>
            </w:pPr>
          </w:p>
          <w:p>
            <w:pPr>
              <w:pStyle w:val="18"/>
              <w:spacing w:line="261" w:lineRule="auto"/>
              <w:ind w:left="190" w:right="161"/>
              <w:jc w:val="both"/>
              <w:rPr>
                <w:rStyle w:val="15"/>
                <w:sz w:val="21"/>
                <w:szCs w:val="21"/>
              </w:rPr>
            </w:pPr>
            <w:r>
              <w:rPr>
                <w:rStyle w:val="15"/>
                <w:sz w:val="21"/>
                <w:szCs w:val="21"/>
              </w:rPr>
              <w:t>施工现场临时用电</w:t>
            </w:r>
          </w:p>
        </w:tc>
        <w:tc>
          <w:tcPr>
            <w:tcW w:w="1680" w:type="dxa"/>
            <w:tcBorders>
              <w:top w:val="single" w:color="000000" w:sz="4" w:space="0"/>
              <w:left w:val="single" w:color="000000" w:sz="4" w:space="0"/>
              <w:bottom w:val="single" w:color="000000" w:sz="4" w:space="0"/>
              <w:right w:val="single" w:color="000000" w:sz="4" w:space="0"/>
            </w:tcBorders>
          </w:tcPr>
          <w:p>
            <w:pPr>
              <w:pStyle w:val="18"/>
              <w:rPr>
                <w:rStyle w:val="15"/>
                <w:sz w:val="21"/>
                <w:szCs w:val="21"/>
              </w:rPr>
            </w:pPr>
          </w:p>
          <w:p>
            <w:pPr>
              <w:pStyle w:val="18"/>
              <w:spacing w:before="12"/>
              <w:rPr>
                <w:rStyle w:val="15"/>
                <w:sz w:val="21"/>
                <w:szCs w:val="21"/>
              </w:rPr>
            </w:pPr>
          </w:p>
          <w:p>
            <w:pPr>
              <w:pStyle w:val="18"/>
              <w:ind w:left="130" w:right="102"/>
              <w:jc w:val="center"/>
              <w:rPr>
                <w:rStyle w:val="15"/>
                <w:sz w:val="21"/>
                <w:szCs w:val="21"/>
              </w:rPr>
            </w:pPr>
            <w:r>
              <w:rPr>
                <w:rStyle w:val="15"/>
                <w:sz w:val="21"/>
                <w:szCs w:val="21"/>
              </w:rPr>
              <w:t>配电线路</w:t>
            </w:r>
          </w:p>
        </w:tc>
        <w:tc>
          <w:tcPr>
            <w:tcW w:w="7225" w:type="dxa"/>
            <w:tcBorders>
              <w:top w:val="single" w:color="000000" w:sz="4" w:space="0"/>
              <w:left w:val="single" w:color="000000" w:sz="4" w:space="0"/>
              <w:bottom w:val="single" w:color="000000" w:sz="4" w:space="0"/>
            </w:tcBorders>
          </w:tcPr>
          <w:p>
            <w:pPr>
              <w:pStyle w:val="18"/>
              <w:numPr>
                <w:ilvl w:val="0"/>
                <w:numId w:val="32"/>
              </w:numPr>
              <w:tabs>
                <w:tab w:val="left" w:pos="433"/>
              </w:tabs>
              <w:spacing w:before="0" w:after="0" w:line="270" w:lineRule="exact"/>
              <w:ind w:left="118" w:right="0" w:firstLine="0"/>
              <w:jc w:val="left"/>
              <w:rPr>
                <w:rStyle w:val="15"/>
                <w:sz w:val="21"/>
                <w:szCs w:val="21"/>
              </w:rPr>
            </w:pPr>
            <w:r>
              <w:rPr>
                <w:rStyle w:val="15"/>
                <w:sz w:val="21"/>
                <w:szCs w:val="21"/>
              </w:rPr>
              <w:t>按照 TN-S 系统要求配备五芯电缆、四芯电缆和三芯电缆。</w:t>
            </w:r>
          </w:p>
          <w:p>
            <w:pPr>
              <w:pStyle w:val="18"/>
              <w:numPr>
                <w:ilvl w:val="0"/>
                <w:numId w:val="32"/>
              </w:numPr>
              <w:tabs>
                <w:tab w:val="left" w:pos="433"/>
              </w:tabs>
              <w:spacing w:before="25" w:after="0" w:line="261" w:lineRule="auto"/>
              <w:ind w:left="118" w:right="76" w:firstLine="0"/>
              <w:jc w:val="left"/>
              <w:rPr>
                <w:rStyle w:val="15"/>
                <w:sz w:val="21"/>
                <w:szCs w:val="21"/>
              </w:rPr>
            </w:pPr>
            <w:r>
              <w:rPr>
                <w:rStyle w:val="15"/>
                <w:sz w:val="21"/>
                <w:szCs w:val="21"/>
              </w:rPr>
              <w:t>按要求架设临时用电线路的电杆、横担、瓷夹、瓷瓶等，或电缆埋地的地  沟。</w:t>
            </w:r>
          </w:p>
          <w:p>
            <w:pPr>
              <w:pStyle w:val="18"/>
              <w:numPr>
                <w:ilvl w:val="0"/>
                <w:numId w:val="32"/>
              </w:numPr>
              <w:tabs>
                <w:tab w:val="left" w:pos="433"/>
              </w:tabs>
              <w:spacing w:before="6" w:after="0" w:line="240" w:lineRule="auto"/>
              <w:ind w:left="118" w:right="0" w:firstLine="0"/>
              <w:jc w:val="left"/>
              <w:rPr>
                <w:rStyle w:val="15"/>
                <w:sz w:val="21"/>
                <w:szCs w:val="21"/>
              </w:rPr>
            </w:pPr>
            <w:r>
              <w:rPr>
                <w:rStyle w:val="15"/>
                <w:sz w:val="21"/>
                <w:szCs w:val="21"/>
              </w:rPr>
              <w:t>对靠近施工现场的外电线路，设置木质、塑料等绝缘体的防护设施。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rPr>
                <w:rStyle w:val="15"/>
                <w:sz w:val="21"/>
                <w:szCs w:val="21"/>
              </w:rPr>
            </w:pPr>
          </w:p>
          <w:p>
            <w:pPr>
              <w:pStyle w:val="18"/>
              <w:spacing w:before="6"/>
              <w:rPr>
                <w:rStyle w:val="15"/>
                <w:sz w:val="21"/>
                <w:szCs w:val="21"/>
              </w:rPr>
            </w:pPr>
          </w:p>
          <w:p>
            <w:pPr>
              <w:pStyle w:val="18"/>
              <w:spacing w:line="261" w:lineRule="auto"/>
              <w:ind w:left="533" w:right="505"/>
              <w:rPr>
                <w:rStyle w:val="15"/>
                <w:sz w:val="21"/>
                <w:szCs w:val="21"/>
              </w:rPr>
            </w:pPr>
            <w:r>
              <w:rPr>
                <w:rStyle w:val="15"/>
                <w:sz w:val="21"/>
                <w:szCs w:val="21"/>
              </w:rPr>
              <w:t>配电箱开关箱</w:t>
            </w:r>
          </w:p>
        </w:tc>
        <w:tc>
          <w:tcPr>
            <w:tcW w:w="7225" w:type="dxa"/>
            <w:tcBorders>
              <w:top w:val="single" w:color="000000" w:sz="4" w:space="0"/>
              <w:left w:val="single" w:color="000000" w:sz="4" w:space="0"/>
              <w:bottom w:val="single" w:color="000000" w:sz="4" w:space="0"/>
            </w:tcBorders>
          </w:tcPr>
          <w:p>
            <w:pPr>
              <w:pStyle w:val="18"/>
              <w:numPr>
                <w:ilvl w:val="0"/>
                <w:numId w:val="33"/>
              </w:numPr>
              <w:tabs>
                <w:tab w:val="left" w:pos="433"/>
              </w:tabs>
              <w:spacing w:before="0" w:after="0" w:line="261" w:lineRule="auto"/>
              <w:ind w:left="118" w:right="74" w:firstLine="0"/>
              <w:jc w:val="both"/>
              <w:rPr>
                <w:rStyle w:val="15"/>
                <w:sz w:val="21"/>
                <w:szCs w:val="21"/>
              </w:rPr>
            </w:pPr>
            <w:r>
              <w:rPr>
                <w:rStyle w:val="15"/>
                <w:sz w:val="21"/>
                <w:szCs w:val="21"/>
              </w:rPr>
              <w:t>按三级配电要求，配备总配电箱、分配电箱、开关箱三类（铁质）标准电  箱，开关箱应符合“一机、一箱、一闸、一漏”，三类电箱中的各类电器应是合格品。</w:t>
            </w:r>
          </w:p>
          <w:p>
            <w:pPr>
              <w:pStyle w:val="18"/>
              <w:numPr>
                <w:ilvl w:val="0"/>
                <w:numId w:val="33"/>
              </w:numPr>
              <w:tabs>
                <w:tab w:val="left" w:pos="433"/>
              </w:tabs>
              <w:spacing w:before="11" w:after="0" w:line="261" w:lineRule="auto"/>
              <w:ind w:left="118" w:right="76" w:firstLine="0"/>
              <w:jc w:val="both"/>
              <w:rPr>
                <w:rStyle w:val="15"/>
                <w:sz w:val="21"/>
                <w:szCs w:val="21"/>
              </w:rPr>
            </w:pPr>
            <w:r>
              <w:rPr>
                <w:rStyle w:val="15"/>
                <w:sz w:val="21"/>
                <w:szCs w:val="21"/>
              </w:rPr>
              <w:t>按两级保护的要求，选取符合容量要求和质量合格的总配电箱和开关箱中  的漏电保护器。</w:t>
            </w:r>
          </w:p>
          <w:p>
            <w:pPr>
              <w:pStyle w:val="18"/>
              <w:numPr>
                <w:ilvl w:val="0"/>
                <w:numId w:val="33"/>
              </w:numPr>
              <w:tabs>
                <w:tab w:val="left" w:pos="433"/>
              </w:tabs>
              <w:spacing w:before="6" w:after="0" w:line="240" w:lineRule="auto"/>
              <w:ind w:left="118" w:right="0" w:firstLine="0"/>
              <w:jc w:val="both"/>
              <w:rPr>
                <w:rStyle w:val="15"/>
                <w:sz w:val="21"/>
                <w:szCs w:val="21"/>
              </w:rPr>
            </w:pPr>
            <w:r>
              <w:rPr>
                <w:rStyle w:val="15"/>
                <w:sz w:val="21"/>
                <w:szCs w:val="21"/>
              </w:rPr>
              <w:t>对大型、落地式分配电箱、开关箱设置防护棚和通透式围挡。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spacing w:before="14"/>
              <w:ind w:left="130" w:right="102"/>
              <w:jc w:val="center"/>
              <w:rPr>
                <w:rStyle w:val="15"/>
                <w:sz w:val="21"/>
                <w:szCs w:val="21"/>
              </w:rPr>
            </w:pPr>
            <w:r>
              <w:rPr>
                <w:rStyle w:val="15"/>
                <w:sz w:val="21"/>
                <w:szCs w:val="21"/>
              </w:rPr>
              <w:t>接地装置</w:t>
            </w:r>
          </w:p>
        </w:tc>
        <w:tc>
          <w:tcPr>
            <w:tcW w:w="7225" w:type="dxa"/>
            <w:tcBorders>
              <w:top w:val="single" w:color="000000" w:sz="4" w:space="0"/>
              <w:left w:val="single" w:color="000000" w:sz="4" w:space="0"/>
              <w:bottom w:val="single" w:color="000000" w:sz="4" w:space="0"/>
            </w:tcBorders>
          </w:tcPr>
          <w:p>
            <w:pPr>
              <w:pStyle w:val="18"/>
              <w:spacing w:before="14"/>
              <w:ind w:left="118"/>
              <w:rPr>
                <w:rStyle w:val="15"/>
                <w:sz w:val="21"/>
                <w:szCs w:val="21"/>
              </w:rPr>
            </w:pPr>
            <w:r>
              <w:rPr>
                <w:rStyle w:val="15"/>
                <w:sz w:val="21"/>
                <w:szCs w:val="21"/>
              </w:rPr>
              <w:t>施工现场应设置不少于三处的重复接地装置。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spacing w:line="300" w:lineRule="exact"/>
              <w:ind w:left="744" w:right="191" w:hanging="526"/>
              <w:rPr>
                <w:rStyle w:val="15"/>
                <w:sz w:val="21"/>
                <w:szCs w:val="21"/>
              </w:rPr>
            </w:pPr>
            <w:r>
              <w:rPr>
                <w:rStyle w:val="15"/>
                <w:sz w:val="21"/>
                <w:szCs w:val="21"/>
              </w:rPr>
              <w:t>现场变配电装置</w:t>
            </w:r>
          </w:p>
        </w:tc>
        <w:tc>
          <w:tcPr>
            <w:tcW w:w="7225" w:type="dxa"/>
            <w:tcBorders>
              <w:top w:val="single" w:color="000000" w:sz="4" w:space="0"/>
              <w:left w:val="single" w:color="000000" w:sz="4" w:space="0"/>
              <w:bottom w:val="single" w:color="000000" w:sz="4" w:space="0"/>
            </w:tcBorders>
          </w:tcPr>
          <w:p>
            <w:pPr>
              <w:pStyle w:val="18"/>
              <w:spacing w:before="144"/>
              <w:ind w:left="118"/>
              <w:rPr>
                <w:rStyle w:val="15"/>
                <w:sz w:val="21"/>
                <w:szCs w:val="21"/>
              </w:rPr>
            </w:pPr>
            <w:r>
              <w:rPr>
                <w:rStyle w:val="15"/>
                <w:sz w:val="21"/>
                <w:szCs w:val="21"/>
              </w:rPr>
              <w:t>总配电房建筑材料必须达到消防防火要求，室内做硬地坪、电缆沟。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802" w:type="dxa"/>
            <w:tcBorders>
              <w:top w:val="single" w:color="000000" w:sz="4" w:space="0"/>
              <w:bottom w:val="single" w:color="000000" w:sz="4" w:space="0"/>
              <w:right w:val="single" w:color="000000" w:sz="4" w:space="0"/>
            </w:tcBorders>
          </w:tcPr>
          <w:p>
            <w:pPr>
              <w:pStyle w:val="18"/>
              <w:spacing w:before="13"/>
              <w:ind w:right="169"/>
              <w:jc w:val="right"/>
              <w:rPr>
                <w:rStyle w:val="15"/>
                <w:sz w:val="21"/>
                <w:szCs w:val="21"/>
              </w:rPr>
            </w:pPr>
            <w:r>
              <w:rPr>
                <w:rStyle w:val="15"/>
                <w:sz w:val="21"/>
                <w:szCs w:val="21"/>
              </w:rPr>
              <w:t>类别</w:t>
            </w: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3"/>
              <w:ind w:left="713"/>
              <w:rPr>
                <w:rStyle w:val="15"/>
                <w:sz w:val="21"/>
                <w:szCs w:val="21"/>
              </w:rPr>
            </w:pPr>
            <w:r>
              <w:rPr>
                <w:rStyle w:val="15"/>
                <w:sz w:val="21"/>
                <w:szCs w:val="21"/>
              </w:rPr>
              <w:t>项目名称</w:t>
            </w:r>
          </w:p>
        </w:tc>
        <w:tc>
          <w:tcPr>
            <w:tcW w:w="7225" w:type="dxa"/>
            <w:tcBorders>
              <w:top w:val="single" w:color="000000" w:sz="4" w:space="0"/>
              <w:left w:val="single" w:color="000000" w:sz="4" w:space="0"/>
              <w:bottom w:val="single" w:color="000000" w:sz="4" w:space="0"/>
            </w:tcBorders>
          </w:tcPr>
          <w:p>
            <w:pPr>
              <w:pStyle w:val="18"/>
              <w:spacing w:before="13"/>
              <w:ind w:left="2901" w:right="2365" w:rightChars="0"/>
              <w:jc w:val="center"/>
              <w:rPr>
                <w:rStyle w:val="15"/>
                <w:sz w:val="21"/>
                <w:szCs w:val="21"/>
              </w:rPr>
            </w:pPr>
            <w:r>
              <w:rPr>
                <w:rStyle w:val="15"/>
                <w:sz w:val="21"/>
                <w:szCs w:val="21"/>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0" w:hRule="atLeast"/>
        </w:trPr>
        <w:tc>
          <w:tcPr>
            <w:tcW w:w="802" w:type="dxa"/>
            <w:vMerge w:val="restart"/>
            <w:tcBorders>
              <w:top w:val="single" w:color="000000" w:sz="4" w:space="0"/>
              <w:right w:val="single" w:color="000000" w:sz="4" w:space="0"/>
            </w:tcBorders>
          </w:tcPr>
          <w:p>
            <w:pPr>
              <w:pStyle w:val="18"/>
              <w:rPr>
                <w:rStyle w:val="15"/>
                <w:sz w:val="21"/>
                <w:szCs w:val="21"/>
              </w:rPr>
            </w:pPr>
          </w:p>
          <w:p>
            <w:pPr>
              <w:pStyle w:val="18"/>
              <w:spacing w:before="2"/>
              <w:rPr>
                <w:rStyle w:val="15"/>
                <w:sz w:val="21"/>
                <w:szCs w:val="21"/>
              </w:rPr>
            </w:pPr>
          </w:p>
          <w:p>
            <w:pPr>
              <w:pStyle w:val="18"/>
              <w:spacing w:line="261" w:lineRule="auto"/>
              <w:ind w:left="190" w:right="172"/>
              <w:rPr>
                <w:rStyle w:val="15"/>
                <w:sz w:val="21"/>
                <w:szCs w:val="21"/>
              </w:rPr>
            </w:pPr>
            <w:r>
              <w:rPr>
                <w:rStyle w:val="15"/>
                <w:sz w:val="21"/>
                <w:szCs w:val="21"/>
              </w:rPr>
              <w:t>安全施工</w:t>
            </w:r>
          </w:p>
        </w:tc>
        <w:tc>
          <w:tcPr>
            <w:tcW w:w="571" w:type="dxa"/>
            <w:vMerge w:val="restart"/>
            <w:tcBorders>
              <w:top w:val="single" w:color="000000" w:sz="4" w:space="0"/>
              <w:left w:val="single" w:color="000000" w:sz="4" w:space="0"/>
              <w:right w:val="single" w:color="000000" w:sz="4" w:space="0"/>
            </w:tcBorders>
          </w:tcPr>
          <w:p>
            <w:pPr>
              <w:pStyle w:val="18"/>
              <w:spacing w:before="10" w:line="300" w:lineRule="exact"/>
              <w:ind w:left="190" w:right="161"/>
              <w:jc w:val="both"/>
              <w:rPr>
                <w:rStyle w:val="15"/>
                <w:sz w:val="21"/>
                <w:szCs w:val="21"/>
              </w:rPr>
            </w:pPr>
            <w:r>
              <w:rPr>
                <w:rStyle w:val="15"/>
                <w:sz w:val="21"/>
                <w:szCs w:val="21"/>
              </w:rPr>
              <w:t>高处作业防护</w:t>
            </w:r>
          </w:p>
        </w:tc>
        <w:tc>
          <w:tcPr>
            <w:tcW w:w="1680" w:type="dxa"/>
            <w:tcBorders>
              <w:top w:val="single" w:color="000000" w:sz="4" w:space="0"/>
              <w:left w:val="single" w:color="000000" w:sz="4" w:space="0"/>
              <w:bottom w:val="single" w:color="000000" w:sz="4" w:space="0"/>
              <w:right w:val="single" w:color="000000" w:sz="4" w:space="0"/>
            </w:tcBorders>
          </w:tcPr>
          <w:p>
            <w:pPr>
              <w:pStyle w:val="18"/>
              <w:spacing w:line="300" w:lineRule="exact"/>
              <w:ind w:left="430" w:right="89" w:hanging="312"/>
              <w:rPr>
                <w:rStyle w:val="15"/>
                <w:sz w:val="21"/>
                <w:szCs w:val="21"/>
              </w:rPr>
            </w:pPr>
            <w:r>
              <w:rPr>
                <w:rStyle w:val="15"/>
                <w:sz w:val="21"/>
                <w:szCs w:val="21"/>
              </w:rPr>
              <w:t>楼层、屋面、阳台等临边</w:t>
            </w:r>
          </w:p>
        </w:tc>
        <w:tc>
          <w:tcPr>
            <w:tcW w:w="7225" w:type="dxa"/>
            <w:tcBorders>
              <w:top w:val="single" w:color="000000" w:sz="4" w:space="0"/>
              <w:left w:val="single" w:color="000000" w:sz="4" w:space="0"/>
              <w:bottom w:val="single" w:color="000000" w:sz="4" w:space="0"/>
            </w:tcBorders>
          </w:tcPr>
          <w:p>
            <w:pPr>
              <w:pStyle w:val="18"/>
              <w:spacing w:before="144"/>
              <w:ind w:left="118"/>
              <w:rPr>
                <w:rStyle w:val="15"/>
                <w:sz w:val="21"/>
                <w:szCs w:val="21"/>
              </w:rPr>
            </w:pPr>
            <w:r>
              <w:rPr>
                <w:rStyle w:val="15"/>
                <w:sz w:val="21"/>
                <w:szCs w:val="21"/>
              </w:rPr>
              <w:t>设两道防护栏杆和 18cm 高的踢脚板，用密目式安全立网全封闭。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trPr>
        <w:tc>
          <w:tcPr>
            <w:tcW w:w="802" w:type="dxa"/>
            <w:vMerge w:val="continue"/>
            <w:tcBorders>
              <w:top w:val="nil"/>
              <w:right w:val="single" w:color="000000" w:sz="4" w:space="0"/>
            </w:tcBorders>
          </w:tcPr>
          <w:p>
            <w:pPr>
              <w:rPr>
                <w:rStyle w:val="15"/>
                <w:sz w:val="21"/>
                <w:szCs w:val="21"/>
              </w:rPr>
            </w:pPr>
          </w:p>
        </w:tc>
        <w:tc>
          <w:tcPr>
            <w:tcW w:w="571" w:type="dxa"/>
            <w:vMerge w:val="continue"/>
            <w:tcBorders>
              <w:top w:val="nil"/>
              <w:left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spacing w:before="125"/>
              <w:ind w:left="127" w:right="102"/>
              <w:jc w:val="center"/>
              <w:rPr>
                <w:rStyle w:val="15"/>
                <w:sz w:val="21"/>
                <w:szCs w:val="21"/>
              </w:rPr>
            </w:pPr>
            <w:r>
              <w:rPr>
                <w:rStyle w:val="15"/>
                <w:sz w:val="21"/>
                <w:szCs w:val="21"/>
              </w:rPr>
              <w:t>通道口</w:t>
            </w:r>
          </w:p>
        </w:tc>
        <w:tc>
          <w:tcPr>
            <w:tcW w:w="7225" w:type="dxa"/>
            <w:tcBorders>
              <w:top w:val="single" w:color="000000" w:sz="4" w:space="0"/>
              <w:left w:val="single" w:color="000000" w:sz="4" w:space="0"/>
              <w:bottom w:val="single" w:color="000000" w:sz="4" w:space="0"/>
            </w:tcBorders>
          </w:tcPr>
          <w:p>
            <w:pPr>
              <w:pStyle w:val="18"/>
              <w:spacing w:line="249" w:lineRule="exact"/>
              <w:ind w:left="118"/>
              <w:rPr>
                <w:rStyle w:val="15"/>
                <w:sz w:val="21"/>
                <w:szCs w:val="21"/>
              </w:rPr>
            </w:pPr>
            <w:r>
              <w:rPr>
                <w:rStyle w:val="15"/>
                <w:sz w:val="21"/>
                <w:szCs w:val="21"/>
              </w:rPr>
              <w:t>设防护棚，防护棚应为不小于 5cm 厚的木板或两道相距 50cm 的竹笆。两侧应</w:t>
            </w:r>
          </w:p>
          <w:p>
            <w:pPr>
              <w:pStyle w:val="18"/>
              <w:spacing w:before="25"/>
              <w:ind w:left="118"/>
              <w:rPr>
                <w:rStyle w:val="15"/>
                <w:sz w:val="21"/>
                <w:szCs w:val="21"/>
              </w:rPr>
            </w:pPr>
            <w:r>
              <w:rPr>
                <w:rStyle w:val="15"/>
                <w:sz w:val="21"/>
                <w:szCs w:val="21"/>
              </w:rPr>
              <w:t>沿栏杆架用密目式安全网封闭。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802" w:type="dxa"/>
            <w:vMerge w:val="continue"/>
            <w:tcBorders>
              <w:top w:val="nil"/>
              <w:right w:val="single" w:color="000000" w:sz="4" w:space="0"/>
            </w:tcBorders>
          </w:tcPr>
          <w:p>
            <w:pPr>
              <w:rPr>
                <w:rStyle w:val="15"/>
                <w:sz w:val="21"/>
                <w:szCs w:val="21"/>
              </w:rPr>
            </w:pPr>
          </w:p>
        </w:tc>
        <w:tc>
          <w:tcPr>
            <w:tcW w:w="571" w:type="dxa"/>
            <w:vMerge w:val="continue"/>
            <w:tcBorders>
              <w:top w:val="nil"/>
              <w:left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right w:val="single" w:color="000000" w:sz="4" w:space="0"/>
            </w:tcBorders>
          </w:tcPr>
          <w:p>
            <w:pPr>
              <w:pStyle w:val="18"/>
              <w:spacing w:before="135"/>
              <w:ind w:left="130" w:right="102"/>
              <w:jc w:val="center"/>
              <w:rPr>
                <w:rStyle w:val="15"/>
                <w:sz w:val="21"/>
                <w:szCs w:val="21"/>
              </w:rPr>
            </w:pPr>
            <w:r>
              <w:rPr>
                <w:rStyle w:val="15"/>
                <w:sz w:val="21"/>
                <w:szCs w:val="21"/>
              </w:rPr>
              <w:t>预留洞口</w:t>
            </w:r>
          </w:p>
        </w:tc>
        <w:tc>
          <w:tcPr>
            <w:tcW w:w="7225" w:type="dxa"/>
            <w:tcBorders>
              <w:top w:val="single" w:color="000000" w:sz="4" w:space="0"/>
              <w:left w:val="single" w:color="000000" w:sz="4" w:space="0"/>
            </w:tcBorders>
          </w:tcPr>
          <w:p>
            <w:pPr>
              <w:pStyle w:val="18"/>
              <w:spacing w:line="259" w:lineRule="exact"/>
              <w:ind w:left="118"/>
              <w:rPr>
                <w:rStyle w:val="15"/>
                <w:sz w:val="21"/>
                <w:szCs w:val="21"/>
              </w:rPr>
            </w:pPr>
            <w:r>
              <w:rPr>
                <w:rStyle w:val="15"/>
                <w:sz w:val="21"/>
                <w:szCs w:val="21"/>
              </w:rPr>
              <w:t>用硬质材料全封闭，短边超过 1.5m 长的洞口，除封闭外四周还应设有防护栏杆。</w:t>
            </w:r>
          </w:p>
        </w:tc>
      </w:tr>
    </w:tbl>
    <w:p>
      <w:pPr>
        <w:spacing w:after="0"/>
        <w:rPr>
          <w:sz w:val="21"/>
        </w:rPr>
        <w:sectPr>
          <w:pgSz w:w="11910" w:h="16840"/>
          <w:pgMar w:top="1000" w:right="740" w:bottom="760" w:left="620" w:header="808" w:footer="575" w:gutter="0"/>
          <w:pgNumType w:fmt="decimal"/>
        </w:sectPr>
      </w:pPr>
    </w:p>
    <w:p>
      <w:pPr>
        <w:pStyle w:val="3"/>
        <w:spacing w:before="8"/>
        <w:rPr>
          <w:b/>
          <w:sz w:val="9"/>
        </w:rPr>
      </w:pPr>
    </w:p>
    <w:tbl>
      <w:tblPr>
        <w:tblStyle w:val="14"/>
        <w:tblW w:w="10278"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2"/>
        <w:gridCol w:w="571"/>
        <w:gridCol w:w="1680"/>
        <w:gridCol w:w="72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02" w:type="dxa"/>
            <w:vMerge w:val="restart"/>
            <w:tcBorders>
              <w:bottom w:val="single" w:color="000000" w:sz="4" w:space="0"/>
              <w:right w:val="single" w:color="000000" w:sz="4" w:space="0"/>
            </w:tcBorders>
          </w:tcPr>
          <w:p>
            <w:pPr>
              <w:pStyle w:val="18"/>
              <w:rPr>
                <w:rStyle w:val="15"/>
                <w:sz w:val="21"/>
                <w:szCs w:val="21"/>
              </w:rPr>
            </w:pPr>
          </w:p>
        </w:tc>
        <w:tc>
          <w:tcPr>
            <w:tcW w:w="571" w:type="dxa"/>
            <w:vMerge w:val="restart"/>
            <w:tcBorders>
              <w:left w:val="single" w:color="000000" w:sz="4" w:space="0"/>
              <w:bottom w:val="single" w:color="000000" w:sz="4" w:space="0"/>
              <w:right w:val="single" w:color="000000" w:sz="4" w:space="0"/>
            </w:tcBorders>
          </w:tcPr>
          <w:p>
            <w:pPr>
              <w:pStyle w:val="18"/>
              <w:rPr>
                <w:rStyle w:val="15"/>
                <w:sz w:val="21"/>
                <w:szCs w:val="21"/>
              </w:rPr>
            </w:pPr>
          </w:p>
        </w:tc>
        <w:tc>
          <w:tcPr>
            <w:tcW w:w="1680" w:type="dxa"/>
            <w:tcBorders>
              <w:left w:val="single" w:color="000000" w:sz="4" w:space="0"/>
              <w:bottom w:val="single" w:color="000000" w:sz="4" w:space="0"/>
              <w:right w:val="single" w:color="000000" w:sz="4" w:space="0"/>
            </w:tcBorders>
          </w:tcPr>
          <w:p>
            <w:pPr>
              <w:pStyle w:val="18"/>
              <w:spacing w:before="145"/>
              <w:ind w:left="130" w:right="102"/>
              <w:jc w:val="center"/>
              <w:rPr>
                <w:rStyle w:val="15"/>
                <w:sz w:val="21"/>
                <w:szCs w:val="21"/>
              </w:rPr>
            </w:pPr>
            <w:r>
              <w:rPr>
                <w:rStyle w:val="15"/>
                <w:sz w:val="21"/>
                <w:szCs w:val="21"/>
              </w:rPr>
              <w:t>电梯井口</w:t>
            </w:r>
          </w:p>
        </w:tc>
        <w:tc>
          <w:tcPr>
            <w:tcW w:w="7225" w:type="dxa"/>
            <w:tcBorders>
              <w:left w:val="single" w:color="000000" w:sz="4" w:space="0"/>
              <w:bottom w:val="single" w:color="000000" w:sz="4" w:space="0"/>
            </w:tcBorders>
          </w:tcPr>
          <w:p>
            <w:pPr>
              <w:pStyle w:val="18"/>
              <w:spacing w:before="1" w:line="300" w:lineRule="exact"/>
              <w:ind w:left="118" w:right="74"/>
              <w:rPr>
                <w:rStyle w:val="15"/>
                <w:sz w:val="21"/>
                <w:szCs w:val="21"/>
              </w:rPr>
            </w:pPr>
            <w:r>
              <w:rPr>
                <w:rStyle w:val="15"/>
                <w:sz w:val="21"/>
                <w:szCs w:val="21"/>
              </w:rPr>
              <w:t>设置定型化、工具化的防护门，在电梯井内每隔 2 层（不大于 10m）设置一道水平防护。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spacing w:before="13"/>
              <w:ind w:left="127" w:right="102"/>
              <w:jc w:val="center"/>
              <w:rPr>
                <w:rStyle w:val="15"/>
                <w:sz w:val="21"/>
                <w:szCs w:val="21"/>
              </w:rPr>
            </w:pPr>
            <w:r>
              <w:rPr>
                <w:rStyle w:val="15"/>
                <w:sz w:val="21"/>
                <w:szCs w:val="21"/>
              </w:rPr>
              <w:t>楼梯边</w:t>
            </w:r>
          </w:p>
        </w:tc>
        <w:tc>
          <w:tcPr>
            <w:tcW w:w="7225" w:type="dxa"/>
            <w:tcBorders>
              <w:top w:val="single" w:color="000000" w:sz="4" w:space="0"/>
              <w:left w:val="single" w:color="000000" w:sz="4" w:space="0"/>
              <w:bottom w:val="single" w:color="000000" w:sz="4" w:space="0"/>
            </w:tcBorders>
          </w:tcPr>
          <w:p>
            <w:pPr>
              <w:pStyle w:val="18"/>
              <w:spacing w:before="13"/>
              <w:ind w:left="118"/>
              <w:rPr>
                <w:rStyle w:val="15"/>
                <w:sz w:val="21"/>
                <w:szCs w:val="21"/>
              </w:rPr>
            </w:pPr>
            <w:r>
              <w:rPr>
                <w:rStyle w:val="15"/>
                <w:sz w:val="21"/>
                <w:szCs w:val="21"/>
              </w:rPr>
              <w:t>设 1.2m 高的定型化、工具化的防护栏，18cm 高的踢脚板。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spacing w:before="1" w:line="300" w:lineRule="exact"/>
              <w:ind w:left="430" w:right="400"/>
              <w:rPr>
                <w:rStyle w:val="15"/>
                <w:sz w:val="21"/>
                <w:szCs w:val="21"/>
              </w:rPr>
            </w:pPr>
            <w:r>
              <w:rPr>
                <w:rStyle w:val="15"/>
                <w:sz w:val="21"/>
                <w:szCs w:val="21"/>
              </w:rPr>
              <w:t>垂直方向交叉作业</w:t>
            </w:r>
          </w:p>
        </w:tc>
        <w:tc>
          <w:tcPr>
            <w:tcW w:w="7225" w:type="dxa"/>
            <w:tcBorders>
              <w:top w:val="single" w:color="000000" w:sz="4" w:space="0"/>
              <w:left w:val="single" w:color="000000" w:sz="4" w:space="0"/>
              <w:bottom w:val="single" w:color="000000" w:sz="4" w:space="0"/>
            </w:tcBorders>
          </w:tcPr>
          <w:p>
            <w:pPr>
              <w:pStyle w:val="18"/>
              <w:spacing w:before="144"/>
              <w:ind w:left="118"/>
              <w:rPr>
                <w:rStyle w:val="15"/>
                <w:sz w:val="21"/>
                <w:szCs w:val="21"/>
              </w:rPr>
            </w:pPr>
            <w:r>
              <w:rPr>
                <w:rStyle w:val="15"/>
                <w:sz w:val="21"/>
                <w:szCs w:val="21"/>
              </w:rPr>
              <w:t>设置防护隔离棚或其它设施。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spacing w:before="143"/>
              <w:ind w:left="130" w:right="102"/>
              <w:jc w:val="center"/>
              <w:rPr>
                <w:rStyle w:val="15"/>
                <w:sz w:val="21"/>
                <w:szCs w:val="21"/>
              </w:rPr>
            </w:pPr>
            <w:r>
              <w:rPr>
                <w:rStyle w:val="15"/>
                <w:sz w:val="21"/>
                <w:szCs w:val="21"/>
              </w:rPr>
              <w:t>高处作业</w:t>
            </w:r>
          </w:p>
        </w:tc>
        <w:tc>
          <w:tcPr>
            <w:tcW w:w="7225" w:type="dxa"/>
            <w:tcBorders>
              <w:top w:val="single" w:color="000000" w:sz="4" w:space="0"/>
              <w:left w:val="single" w:color="000000" w:sz="4" w:space="0"/>
              <w:bottom w:val="single" w:color="000000" w:sz="4" w:space="0"/>
            </w:tcBorders>
          </w:tcPr>
          <w:p>
            <w:pPr>
              <w:pStyle w:val="18"/>
              <w:spacing w:line="269" w:lineRule="exact"/>
              <w:ind w:left="118"/>
              <w:rPr>
                <w:rStyle w:val="15"/>
                <w:sz w:val="21"/>
                <w:szCs w:val="21"/>
              </w:rPr>
            </w:pPr>
            <w:r>
              <w:rPr>
                <w:rStyle w:val="15"/>
                <w:sz w:val="21"/>
                <w:szCs w:val="21"/>
              </w:rPr>
              <w:t>有悬挂安全带的悬索或其它设施，有操作平台，有上下的梯子或其它形式的</w:t>
            </w:r>
          </w:p>
          <w:p>
            <w:pPr>
              <w:pStyle w:val="18"/>
              <w:spacing w:before="25"/>
              <w:ind w:left="118"/>
              <w:rPr>
                <w:rStyle w:val="15"/>
                <w:sz w:val="21"/>
                <w:szCs w:val="21"/>
              </w:rPr>
            </w:pPr>
            <w:r>
              <w:rPr>
                <w:rStyle w:val="15"/>
                <w:sz w:val="21"/>
                <w:szCs w:val="21"/>
              </w:rPr>
              <w:t>通道。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spacing w:before="14"/>
              <w:ind w:left="130" w:right="102"/>
              <w:jc w:val="center"/>
              <w:rPr>
                <w:rStyle w:val="15"/>
                <w:sz w:val="21"/>
                <w:szCs w:val="21"/>
              </w:rPr>
            </w:pPr>
            <w:r>
              <w:rPr>
                <w:rStyle w:val="15"/>
                <w:sz w:val="21"/>
                <w:szCs w:val="21"/>
              </w:rPr>
              <w:t>基坑、物料平台</w:t>
            </w:r>
          </w:p>
        </w:tc>
        <w:tc>
          <w:tcPr>
            <w:tcW w:w="7225" w:type="dxa"/>
            <w:tcBorders>
              <w:top w:val="single" w:color="000000" w:sz="4" w:space="0"/>
              <w:left w:val="single" w:color="000000" w:sz="4" w:space="0"/>
              <w:bottom w:val="single" w:color="000000" w:sz="4" w:space="0"/>
            </w:tcBorders>
          </w:tcPr>
          <w:p>
            <w:pPr>
              <w:pStyle w:val="18"/>
              <w:spacing w:before="14"/>
              <w:ind w:left="118"/>
              <w:rPr>
                <w:rStyle w:val="15"/>
                <w:sz w:val="21"/>
                <w:szCs w:val="21"/>
              </w:rPr>
            </w:pPr>
            <w:r>
              <w:rPr>
                <w:rStyle w:val="15"/>
                <w:sz w:val="21"/>
                <w:szCs w:val="21"/>
              </w:rPr>
              <w:t>设 1.2m 高标准化的防护栏，用密目式安全立网封闭，悬挂标识。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02" w:type="dxa"/>
            <w:vMerge w:val="continue"/>
            <w:tcBorders>
              <w:top w:val="nil"/>
              <w:bottom w:val="single" w:color="000000" w:sz="4" w:space="0"/>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144"/>
              <w:ind w:left="504"/>
              <w:rPr>
                <w:rStyle w:val="15"/>
                <w:sz w:val="21"/>
                <w:szCs w:val="21"/>
              </w:rPr>
            </w:pPr>
            <w:r>
              <w:rPr>
                <w:rStyle w:val="15"/>
                <w:sz w:val="21"/>
                <w:szCs w:val="21"/>
              </w:rPr>
              <w:t>安全防护用品</w:t>
            </w:r>
          </w:p>
        </w:tc>
        <w:tc>
          <w:tcPr>
            <w:tcW w:w="7225" w:type="dxa"/>
            <w:tcBorders>
              <w:top w:val="single" w:color="000000" w:sz="4" w:space="0"/>
              <w:left w:val="single" w:color="000000" w:sz="4" w:space="0"/>
              <w:bottom w:val="single" w:color="000000" w:sz="4" w:space="0"/>
            </w:tcBorders>
          </w:tcPr>
          <w:p>
            <w:pPr>
              <w:pStyle w:val="18"/>
              <w:spacing w:line="300" w:lineRule="exact"/>
              <w:ind w:left="118" w:right="76"/>
              <w:rPr>
                <w:rStyle w:val="15"/>
                <w:sz w:val="21"/>
                <w:szCs w:val="21"/>
              </w:rPr>
            </w:pPr>
            <w:r>
              <w:rPr>
                <w:rStyle w:val="15"/>
                <w:sz w:val="21"/>
                <w:szCs w:val="21"/>
              </w:rPr>
              <w:t>安全帽、安全带、特种作业人员（电工、焊工、架子工等）防护服装、用品等。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8" w:hRule="atLeast"/>
        </w:trPr>
        <w:tc>
          <w:tcPr>
            <w:tcW w:w="802" w:type="dxa"/>
            <w:vMerge w:val="restart"/>
            <w:tcBorders>
              <w:top w:val="single" w:color="000000" w:sz="4" w:space="0"/>
              <w:right w:val="single" w:color="000000" w:sz="4" w:space="0"/>
            </w:tcBorders>
          </w:tcPr>
          <w:p>
            <w:pPr>
              <w:pStyle w:val="18"/>
              <w:rPr>
                <w:rStyle w:val="15"/>
                <w:sz w:val="21"/>
                <w:szCs w:val="21"/>
              </w:rPr>
            </w:pPr>
          </w:p>
          <w:p>
            <w:pPr>
              <w:pStyle w:val="18"/>
              <w:rPr>
                <w:rStyle w:val="15"/>
                <w:sz w:val="21"/>
                <w:szCs w:val="21"/>
              </w:rPr>
            </w:pPr>
          </w:p>
          <w:p>
            <w:pPr>
              <w:pStyle w:val="18"/>
              <w:rPr>
                <w:rStyle w:val="15"/>
                <w:sz w:val="21"/>
                <w:szCs w:val="21"/>
              </w:rPr>
            </w:pPr>
          </w:p>
          <w:p>
            <w:pPr>
              <w:pStyle w:val="18"/>
              <w:rPr>
                <w:rStyle w:val="15"/>
                <w:sz w:val="21"/>
                <w:szCs w:val="21"/>
              </w:rPr>
            </w:pPr>
          </w:p>
          <w:p>
            <w:pPr>
              <w:pStyle w:val="18"/>
              <w:spacing w:before="10"/>
              <w:rPr>
                <w:rStyle w:val="15"/>
                <w:sz w:val="21"/>
                <w:szCs w:val="21"/>
              </w:rPr>
            </w:pPr>
          </w:p>
          <w:p>
            <w:pPr>
              <w:pStyle w:val="18"/>
              <w:ind w:left="190"/>
              <w:rPr>
                <w:rStyle w:val="15"/>
                <w:sz w:val="21"/>
                <w:szCs w:val="21"/>
              </w:rPr>
            </w:pPr>
            <w:r>
              <w:rPr>
                <w:rStyle w:val="15"/>
                <w:sz w:val="21"/>
                <w:szCs w:val="21"/>
              </w:rPr>
              <w:t>其它</w:t>
            </w:r>
          </w:p>
        </w:tc>
        <w:tc>
          <w:tcPr>
            <w:tcW w:w="571" w:type="dxa"/>
            <w:vMerge w:val="restart"/>
            <w:tcBorders>
              <w:top w:val="single" w:color="000000" w:sz="4" w:space="0"/>
              <w:left w:val="single" w:color="000000" w:sz="4" w:space="0"/>
              <w:bottom w:val="single" w:color="000000" w:sz="4" w:space="0"/>
              <w:right w:val="single" w:color="000000" w:sz="4" w:space="0"/>
            </w:tcBorders>
          </w:tcPr>
          <w:p>
            <w:pPr>
              <w:pStyle w:val="18"/>
              <w:spacing w:line="261" w:lineRule="auto"/>
              <w:ind w:left="190" w:right="161"/>
              <w:jc w:val="both"/>
              <w:rPr>
                <w:rStyle w:val="15"/>
                <w:sz w:val="21"/>
                <w:szCs w:val="21"/>
              </w:rPr>
            </w:pPr>
            <w:r>
              <w:rPr>
                <w:rStyle w:val="15"/>
                <w:sz w:val="21"/>
                <w:szCs w:val="21"/>
              </w:rPr>
              <w:t>机械设备防</w:t>
            </w:r>
          </w:p>
          <w:p>
            <w:pPr>
              <w:pStyle w:val="18"/>
              <w:spacing w:before="12"/>
              <w:ind w:left="190"/>
              <w:jc w:val="both"/>
              <w:rPr>
                <w:rStyle w:val="15"/>
                <w:sz w:val="21"/>
                <w:szCs w:val="21"/>
              </w:rPr>
            </w:pPr>
            <w:r>
              <w:rPr>
                <w:rStyle w:val="15"/>
                <w:sz w:val="21"/>
                <w:szCs w:val="21"/>
              </w:rPr>
              <w:t>护</w:t>
            </w:r>
          </w:p>
        </w:tc>
        <w:tc>
          <w:tcPr>
            <w:tcW w:w="1680" w:type="dxa"/>
            <w:tcBorders>
              <w:top w:val="single" w:color="000000" w:sz="4" w:space="0"/>
              <w:left w:val="single" w:color="000000" w:sz="4" w:space="0"/>
              <w:bottom w:val="single" w:color="000000" w:sz="4" w:space="0"/>
              <w:right w:val="single" w:color="000000" w:sz="4" w:space="0"/>
            </w:tcBorders>
          </w:tcPr>
          <w:p>
            <w:pPr>
              <w:pStyle w:val="18"/>
              <w:spacing w:before="12"/>
              <w:ind w:left="130" w:right="102"/>
              <w:jc w:val="center"/>
              <w:rPr>
                <w:rStyle w:val="15"/>
                <w:sz w:val="21"/>
                <w:szCs w:val="21"/>
              </w:rPr>
            </w:pPr>
            <w:r>
              <w:rPr>
                <w:rStyle w:val="15"/>
                <w:sz w:val="21"/>
                <w:szCs w:val="21"/>
              </w:rPr>
              <w:t>中小型机械</w:t>
            </w:r>
          </w:p>
        </w:tc>
        <w:tc>
          <w:tcPr>
            <w:tcW w:w="7225" w:type="dxa"/>
            <w:tcBorders>
              <w:top w:val="single" w:color="000000" w:sz="4" w:space="0"/>
              <w:left w:val="single" w:color="000000" w:sz="4" w:space="0"/>
              <w:bottom w:val="single" w:color="000000" w:sz="4" w:space="0"/>
            </w:tcBorders>
          </w:tcPr>
          <w:p>
            <w:pPr>
              <w:pStyle w:val="18"/>
              <w:spacing w:before="12"/>
              <w:ind w:left="118"/>
              <w:rPr>
                <w:rStyle w:val="15"/>
                <w:sz w:val="21"/>
                <w:szCs w:val="21"/>
              </w:rPr>
            </w:pPr>
            <w:r>
              <w:rPr>
                <w:rStyle w:val="15"/>
                <w:sz w:val="21"/>
                <w:szCs w:val="21"/>
              </w:rPr>
              <w:t>设防护棚（同通道口防护并有防雨措施）。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0" w:hRule="atLeast"/>
        </w:trPr>
        <w:tc>
          <w:tcPr>
            <w:tcW w:w="802" w:type="dxa"/>
            <w:vMerge w:val="continue"/>
            <w:tcBorders>
              <w:top w:val="nil"/>
              <w:right w:val="single" w:color="000000" w:sz="4" w:space="0"/>
            </w:tcBorders>
          </w:tcPr>
          <w:p>
            <w:pPr>
              <w:rPr>
                <w:rStyle w:val="15"/>
                <w:sz w:val="21"/>
                <w:szCs w:val="21"/>
              </w:rPr>
            </w:pPr>
          </w:p>
        </w:tc>
        <w:tc>
          <w:tcPr>
            <w:tcW w:w="571" w:type="dxa"/>
            <w:vMerge w:val="continue"/>
            <w:tcBorders>
              <w:top w:val="nil"/>
              <w:left w:val="single" w:color="000000" w:sz="4" w:space="0"/>
              <w:bottom w:val="single" w:color="000000" w:sz="4" w:space="0"/>
              <w:right w:val="single" w:color="000000" w:sz="4" w:space="0"/>
            </w:tcBorders>
          </w:tcPr>
          <w:p>
            <w:pPr>
              <w:rPr>
                <w:rStyle w:val="15"/>
                <w:sz w:val="21"/>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18"/>
              <w:rPr>
                <w:rStyle w:val="15"/>
                <w:sz w:val="21"/>
                <w:szCs w:val="21"/>
              </w:rPr>
            </w:pPr>
          </w:p>
          <w:p>
            <w:pPr>
              <w:pStyle w:val="18"/>
              <w:spacing w:before="9"/>
              <w:rPr>
                <w:rStyle w:val="15"/>
                <w:sz w:val="21"/>
                <w:szCs w:val="21"/>
              </w:rPr>
            </w:pPr>
          </w:p>
          <w:p>
            <w:pPr>
              <w:pStyle w:val="18"/>
              <w:ind w:left="127" w:right="102"/>
              <w:jc w:val="center"/>
              <w:rPr>
                <w:rStyle w:val="15"/>
                <w:sz w:val="21"/>
                <w:szCs w:val="21"/>
              </w:rPr>
            </w:pPr>
            <w:r>
              <w:rPr>
                <w:rStyle w:val="15"/>
                <w:sz w:val="21"/>
                <w:szCs w:val="21"/>
              </w:rPr>
              <w:t>垂直运输设备</w:t>
            </w:r>
          </w:p>
        </w:tc>
        <w:tc>
          <w:tcPr>
            <w:tcW w:w="7225" w:type="dxa"/>
            <w:tcBorders>
              <w:top w:val="single" w:color="000000" w:sz="4" w:space="0"/>
              <w:left w:val="single" w:color="000000" w:sz="4" w:space="0"/>
              <w:bottom w:val="single" w:color="000000" w:sz="4" w:space="0"/>
            </w:tcBorders>
          </w:tcPr>
          <w:p>
            <w:pPr>
              <w:pStyle w:val="18"/>
              <w:spacing w:before="10"/>
              <w:rPr>
                <w:rStyle w:val="15"/>
                <w:sz w:val="21"/>
                <w:szCs w:val="21"/>
              </w:rPr>
            </w:pPr>
          </w:p>
          <w:p>
            <w:pPr>
              <w:pStyle w:val="18"/>
              <w:numPr>
                <w:ilvl w:val="0"/>
                <w:numId w:val="34"/>
              </w:numPr>
              <w:tabs>
                <w:tab w:val="left" w:pos="433"/>
              </w:tabs>
              <w:spacing w:before="0" w:after="0" w:line="240" w:lineRule="auto"/>
              <w:ind w:left="118" w:right="0" w:firstLine="0"/>
              <w:jc w:val="left"/>
              <w:rPr>
                <w:rStyle w:val="15"/>
                <w:sz w:val="21"/>
                <w:szCs w:val="21"/>
              </w:rPr>
            </w:pPr>
            <w:r>
              <w:rPr>
                <w:rStyle w:val="15"/>
                <w:sz w:val="21"/>
                <w:szCs w:val="21"/>
              </w:rPr>
              <w:t>垂直运输设备检测、检验、日常维护、保养等。</w:t>
            </w:r>
          </w:p>
          <w:p>
            <w:pPr>
              <w:pStyle w:val="18"/>
              <w:numPr>
                <w:ilvl w:val="0"/>
                <w:numId w:val="34"/>
              </w:numPr>
              <w:tabs>
                <w:tab w:val="left" w:pos="433"/>
              </w:tabs>
              <w:spacing w:before="24" w:after="0" w:line="261" w:lineRule="auto"/>
              <w:ind w:left="118" w:right="52" w:firstLine="0"/>
              <w:jc w:val="left"/>
              <w:rPr>
                <w:rStyle w:val="15"/>
                <w:sz w:val="21"/>
                <w:szCs w:val="21"/>
              </w:rPr>
            </w:pPr>
            <w:r>
              <w:rPr>
                <w:rStyle w:val="15"/>
                <w:sz w:val="21"/>
                <w:szCs w:val="21"/>
              </w:rPr>
              <w:t>物料提升机、施工电梯等物料平台搭设、外侧用密目式安全立网全封闭，  有安全通道、安全防护门、防护棚等。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 w:hRule="atLeast"/>
        </w:trPr>
        <w:tc>
          <w:tcPr>
            <w:tcW w:w="802" w:type="dxa"/>
            <w:vMerge w:val="continue"/>
            <w:tcBorders>
              <w:top w:val="nil"/>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4"/>
              <w:ind w:left="504"/>
              <w:rPr>
                <w:rStyle w:val="15"/>
                <w:sz w:val="21"/>
                <w:szCs w:val="21"/>
              </w:rPr>
            </w:pPr>
            <w:r>
              <w:rPr>
                <w:rStyle w:val="15"/>
                <w:sz w:val="21"/>
                <w:szCs w:val="21"/>
              </w:rPr>
              <w:t>专家论证审查</w:t>
            </w:r>
          </w:p>
        </w:tc>
        <w:tc>
          <w:tcPr>
            <w:tcW w:w="7225" w:type="dxa"/>
            <w:tcBorders>
              <w:top w:val="single" w:color="000000" w:sz="4" w:space="0"/>
              <w:left w:val="single" w:color="000000" w:sz="4" w:space="0"/>
              <w:bottom w:val="single" w:color="000000" w:sz="4" w:space="0"/>
            </w:tcBorders>
          </w:tcPr>
          <w:p>
            <w:pPr>
              <w:pStyle w:val="18"/>
              <w:spacing w:before="4"/>
              <w:ind w:left="118"/>
              <w:rPr>
                <w:rStyle w:val="15"/>
                <w:sz w:val="21"/>
                <w:szCs w:val="21"/>
              </w:rPr>
            </w:pPr>
            <w:r>
              <w:rPr>
                <w:rStyle w:val="15"/>
                <w:sz w:val="21"/>
                <w:szCs w:val="21"/>
              </w:rPr>
              <w:t>超过一定规模的危险性较大分部分项工程专家论证审查。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9" w:hRule="atLeast"/>
        </w:trPr>
        <w:tc>
          <w:tcPr>
            <w:tcW w:w="802" w:type="dxa"/>
            <w:vMerge w:val="continue"/>
            <w:tcBorders>
              <w:top w:val="nil"/>
              <w:right w:val="single" w:color="000000" w:sz="4" w:space="0"/>
            </w:tcBorders>
          </w:tcPr>
          <w:p>
            <w:pPr>
              <w:rPr>
                <w:rStyle w:val="15"/>
                <w:sz w:val="21"/>
                <w:szCs w:val="21"/>
              </w:rPr>
            </w:pPr>
          </w:p>
        </w:tc>
        <w:tc>
          <w:tcPr>
            <w:tcW w:w="2251" w:type="dxa"/>
            <w:gridSpan w:val="2"/>
            <w:tcBorders>
              <w:top w:val="single" w:color="000000" w:sz="4" w:space="0"/>
              <w:left w:val="single" w:color="000000" w:sz="4" w:space="0"/>
              <w:bottom w:val="single" w:color="000000" w:sz="4" w:space="0"/>
              <w:right w:val="single" w:color="000000" w:sz="4" w:space="0"/>
            </w:tcBorders>
          </w:tcPr>
          <w:p>
            <w:pPr>
              <w:pStyle w:val="18"/>
              <w:spacing w:before="4"/>
              <w:ind w:left="504"/>
              <w:rPr>
                <w:rStyle w:val="15"/>
                <w:sz w:val="21"/>
                <w:szCs w:val="21"/>
              </w:rPr>
            </w:pPr>
            <w:r>
              <w:rPr>
                <w:rStyle w:val="15"/>
                <w:sz w:val="21"/>
                <w:szCs w:val="21"/>
              </w:rPr>
              <w:t>应急救援预案</w:t>
            </w:r>
          </w:p>
        </w:tc>
        <w:tc>
          <w:tcPr>
            <w:tcW w:w="7225" w:type="dxa"/>
            <w:tcBorders>
              <w:top w:val="single" w:color="000000" w:sz="4" w:space="0"/>
              <w:left w:val="single" w:color="000000" w:sz="4" w:space="0"/>
              <w:bottom w:val="single" w:color="000000" w:sz="4" w:space="0"/>
            </w:tcBorders>
          </w:tcPr>
          <w:p>
            <w:pPr>
              <w:pStyle w:val="18"/>
              <w:spacing w:before="4"/>
              <w:ind w:left="118"/>
              <w:rPr>
                <w:rStyle w:val="15"/>
                <w:sz w:val="21"/>
                <w:szCs w:val="21"/>
              </w:rPr>
            </w:pPr>
            <w:r>
              <w:rPr>
                <w:rStyle w:val="15"/>
                <w:sz w:val="21"/>
                <w:szCs w:val="21"/>
              </w:rPr>
              <w:t>救援器材准备及演练等。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802" w:type="dxa"/>
            <w:vMerge w:val="continue"/>
            <w:tcBorders>
              <w:top w:val="nil"/>
              <w:right w:val="single" w:color="000000" w:sz="4" w:space="0"/>
            </w:tcBorders>
          </w:tcPr>
          <w:p>
            <w:pPr>
              <w:rPr>
                <w:rStyle w:val="15"/>
                <w:sz w:val="21"/>
                <w:szCs w:val="21"/>
              </w:rPr>
            </w:pPr>
          </w:p>
        </w:tc>
        <w:tc>
          <w:tcPr>
            <w:tcW w:w="2251" w:type="dxa"/>
            <w:gridSpan w:val="2"/>
            <w:tcBorders>
              <w:top w:val="single" w:color="000000" w:sz="4" w:space="0"/>
              <w:left w:val="single" w:color="000000" w:sz="4" w:space="0"/>
              <w:right w:val="single" w:color="000000" w:sz="4" w:space="0"/>
            </w:tcBorders>
          </w:tcPr>
          <w:p>
            <w:pPr>
              <w:pStyle w:val="18"/>
              <w:spacing w:before="134"/>
              <w:ind w:left="398"/>
              <w:rPr>
                <w:rStyle w:val="15"/>
                <w:sz w:val="21"/>
                <w:szCs w:val="21"/>
              </w:rPr>
            </w:pPr>
            <w:r>
              <w:rPr>
                <w:rStyle w:val="15"/>
                <w:sz w:val="21"/>
                <w:szCs w:val="21"/>
              </w:rPr>
              <w:t>非正常情况施工</w:t>
            </w:r>
          </w:p>
        </w:tc>
        <w:tc>
          <w:tcPr>
            <w:tcW w:w="7225" w:type="dxa"/>
            <w:tcBorders>
              <w:top w:val="single" w:color="000000" w:sz="4" w:space="0"/>
              <w:left w:val="single" w:color="000000" w:sz="4" w:space="0"/>
            </w:tcBorders>
          </w:tcPr>
          <w:p>
            <w:pPr>
              <w:pStyle w:val="18"/>
              <w:spacing w:line="260" w:lineRule="exact"/>
              <w:ind w:left="118"/>
              <w:rPr>
                <w:rStyle w:val="15"/>
                <w:sz w:val="21"/>
                <w:szCs w:val="21"/>
              </w:rPr>
            </w:pPr>
            <w:r>
              <w:rPr>
                <w:rStyle w:val="15"/>
                <w:sz w:val="21"/>
                <w:szCs w:val="21"/>
              </w:rPr>
              <w:t>其它特殊情况下的防护费用，如：城市主干道、人流密集、河边等处施工及</w:t>
            </w:r>
          </w:p>
          <w:p>
            <w:pPr>
              <w:pStyle w:val="18"/>
              <w:spacing w:before="25"/>
              <w:ind w:left="118"/>
              <w:rPr>
                <w:rStyle w:val="15"/>
                <w:sz w:val="21"/>
                <w:szCs w:val="21"/>
              </w:rPr>
            </w:pPr>
            <w:r>
              <w:rPr>
                <w:rStyle w:val="15"/>
                <w:sz w:val="21"/>
                <w:szCs w:val="21"/>
              </w:rPr>
              <w:t>文物、古建筑、古树保护等。</w:t>
            </w:r>
          </w:p>
        </w:tc>
      </w:tr>
    </w:tbl>
    <w:p>
      <w:pPr>
        <w:pStyle w:val="3"/>
        <w:spacing w:before="77" w:line="348" w:lineRule="auto"/>
        <w:ind w:left="232" w:right="528"/>
        <w:rPr>
          <w:rStyle w:val="15"/>
        </w:rPr>
      </w:pPr>
      <w:r>
        <w:rPr>
          <w:rStyle w:val="15"/>
        </w:rPr>
        <w:t>注：本表所列建筑工程安全防护、文明施工措施项目，是依据现行法律法规及标准规范确定的。如法律法规和标准规范修订，本表所列项目应按照修订后的法律法规和标准规范进行调整。</w:t>
      </w:r>
    </w:p>
    <w:p>
      <w:pPr>
        <w:spacing w:after="0" w:line="348" w:lineRule="auto"/>
        <w:rPr>
          <w:rStyle w:val="15"/>
        </w:rPr>
        <w:sectPr>
          <w:pgSz w:w="11910" w:h="16840"/>
          <w:pgMar w:top="1000" w:right="740" w:bottom="760" w:left="620" w:header="808" w:footer="575" w:gutter="0"/>
          <w:pgNumType w:fmt="decimal"/>
        </w:sectPr>
      </w:pPr>
    </w:p>
    <w:p>
      <w:pPr>
        <w:pStyle w:val="3"/>
        <w:rPr>
          <w:sz w:val="20"/>
        </w:rPr>
      </w:pPr>
    </w:p>
    <w:p>
      <w:pPr>
        <w:pStyle w:val="3"/>
        <w:spacing w:before="7"/>
        <w:rPr>
          <w:sz w:val="18"/>
        </w:rPr>
      </w:pPr>
    </w:p>
    <w:p>
      <w:pPr>
        <w:pStyle w:val="8"/>
      </w:pPr>
      <w:r>
        <w:t>5.拟派往本项目项目经理的注册建造师执业资格证书、《安全</w:t>
      </w:r>
      <w:r>
        <w:rPr>
          <w:rFonts w:hint="eastAsia"/>
          <w:color w:val="auto"/>
          <w:lang w:eastAsia="zh-CN"/>
        </w:rPr>
        <w:t>生</w:t>
      </w:r>
      <w:r>
        <w:t>产考核合格证书》</w:t>
      </w:r>
    </w:p>
    <w:p>
      <w:pPr>
        <w:spacing w:before="34"/>
        <w:ind w:left="112" w:right="0" w:firstLine="0"/>
        <w:jc w:val="left"/>
        <w:rPr>
          <w:rFonts w:hint="eastAsia" w:ascii="黑体" w:eastAsia="黑体"/>
          <w:b/>
          <w:sz w:val="28"/>
        </w:rPr>
      </w:pPr>
      <w:r>
        <w:rPr>
          <w:rFonts w:hint="eastAsia" w:ascii="黑体" w:eastAsia="黑体"/>
          <w:b/>
          <w:sz w:val="28"/>
        </w:rPr>
        <w:t>（B 类）的复印件；</w:t>
      </w: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spacing w:before="8"/>
        <w:rPr>
          <w:rFonts w:ascii="黑体"/>
          <w:b/>
          <w:sz w:val="30"/>
        </w:rPr>
      </w:pPr>
    </w:p>
    <w:p>
      <w:pPr>
        <w:spacing w:before="0"/>
        <w:ind w:left="112" w:right="0" w:firstLine="0"/>
        <w:jc w:val="left"/>
        <w:rPr>
          <w:rFonts w:hint="eastAsia" w:ascii="黑体" w:eastAsia="黑体"/>
          <w:b/>
          <w:sz w:val="28"/>
        </w:rPr>
      </w:pPr>
      <w:r>
        <w:rPr>
          <w:rFonts w:hint="eastAsia" w:ascii="黑体" w:eastAsia="黑体"/>
          <w:b/>
          <w:sz w:val="28"/>
        </w:rPr>
        <w:t>6.拟派往本项目专职安全员的《安全</w:t>
      </w:r>
      <w:r>
        <w:rPr>
          <w:rFonts w:hint="eastAsia" w:ascii="黑体" w:eastAsia="黑体"/>
          <w:b/>
          <w:color w:val="auto"/>
          <w:sz w:val="28"/>
          <w:lang w:eastAsia="zh-CN"/>
        </w:rPr>
        <w:t>生</w:t>
      </w:r>
      <w:r>
        <w:rPr>
          <w:rFonts w:hint="eastAsia" w:ascii="黑体" w:eastAsia="黑体"/>
          <w:b/>
          <w:color w:val="auto"/>
          <w:sz w:val="28"/>
        </w:rPr>
        <w:t>产</w:t>
      </w:r>
      <w:r>
        <w:rPr>
          <w:rFonts w:hint="eastAsia" w:ascii="黑体" w:eastAsia="黑体"/>
          <w:b/>
          <w:sz w:val="28"/>
        </w:rPr>
        <w:t>考核合格证书》（C 类）的复印件</w:t>
      </w: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spacing w:before="10"/>
        <w:rPr>
          <w:rFonts w:ascii="黑体"/>
          <w:b/>
          <w:sz w:val="30"/>
        </w:rPr>
      </w:pPr>
    </w:p>
    <w:p>
      <w:pPr>
        <w:spacing w:before="0" w:line="261" w:lineRule="auto"/>
        <w:ind w:left="112" w:right="104" w:firstLine="0"/>
        <w:jc w:val="left"/>
        <w:rPr>
          <w:rFonts w:hint="eastAsia" w:ascii="黑体" w:eastAsia="黑体"/>
          <w:b/>
          <w:sz w:val="28"/>
        </w:rPr>
      </w:pPr>
      <w:r>
        <w:rPr>
          <w:rFonts w:hint="eastAsia" w:ascii="黑体" w:eastAsia="黑体"/>
          <w:b/>
          <w:sz w:val="28"/>
        </w:rPr>
        <w:t>7</w:t>
      </w:r>
      <w:r>
        <w:rPr>
          <w:rFonts w:hint="eastAsia" w:ascii="黑体" w:eastAsia="黑体"/>
          <w:b/>
          <w:spacing w:val="0"/>
          <w:sz w:val="28"/>
        </w:rPr>
        <w:t xml:space="preserve">. 授权委托代理人、项目经理、技术负责人和主要管理人员近 </w:t>
      </w:r>
      <w:r>
        <w:rPr>
          <w:rFonts w:hint="eastAsia" w:ascii="黑体" w:eastAsia="黑体"/>
          <w:b/>
          <w:sz w:val="28"/>
        </w:rPr>
        <w:t>3</w:t>
      </w:r>
      <w:r>
        <w:rPr>
          <w:rFonts w:hint="eastAsia" w:ascii="黑体" w:eastAsia="黑体"/>
          <w:b/>
          <w:spacing w:val="-16"/>
          <w:sz w:val="28"/>
        </w:rPr>
        <w:t xml:space="preserve"> 个月</w:t>
      </w:r>
      <w:r>
        <w:rPr>
          <w:rFonts w:hint="eastAsia" w:ascii="黑体" w:eastAsia="黑体"/>
          <w:b/>
          <w:sz w:val="28"/>
        </w:rPr>
        <w:t>（20</w:t>
      </w:r>
      <w:r>
        <w:rPr>
          <w:rFonts w:hint="eastAsia" w:ascii="黑体" w:eastAsia="黑体"/>
          <w:b/>
          <w:sz w:val="28"/>
          <w:lang w:val="en-US" w:eastAsia="zh-CN"/>
        </w:rPr>
        <w:t>20</w:t>
      </w:r>
      <w:r>
        <w:rPr>
          <w:rFonts w:hint="eastAsia" w:ascii="黑体" w:eastAsia="黑体"/>
          <w:b/>
          <w:spacing w:val="-40"/>
          <w:sz w:val="28"/>
        </w:rPr>
        <w:t xml:space="preserve"> 年 </w:t>
      </w:r>
      <w:r>
        <w:rPr>
          <w:rFonts w:hint="eastAsia" w:ascii="黑体" w:eastAsia="黑体"/>
          <w:b/>
          <w:sz w:val="28"/>
          <w:lang w:val="en-US" w:eastAsia="zh-CN"/>
        </w:rPr>
        <w:t>3</w:t>
      </w:r>
      <w:r>
        <w:rPr>
          <w:rFonts w:hint="eastAsia" w:ascii="黑体" w:eastAsia="黑体"/>
          <w:b/>
          <w:sz w:val="28"/>
        </w:rPr>
        <w:t xml:space="preserve"> </w:t>
      </w:r>
      <w:r>
        <w:rPr>
          <w:rFonts w:hint="eastAsia" w:ascii="黑体" w:eastAsia="黑体"/>
          <w:b/>
          <w:spacing w:val="-27"/>
          <w:sz w:val="28"/>
        </w:rPr>
        <w:t xml:space="preserve">月至 </w:t>
      </w:r>
      <w:r>
        <w:rPr>
          <w:rFonts w:hint="eastAsia" w:ascii="黑体" w:eastAsia="黑体"/>
          <w:b/>
          <w:sz w:val="28"/>
        </w:rPr>
        <w:t>20</w:t>
      </w:r>
      <w:r>
        <w:rPr>
          <w:rFonts w:hint="eastAsia" w:ascii="黑体" w:eastAsia="黑体"/>
          <w:b/>
          <w:sz w:val="28"/>
          <w:lang w:val="en-US" w:eastAsia="zh-CN"/>
        </w:rPr>
        <w:t>20</w:t>
      </w:r>
      <w:r>
        <w:rPr>
          <w:rFonts w:hint="eastAsia" w:ascii="黑体" w:eastAsia="黑体"/>
          <w:b/>
          <w:spacing w:val="-53"/>
          <w:sz w:val="28"/>
        </w:rPr>
        <w:t xml:space="preserve"> 年</w:t>
      </w:r>
      <w:r>
        <w:rPr>
          <w:rFonts w:hint="eastAsia" w:ascii="黑体" w:eastAsia="黑体"/>
          <w:b/>
          <w:spacing w:val="-53"/>
          <w:sz w:val="28"/>
          <w:lang w:val="en-US" w:eastAsia="zh-CN"/>
        </w:rPr>
        <w:t xml:space="preserve"> 5</w:t>
      </w:r>
      <w:r>
        <w:rPr>
          <w:rFonts w:hint="eastAsia" w:ascii="黑体" w:eastAsia="黑体"/>
          <w:b/>
          <w:spacing w:val="-39"/>
          <w:sz w:val="28"/>
        </w:rPr>
        <w:t xml:space="preserve"> 月</w:t>
      </w:r>
      <w:r>
        <w:rPr>
          <w:rFonts w:hint="eastAsia" w:ascii="黑体" w:eastAsia="黑体"/>
          <w:b/>
          <w:spacing w:val="-56"/>
          <w:sz w:val="28"/>
        </w:rPr>
        <w:t>）</w:t>
      </w:r>
      <w:r>
        <w:rPr>
          <w:rFonts w:hint="eastAsia" w:ascii="黑体" w:eastAsia="黑体"/>
          <w:b/>
          <w:sz w:val="28"/>
        </w:rPr>
        <w:t>在现任职单位依法缴纳社会保险的凭证及相关材料材料的复印件</w:t>
      </w: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28"/>
        </w:rPr>
      </w:pPr>
    </w:p>
    <w:p>
      <w:pPr>
        <w:pStyle w:val="3"/>
        <w:rPr>
          <w:rFonts w:ascii="黑体"/>
          <w:b/>
          <w:sz w:val="37"/>
        </w:rPr>
      </w:pPr>
    </w:p>
    <w:p>
      <w:pPr>
        <w:spacing w:before="0"/>
        <w:ind w:left="112" w:right="0" w:firstLine="0"/>
        <w:jc w:val="left"/>
        <w:rPr>
          <w:rFonts w:hint="eastAsia" w:ascii="黑体" w:eastAsia="黑体"/>
          <w:b/>
          <w:sz w:val="28"/>
        </w:rPr>
      </w:pPr>
      <w:r>
        <w:rPr>
          <w:rFonts w:hint="eastAsia" w:ascii="黑体" w:eastAsia="黑体"/>
          <w:b/>
          <w:w w:val="95"/>
          <w:sz w:val="28"/>
        </w:rPr>
        <w:t>8.资格审查需要的其他材料：</w:t>
      </w:r>
    </w:p>
    <w:p>
      <w:pPr>
        <w:spacing w:before="31"/>
        <w:ind w:left="112" w:right="0" w:firstLine="0"/>
        <w:jc w:val="left"/>
        <w:rPr>
          <w:rFonts w:hint="eastAsia" w:ascii="黑体" w:hAnsi="黑体" w:eastAsia="黑体"/>
          <w:b/>
          <w:sz w:val="28"/>
        </w:rPr>
      </w:pPr>
      <w:r>
        <w:rPr>
          <w:rFonts w:hint="eastAsia" w:ascii="黑体" w:hAnsi="黑体" w:eastAsia="黑体"/>
          <w:b/>
          <w:w w:val="95"/>
          <w:sz w:val="28"/>
        </w:rPr>
        <w:t>①拟派本项目项目管理机构配备表；</w:t>
      </w:r>
    </w:p>
    <w:p>
      <w:pPr>
        <w:spacing w:before="34"/>
        <w:ind w:left="112" w:right="0" w:firstLine="0"/>
        <w:jc w:val="left"/>
        <w:rPr>
          <w:rFonts w:hint="eastAsia" w:ascii="黑体" w:hAnsi="黑体" w:eastAsia="黑体"/>
          <w:b/>
          <w:sz w:val="28"/>
        </w:rPr>
      </w:pPr>
      <w:r>
        <w:rPr>
          <w:rFonts w:hint="eastAsia" w:ascii="黑体" w:hAnsi="黑体" w:eastAsia="黑体"/>
          <w:b/>
          <w:w w:val="95"/>
          <w:sz w:val="28"/>
        </w:rPr>
        <w:t>②企业法定代表人持有的</w:t>
      </w:r>
      <w:r>
        <w:rPr>
          <w:rFonts w:hint="eastAsia" w:ascii="黑体" w:hAnsi="黑体" w:eastAsia="黑体"/>
          <w:b/>
          <w:w w:val="95"/>
          <w:sz w:val="28"/>
          <w:lang w:eastAsia="zh-CN"/>
        </w:rPr>
        <w:t>建设部门或交通部门颁发的</w:t>
      </w:r>
      <w:r>
        <w:rPr>
          <w:rFonts w:hint="eastAsia" w:ascii="黑体" w:hAnsi="黑体" w:eastAsia="黑体"/>
          <w:b/>
          <w:w w:val="95"/>
          <w:sz w:val="28"/>
        </w:rPr>
        <w:t>有效的</w:t>
      </w:r>
      <w:r>
        <w:rPr>
          <w:rFonts w:hint="eastAsia" w:ascii="黑体" w:hAnsi="黑体" w:eastAsia="黑体"/>
          <w:b/>
          <w:w w:val="95"/>
          <w:sz w:val="28"/>
          <w:lang w:eastAsia="zh-CN"/>
        </w:rPr>
        <w:t>（</w:t>
      </w:r>
      <w:r>
        <w:rPr>
          <w:rFonts w:hint="eastAsia" w:ascii="黑体" w:hAnsi="黑体" w:eastAsia="黑体"/>
          <w:b/>
          <w:w w:val="95"/>
          <w:sz w:val="28"/>
        </w:rPr>
        <w:t>安全生产考核合格证书</w:t>
      </w:r>
      <w:r>
        <w:rPr>
          <w:rFonts w:hint="eastAsia" w:ascii="黑体" w:hAnsi="黑体" w:eastAsia="黑体"/>
          <w:b/>
          <w:w w:val="95"/>
          <w:sz w:val="28"/>
          <w:lang w:eastAsia="zh-CN"/>
        </w:rPr>
        <w:t>）</w:t>
      </w:r>
      <w:r>
        <w:rPr>
          <w:rFonts w:hint="eastAsia" w:ascii="黑体" w:hAnsi="黑体" w:eastAsia="黑体"/>
          <w:b/>
          <w:w w:val="95"/>
          <w:sz w:val="28"/>
        </w:rPr>
        <w:t>复印件；</w:t>
      </w:r>
    </w:p>
    <w:p>
      <w:pPr>
        <w:spacing w:before="34"/>
        <w:ind w:left="112" w:right="0" w:firstLine="0"/>
        <w:jc w:val="left"/>
        <w:rPr>
          <w:rFonts w:hint="eastAsia" w:ascii="黑体" w:hAnsi="黑体" w:eastAsia="黑体"/>
          <w:b/>
          <w:sz w:val="28"/>
        </w:rPr>
      </w:pPr>
      <w:r>
        <w:rPr>
          <w:rFonts w:hint="eastAsia" w:ascii="黑体" w:hAnsi="黑体" w:eastAsia="黑体"/>
          <w:b/>
          <w:w w:val="95"/>
          <w:sz w:val="28"/>
        </w:rPr>
        <w:t>③拟投入施工机械设备情况表；</w:t>
      </w:r>
    </w:p>
    <w:p>
      <w:pPr>
        <w:spacing w:before="31"/>
        <w:ind w:left="112" w:right="0" w:firstLine="0"/>
        <w:jc w:val="left"/>
        <w:rPr>
          <w:rFonts w:hint="eastAsia" w:ascii="黑体" w:hAnsi="黑体" w:eastAsia="黑体"/>
          <w:b/>
          <w:sz w:val="28"/>
        </w:rPr>
      </w:pPr>
      <w:r>
        <w:rPr>
          <w:rFonts w:hint="eastAsia" w:ascii="黑体" w:hAnsi="黑体" w:eastAsia="黑体"/>
          <w:b/>
          <w:w w:val="95"/>
          <w:sz w:val="28"/>
        </w:rPr>
        <w:t>④企业考核期内已完成类似项目一览表（如有）；</w:t>
      </w:r>
    </w:p>
    <w:p>
      <w:pPr>
        <w:spacing w:before="33"/>
        <w:ind w:left="112" w:right="0" w:firstLine="0"/>
        <w:jc w:val="left"/>
        <w:rPr>
          <w:rFonts w:hint="eastAsia" w:ascii="黑体" w:hAnsi="黑体" w:eastAsia="黑体"/>
          <w:b/>
          <w:sz w:val="28"/>
        </w:rPr>
      </w:pPr>
      <w:r>
        <w:rPr>
          <w:rFonts w:hint="eastAsia" w:ascii="黑体" w:hAnsi="黑体" w:eastAsia="黑体"/>
          <w:b/>
          <w:w w:val="95"/>
          <w:sz w:val="28"/>
        </w:rPr>
        <w:t>⑤企业考核期内财务状况表；</w:t>
      </w:r>
    </w:p>
    <w:p>
      <w:pPr>
        <w:spacing w:before="33"/>
        <w:ind w:left="112" w:right="0" w:firstLine="0"/>
        <w:jc w:val="left"/>
        <w:rPr>
          <w:rFonts w:hint="eastAsia" w:ascii="黑体" w:hAnsi="黑体" w:eastAsia="黑体"/>
          <w:b/>
          <w:sz w:val="28"/>
        </w:rPr>
      </w:pPr>
      <w:r>
        <w:rPr>
          <w:rFonts w:hint="eastAsia" w:ascii="黑体" w:hAnsi="黑体" w:eastAsia="黑体"/>
          <w:b/>
          <w:w w:val="95"/>
          <w:sz w:val="28"/>
        </w:rPr>
        <w:t>⑥企业考核期内发</w:t>
      </w:r>
      <w:r>
        <w:rPr>
          <w:rFonts w:hint="eastAsia" w:ascii="黑体" w:hAnsi="黑体" w:eastAsia="黑体"/>
          <w:b/>
          <w:color w:val="auto"/>
          <w:w w:val="95"/>
          <w:sz w:val="28"/>
          <w:lang w:eastAsia="zh-CN"/>
        </w:rPr>
        <w:t>生</w:t>
      </w:r>
      <w:r>
        <w:rPr>
          <w:rFonts w:hint="eastAsia" w:ascii="黑体" w:hAnsi="黑体" w:eastAsia="黑体"/>
          <w:b/>
          <w:w w:val="95"/>
          <w:sz w:val="28"/>
        </w:rPr>
        <w:t>的诉讼和仲裁情况（如有）。</w:t>
      </w:r>
    </w:p>
    <w:p>
      <w:pPr>
        <w:spacing w:after="0"/>
        <w:jc w:val="left"/>
        <w:rPr>
          <w:rFonts w:hint="eastAsia" w:ascii="黑体" w:hAnsi="黑体" w:eastAsia="黑体"/>
          <w:sz w:val="28"/>
        </w:rPr>
        <w:sectPr>
          <w:pgSz w:w="11910" w:h="16840"/>
          <w:pgMar w:top="1000" w:right="740" w:bottom="760" w:left="740" w:header="808" w:footer="575" w:gutter="0"/>
          <w:pgNumType w:fmt="decimal"/>
        </w:sectPr>
      </w:pPr>
    </w:p>
    <w:p>
      <w:pPr>
        <w:pStyle w:val="3"/>
        <w:spacing w:before="1"/>
        <w:rPr>
          <w:rFonts w:ascii="黑体"/>
          <w:b/>
          <w:sz w:val="8"/>
        </w:rPr>
      </w:pPr>
    </w:p>
    <w:p>
      <w:pPr>
        <w:spacing w:before="14"/>
        <w:ind w:left="132" w:right="0" w:firstLine="0"/>
        <w:jc w:val="left"/>
        <w:rPr>
          <w:rFonts w:hint="eastAsia" w:ascii="黑体" w:hAnsi="黑体" w:eastAsia="黑体"/>
          <w:b/>
          <w:sz w:val="28"/>
        </w:rPr>
      </w:pPr>
      <w:r>
        <w:rPr>
          <w:rFonts w:hint="eastAsia" w:ascii="黑体" w:hAnsi="黑体" w:eastAsia="黑体"/>
          <w:b/>
          <w:w w:val="95"/>
          <w:sz w:val="28"/>
        </w:rPr>
        <w:t>8-①拟派本项目项目管理机构配备表（格式）</w:t>
      </w:r>
    </w:p>
    <w:p>
      <w:pPr>
        <w:pStyle w:val="3"/>
        <w:spacing w:before="3"/>
        <w:rPr>
          <w:rFonts w:ascii="黑体"/>
          <w:b/>
          <w:sz w:val="39"/>
        </w:rPr>
      </w:pPr>
    </w:p>
    <w:p>
      <w:pPr>
        <w:pStyle w:val="9"/>
        <w:spacing w:before="0" w:after="49"/>
        <w:ind w:left="3819" w:right="3710" w:rightChars="0"/>
        <w:jc w:val="center"/>
        <w:rPr>
          <w:rStyle w:val="15"/>
          <w:sz w:val="21"/>
          <w:szCs w:val="21"/>
        </w:rPr>
      </w:pPr>
      <w:r>
        <w:rPr>
          <w:rStyle w:val="15"/>
          <w:sz w:val="21"/>
          <w:szCs w:val="21"/>
        </w:rPr>
        <w:t>拟派本项目项目管理机构配备表</w:t>
      </w:r>
    </w:p>
    <w:tbl>
      <w:tblPr>
        <w:tblStyle w:val="14"/>
        <w:tblW w:w="1023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700"/>
        <w:gridCol w:w="686"/>
        <w:gridCol w:w="1134"/>
        <w:gridCol w:w="709"/>
        <w:gridCol w:w="709"/>
        <w:gridCol w:w="816"/>
        <w:gridCol w:w="1026"/>
        <w:gridCol w:w="1613"/>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vMerge w:val="restart"/>
          </w:tcPr>
          <w:p>
            <w:pPr>
              <w:pStyle w:val="18"/>
              <w:spacing w:before="5"/>
              <w:rPr>
                <w:rStyle w:val="15"/>
                <w:sz w:val="21"/>
                <w:szCs w:val="21"/>
              </w:rPr>
            </w:pPr>
          </w:p>
          <w:p>
            <w:pPr>
              <w:pStyle w:val="18"/>
              <w:ind w:left="229" w:right="224"/>
              <w:jc w:val="center"/>
              <w:rPr>
                <w:rStyle w:val="15"/>
                <w:sz w:val="21"/>
                <w:szCs w:val="21"/>
              </w:rPr>
            </w:pPr>
            <w:r>
              <w:rPr>
                <w:rStyle w:val="15"/>
                <w:sz w:val="21"/>
                <w:szCs w:val="21"/>
              </w:rPr>
              <w:t>岗位</w:t>
            </w:r>
          </w:p>
        </w:tc>
        <w:tc>
          <w:tcPr>
            <w:tcW w:w="700" w:type="dxa"/>
            <w:vMerge w:val="restart"/>
          </w:tcPr>
          <w:p>
            <w:pPr>
              <w:pStyle w:val="18"/>
              <w:spacing w:before="40" w:line="261" w:lineRule="auto"/>
              <w:ind w:left="244" w:right="234"/>
              <w:jc w:val="center"/>
              <w:rPr>
                <w:rStyle w:val="15"/>
                <w:sz w:val="21"/>
                <w:szCs w:val="21"/>
              </w:rPr>
            </w:pPr>
            <w:r>
              <w:rPr>
                <w:rStyle w:val="15"/>
                <w:sz w:val="21"/>
                <w:szCs w:val="21"/>
              </w:rPr>
              <w:t>姓名</w:t>
            </w:r>
          </w:p>
        </w:tc>
        <w:tc>
          <w:tcPr>
            <w:tcW w:w="686" w:type="dxa"/>
            <w:vMerge w:val="restart"/>
          </w:tcPr>
          <w:p>
            <w:pPr>
              <w:pStyle w:val="18"/>
              <w:spacing w:before="40" w:line="261" w:lineRule="auto"/>
              <w:ind w:left="238" w:right="226"/>
              <w:jc w:val="center"/>
              <w:rPr>
                <w:rStyle w:val="15"/>
                <w:sz w:val="21"/>
                <w:szCs w:val="21"/>
              </w:rPr>
            </w:pPr>
            <w:r>
              <w:rPr>
                <w:rStyle w:val="15"/>
                <w:sz w:val="21"/>
                <w:szCs w:val="21"/>
              </w:rPr>
              <w:t>职称</w:t>
            </w:r>
          </w:p>
        </w:tc>
        <w:tc>
          <w:tcPr>
            <w:tcW w:w="3368" w:type="dxa"/>
            <w:gridSpan w:val="4"/>
          </w:tcPr>
          <w:p>
            <w:pPr>
              <w:pStyle w:val="18"/>
              <w:spacing w:before="16"/>
              <w:ind w:left="737"/>
              <w:rPr>
                <w:rStyle w:val="15"/>
                <w:sz w:val="21"/>
                <w:szCs w:val="21"/>
              </w:rPr>
            </w:pPr>
            <w:r>
              <w:rPr>
                <w:rStyle w:val="15"/>
                <w:sz w:val="21"/>
                <w:szCs w:val="21"/>
              </w:rPr>
              <w:t>执业或职业资格证明</w:t>
            </w:r>
          </w:p>
        </w:tc>
        <w:tc>
          <w:tcPr>
            <w:tcW w:w="2639" w:type="dxa"/>
            <w:gridSpan w:val="2"/>
          </w:tcPr>
          <w:p>
            <w:pPr>
              <w:pStyle w:val="18"/>
              <w:spacing w:before="16"/>
              <w:ind w:left="477"/>
              <w:rPr>
                <w:rStyle w:val="15"/>
                <w:sz w:val="21"/>
                <w:szCs w:val="21"/>
              </w:rPr>
            </w:pPr>
            <w:r>
              <w:rPr>
                <w:rStyle w:val="15"/>
                <w:sz w:val="21"/>
                <w:szCs w:val="21"/>
              </w:rPr>
              <w:t>承担完工工程情况</w:t>
            </w:r>
          </w:p>
        </w:tc>
        <w:tc>
          <w:tcPr>
            <w:tcW w:w="1336" w:type="dxa"/>
            <w:vMerge w:val="restart"/>
          </w:tcPr>
          <w:p>
            <w:pPr>
              <w:pStyle w:val="18"/>
              <w:spacing w:before="40" w:line="261" w:lineRule="auto"/>
              <w:ind w:left="142" w:right="132"/>
              <w:rPr>
                <w:rStyle w:val="15"/>
                <w:sz w:val="21"/>
                <w:szCs w:val="21"/>
              </w:rPr>
            </w:pPr>
            <w:r>
              <w:rPr>
                <w:rStyle w:val="15"/>
                <w:sz w:val="21"/>
                <w:szCs w:val="21"/>
              </w:rPr>
              <w:t>对应投标文件所在页码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vMerge w:val="continue"/>
            <w:tcBorders>
              <w:top w:val="nil"/>
            </w:tcBorders>
          </w:tcPr>
          <w:p>
            <w:pPr>
              <w:rPr>
                <w:rStyle w:val="15"/>
                <w:sz w:val="21"/>
                <w:szCs w:val="21"/>
              </w:rPr>
            </w:pPr>
          </w:p>
        </w:tc>
        <w:tc>
          <w:tcPr>
            <w:tcW w:w="700" w:type="dxa"/>
            <w:vMerge w:val="continue"/>
            <w:tcBorders>
              <w:top w:val="nil"/>
            </w:tcBorders>
          </w:tcPr>
          <w:p>
            <w:pPr>
              <w:rPr>
                <w:rStyle w:val="15"/>
                <w:sz w:val="21"/>
                <w:szCs w:val="21"/>
              </w:rPr>
            </w:pPr>
          </w:p>
        </w:tc>
        <w:tc>
          <w:tcPr>
            <w:tcW w:w="686" w:type="dxa"/>
            <w:vMerge w:val="continue"/>
            <w:tcBorders>
              <w:top w:val="nil"/>
            </w:tcBorders>
          </w:tcPr>
          <w:p>
            <w:pPr>
              <w:rPr>
                <w:rStyle w:val="15"/>
                <w:sz w:val="21"/>
                <w:szCs w:val="21"/>
              </w:rPr>
            </w:pPr>
          </w:p>
        </w:tc>
        <w:tc>
          <w:tcPr>
            <w:tcW w:w="1134" w:type="dxa"/>
          </w:tcPr>
          <w:p>
            <w:pPr>
              <w:pStyle w:val="18"/>
              <w:spacing w:before="14"/>
              <w:ind w:left="147"/>
              <w:rPr>
                <w:rStyle w:val="15"/>
                <w:sz w:val="21"/>
                <w:szCs w:val="21"/>
              </w:rPr>
            </w:pPr>
            <w:r>
              <w:rPr>
                <w:rStyle w:val="15"/>
                <w:sz w:val="21"/>
                <w:szCs w:val="21"/>
              </w:rPr>
              <w:t>证书名称</w:t>
            </w:r>
          </w:p>
        </w:tc>
        <w:tc>
          <w:tcPr>
            <w:tcW w:w="709" w:type="dxa"/>
          </w:tcPr>
          <w:p>
            <w:pPr>
              <w:pStyle w:val="18"/>
              <w:spacing w:before="14"/>
              <w:ind w:left="143"/>
              <w:rPr>
                <w:rStyle w:val="15"/>
                <w:sz w:val="21"/>
                <w:szCs w:val="21"/>
              </w:rPr>
            </w:pPr>
            <w:r>
              <w:rPr>
                <w:rStyle w:val="15"/>
                <w:sz w:val="21"/>
                <w:szCs w:val="21"/>
              </w:rPr>
              <w:t>级别</w:t>
            </w:r>
          </w:p>
        </w:tc>
        <w:tc>
          <w:tcPr>
            <w:tcW w:w="709" w:type="dxa"/>
          </w:tcPr>
          <w:p>
            <w:pPr>
              <w:pStyle w:val="18"/>
              <w:spacing w:before="14"/>
              <w:ind w:left="142"/>
              <w:rPr>
                <w:rStyle w:val="15"/>
                <w:sz w:val="21"/>
                <w:szCs w:val="21"/>
              </w:rPr>
            </w:pPr>
            <w:r>
              <w:rPr>
                <w:rStyle w:val="15"/>
                <w:sz w:val="21"/>
                <w:szCs w:val="21"/>
              </w:rPr>
              <w:t>证号</w:t>
            </w:r>
          </w:p>
        </w:tc>
        <w:tc>
          <w:tcPr>
            <w:tcW w:w="816" w:type="dxa"/>
          </w:tcPr>
          <w:p>
            <w:pPr>
              <w:pStyle w:val="18"/>
              <w:spacing w:before="14"/>
              <w:ind w:left="196"/>
              <w:rPr>
                <w:rStyle w:val="15"/>
                <w:sz w:val="21"/>
                <w:szCs w:val="21"/>
              </w:rPr>
            </w:pPr>
            <w:r>
              <w:rPr>
                <w:rStyle w:val="15"/>
                <w:sz w:val="21"/>
                <w:szCs w:val="21"/>
              </w:rPr>
              <w:t>专业</w:t>
            </w:r>
          </w:p>
        </w:tc>
        <w:tc>
          <w:tcPr>
            <w:tcW w:w="1026" w:type="dxa"/>
          </w:tcPr>
          <w:p>
            <w:pPr>
              <w:pStyle w:val="18"/>
              <w:spacing w:before="14"/>
              <w:ind w:left="196"/>
              <w:rPr>
                <w:rStyle w:val="15"/>
                <w:sz w:val="21"/>
                <w:szCs w:val="21"/>
              </w:rPr>
            </w:pPr>
            <w:r>
              <w:rPr>
                <w:rStyle w:val="15"/>
                <w:sz w:val="21"/>
                <w:szCs w:val="21"/>
              </w:rPr>
              <w:t>项目数</w:t>
            </w:r>
          </w:p>
        </w:tc>
        <w:tc>
          <w:tcPr>
            <w:tcW w:w="1613" w:type="dxa"/>
          </w:tcPr>
          <w:p>
            <w:pPr>
              <w:pStyle w:val="18"/>
              <w:spacing w:before="14"/>
              <w:ind w:left="176"/>
              <w:rPr>
                <w:rStyle w:val="15"/>
                <w:sz w:val="21"/>
                <w:szCs w:val="21"/>
              </w:rPr>
            </w:pPr>
            <w:r>
              <w:rPr>
                <w:rStyle w:val="15"/>
                <w:sz w:val="21"/>
                <w:szCs w:val="21"/>
              </w:rPr>
              <w:t>主要项目名称</w:t>
            </w:r>
          </w:p>
        </w:tc>
        <w:tc>
          <w:tcPr>
            <w:tcW w:w="1336" w:type="dxa"/>
            <w:vMerge w:val="continue"/>
            <w:tcBorders>
              <w:top w:val="nil"/>
            </w:tcBorders>
          </w:tcPr>
          <w:p>
            <w:pPr>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503" w:type="dxa"/>
          </w:tcPr>
          <w:p>
            <w:pPr>
              <w:pStyle w:val="18"/>
              <w:spacing w:before="16"/>
              <w:ind w:left="231" w:right="224"/>
              <w:jc w:val="center"/>
              <w:rPr>
                <w:rStyle w:val="15"/>
                <w:sz w:val="21"/>
                <w:szCs w:val="21"/>
              </w:rPr>
            </w:pPr>
            <w:r>
              <w:rPr>
                <w:rStyle w:val="15"/>
                <w:sz w:val="21"/>
                <w:szCs w:val="21"/>
              </w:rPr>
              <w:t>项目经理</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5"/>
              <w:ind w:left="231" w:right="224"/>
              <w:jc w:val="center"/>
              <w:rPr>
                <w:rStyle w:val="15"/>
                <w:sz w:val="21"/>
                <w:szCs w:val="21"/>
              </w:rPr>
            </w:pPr>
            <w:r>
              <w:rPr>
                <w:rStyle w:val="15"/>
                <w:sz w:val="21"/>
                <w:szCs w:val="21"/>
              </w:rPr>
              <w:t>技术负责人</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5"/>
              <w:ind w:left="229" w:right="224"/>
              <w:jc w:val="center"/>
              <w:rPr>
                <w:rStyle w:val="15"/>
                <w:sz w:val="21"/>
                <w:szCs w:val="21"/>
              </w:rPr>
            </w:pPr>
            <w:r>
              <w:rPr>
                <w:rStyle w:val="15"/>
                <w:sz w:val="21"/>
                <w:szCs w:val="21"/>
              </w:rPr>
              <w:t>施工员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6"/>
              <w:ind w:left="229" w:right="224"/>
              <w:jc w:val="center"/>
              <w:rPr>
                <w:rStyle w:val="15"/>
                <w:sz w:val="21"/>
                <w:szCs w:val="21"/>
              </w:rPr>
            </w:pPr>
            <w:r>
              <w:rPr>
                <w:rStyle w:val="15"/>
                <w:sz w:val="21"/>
                <w:szCs w:val="21"/>
              </w:rPr>
              <w:t>质检员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4"/>
              <w:ind w:left="229" w:right="224"/>
              <w:jc w:val="center"/>
              <w:rPr>
                <w:rStyle w:val="15"/>
                <w:sz w:val="21"/>
                <w:szCs w:val="21"/>
              </w:rPr>
            </w:pPr>
            <w:r>
              <w:rPr>
                <w:rStyle w:val="15"/>
                <w:sz w:val="21"/>
                <w:szCs w:val="21"/>
              </w:rPr>
              <w:t>安全员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4"/>
              <w:ind w:left="229" w:right="224"/>
              <w:jc w:val="center"/>
              <w:rPr>
                <w:rStyle w:val="15"/>
                <w:sz w:val="21"/>
                <w:szCs w:val="21"/>
              </w:rPr>
            </w:pPr>
            <w:r>
              <w:rPr>
                <w:rStyle w:val="15"/>
                <w:sz w:val="21"/>
                <w:szCs w:val="21"/>
              </w:rPr>
              <w:t>材料员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4"/>
              <w:ind w:left="229" w:right="224"/>
              <w:jc w:val="center"/>
              <w:rPr>
                <w:rStyle w:val="15"/>
                <w:sz w:val="21"/>
                <w:szCs w:val="21"/>
              </w:rPr>
            </w:pPr>
            <w:r>
              <w:rPr>
                <w:rStyle w:val="15"/>
                <w:sz w:val="21"/>
                <w:szCs w:val="21"/>
              </w:rPr>
              <w:t>资料员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5"/>
              <w:ind w:left="229" w:right="224"/>
              <w:jc w:val="center"/>
              <w:rPr>
                <w:rStyle w:val="15"/>
                <w:sz w:val="21"/>
                <w:szCs w:val="21"/>
              </w:rPr>
            </w:pPr>
            <w:r>
              <w:rPr>
                <w:rStyle w:val="15"/>
                <w:sz w:val="21"/>
                <w:szCs w:val="21"/>
              </w:rPr>
              <w:t>……</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232" w:type="dxa"/>
            <w:gridSpan w:val="10"/>
          </w:tcPr>
          <w:p>
            <w:pPr>
              <w:pStyle w:val="18"/>
              <w:spacing w:line="269" w:lineRule="exact"/>
              <w:ind w:left="108" w:right="-15"/>
              <w:rPr>
                <w:rStyle w:val="15"/>
                <w:sz w:val="21"/>
                <w:szCs w:val="21"/>
              </w:rPr>
            </w:pPr>
            <w:r>
              <w:rPr>
                <w:rStyle w:val="15"/>
                <w:sz w:val="21"/>
                <w:szCs w:val="21"/>
              </w:rPr>
              <w:t>一旦我单位中标，将实行项目经理负责制，我方保证并配备上述项目管理机构。上述填报内容真实，若不真实，</w:t>
            </w:r>
          </w:p>
          <w:p>
            <w:pPr>
              <w:pStyle w:val="18"/>
              <w:spacing w:before="25"/>
              <w:ind w:left="108"/>
              <w:rPr>
                <w:rStyle w:val="15"/>
                <w:sz w:val="21"/>
                <w:szCs w:val="21"/>
              </w:rPr>
            </w:pPr>
            <w:r>
              <w:rPr>
                <w:rStyle w:val="15"/>
                <w:sz w:val="21"/>
                <w:szCs w:val="21"/>
              </w:rPr>
              <w:t>愿按有关规定接受处理。项目管理班子机构设置、职责分工等情况另附资料说明。</w:t>
            </w:r>
          </w:p>
        </w:tc>
      </w:tr>
    </w:tbl>
    <w:p>
      <w:pPr>
        <w:pStyle w:val="3"/>
        <w:spacing w:before="75"/>
        <w:ind w:left="552"/>
        <w:rPr>
          <w:rStyle w:val="15"/>
        </w:rPr>
      </w:pPr>
      <w:r>
        <w:rPr>
          <w:rStyle w:val="15"/>
        </w:rPr>
        <w:t>备注：</w:t>
      </w:r>
    </w:p>
    <w:p>
      <w:pPr>
        <w:pStyle w:val="3"/>
        <w:spacing w:before="125" w:line="348" w:lineRule="auto"/>
        <w:ind w:left="132" w:right="105" w:firstLine="420"/>
        <w:rPr>
          <w:rStyle w:val="15"/>
        </w:rPr>
      </w:pPr>
      <w:r>
        <w:rPr>
          <w:rStyle w:val="15"/>
        </w:rPr>
        <w:t>1.附项目经理（注册建造师）、专职安全员外各岗位人员资格证件（执业资格岗位证书、职称证（若有）、   学历证（若有））材料的复印件，以及投标人认为需要增加的其他证明材料复印件。以上复印件均须加盖投标人单位公章。</w:t>
      </w:r>
    </w:p>
    <w:p>
      <w:pPr>
        <w:pStyle w:val="3"/>
        <w:spacing w:before="31" w:line="348" w:lineRule="auto"/>
        <w:ind w:left="132" w:right="185" w:firstLine="420"/>
        <w:jc w:val="both"/>
        <w:rPr>
          <w:rStyle w:val="15"/>
        </w:rPr>
      </w:pPr>
      <w:r>
        <w:rPr>
          <w:rStyle w:val="15"/>
        </w:rPr>
        <w:t>2.项目经理（注册建造师）、技术负责人（项目总工）外各岗位人员有类似经验的，应附证明材料（中标通知书和项目竣工验收证明材料）反映该项目系由该人员管理承建，所提供材料须能清晰反映签订合同的①合同时限、②合同内容、③合同金额等与本次招标要求相符的因素，所提供材料不能清晰反映的均作无效材料处理。</w:t>
      </w:r>
    </w:p>
    <w:p>
      <w:pPr>
        <w:spacing w:after="0" w:line="348" w:lineRule="auto"/>
        <w:jc w:val="both"/>
        <w:rPr>
          <w:rStyle w:val="15"/>
        </w:rPr>
        <w:sectPr>
          <w:pgSz w:w="11910" w:h="16840"/>
          <w:pgMar w:top="1000" w:right="660" w:bottom="760" w:left="720" w:header="808" w:footer="575" w:gutter="0"/>
          <w:pgNumType w:fmt="decimal"/>
        </w:sectPr>
      </w:pPr>
    </w:p>
    <w:p>
      <w:pPr>
        <w:pStyle w:val="3"/>
        <w:spacing w:before="1"/>
        <w:rPr>
          <w:b/>
          <w:sz w:val="8"/>
        </w:rPr>
      </w:pPr>
    </w:p>
    <w:p>
      <w:pPr>
        <w:pStyle w:val="8"/>
        <w:rPr>
          <w:color w:val="auto"/>
        </w:rPr>
      </w:pPr>
      <w:r>
        <w:rPr>
          <w:w w:val="95"/>
        </w:rPr>
        <w:t>8-②</w:t>
      </w:r>
      <w:r>
        <w:rPr>
          <w:color w:val="auto"/>
          <w:w w:val="95"/>
        </w:rPr>
        <w:t>企业法定代表人持有的</w:t>
      </w:r>
      <w:r>
        <w:rPr>
          <w:rFonts w:hint="eastAsia"/>
          <w:color w:val="auto"/>
          <w:w w:val="95"/>
          <w:lang w:eastAsia="zh-CN"/>
        </w:rPr>
        <w:t>建设部门或交通部门颁发的</w:t>
      </w:r>
      <w:r>
        <w:rPr>
          <w:color w:val="auto"/>
          <w:w w:val="95"/>
        </w:rPr>
        <w:t>有效的安全生产考核合格证书的复印件</w:t>
      </w:r>
    </w:p>
    <w:p>
      <w:pPr>
        <w:spacing w:after="0"/>
        <w:rPr>
          <w:color w:val="auto"/>
        </w:rPr>
        <w:sectPr>
          <w:footerReference r:id="rId14" w:type="default"/>
          <w:pgSz w:w="11910" w:h="16840"/>
          <w:pgMar w:top="1000" w:right="740" w:bottom="760" w:left="740" w:header="808" w:footer="575" w:gutter="0"/>
          <w:pgNumType w:fmt="decimal"/>
        </w:sectPr>
      </w:pPr>
    </w:p>
    <w:p>
      <w:pPr>
        <w:pStyle w:val="3"/>
        <w:spacing w:before="1"/>
        <w:rPr>
          <w:rFonts w:ascii="黑体"/>
          <w:b/>
          <w:sz w:val="8"/>
        </w:rPr>
      </w:pPr>
    </w:p>
    <w:p>
      <w:pPr>
        <w:spacing w:before="14"/>
        <w:ind w:left="112" w:right="0" w:firstLine="0"/>
        <w:jc w:val="left"/>
        <w:rPr>
          <w:rFonts w:hint="eastAsia" w:ascii="黑体" w:hAnsi="黑体" w:eastAsia="黑体"/>
          <w:b/>
          <w:sz w:val="28"/>
        </w:rPr>
      </w:pPr>
      <w:r>
        <w:rPr>
          <w:rFonts w:hint="eastAsia" w:ascii="黑体" w:hAnsi="黑体" w:eastAsia="黑体"/>
          <w:b/>
          <w:w w:val="95"/>
          <w:sz w:val="28"/>
        </w:rPr>
        <w:t>8-③拟投入施工机械设备情况表（格式自拟）</w:t>
      </w:r>
    </w:p>
    <w:p>
      <w:pPr>
        <w:spacing w:after="0"/>
        <w:jc w:val="left"/>
        <w:rPr>
          <w:rFonts w:hint="eastAsia" w:ascii="黑体" w:hAnsi="黑体" w:eastAsia="黑体"/>
          <w:sz w:val="28"/>
        </w:rPr>
        <w:sectPr>
          <w:pgSz w:w="11910" w:h="16840"/>
          <w:pgMar w:top="1000" w:right="740" w:bottom="760" w:left="740" w:header="808" w:footer="575" w:gutter="0"/>
          <w:pgNumType w:fmt="decimal"/>
        </w:sectPr>
      </w:pPr>
    </w:p>
    <w:p>
      <w:pPr>
        <w:pStyle w:val="3"/>
        <w:spacing w:before="1"/>
        <w:rPr>
          <w:rFonts w:ascii="黑体"/>
          <w:b/>
          <w:sz w:val="8"/>
        </w:rPr>
      </w:pPr>
    </w:p>
    <w:p>
      <w:pPr>
        <w:spacing w:before="14"/>
        <w:ind w:left="112" w:right="0" w:firstLine="0"/>
        <w:jc w:val="left"/>
        <w:rPr>
          <w:rFonts w:hint="eastAsia" w:ascii="黑体" w:hAnsi="黑体" w:eastAsia="黑体"/>
          <w:b/>
          <w:sz w:val="28"/>
        </w:rPr>
      </w:pPr>
      <w:r>
        <w:rPr>
          <w:rFonts w:hint="eastAsia" w:ascii="黑体" w:hAnsi="黑体" w:eastAsia="黑体"/>
          <w:b/>
          <w:w w:val="95"/>
          <w:sz w:val="28"/>
        </w:rPr>
        <w:t>8-④企业考核期内已完成类似项目一览表（如有）</w:t>
      </w:r>
    </w:p>
    <w:p>
      <w:pPr>
        <w:pStyle w:val="3"/>
        <w:spacing w:before="3"/>
        <w:rPr>
          <w:rFonts w:ascii="黑体"/>
          <w:b/>
          <w:sz w:val="39"/>
        </w:rPr>
      </w:pPr>
    </w:p>
    <w:p>
      <w:pPr>
        <w:pStyle w:val="9"/>
        <w:spacing w:before="0" w:after="49"/>
        <w:ind w:left="3743"/>
        <w:rPr>
          <w:rStyle w:val="15"/>
        </w:rPr>
      </w:pPr>
      <w:r>
        <w:rPr>
          <w:rStyle w:val="15"/>
        </w:rPr>
        <w:t>考核期内已完成类似项目一览表</w:t>
      </w:r>
    </w:p>
    <w:tbl>
      <w:tblPr>
        <w:tblStyle w:val="14"/>
        <w:tblW w:w="10260"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323"/>
        <w:gridCol w:w="1324"/>
        <w:gridCol w:w="1324"/>
        <w:gridCol w:w="1324"/>
        <w:gridCol w:w="1324"/>
        <w:gridCol w:w="1324"/>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3" w:type="dxa"/>
          </w:tcPr>
          <w:p>
            <w:pPr>
              <w:pStyle w:val="18"/>
              <w:spacing w:before="145"/>
              <w:ind w:left="265" w:right="258"/>
              <w:jc w:val="center"/>
              <w:rPr>
                <w:rStyle w:val="15"/>
              </w:rPr>
            </w:pPr>
            <w:r>
              <w:rPr>
                <w:rStyle w:val="15"/>
              </w:rPr>
              <w:t>序号</w:t>
            </w:r>
          </w:p>
        </w:tc>
        <w:tc>
          <w:tcPr>
            <w:tcW w:w="1323" w:type="dxa"/>
          </w:tcPr>
          <w:p>
            <w:pPr>
              <w:pStyle w:val="18"/>
              <w:spacing w:before="145"/>
              <w:ind w:left="135"/>
              <w:rPr>
                <w:rStyle w:val="15"/>
              </w:rPr>
            </w:pPr>
            <w:r>
              <w:rPr>
                <w:rStyle w:val="15"/>
              </w:rPr>
              <w:t>发包人名称</w:t>
            </w:r>
          </w:p>
        </w:tc>
        <w:tc>
          <w:tcPr>
            <w:tcW w:w="1324" w:type="dxa"/>
          </w:tcPr>
          <w:p>
            <w:pPr>
              <w:pStyle w:val="18"/>
              <w:spacing w:line="269" w:lineRule="exact"/>
              <w:ind w:left="138" w:right="133"/>
              <w:jc w:val="center"/>
              <w:rPr>
                <w:rStyle w:val="15"/>
              </w:rPr>
            </w:pPr>
            <w:r>
              <w:rPr>
                <w:rStyle w:val="15"/>
              </w:rPr>
              <w:t>工程名称</w:t>
            </w:r>
          </w:p>
          <w:p>
            <w:pPr>
              <w:pStyle w:val="18"/>
              <w:spacing w:before="25"/>
              <w:ind w:left="143" w:right="133"/>
              <w:jc w:val="center"/>
              <w:rPr>
                <w:rStyle w:val="15"/>
              </w:rPr>
            </w:pPr>
            <w:r>
              <w:rPr>
                <w:rStyle w:val="15"/>
              </w:rPr>
              <w:t>及建设地点</w:t>
            </w:r>
          </w:p>
        </w:tc>
        <w:tc>
          <w:tcPr>
            <w:tcW w:w="1324" w:type="dxa"/>
          </w:tcPr>
          <w:p>
            <w:pPr>
              <w:pStyle w:val="18"/>
              <w:spacing w:line="269" w:lineRule="exact"/>
              <w:ind w:left="142" w:right="133"/>
              <w:jc w:val="center"/>
              <w:rPr>
                <w:rStyle w:val="15"/>
              </w:rPr>
            </w:pPr>
            <w:r>
              <w:rPr>
                <w:rStyle w:val="15"/>
              </w:rPr>
              <w:t>结构</w:t>
            </w:r>
          </w:p>
          <w:p>
            <w:pPr>
              <w:pStyle w:val="18"/>
              <w:spacing w:before="25"/>
              <w:ind w:left="142" w:right="133"/>
              <w:jc w:val="center"/>
              <w:rPr>
                <w:rStyle w:val="15"/>
              </w:rPr>
            </w:pPr>
            <w:r>
              <w:rPr>
                <w:rStyle w:val="15"/>
              </w:rPr>
              <w:t>类型</w:t>
            </w:r>
          </w:p>
        </w:tc>
        <w:tc>
          <w:tcPr>
            <w:tcW w:w="1324" w:type="dxa"/>
          </w:tcPr>
          <w:p>
            <w:pPr>
              <w:pStyle w:val="18"/>
              <w:spacing w:line="269" w:lineRule="exact"/>
              <w:ind w:left="139" w:right="133"/>
              <w:jc w:val="center"/>
              <w:rPr>
                <w:rStyle w:val="15"/>
              </w:rPr>
            </w:pPr>
            <w:r>
              <w:rPr>
                <w:rStyle w:val="15"/>
              </w:rPr>
              <w:t>建设</w:t>
            </w:r>
          </w:p>
          <w:p>
            <w:pPr>
              <w:pStyle w:val="18"/>
              <w:spacing w:before="25"/>
              <w:ind w:left="139" w:right="133"/>
              <w:jc w:val="center"/>
              <w:rPr>
                <w:rStyle w:val="15"/>
              </w:rPr>
            </w:pPr>
            <w:r>
              <w:rPr>
                <w:rStyle w:val="15"/>
              </w:rPr>
              <w:t>规模</w:t>
            </w:r>
          </w:p>
        </w:tc>
        <w:tc>
          <w:tcPr>
            <w:tcW w:w="1324" w:type="dxa"/>
          </w:tcPr>
          <w:p>
            <w:pPr>
              <w:pStyle w:val="18"/>
              <w:spacing w:line="269" w:lineRule="exact"/>
              <w:ind w:left="240"/>
              <w:rPr>
                <w:rStyle w:val="15"/>
              </w:rPr>
            </w:pPr>
            <w:r>
              <w:rPr>
                <w:rStyle w:val="15"/>
              </w:rPr>
              <w:t>合同金额</w:t>
            </w:r>
          </w:p>
          <w:p>
            <w:pPr>
              <w:pStyle w:val="18"/>
              <w:spacing w:before="25"/>
              <w:ind w:left="240"/>
              <w:rPr>
                <w:rStyle w:val="15"/>
              </w:rPr>
            </w:pPr>
            <w:r>
              <w:rPr>
                <w:rStyle w:val="15"/>
              </w:rPr>
              <w:t>（万元）</w:t>
            </w:r>
          </w:p>
        </w:tc>
        <w:tc>
          <w:tcPr>
            <w:tcW w:w="1324" w:type="dxa"/>
          </w:tcPr>
          <w:p>
            <w:pPr>
              <w:pStyle w:val="18"/>
              <w:spacing w:line="269" w:lineRule="exact"/>
              <w:ind w:left="241"/>
              <w:rPr>
                <w:rStyle w:val="15"/>
              </w:rPr>
            </w:pPr>
            <w:r>
              <w:rPr>
                <w:rStyle w:val="15"/>
              </w:rPr>
              <w:t>竣工达到</w:t>
            </w:r>
          </w:p>
          <w:p>
            <w:pPr>
              <w:pStyle w:val="18"/>
              <w:spacing w:before="25"/>
              <w:ind w:left="241"/>
              <w:rPr>
                <w:rStyle w:val="15"/>
              </w:rPr>
            </w:pPr>
            <w:r>
              <w:rPr>
                <w:rStyle w:val="15"/>
              </w:rPr>
              <w:t>质量标准</w:t>
            </w:r>
          </w:p>
        </w:tc>
        <w:tc>
          <w:tcPr>
            <w:tcW w:w="1324" w:type="dxa"/>
          </w:tcPr>
          <w:p>
            <w:pPr>
              <w:pStyle w:val="18"/>
              <w:spacing w:line="269" w:lineRule="exact"/>
              <w:ind w:left="345"/>
              <w:rPr>
                <w:rStyle w:val="15"/>
              </w:rPr>
            </w:pPr>
            <w:r>
              <w:rPr>
                <w:rStyle w:val="15"/>
              </w:rPr>
              <w:t>开竣工</w:t>
            </w:r>
          </w:p>
          <w:p>
            <w:pPr>
              <w:pStyle w:val="18"/>
              <w:tabs>
                <w:tab w:val="left" w:pos="765"/>
              </w:tabs>
              <w:spacing w:before="25"/>
              <w:ind w:left="345"/>
              <w:rPr>
                <w:rStyle w:val="15"/>
              </w:rPr>
            </w:pPr>
            <w:r>
              <w:rPr>
                <w:rStyle w:val="15"/>
              </w:rPr>
              <w:t>日</w:t>
            </w:r>
            <w:r>
              <w:rPr>
                <w:rStyle w:val="15"/>
              </w:rPr>
              <w:tab/>
            </w:r>
            <w:r>
              <w:rPr>
                <w:rStyle w:val="15"/>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93" w:type="dxa"/>
          </w:tcPr>
          <w:p>
            <w:pPr>
              <w:pStyle w:val="18"/>
              <w:spacing w:before="15"/>
              <w:ind w:left="11"/>
              <w:jc w:val="center"/>
              <w:rPr>
                <w:rStyle w:val="15"/>
              </w:rPr>
            </w:pPr>
            <w:r>
              <w:rPr>
                <w:rStyle w:val="15"/>
              </w:rPr>
              <w:t>N</w:t>
            </w:r>
          </w:p>
        </w:tc>
        <w:tc>
          <w:tcPr>
            <w:tcW w:w="1323"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93" w:type="dxa"/>
          </w:tcPr>
          <w:p>
            <w:pPr>
              <w:pStyle w:val="18"/>
              <w:spacing w:before="16"/>
              <w:ind w:left="265" w:right="258"/>
              <w:jc w:val="center"/>
              <w:rPr>
                <w:rStyle w:val="15"/>
              </w:rPr>
            </w:pPr>
            <w:r>
              <w:rPr>
                <w:rStyle w:val="15"/>
              </w:rPr>
              <w:t>……</w:t>
            </w:r>
          </w:p>
        </w:tc>
        <w:tc>
          <w:tcPr>
            <w:tcW w:w="1323"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c>
          <w:tcPr>
            <w:tcW w:w="1324" w:type="dxa"/>
          </w:tcPr>
          <w:p>
            <w:pPr>
              <w:pStyle w:val="18"/>
              <w:rPr>
                <w:rStyle w:val="15"/>
              </w:rPr>
            </w:pPr>
          </w:p>
        </w:tc>
      </w:tr>
    </w:tbl>
    <w:p>
      <w:pPr>
        <w:pStyle w:val="3"/>
        <w:spacing w:before="74" w:line="350" w:lineRule="auto"/>
        <w:ind w:left="112" w:right="165" w:firstLine="420"/>
        <w:rPr>
          <w:rStyle w:val="15"/>
        </w:rPr>
      </w:pPr>
      <w:r>
        <w:rPr>
          <w:rStyle w:val="15"/>
        </w:rPr>
        <w:t>备注：附以上类似工程的中标通知书（如有）、工程合同协议书、项目竣工验收证明材料的复印件，以及投    标人认为需要增加的其他证明材料复印件，以上复印件均须加盖投标人单位公章。</w:t>
      </w:r>
    </w:p>
    <w:p>
      <w:pPr>
        <w:spacing w:after="0" w:line="350" w:lineRule="auto"/>
        <w:sectPr>
          <w:pgSz w:w="11910" w:h="16840"/>
          <w:pgMar w:top="1000" w:right="680" w:bottom="760" w:left="740" w:header="808" w:footer="575" w:gutter="0"/>
          <w:pgNumType w:fmt="decimal"/>
        </w:sectPr>
      </w:pPr>
    </w:p>
    <w:p>
      <w:pPr>
        <w:pStyle w:val="3"/>
        <w:spacing w:before="1"/>
        <w:rPr>
          <w:sz w:val="8"/>
        </w:rPr>
      </w:pPr>
    </w:p>
    <w:p>
      <w:pPr>
        <w:pStyle w:val="8"/>
      </w:pPr>
      <w:r>
        <w:rPr>
          <w:w w:val="95"/>
        </w:rPr>
        <w:t>8-⑤企业考核期内财务状况表</w:t>
      </w:r>
    </w:p>
    <w:p>
      <w:pPr>
        <w:pStyle w:val="3"/>
        <w:spacing w:before="3"/>
        <w:rPr>
          <w:rFonts w:ascii="黑体"/>
          <w:b/>
          <w:sz w:val="39"/>
        </w:rPr>
      </w:pPr>
    </w:p>
    <w:p>
      <w:pPr>
        <w:pStyle w:val="3"/>
        <w:spacing w:line="348" w:lineRule="auto"/>
        <w:ind w:left="112" w:right="105" w:firstLine="420"/>
        <w:rPr>
          <w:rStyle w:val="15"/>
        </w:rPr>
      </w:pPr>
      <w:r>
        <w:rPr>
          <w:rStyle w:val="15"/>
        </w:rPr>
        <w:t>备注：附经会计师事务所或审计机构审计的财务会计报表复印件，包括资产负债表、现金流量表、利润表，   投标人认为需要增加的其他证明材料复印件，以上复印件均须加盖投标人单位公章。</w:t>
      </w:r>
    </w:p>
    <w:p>
      <w:pPr>
        <w:spacing w:after="0" w:line="348" w:lineRule="auto"/>
        <w:sectPr>
          <w:pgSz w:w="11910" w:h="16840"/>
          <w:pgMar w:top="1000" w:right="660" w:bottom="760" w:left="740" w:header="808" w:footer="575" w:gutter="0"/>
          <w:pgNumType w:fmt="decimal"/>
        </w:sectPr>
      </w:pPr>
    </w:p>
    <w:p>
      <w:pPr>
        <w:pStyle w:val="3"/>
        <w:spacing w:before="1"/>
        <w:rPr>
          <w:sz w:val="8"/>
        </w:rPr>
      </w:pPr>
    </w:p>
    <w:p>
      <w:pPr>
        <w:pStyle w:val="8"/>
        <w:ind w:left="232"/>
      </w:pPr>
      <w:r>
        <w:rPr>
          <w:w w:val="95"/>
        </w:rPr>
        <w:t>8-⑥企业考核期内发</w:t>
      </w:r>
      <w:r>
        <w:rPr>
          <w:rFonts w:hint="eastAsia"/>
          <w:color w:val="auto"/>
          <w:w w:val="95"/>
          <w:lang w:eastAsia="zh-CN"/>
        </w:rPr>
        <w:t>生</w:t>
      </w:r>
      <w:r>
        <w:rPr>
          <w:color w:val="auto"/>
          <w:w w:val="95"/>
        </w:rPr>
        <w:t>的</w:t>
      </w:r>
      <w:r>
        <w:rPr>
          <w:w w:val="95"/>
        </w:rPr>
        <w:t>诉讼和仲裁情况（如有）</w:t>
      </w:r>
    </w:p>
    <w:p>
      <w:pPr>
        <w:pStyle w:val="3"/>
        <w:spacing w:before="3"/>
        <w:rPr>
          <w:rFonts w:ascii="黑体"/>
          <w:b/>
          <w:sz w:val="39"/>
        </w:rPr>
      </w:pPr>
    </w:p>
    <w:p>
      <w:pPr>
        <w:pStyle w:val="9"/>
        <w:spacing w:before="0" w:after="49"/>
        <w:ind w:left="3757"/>
        <w:rPr>
          <w:rStyle w:val="15"/>
          <w:sz w:val="21"/>
          <w:szCs w:val="21"/>
        </w:rPr>
      </w:pPr>
      <w:r>
        <w:rPr>
          <w:rStyle w:val="15"/>
          <w:sz w:val="21"/>
          <w:szCs w:val="21"/>
        </w:rPr>
        <w:t>考核期内发生的诉讼和仲裁情况表</w:t>
      </w:r>
    </w:p>
    <w:tbl>
      <w:tblPr>
        <w:tblStyle w:val="14"/>
        <w:tblW w:w="1031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2871"/>
        <w:gridCol w:w="1436"/>
        <w:gridCol w:w="1439"/>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5"/>
          </w:tcPr>
          <w:p>
            <w:pPr>
              <w:pStyle w:val="18"/>
              <w:spacing w:before="16"/>
              <w:ind w:left="4735" w:right="4730"/>
              <w:jc w:val="center"/>
              <w:rPr>
                <w:rStyle w:val="15"/>
                <w:sz w:val="21"/>
                <w:szCs w:val="21"/>
              </w:rPr>
            </w:pPr>
            <w:r>
              <w:rPr>
                <w:rStyle w:val="15"/>
                <w:sz w:val="21"/>
                <w:szCs w:val="21"/>
              </w:rPr>
              <w:t>诉讼情况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36" w:type="dxa"/>
          </w:tcPr>
          <w:p>
            <w:pPr>
              <w:pStyle w:val="18"/>
              <w:spacing w:before="14"/>
              <w:ind w:left="486" w:right="480"/>
              <w:jc w:val="center"/>
              <w:rPr>
                <w:rStyle w:val="15"/>
                <w:sz w:val="21"/>
                <w:szCs w:val="21"/>
              </w:rPr>
            </w:pPr>
            <w:r>
              <w:rPr>
                <w:rStyle w:val="15"/>
                <w:sz w:val="21"/>
                <w:szCs w:val="21"/>
              </w:rPr>
              <w:t>序号</w:t>
            </w:r>
          </w:p>
        </w:tc>
        <w:tc>
          <w:tcPr>
            <w:tcW w:w="2871" w:type="dxa"/>
          </w:tcPr>
          <w:p>
            <w:pPr>
              <w:pStyle w:val="18"/>
              <w:spacing w:before="14"/>
              <w:ind w:left="716" w:right="661" w:rightChars="0"/>
              <w:jc w:val="center"/>
              <w:rPr>
                <w:rStyle w:val="15"/>
                <w:sz w:val="21"/>
                <w:szCs w:val="21"/>
              </w:rPr>
            </w:pPr>
            <w:r>
              <w:rPr>
                <w:rStyle w:val="15"/>
                <w:sz w:val="21"/>
                <w:szCs w:val="21"/>
              </w:rPr>
              <w:t>判决或裁定时间</w:t>
            </w:r>
          </w:p>
        </w:tc>
        <w:tc>
          <w:tcPr>
            <w:tcW w:w="1436" w:type="dxa"/>
          </w:tcPr>
          <w:p>
            <w:pPr>
              <w:pStyle w:val="18"/>
              <w:spacing w:before="14"/>
              <w:ind w:right="181"/>
              <w:jc w:val="right"/>
              <w:rPr>
                <w:rStyle w:val="15"/>
                <w:sz w:val="21"/>
                <w:szCs w:val="21"/>
              </w:rPr>
            </w:pPr>
            <w:r>
              <w:rPr>
                <w:rStyle w:val="15"/>
                <w:sz w:val="21"/>
                <w:szCs w:val="21"/>
              </w:rPr>
              <w:t>诉讼相对人</w:t>
            </w:r>
          </w:p>
        </w:tc>
        <w:tc>
          <w:tcPr>
            <w:tcW w:w="1439" w:type="dxa"/>
          </w:tcPr>
          <w:p>
            <w:pPr>
              <w:pStyle w:val="18"/>
              <w:spacing w:before="14"/>
              <w:ind w:left="298" w:right="109" w:rightChars="0"/>
              <w:jc w:val="center"/>
              <w:rPr>
                <w:rStyle w:val="15"/>
                <w:sz w:val="21"/>
                <w:szCs w:val="21"/>
              </w:rPr>
            </w:pPr>
            <w:r>
              <w:rPr>
                <w:rStyle w:val="15"/>
                <w:sz w:val="21"/>
                <w:szCs w:val="21"/>
              </w:rPr>
              <w:t>诉讼原因</w:t>
            </w:r>
          </w:p>
        </w:tc>
        <w:tc>
          <w:tcPr>
            <w:tcW w:w="3132" w:type="dxa"/>
          </w:tcPr>
          <w:p>
            <w:pPr>
              <w:pStyle w:val="18"/>
              <w:spacing w:before="14"/>
              <w:ind w:left="1146" w:right="922" w:rightChars="0"/>
              <w:jc w:val="center"/>
              <w:rPr>
                <w:rStyle w:val="15"/>
                <w:sz w:val="21"/>
                <w:szCs w:val="21"/>
              </w:rPr>
            </w:pPr>
            <w:r>
              <w:rPr>
                <w:rStyle w:val="15"/>
                <w:sz w:val="21"/>
                <w:szCs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36" w:type="dxa"/>
          </w:tcPr>
          <w:p>
            <w:pPr>
              <w:pStyle w:val="18"/>
              <w:spacing w:before="14"/>
              <w:ind w:left="486" w:right="480"/>
              <w:jc w:val="center"/>
              <w:rPr>
                <w:rStyle w:val="15"/>
                <w:sz w:val="21"/>
                <w:szCs w:val="21"/>
              </w:rPr>
            </w:pPr>
            <w:r>
              <w:rPr>
                <w:rStyle w:val="15"/>
                <w:sz w:val="21"/>
                <w:szCs w:val="21"/>
              </w:rPr>
              <w:t>……</w:t>
            </w:r>
          </w:p>
        </w:tc>
        <w:tc>
          <w:tcPr>
            <w:tcW w:w="2871" w:type="dxa"/>
          </w:tcPr>
          <w:p>
            <w:pPr>
              <w:pStyle w:val="18"/>
              <w:rPr>
                <w:rStyle w:val="15"/>
                <w:sz w:val="21"/>
                <w:szCs w:val="21"/>
              </w:rPr>
            </w:pPr>
          </w:p>
        </w:tc>
        <w:tc>
          <w:tcPr>
            <w:tcW w:w="1436" w:type="dxa"/>
          </w:tcPr>
          <w:p>
            <w:pPr>
              <w:pStyle w:val="18"/>
              <w:rPr>
                <w:rStyle w:val="15"/>
                <w:sz w:val="21"/>
                <w:szCs w:val="21"/>
              </w:rPr>
            </w:pPr>
          </w:p>
        </w:tc>
        <w:tc>
          <w:tcPr>
            <w:tcW w:w="1439" w:type="dxa"/>
          </w:tcPr>
          <w:p>
            <w:pPr>
              <w:pStyle w:val="18"/>
              <w:rPr>
                <w:rStyle w:val="15"/>
                <w:sz w:val="21"/>
                <w:szCs w:val="21"/>
              </w:rPr>
            </w:pPr>
          </w:p>
        </w:tc>
        <w:tc>
          <w:tcPr>
            <w:tcW w:w="3132"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36" w:type="dxa"/>
          </w:tcPr>
          <w:p>
            <w:pPr>
              <w:pStyle w:val="18"/>
              <w:spacing w:before="14"/>
              <w:ind w:left="9"/>
              <w:jc w:val="center"/>
              <w:rPr>
                <w:rStyle w:val="15"/>
                <w:sz w:val="21"/>
                <w:szCs w:val="21"/>
              </w:rPr>
            </w:pPr>
            <w:r>
              <w:rPr>
                <w:rStyle w:val="15"/>
                <w:sz w:val="21"/>
                <w:szCs w:val="21"/>
              </w:rPr>
              <w:t>N</w:t>
            </w:r>
          </w:p>
        </w:tc>
        <w:tc>
          <w:tcPr>
            <w:tcW w:w="2871" w:type="dxa"/>
          </w:tcPr>
          <w:p>
            <w:pPr>
              <w:pStyle w:val="18"/>
              <w:rPr>
                <w:rStyle w:val="15"/>
                <w:sz w:val="21"/>
                <w:szCs w:val="21"/>
              </w:rPr>
            </w:pPr>
          </w:p>
        </w:tc>
        <w:tc>
          <w:tcPr>
            <w:tcW w:w="1436" w:type="dxa"/>
          </w:tcPr>
          <w:p>
            <w:pPr>
              <w:pStyle w:val="18"/>
              <w:rPr>
                <w:rStyle w:val="15"/>
                <w:sz w:val="21"/>
                <w:szCs w:val="21"/>
              </w:rPr>
            </w:pPr>
          </w:p>
        </w:tc>
        <w:tc>
          <w:tcPr>
            <w:tcW w:w="1439" w:type="dxa"/>
          </w:tcPr>
          <w:p>
            <w:pPr>
              <w:pStyle w:val="18"/>
              <w:rPr>
                <w:rStyle w:val="15"/>
                <w:sz w:val="21"/>
                <w:szCs w:val="21"/>
              </w:rPr>
            </w:pPr>
          </w:p>
        </w:tc>
        <w:tc>
          <w:tcPr>
            <w:tcW w:w="3132"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314" w:type="dxa"/>
            <w:gridSpan w:val="5"/>
          </w:tcPr>
          <w:p>
            <w:pPr>
              <w:pStyle w:val="18"/>
              <w:spacing w:before="15"/>
              <w:ind w:left="4735" w:right="4730"/>
              <w:jc w:val="center"/>
              <w:rPr>
                <w:rStyle w:val="15"/>
                <w:sz w:val="21"/>
                <w:szCs w:val="21"/>
              </w:rPr>
            </w:pPr>
            <w:r>
              <w:rPr>
                <w:rStyle w:val="15"/>
                <w:sz w:val="21"/>
                <w:szCs w:val="21"/>
              </w:rPr>
              <w:t>仲裁情况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36" w:type="dxa"/>
          </w:tcPr>
          <w:p>
            <w:pPr>
              <w:pStyle w:val="18"/>
              <w:spacing w:before="15"/>
              <w:ind w:left="486" w:right="480"/>
              <w:jc w:val="center"/>
              <w:rPr>
                <w:rStyle w:val="15"/>
                <w:sz w:val="21"/>
                <w:szCs w:val="21"/>
              </w:rPr>
            </w:pPr>
            <w:r>
              <w:rPr>
                <w:rStyle w:val="15"/>
                <w:sz w:val="21"/>
                <w:szCs w:val="21"/>
              </w:rPr>
              <w:t>序号</w:t>
            </w:r>
          </w:p>
        </w:tc>
        <w:tc>
          <w:tcPr>
            <w:tcW w:w="2871" w:type="dxa"/>
          </w:tcPr>
          <w:p>
            <w:pPr>
              <w:pStyle w:val="18"/>
              <w:spacing w:before="15"/>
              <w:ind w:left="714" w:right="707"/>
              <w:jc w:val="center"/>
              <w:rPr>
                <w:rStyle w:val="15"/>
                <w:sz w:val="21"/>
                <w:szCs w:val="21"/>
              </w:rPr>
            </w:pPr>
            <w:r>
              <w:rPr>
                <w:rStyle w:val="15"/>
                <w:sz w:val="21"/>
                <w:szCs w:val="21"/>
              </w:rPr>
              <w:t>裁决时间</w:t>
            </w:r>
          </w:p>
        </w:tc>
        <w:tc>
          <w:tcPr>
            <w:tcW w:w="1436" w:type="dxa"/>
          </w:tcPr>
          <w:p>
            <w:pPr>
              <w:pStyle w:val="18"/>
              <w:spacing w:before="15"/>
              <w:ind w:right="181"/>
              <w:jc w:val="right"/>
              <w:rPr>
                <w:rStyle w:val="15"/>
                <w:sz w:val="21"/>
                <w:szCs w:val="21"/>
              </w:rPr>
            </w:pPr>
            <w:r>
              <w:rPr>
                <w:rStyle w:val="15"/>
                <w:sz w:val="21"/>
                <w:szCs w:val="21"/>
              </w:rPr>
              <w:t>仲裁相对人</w:t>
            </w:r>
          </w:p>
        </w:tc>
        <w:tc>
          <w:tcPr>
            <w:tcW w:w="1439" w:type="dxa"/>
          </w:tcPr>
          <w:p>
            <w:pPr>
              <w:pStyle w:val="18"/>
              <w:spacing w:before="15"/>
              <w:ind w:left="298" w:right="109" w:rightChars="0"/>
              <w:jc w:val="center"/>
              <w:rPr>
                <w:rStyle w:val="15"/>
                <w:sz w:val="21"/>
                <w:szCs w:val="21"/>
              </w:rPr>
            </w:pPr>
            <w:r>
              <w:rPr>
                <w:rStyle w:val="15"/>
                <w:sz w:val="21"/>
                <w:szCs w:val="21"/>
              </w:rPr>
              <w:t>仲裁原因</w:t>
            </w:r>
          </w:p>
        </w:tc>
        <w:tc>
          <w:tcPr>
            <w:tcW w:w="3132" w:type="dxa"/>
          </w:tcPr>
          <w:p>
            <w:pPr>
              <w:pStyle w:val="18"/>
              <w:spacing w:before="15"/>
              <w:ind w:left="1146" w:right="922" w:rightChars="0"/>
              <w:jc w:val="center"/>
              <w:rPr>
                <w:rStyle w:val="15"/>
                <w:sz w:val="21"/>
                <w:szCs w:val="21"/>
              </w:rPr>
            </w:pPr>
            <w:r>
              <w:rPr>
                <w:rStyle w:val="15"/>
                <w:sz w:val="21"/>
                <w:szCs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36" w:type="dxa"/>
          </w:tcPr>
          <w:p>
            <w:pPr>
              <w:pStyle w:val="18"/>
              <w:spacing w:before="16"/>
              <w:ind w:left="486" w:right="480"/>
              <w:jc w:val="center"/>
              <w:rPr>
                <w:rStyle w:val="15"/>
                <w:sz w:val="21"/>
                <w:szCs w:val="21"/>
              </w:rPr>
            </w:pPr>
            <w:r>
              <w:rPr>
                <w:rStyle w:val="15"/>
                <w:sz w:val="21"/>
                <w:szCs w:val="21"/>
              </w:rPr>
              <w:t>……</w:t>
            </w:r>
          </w:p>
        </w:tc>
        <w:tc>
          <w:tcPr>
            <w:tcW w:w="2871" w:type="dxa"/>
          </w:tcPr>
          <w:p>
            <w:pPr>
              <w:pStyle w:val="18"/>
              <w:rPr>
                <w:rStyle w:val="15"/>
                <w:sz w:val="21"/>
                <w:szCs w:val="21"/>
              </w:rPr>
            </w:pPr>
          </w:p>
        </w:tc>
        <w:tc>
          <w:tcPr>
            <w:tcW w:w="1436" w:type="dxa"/>
          </w:tcPr>
          <w:p>
            <w:pPr>
              <w:pStyle w:val="18"/>
              <w:rPr>
                <w:rStyle w:val="15"/>
                <w:sz w:val="21"/>
                <w:szCs w:val="21"/>
              </w:rPr>
            </w:pPr>
          </w:p>
        </w:tc>
        <w:tc>
          <w:tcPr>
            <w:tcW w:w="1439" w:type="dxa"/>
          </w:tcPr>
          <w:p>
            <w:pPr>
              <w:pStyle w:val="18"/>
              <w:rPr>
                <w:rStyle w:val="15"/>
                <w:sz w:val="21"/>
                <w:szCs w:val="21"/>
              </w:rPr>
            </w:pPr>
          </w:p>
        </w:tc>
        <w:tc>
          <w:tcPr>
            <w:tcW w:w="3132"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36" w:type="dxa"/>
          </w:tcPr>
          <w:p>
            <w:pPr>
              <w:pStyle w:val="18"/>
              <w:spacing w:before="14"/>
              <w:ind w:left="9"/>
              <w:jc w:val="center"/>
              <w:rPr>
                <w:rStyle w:val="15"/>
                <w:sz w:val="21"/>
                <w:szCs w:val="21"/>
              </w:rPr>
            </w:pPr>
            <w:r>
              <w:rPr>
                <w:rStyle w:val="15"/>
                <w:sz w:val="21"/>
                <w:szCs w:val="21"/>
              </w:rPr>
              <w:t>N</w:t>
            </w:r>
          </w:p>
        </w:tc>
        <w:tc>
          <w:tcPr>
            <w:tcW w:w="2871" w:type="dxa"/>
          </w:tcPr>
          <w:p>
            <w:pPr>
              <w:pStyle w:val="18"/>
              <w:rPr>
                <w:rStyle w:val="15"/>
                <w:sz w:val="21"/>
                <w:szCs w:val="21"/>
              </w:rPr>
            </w:pPr>
          </w:p>
        </w:tc>
        <w:tc>
          <w:tcPr>
            <w:tcW w:w="1436" w:type="dxa"/>
          </w:tcPr>
          <w:p>
            <w:pPr>
              <w:pStyle w:val="18"/>
              <w:rPr>
                <w:rStyle w:val="15"/>
                <w:sz w:val="21"/>
                <w:szCs w:val="21"/>
              </w:rPr>
            </w:pPr>
          </w:p>
        </w:tc>
        <w:tc>
          <w:tcPr>
            <w:tcW w:w="1439" w:type="dxa"/>
          </w:tcPr>
          <w:p>
            <w:pPr>
              <w:pStyle w:val="18"/>
              <w:rPr>
                <w:rStyle w:val="15"/>
                <w:sz w:val="21"/>
                <w:szCs w:val="21"/>
              </w:rPr>
            </w:pPr>
          </w:p>
        </w:tc>
        <w:tc>
          <w:tcPr>
            <w:tcW w:w="3132" w:type="dxa"/>
          </w:tcPr>
          <w:p>
            <w:pPr>
              <w:pStyle w:val="18"/>
              <w:rPr>
                <w:rStyle w:val="15"/>
                <w:sz w:val="21"/>
                <w:szCs w:val="21"/>
              </w:rPr>
            </w:pPr>
          </w:p>
        </w:tc>
      </w:tr>
    </w:tbl>
    <w:p>
      <w:pPr>
        <w:pStyle w:val="3"/>
        <w:spacing w:before="74" w:line="350" w:lineRule="auto"/>
        <w:ind w:left="232" w:right="108" w:firstLine="420"/>
        <w:jc w:val="both"/>
        <w:rPr>
          <w:rStyle w:val="15"/>
          <w:sz w:val="21"/>
          <w:szCs w:val="21"/>
        </w:rPr>
      </w:pPr>
      <w:r>
        <w:rPr>
          <w:rStyle w:val="15"/>
          <w:sz w:val="21"/>
          <w:szCs w:val="21"/>
        </w:rPr>
        <w:t>备注：近三年发生的诉讼和仲裁情况仅限于投标人败诉的，且与履行施工承包合同有关的案件，不包括调解   结案以及未裁决的仲裁或未终审判决的诉讼；附裁决书、裁定书、仲裁裁决书及有关文件的复印件并加盖投标人    单位公章。若无诉讼和仲裁情况的，则投标人应填写“无”</w:t>
      </w:r>
    </w:p>
    <w:p>
      <w:pPr>
        <w:spacing w:after="0" w:line="350" w:lineRule="auto"/>
        <w:jc w:val="both"/>
        <w:rPr>
          <w:rStyle w:val="15"/>
          <w:sz w:val="21"/>
          <w:szCs w:val="21"/>
        </w:rPr>
        <w:sectPr>
          <w:pgSz w:w="11910" w:h="16840"/>
          <w:pgMar w:top="1000" w:right="740" w:bottom="760" w:left="620" w:header="808" w:footer="575" w:gutter="0"/>
          <w:pgNumType w:fmt="decimal"/>
        </w:sectPr>
      </w:pPr>
    </w:p>
    <w:p>
      <w:pPr>
        <w:pStyle w:val="3"/>
        <w:spacing w:before="1"/>
        <w:rPr>
          <w:sz w:val="8"/>
        </w:rPr>
      </w:pPr>
    </w:p>
    <w:p>
      <w:pPr>
        <w:pStyle w:val="8"/>
      </w:pPr>
      <w:r>
        <w:rPr>
          <w:w w:val="95"/>
        </w:rPr>
        <w:t>封面格式：</w:t>
      </w:r>
    </w:p>
    <w:p>
      <w:pPr>
        <w:pStyle w:val="3"/>
        <w:rPr>
          <w:rFonts w:ascii="黑体"/>
          <w:b/>
          <w:sz w:val="20"/>
        </w:rPr>
      </w:pPr>
    </w:p>
    <w:p>
      <w:pPr>
        <w:tabs>
          <w:tab w:val="left" w:pos="2190"/>
        </w:tabs>
        <w:spacing w:before="170"/>
        <w:ind w:left="112" w:right="0" w:firstLine="0"/>
        <w:jc w:val="left"/>
        <w:rPr>
          <w:rFonts w:hint="eastAsia" w:ascii="黑体" w:eastAsia="黑体"/>
          <w:sz w:val="28"/>
        </w:rPr>
      </w:pPr>
      <w:r>
        <w:rPr>
          <w:rFonts w:ascii="Times New Roman" w:eastAsia="Times New Roman"/>
          <w:w w:val="100"/>
          <w:sz w:val="28"/>
          <w:u w:val="single"/>
        </w:rPr>
        <w:t xml:space="preserve"> </w:t>
      </w:r>
      <w:r>
        <w:rPr>
          <w:rFonts w:ascii="Times New Roman" w:eastAsia="Times New Roman"/>
          <w:sz w:val="28"/>
          <w:u w:val="single"/>
        </w:rPr>
        <w:tab/>
      </w:r>
      <w:r>
        <w:rPr>
          <w:rFonts w:hint="eastAsia" w:ascii="黑体" w:eastAsia="黑体"/>
          <w:spacing w:val="-1"/>
          <w:sz w:val="28"/>
        </w:rPr>
        <w:t>（</w:t>
      </w:r>
      <w:r>
        <w:rPr>
          <w:rFonts w:hint="eastAsia" w:ascii="黑体" w:eastAsia="黑体"/>
          <w:spacing w:val="-3"/>
          <w:sz w:val="28"/>
        </w:rPr>
        <w:t>项目名称</w:t>
      </w:r>
      <w:r>
        <w:rPr>
          <w:rFonts w:hint="eastAsia" w:ascii="黑体" w:eastAsia="黑体"/>
          <w:spacing w:val="-1"/>
          <w:sz w:val="28"/>
        </w:rPr>
        <w:t>）</w:t>
      </w:r>
      <w:r>
        <w:rPr>
          <w:rFonts w:hint="eastAsia" w:ascii="黑体" w:eastAsia="黑体"/>
          <w:spacing w:val="-2"/>
          <w:sz w:val="28"/>
        </w:rPr>
        <w:t>施工招标</w:t>
      </w:r>
    </w:p>
    <w:p>
      <w:pPr>
        <w:pStyle w:val="3"/>
        <w:rPr>
          <w:rFonts w:ascii="黑体"/>
          <w:sz w:val="30"/>
        </w:rPr>
      </w:pPr>
    </w:p>
    <w:p>
      <w:pPr>
        <w:pStyle w:val="3"/>
        <w:rPr>
          <w:rFonts w:ascii="黑体"/>
          <w:sz w:val="30"/>
        </w:rPr>
      </w:pPr>
    </w:p>
    <w:p>
      <w:pPr>
        <w:pStyle w:val="3"/>
        <w:rPr>
          <w:rFonts w:ascii="黑体"/>
          <w:sz w:val="30"/>
        </w:rPr>
      </w:pPr>
    </w:p>
    <w:p>
      <w:pPr>
        <w:pStyle w:val="3"/>
        <w:rPr>
          <w:rFonts w:ascii="黑体"/>
          <w:sz w:val="30"/>
        </w:rPr>
      </w:pPr>
    </w:p>
    <w:p>
      <w:pPr>
        <w:pStyle w:val="3"/>
        <w:spacing w:before="3"/>
        <w:rPr>
          <w:rFonts w:ascii="黑体"/>
          <w:sz w:val="32"/>
        </w:rPr>
      </w:pPr>
    </w:p>
    <w:p>
      <w:pPr>
        <w:tabs>
          <w:tab w:val="left" w:pos="4431"/>
          <w:tab w:val="left" w:pos="5473"/>
          <w:tab w:val="left" w:pos="6512"/>
        </w:tabs>
        <w:spacing w:before="1"/>
        <w:ind w:left="3392" w:right="0" w:firstLine="0"/>
        <w:jc w:val="left"/>
        <w:rPr>
          <w:rFonts w:hint="eastAsia" w:ascii="黑体" w:eastAsia="黑体"/>
          <w:sz w:val="52"/>
        </w:rPr>
      </w:pPr>
      <w:r>
        <w:rPr>
          <w:rFonts w:hint="eastAsia" w:ascii="黑体" w:eastAsia="黑体"/>
          <w:sz w:val="52"/>
        </w:rPr>
        <w:t>投</w:t>
      </w:r>
      <w:r>
        <w:rPr>
          <w:rFonts w:hint="eastAsia" w:ascii="黑体" w:eastAsia="黑体"/>
          <w:sz w:val="52"/>
        </w:rPr>
        <w:tab/>
      </w:r>
      <w:r>
        <w:rPr>
          <w:rFonts w:hint="eastAsia" w:ascii="黑体" w:eastAsia="黑体"/>
          <w:sz w:val="52"/>
        </w:rPr>
        <w:t>标</w:t>
      </w:r>
      <w:r>
        <w:rPr>
          <w:rFonts w:hint="eastAsia" w:ascii="黑体" w:eastAsia="黑体"/>
          <w:sz w:val="52"/>
        </w:rPr>
        <w:tab/>
      </w:r>
      <w:r>
        <w:rPr>
          <w:rFonts w:hint="eastAsia" w:ascii="黑体" w:eastAsia="黑体"/>
          <w:sz w:val="52"/>
        </w:rPr>
        <w:t>文</w:t>
      </w:r>
      <w:r>
        <w:rPr>
          <w:rFonts w:hint="eastAsia" w:ascii="黑体" w:eastAsia="黑体"/>
          <w:sz w:val="52"/>
        </w:rPr>
        <w:tab/>
      </w:r>
      <w:r>
        <w:rPr>
          <w:rFonts w:hint="eastAsia" w:ascii="黑体" w:eastAsia="黑体"/>
          <w:sz w:val="52"/>
        </w:rPr>
        <w:t>件</w:t>
      </w:r>
    </w:p>
    <w:p>
      <w:pPr>
        <w:pStyle w:val="3"/>
        <w:rPr>
          <w:rFonts w:ascii="黑体"/>
          <w:sz w:val="52"/>
        </w:rPr>
      </w:pPr>
    </w:p>
    <w:p>
      <w:pPr>
        <w:pStyle w:val="3"/>
        <w:spacing w:before="2"/>
        <w:rPr>
          <w:rFonts w:ascii="黑体"/>
          <w:sz w:val="70"/>
        </w:rPr>
      </w:pPr>
    </w:p>
    <w:p>
      <w:pPr>
        <w:tabs>
          <w:tab w:val="left" w:pos="6620"/>
        </w:tabs>
        <w:spacing w:before="0"/>
        <w:ind w:left="2490" w:right="0" w:firstLine="0"/>
        <w:jc w:val="left"/>
        <w:rPr>
          <w:rFonts w:ascii="Times New Roman" w:eastAsia="Times New Roman"/>
          <w:sz w:val="28"/>
        </w:rPr>
      </w:pPr>
      <w:r>
        <w:rPr>
          <w:rFonts w:hint="eastAsia" w:ascii="黑体" w:eastAsia="黑体"/>
          <w:spacing w:val="-1"/>
          <w:sz w:val="28"/>
        </w:rPr>
        <w:t>项</w:t>
      </w:r>
      <w:r>
        <w:rPr>
          <w:rFonts w:hint="eastAsia" w:ascii="黑体" w:eastAsia="黑体"/>
          <w:spacing w:val="-3"/>
          <w:sz w:val="28"/>
        </w:rPr>
        <w:t>目</w:t>
      </w:r>
      <w:r>
        <w:rPr>
          <w:rFonts w:hint="eastAsia" w:ascii="黑体" w:eastAsia="黑体"/>
          <w:spacing w:val="-1"/>
          <w:sz w:val="28"/>
        </w:rPr>
        <w:t>编号：</w:t>
      </w:r>
      <w:r>
        <w:rPr>
          <w:rFonts w:ascii="Times New Roman" w:eastAsia="Times New Roman"/>
          <w:sz w:val="28"/>
          <w:u w:val="single"/>
        </w:rPr>
        <w:t xml:space="preserve"> </w:t>
      </w:r>
      <w:r>
        <w:rPr>
          <w:rFonts w:ascii="Times New Roman" w:eastAsia="Times New Roman"/>
          <w:sz w:val="28"/>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18"/>
        </w:rPr>
      </w:pPr>
    </w:p>
    <w:p>
      <w:pPr>
        <w:spacing w:before="1"/>
        <w:ind w:left="4172" w:right="0" w:firstLine="0"/>
        <w:jc w:val="left"/>
        <w:rPr>
          <w:rFonts w:hint="eastAsia" w:ascii="黑体" w:eastAsia="黑体"/>
          <w:sz w:val="32"/>
        </w:rPr>
      </w:pPr>
      <w:r>
        <w:rPr>
          <w:rFonts w:hint="eastAsia" w:ascii="黑体" w:eastAsia="黑体"/>
          <w:w w:val="95"/>
          <w:sz w:val="32"/>
        </w:rPr>
        <w:t>（正本/副本）</w:t>
      </w:r>
    </w:p>
    <w:p>
      <w:pPr>
        <w:pStyle w:val="3"/>
        <w:rPr>
          <w:rFonts w:ascii="黑体"/>
          <w:sz w:val="32"/>
        </w:rPr>
      </w:pPr>
    </w:p>
    <w:p>
      <w:pPr>
        <w:pStyle w:val="3"/>
        <w:rPr>
          <w:rFonts w:ascii="黑体"/>
          <w:sz w:val="32"/>
        </w:rPr>
      </w:pPr>
    </w:p>
    <w:p>
      <w:pPr>
        <w:pStyle w:val="3"/>
        <w:rPr>
          <w:rFonts w:ascii="黑体"/>
          <w:sz w:val="32"/>
        </w:rPr>
      </w:pPr>
    </w:p>
    <w:p>
      <w:pPr>
        <w:pStyle w:val="3"/>
        <w:spacing w:before="4"/>
        <w:rPr>
          <w:rFonts w:ascii="黑体"/>
          <w:sz w:val="28"/>
        </w:rPr>
      </w:pPr>
    </w:p>
    <w:p>
      <w:pPr>
        <w:tabs>
          <w:tab w:val="left" w:pos="3191"/>
          <w:tab w:val="left" w:pos="5291"/>
          <w:tab w:val="left" w:pos="5571"/>
          <w:tab w:val="left" w:pos="7109"/>
        </w:tabs>
        <w:spacing w:before="0" w:line="261" w:lineRule="auto"/>
        <w:ind w:left="112" w:right="3172" w:firstLine="0"/>
        <w:jc w:val="left"/>
        <w:rPr>
          <w:rFonts w:hint="eastAsia" w:ascii="黑体" w:eastAsia="黑体"/>
          <w:sz w:val="28"/>
        </w:rPr>
      </w:pPr>
      <w:r>
        <w:rPr>
          <w:rFonts w:hint="eastAsia" w:ascii="黑体" w:eastAsia="黑体"/>
          <w:sz w:val="28"/>
        </w:rPr>
        <w:t>投</w:t>
      </w:r>
      <w:r>
        <w:rPr>
          <w:rFonts w:hint="eastAsia" w:ascii="黑体" w:eastAsia="黑体"/>
          <w:spacing w:val="-3"/>
          <w:sz w:val="28"/>
        </w:rPr>
        <w:t>标</w:t>
      </w:r>
      <w:r>
        <w:rPr>
          <w:rFonts w:hint="eastAsia" w:ascii="黑体" w:eastAsia="黑体"/>
          <w:sz w:val="28"/>
        </w:rPr>
        <w:t>内容</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1"/>
          <w:sz w:val="28"/>
          <w:u w:val="single"/>
        </w:rPr>
        <w:t>商</w:t>
      </w:r>
      <w:r>
        <w:rPr>
          <w:rFonts w:hint="eastAsia" w:ascii="黑体" w:eastAsia="黑体"/>
          <w:spacing w:val="-3"/>
          <w:sz w:val="28"/>
          <w:u w:val="single"/>
        </w:rPr>
        <w:t>务</w:t>
      </w:r>
      <w:r>
        <w:rPr>
          <w:rFonts w:hint="eastAsia" w:ascii="黑体" w:eastAsia="黑体"/>
          <w:spacing w:val="-1"/>
          <w:sz w:val="28"/>
          <w:u w:val="single"/>
        </w:rPr>
        <w:t>标部</w:t>
      </w:r>
      <w:r>
        <w:rPr>
          <w:rFonts w:hint="eastAsia" w:ascii="黑体" w:eastAsia="黑体"/>
          <w:sz w:val="28"/>
          <w:u w:val="single"/>
        </w:rPr>
        <w:t>分</w:t>
      </w:r>
      <w:r>
        <w:rPr>
          <w:rFonts w:hint="eastAsia" w:ascii="黑体" w:eastAsia="黑体"/>
          <w:sz w:val="28"/>
          <w:u w:val="single"/>
        </w:rPr>
        <w:tab/>
      </w:r>
      <w:r>
        <w:rPr>
          <w:rFonts w:hint="eastAsia" w:ascii="黑体" w:eastAsia="黑体"/>
          <w:sz w:val="28"/>
          <w:u w:val="single"/>
        </w:rPr>
        <w:tab/>
      </w:r>
      <w:r>
        <w:rPr>
          <w:rFonts w:hint="eastAsia" w:ascii="黑体" w:eastAsia="黑体"/>
          <w:sz w:val="28"/>
          <w:u w:val="single"/>
        </w:rPr>
        <w:tab/>
      </w:r>
      <w:r>
        <w:rPr>
          <w:rFonts w:hint="eastAsia" w:ascii="黑体" w:eastAsia="黑体"/>
          <w:sz w:val="28"/>
          <w:u w:val="single"/>
        </w:rPr>
        <w:t xml:space="preserve"> </w:t>
      </w:r>
      <w:r>
        <w:rPr>
          <w:rFonts w:hint="eastAsia" w:ascii="黑体" w:eastAsia="黑体"/>
          <w:sz w:val="28"/>
        </w:rPr>
        <w:t>投</w:t>
      </w:r>
      <w:r>
        <w:rPr>
          <w:rFonts w:hint="eastAsia" w:ascii="黑体" w:eastAsia="黑体"/>
          <w:spacing w:val="-3"/>
          <w:sz w:val="28"/>
        </w:rPr>
        <w:t>标</w:t>
      </w:r>
      <w:r>
        <w:rPr>
          <w:rFonts w:hint="eastAsia" w:ascii="黑体" w:eastAsia="黑体"/>
          <w:sz w:val="28"/>
        </w:rPr>
        <w:t>人</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3"/>
          <w:sz w:val="28"/>
          <w:u w:val="single"/>
        </w:rPr>
        <w:tab/>
      </w:r>
      <w:r>
        <w:rPr>
          <w:rFonts w:hint="eastAsia" w:ascii="黑体" w:eastAsia="黑体"/>
          <w:spacing w:val="-3"/>
          <w:sz w:val="28"/>
          <w:u w:val="single"/>
        </w:rPr>
        <w:tab/>
      </w:r>
      <w:r>
        <w:rPr>
          <w:rFonts w:hint="eastAsia" w:ascii="黑体" w:eastAsia="黑体"/>
          <w:spacing w:val="-1"/>
          <w:sz w:val="28"/>
        </w:rPr>
        <w:t>（</w:t>
      </w:r>
      <w:r>
        <w:rPr>
          <w:rFonts w:hint="eastAsia" w:ascii="黑体" w:eastAsia="黑体"/>
          <w:spacing w:val="-3"/>
          <w:sz w:val="28"/>
        </w:rPr>
        <w:t>盖</w:t>
      </w:r>
      <w:r>
        <w:rPr>
          <w:rFonts w:hint="eastAsia" w:ascii="黑体" w:eastAsia="黑体"/>
          <w:spacing w:val="-1"/>
          <w:sz w:val="28"/>
        </w:rPr>
        <w:t>单位</w:t>
      </w:r>
      <w:r>
        <w:rPr>
          <w:rFonts w:hint="eastAsia" w:ascii="黑体" w:eastAsia="黑体"/>
          <w:spacing w:val="-3"/>
          <w:sz w:val="28"/>
        </w:rPr>
        <w:t>章</w:t>
      </w:r>
      <w:r>
        <w:rPr>
          <w:rFonts w:hint="eastAsia" w:ascii="黑体" w:eastAsia="黑体"/>
          <w:sz w:val="28"/>
        </w:rPr>
        <w:t>） 法</w:t>
      </w:r>
      <w:r>
        <w:rPr>
          <w:rFonts w:hint="eastAsia" w:ascii="黑体" w:eastAsia="黑体"/>
          <w:spacing w:val="-3"/>
          <w:sz w:val="28"/>
        </w:rPr>
        <w:t>定</w:t>
      </w:r>
      <w:r>
        <w:rPr>
          <w:rFonts w:hint="eastAsia" w:ascii="黑体" w:eastAsia="黑体"/>
          <w:sz w:val="28"/>
        </w:rPr>
        <w:t>代表</w:t>
      </w:r>
      <w:r>
        <w:rPr>
          <w:rFonts w:hint="eastAsia" w:ascii="黑体" w:eastAsia="黑体"/>
          <w:spacing w:val="-3"/>
          <w:sz w:val="28"/>
        </w:rPr>
        <w:t>人</w:t>
      </w:r>
      <w:r>
        <w:rPr>
          <w:rFonts w:hint="eastAsia" w:ascii="黑体" w:eastAsia="黑体"/>
          <w:sz w:val="28"/>
        </w:rPr>
        <w:t>或其</w:t>
      </w:r>
      <w:r>
        <w:rPr>
          <w:rFonts w:hint="eastAsia" w:ascii="黑体" w:eastAsia="黑体"/>
          <w:spacing w:val="-3"/>
          <w:sz w:val="28"/>
        </w:rPr>
        <w:t>委</w:t>
      </w:r>
      <w:r>
        <w:rPr>
          <w:rFonts w:hint="eastAsia" w:ascii="黑体" w:eastAsia="黑体"/>
          <w:sz w:val="28"/>
        </w:rPr>
        <w:t>托代</w:t>
      </w:r>
      <w:r>
        <w:rPr>
          <w:rFonts w:hint="eastAsia" w:ascii="黑体" w:eastAsia="黑体"/>
          <w:spacing w:val="-3"/>
          <w:sz w:val="28"/>
        </w:rPr>
        <w:t>理</w:t>
      </w:r>
      <w:r>
        <w:rPr>
          <w:rFonts w:hint="eastAsia" w:ascii="黑体" w:eastAsia="黑体"/>
          <w:sz w:val="28"/>
        </w:rPr>
        <w:t>人</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1"/>
          <w:sz w:val="28"/>
        </w:rPr>
        <w:t>（</w:t>
      </w:r>
      <w:r>
        <w:rPr>
          <w:rFonts w:hint="eastAsia" w:ascii="黑体" w:eastAsia="黑体"/>
          <w:spacing w:val="-3"/>
          <w:sz w:val="28"/>
        </w:rPr>
        <w:t>签</w:t>
      </w:r>
      <w:r>
        <w:rPr>
          <w:rFonts w:hint="eastAsia" w:ascii="黑体" w:eastAsia="黑体"/>
          <w:spacing w:val="-1"/>
          <w:sz w:val="28"/>
        </w:rPr>
        <w:t>字或</w:t>
      </w:r>
      <w:r>
        <w:rPr>
          <w:rFonts w:hint="eastAsia" w:ascii="黑体" w:eastAsia="黑体"/>
          <w:spacing w:val="-3"/>
          <w:sz w:val="28"/>
        </w:rPr>
        <w:t>盖</w:t>
      </w:r>
      <w:r>
        <w:rPr>
          <w:rFonts w:hint="eastAsia" w:ascii="黑体" w:eastAsia="黑体"/>
          <w:spacing w:val="-1"/>
          <w:sz w:val="28"/>
        </w:rPr>
        <w:t>章</w:t>
      </w:r>
      <w:r>
        <w:rPr>
          <w:rFonts w:hint="eastAsia" w:ascii="黑体" w:eastAsia="黑体"/>
          <w:sz w:val="28"/>
        </w:rPr>
        <w:t>）</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1"/>
        <w:rPr>
          <w:rFonts w:ascii="黑体"/>
        </w:rPr>
      </w:pPr>
    </w:p>
    <w:p>
      <w:pPr>
        <w:tabs>
          <w:tab w:val="left" w:pos="6956"/>
          <w:tab w:val="left" w:pos="8495"/>
          <w:tab w:val="left" w:pos="10035"/>
        </w:tabs>
        <w:spacing w:before="15"/>
        <w:ind w:left="5696" w:right="0" w:firstLine="0"/>
        <w:jc w:val="left"/>
        <w:rPr>
          <w:rFonts w:hint="eastAsia" w:ascii="黑体" w:eastAsia="黑体"/>
          <w:sz w:val="28"/>
        </w:rPr>
      </w:pPr>
      <w:r>
        <w:rPr>
          <w:rFonts w:ascii="Times New Roman" w:eastAsia="Times New Roman"/>
          <w:w w:val="100"/>
          <w:sz w:val="28"/>
          <w:u w:val="single"/>
        </w:rPr>
        <w:t xml:space="preserve"> </w:t>
      </w:r>
      <w:r>
        <w:rPr>
          <w:rFonts w:ascii="Times New Roman" w:eastAsia="Times New Roman"/>
          <w:sz w:val="28"/>
          <w:u w:val="single"/>
        </w:rPr>
        <w:tab/>
      </w:r>
      <w:r>
        <w:rPr>
          <w:rFonts w:hint="eastAsia" w:ascii="黑体" w:eastAsia="黑体"/>
          <w:spacing w:val="-3"/>
          <w:sz w:val="28"/>
        </w:rPr>
        <w:t>年</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spacing w:after="0"/>
        <w:jc w:val="left"/>
        <w:rPr>
          <w:rFonts w:hint="eastAsia" w:ascii="黑体" w:eastAsia="黑体"/>
          <w:sz w:val="28"/>
        </w:rPr>
        <w:sectPr>
          <w:pgSz w:w="11910" w:h="16840"/>
          <w:pgMar w:top="1000" w:right="740" w:bottom="760" w:left="740" w:header="808" w:footer="575" w:gutter="0"/>
          <w:pgNumType w:fmt="decimal"/>
        </w:sectPr>
      </w:pPr>
    </w:p>
    <w:p>
      <w:pPr>
        <w:pStyle w:val="3"/>
        <w:rPr>
          <w:rFonts w:ascii="黑体"/>
          <w:sz w:val="20"/>
        </w:rPr>
      </w:pPr>
    </w:p>
    <w:p>
      <w:pPr>
        <w:pStyle w:val="3"/>
        <w:spacing w:before="7"/>
        <w:rPr>
          <w:rFonts w:ascii="黑体"/>
          <w:sz w:val="18"/>
        </w:rPr>
      </w:pPr>
    </w:p>
    <w:p>
      <w:pPr>
        <w:spacing w:before="14"/>
        <w:ind w:left="112" w:right="0" w:firstLine="0"/>
        <w:jc w:val="left"/>
        <w:rPr>
          <w:rFonts w:hint="eastAsia" w:ascii="黑体" w:eastAsia="黑体"/>
          <w:b/>
          <w:sz w:val="28"/>
        </w:rPr>
      </w:pPr>
      <w:r>
        <w:rPr>
          <w:rFonts w:hint="eastAsia" w:ascii="黑体" w:eastAsia="黑体"/>
          <w:b/>
          <w:w w:val="95"/>
          <w:sz w:val="28"/>
        </w:rPr>
        <w:t>目录（应附有页码）</w:t>
      </w:r>
    </w:p>
    <w:p>
      <w:pPr>
        <w:pStyle w:val="3"/>
        <w:spacing w:before="3"/>
        <w:rPr>
          <w:rFonts w:ascii="黑体"/>
          <w:b/>
          <w:sz w:val="39"/>
        </w:rPr>
      </w:pPr>
    </w:p>
    <w:p>
      <w:pPr>
        <w:pStyle w:val="3"/>
        <w:spacing w:line="350" w:lineRule="auto"/>
        <w:ind w:left="112" w:right="7795"/>
        <w:rPr>
          <w:rStyle w:val="15"/>
        </w:rPr>
      </w:pPr>
      <w:r>
        <w:rPr>
          <w:rStyle w:val="15"/>
        </w:rPr>
        <w:t>一．投标函及投标函附录； 二．已标价工程量清单。</w:t>
      </w:r>
    </w:p>
    <w:p>
      <w:pPr>
        <w:spacing w:after="0" w:line="350" w:lineRule="auto"/>
        <w:rPr>
          <w:rStyle w:val="15"/>
        </w:rPr>
        <w:sectPr>
          <w:pgSz w:w="11910" w:h="16840"/>
          <w:pgMar w:top="1000" w:right="740" w:bottom="760" w:left="740" w:header="808" w:footer="575" w:gutter="0"/>
          <w:pgNumType w:fmt="decimal"/>
        </w:sectPr>
      </w:pPr>
    </w:p>
    <w:p>
      <w:pPr>
        <w:pStyle w:val="3"/>
        <w:rPr>
          <w:sz w:val="20"/>
        </w:rPr>
      </w:pPr>
    </w:p>
    <w:p>
      <w:pPr>
        <w:pStyle w:val="3"/>
        <w:spacing w:before="7"/>
        <w:rPr>
          <w:sz w:val="18"/>
        </w:rPr>
      </w:pPr>
    </w:p>
    <w:p>
      <w:pPr>
        <w:pStyle w:val="8"/>
      </w:pPr>
      <w:r>
        <w:rPr>
          <w:w w:val="95"/>
        </w:rPr>
        <w:t>一．投标函及投标函附录（格式）</w:t>
      </w:r>
    </w:p>
    <w:p>
      <w:pPr>
        <w:pStyle w:val="3"/>
        <w:rPr>
          <w:rFonts w:ascii="黑体"/>
          <w:b/>
          <w:sz w:val="20"/>
        </w:rPr>
      </w:pPr>
    </w:p>
    <w:p>
      <w:pPr>
        <w:pStyle w:val="3"/>
        <w:spacing w:before="8"/>
        <w:rPr>
          <w:rFonts w:ascii="黑体"/>
          <w:b/>
          <w:sz w:val="16"/>
        </w:rPr>
      </w:pPr>
    </w:p>
    <w:p>
      <w:pPr>
        <w:pStyle w:val="9"/>
        <w:ind w:left="4093" w:right="4169"/>
        <w:jc w:val="center"/>
        <w:rPr>
          <w:rStyle w:val="15"/>
        </w:rPr>
      </w:pPr>
      <w:r>
        <w:rPr>
          <w:rStyle w:val="15"/>
        </w:rPr>
        <w:t>（一）投标函</w:t>
      </w:r>
    </w:p>
    <w:p>
      <w:pPr>
        <w:pStyle w:val="3"/>
        <w:rPr>
          <w:b/>
          <w:sz w:val="20"/>
        </w:rPr>
      </w:pPr>
    </w:p>
    <w:p>
      <w:pPr>
        <w:pStyle w:val="3"/>
        <w:spacing w:before="3"/>
        <w:rPr>
          <w:b/>
          <w:sz w:val="20"/>
        </w:rPr>
      </w:pPr>
    </w:p>
    <w:p>
      <w:pPr>
        <w:pStyle w:val="3"/>
        <w:tabs>
          <w:tab w:val="left" w:pos="3668"/>
          <w:tab w:val="left" w:pos="5675"/>
          <w:tab w:val="left" w:pos="6371"/>
          <w:tab w:val="left" w:pos="7813"/>
          <w:tab w:val="left" w:pos="9284"/>
        </w:tabs>
        <w:spacing w:line="348" w:lineRule="auto"/>
        <w:ind w:left="112" w:right="185" w:firstLine="420"/>
        <w:jc w:val="both"/>
      </w:pPr>
      <w:r>
        <w:t>1.根据你方项目编号为</w:t>
      </w:r>
      <w:r>
        <w:rPr>
          <w:u w:val="single"/>
        </w:rPr>
        <w:t xml:space="preserve"> </w:t>
      </w:r>
      <w:r>
        <w:rPr>
          <w:u w:val="single"/>
        </w:rPr>
        <w:tab/>
      </w:r>
      <w:r>
        <w:t>（项目编号</w:t>
      </w:r>
      <w:r>
        <w:rPr>
          <w:spacing w:val="-15"/>
        </w:rPr>
        <w:t>）</w:t>
      </w:r>
      <w:r>
        <w:t>的</w:t>
      </w:r>
      <w:r>
        <w:rPr>
          <w:u w:val="single"/>
        </w:rPr>
        <w:t xml:space="preserve"> </w:t>
      </w:r>
      <w:r>
        <w:rPr>
          <w:u w:val="single"/>
        </w:rPr>
        <w:tab/>
      </w:r>
      <w:r>
        <w:rPr>
          <w:u w:val="single"/>
        </w:rPr>
        <w:tab/>
      </w:r>
      <w:r>
        <w:rPr>
          <w:rStyle w:val="15"/>
        </w:rPr>
        <w:t>（项目名称）工程招标文件，遵照《中华人  民共和国招标投标法》等有关规定，经踏勘项目现场和研究上述招标文件的投标须知、合同条款、图纸、工程建</w:t>
      </w:r>
      <w:r>
        <w:t>设标准和工程量清单及其他有关文件</w:t>
      </w:r>
      <w:r>
        <w:rPr>
          <w:spacing w:val="-3"/>
        </w:rPr>
        <w:t>后</w:t>
      </w:r>
      <w:r>
        <w:rPr>
          <w:spacing w:val="-13"/>
        </w:rPr>
        <w:t>，</w:t>
      </w:r>
      <w:r>
        <w:t>我方愿</w:t>
      </w:r>
      <w:r>
        <w:rPr>
          <w:spacing w:val="-15"/>
        </w:rPr>
        <w:t>以</w:t>
      </w:r>
      <w:r>
        <w:t>（人民币</w:t>
      </w:r>
      <w:r>
        <w:rPr>
          <w:spacing w:val="-13"/>
        </w:rPr>
        <w:t>：</w:t>
      </w:r>
      <w:r>
        <w:t>大写</w:t>
      </w:r>
      <w:r>
        <w:rPr>
          <w:spacing w:val="-13"/>
        </w:rPr>
        <w:t>）</w:t>
      </w:r>
      <w:r>
        <w:rPr>
          <w:spacing w:val="-13"/>
          <w:u w:val="single"/>
        </w:rPr>
        <w:t xml:space="preserve"> </w:t>
      </w:r>
      <w:r>
        <w:rPr>
          <w:spacing w:val="-13"/>
          <w:u w:val="single"/>
        </w:rPr>
        <w:tab/>
      </w:r>
      <w:r>
        <w:t>（¥</w:t>
      </w:r>
      <w:r>
        <w:rPr>
          <w:u w:val="single"/>
        </w:rPr>
        <w:t xml:space="preserve"> </w:t>
      </w:r>
      <w:r>
        <w:rPr>
          <w:u w:val="single"/>
        </w:rPr>
        <w:tab/>
      </w:r>
      <w:r>
        <w:rPr>
          <w:spacing w:val="-15"/>
          <w:w w:val="95"/>
        </w:rPr>
        <w:t>）</w:t>
      </w:r>
      <w:r>
        <w:rPr>
          <w:rStyle w:val="15"/>
        </w:rPr>
        <w:t>的投标报 价并按上述图纸、合同条款、工程建设标准和工程量清单（如有时）的条件要求承包上述工程的施工、竣工，并</w:t>
      </w:r>
      <w:r>
        <w:t>承担任何质量缺陷保修责任。我方保证工程质量达到</w:t>
      </w:r>
      <w:r>
        <w:rPr>
          <w:u w:val="single"/>
        </w:rPr>
        <w:t xml:space="preserve"> </w:t>
      </w:r>
      <w:r>
        <w:rPr>
          <w:u w:val="single"/>
        </w:rPr>
        <w:tab/>
      </w:r>
      <w:r>
        <w:rPr>
          <w:w w:val="95"/>
        </w:rPr>
        <w:t>等级。</w:t>
      </w:r>
    </w:p>
    <w:p>
      <w:pPr>
        <w:pStyle w:val="3"/>
        <w:spacing w:before="31"/>
        <w:ind w:left="532"/>
        <w:rPr>
          <w:rStyle w:val="15"/>
        </w:rPr>
      </w:pPr>
      <w:r>
        <w:rPr>
          <w:rStyle w:val="15"/>
        </w:rPr>
        <w:t>2.我方已详细审核全部招标文件，包括修改文件（如有时）及有关附件。</w:t>
      </w:r>
    </w:p>
    <w:p>
      <w:pPr>
        <w:pStyle w:val="3"/>
        <w:spacing w:before="126"/>
        <w:ind w:left="532"/>
        <w:rPr>
          <w:rStyle w:val="15"/>
        </w:rPr>
      </w:pPr>
      <w:r>
        <w:rPr>
          <w:rStyle w:val="15"/>
        </w:rPr>
        <w:t>3.我方承认投标函附录是我方投标函的组成部分。</w:t>
      </w:r>
    </w:p>
    <w:p>
      <w:pPr>
        <w:pStyle w:val="3"/>
        <w:tabs>
          <w:tab w:val="left" w:pos="5991"/>
        </w:tabs>
        <w:spacing w:before="123"/>
        <w:ind w:left="532"/>
        <w:rPr>
          <w:rStyle w:val="15"/>
        </w:rPr>
      </w:pPr>
      <w:r>
        <w:t>4.一旦我方中标，我方保证按合同书中规定的工期</w:t>
      </w:r>
      <w:r>
        <w:rPr>
          <w:u w:val="single"/>
        </w:rPr>
        <w:t xml:space="preserve"> </w:t>
      </w:r>
      <w:r>
        <w:rPr>
          <w:u w:val="single"/>
        </w:rPr>
        <w:tab/>
      </w:r>
      <w:r>
        <w:rPr>
          <w:rStyle w:val="15"/>
        </w:rPr>
        <w:t>日历天内完成并移交全部工程。</w:t>
      </w:r>
    </w:p>
    <w:p>
      <w:pPr>
        <w:pStyle w:val="3"/>
        <w:spacing w:before="125"/>
        <w:ind w:left="532"/>
        <w:rPr>
          <w:rStyle w:val="15"/>
        </w:rPr>
      </w:pPr>
      <w:r>
        <w:rPr>
          <w:rStyle w:val="15"/>
        </w:rPr>
        <w:t>5.如果我方中标，我方将按照文件规定提交履约保证金作为履约担保。</w:t>
      </w:r>
    </w:p>
    <w:p>
      <w:pPr>
        <w:pStyle w:val="3"/>
        <w:spacing w:before="125" w:line="348" w:lineRule="auto"/>
        <w:ind w:left="112" w:right="188" w:firstLine="420"/>
        <w:rPr>
          <w:rStyle w:val="15"/>
        </w:rPr>
      </w:pPr>
      <w:r>
        <w:t>6</w:t>
      </w:r>
      <w:r>
        <w:rPr>
          <w:spacing w:val="-6"/>
        </w:rPr>
        <w:t xml:space="preserve">.我方同意所提交的投标文件在招标文件的“投标人须知”中第 </w:t>
      </w:r>
      <w:r>
        <w:t>3.3.1</w:t>
      </w:r>
      <w:r>
        <w:rPr>
          <w:spacing w:val="-10"/>
        </w:rPr>
        <w:t xml:space="preserve"> 条规定的投标有效期内有效，在此期</w:t>
      </w:r>
      <w:r>
        <w:rPr>
          <w:rStyle w:val="15"/>
        </w:rPr>
        <w:t>间内如果中标，我方将受此约束。</w:t>
      </w:r>
    </w:p>
    <w:p>
      <w:pPr>
        <w:pStyle w:val="3"/>
        <w:spacing w:before="31"/>
        <w:ind w:left="532"/>
        <w:rPr>
          <w:rStyle w:val="15"/>
        </w:rPr>
      </w:pPr>
      <w:r>
        <w:rPr>
          <w:rStyle w:val="15"/>
        </w:rPr>
        <w:t>7.除非另外达成协议并生效，你方的中标通知书和本投标文件将成为约束双方的合同文件的组成部分。</w:t>
      </w:r>
    </w:p>
    <w:p>
      <w:pPr>
        <w:pStyle w:val="3"/>
        <w:tabs>
          <w:tab w:val="left" w:pos="6095"/>
          <w:tab w:val="left" w:pos="8511"/>
        </w:tabs>
        <w:spacing w:before="126"/>
        <w:ind w:left="532"/>
      </w:pPr>
      <w:r>
        <w:t>8.我方将与本投标函一起，提交无条件保函（保证额度</w:t>
      </w:r>
      <w:r>
        <w:rPr>
          <w:u w:val="single"/>
        </w:rPr>
        <w:t xml:space="preserve"> </w:t>
      </w:r>
      <w:r>
        <w:rPr>
          <w:u w:val="single"/>
        </w:rPr>
        <w:tab/>
      </w:r>
      <w:r>
        <w:t>元）或人民币</w:t>
      </w:r>
      <w:r>
        <w:rPr>
          <w:u w:val="single"/>
        </w:rPr>
        <w:t xml:space="preserve"> </w:t>
      </w:r>
      <w:r>
        <w:rPr>
          <w:u w:val="single"/>
        </w:rPr>
        <w:tab/>
      </w:r>
      <w:r>
        <w:rPr>
          <w:w w:val="95"/>
        </w:rPr>
        <w:t>元</w:t>
      </w:r>
      <w:r>
        <w:rPr>
          <w:rStyle w:val="15"/>
        </w:rPr>
        <w:t>作为投标保证金。</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spacing w:before="10"/>
      </w:pPr>
    </w:p>
    <w:p>
      <w:pPr>
        <w:pStyle w:val="3"/>
        <w:tabs>
          <w:tab w:val="left" w:pos="9056"/>
          <w:tab w:val="left" w:pos="10367"/>
        </w:tabs>
        <w:spacing w:line="350" w:lineRule="auto"/>
        <w:ind w:left="5960" w:right="138" w:hanging="264"/>
        <w:jc w:val="right"/>
        <w:rPr>
          <w:rFonts w:ascii="Times New Roman" w:eastAsia="Times New Roman"/>
        </w:rPr>
      </w:pPr>
      <w:r>
        <w:t>投标人：</w:t>
      </w:r>
      <w:r>
        <w:rPr>
          <w:u w:val="single"/>
        </w:rPr>
        <w:t xml:space="preserve"> </w:t>
      </w:r>
      <w:r>
        <w:rPr>
          <w:u w:val="single"/>
        </w:rPr>
        <w:tab/>
      </w:r>
      <w:r>
        <w:rPr>
          <w:rStyle w:val="15"/>
        </w:rPr>
        <w:t>（盖单位章）</w:t>
      </w:r>
      <w:r>
        <w:rPr>
          <w:w w:val="95"/>
        </w:rPr>
        <w:t xml:space="preserve"> </w:t>
      </w:r>
      <w:r>
        <w:rPr>
          <w:rStyle w:val="15"/>
        </w:rPr>
        <w:t>单位地址：</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p>
    <w:p>
      <w:pPr>
        <w:pStyle w:val="3"/>
        <w:tabs>
          <w:tab w:val="left" w:pos="7537"/>
          <w:tab w:val="left" w:pos="7796"/>
          <w:tab w:val="left" w:pos="8586"/>
          <w:tab w:val="left" w:pos="8845"/>
          <w:tab w:val="left" w:pos="9107"/>
          <w:tab w:val="left" w:pos="9637"/>
          <w:tab w:val="left" w:pos="10367"/>
        </w:tabs>
        <w:spacing w:before="27" w:line="350" w:lineRule="auto"/>
        <w:ind w:left="5960" w:right="138" w:hanging="684"/>
        <w:jc w:val="right"/>
      </w:pPr>
      <w:r>
        <w:t>法定代表人或授权委托代理人：</w:t>
      </w:r>
      <w:r>
        <w:rPr>
          <w:u w:val="single"/>
        </w:rPr>
        <w:t xml:space="preserve"> </w:t>
      </w:r>
      <w:r>
        <w:rPr>
          <w:u w:val="single"/>
        </w:rPr>
        <w:tab/>
      </w:r>
      <w:r>
        <w:rPr>
          <w:u w:val="single"/>
        </w:rPr>
        <w:tab/>
      </w:r>
      <w:r>
        <w:rPr>
          <w:rStyle w:val="15"/>
        </w:rPr>
        <w:t>（签字或盖章）</w:t>
      </w:r>
      <w:r>
        <w:rPr>
          <w:w w:val="95"/>
        </w:rPr>
        <w:t xml:space="preserve"> </w:t>
      </w:r>
      <w:r>
        <w:t>邮政编码：</w:t>
      </w:r>
      <w:r>
        <w:rPr>
          <w:u w:val="single"/>
        </w:rPr>
        <w:t xml:space="preserve"> </w:t>
      </w:r>
      <w:r>
        <w:rPr>
          <w:u w:val="single"/>
        </w:rPr>
        <w:tab/>
      </w:r>
      <w:r>
        <w:rPr>
          <w:u w:val="single"/>
        </w:rPr>
        <w:tab/>
      </w:r>
      <w:r>
        <w:t>电话：</w:t>
      </w:r>
      <w:r>
        <w:rPr>
          <w:u w:val="single"/>
        </w:rPr>
        <w:tab/>
      </w:r>
      <w:r>
        <w:rPr>
          <w:u w:val="single"/>
        </w:rPr>
        <w:tab/>
      </w:r>
      <w:r>
        <w:rPr>
          <w:u w:val="single"/>
        </w:rPr>
        <w:tab/>
      </w:r>
      <w:r>
        <w:t>传真：</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Style w:val="15"/>
        </w:rPr>
        <w:t>开户银行名称：</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rPr>
          <w:rStyle w:val="15"/>
        </w:rPr>
        <w:t>开户银行账号：</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rPr>
          <w:rStyle w:val="15"/>
        </w:rPr>
        <w:t>开户银行地址：</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rPr>
          <w:rStyle w:val="15"/>
        </w:rPr>
        <w:t>开户银行电话：</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u w:val="single"/>
        </w:rPr>
        <w:tab/>
      </w:r>
      <w:r>
        <w:rPr>
          <w:spacing w:val="-1"/>
          <w:w w:val="95"/>
        </w:rPr>
        <w:t>日</w:t>
      </w:r>
    </w:p>
    <w:p>
      <w:pPr>
        <w:spacing w:after="0" w:line="350" w:lineRule="auto"/>
        <w:jc w:val="right"/>
        <w:sectPr>
          <w:pgSz w:w="11910" w:h="16840"/>
          <w:pgMar w:top="1000" w:right="660" w:bottom="760" w:left="740" w:header="808" w:footer="575" w:gutter="0"/>
          <w:pgNumType w:fmt="decimal"/>
        </w:sectPr>
      </w:pPr>
    </w:p>
    <w:p>
      <w:pPr>
        <w:pStyle w:val="3"/>
        <w:rPr>
          <w:sz w:val="20"/>
        </w:rPr>
      </w:pPr>
    </w:p>
    <w:p>
      <w:pPr>
        <w:pStyle w:val="3"/>
        <w:tabs>
          <w:tab w:val="left" w:pos="2855"/>
        </w:tabs>
        <w:spacing w:before="148"/>
      </w:pPr>
    </w:p>
    <w:p>
      <w:pPr>
        <w:pStyle w:val="3"/>
        <w:tabs>
          <w:tab w:val="left" w:pos="2855"/>
        </w:tabs>
        <w:spacing w:before="148"/>
        <w:ind w:left="232"/>
        <w:jc w:val="center"/>
        <w:rPr>
          <w:b/>
          <w:bCs/>
        </w:rPr>
      </w:pPr>
      <w:r>
        <w:rPr>
          <w:rStyle w:val="15"/>
          <w:b/>
          <w:bCs/>
        </w:rPr>
        <w:t>（二）投标函附录</w:t>
      </w:r>
    </w:p>
    <w:p>
      <w:pPr>
        <w:pStyle w:val="9"/>
        <w:ind w:left="0" w:leftChars="0" w:firstLine="0" w:firstLineChars="0"/>
        <w:rPr>
          <w:b w:val="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序 号</w:t>
            </w:r>
          </w:p>
        </w:tc>
        <w:tc>
          <w:tcPr>
            <w:tcW w:w="1985" w:type="dxa"/>
            <w:noWrap w:val="0"/>
            <w:vAlign w:val="center"/>
          </w:tcPr>
          <w:p>
            <w:pPr>
              <w:jc w:val="center"/>
              <w:rPr>
                <w:szCs w:val="21"/>
              </w:rPr>
            </w:pPr>
            <w:r>
              <w:rPr>
                <w:szCs w:val="21"/>
              </w:rPr>
              <w:t>条款内容</w:t>
            </w:r>
          </w:p>
        </w:tc>
        <w:tc>
          <w:tcPr>
            <w:tcW w:w="2126" w:type="dxa"/>
            <w:noWrap w:val="0"/>
            <w:vAlign w:val="center"/>
          </w:tcPr>
          <w:p>
            <w:pPr>
              <w:jc w:val="center"/>
              <w:rPr>
                <w:szCs w:val="21"/>
              </w:rPr>
            </w:pPr>
            <w:r>
              <w:rPr>
                <w:szCs w:val="21"/>
              </w:rPr>
              <w:t>合同条款号</w:t>
            </w:r>
          </w:p>
        </w:tc>
        <w:tc>
          <w:tcPr>
            <w:tcW w:w="1984" w:type="dxa"/>
            <w:noWrap w:val="0"/>
            <w:vAlign w:val="center"/>
          </w:tcPr>
          <w:p>
            <w:pPr>
              <w:jc w:val="center"/>
              <w:rPr>
                <w:szCs w:val="21"/>
              </w:rPr>
            </w:pPr>
            <w:r>
              <w:rPr>
                <w:szCs w:val="21"/>
              </w:rPr>
              <w:t>约定内容</w:t>
            </w:r>
          </w:p>
        </w:tc>
        <w:tc>
          <w:tcPr>
            <w:tcW w:w="1843" w:type="dxa"/>
            <w:noWrap w:val="0"/>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1</w:t>
            </w:r>
          </w:p>
        </w:tc>
        <w:tc>
          <w:tcPr>
            <w:tcW w:w="1985" w:type="dxa"/>
            <w:noWrap w:val="0"/>
            <w:vAlign w:val="center"/>
          </w:tcPr>
          <w:p>
            <w:pPr>
              <w:rPr>
                <w:szCs w:val="21"/>
              </w:rPr>
            </w:pPr>
            <w:r>
              <w:rPr>
                <w:szCs w:val="21"/>
              </w:rPr>
              <w:t>项目经理</w:t>
            </w:r>
          </w:p>
        </w:tc>
        <w:tc>
          <w:tcPr>
            <w:tcW w:w="2126" w:type="dxa"/>
            <w:noWrap w:val="0"/>
            <w:tcMar>
              <w:left w:w="170" w:type="dxa"/>
            </w:tcMar>
            <w:vAlign w:val="center"/>
          </w:tcPr>
          <w:p>
            <w:pPr>
              <w:jc w:val="center"/>
              <w:rPr>
                <w:szCs w:val="21"/>
              </w:rPr>
            </w:pPr>
            <w:r>
              <w:rPr>
                <w:rFonts w:hint="eastAsia"/>
                <w:szCs w:val="21"/>
              </w:rPr>
              <w:t>专用条款</w:t>
            </w:r>
          </w:p>
        </w:tc>
        <w:tc>
          <w:tcPr>
            <w:tcW w:w="1984" w:type="dxa"/>
            <w:noWrap w:val="0"/>
            <w:vAlign w:val="center"/>
          </w:tcPr>
          <w:p>
            <w:pPr>
              <w:rPr>
                <w:szCs w:val="21"/>
              </w:rPr>
            </w:pPr>
            <w:r>
              <w:rPr>
                <w:szCs w:val="21"/>
              </w:rPr>
              <w:t>姓名：</w:t>
            </w:r>
            <w:r>
              <w:rPr>
                <w:szCs w:val="21"/>
                <w:u w:val="single"/>
              </w:rPr>
              <w:t xml:space="preserve">          </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rFonts w:hint="eastAsia"/>
                <w:szCs w:val="21"/>
              </w:rPr>
              <w:t>2</w:t>
            </w:r>
          </w:p>
        </w:tc>
        <w:tc>
          <w:tcPr>
            <w:tcW w:w="1985" w:type="dxa"/>
            <w:noWrap w:val="0"/>
            <w:vAlign w:val="center"/>
          </w:tcPr>
          <w:p>
            <w:pPr>
              <w:rPr>
                <w:szCs w:val="21"/>
              </w:rPr>
            </w:pPr>
            <w:r>
              <w:rPr>
                <w:rFonts w:hint="eastAsia"/>
                <w:szCs w:val="21"/>
              </w:rPr>
              <w:t>投标有效期</w:t>
            </w:r>
          </w:p>
        </w:tc>
        <w:tc>
          <w:tcPr>
            <w:tcW w:w="2126" w:type="dxa"/>
            <w:noWrap w:val="0"/>
            <w:tcMar>
              <w:left w:w="170" w:type="dxa"/>
            </w:tcMar>
            <w:vAlign w:val="center"/>
          </w:tcPr>
          <w:p>
            <w:pPr>
              <w:rPr>
                <w:szCs w:val="21"/>
              </w:rPr>
            </w:pPr>
          </w:p>
        </w:tc>
        <w:tc>
          <w:tcPr>
            <w:tcW w:w="1984" w:type="dxa"/>
            <w:noWrap w:val="0"/>
            <w:vAlign w:val="center"/>
          </w:tcPr>
          <w:p>
            <w:pPr>
              <w:jc w:val="center"/>
              <w:rPr>
                <w:szCs w:val="21"/>
                <w:u w:val="single"/>
              </w:rPr>
            </w:pPr>
            <w:r>
              <w:rPr>
                <w:szCs w:val="21"/>
                <w:u w:val="single"/>
              </w:rPr>
              <w:t xml:space="preserve">          </w:t>
            </w:r>
            <w:r>
              <w:rPr>
                <w:szCs w:val="21"/>
              </w:rPr>
              <w:t>日历天</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3</w:t>
            </w:r>
          </w:p>
        </w:tc>
        <w:tc>
          <w:tcPr>
            <w:tcW w:w="1985" w:type="dxa"/>
            <w:noWrap w:val="0"/>
            <w:vAlign w:val="center"/>
          </w:tcPr>
          <w:p>
            <w:pPr>
              <w:rPr>
                <w:szCs w:val="21"/>
              </w:rPr>
            </w:pPr>
            <w:r>
              <w:rPr>
                <w:szCs w:val="21"/>
              </w:rPr>
              <w:t>工期</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r>
              <w:rPr>
                <w:szCs w:val="21"/>
                <w:u w:val="single"/>
              </w:rPr>
              <w:t xml:space="preserve">          </w:t>
            </w:r>
            <w:r>
              <w:rPr>
                <w:szCs w:val="21"/>
              </w:rPr>
              <w:t>日历天</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4</w:t>
            </w:r>
          </w:p>
        </w:tc>
        <w:tc>
          <w:tcPr>
            <w:tcW w:w="1985" w:type="dxa"/>
            <w:noWrap w:val="0"/>
            <w:vAlign w:val="center"/>
          </w:tcPr>
          <w:p>
            <w:pPr>
              <w:rPr>
                <w:szCs w:val="21"/>
              </w:rPr>
            </w:pPr>
            <w:r>
              <w:rPr>
                <w:szCs w:val="21"/>
              </w:rPr>
              <w:t>缺陷责任期</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5</w:t>
            </w:r>
          </w:p>
        </w:tc>
        <w:tc>
          <w:tcPr>
            <w:tcW w:w="1985" w:type="dxa"/>
            <w:noWrap w:val="0"/>
            <w:vAlign w:val="center"/>
          </w:tcPr>
          <w:p>
            <w:pPr>
              <w:rPr>
                <w:szCs w:val="21"/>
              </w:rPr>
            </w:pPr>
            <w:r>
              <w:rPr>
                <w:szCs w:val="21"/>
              </w:rPr>
              <w:t>发包人支付担保</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6</w:t>
            </w:r>
          </w:p>
        </w:tc>
        <w:tc>
          <w:tcPr>
            <w:tcW w:w="1985" w:type="dxa"/>
            <w:noWrap w:val="0"/>
            <w:vAlign w:val="center"/>
          </w:tcPr>
          <w:p>
            <w:pPr>
              <w:rPr>
                <w:szCs w:val="21"/>
              </w:rPr>
            </w:pPr>
            <w:r>
              <w:rPr>
                <w:szCs w:val="21"/>
              </w:rPr>
              <w:t>承包人履约担保金额</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7</w:t>
            </w:r>
          </w:p>
        </w:tc>
        <w:tc>
          <w:tcPr>
            <w:tcW w:w="1985" w:type="dxa"/>
            <w:noWrap w:val="0"/>
            <w:vAlign w:val="center"/>
          </w:tcPr>
          <w:p>
            <w:pPr>
              <w:rPr>
                <w:szCs w:val="21"/>
              </w:rPr>
            </w:pPr>
            <w:r>
              <w:rPr>
                <w:szCs w:val="21"/>
              </w:rPr>
              <w:t>分包</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r>
              <w:rPr>
                <w:szCs w:val="21"/>
              </w:rPr>
              <w:t>见分包项目情况表</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8</w:t>
            </w:r>
          </w:p>
        </w:tc>
        <w:tc>
          <w:tcPr>
            <w:tcW w:w="1985" w:type="dxa"/>
            <w:noWrap w:val="0"/>
            <w:vAlign w:val="center"/>
          </w:tcPr>
          <w:p>
            <w:pPr>
              <w:rPr>
                <w:szCs w:val="21"/>
              </w:rPr>
            </w:pPr>
            <w:r>
              <w:rPr>
                <w:szCs w:val="21"/>
              </w:rPr>
              <w:t>逾期竣工违约金</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rPr>
                <w:szCs w:val="21"/>
              </w:rPr>
            </w:pPr>
            <w:r>
              <w:rPr>
                <w:rFonts w:hint="eastAsia"/>
                <w:szCs w:val="21"/>
              </w:rPr>
              <w:t>合同价款</w:t>
            </w:r>
            <w:r>
              <w:rPr>
                <w:szCs w:val="21"/>
                <w:u w:val="single"/>
              </w:rPr>
              <w:t xml:space="preserve">    </w:t>
            </w:r>
            <w:r>
              <w:rPr>
                <w:rFonts w:hint="eastAsia"/>
                <w:szCs w:val="21"/>
              </w:rPr>
              <w:t>%</w:t>
            </w:r>
            <w:r>
              <w:rPr>
                <w:szCs w:val="21"/>
              </w:rPr>
              <w:t>/天</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9</w:t>
            </w:r>
          </w:p>
        </w:tc>
        <w:tc>
          <w:tcPr>
            <w:tcW w:w="1985" w:type="dxa"/>
            <w:noWrap w:val="0"/>
            <w:vAlign w:val="center"/>
          </w:tcPr>
          <w:p>
            <w:pPr>
              <w:rPr>
                <w:szCs w:val="21"/>
              </w:rPr>
            </w:pPr>
            <w:r>
              <w:rPr>
                <w:szCs w:val="21"/>
              </w:rPr>
              <w:t>逾期竣工违约金最高限额</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rPr>
                <w:szCs w:val="21"/>
              </w:rPr>
            </w:pPr>
            <w:r>
              <w:rPr>
                <w:rFonts w:hint="eastAsia"/>
                <w:szCs w:val="21"/>
              </w:rPr>
              <w:t>合同价款</w:t>
            </w:r>
            <w:r>
              <w:rPr>
                <w:szCs w:val="21"/>
                <w:u w:val="single"/>
              </w:rPr>
              <w:t xml:space="preserve">    </w:t>
            </w:r>
            <w:r>
              <w:rPr>
                <w:rFonts w:hint="eastAsia"/>
                <w:szCs w:val="21"/>
                <w:u w:val="single"/>
              </w:rPr>
              <w:t>%</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10</w:t>
            </w:r>
          </w:p>
        </w:tc>
        <w:tc>
          <w:tcPr>
            <w:tcW w:w="1985" w:type="dxa"/>
            <w:noWrap w:val="0"/>
            <w:vAlign w:val="center"/>
          </w:tcPr>
          <w:p>
            <w:pPr>
              <w:rPr>
                <w:szCs w:val="21"/>
              </w:rPr>
            </w:pPr>
            <w:r>
              <w:rPr>
                <w:szCs w:val="21"/>
              </w:rPr>
              <w:t>质量标准</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r>
              <w:rPr>
                <w:rFonts w:hint="eastAsia"/>
                <w:szCs w:val="21"/>
                <w:u w:val="single"/>
              </w:rPr>
              <w:t xml:space="preserve">       </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11</w:t>
            </w:r>
          </w:p>
        </w:tc>
        <w:tc>
          <w:tcPr>
            <w:tcW w:w="1985" w:type="dxa"/>
            <w:noWrap w:val="0"/>
            <w:vAlign w:val="center"/>
          </w:tcPr>
          <w:p>
            <w:pPr>
              <w:rPr>
                <w:szCs w:val="21"/>
              </w:rPr>
            </w:pPr>
            <w:r>
              <w:rPr>
                <w:szCs w:val="21"/>
              </w:rPr>
              <w:t>预付款额度</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r>
              <w:rPr>
                <w:rFonts w:hint="eastAsia"/>
                <w:szCs w:val="21"/>
                <w:u w:val="single"/>
              </w:rPr>
              <w:t xml:space="preserve">       </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12</w:t>
            </w:r>
          </w:p>
        </w:tc>
        <w:tc>
          <w:tcPr>
            <w:tcW w:w="1985" w:type="dxa"/>
            <w:noWrap w:val="0"/>
            <w:vAlign w:val="center"/>
          </w:tcPr>
          <w:p>
            <w:pPr>
              <w:rPr>
                <w:szCs w:val="21"/>
              </w:rPr>
            </w:pPr>
            <w:r>
              <w:rPr>
                <w:szCs w:val="21"/>
              </w:rPr>
              <w:t>预付款保函金额</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r>
              <w:rPr>
                <w:rFonts w:hint="eastAsia"/>
                <w:szCs w:val="21"/>
                <w:u w:val="single"/>
              </w:rPr>
              <w:t xml:space="preserve">       </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rFonts w:hint="eastAsia"/>
                <w:szCs w:val="21"/>
              </w:rPr>
              <w:t>13</w:t>
            </w:r>
          </w:p>
        </w:tc>
        <w:tc>
          <w:tcPr>
            <w:tcW w:w="1985" w:type="dxa"/>
            <w:noWrap w:val="0"/>
            <w:vAlign w:val="center"/>
          </w:tcPr>
          <w:p>
            <w:pPr>
              <w:rPr>
                <w:szCs w:val="21"/>
              </w:rPr>
            </w:pPr>
            <w:r>
              <w:rPr>
                <w:szCs w:val="21"/>
              </w:rPr>
              <w:t>质量保证金额度</w:t>
            </w:r>
          </w:p>
        </w:tc>
        <w:tc>
          <w:tcPr>
            <w:tcW w:w="2126" w:type="dxa"/>
            <w:noWrap w:val="0"/>
            <w:tcMar>
              <w:left w:w="170" w:type="dxa"/>
            </w:tcMar>
            <w:vAlign w:val="center"/>
          </w:tcPr>
          <w:p>
            <w:pPr>
              <w:jc w:val="center"/>
            </w:pPr>
            <w:r>
              <w:rPr>
                <w:rFonts w:hint="eastAsia"/>
                <w:szCs w:val="21"/>
              </w:rPr>
              <w:t>专用条款</w:t>
            </w:r>
          </w:p>
        </w:tc>
        <w:tc>
          <w:tcPr>
            <w:tcW w:w="1984" w:type="dxa"/>
            <w:noWrap w:val="0"/>
            <w:vAlign w:val="center"/>
          </w:tcPr>
          <w:p>
            <w:pPr>
              <w:jc w:val="center"/>
              <w:rPr>
                <w:szCs w:val="21"/>
              </w:rPr>
            </w:pPr>
            <w:r>
              <w:rPr>
                <w:rFonts w:hint="eastAsia"/>
                <w:szCs w:val="21"/>
              </w:rPr>
              <w:t>结算价的</w:t>
            </w:r>
            <w:r>
              <w:rPr>
                <w:rFonts w:hint="eastAsia"/>
                <w:szCs w:val="21"/>
                <w:u w:val="single"/>
              </w:rPr>
              <w:t xml:space="preserve">     </w:t>
            </w:r>
            <w:r>
              <w:rPr>
                <w:rFonts w:hint="eastAsia"/>
                <w:szCs w:val="21"/>
              </w:rPr>
              <w:t xml:space="preserve">% </w:t>
            </w:r>
            <w:r>
              <w:rPr>
                <w:rFonts w:hint="eastAsia"/>
                <w:szCs w:val="21"/>
                <w:u w:val="single"/>
              </w:rPr>
              <w:t xml:space="preserve"> </w:t>
            </w: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szCs w:val="21"/>
              </w:rPr>
            </w:pPr>
            <w:r>
              <w:rPr>
                <w:szCs w:val="21"/>
              </w:rPr>
              <w:t>……</w:t>
            </w:r>
          </w:p>
        </w:tc>
        <w:tc>
          <w:tcPr>
            <w:tcW w:w="1985" w:type="dxa"/>
            <w:noWrap w:val="0"/>
            <w:vAlign w:val="center"/>
          </w:tcPr>
          <w:p>
            <w:pPr>
              <w:jc w:val="center"/>
              <w:rPr>
                <w:szCs w:val="21"/>
              </w:rPr>
            </w:pPr>
            <w:r>
              <w:rPr>
                <w:szCs w:val="21"/>
              </w:rPr>
              <w:t>……</w:t>
            </w:r>
          </w:p>
        </w:tc>
        <w:tc>
          <w:tcPr>
            <w:tcW w:w="2126" w:type="dxa"/>
            <w:noWrap w:val="0"/>
            <w:tcMar>
              <w:left w:w="170" w:type="dxa"/>
            </w:tcMar>
            <w:vAlign w:val="center"/>
          </w:tcPr>
          <w:p>
            <w:pPr>
              <w:rPr>
                <w:szCs w:val="21"/>
              </w:rPr>
            </w:pPr>
          </w:p>
        </w:tc>
        <w:tc>
          <w:tcPr>
            <w:tcW w:w="1984" w:type="dxa"/>
            <w:noWrap w:val="0"/>
            <w:vAlign w:val="center"/>
          </w:tcPr>
          <w:p>
            <w:pPr>
              <w:jc w:val="center"/>
              <w:rPr>
                <w:szCs w:val="21"/>
              </w:rPr>
            </w:pPr>
          </w:p>
        </w:tc>
        <w:tc>
          <w:tcPr>
            <w:tcW w:w="184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szCs w:val="21"/>
              </w:rPr>
            </w:pPr>
            <w:r>
              <w:rPr>
                <w:szCs w:val="21"/>
              </w:rPr>
              <w:t>备注：投标人在响应招标文件中规定的实质性要求和条件的基础上，可做出其他有利于招标人的承诺。此类承诺可在本表中予以补充填写。</w:t>
            </w:r>
          </w:p>
        </w:tc>
      </w:tr>
    </w:tbl>
    <w:p>
      <w:pPr>
        <w:pStyle w:val="3"/>
        <w:tabs>
          <w:tab w:val="left" w:pos="9056"/>
          <w:tab w:val="left" w:pos="10367"/>
        </w:tabs>
        <w:spacing w:line="350" w:lineRule="auto"/>
        <w:ind w:right="138"/>
        <w:jc w:val="right"/>
      </w:pPr>
    </w:p>
    <w:p>
      <w:pPr>
        <w:pStyle w:val="3"/>
        <w:tabs>
          <w:tab w:val="left" w:pos="9056"/>
          <w:tab w:val="left" w:pos="10367"/>
        </w:tabs>
        <w:spacing w:line="350" w:lineRule="auto"/>
        <w:ind w:right="138"/>
        <w:jc w:val="right"/>
        <w:rPr>
          <w:w w:val="95"/>
        </w:rPr>
      </w:pPr>
      <w:r>
        <w:t>投标人：</w:t>
      </w:r>
      <w:r>
        <w:rPr>
          <w:u w:val="single"/>
        </w:rPr>
        <w:t xml:space="preserve"> </w:t>
      </w:r>
      <w:r>
        <w:rPr>
          <w:rFonts w:hint="eastAsia"/>
          <w:u w:val="single"/>
          <w:lang w:val="en-US" w:eastAsia="zh-CN"/>
        </w:rPr>
        <w:t xml:space="preserve">                                          </w:t>
      </w:r>
      <w:r>
        <w:rPr>
          <w:rFonts w:hint="eastAsia"/>
          <w:u w:val="none"/>
          <w:lang w:val="en-US" w:eastAsia="zh-CN"/>
        </w:rPr>
        <w:t>（</w:t>
      </w:r>
      <w:r>
        <w:rPr>
          <w:rStyle w:val="15"/>
          <w:u w:val="none"/>
        </w:rPr>
        <w:t>盖单位章</w:t>
      </w:r>
      <w:r>
        <w:rPr>
          <w:rFonts w:hint="eastAsia"/>
          <w:u w:val="none"/>
          <w:lang w:val="en-US" w:eastAsia="zh-CN"/>
        </w:rPr>
        <w:t>）</w:t>
      </w:r>
    </w:p>
    <w:p>
      <w:pPr>
        <w:pStyle w:val="9"/>
        <w:ind w:left="0" w:leftChars="0" w:firstLine="0" w:firstLineChars="0"/>
        <w:jc w:val="right"/>
        <w:rPr>
          <w:sz w:val="20"/>
        </w:rPr>
      </w:pPr>
      <w:r>
        <w:rPr>
          <w:b w:val="0"/>
          <w:bCs w:val="0"/>
        </w:rPr>
        <w:t>法定代表人或授权委托代理人：</w:t>
      </w:r>
      <w:r>
        <w:rPr>
          <w:b w:val="0"/>
          <w:bCs w:val="0"/>
          <w:u w:val="single"/>
        </w:rPr>
        <w:t xml:space="preserve"> </w:t>
      </w:r>
      <w:r>
        <w:rPr>
          <w:b w:val="0"/>
          <w:bCs w:val="0"/>
          <w:u w:val="single"/>
        </w:rPr>
        <w:tab/>
      </w:r>
      <w:r>
        <w:rPr>
          <w:b w:val="0"/>
          <w:bCs w:val="0"/>
          <w:u w:val="single"/>
        </w:rPr>
        <w:tab/>
      </w:r>
      <w:r>
        <w:rPr>
          <w:rStyle w:val="15"/>
          <w:b w:val="0"/>
          <w:bCs w:val="0"/>
        </w:rPr>
        <w:t>（签字或盖章）</w:t>
      </w:r>
    </w:p>
    <w:p>
      <w:pPr>
        <w:spacing w:line="480" w:lineRule="exact"/>
        <w:jc w:val="right"/>
        <w:rPr>
          <w:szCs w:val="21"/>
        </w:rPr>
      </w:pPr>
      <w:r>
        <w:rPr>
          <w:szCs w:val="21"/>
        </w:rPr>
        <w:t>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3"/>
        <w:spacing w:before="7"/>
        <w:rPr>
          <w:sz w:val="18"/>
        </w:rPr>
      </w:pPr>
    </w:p>
    <w:p>
      <w:pPr>
        <w:pStyle w:val="3"/>
        <w:spacing w:before="7"/>
        <w:rPr>
          <w:sz w:val="18"/>
        </w:rPr>
      </w:pPr>
    </w:p>
    <w:p>
      <w:pPr>
        <w:pStyle w:val="3"/>
        <w:spacing w:before="7"/>
        <w:rPr>
          <w:sz w:val="18"/>
        </w:rPr>
      </w:pPr>
    </w:p>
    <w:p>
      <w:pPr>
        <w:pStyle w:val="3"/>
        <w:spacing w:before="7"/>
        <w:rPr>
          <w:sz w:val="18"/>
        </w:rPr>
      </w:pPr>
    </w:p>
    <w:p>
      <w:pPr>
        <w:pStyle w:val="3"/>
        <w:spacing w:before="7"/>
        <w:rPr>
          <w:sz w:val="18"/>
        </w:rPr>
      </w:pPr>
    </w:p>
    <w:p>
      <w:pPr>
        <w:pStyle w:val="3"/>
        <w:spacing w:before="7"/>
        <w:rPr>
          <w:sz w:val="18"/>
        </w:rPr>
      </w:pPr>
    </w:p>
    <w:p>
      <w:pPr>
        <w:pStyle w:val="3"/>
        <w:spacing w:before="7"/>
        <w:rPr>
          <w:sz w:val="18"/>
        </w:rPr>
      </w:pPr>
    </w:p>
    <w:p>
      <w:pPr>
        <w:pStyle w:val="3"/>
        <w:spacing w:before="7"/>
        <w:rPr>
          <w:sz w:val="18"/>
        </w:rPr>
      </w:pPr>
    </w:p>
    <w:p>
      <w:pPr>
        <w:pStyle w:val="3"/>
        <w:spacing w:before="7"/>
        <w:rPr>
          <w:sz w:val="18"/>
        </w:rPr>
      </w:pPr>
    </w:p>
    <w:p>
      <w:pPr>
        <w:pStyle w:val="3"/>
        <w:spacing w:before="7"/>
        <w:rPr>
          <w:sz w:val="18"/>
        </w:rPr>
      </w:pPr>
    </w:p>
    <w:p>
      <w:pPr>
        <w:pStyle w:val="8"/>
        <w:rPr>
          <w:w w:val="95"/>
        </w:rPr>
      </w:pPr>
    </w:p>
    <w:p>
      <w:pPr>
        <w:pStyle w:val="8"/>
      </w:pPr>
      <w:r>
        <w:rPr>
          <w:w w:val="95"/>
        </w:rPr>
        <w:t>二</w:t>
      </w:r>
      <w:r>
        <w:rPr>
          <w:rFonts w:hint="eastAsia" w:ascii="宋体" w:eastAsia="宋体"/>
          <w:b w:val="0"/>
          <w:w w:val="95"/>
          <w:sz w:val="21"/>
        </w:rPr>
        <w:t>．</w:t>
      </w:r>
      <w:r>
        <w:rPr>
          <w:w w:val="95"/>
        </w:rPr>
        <w:t>已标价工程量清单</w:t>
      </w:r>
    </w:p>
    <w:p>
      <w:pPr>
        <w:pStyle w:val="3"/>
        <w:spacing w:before="3"/>
        <w:rPr>
          <w:rFonts w:ascii="黑体"/>
          <w:b/>
          <w:sz w:val="39"/>
        </w:rPr>
      </w:pPr>
    </w:p>
    <w:p>
      <w:pPr>
        <w:pStyle w:val="3"/>
        <w:ind w:left="112"/>
        <w:rPr>
          <w:rStyle w:val="15"/>
        </w:rPr>
      </w:pPr>
      <w:r>
        <w:rPr>
          <w:rStyle w:val="15"/>
        </w:rPr>
        <w:t>投标人应该按照第五章“工程量清单”的要求逐项填报工程量清单。</w:t>
      </w:r>
    </w:p>
    <w:p>
      <w:pPr>
        <w:spacing w:after="0"/>
        <w:sectPr>
          <w:footerReference r:id="rId15" w:type="default"/>
          <w:pgSz w:w="11910" w:h="16840"/>
          <w:pgMar w:top="1000" w:right="740" w:bottom="760" w:left="740" w:header="808" w:footer="575" w:gutter="0"/>
          <w:pgNumType w:fmt="decimal"/>
        </w:sectPr>
      </w:pPr>
    </w:p>
    <w:p>
      <w:pPr>
        <w:pStyle w:val="3"/>
        <w:rPr>
          <w:sz w:val="20"/>
        </w:rPr>
      </w:pPr>
    </w:p>
    <w:p>
      <w:pPr>
        <w:pStyle w:val="3"/>
        <w:spacing w:before="7"/>
        <w:rPr>
          <w:sz w:val="18"/>
        </w:rPr>
      </w:pPr>
    </w:p>
    <w:p>
      <w:pPr>
        <w:pStyle w:val="8"/>
      </w:pPr>
      <w:r>
        <w:rPr>
          <w:w w:val="95"/>
        </w:rPr>
        <w:t>封面格式：</w:t>
      </w:r>
    </w:p>
    <w:p>
      <w:pPr>
        <w:pStyle w:val="3"/>
        <w:rPr>
          <w:rFonts w:ascii="黑体"/>
          <w:b/>
          <w:sz w:val="20"/>
        </w:rPr>
      </w:pPr>
    </w:p>
    <w:p>
      <w:pPr>
        <w:tabs>
          <w:tab w:val="left" w:pos="2190"/>
        </w:tabs>
        <w:spacing w:before="173"/>
        <w:ind w:left="112" w:right="0" w:firstLine="0"/>
        <w:jc w:val="left"/>
        <w:rPr>
          <w:rFonts w:hint="eastAsia" w:ascii="黑体" w:eastAsia="黑体"/>
          <w:sz w:val="28"/>
        </w:rPr>
      </w:pPr>
      <w:r>
        <w:rPr>
          <w:rFonts w:ascii="Times New Roman" w:eastAsia="Times New Roman"/>
          <w:w w:val="100"/>
          <w:sz w:val="28"/>
          <w:u w:val="single"/>
        </w:rPr>
        <w:t xml:space="preserve"> </w:t>
      </w:r>
      <w:r>
        <w:rPr>
          <w:rFonts w:ascii="Times New Roman" w:eastAsia="Times New Roman"/>
          <w:sz w:val="28"/>
          <w:u w:val="single"/>
        </w:rPr>
        <w:tab/>
      </w:r>
      <w:r>
        <w:rPr>
          <w:rFonts w:hint="eastAsia" w:ascii="黑体" w:eastAsia="黑体"/>
          <w:spacing w:val="-1"/>
          <w:sz w:val="28"/>
        </w:rPr>
        <w:t>（</w:t>
      </w:r>
      <w:r>
        <w:rPr>
          <w:rFonts w:hint="eastAsia" w:ascii="黑体" w:eastAsia="黑体"/>
          <w:spacing w:val="-3"/>
          <w:sz w:val="28"/>
        </w:rPr>
        <w:t>项目名称</w:t>
      </w:r>
      <w:r>
        <w:rPr>
          <w:rFonts w:hint="eastAsia" w:ascii="黑体" w:eastAsia="黑体"/>
          <w:spacing w:val="-1"/>
          <w:sz w:val="28"/>
        </w:rPr>
        <w:t>）</w:t>
      </w:r>
      <w:r>
        <w:rPr>
          <w:rFonts w:hint="eastAsia" w:ascii="黑体" w:eastAsia="黑体"/>
          <w:spacing w:val="-2"/>
          <w:sz w:val="28"/>
        </w:rPr>
        <w:t>施工招标</w:t>
      </w:r>
    </w:p>
    <w:p>
      <w:pPr>
        <w:pStyle w:val="3"/>
        <w:rPr>
          <w:rFonts w:ascii="黑体"/>
          <w:sz w:val="30"/>
        </w:rPr>
      </w:pPr>
    </w:p>
    <w:p>
      <w:pPr>
        <w:pStyle w:val="3"/>
        <w:rPr>
          <w:rFonts w:ascii="黑体"/>
          <w:sz w:val="30"/>
        </w:rPr>
      </w:pPr>
    </w:p>
    <w:p>
      <w:pPr>
        <w:pStyle w:val="3"/>
        <w:rPr>
          <w:rFonts w:ascii="黑体"/>
          <w:sz w:val="30"/>
        </w:rPr>
      </w:pPr>
    </w:p>
    <w:p>
      <w:pPr>
        <w:pStyle w:val="3"/>
        <w:rPr>
          <w:rFonts w:ascii="黑体"/>
          <w:sz w:val="30"/>
        </w:rPr>
      </w:pPr>
    </w:p>
    <w:p>
      <w:pPr>
        <w:pStyle w:val="3"/>
        <w:rPr>
          <w:rFonts w:ascii="黑体"/>
          <w:sz w:val="30"/>
        </w:rPr>
      </w:pPr>
    </w:p>
    <w:p>
      <w:pPr>
        <w:pStyle w:val="3"/>
        <w:spacing w:before="10"/>
        <w:rPr>
          <w:rFonts w:ascii="黑体"/>
          <w:sz w:val="32"/>
        </w:rPr>
      </w:pPr>
    </w:p>
    <w:p>
      <w:pPr>
        <w:tabs>
          <w:tab w:val="left" w:pos="4431"/>
          <w:tab w:val="left" w:pos="5473"/>
          <w:tab w:val="left" w:pos="6512"/>
        </w:tabs>
        <w:spacing w:before="0"/>
        <w:ind w:left="3392" w:right="0" w:firstLine="0"/>
        <w:jc w:val="left"/>
        <w:rPr>
          <w:rFonts w:hint="eastAsia" w:ascii="黑体" w:eastAsia="黑体"/>
          <w:sz w:val="52"/>
        </w:rPr>
      </w:pPr>
      <w:r>
        <w:rPr>
          <w:rFonts w:hint="eastAsia" w:ascii="黑体" w:eastAsia="黑体"/>
          <w:sz w:val="52"/>
        </w:rPr>
        <w:t>投</w:t>
      </w:r>
      <w:r>
        <w:rPr>
          <w:rFonts w:hint="eastAsia" w:ascii="黑体" w:eastAsia="黑体"/>
          <w:sz w:val="52"/>
        </w:rPr>
        <w:tab/>
      </w:r>
      <w:r>
        <w:rPr>
          <w:rFonts w:hint="eastAsia" w:ascii="黑体" w:eastAsia="黑体"/>
          <w:sz w:val="52"/>
        </w:rPr>
        <w:t>标</w:t>
      </w:r>
      <w:r>
        <w:rPr>
          <w:rFonts w:hint="eastAsia" w:ascii="黑体" w:eastAsia="黑体"/>
          <w:sz w:val="52"/>
        </w:rPr>
        <w:tab/>
      </w:r>
      <w:r>
        <w:rPr>
          <w:rFonts w:hint="eastAsia" w:ascii="黑体" w:eastAsia="黑体"/>
          <w:sz w:val="52"/>
        </w:rPr>
        <w:t>文</w:t>
      </w:r>
      <w:r>
        <w:rPr>
          <w:rFonts w:hint="eastAsia" w:ascii="黑体" w:eastAsia="黑体"/>
          <w:sz w:val="52"/>
        </w:rPr>
        <w:tab/>
      </w:r>
      <w:r>
        <w:rPr>
          <w:rFonts w:hint="eastAsia" w:ascii="黑体" w:eastAsia="黑体"/>
          <w:sz w:val="52"/>
        </w:rPr>
        <w:t>件</w:t>
      </w:r>
    </w:p>
    <w:p>
      <w:pPr>
        <w:pStyle w:val="3"/>
        <w:rPr>
          <w:rFonts w:ascii="黑体"/>
          <w:sz w:val="52"/>
        </w:rPr>
      </w:pPr>
    </w:p>
    <w:p>
      <w:pPr>
        <w:pStyle w:val="3"/>
        <w:spacing w:before="4"/>
        <w:rPr>
          <w:rFonts w:ascii="黑体"/>
          <w:sz w:val="70"/>
        </w:rPr>
      </w:pPr>
    </w:p>
    <w:p>
      <w:pPr>
        <w:tabs>
          <w:tab w:val="left" w:pos="6620"/>
        </w:tabs>
        <w:spacing w:before="1"/>
        <w:ind w:left="2490" w:right="0" w:firstLine="0"/>
        <w:jc w:val="left"/>
        <w:rPr>
          <w:rFonts w:ascii="Times New Roman" w:eastAsia="Times New Roman"/>
          <w:sz w:val="28"/>
        </w:rPr>
      </w:pPr>
      <w:r>
        <w:rPr>
          <w:rFonts w:hint="eastAsia" w:ascii="黑体" w:eastAsia="黑体"/>
          <w:spacing w:val="-1"/>
          <w:sz w:val="28"/>
        </w:rPr>
        <w:t>项</w:t>
      </w:r>
      <w:r>
        <w:rPr>
          <w:rFonts w:hint="eastAsia" w:ascii="黑体" w:eastAsia="黑体"/>
          <w:spacing w:val="-3"/>
          <w:sz w:val="28"/>
        </w:rPr>
        <w:t>目</w:t>
      </w:r>
      <w:r>
        <w:rPr>
          <w:rFonts w:hint="eastAsia" w:ascii="黑体" w:eastAsia="黑体"/>
          <w:spacing w:val="-1"/>
          <w:sz w:val="28"/>
        </w:rPr>
        <w:t>编号：</w:t>
      </w:r>
      <w:r>
        <w:rPr>
          <w:rFonts w:ascii="Times New Roman" w:eastAsia="Times New Roman"/>
          <w:sz w:val="28"/>
          <w:u w:val="single"/>
        </w:rPr>
        <w:t xml:space="preserve"> </w:t>
      </w:r>
      <w:r>
        <w:rPr>
          <w:rFonts w:ascii="Times New Roman" w:eastAsia="Times New Roman"/>
          <w:sz w:val="28"/>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17"/>
        </w:rPr>
      </w:pPr>
    </w:p>
    <w:p>
      <w:pPr>
        <w:spacing w:before="1"/>
        <w:ind w:left="4172" w:right="0" w:firstLine="0"/>
        <w:jc w:val="left"/>
        <w:rPr>
          <w:rFonts w:hint="eastAsia" w:ascii="黑体" w:eastAsia="黑体"/>
          <w:sz w:val="32"/>
        </w:rPr>
      </w:pPr>
      <w:r>
        <w:rPr>
          <w:rFonts w:hint="eastAsia" w:ascii="黑体" w:eastAsia="黑体"/>
          <w:w w:val="95"/>
          <w:sz w:val="32"/>
        </w:rPr>
        <w:t>（正本/副本）</w:t>
      </w: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spacing w:before="12"/>
        <w:rPr>
          <w:rFonts w:ascii="黑体"/>
          <w:sz w:val="26"/>
        </w:rPr>
      </w:pPr>
    </w:p>
    <w:p>
      <w:pPr>
        <w:tabs>
          <w:tab w:val="left" w:pos="3191"/>
          <w:tab w:val="left" w:pos="5430"/>
          <w:tab w:val="left" w:pos="5571"/>
          <w:tab w:val="left" w:pos="7109"/>
        </w:tabs>
        <w:spacing w:before="1" w:line="261" w:lineRule="auto"/>
        <w:ind w:left="112" w:right="3033" w:firstLine="0"/>
        <w:jc w:val="left"/>
        <w:rPr>
          <w:rFonts w:hint="eastAsia" w:ascii="黑体" w:eastAsia="黑体"/>
          <w:sz w:val="28"/>
        </w:rPr>
      </w:pPr>
      <w:r>
        <w:rPr>
          <w:rFonts w:hint="eastAsia" w:ascii="黑体" w:eastAsia="黑体"/>
          <w:sz w:val="28"/>
        </w:rPr>
        <w:t>投</w:t>
      </w:r>
      <w:r>
        <w:rPr>
          <w:rFonts w:hint="eastAsia" w:ascii="黑体" w:eastAsia="黑体"/>
          <w:spacing w:val="-3"/>
          <w:sz w:val="28"/>
        </w:rPr>
        <w:t>标</w:t>
      </w:r>
      <w:r>
        <w:rPr>
          <w:rFonts w:hint="eastAsia" w:ascii="黑体" w:eastAsia="黑体"/>
          <w:sz w:val="28"/>
        </w:rPr>
        <w:t>内容</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1"/>
          <w:sz w:val="28"/>
          <w:u w:val="single"/>
        </w:rPr>
        <w:t>技</w:t>
      </w:r>
      <w:r>
        <w:rPr>
          <w:rFonts w:hint="eastAsia" w:ascii="黑体" w:eastAsia="黑体"/>
          <w:spacing w:val="-3"/>
          <w:sz w:val="28"/>
          <w:u w:val="single"/>
        </w:rPr>
        <w:t>术</w:t>
      </w:r>
      <w:r>
        <w:rPr>
          <w:rFonts w:hint="eastAsia" w:ascii="黑体" w:eastAsia="黑体"/>
          <w:spacing w:val="-1"/>
          <w:sz w:val="28"/>
          <w:u w:val="single"/>
        </w:rPr>
        <w:t>标部</w:t>
      </w:r>
      <w:r>
        <w:rPr>
          <w:rFonts w:hint="eastAsia" w:ascii="黑体" w:eastAsia="黑体"/>
          <w:sz w:val="28"/>
          <w:u w:val="single"/>
        </w:rPr>
        <w:t>分</w:t>
      </w:r>
      <w:r>
        <w:rPr>
          <w:rFonts w:hint="eastAsia" w:ascii="黑体" w:eastAsia="黑体"/>
          <w:sz w:val="28"/>
          <w:u w:val="single"/>
        </w:rPr>
        <w:tab/>
      </w:r>
      <w:r>
        <w:rPr>
          <w:rFonts w:hint="eastAsia" w:ascii="黑体" w:eastAsia="黑体"/>
          <w:sz w:val="28"/>
          <w:u w:val="single"/>
        </w:rPr>
        <w:tab/>
      </w:r>
      <w:r>
        <w:rPr>
          <w:rFonts w:hint="eastAsia" w:ascii="黑体" w:eastAsia="黑体"/>
          <w:sz w:val="28"/>
          <w:u w:val="single"/>
        </w:rPr>
        <w:tab/>
      </w:r>
      <w:r>
        <w:rPr>
          <w:rFonts w:hint="eastAsia" w:ascii="黑体" w:eastAsia="黑体"/>
          <w:sz w:val="28"/>
        </w:rPr>
        <w:t xml:space="preserve"> 投</w:t>
      </w:r>
      <w:r>
        <w:rPr>
          <w:rFonts w:hint="eastAsia" w:ascii="黑体" w:eastAsia="黑体"/>
          <w:spacing w:val="-3"/>
          <w:sz w:val="28"/>
        </w:rPr>
        <w:t>标</w:t>
      </w:r>
      <w:r>
        <w:rPr>
          <w:rFonts w:hint="eastAsia" w:ascii="黑体" w:eastAsia="黑体"/>
          <w:sz w:val="28"/>
        </w:rPr>
        <w:t>人</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3"/>
          <w:sz w:val="28"/>
          <w:u w:val="single"/>
        </w:rPr>
        <w:tab/>
      </w:r>
      <w:r>
        <w:rPr>
          <w:rFonts w:hint="eastAsia" w:ascii="黑体" w:eastAsia="黑体"/>
          <w:spacing w:val="-3"/>
          <w:sz w:val="28"/>
          <w:u w:val="single"/>
        </w:rPr>
        <w:tab/>
      </w:r>
      <w:r>
        <w:rPr>
          <w:rFonts w:hint="eastAsia" w:ascii="黑体" w:eastAsia="黑体"/>
          <w:spacing w:val="-1"/>
          <w:sz w:val="28"/>
        </w:rPr>
        <w:t>（</w:t>
      </w:r>
      <w:r>
        <w:rPr>
          <w:rFonts w:hint="eastAsia" w:ascii="黑体" w:eastAsia="黑体"/>
          <w:spacing w:val="-3"/>
          <w:sz w:val="28"/>
        </w:rPr>
        <w:t>盖</w:t>
      </w:r>
      <w:r>
        <w:rPr>
          <w:rFonts w:hint="eastAsia" w:ascii="黑体" w:eastAsia="黑体"/>
          <w:spacing w:val="-1"/>
          <w:sz w:val="28"/>
        </w:rPr>
        <w:t>单位</w:t>
      </w:r>
      <w:r>
        <w:rPr>
          <w:rFonts w:hint="eastAsia" w:ascii="黑体" w:eastAsia="黑体"/>
          <w:spacing w:val="-3"/>
          <w:sz w:val="28"/>
        </w:rPr>
        <w:t>章</w:t>
      </w:r>
      <w:r>
        <w:rPr>
          <w:rFonts w:hint="eastAsia" w:ascii="黑体" w:eastAsia="黑体"/>
          <w:sz w:val="28"/>
        </w:rPr>
        <w:t>） 法</w:t>
      </w:r>
      <w:r>
        <w:rPr>
          <w:rFonts w:hint="eastAsia" w:ascii="黑体" w:eastAsia="黑体"/>
          <w:spacing w:val="-3"/>
          <w:sz w:val="28"/>
        </w:rPr>
        <w:t>定</w:t>
      </w:r>
      <w:r>
        <w:rPr>
          <w:rFonts w:hint="eastAsia" w:ascii="黑体" w:eastAsia="黑体"/>
          <w:sz w:val="28"/>
        </w:rPr>
        <w:t>代表</w:t>
      </w:r>
      <w:r>
        <w:rPr>
          <w:rFonts w:hint="eastAsia" w:ascii="黑体" w:eastAsia="黑体"/>
          <w:spacing w:val="-3"/>
          <w:sz w:val="28"/>
        </w:rPr>
        <w:t>人</w:t>
      </w:r>
      <w:r>
        <w:rPr>
          <w:rFonts w:hint="eastAsia" w:ascii="黑体" w:eastAsia="黑体"/>
          <w:sz w:val="28"/>
        </w:rPr>
        <w:t>或其</w:t>
      </w:r>
      <w:r>
        <w:rPr>
          <w:rFonts w:hint="eastAsia" w:ascii="黑体" w:eastAsia="黑体"/>
          <w:spacing w:val="-3"/>
          <w:sz w:val="28"/>
        </w:rPr>
        <w:t>委</w:t>
      </w:r>
      <w:r>
        <w:rPr>
          <w:rFonts w:hint="eastAsia" w:ascii="黑体" w:eastAsia="黑体"/>
          <w:sz w:val="28"/>
        </w:rPr>
        <w:t>托代</w:t>
      </w:r>
      <w:r>
        <w:rPr>
          <w:rFonts w:hint="eastAsia" w:ascii="黑体" w:eastAsia="黑体"/>
          <w:spacing w:val="-3"/>
          <w:sz w:val="28"/>
        </w:rPr>
        <w:t>理</w:t>
      </w:r>
      <w:r>
        <w:rPr>
          <w:rFonts w:hint="eastAsia" w:ascii="黑体" w:eastAsia="黑体"/>
          <w:sz w:val="28"/>
        </w:rPr>
        <w:t>人</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1"/>
          <w:sz w:val="28"/>
        </w:rPr>
        <w:t>（</w:t>
      </w:r>
      <w:r>
        <w:rPr>
          <w:rFonts w:hint="eastAsia" w:ascii="黑体" w:eastAsia="黑体"/>
          <w:spacing w:val="-3"/>
          <w:sz w:val="28"/>
        </w:rPr>
        <w:t>签</w:t>
      </w:r>
      <w:r>
        <w:rPr>
          <w:rFonts w:hint="eastAsia" w:ascii="黑体" w:eastAsia="黑体"/>
          <w:spacing w:val="-1"/>
          <w:sz w:val="28"/>
        </w:rPr>
        <w:t>字或</w:t>
      </w:r>
      <w:r>
        <w:rPr>
          <w:rFonts w:hint="eastAsia" w:ascii="黑体" w:eastAsia="黑体"/>
          <w:spacing w:val="-3"/>
          <w:sz w:val="28"/>
        </w:rPr>
        <w:t>盖</w:t>
      </w:r>
      <w:r>
        <w:rPr>
          <w:rFonts w:hint="eastAsia" w:ascii="黑体" w:eastAsia="黑体"/>
          <w:spacing w:val="-1"/>
          <w:sz w:val="28"/>
        </w:rPr>
        <w:t>章</w:t>
      </w:r>
      <w:r>
        <w:rPr>
          <w:rFonts w:hint="eastAsia" w:ascii="黑体" w:eastAsia="黑体"/>
          <w:sz w:val="28"/>
        </w:rPr>
        <w:t>）</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2"/>
        <w:rPr>
          <w:rFonts w:ascii="黑体"/>
        </w:rPr>
      </w:pPr>
    </w:p>
    <w:p>
      <w:pPr>
        <w:tabs>
          <w:tab w:val="left" w:pos="6956"/>
          <w:tab w:val="left" w:pos="8495"/>
          <w:tab w:val="left" w:pos="10035"/>
        </w:tabs>
        <w:spacing w:before="14"/>
        <w:ind w:left="5696" w:right="0" w:firstLine="0"/>
        <w:jc w:val="left"/>
        <w:rPr>
          <w:rFonts w:hint="eastAsia" w:ascii="黑体" w:eastAsia="黑体"/>
          <w:sz w:val="28"/>
        </w:rPr>
      </w:pPr>
      <w:r>
        <w:rPr>
          <w:rFonts w:ascii="Times New Roman" w:eastAsia="Times New Roman"/>
          <w:w w:val="100"/>
          <w:sz w:val="28"/>
          <w:u w:val="single"/>
        </w:rPr>
        <w:t xml:space="preserve"> </w:t>
      </w:r>
      <w:r>
        <w:rPr>
          <w:rFonts w:ascii="Times New Roman" w:eastAsia="Times New Roman"/>
          <w:sz w:val="28"/>
          <w:u w:val="single"/>
        </w:rPr>
        <w:tab/>
      </w:r>
      <w:r>
        <w:rPr>
          <w:rFonts w:hint="eastAsia" w:ascii="黑体" w:eastAsia="黑体"/>
          <w:spacing w:val="-3"/>
          <w:sz w:val="28"/>
        </w:rPr>
        <w:t>年</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spacing w:after="0"/>
        <w:jc w:val="left"/>
        <w:rPr>
          <w:rFonts w:hint="eastAsia" w:ascii="黑体" w:eastAsia="黑体"/>
          <w:sz w:val="28"/>
        </w:rPr>
        <w:sectPr>
          <w:pgSz w:w="11910" w:h="16840"/>
          <w:pgMar w:top="1000" w:right="740" w:bottom="760" w:left="740" w:header="808" w:footer="575" w:gutter="0"/>
          <w:pgNumType w:fmt="decimal"/>
        </w:sectPr>
      </w:pPr>
    </w:p>
    <w:p>
      <w:pPr>
        <w:pStyle w:val="3"/>
        <w:rPr>
          <w:rFonts w:ascii="黑体"/>
          <w:sz w:val="20"/>
        </w:rPr>
      </w:pPr>
    </w:p>
    <w:p>
      <w:pPr>
        <w:pStyle w:val="3"/>
        <w:spacing w:before="7"/>
        <w:rPr>
          <w:rFonts w:ascii="黑体"/>
          <w:sz w:val="18"/>
        </w:rPr>
      </w:pPr>
    </w:p>
    <w:p>
      <w:pPr>
        <w:spacing w:before="14"/>
        <w:ind w:left="157" w:right="7828" w:firstLine="0"/>
        <w:jc w:val="center"/>
        <w:rPr>
          <w:rFonts w:hint="eastAsia" w:ascii="黑体" w:eastAsia="黑体"/>
          <w:b/>
          <w:sz w:val="28"/>
        </w:rPr>
      </w:pPr>
      <w:r>
        <w:rPr>
          <w:rFonts w:hint="eastAsia" w:ascii="黑体" w:eastAsia="黑体"/>
          <w:b/>
          <w:w w:val="95"/>
          <w:sz w:val="28"/>
        </w:rPr>
        <w:t>目录（应包含页码）</w:t>
      </w:r>
    </w:p>
    <w:p>
      <w:pPr>
        <w:pStyle w:val="3"/>
        <w:spacing w:before="3"/>
        <w:rPr>
          <w:rFonts w:ascii="黑体"/>
          <w:b/>
          <w:sz w:val="39"/>
        </w:rPr>
      </w:pPr>
    </w:p>
    <w:p>
      <w:pPr>
        <w:pStyle w:val="3"/>
        <w:ind w:left="532"/>
        <w:rPr>
          <w:rStyle w:val="15"/>
        </w:rPr>
      </w:pPr>
      <w:r>
        <w:rPr>
          <w:rStyle w:val="15"/>
        </w:rPr>
        <w:t>1.施工组织设计；</w:t>
      </w:r>
    </w:p>
    <w:p>
      <w:pPr>
        <w:pStyle w:val="3"/>
        <w:spacing w:before="125"/>
        <w:ind w:left="532"/>
        <w:rPr>
          <w:rStyle w:val="15"/>
        </w:rPr>
      </w:pPr>
      <w:r>
        <w:rPr>
          <w:rStyle w:val="15"/>
        </w:rPr>
        <w:t>2.拟分包计划表；</w:t>
      </w:r>
    </w:p>
    <w:p>
      <w:pPr>
        <w:pStyle w:val="3"/>
        <w:spacing w:before="125"/>
        <w:ind w:left="532"/>
        <w:rPr>
          <w:rStyle w:val="15"/>
        </w:rPr>
      </w:pPr>
      <w:r>
        <w:rPr>
          <w:rStyle w:val="15"/>
        </w:rPr>
        <w:t>3.项目管理机构配备情况表；</w:t>
      </w:r>
    </w:p>
    <w:p>
      <w:pPr>
        <w:spacing w:after="0"/>
        <w:rPr>
          <w:rStyle w:val="15"/>
        </w:rPr>
        <w:sectPr>
          <w:pgSz w:w="11910" w:h="16840"/>
          <w:pgMar w:top="1000" w:right="740" w:bottom="760" w:left="740" w:header="808" w:footer="575" w:gutter="0"/>
          <w:pgNumType w:fmt="decimal"/>
        </w:sectPr>
      </w:pPr>
    </w:p>
    <w:p>
      <w:pPr>
        <w:pStyle w:val="3"/>
        <w:rPr>
          <w:sz w:val="20"/>
        </w:rPr>
      </w:pPr>
    </w:p>
    <w:p>
      <w:pPr>
        <w:pStyle w:val="3"/>
        <w:spacing w:before="7"/>
        <w:rPr>
          <w:sz w:val="18"/>
        </w:rPr>
      </w:pPr>
    </w:p>
    <w:p>
      <w:pPr>
        <w:pStyle w:val="8"/>
      </w:pPr>
      <w:r>
        <w:rPr>
          <w:w w:val="95"/>
        </w:rPr>
        <w:t>1.施工组织设计</w:t>
      </w:r>
    </w:p>
    <w:p>
      <w:pPr>
        <w:pStyle w:val="3"/>
        <w:spacing w:before="3"/>
        <w:rPr>
          <w:rFonts w:ascii="黑体"/>
          <w:b/>
          <w:sz w:val="39"/>
        </w:rPr>
      </w:pPr>
    </w:p>
    <w:p>
      <w:pPr>
        <w:pStyle w:val="3"/>
        <w:ind w:left="112"/>
        <w:rPr>
          <w:rStyle w:val="15"/>
        </w:rPr>
      </w:pPr>
      <w:r>
        <w:rPr>
          <w:rStyle w:val="15"/>
        </w:rPr>
        <w:t>1.投标人</w:t>
      </w:r>
      <w:r>
        <w:rPr>
          <w:rFonts w:hint="eastAsia" w:ascii="宋体" w:hAnsi="宋体"/>
          <w:color w:val="auto"/>
          <w:highlight w:val="none"/>
        </w:rPr>
        <w:t>编制施工组织设计的要求：</w:t>
      </w:r>
      <w:r>
        <w:rPr>
          <w:rStyle w:val="15"/>
        </w:rPr>
        <w:t>（文字宜精炼、内容具有针对性）；</w:t>
      </w:r>
    </w:p>
    <w:p>
      <w:pPr>
        <w:pStyle w:val="3"/>
        <w:tabs>
          <w:tab w:val="left" w:pos="951"/>
        </w:tabs>
        <w:spacing w:before="126" w:line="350" w:lineRule="auto"/>
        <w:ind w:left="112" w:right="90" w:rightChars="0"/>
        <w:rPr>
          <w:rStyle w:val="15"/>
          <w:rFonts w:hint="default" w:eastAsia="宋体"/>
          <w:lang w:val="en-US" w:eastAsia="zh-CN"/>
        </w:rPr>
      </w:pPr>
      <w:r>
        <w:rPr>
          <w:rStyle w:val="15"/>
          <w:rFonts w:hint="eastAsia"/>
          <w:lang w:val="en-US" w:eastAsia="zh-CN"/>
        </w:rPr>
        <w:t xml:space="preserve">  </w:t>
      </w:r>
      <w:r>
        <w:rPr>
          <w:rFonts w:hint="eastAsia" w:ascii="宋体" w:hAnsi="宋体"/>
          <w:color w:val="auto"/>
          <w:highlight w:val="none"/>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减少噪音、降低环境污染、地下管线及其他地上地下设施的保护加固措施等。</w:t>
      </w:r>
    </w:p>
    <w:p>
      <w:pPr>
        <w:pStyle w:val="3"/>
        <w:tabs>
          <w:tab w:val="left" w:pos="951"/>
        </w:tabs>
        <w:spacing w:before="126" w:line="350" w:lineRule="auto"/>
        <w:ind w:left="112" w:right="3595"/>
        <w:rPr>
          <w:rStyle w:val="15"/>
        </w:rPr>
      </w:pPr>
      <w:r>
        <w:rPr>
          <w:rStyle w:val="15"/>
        </w:rPr>
        <w:t>2.施工组织设计除采用文字表述外可附下列图表，图表及格式要求附后。  附表一</w:t>
      </w:r>
      <w:r>
        <w:rPr>
          <w:rStyle w:val="15"/>
        </w:rPr>
        <w:tab/>
      </w:r>
      <w:r>
        <w:rPr>
          <w:rStyle w:val="15"/>
        </w:rPr>
        <w:t>施工总体计划表</w:t>
      </w:r>
    </w:p>
    <w:p>
      <w:pPr>
        <w:pStyle w:val="3"/>
        <w:tabs>
          <w:tab w:val="left" w:pos="951"/>
        </w:tabs>
        <w:spacing w:before="27" w:line="350" w:lineRule="auto"/>
        <w:ind w:left="112" w:right="6535"/>
        <w:rPr>
          <w:rStyle w:val="15"/>
        </w:rPr>
      </w:pPr>
      <w:r>
        <w:rPr>
          <w:rStyle w:val="15"/>
        </w:rPr>
        <w:t>附表二</w:t>
      </w:r>
      <w:r>
        <w:rPr>
          <w:rStyle w:val="15"/>
        </w:rPr>
        <w:tab/>
      </w:r>
      <w:r>
        <w:rPr>
          <w:rStyle w:val="15"/>
        </w:rPr>
        <w:t>分项工程进度率计划（斜率图）  附表三</w:t>
      </w:r>
      <w:r>
        <w:rPr>
          <w:rStyle w:val="15"/>
        </w:rPr>
        <w:tab/>
      </w:r>
      <w:r>
        <w:rPr>
          <w:rStyle w:val="15"/>
        </w:rPr>
        <w:t>施工总平面图</w:t>
      </w:r>
    </w:p>
    <w:p>
      <w:pPr>
        <w:pStyle w:val="3"/>
        <w:tabs>
          <w:tab w:val="left" w:pos="951"/>
        </w:tabs>
        <w:spacing w:before="29" w:line="348" w:lineRule="auto"/>
        <w:ind w:left="112" w:right="8004"/>
        <w:rPr>
          <w:rStyle w:val="15"/>
        </w:rPr>
      </w:pPr>
      <w:r>
        <w:rPr>
          <w:rStyle w:val="15"/>
        </w:rPr>
        <w:t>附表四</w:t>
      </w:r>
      <w:r>
        <w:rPr>
          <w:rStyle w:val="15"/>
        </w:rPr>
        <w:tab/>
      </w:r>
      <w:r>
        <w:rPr>
          <w:rStyle w:val="15"/>
        </w:rPr>
        <w:t>劳动力计划表 附表五</w:t>
      </w:r>
      <w:r>
        <w:rPr>
          <w:rStyle w:val="15"/>
        </w:rPr>
        <w:tab/>
      </w:r>
      <w:r>
        <w:rPr>
          <w:rStyle w:val="15"/>
        </w:rPr>
        <w:t>临时占地计划表</w:t>
      </w:r>
    </w:p>
    <w:p>
      <w:pPr>
        <w:spacing w:after="0" w:line="348" w:lineRule="auto"/>
        <w:rPr>
          <w:rStyle w:val="15"/>
        </w:rPr>
        <w:sectPr>
          <w:pgSz w:w="11910" w:h="16840"/>
          <w:pgMar w:top="1000" w:right="740" w:bottom="760" w:left="740" w:header="808" w:footer="575" w:gutter="0"/>
          <w:pgNumType w:fmt="decimal"/>
        </w:sectPr>
      </w:pPr>
    </w:p>
    <w:p>
      <w:pPr>
        <w:pStyle w:val="3"/>
        <w:rPr>
          <w:sz w:val="20"/>
        </w:rPr>
      </w:pPr>
    </w:p>
    <w:p>
      <w:pPr>
        <w:pStyle w:val="3"/>
        <w:spacing w:before="3"/>
        <w:rPr>
          <w:sz w:val="23"/>
        </w:rPr>
      </w:pPr>
    </w:p>
    <w:p>
      <w:pPr>
        <w:pStyle w:val="9"/>
        <w:tabs>
          <w:tab w:val="left" w:pos="1071"/>
        </w:tabs>
        <w:spacing w:after="51"/>
        <w:ind w:left="232"/>
      </w:pPr>
      <w:r>
        <mc:AlternateContent>
          <mc:Choice Requires="wps">
            <w:drawing>
              <wp:anchor distT="0" distB="0" distL="114300" distR="114300" simplePos="0" relativeHeight="503071744" behindDoc="1" locked="0" layoutInCell="1" allowOverlap="1">
                <wp:simplePos x="0" y="0"/>
                <wp:positionH relativeFrom="page">
                  <wp:posOffset>479425</wp:posOffset>
                </wp:positionH>
                <wp:positionV relativeFrom="paragraph">
                  <wp:posOffset>471805</wp:posOffset>
                </wp:positionV>
                <wp:extent cx="1804035" cy="574675"/>
                <wp:effectExtent l="1270" t="4445" r="8255" b="15240"/>
                <wp:wrapNone/>
                <wp:docPr id="11" name="直线 12"/>
                <wp:cNvGraphicFramePr/>
                <a:graphic xmlns:a="http://schemas.openxmlformats.org/drawingml/2006/main">
                  <a:graphicData uri="http://schemas.microsoft.com/office/word/2010/wordprocessingShape">
                    <wps:wsp>
                      <wps:cNvCnPr/>
                      <wps:spPr>
                        <a:xfrm>
                          <a:off x="0" y="0"/>
                          <a:ext cx="1804035" cy="5746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37.75pt;margin-top:37.15pt;height:45.25pt;width:142.05pt;mso-position-horizontal-relative:page;z-index:-244736;mso-width-relative:page;mso-height-relative:page;" filled="f" stroked="t" coordsize="21600,21600" o:gfxdata="UEsDBAoAAAAAAIdO4kAAAAAAAAAAAAAAAAAEAAAAZHJzL1BLAwQUAAAACACHTuJAm3VBytgAAAAJ&#10;AQAADwAAAGRycy9kb3ducmV2LnhtbE2PTU/DMAyG70j8h8hIXKYt2bqWUZruAPTGZYOJq9eYtqJJ&#10;uib7gF+POcHJst5Hrx8X64vtxYnG0HmnYT5TIMjV3nSu0fD2Wk1XIEJEZ7D3jjR8UYB1eX1VYG78&#10;2W3otI2N4BIXctTQxjjkUoa6JYth5gdynH340WLkdWykGfHM5baXC6UyabFzfKHFgR5bqj+3R6sh&#10;VDs6VN+TeqLek8bT4vD08oxa397M1QOISJf4B8OvPqtDyU57f3QmiF7DXZoyyXOZgOA8Se8zEHsG&#10;s+UKZFnI/x+UP1BLAwQUAAAACACHTuJAekuzCNMBAACUAwAADgAAAGRycy9lMm9Eb2MueG1srVNL&#10;ktMwEN1TxR1U2hPbYTIfV5xZTBg2FKQKOEBHkm1V6VdqTZychWuwYsNx5hq0lJAZYENReCG31E/P&#10;/V63l7d7a9hORdTedbyZ1ZwpJ7zUbuj450/3r645wwROgvFOdfygkN+uXr5YTqFVcz96I1VkROKw&#10;nULHx5RCW1UoRmUBZz4oR8neRwuJtnGoZISJ2K2p5nV9WU0+yhC9UIh0uj4m+arw970S6UPfo0rM&#10;dJxqS2WNZd3mtVotoR0ihFGLUxnwD1VY0I4+eqZaQwL2EPUfVFaL6NH3aSa8rXzfa6GKBlLT1L+p&#10;+ThCUEULmYPhbBP+P1rxfreJTEvqXcOZA0s9evzy9fHbd9bMsztTwJZAd24TTzsMm5il7vto85tE&#10;sH1x9HB2VO0TE3TYXNcX9esFZ4Jyi6uLy6tFJq2eboeI6a3yluWg40a7rBha2L3DdIT+hORj49jU&#10;8ZvFPHMCDUxvIFFoA0lAN5S76I2W99qYfAPjsL0zke0gj0B5TiX8AssfWQOOR1xJZRi0owL5xkmW&#10;DoG8cTTFPJdgleTMKBr6HBVkAm3+BknqjSMTsrVHM3O09fJArXgIUQ8jOdGUKnOGWl8sO41pnq3n&#10;+8L09DO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dUHK2AAAAAkBAAAPAAAAAAAAAAEAIAAA&#10;ACIAAABkcnMvZG93bnJldi54bWxQSwECFAAUAAAACACHTuJAekuzCNMBAACUAwAADgAAAAAAAAAB&#10;ACAAAAAnAQAAZHJzL2Uyb0RvYy54bWxQSwUGAAAAAAYABgBZAQAAbAUAAAAA&#10;">
                <v:fill on="f" focussize="0,0"/>
                <v:stroke color="#000000" joinstyle="round"/>
                <v:imagedata o:title=""/>
                <o:lock v:ext="edit" aspectratio="f"/>
              </v:line>
            </w:pict>
          </mc:Fallback>
        </mc:AlternateContent>
      </w:r>
      <w:r>
        <w:t>附表一</w:t>
      </w:r>
      <w:r>
        <w:tab/>
      </w:r>
      <w:r>
        <w:rPr>
          <w:w w:val="95"/>
        </w:rPr>
        <w:t>施工总体计划表</w:t>
      </w:r>
    </w:p>
    <w:tbl>
      <w:tblPr>
        <w:tblStyle w:val="14"/>
        <w:tblW w:w="10353"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58"/>
        <w:gridCol w:w="624"/>
        <w:gridCol w:w="625"/>
        <w:gridCol w:w="624"/>
        <w:gridCol w:w="625"/>
        <w:gridCol w:w="624"/>
        <w:gridCol w:w="625"/>
        <w:gridCol w:w="625"/>
        <w:gridCol w:w="624"/>
        <w:gridCol w:w="625"/>
        <w:gridCol w:w="624"/>
        <w:gridCol w:w="625"/>
        <w:gridCol w:w="6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bottom w:val="single" w:color="000000" w:sz="6" w:space="0"/>
              <w:right w:val="single" w:color="000000" w:sz="6" w:space="0"/>
            </w:tcBorders>
          </w:tcPr>
          <w:p>
            <w:pPr>
              <w:pStyle w:val="18"/>
              <w:spacing w:before="14"/>
              <w:ind w:left="1206" w:right="1190"/>
              <w:jc w:val="center"/>
              <w:rPr>
                <w:rStyle w:val="15"/>
                <w:sz w:val="21"/>
                <w:szCs w:val="21"/>
              </w:rPr>
            </w:pPr>
            <w:r>
              <w:rPr>
                <w:rStyle w:val="15"/>
                <w:sz w:val="21"/>
                <w:szCs w:val="21"/>
              </w:rPr>
              <w:t>年度</w:t>
            </w:r>
          </w:p>
        </w:tc>
        <w:tc>
          <w:tcPr>
            <w:tcW w:w="7495" w:type="dxa"/>
            <w:gridSpan w:val="12"/>
            <w:tcBorders>
              <w:left w:val="single" w:color="000000" w:sz="6" w:space="0"/>
              <w:bottom w:val="single" w:color="000000" w:sz="6" w:space="0"/>
            </w:tcBorders>
          </w:tcPr>
          <w:p>
            <w:pPr>
              <w:pStyle w:val="18"/>
              <w:tabs>
                <w:tab w:val="left" w:pos="351"/>
              </w:tabs>
              <w:spacing w:before="14"/>
              <w:ind w:left="33"/>
              <w:jc w:val="center"/>
              <w:rPr>
                <w:rStyle w:val="15"/>
                <w:sz w:val="21"/>
                <w:szCs w:val="21"/>
              </w:rPr>
            </w:pPr>
            <w:r>
              <w:rPr>
                <w:rStyle w:val="15"/>
                <w:sz w:val="21"/>
                <w:szCs w:val="21"/>
                <w:u w:val="single"/>
              </w:rPr>
              <w:t xml:space="preserve"> </w:t>
            </w:r>
            <w:r>
              <w:rPr>
                <w:rStyle w:val="15"/>
                <w:sz w:val="21"/>
                <w:szCs w:val="21"/>
                <w:u w:val="single"/>
              </w:rPr>
              <w:tab/>
            </w:r>
            <w:r>
              <w:rPr>
                <w:rStyle w:val="15"/>
                <w:sz w:val="21"/>
                <w:szCs w:val="21"/>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2858" w:type="dxa"/>
            <w:tcBorders>
              <w:top w:val="single" w:color="000000" w:sz="6" w:space="0"/>
              <w:bottom w:val="single" w:color="000000" w:sz="6" w:space="0"/>
              <w:right w:val="single" w:color="000000" w:sz="6" w:space="0"/>
            </w:tcBorders>
          </w:tcPr>
          <w:p>
            <w:pPr>
              <w:pStyle w:val="18"/>
              <w:spacing w:line="270" w:lineRule="exact"/>
              <w:ind w:right="147"/>
              <w:jc w:val="right"/>
              <w:rPr>
                <w:rStyle w:val="15"/>
                <w:sz w:val="21"/>
                <w:szCs w:val="21"/>
              </w:rPr>
            </w:pPr>
            <w:r>
              <w:rPr>
                <w:rStyle w:val="15"/>
                <w:sz w:val="21"/>
                <w:szCs w:val="21"/>
              </w:rPr>
              <w:t>月份</w:t>
            </w:r>
          </w:p>
          <w:p>
            <w:pPr>
              <w:pStyle w:val="18"/>
              <w:spacing w:before="11"/>
              <w:rPr>
                <w:rStyle w:val="15"/>
                <w:sz w:val="21"/>
                <w:szCs w:val="21"/>
              </w:rPr>
            </w:pPr>
          </w:p>
          <w:p>
            <w:pPr>
              <w:pStyle w:val="18"/>
              <w:ind w:left="108"/>
              <w:rPr>
                <w:rStyle w:val="15"/>
                <w:sz w:val="21"/>
                <w:szCs w:val="21"/>
              </w:rPr>
            </w:pPr>
            <w:r>
              <w:rPr>
                <w:rStyle w:val="15"/>
                <w:sz w:val="21"/>
                <w:szCs w:val="21"/>
              </w:rPr>
              <w:t>主要工程项目</w:t>
            </w:r>
          </w:p>
        </w:tc>
        <w:tc>
          <w:tcPr>
            <w:tcW w:w="624"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5"/>
              <w:jc w:val="center"/>
              <w:rPr>
                <w:rStyle w:val="15"/>
                <w:sz w:val="21"/>
                <w:szCs w:val="21"/>
              </w:rPr>
            </w:pPr>
            <w:r>
              <w:rPr>
                <w:rStyle w:val="15"/>
                <w:sz w:val="21"/>
                <w:szCs w:val="21"/>
              </w:rPr>
              <w:t>1</w:t>
            </w:r>
          </w:p>
        </w:tc>
        <w:tc>
          <w:tcPr>
            <w:tcW w:w="625"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9"/>
              <w:jc w:val="center"/>
              <w:rPr>
                <w:rStyle w:val="15"/>
                <w:sz w:val="21"/>
                <w:szCs w:val="21"/>
              </w:rPr>
            </w:pPr>
            <w:r>
              <w:rPr>
                <w:rStyle w:val="15"/>
                <w:sz w:val="21"/>
                <w:szCs w:val="21"/>
              </w:rPr>
              <w:t>2</w:t>
            </w:r>
          </w:p>
        </w:tc>
        <w:tc>
          <w:tcPr>
            <w:tcW w:w="624"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8"/>
              <w:jc w:val="center"/>
              <w:rPr>
                <w:rStyle w:val="15"/>
                <w:sz w:val="21"/>
                <w:szCs w:val="21"/>
              </w:rPr>
            </w:pPr>
            <w:r>
              <w:rPr>
                <w:rStyle w:val="15"/>
                <w:sz w:val="21"/>
                <w:szCs w:val="21"/>
              </w:rPr>
              <w:t>3</w:t>
            </w:r>
          </w:p>
        </w:tc>
        <w:tc>
          <w:tcPr>
            <w:tcW w:w="625"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7"/>
              <w:jc w:val="center"/>
              <w:rPr>
                <w:rStyle w:val="15"/>
                <w:sz w:val="21"/>
                <w:szCs w:val="21"/>
              </w:rPr>
            </w:pPr>
            <w:r>
              <w:rPr>
                <w:rStyle w:val="15"/>
                <w:sz w:val="21"/>
                <w:szCs w:val="21"/>
              </w:rPr>
              <w:t>4</w:t>
            </w:r>
          </w:p>
        </w:tc>
        <w:tc>
          <w:tcPr>
            <w:tcW w:w="624"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6"/>
              <w:jc w:val="center"/>
              <w:rPr>
                <w:rStyle w:val="15"/>
                <w:sz w:val="21"/>
                <w:szCs w:val="21"/>
              </w:rPr>
            </w:pPr>
            <w:r>
              <w:rPr>
                <w:rStyle w:val="15"/>
                <w:sz w:val="21"/>
                <w:szCs w:val="21"/>
              </w:rPr>
              <w:t>5</w:t>
            </w:r>
          </w:p>
        </w:tc>
        <w:tc>
          <w:tcPr>
            <w:tcW w:w="625"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30"/>
              <w:jc w:val="center"/>
              <w:rPr>
                <w:rStyle w:val="15"/>
                <w:sz w:val="21"/>
                <w:szCs w:val="21"/>
              </w:rPr>
            </w:pPr>
            <w:r>
              <w:rPr>
                <w:rStyle w:val="15"/>
                <w:sz w:val="21"/>
                <w:szCs w:val="21"/>
              </w:rPr>
              <w:t>6</w:t>
            </w:r>
          </w:p>
        </w:tc>
        <w:tc>
          <w:tcPr>
            <w:tcW w:w="625"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8"/>
              <w:jc w:val="center"/>
              <w:rPr>
                <w:rStyle w:val="15"/>
                <w:sz w:val="21"/>
                <w:szCs w:val="21"/>
              </w:rPr>
            </w:pPr>
            <w:r>
              <w:rPr>
                <w:rStyle w:val="15"/>
                <w:sz w:val="21"/>
                <w:szCs w:val="21"/>
              </w:rPr>
              <w:t>7</w:t>
            </w:r>
          </w:p>
        </w:tc>
        <w:tc>
          <w:tcPr>
            <w:tcW w:w="624"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7"/>
              <w:jc w:val="center"/>
              <w:rPr>
                <w:rStyle w:val="15"/>
                <w:sz w:val="21"/>
                <w:szCs w:val="21"/>
              </w:rPr>
            </w:pPr>
            <w:r>
              <w:rPr>
                <w:rStyle w:val="15"/>
                <w:sz w:val="21"/>
                <w:szCs w:val="21"/>
              </w:rPr>
              <w:t>8</w:t>
            </w:r>
          </w:p>
        </w:tc>
        <w:tc>
          <w:tcPr>
            <w:tcW w:w="625"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6"/>
              <w:jc w:val="center"/>
              <w:rPr>
                <w:rStyle w:val="15"/>
                <w:sz w:val="21"/>
                <w:szCs w:val="21"/>
              </w:rPr>
            </w:pPr>
            <w:r>
              <w:rPr>
                <w:rStyle w:val="15"/>
                <w:sz w:val="21"/>
                <w:szCs w:val="21"/>
              </w:rPr>
              <w:t>9</w:t>
            </w:r>
          </w:p>
        </w:tc>
        <w:tc>
          <w:tcPr>
            <w:tcW w:w="624"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14"/>
              <w:rPr>
                <w:rStyle w:val="15"/>
                <w:sz w:val="21"/>
                <w:szCs w:val="21"/>
              </w:rPr>
            </w:pPr>
            <w:r>
              <w:rPr>
                <w:rStyle w:val="15"/>
                <w:sz w:val="21"/>
                <w:szCs w:val="21"/>
              </w:rPr>
              <w:t>10</w:t>
            </w:r>
          </w:p>
        </w:tc>
        <w:tc>
          <w:tcPr>
            <w:tcW w:w="625" w:type="dxa"/>
            <w:tcBorders>
              <w:top w:val="single" w:color="000000" w:sz="6" w:space="0"/>
              <w:left w:val="single" w:color="000000" w:sz="6" w:space="0"/>
              <w:bottom w:val="single" w:color="000000" w:sz="6" w:space="0"/>
              <w:right w:val="single" w:color="000000" w:sz="6" w:space="0"/>
            </w:tcBorders>
          </w:tcPr>
          <w:p>
            <w:pPr>
              <w:pStyle w:val="18"/>
              <w:spacing w:before="7"/>
              <w:rPr>
                <w:rStyle w:val="15"/>
                <w:sz w:val="21"/>
                <w:szCs w:val="21"/>
              </w:rPr>
            </w:pPr>
          </w:p>
          <w:p>
            <w:pPr>
              <w:pStyle w:val="18"/>
              <w:ind w:left="214"/>
              <w:rPr>
                <w:rStyle w:val="15"/>
                <w:sz w:val="21"/>
                <w:szCs w:val="21"/>
              </w:rPr>
            </w:pPr>
            <w:r>
              <w:rPr>
                <w:rStyle w:val="15"/>
                <w:sz w:val="21"/>
                <w:szCs w:val="21"/>
              </w:rPr>
              <w:t>11</w:t>
            </w:r>
          </w:p>
        </w:tc>
        <w:tc>
          <w:tcPr>
            <w:tcW w:w="625" w:type="dxa"/>
            <w:tcBorders>
              <w:top w:val="single" w:color="000000" w:sz="6" w:space="0"/>
              <w:left w:val="single" w:color="000000" w:sz="6" w:space="0"/>
              <w:bottom w:val="single" w:color="000000" w:sz="6" w:space="0"/>
            </w:tcBorders>
          </w:tcPr>
          <w:p>
            <w:pPr>
              <w:pStyle w:val="18"/>
              <w:spacing w:before="7"/>
              <w:rPr>
                <w:rStyle w:val="15"/>
                <w:sz w:val="21"/>
                <w:szCs w:val="21"/>
              </w:rPr>
            </w:pPr>
          </w:p>
          <w:p>
            <w:pPr>
              <w:pStyle w:val="18"/>
              <w:ind w:left="213"/>
              <w:rPr>
                <w:rStyle w:val="15"/>
                <w:sz w:val="21"/>
                <w:szCs w:val="21"/>
              </w:rPr>
            </w:pPr>
            <w:r>
              <w:rPr>
                <w:rStyle w:val="15"/>
                <w:sz w:val="21"/>
                <w:szCs w:val="21"/>
              </w:rPr>
              <w:t>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1.施工准备</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2.路基处理</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3.路基填筑</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4.涵洞</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5"/>
              <w:ind w:left="108"/>
              <w:rPr>
                <w:rStyle w:val="15"/>
                <w:sz w:val="21"/>
                <w:szCs w:val="21"/>
              </w:rPr>
            </w:pPr>
            <w:r>
              <w:rPr>
                <w:rStyle w:val="15"/>
                <w:sz w:val="21"/>
                <w:szCs w:val="21"/>
              </w:rPr>
              <w:t>5.通道</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5"/>
              <w:ind w:left="108"/>
              <w:rPr>
                <w:rStyle w:val="15"/>
                <w:sz w:val="21"/>
                <w:szCs w:val="21"/>
              </w:rPr>
            </w:pPr>
            <w:r>
              <w:rPr>
                <w:rStyle w:val="15"/>
                <w:sz w:val="21"/>
                <w:szCs w:val="21"/>
              </w:rPr>
              <w:t>6.防护及排水</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5"/>
              <w:ind w:left="108"/>
              <w:rPr>
                <w:rStyle w:val="15"/>
                <w:sz w:val="21"/>
                <w:szCs w:val="21"/>
              </w:rPr>
            </w:pPr>
            <w:r>
              <w:rPr>
                <w:rStyle w:val="15"/>
                <w:sz w:val="21"/>
                <w:szCs w:val="21"/>
              </w:rPr>
              <w:t>7.路面基层</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5"/>
              <w:ind w:left="108"/>
              <w:rPr>
                <w:rStyle w:val="15"/>
                <w:sz w:val="21"/>
                <w:szCs w:val="21"/>
              </w:rPr>
            </w:pPr>
            <w:r>
              <w:rPr>
                <w:rStyle w:val="15"/>
                <w:sz w:val="21"/>
                <w:szCs w:val="21"/>
              </w:rPr>
              <w:t>（1）底基层</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5"/>
              <w:ind w:left="108"/>
              <w:rPr>
                <w:rStyle w:val="15"/>
                <w:sz w:val="21"/>
                <w:szCs w:val="21"/>
              </w:rPr>
            </w:pPr>
            <w:r>
              <w:rPr>
                <w:rStyle w:val="15"/>
                <w:sz w:val="21"/>
                <w:szCs w:val="21"/>
              </w:rPr>
              <w:t>（2）基层</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6"/>
              <w:ind w:left="108"/>
              <w:rPr>
                <w:rStyle w:val="15"/>
                <w:sz w:val="21"/>
                <w:szCs w:val="21"/>
              </w:rPr>
            </w:pPr>
            <w:r>
              <w:rPr>
                <w:rStyle w:val="15"/>
                <w:sz w:val="21"/>
                <w:szCs w:val="21"/>
              </w:rPr>
              <w:t>8.路面铺筑</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6"/>
              <w:ind w:left="108"/>
              <w:rPr>
                <w:rStyle w:val="15"/>
                <w:sz w:val="21"/>
                <w:szCs w:val="21"/>
              </w:rPr>
            </w:pPr>
            <w:r>
              <w:rPr>
                <w:rStyle w:val="15"/>
                <w:sz w:val="21"/>
                <w:szCs w:val="21"/>
              </w:rPr>
              <w:t>9.路面标志标线</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10.桥梁工程</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（1）基础工程</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（2）墩台工程</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（3）梁体工程</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4"/>
              <w:ind w:left="108"/>
              <w:rPr>
                <w:rStyle w:val="15"/>
                <w:sz w:val="21"/>
                <w:szCs w:val="21"/>
              </w:rPr>
            </w:pPr>
            <w:r>
              <w:rPr>
                <w:rStyle w:val="15"/>
                <w:sz w:val="21"/>
                <w:szCs w:val="21"/>
              </w:rPr>
              <w:t>（4）梁体安装</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5"/>
              <w:ind w:left="108"/>
              <w:rPr>
                <w:rStyle w:val="15"/>
                <w:sz w:val="21"/>
                <w:szCs w:val="21"/>
              </w:rPr>
            </w:pPr>
            <w:r>
              <w:rPr>
                <w:rStyle w:val="15"/>
                <w:sz w:val="21"/>
                <w:szCs w:val="21"/>
              </w:rPr>
              <w:t>（5）桥面铺装及人行道</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858" w:type="dxa"/>
            <w:tcBorders>
              <w:top w:val="single" w:color="000000" w:sz="6" w:space="0"/>
              <w:bottom w:val="single" w:color="000000" w:sz="6" w:space="0"/>
              <w:right w:val="single" w:color="000000" w:sz="6" w:space="0"/>
            </w:tcBorders>
          </w:tcPr>
          <w:p>
            <w:pPr>
              <w:pStyle w:val="18"/>
              <w:spacing w:before="15"/>
              <w:ind w:left="108"/>
              <w:rPr>
                <w:rStyle w:val="15"/>
                <w:sz w:val="21"/>
                <w:szCs w:val="21"/>
              </w:rPr>
            </w:pPr>
            <w:r>
              <w:rPr>
                <w:rStyle w:val="15"/>
                <w:sz w:val="21"/>
                <w:szCs w:val="21"/>
              </w:rPr>
              <w:t>11.隧道</w:t>
            </w: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2858" w:type="dxa"/>
            <w:tcBorders>
              <w:top w:val="single" w:color="000000" w:sz="6" w:space="0"/>
              <w:right w:val="single" w:color="000000" w:sz="6" w:space="0"/>
            </w:tcBorders>
          </w:tcPr>
          <w:p>
            <w:pPr>
              <w:pStyle w:val="18"/>
              <w:spacing w:before="15"/>
              <w:ind w:left="108"/>
              <w:rPr>
                <w:rStyle w:val="15"/>
                <w:sz w:val="21"/>
                <w:szCs w:val="21"/>
              </w:rPr>
            </w:pPr>
            <w:r>
              <w:rPr>
                <w:rStyle w:val="15"/>
                <w:sz w:val="21"/>
                <w:szCs w:val="21"/>
              </w:rPr>
              <w:t>12.其他</w:t>
            </w:r>
          </w:p>
        </w:tc>
        <w:tc>
          <w:tcPr>
            <w:tcW w:w="624" w:type="dxa"/>
            <w:tcBorders>
              <w:top w:val="single" w:color="000000" w:sz="6" w:space="0"/>
              <w:left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right w:val="single" w:color="000000" w:sz="6" w:space="0"/>
            </w:tcBorders>
          </w:tcPr>
          <w:p>
            <w:pPr>
              <w:pStyle w:val="18"/>
              <w:rPr>
                <w:rStyle w:val="15"/>
                <w:sz w:val="21"/>
                <w:szCs w:val="21"/>
              </w:rPr>
            </w:pPr>
          </w:p>
        </w:tc>
        <w:tc>
          <w:tcPr>
            <w:tcW w:w="624" w:type="dxa"/>
            <w:tcBorders>
              <w:top w:val="single" w:color="000000" w:sz="6" w:space="0"/>
              <w:left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right w:val="single" w:color="000000" w:sz="6" w:space="0"/>
            </w:tcBorders>
          </w:tcPr>
          <w:p>
            <w:pPr>
              <w:pStyle w:val="18"/>
              <w:rPr>
                <w:rStyle w:val="15"/>
                <w:sz w:val="21"/>
                <w:szCs w:val="21"/>
              </w:rPr>
            </w:pPr>
          </w:p>
        </w:tc>
        <w:tc>
          <w:tcPr>
            <w:tcW w:w="625" w:type="dxa"/>
            <w:tcBorders>
              <w:top w:val="single" w:color="000000" w:sz="6" w:space="0"/>
              <w:left w:val="single" w:color="000000" w:sz="6" w:space="0"/>
            </w:tcBorders>
          </w:tcPr>
          <w:p>
            <w:pPr>
              <w:pStyle w:val="18"/>
              <w:rPr>
                <w:rStyle w:val="15"/>
                <w:sz w:val="21"/>
                <w:szCs w:val="21"/>
              </w:rPr>
            </w:pPr>
          </w:p>
        </w:tc>
      </w:tr>
    </w:tbl>
    <w:p>
      <w:pPr>
        <w:pStyle w:val="3"/>
        <w:spacing w:before="11"/>
        <w:rPr>
          <w:rStyle w:val="15"/>
          <w:sz w:val="21"/>
          <w:szCs w:val="21"/>
        </w:rPr>
      </w:pPr>
    </w:p>
    <w:p>
      <w:pPr>
        <w:pStyle w:val="3"/>
        <w:ind w:left="232"/>
        <w:rPr>
          <w:rStyle w:val="15"/>
          <w:sz w:val="21"/>
          <w:szCs w:val="21"/>
        </w:rPr>
      </w:pPr>
      <w:r>
        <w:rPr>
          <w:rStyle w:val="15"/>
          <w:sz w:val="21"/>
          <w:szCs w:val="21"/>
        </w:rPr>
        <w:t>注：本表内容仅供参考、各标段根据本项目实际编写</w:t>
      </w:r>
    </w:p>
    <w:p>
      <w:pPr>
        <w:spacing w:after="0"/>
        <w:sectPr>
          <w:pgSz w:w="11910" w:h="16840"/>
          <w:pgMar w:top="1000" w:right="680" w:bottom="760" w:left="620" w:header="808" w:footer="575" w:gutter="0"/>
          <w:pgNumType w:fmt="decimal"/>
        </w:sectPr>
      </w:pPr>
    </w:p>
    <w:p>
      <w:pPr>
        <w:pStyle w:val="3"/>
        <w:rPr>
          <w:sz w:val="20"/>
        </w:rPr>
      </w:pPr>
    </w:p>
    <w:p>
      <w:pPr>
        <w:pStyle w:val="3"/>
        <w:spacing w:before="3"/>
        <w:rPr>
          <w:sz w:val="23"/>
        </w:rPr>
      </w:pPr>
    </w:p>
    <w:p>
      <w:pPr>
        <w:pStyle w:val="9"/>
        <w:tabs>
          <w:tab w:val="left" w:pos="1071"/>
        </w:tabs>
        <w:spacing w:after="51"/>
        <w:ind w:left="232"/>
        <w:rPr>
          <w:rStyle w:val="15"/>
        </w:rPr>
      </w:pPr>
      <w:r>
        <w:rPr>
          <w:rStyle w:val="15"/>
        </w:rPr>
        <w:t>附表二</w:t>
      </w:r>
      <w:r>
        <w:rPr>
          <w:rStyle w:val="15"/>
        </w:rPr>
        <w:tab/>
      </w:r>
      <w:r>
        <w:rPr>
          <w:rStyle w:val="15"/>
        </w:rPr>
        <w:t>分项工程进度率计划（斜率图）</w:t>
      </w:r>
    </w:p>
    <w:tbl>
      <w:tblPr>
        <w:tblStyle w:val="14"/>
        <w:tblW w:w="9844"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22"/>
        <w:gridCol w:w="1276"/>
        <w:gridCol w:w="467"/>
        <w:gridCol w:w="467"/>
        <w:gridCol w:w="501"/>
        <w:gridCol w:w="467"/>
        <w:gridCol w:w="467"/>
        <w:gridCol w:w="501"/>
        <w:gridCol w:w="467"/>
        <w:gridCol w:w="468"/>
        <w:gridCol w:w="501"/>
        <w:gridCol w:w="467"/>
        <w:gridCol w:w="467"/>
        <w:gridCol w:w="6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3998" w:type="dxa"/>
            <w:gridSpan w:val="2"/>
            <w:tcBorders>
              <w:bottom w:val="single" w:color="000000" w:sz="6" w:space="0"/>
              <w:right w:val="single" w:color="000000" w:sz="6" w:space="0"/>
            </w:tcBorders>
          </w:tcPr>
          <w:p>
            <w:pPr>
              <w:pStyle w:val="18"/>
              <w:tabs>
                <w:tab w:val="left" w:pos="439"/>
              </w:tabs>
              <w:spacing w:before="14"/>
              <w:ind w:left="19"/>
              <w:jc w:val="center"/>
              <w:rPr>
                <w:rStyle w:val="15"/>
                <w:sz w:val="21"/>
                <w:szCs w:val="21"/>
              </w:rPr>
            </w:pPr>
            <w:r>
              <w:rPr>
                <w:rStyle w:val="15"/>
                <w:sz w:val="21"/>
                <w:szCs w:val="21"/>
              </w:rPr>
              <w:t>年</w:t>
            </w:r>
            <w:r>
              <w:rPr>
                <w:rStyle w:val="15"/>
                <w:sz w:val="21"/>
                <w:szCs w:val="21"/>
              </w:rPr>
              <w:tab/>
            </w:r>
            <w:r>
              <w:rPr>
                <w:rStyle w:val="15"/>
                <w:sz w:val="21"/>
                <w:szCs w:val="21"/>
              </w:rPr>
              <w:t>度</w:t>
            </w:r>
          </w:p>
        </w:tc>
        <w:tc>
          <w:tcPr>
            <w:tcW w:w="5846" w:type="dxa"/>
            <w:gridSpan w:val="12"/>
            <w:tcBorders>
              <w:left w:val="single" w:color="000000" w:sz="6" w:space="0"/>
              <w:bottom w:val="single" w:color="000000" w:sz="6" w:space="0"/>
            </w:tcBorders>
          </w:tcPr>
          <w:p>
            <w:pPr>
              <w:pStyle w:val="18"/>
              <w:tabs>
                <w:tab w:val="left" w:pos="349"/>
              </w:tabs>
              <w:spacing w:before="14"/>
              <w:ind w:left="34"/>
              <w:jc w:val="center"/>
              <w:rPr>
                <w:rStyle w:val="15"/>
                <w:sz w:val="21"/>
                <w:szCs w:val="21"/>
              </w:rPr>
            </w:pPr>
            <w:r>
              <w:rPr>
                <w:rStyle w:val="15"/>
                <w:sz w:val="21"/>
                <w:szCs w:val="21"/>
                <w:u w:val="single"/>
              </w:rPr>
              <w:t xml:space="preserve"> </w:t>
            </w:r>
            <w:r>
              <w:rPr>
                <w:rStyle w:val="15"/>
                <w:sz w:val="21"/>
                <w:szCs w:val="21"/>
                <w:u w:val="single"/>
              </w:rPr>
              <w:tab/>
            </w:r>
            <w:r>
              <w:rPr>
                <w:rStyle w:val="15"/>
                <w:sz w:val="21"/>
                <w:szCs w:val="21"/>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3998" w:type="dxa"/>
            <w:gridSpan w:val="2"/>
            <w:tcBorders>
              <w:top w:val="single" w:color="000000" w:sz="6" w:space="0"/>
              <w:bottom w:val="single" w:color="000000" w:sz="6" w:space="0"/>
              <w:right w:val="single" w:color="000000" w:sz="6" w:space="0"/>
            </w:tcBorders>
          </w:tcPr>
          <w:p>
            <w:pPr>
              <w:pStyle w:val="18"/>
              <w:tabs>
                <w:tab w:val="left" w:pos="439"/>
              </w:tabs>
              <w:spacing w:before="14"/>
              <w:ind w:left="19"/>
              <w:jc w:val="center"/>
              <w:rPr>
                <w:rStyle w:val="15"/>
                <w:sz w:val="21"/>
                <w:szCs w:val="21"/>
              </w:rPr>
            </w:pPr>
            <w:r>
              <w:rPr>
                <w:rStyle w:val="15"/>
                <w:sz w:val="21"/>
                <w:szCs w:val="21"/>
              </w:rPr>
              <w:t>季</w:t>
            </w:r>
            <w:r>
              <w:rPr>
                <w:rStyle w:val="15"/>
                <w:sz w:val="21"/>
                <w:szCs w:val="21"/>
              </w:rPr>
              <w:tab/>
            </w:r>
            <w:r>
              <w:rPr>
                <w:rStyle w:val="15"/>
                <w:sz w:val="21"/>
                <w:szCs w:val="21"/>
              </w:rPr>
              <w:t>度</w:t>
            </w:r>
          </w:p>
        </w:tc>
        <w:tc>
          <w:tcPr>
            <w:tcW w:w="1435" w:type="dxa"/>
            <w:gridSpan w:val="3"/>
            <w:tcBorders>
              <w:top w:val="single" w:color="000000" w:sz="6" w:space="0"/>
              <w:left w:val="single" w:color="000000" w:sz="6" w:space="0"/>
              <w:bottom w:val="single" w:color="000000" w:sz="6" w:space="0"/>
              <w:right w:val="single" w:color="000000" w:sz="6" w:space="0"/>
            </w:tcBorders>
          </w:tcPr>
          <w:p>
            <w:pPr>
              <w:pStyle w:val="18"/>
              <w:spacing w:before="14"/>
              <w:ind w:left="24"/>
              <w:jc w:val="center"/>
              <w:rPr>
                <w:rStyle w:val="15"/>
                <w:sz w:val="21"/>
                <w:szCs w:val="21"/>
              </w:rPr>
            </w:pPr>
            <w:r>
              <w:rPr>
                <w:rStyle w:val="15"/>
                <w:sz w:val="21"/>
                <w:szCs w:val="21"/>
              </w:rPr>
              <w:t>一</w:t>
            </w:r>
          </w:p>
        </w:tc>
        <w:tc>
          <w:tcPr>
            <w:tcW w:w="1435" w:type="dxa"/>
            <w:gridSpan w:val="3"/>
            <w:tcBorders>
              <w:top w:val="single" w:color="000000" w:sz="6" w:space="0"/>
              <w:left w:val="single" w:color="000000" w:sz="6" w:space="0"/>
              <w:bottom w:val="single" w:color="000000" w:sz="6" w:space="0"/>
              <w:right w:val="single" w:color="000000" w:sz="6" w:space="0"/>
            </w:tcBorders>
          </w:tcPr>
          <w:p>
            <w:pPr>
              <w:pStyle w:val="18"/>
              <w:spacing w:before="14"/>
              <w:ind w:left="25"/>
              <w:jc w:val="center"/>
              <w:rPr>
                <w:rStyle w:val="15"/>
                <w:sz w:val="21"/>
                <w:szCs w:val="21"/>
              </w:rPr>
            </w:pPr>
            <w:r>
              <w:rPr>
                <w:rStyle w:val="15"/>
                <w:sz w:val="21"/>
                <w:szCs w:val="21"/>
              </w:rPr>
              <w:t>二</w:t>
            </w:r>
          </w:p>
        </w:tc>
        <w:tc>
          <w:tcPr>
            <w:tcW w:w="1436" w:type="dxa"/>
            <w:gridSpan w:val="3"/>
            <w:tcBorders>
              <w:top w:val="single" w:color="000000" w:sz="6" w:space="0"/>
              <w:left w:val="single" w:color="000000" w:sz="6" w:space="0"/>
              <w:bottom w:val="single" w:color="000000" w:sz="6" w:space="0"/>
              <w:right w:val="single" w:color="000000" w:sz="6" w:space="0"/>
            </w:tcBorders>
          </w:tcPr>
          <w:p>
            <w:pPr>
              <w:pStyle w:val="18"/>
              <w:spacing w:before="14"/>
              <w:ind w:left="29"/>
              <w:jc w:val="center"/>
              <w:rPr>
                <w:rStyle w:val="15"/>
                <w:sz w:val="21"/>
                <w:szCs w:val="21"/>
              </w:rPr>
            </w:pPr>
            <w:r>
              <w:rPr>
                <w:rStyle w:val="15"/>
                <w:sz w:val="21"/>
                <w:szCs w:val="21"/>
              </w:rPr>
              <w:t>三</w:t>
            </w:r>
          </w:p>
        </w:tc>
        <w:tc>
          <w:tcPr>
            <w:tcW w:w="1540" w:type="dxa"/>
            <w:gridSpan w:val="3"/>
            <w:tcBorders>
              <w:top w:val="single" w:color="000000" w:sz="6" w:space="0"/>
              <w:left w:val="single" w:color="000000" w:sz="6" w:space="0"/>
              <w:bottom w:val="single" w:color="000000" w:sz="6" w:space="0"/>
            </w:tcBorders>
          </w:tcPr>
          <w:p>
            <w:pPr>
              <w:pStyle w:val="18"/>
              <w:spacing w:before="14"/>
              <w:ind w:left="36"/>
              <w:jc w:val="center"/>
              <w:rPr>
                <w:rStyle w:val="15"/>
                <w:sz w:val="21"/>
                <w:szCs w:val="21"/>
              </w:rPr>
            </w:pPr>
            <w:r>
              <w:rPr>
                <w:rStyle w:val="15"/>
                <w:sz w:val="21"/>
                <w:szCs w:val="21"/>
              </w:rPr>
              <w:t>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3998" w:type="dxa"/>
            <w:gridSpan w:val="2"/>
            <w:tcBorders>
              <w:top w:val="single" w:color="000000" w:sz="6" w:space="0"/>
              <w:bottom w:val="single" w:color="000000" w:sz="6" w:space="0"/>
              <w:right w:val="single" w:color="000000" w:sz="6" w:space="0"/>
            </w:tcBorders>
          </w:tcPr>
          <w:p>
            <w:pPr>
              <w:pStyle w:val="18"/>
              <w:tabs>
                <w:tab w:val="left" w:pos="439"/>
              </w:tabs>
              <w:spacing w:before="15"/>
              <w:ind w:left="19"/>
              <w:jc w:val="center"/>
              <w:rPr>
                <w:rStyle w:val="15"/>
                <w:sz w:val="21"/>
                <w:szCs w:val="21"/>
              </w:rPr>
            </w:pPr>
            <w:r>
              <w:rPr>
                <w:rStyle w:val="15"/>
                <w:sz w:val="21"/>
                <w:szCs w:val="21"/>
              </w:rPr>
              <w:t>月</w:t>
            </w:r>
            <w:r>
              <w:rPr>
                <w:rStyle w:val="15"/>
                <w:sz w:val="21"/>
                <w:szCs w:val="21"/>
              </w:rPr>
              <w:tab/>
            </w:r>
            <w:r>
              <w:rPr>
                <w:rStyle w:val="15"/>
                <w:sz w:val="21"/>
                <w:szCs w:val="21"/>
              </w:rPr>
              <w:t>份</w:t>
            </w:r>
          </w:p>
        </w:tc>
        <w:tc>
          <w:tcPr>
            <w:tcW w:w="467" w:type="dxa"/>
            <w:tcBorders>
              <w:top w:val="single" w:color="000000" w:sz="6" w:space="0"/>
              <w:left w:val="single" w:color="000000" w:sz="6" w:space="0"/>
              <w:bottom w:val="single" w:color="000000" w:sz="6" w:space="0"/>
              <w:right w:val="single" w:color="000000" w:sz="6" w:space="0"/>
            </w:tcBorders>
          </w:tcPr>
          <w:p>
            <w:pPr>
              <w:pStyle w:val="18"/>
              <w:spacing w:before="15"/>
              <w:ind w:left="29"/>
              <w:jc w:val="center"/>
              <w:rPr>
                <w:rStyle w:val="15"/>
                <w:sz w:val="21"/>
                <w:szCs w:val="21"/>
              </w:rPr>
            </w:pPr>
            <w:r>
              <w:rPr>
                <w:rStyle w:val="15"/>
                <w:sz w:val="21"/>
                <w:szCs w:val="21"/>
              </w:rPr>
              <w:t>1</w:t>
            </w:r>
          </w:p>
        </w:tc>
        <w:tc>
          <w:tcPr>
            <w:tcW w:w="467" w:type="dxa"/>
            <w:tcBorders>
              <w:top w:val="single" w:color="000000" w:sz="6" w:space="0"/>
              <w:left w:val="single" w:color="000000" w:sz="6" w:space="0"/>
              <w:bottom w:val="single" w:color="000000" w:sz="6" w:space="0"/>
              <w:right w:val="single" w:color="000000" w:sz="6" w:space="0"/>
            </w:tcBorders>
          </w:tcPr>
          <w:p>
            <w:pPr>
              <w:pStyle w:val="18"/>
              <w:spacing w:before="15"/>
              <w:ind w:left="26"/>
              <w:jc w:val="center"/>
              <w:rPr>
                <w:rStyle w:val="15"/>
                <w:sz w:val="21"/>
                <w:szCs w:val="21"/>
              </w:rPr>
            </w:pPr>
            <w:r>
              <w:rPr>
                <w:rStyle w:val="15"/>
                <w:sz w:val="21"/>
                <w:szCs w:val="21"/>
              </w:rPr>
              <w:t>2</w:t>
            </w:r>
          </w:p>
        </w:tc>
        <w:tc>
          <w:tcPr>
            <w:tcW w:w="501" w:type="dxa"/>
            <w:tcBorders>
              <w:top w:val="single" w:color="000000" w:sz="6" w:space="0"/>
              <w:left w:val="single" w:color="000000" w:sz="6" w:space="0"/>
              <w:bottom w:val="single" w:color="000000" w:sz="6" w:space="0"/>
              <w:right w:val="single" w:color="000000" w:sz="6" w:space="0"/>
            </w:tcBorders>
          </w:tcPr>
          <w:p>
            <w:pPr>
              <w:pStyle w:val="18"/>
              <w:spacing w:before="15"/>
              <w:ind w:left="27"/>
              <w:jc w:val="center"/>
              <w:rPr>
                <w:rStyle w:val="15"/>
                <w:sz w:val="21"/>
                <w:szCs w:val="21"/>
              </w:rPr>
            </w:pPr>
            <w:r>
              <w:rPr>
                <w:rStyle w:val="15"/>
                <w:sz w:val="21"/>
                <w:szCs w:val="21"/>
              </w:rPr>
              <w:t>3</w:t>
            </w:r>
          </w:p>
        </w:tc>
        <w:tc>
          <w:tcPr>
            <w:tcW w:w="467" w:type="dxa"/>
            <w:tcBorders>
              <w:top w:val="single" w:color="000000" w:sz="6" w:space="0"/>
              <w:left w:val="single" w:color="000000" w:sz="6" w:space="0"/>
              <w:bottom w:val="single" w:color="000000" w:sz="6" w:space="0"/>
              <w:right w:val="single" w:color="000000" w:sz="6" w:space="0"/>
            </w:tcBorders>
          </w:tcPr>
          <w:p>
            <w:pPr>
              <w:pStyle w:val="18"/>
              <w:spacing w:before="15"/>
              <w:ind w:left="29"/>
              <w:jc w:val="center"/>
              <w:rPr>
                <w:rStyle w:val="15"/>
                <w:sz w:val="21"/>
                <w:szCs w:val="21"/>
              </w:rPr>
            </w:pPr>
            <w:r>
              <w:rPr>
                <w:rStyle w:val="15"/>
                <w:sz w:val="21"/>
                <w:szCs w:val="21"/>
              </w:rPr>
              <w:t>4</w:t>
            </w:r>
          </w:p>
        </w:tc>
        <w:tc>
          <w:tcPr>
            <w:tcW w:w="467" w:type="dxa"/>
            <w:tcBorders>
              <w:top w:val="single" w:color="000000" w:sz="6" w:space="0"/>
              <w:left w:val="single" w:color="000000" w:sz="6" w:space="0"/>
              <w:bottom w:val="single" w:color="000000" w:sz="6" w:space="0"/>
              <w:right w:val="single" w:color="000000" w:sz="6" w:space="0"/>
            </w:tcBorders>
          </w:tcPr>
          <w:p>
            <w:pPr>
              <w:pStyle w:val="18"/>
              <w:spacing w:before="15"/>
              <w:ind w:left="26"/>
              <w:jc w:val="center"/>
              <w:rPr>
                <w:rStyle w:val="15"/>
                <w:sz w:val="21"/>
                <w:szCs w:val="21"/>
              </w:rPr>
            </w:pPr>
            <w:r>
              <w:rPr>
                <w:rStyle w:val="15"/>
                <w:sz w:val="21"/>
                <w:szCs w:val="21"/>
              </w:rPr>
              <w:t>5</w:t>
            </w:r>
          </w:p>
        </w:tc>
        <w:tc>
          <w:tcPr>
            <w:tcW w:w="501" w:type="dxa"/>
            <w:tcBorders>
              <w:top w:val="single" w:color="000000" w:sz="6" w:space="0"/>
              <w:left w:val="single" w:color="000000" w:sz="6" w:space="0"/>
              <w:bottom w:val="single" w:color="000000" w:sz="6" w:space="0"/>
              <w:right w:val="single" w:color="000000" w:sz="6" w:space="0"/>
            </w:tcBorders>
          </w:tcPr>
          <w:p>
            <w:pPr>
              <w:pStyle w:val="18"/>
              <w:spacing w:before="15"/>
              <w:ind w:left="28"/>
              <w:jc w:val="center"/>
              <w:rPr>
                <w:rStyle w:val="15"/>
                <w:sz w:val="21"/>
                <w:szCs w:val="21"/>
              </w:rPr>
            </w:pPr>
            <w:r>
              <w:rPr>
                <w:rStyle w:val="15"/>
                <w:sz w:val="21"/>
                <w:szCs w:val="21"/>
              </w:rPr>
              <w:t>6</w:t>
            </w:r>
          </w:p>
        </w:tc>
        <w:tc>
          <w:tcPr>
            <w:tcW w:w="467" w:type="dxa"/>
            <w:tcBorders>
              <w:top w:val="single" w:color="000000" w:sz="6" w:space="0"/>
              <w:left w:val="single" w:color="000000" w:sz="6" w:space="0"/>
              <w:bottom w:val="single" w:color="000000" w:sz="6" w:space="0"/>
              <w:right w:val="single" w:color="000000" w:sz="6" w:space="0"/>
            </w:tcBorders>
          </w:tcPr>
          <w:p>
            <w:pPr>
              <w:pStyle w:val="18"/>
              <w:spacing w:before="15"/>
              <w:ind w:left="29"/>
              <w:jc w:val="center"/>
              <w:rPr>
                <w:rStyle w:val="15"/>
                <w:sz w:val="21"/>
                <w:szCs w:val="21"/>
              </w:rPr>
            </w:pPr>
            <w:r>
              <w:rPr>
                <w:rStyle w:val="15"/>
                <w:sz w:val="21"/>
                <w:szCs w:val="21"/>
              </w:rPr>
              <w:t>7</w:t>
            </w:r>
          </w:p>
        </w:tc>
        <w:tc>
          <w:tcPr>
            <w:tcW w:w="468" w:type="dxa"/>
            <w:tcBorders>
              <w:top w:val="single" w:color="000000" w:sz="6" w:space="0"/>
              <w:left w:val="single" w:color="000000" w:sz="6" w:space="0"/>
              <w:bottom w:val="single" w:color="000000" w:sz="6" w:space="0"/>
              <w:right w:val="single" w:color="000000" w:sz="6" w:space="0"/>
            </w:tcBorders>
          </w:tcPr>
          <w:p>
            <w:pPr>
              <w:pStyle w:val="18"/>
              <w:spacing w:before="15"/>
              <w:ind w:left="26"/>
              <w:jc w:val="center"/>
              <w:rPr>
                <w:rStyle w:val="15"/>
                <w:sz w:val="21"/>
                <w:szCs w:val="21"/>
              </w:rPr>
            </w:pPr>
            <w:r>
              <w:rPr>
                <w:rStyle w:val="15"/>
                <w:sz w:val="21"/>
                <w:szCs w:val="21"/>
              </w:rPr>
              <w:t>8</w:t>
            </w:r>
          </w:p>
        </w:tc>
        <w:tc>
          <w:tcPr>
            <w:tcW w:w="501" w:type="dxa"/>
            <w:tcBorders>
              <w:top w:val="single" w:color="000000" w:sz="6" w:space="0"/>
              <w:left w:val="single" w:color="000000" w:sz="6" w:space="0"/>
              <w:bottom w:val="single" w:color="000000" w:sz="6" w:space="0"/>
              <w:right w:val="single" w:color="000000" w:sz="6" w:space="0"/>
            </w:tcBorders>
          </w:tcPr>
          <w:p>
            <w:pPr>
              <w:pStyle w:val="18"/>
              <w:spacing w:before="15"/>
              <w:ind w:left="26"/>
              <w:jc w:val="center"/>
              <w:rPr>
                <w:rStyle w:val="15"/>
                <w:sz w:val="21"/>
                <w:szCs w:val="21"/>
              </w:rPr>
            </w:pPr>
            <w:r>
              <w:rPr>
                <w:rStyle w:val="15"/>
                <w:sz w:val="21"/>
                <w:szCs w:val="21"/>
              </w:rPr>
              <w:t>9</w:t>
            </w:r>
          </w:p>
        </w:tc>
        <w:tc>
          <w:tcPr>
            <w:tcW w:w="467" w:type="dxa"/>
            <w:tcBorders>
              <w:top w:val="single" w:color="000000" w:sz="6" w:space="0"/>
              <w:left w:val="single" w:color="000000" w:sz="6" w:space="0"/>
              <w:bottom w:val="single" w:color="000000" w:sz="6" w:space="0"/>
              <w:right w:val="single" w:color="000000" w:sz="6" w:space="0"/>
            </w:tcBorders>
          </w:tcPr>
          <w:p>
            <w:pPr>
              <w:pStyle w:val="18"/>
              <w:spacing w:before="15"/>
              <w:ind w:left="135"/>
              <w:rPr>
                <w:rStyle w:val="15"/>
                <w:sz w:val="21"/>
                <w:szCs w:val="21"/>
              </w:rPr>
            </w:pPr>
            <w:r>
              <w:rPr>
                <w:rStyle w:val="15"/>
                <w:sz w:val="21"/>
                <w:szCs w:val="21"/>
              </w:rPr>
              <w:t>10</w:t>
            </w:r>
          </w:p>
        </w:tc>
        <w:tc>
          <w:tcPr>
            <w:tcW w:w="467" w:type="dxa"/>
            <w:tcBorders>
              <w:top w:val="single" w:color="000000" w:sz="6" w:space="0"/>
              <w:left w:val="single" w:color="000000" w:sz="6" w:space="0"/>
              <w:bottom w:val="single" w:color="000000" w:sz="6" w:space="0"/>
              <w:right w:val="single" w:color="000000" w:sz="6" w:space="0"/>
            </w:tcBorders>
          </w:tcPr>
          <w:p>
            <w:pPr>
              <w:pStyle w:val="18"/>
              <w:spacing w:before="15"/>
              <w:ind w:left="133"/>
              <w:rPr>
                <w:rStyle w:val="15"/>
                <w:sz w:val="21"/>
                <w:szCs w:val="21"/>
              </w:rPr>
            </w:pPr>
            <w:r>
              <w:rPr>
                <w:rStyle w:val="15"/>
                <w:sz w:val="21"/>
                <w:szCs w:val="21"/>
              </w:rPr>
              <w:t>11</w:t>
            </w:r>
          </w:p>
        </w:tc>
        <w:tc>
          <w:tcPr>
            <w:tcW w:w="606" w:type="dxa"/>
            <w:tcBorders>
              <w:top w:val="single" w:color="000000" w:sz="6" w:space="0"/>
              <w:left w:val="single" w:color="000000" w:sz="6" w:space="0"/>
              <w:bottom w:val="single" w:color="000000" w:sz="6" w:space="0"/>
            </w:tcBorders>
          </w:tcPr>
          <w:p>
            <w:pPr>
              <w:pStyle w:val="18"/>
              <w:spacing w:before="15"/>
              <w:ind w:left="204"/>
              <w:rPr>
                <w:rStyle w:val="15"/>
                <w:sz w:val="21"/>
                <w:szCs w:val="21"/>
              </w:rPr>
            </w:pPr>
            <w:r>
              <w:rPr>
                <w:rStyle w:val="15"/>
                <w:sz w:val="21"/>
                <w:szCs w:val="21"/>
              </w:rPr>
              <w:t>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2722" w:type="dxa"/>
            <w:vMerge w:val="restart"/>
            <w:tcBorders>
              <w:top w:val="single" w:color="000000" w:sz="6" w:space="0"/>
              <w:bottom w:val="single" w:color="000000" w:sz="24" w:space="0"/>
              <w:right w:val="nil"/>
            </w:tcBorders>
          </w:tcPr>
          <w:p>
            <w:pPr>
              <w:pStyle w:val="18"/>
              <w:spacing w:before="15"/>
              <w:ind w:left="108"/>
              <w:rPr>
                <w:rStyle w:val="15"/>
                <w:sz w:val="21"/>
                <w:szCs w:val="21"/>
              </w:rPr>
            </w:pPr>
            <w:r>
              <w:rPr>
                <w:rStyle w:val="15"/>
                <w:sz w:val="21"/>
                <w:szCs w:val="21"/>
              </w:rPr>
              <w:t>图例：</w:t>
            </w:r>
          </w:p>
        </w:tc>
        <w:tc>
          <w:tcPr>
            <w:tcW w:w="1276" w:type="dxa"/>
            <w:vMerge w:val="restart"/>
            <w:tcBorders>
              <w:top w:val="single" w:color="000000" w:sz="6" w:space="0"/>
              <w:left w:val="nil"/>
              <w:right w:val="single" w:color="000000" w:sz="6" w:space="0"/>
            </w:tcBorders>
          </w:tcPr>
          <w:p>
            <w:pPr>
              <w:pStyle w:val="18"/>
              <w:spacing w:before="15"/>
              <w:ind w:left="212" w:right="176"/>
              <w:jc w:val="center"/>
              <w:rPr>
                <w:rStyle w:val="15"/>
                <w:sz w:val="21"/>
                <w:szCs w:val="21"/>
              </w:rPr>
            </w:pPr>
            <w:r>
              <w:rPr>
                <w:rStyle w:val="15"/>
                <w:sz w:val="21"/>
                <w:szCs w:val="21"/>
              </w:rPr>
              <w:t>100（%）</w:t>
            </w:r>
          </w:p>
          <w:p>
            <w:pPr>
              <w:pStyle w:val="18"/>
              <w:rPr>
                <w:rStyle w:val="15"/>
                <w:sz w:val="21"/>
                <w:szCs w:val="21"/>
              </w:rPr>
            </w:pPr>
          </w:p>
          <w:p>
            <w:pPr>
              <w:pStyle w:val="18"/>
              <w:spacing w:before="10"/>
              <w:rPr>
                <w:rStyle w:val="15"/>
                <w:sz w:val="21"/>
                <w:szCs w:val="21"/>
              </w:rPr>
            </w:pPr>
          </w:p>
          <w:p>
            <w:pPr>
              <w:pStyle w:val="18"/>
              <w:ind w:left="212" w:right="175"/>
              <w:jc w:val="center"/>
              <w:rPr>
                <w:rStyle w:val="15"/>
                <w:sz w:val="21"/>
                <w:szCs w:val="21"/>
              </w:rPr>
            </w:pPr>
            <w:r>
              <w:rPr>
                <w:rStyle w:val="15"/>
                <w:sz w:val="21"/>
                <w:szCs w:val="21"/>
              </w:rPr>
              <w:t>90</w:t>
            </w:r>
          </w:p>
          <w:p>
            <w:pPr>
              <w:pStyle w:val="18"/>
              <w:rPr>
                <w:rStyle w:val="15"/>
                <w:sz w:val="21"/>
                <w:szCs w:val="21"/>
              </w:rPr>
            </w:pPr>
          </w:p>
          <w:p>
            <w:pPr>
              <w:pStyle w:val="18"/>
              <w:spacing w:before="5"/>
              <w:rPr>
                <w:rStyle w:val="15"/>
                <w:sz w:val="21"/>
                <w:szCs w:val="21"/>
              </w:rPr>
            </w:pPr>
          </w:p>
          <w:p>
            <w:pPr>
              <w:pStyle w:val="18"/>
              <w:ind w:left="212" w:right="175"/>
              <w:jc w:val="center"/>
              <w:rPr>
                <w:rStyle w:val="15"/>
                <w:sz w:val="21"/>
                <w:szCs w:val="21"/>
              </w:rPr>
            </w:pPr>
            <w:r>
              <w:rPr>
                <w:rStyle w:val="15"/>
                <w:sz w:val="21"/>
                <w:szCs w:val="21"/>
              </w:rPr>
              <w:t>80</w:t>
            </w:r>
          </w:p>
          <w:p>
            <w:pPr>
              <w:pStyle w:val="18"/>
              <w:rPr>
                <w:rStyle w:val="15"/>
                <w:sz w:val="21"/>
                <w:szCs w:val="21"/>
              </w:rPr>
            </w:pPr>
          </w:p>
          <w:p>
            <w:pPr>
              <w:pStyle w:val="18"/>
              <w:spacing w:before="7"/>
              <w:rPr>
                <w:rStyle w:val="15"/>
                <w:sz w:val="21"/>
                <w:szCs w:val="21"/>
              </w:rPr>
            </w:pPr>
          </w:p>
          <w:p>
            <w:pPr>
              <w:pStyle w:val="18"/>
              <w:ind w:left="212" w:right="175"/>
              <w:jc w:val="center"/>
              <w:rPr>
                <w:rStyle w:val="15"/>
                <w:sz w:val="21"/>
                <w:szCs w:val="21"/>
              </w:rPr>
            </w:pPr>
            <w:r>
              <w:rPr>
                <w:rStyle w:val="15"/>
                <w:sz w:val="21"/>
                <w:szCs w:val="21"/>
              </w:rPr>
              <w:t>70</w:t>
            </w:r>
          </w:p>
          <w:p>
            <w:pPr>
              <w:pStyle w:val="18"/>
              <w:rPr>
                <w:rStyle w:val="15"/>
                <w:sz w:val="21"/>
                <w:szCs w:val="21"/>
              </w:rPr>
            </w:pPr>
          </w:p>
          <w:p>
            <w:pPr>
              <w:pStyle w:val="18"/>
              <w:spacing w:before="12"/>
              <w:rPr>
                <w:rStyle w:val="15"/>
                <w:sz w:val="21"/>
                <w:szCs w:val="21"/>
              </w:rPr>
            </w:pPr>
          </w:p>
          <w:p>
            <w:pPr>
              <w:pStyle w:val="18"/>
              <w:spacing w:before="1"/>
              <w:ind w:left="212" w:right="175"/>
              <w:jc w:val="center"/>
              <w:rPr>
                <w:rStyle w:val="15"/>
                <w:sz w:val="21"/>
                <w:szCs w:val="21"/>
              </w:rPr>
            </w:pPr>
            <w:r>
              <w:rPr>
                <w:rStyle w:val="15"/>
                <w:sz w:val="21"/>
                <w:szCs w:val="21"/>
              </w:rPr>
              <w:t>60</w:t>
            </w:r>
          </w:p>
          <w:p>
            <w:pPr>
              <w:pStyle w:val="18"/>
              <w:rPr>
                <w:rStyle w:val="15"/>
                <w:sz w:val="21"/>
                <w:szCs w:val="21"/>
              </w:rPr>
            </w:pPr>
          </w:p>
          <w:p>
            <w:pPr>
              <w:pStyle w:val="18"/>
              <w:spacing w:before="7"/>
              <w:rPr>
                <w:rStyle w:val="15"/>
                <w:sz w:val="21"/>
                <w:szCs w:val="21"/>
              </w:rPr>
            </w:pPr>
          </w:p>
          <w:p>
            <w:pPr>
              <w:pStyle w:val="18"/>
              <w:ind w:left="212" w:right="175"/>
              <w:jc w:val="center"/>
              <w:rPr>
                <w:rStyle w:val="15"/>
                <w:sz w:val="21"/>
                <w:szCs w:val="21"/>
              </w:rPr>
            </w:pPr>
            <w:r>
              <w:rPr>
                <w:rStyle w:val="15"/>
                <w:sz w:val="21"/>
                <w:szCs w:val="21"/>
              </w:rPr>
              <w:t>50</w:t>
            </w:r>
          </w:p>
          <w:p>
            <w:pPr>
              <w:pStyle w:val="18"/>
              <w:rPr>
                <w:rStyle w:val="15"/>
                <w:sz w:val="21"/>
                <w:szCs w:val="21"/>
              </w:rPr>
            </w:pPr>
          </w:p>
          <w:p>
            <w:pPr>
              <w:pStyle w:val="18"/>
              <w:spacing w:before="173"/>
              <w:ind w:left="212" w:right="175"/>
              <w:jc w:val="center"/>
              <w:rPr>
                <w:rStyle w:val="15"/>
                <w:sz w:val="21"/>
                <w:szCs w:val="21"/>
              </w:rPr>
            </w:pPr>
            <w:r>
              <w:rPr>
                <w:rStyle w:val="15"/>
                <w:sz w:val="21"/>
                <w:szCs w:val="21"/>
              </w:rPr>
              <w:t>40</w:t>
            </w:r>
          </w:p>
          <w:p>
            <w:pPr>
              <w:pStyle w:val="18"/>
              <w:rPr>
                <w:rStyle w:val="15"/>
                <w:sz w:val="21"/>
                <w:szCs w:val="21"/>
              </w:rPr>
            </w:pPr>
          </w:p>
          <w:p>
            <w:pPr>
              <w:pStyle w:val="18"/>
              <w:spacing w:before="12"/>
              <w:rPr>
                <w:rStyle w:val="15"/>
                <w:sz w:val="21"/>
                <w:szCs w:val="21"/>
              </w:rPr>
            </w:pPr>
          </w:p>
          <w:p>
            <w:pPr>
              <w:pStyle w:val="18"/>
              <w:ind w:left="212" w:right="175"/>
              <w:jc w:val="center"/>
              <w:rPr>
                <w:rStyle w:val="15"/>
                <w:sz w:val="21"/>
                <w:szCs w:val="21"/>
              </w:rPr>
            </w:pPr>
            <w:r>
              <w:rPr>
                <w:rStyle w:val="15"/>
                <w:sz w:val="21"/>
                <w:szCs w:val="21"/>
              </w:rPr>
              <w:t>30</w:t>
            </w:r>
          </w:p>
          <w:p>
            <w:pPr>
              <w:pStyle w:val="18"/>
              <w:rPr>
                <w:rStyle w:val="15"/>
                <w:sz w:val="21"/>
                <w:szCs w:val="21"/>
              </w:rPr>
            </w:pPr>
          </w:p>
          <w:p>
            <w:pPr>
              <w:pStyle w:val="18"/>
              <w:spacing w:before="12"/>
              <w:rPr>
                <w:rStyle w:val="15"/>
                <w:sz w:val="21"/>
                <w:szCs w:val="21"/>
              </w:rPr>
            </w:pPr>
          </w:p>
          <w:p>
            <w:pPr>
              <w:pStyle w:val="18"/>
              <w:ind w:left="212" w:right="175"/>
              <w:jc w:val="center"/>
              <w:rPr>
                <w:rStyle w:val="15"/>
                <w:sz w:val="21"/>
                <w:szCs w:val="21"/>
              </w:rPr>
            </w:pPr>
            <w:r>
              <w:rPr>
                <w:rStyle w:val="15"/>
                <w:sz w:val="21"/>
                <w:szCs w:val="21"/>
              </w:rPr>
              <w:t>20</w:t>
            </w:r>
          </w:p>
          <w:p>
            <w:pPr>
              <w:pStyle w:val="18"/>
              <w:rPr>
                <w:rStyle w:val="15"/>
                <w:sz w:val="21"/>
                <w:szCs w:val="21"/>
              </w:rPr>
            </w:pPr>
          </w:p>
          <w:p>
            <w:pPr>
              <w:pStyle w:val="18"/>
              <w:spacing w:before="173"/>
              <w:ind w:left="212" w:right="175"/>
              <w:jc w:val="center"/>
              <w:rPr>
                <w:rStyle w:val="15"/>
                <w:sz w:val="21"/>
                <w:szCs w:val="21"/>
              </w:rPr>
            </w:pPr>
            <w:r>
              <w:rPr>
                <w:rStyle w:val="15"/>
                <w:sz w:val="21"/>
                <w:szCs w:val="21"/>
              </w:rPr>
              <w:t>10</w:t>
            </w: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2722" w:type="dxa"/>
            <w:vMerge w:val="continue"/>
            <w:tcBorders>
              <w:top w:val="nil"/>
              <w:bottom w:val="single" w:color="000000" w:sz="24"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2722" w:type="dxa"/>
            <w:vMerge w:val="restart"/>
            <w:tcBorders>
              <w:top w:val="single" w:color="000000" w:sz="24" w:space="0"/>
              <w:bottom w:val="double" w:color="000000" w:sz="0" w:space="0"/>
              <w:right w:val="nil"/>
            </w:tcBorders>
          </w:tcPr>
          <w:p>
            <w:pPr>
              <w:pStyle w:val="18"/>
              <w:spacing w:before="27"/>
              <w:ind w:left="941" w:right="727" w:rightChars="0"/>
              <w:jc w:val="center"/>
              <w:rPr>
                <w:rStyle w:val="15"/>
                <w:sz w:val="21"/>
                <w:szCs w:val="21"/>
              </w:rPr>
            </w:pPr>
            <w:r>
              <w:rPr>
                <w:rStyle w:val="15"/>
                <w:sz w:val="21"/>
                <w:szCs w:val="21"/>
              </w:rPr>
              <w:t>施工准备</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8" w:hRule="atLeast"/>
        </w:trPr>
        <w:tc>
          <w:tcPr>
            <w:tcW w:w="2722" w:type="dxa"/>
            <w:vMerge w:val="continue"/>
            <w:tcBorders>
              <w:top w:val="nil"/>
              <w:bottom w:val="double" w:color="000000" w:sz="0"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 w:hRule="atLeast"/>
        </w:trPr>
        <w:tc>
          <w:tcPr>
            <w:tcW w:w="2722" w:type="dxa"/>
            <w:vMerge w:val="restart"/>
            <w:tcBorders>
              <w:top w:val="double" w:color="000000" w:sz="0" w:space="0"/>
              <w:bottom w:val="dotted" w:color="000000" w:sz="24" w:space="0"/>
              <w:right w:val="nil"/>
            </w:tcBorders>
          </w:tcPr>
          <w:p>
            <w:pPr>
              <w:pStyle w:val="18"/>
              <w:tabs>
                <w:tab w:val="left" w:pos="1980"/>
              </w:tabs>
              <w:spacing w:before="19"/>
              <w:ind w:left="941" w:right="727" w:rightChars="0"/>
              <w:jc w:val="center"/>
              <w:rPr>
                <w:rStyle w:val="15"/>
                <w:sz w:val="21"/>
                <w:szCs w:val="21"/>
              </w:rPr>
            </w:pPr>
            <w:r>
              <w:rPr>
                <w:rStyle w:val="15"/>
                <w:sz w:val="21"/>
                <w:szCs w:val="21"/>
              </w:rPr>
              <w:t>路基填筑</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2722" w:type="dxa"/>
            <w:vMerge w:val="continue"/>
            <w:tcBorders>
              <w:top w:val="nil"/>
              <w:bottom w:val="dotted" w:color="000000" w:sz="24"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4" w:hRule="atLeast"/>
        </w:trPr>
        <w:tc>
          <w:tcPr>
            <w:tcW w:w="2722" w:type="dxa"/>
            <w:vMerge w:val="restart"/>
            <w:tcBorders>
              <w:top w:val="dotted" w:color="000000" w:sz="24" w:space="0"/>
              <w:bottom w:val="triple" w:color="000000" w:sz="4" w:space="0"/>
              <w:right w:val="nil"/>
            </w:tcBorders>
          </w:tcPr>
          <w:p>
            <w:pPr>
              <w:pStyle w:val="18"/>
              <w:spacing w:before="26"/>
              <w:ind w:left="941" w:right="727" w:rightChars="0"/>
              <w:jc w:val="center"/>
              <w:rPr>
                <w:rStyle w:val="15"/>
                <w:sz w:val="21"/>
                <w:szCs w:val="21"/>
              </w:rPr>
            </w:pPr>
            <w:r>
              <w:rPr>
                <w:rStyle w:val="15"/>
                <w:sz w:val="21"/>
                <w:szCs w:val="21"/>
              </w:rPr>
              <w:t>路面基层</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2722" w:type="dxa"/>
            <w:vMerge w:val="continue"/>
            <w:tcBorders>
              <w:top w:val="nil"/>
              <w:bottom w:val="triple" w:color="000000" w:sz="4"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6" w:hRule="atLeast"/>
        </w:trPr>
        <w:tc>
          <w:tcPr>
            <w:tcW w:w="2722" w:type="dxa"/>
            <w:vMerge w:val="restart"/>
            <w:tcBorders>
              <w:top w:val="triple" w:color="000000" w:sz="4" w:space="0"/>
              <w:bottom w:val="dotted" w:color="000000" w:sz="24" w:space="0"/>
              <w:right w:val="nil"/>
            </w:tcBorders>
          </w:tcPr>
          <w:p>
            <w:pPr>
              <w:pStyle w:val="18"/>
              <w:spacing w:before="25"/>
              <w:ind w:left="941" w:right="507" w:rightChars="0"/>
              <w:jc w:val="center"/>
              <w:rPr>
                <w:rStyle w:val="15"/>
                <w:sz w:val="21"/>
                <w:szCs w:val="21"/>
              </w:rPr>
            </w:pPr>
            <w:r>
              <w:rPr>
                <w:rStyle w:val="15"/>
                <w:sz w:val="21"/>
                <w:szCs w:val="21"/>
              </w:rPr>
              <w:t>路面面层</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2722" w:type="dxa"/>
            <w:vMerge w:val="continue"/>
            <w:tcBorders>
              <w:top w:val="nil"/>
              <w:bottom w:val="dotted" w:color="000000" w:sz="24"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2722" w:type="dxa"/>
            <w:vMerge w:val="restart"/>
            <w:tcBorders>
              <w:top w:val="dotted" w:color="000000" w:sz="24" w:space="0"/>
              <w:bottom w:val="dotDotDash" w:color="000000" w:sz="4" w:space="0"/>
              <w:right w:val="nil"/>
            </w:tcBorders>
          </w:tcPr>
          <w:p>
            <w:pPr>
              <w:pStyle w:val="18"/>
              <w:spacing w:before="26"/>
              <w:ind w:left="835"/>
              <w:rPr>
                <w:rStyle w:val="15"/>
                <w:sz w:val="21"/>
                <w:szCs w:val="21"/>
              </w:rPr>
            </w:pPr>
            <w:r>
              <w:rPr>
                <w:rStyle w:val="15"/>
                <w:sz w:val="21"/>
                <w:szCs w:val="21"/>
              </w:rPr>
              <w:t>防护及排水</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2722" w:type="dxa"/>
            <w:vMerge w:val="continue"/>
            <w:tcBorders>
              <w:top w:val="nil"/>
              <w:bottom w:val="dotDotDash" w:color="000000" w:sz="4"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6" w:hRule="atLeast"/>
        </w:trPr>
        <w:tc>
          <w:tcPr>
            <w:tcW w:w="2722" w:type="dxa"/>
            <w:vMerge w:val="restart"/>
            <w:tcBorders>
              <w:top w:val="dotDotDash" w:color="000000" w:sz="4" w:space="0"/>
              <w:bottom w:val="thickThinMediumGap" w:color="000000" w:sz="12" w:space="0"/>
              <w:right w:val="nil"/>
            </w:tcBorders>
          </w:tcPr>
          <w:p>
            <w:pPr>
              <w:pStyle w:val="18"/>
              <w:spacing w:before="8"/>
              <w:ind w:left="835"/>
              <w:rPr>
                <w:rStyle w:val="15"/>
                <w:sz w:val="21"/>
                <w:szCs w:val="21"/>
              </w:rPr>
            </w:pPr>
            <w:r>
              <w:rPr>
                <w:rStyle w:val="15"/>
                <w:sz w:val="21"/>
                <w:szCs w:val="21"/>
              </w:rPr>
              <w:t>涵洞及通道</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2722" w:type="dxa"/>
            <w:vMerge w:val="continue"/>
            <w:tcBorders>
              <w:top w:val="nil"/>
              <w:bottom w:val="thickThinMediumGap" w:color="000000" w:sz="12"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 w:hRule="atLeast"/>
        </w:trPr>
        <w:tc>
          <w:tcPr>
            <w:tcW w:w="2722" w:type="dxa"/>
            <w:vMerge w:val="restart"/>
            <w:tcBorders>
              <w:top w:val="thinThickMediumGap" w:color="000000" w:sz="12" w:space="0"/>
              <w:bottom w:val="thinThickMediumGap" w:color="000000" w:sz="12" w:space="0"/>
              <w:right w:val="nil"/>
            </w:tcBorders>
          </w:tcPr>
          <w:p>
            <w:pPr>
              <w:pStyle w:val="18"/>
              <w:spacing w:before="34"/>
              <w:ind w:left="730"/>
              <w:rPr>
                <w:rStyle w:val="15"/>
                <w:sz w:val="21"/>
                <w:szCs w:val="21"/>
              </w:rPr>
            </w:pPr>
            <w:r>
              <w:rPr>
                <w:rStyle w:val="15"/>
                <w:sz w:val="21"/>
                <w:szCs w:val="21"/>
              </w:rPr>
              <w:t>桥梁下部工程</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2722" w:type="dxa"/>
            <w:vMerge w:val="continue"/>
            <w:tcBorders>
              <w:top w:val="nil"/>
              <w:bottom w:val="thinThickMediumGap" w:color="000000" w:sz="12"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rPr>
        <w:tc>
          <w:tcPr>
            <w:tcW w:w="2722" w:type="dxa"/>
            <w:vMerge w:val="restart"/>
            <w:tcBorders>
              <w:top w:val="thickThinMediumGap" w:color="000000" w:sz="12" w:space="0"/>
              <w:bottom w:val="dotted" w:color="000000" w:sz="4" w:space="0"/>
              <w:right w:val="nil"/>
            </w:tcBorders>
          </w:tcPr>
          <w:p>
            <w:pPr>
              <w:pStyle w:val="18"/>
              <w:spacing w:before="34"/>
              <w:ind w:left="730"/>
              <w:rPr>
                <w:rStyle w:val="15"/>
                <w:sz w:val="21"/>
                <w:szCs w:val="21"/>
              </w:rPr>
            </w:pPr>
            <w:r>
              <w:rPr>
                <w:rStyle w:val="15"/>
                <w:sz w:val="21"/>
                <w:szCs w:val="21"/>
              </w:rPr>
              <w:t>桥梁上部工程</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2722" w:type="dxa"/>
            <w:vMerge w:val="continue"/>
            <w:tcBorders>
              <w:top w:val="nil"/>
              <w:bottom w:val="dotted" w:color="000000" w:sz="4" w:space="0"/>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6" w:hRule="atLeast"/>
        </w:trPr>
        <w:tc>
          <w:tcPr>
            <w:tcW w:w="2722" w:type="dxa"/>
            <w:vMerge w:val="restart"/>
            <w:tcBorders>
              <w:top w:val="dotted" w:color="000000" w:sz="4" w:space="0"/>
              <w:right w:val="nil"/>
            </w:tcBorders>
          </w:tcPr>
          <w:p>
            <w:pPr>
              <w:pStyle w:val="18"/>
              <w:spacing w:before="8"/>
              <w:ind w:left="938" w:right="928"/>
              <w:jc w:val="center"/>
              <w:rPr>
                <w:rStyle w:val="15"/>
                <w:sz w:val="21"/>
                <w:szCs w:val="21"/>
              </w:rPr>
            </w:pPr>
            <w:r>
              <w:rPr>
                <w:rStyle w:val="15"/>
                <w:sz w:val="21"/>
                <w:szCs w:val="21"/>
              </w:rPr>
              <w:t>隧道</w:t>
            </w: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bottom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bottom w:val="single" w:color="000000" w:sz="6" w:space="0"/>
            </w:tcBorders>
          </w:tcPr>
          <w:p>
            <w:pPr>
              <w:pStyle w:val="18"/>
              <w:rPr>
                <w:rStyle w:val="15"/>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2" w:hRule="atLeast"/>
        </w:trPr>
        <w:tc>
          <w:tcPr>
            <w:tcW w:w="2722" w:type="dxa"/>
            <w:vMerge w:val="continue"/>
            <w:tcBorders>
              <w:top w:val="nil"/>
              <w:right w:val="nil"/>
            </w:tcBorders>
          </w:tcPr>
          <w:p>
            <w:pPr>
              <w:rPr>
                <w:rStyle w:val="15"/>
                <w:sz w:val="21"/>
                <w:szCs w:val="21"/>
              </w:rPr>
            </w:pPr>
          </w:p>
        </w:tc>
        <w:tc>
          <w:tcPr>
            <w:tcW w:w="1276" w:type="dxa"/>
            <w:vMerge w:val="continue"/>
            <w:tcBorders>
              <w:top w:val="nil"/>
              <w:left w:val="nil"/>
              <w:right w:val="single" w:color="000000" w:sz="6" w:space="0"/>
            </w:tcBorders>
          </w:tcPr>
          <w:p>
            <w:pPr>
              <w:rPr>
                <w:rStyle w:val="15"/>
                <w:sz w:val="21"/>
                <w:szCs w:val="21"/>
              </w:rPr>
            </w:pPr>
          </w:p>
        </w:tc>
        <w:tc>
          <w:tcPr>
            <w:tcW w:w="467" w:type="dxa"/>
            <w:tcBorders>
              <w:top w:val="single" w:color="000000" w:sz="6" w:space="0"/>
              <w:left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right w:val="single" w:color="000000" w:sz="6" w:space="0"/>
            </w:tcBorders>
          </w:tcPr>
          <w:p>
            <w:pPr>
              <w:pStyle w:val="18"/>
              <w:rPr>
                <w:rStyle w:val="15"/>
                <w:sz w:val="21"/>
                <w:szCs w:val="21"/>
              </w:rPr>
            </w:pPr>
          </w:p>
        </w:tc>
        <w:tc>
          <w:tcPr>
            <w:tcW w:w="468" w:type="dxa"/>
            <w:tcBorders>
              <w:top w:val="single" w:color="000000" w:sz="6" w:space="0"/>
              <w:left w:val="single" w:color="000000" w:sz="6" w:space="0"/>
              <w:right w:val="single" w:color="000000" w:sz="6" w:space="0"/>
            </w:tcBorders>
          </w:tcPr>
          <w:p>
            <w:pPr>
              <w:pStyle w:val="18"/>
              <w:rPr>
                <w:rStyle w:val="15"/>
                <w:sz w:val="21"/>
                <w:szCs w:val="21"/>
              </w:rPr>
            </w:pPr>
          </w:p>
        </w:tc>
        <w:tc>
          <w:tcPr>
            <w:tcW w:w="501" w:type="dxa"/>
            <w:tcBorders>
              <w:top w:val="single" w:color="000000" w:sz="6" w:space="0"/>
              <w:left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right w:val="single" w:color="000000" w:sz="6" w:space="0"/>
            </w:tcBorders>
          </w:tcPr>
          <w:p>
            <w:pPr>
              <w:pStyle w:val="18"/>
              <w:rPr>
                <w:rStyle w:val="15"/>
                <w:sz w:val="21"/>
                <w:szCs w:val="21"/>
              </w:rPr>
            </w:pPr>
          </w:p>
        </w:tc>
        <w:tc>
          <w:tcPr>
            <w:tcW w:w="467" w:type="dxa"/>
            <w:tcBorders>
              <w:top w:val="single" w:color="000000" w:sz="6" w:space="0"/>
              <w:left w:val="single" w:color="000000" w:sz="6" w:space="0"/>
              <w:right w:val="single" w:color="000000" w:sz="6" w:space="0"/>
            </w:tcBorders>
          </w:tcPr>
          <w:p>
            <w:pPr>
              <w:pStyle w:val="18"/>
              <w:rPr>
                <w:rStyle w:val="15"/>
                <w:sz w:val="21"/>
                <w:szCs w:val="21"/>
              </w:rPr>
            </w:pPr>
          </w:p>
        </w:tc>
        <w:tc>
          <w:tcPr>
            <w:tcW w:w="606" w:type="dxa"/>
            <w:tcBorders>
              <w:top w:val="single" w:color="000000" w:sz="6" w:space="0"/>
              <w:left w:val="single" w:color="000000" w:sz="6" w:space="0"/>
            </w:tcBorders>
          </w:tcPr>
          <w:p>
            <w:pPr>
              <w:pStyle w:val="18"/>
              <w:rPr>
                <w:rStyle w:val="15"/>
                <w:sz w:val="21"/>
                <w:szCs w:val="21"/>
              </w:rPr>
            </w:pPr>
          </w:p>
        </w:tc>
      </w:tr>
    </w:tbl>
    <w:p>
      <w:pPr>
        <w:pStyle w:val="3"/>
        <w:spacing w:before="75"/>
        <w:ind w:left="652"/>
      </w:pPr>
      <w:r>
        <w:rPr>
          <w:rStyle w:val="15"/>
          <w:sz w:val="21"/>
          <w:szCs w:val="21"/>
        </w:rPr>
        <w:t>注：1.本表内容仅供参考、各标段根据本项目实际编写。</w:t>
      </w:r>
    </w:p>
    <w:p>
      <w:pPr>
        <w:pStyle w:val="3"/>
        <w:spacing w:before="125"/>
        <w:ind w:left="1071"/>
        <w:rPr>
          <w:rStyle w:val="15"/>
        </w:rPr>
      </w:pPr>
      <w:r>
        <w:rPr>
          <w:rStyle w:val="15"/>
        </w:rPr>
        <w:t>2.各个项目的进程可用线条的长短来表示。</w:t>
      </w:r>
    </w:p>
    <w:p>
      <w:pPr>
        <w:spacing w:after="0"/>
        <w:sectPr>
          <w:pgSz w:w="11910" w:h="16840"/>
          <w:pgMar w:top="1000" w:right="740" w:bottom="760" w:left="620" w:header="808" w:footer="575" w:gutter="0"/>
          <w:pgNumType w:fmt="decimal"/>
        </w:sectPr>
      </w:pPr>
    </w:p>
    <w:p>
      <w:pPr>
        <w:pStyle w:val="3"/>
        <w:rPr>
          <w:sz w:val="20"/>
        </w:rPr>
      </w:pPr>
    </w:p>
    <w:p>
      <w:pPr>
        <w:pStyle w:val="3"/>
        <w:spacing w:before="3"/>
        <w:rPr>
          <w:sz w:val="23"/>
        </w:rPr>
      </w:pPr>
    </w:p>
    <w:p>
      <w:pPr>
        <w:pStyle w:val="9"/>
        <w:tabs>
          <w:tab w:val="left" w:pos="951"/>
        </w:tabs>
      </w:pPr>
      <w:r>
        <w:t>附表三</w:t>
      </w:r>
      <w:r>
        <w:tab/>
      </w:r>
      <w:r>
        <w:rPr>
          <w:w w:val="95"/>
        </w:rPr>
        <w:t>施工总平面图</w:t>
      </w:r>
    </w:p>
    <w:p>
      <w:pPr>
        <w:pStyle w:val="3"/>
        <w:rPr>
          <w:b/>
          <w:sz w:val="20"/>
        </w:rPr>
      </w:pPr>
    </w:p>
    <w:p>
      <w:pPr>
        <w:pStyle w:val="3"/>
        <w:spacing w:before="1"/>
        <w:rPr>
          <w:b/>
          <w:sz w:val="20"/>
        </w:rPr>
      </w:pPr>
    </w:p>
    <w:p>
      <w:pPr>
        <w:pStyle w:val="3"/>
        <w:spacing w:line="350" w:lineRule="auto"/>
        <w:ind w:left="112" w:right="105"/>
        <w:rPr>
          <w:rStyle w:val="15"/>
        </w:rPr>
      </w:pPr>
      <w:r>
        <w:rPr>
          <w:rStyle w:val="15"/>
        </w:rPr>
        <w:t>投标人应递交一份施工总平面图，绘出现场临时设施布置图表并附文字说明，说明施工营地、料场、临时设施、    加工车间、现场办公、设备及仓储、供电、供水、卫生、生活、道路、消防等设施的情况和布置。</w:t>
      </w:r>
    </w:p>
    <w:p>
      <w:pPr>
        <w:spacing w:after="0" w:line="350" w:lineRule="auto"/>
        <w:sectPr>
          <w:pgSz w:w="11910" w:h="16840"/>
          <w:pgMar w:top="1000" w:right="660" w:bottom="760" w:left="740" w:header="808" w:footer="575" w:gutter="0"/>
          <w:pgNumType w:fmt="decimal"/>
        </w:sectPr>
      </w:pPr>
    </w:p>
    <w:p>
      <w:pPr>
        <w:pStyle w:val="3"/>
        <w:rPr>
          <w:sz w:val="20"/>
        </w:rPr>
      </w:pPr>
    </w:p>
    <w:p>
      <w:pPr>
        <w:pStyle w:val="3"/>
        <w:spacing w:before="3"/>
        <w:rPr>
          <w:sz w:val="23"/>
        </w:rPr>
      </w:pPr>
    </w:p>
    <w:p>
      <w:pPr>
        <w:pStyle w:val="9"/>
        <w:tabs>
          <w:tab w:val="left" w:pos="1071"/>
        </w:tabs>
        <w:ind w:left="232"/>
      </w:pPr>
      <w:r>
        <w:t>附表四</w:t>
      </w:r>
      <w:r>
        <w:tab/>
      </w:r>
      <w:r>
        <w:rPr>
          <w:w w:val="95"/>
        </w:rPr>
        <w:t>劳动力计划表</w:t>
      </w:r>
    </w:p>
    <w:p>
      <w:pPr>
        <w:pStyle w:val="3"/>
        <w:spacing w:before="126" w:after="50"/>
        <w:ind w:right="130"/>
        <w:jc w:val="right"/>
      </w:pPr>
      <w:r>
        <w:rPr>
          <w:w w:val="95"/>
        </w:rPr>
        <w:t>单位：人</w:t>
      </w:r>
    </w:p>
    <w:tbl>
      <w:tblPr>
        <w:tblStyle w:val="14"/>
        <w:tblW w:w="10314"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89"/>
        <w:gridCol w:w="1289"/>
        <w:gridCol w:w="1289"/>
        <w:gridCol w:w="1290"/>
        <w:gridCol w:w="1289"/>
        <w:gridCol w:w="1289"/>
        <w:gridCol w:w="1289"/>
        <w:gridCol w:w="12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157" w:type="dxa"/>
            <w:gridSpan w:val="4"/>
            <w:tcBorders>
              <w:bottom w:val="single" w:color="000000" w:sz="6" w:space="0"/>
              <w:right w:val="single" w:color="000000" w:sz="6" w:space="0"/>
            </w:tcBorders>
          </w:tcPr>
          <w:p>
            <w:pPr>
              <w:pStyle w:val="18"/>
              <w:spacing w:before="15"/>
              <w:ind w:left="2355" w:right="2339"/>
              <w:jc w:val="center"/>
              <w:rPr>
                <w:sz w:val="21"/>
              </w:rPr>
            </w:pPr>
            <w:r>
              <w:rPr>
                <w:w w:val="95"/>
                <w:sz w:val="21"/>
              </w:rPr>
              <w:t>工种</w:t>
            </w:r>
          </w:p>
        </w:tc>
        <w:tc>
          <w:tcPr>
            <w:tcW w:w="5157" w:type="dxa"/>
            <w:gridSpan w:val="4"/>
            <w:tcBorders>
              <w:left w:val="single" w:color="000000" w:sz="6" w:space="0"/>
              <w:bottom w:val="single" w:color="000000" w:sz="6" w:space="0"/>
            </w:tcBorders>
          </w:tcPr>
          <w:p>
            <w:pPr>
              <w:pStyle w:val="18"/>
              <w:spacing w:before="15"/>
              <w:ind w:left="1114"/>
              <w:rPr>
                <w:sz w:val="21"/>
              </w:rPr>
            </w:pPr>
            <w:r>
              <w:rPr>
                <w:w w:val="95"/>
                <w:sz w:val="21"/>
              </w:rPr>
              <w:t>按工程施工阶段投入劳动力情况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289" w:type="dxa"/>
            <w:tcBorders>
              <w:top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1289" w:type="dxa"/>
            <w:tcBorders>
              <w:top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right w:val="single" w:color="000000" w:sz="6" w:space="0"/>
            </w:tcBorders>
          </w:tcPr>
          <w:p>
            <w:pPr>
              <w:pStyle w:val="18"/>
              <w:rPr>
                <w:rFonts w:ascii="Times New Roman"/>
                <w:sz w:val="18"/>
              </w:rPr>
            </w:pPr>
          </w:p>
        </w:tc>
        <w:tc>
          <w:tcPr>
            <w:tcW w:w="1289" w:type="dxa"/>
            <w:tcBorders>
              <w:top w:val="single" w:color="000000" w:sz="6" w:space="0"/>
              <w:left w:val="single" w:color="000000" w:sz="6" w:space="0"/>
              <w:right w:val="single" w:color="000000" w:sz="6" w:space="0"/>
            </w:tcBorders>
          </w:tcPr>
          <w:p>
            <w:pPr>
              <w:pStyle w:val="18"/>
              <w:rPr>
                <w:rFonts w:ascii="Times New Roman"/>
                <w:sz w:val="18"/>
              </w:rPr>
            </w:pPr>
          </w:p>
        </w:tc>
        <w:tc>
          <w:tcPr>
            <w:tcW w:w="1290" w:type="dxa"/>
            <w:tcBorders>
              <w:top w:val="single" w:color="000000" w:sz="6" w:space="0"/>
              <w:left w:val="single" w:color="000000" w:sz="6" w:space="0"/>
            </w:tcBorders>
          </w:tcPr>
          <w:p>
            <w:pPr>
              <w:pStyle w:val="18"/>
              <w:rPr>
                <w:rFonts w:ascii="Times New Roman"/>
                <w:sz w:val="18"/>
              </w:rPr>
            </w:pPr>
          </w:p>
        </w:tc>
      </w:tr>
    </w:tbl>
    <w:p>
      <w:pPr>
        <w:spacing w:after="0"/>
        <w:rPr>
          <w:rFonts w:ascii="Times New Roman"/>
          <w:sz w:val="18"/>
        </w:rPr>
        <w:sectPr>
          <w:pgSz w:w="11910" w:h="16840"/>
          <w:pgMar w:top="1000" w:right="720" w:bottom="760" w:left="620" w:header="808" w:footer="575" w:gutter="0"/>
          <w:pgNumType w:fmt="decimal"/>
        </w:sectPr>
      </w:pPr>
    </w:p>
    <w:p>
      <w:pPr>
        <w:pStyle w:val="3"/>
        <w:rPr>
          <w:sz w:val="20"/>
        </w:rPr>
      </w:pPr>
    </w:p>
    <w:p>
      <w:pPr>
        <w:pStyle w:val="3"/>
        <w:spacing w:before="3"/>
        <w:rPr>
          <w:sz w:val="23"/>
        </w:rPr>
      </w:pPr>
    </w:p>
    <w:p>
      <w:pPr>
        <w:pStyle w:val="9"/>
        <w:tabs>
          <w:tab w:val="left" w:pos="1071"/>
        </w:tabs>
        <w:spacing w:after="51"/>
        <w:ind w:left="232"/>
      </w:pPr>
      <w:r>
        <w:t>附表五</w:t>
      </w:r>
      <w:r>
        <w:tab/>
      </w:r>
      <w:r>
        <w:rPr>
          <w:w w:val="95"/>
        </w:rPr>
        <w:t>临时占地计划表</w:t>
      </w:r>
    </w:p>
    <w:tbl>
      <w:tblPr>
        <w:tblStyle w:val="14"/>
        <w:tblW w:w="10314"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97"/>
        <w:gridCol w:w="699"/>
        <w:gridCol w:w="700"/>
        <w:gridCol w:w="702"/>
        <w:gridCol w:w="700"/>
        <w:gridCol w:w="706"/>
        <w:gridCol w:w="1779"/>
        <w:gridCol w:w="943"/>
        <w:gridCol w:w="944"/>
        <w:gridCol w:w="9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vMerge w:val="restart"/>
            <w:tcBorders>
              <w:bottom w:val="single" w:color="000000" w:sz="6" w:space="0"/>
              <w:right w:val="single" w:color="000000" w:sz="6" w:space="0"/>
            </w:tcBorders>
          </w:tcPr>
          <w:p>
            <w:pPr>
              <w:pStyle w:val="18"/>
              <w:spacing w:before="7"/>
              <w:rPr>
                <w:rStyle w:val="15"/>
              </w:rPr>
            </w:pPr>
          </w:p>
          <w:p>
            <w:pPr>
              <w:pStyle w:val="18"/>
              <w:tabs>
                <w:tab w:val="left" w:pos="1255"/>
              </w:tabs>
              <w:spacing w:before="1"/>
              <w:ind w:left="730"/>
              <w:rPr>
                <w:rStyle w:val="15"/>
              </w:rPr>
            </w:pPr>
            <w:r>
              <w:rPr>
                <w:rStyle w:val="15"/>
              </w:rPr>
              <w:t>用</w:t>
            </w:r>
            <w:r>
              <w:rPr>
                <w:rStyle w:val="15"/>
              </w:rPr>
              <w:tab/>
            </w:r>
            <w:r>
              <w:rPr>
                <w:rStyle w:val="15"/>
              </w:rPr>
              <w:t>途</w:t>
            </w:r>
          </w:p>
        </w:tc>
        <w:tc>
          <w:tcPr>
            <w:tcW w:w="3507" w:type="dxa"/>
            <w:gridSpan w:val="5"/>
            <w:tcBorders>
              <w:left w:val="single" w:color="000000" w:sz="6" w:space="0"/>
              <w:bottom w:val="single" w:color="000000" w:sz="6" w:space="0"/>
              <w:right w:val="single" w:color="000000" w:sz="6" w:space="0"/>
            </w:tcBorders>
          </w:tcPr>
          <w:p>
            <w:pPr>
              <w:pStyle w:val="18"/>
              <w:spacing w:before="14"/>
              <w:ind w:left="1243" w:right="1215"/>
              <w:jc w:val="center"/>
              <w:rPr>
                <w:rStyle w:val="15"/>
              </w:rPr>
            </w:pPr>
            <w:r>
              <w:rPr>
                <w:rStyle w:val="15"/>
              </w:rPr>
              <w:t>面积（m2）</w:t>
            </w:r>
          </w:p>
        </w:tc>
        <w:tc>
          <w:tcPr>
            <w:tcW w:w="1779" w:type="dxa"/>
            <w:vMerge w:val="restart"/>
            <w:tcBorders>
              <w:left w:val="single" w:color="000000" w:sz="6" w:space="0"/>
              <w:bottom w:val="single" w:color="000000" w:sz="6" w:space="0"/>
              <w:right w:val="single" w:color="000000" w:sz="6" w:space="0"/>
            </w:tcBorders>
          </w:tcPr>
          <w:p>
            <w:pPr>
              <w:pStyle w:val="18"/>
              <w:spacing w:before="22"/>
              <w:ind w:left="476"/>
              <w:rPr>
                <w:rStyle w:val="15"/>
              </w:rPr>
            </w:pPr>
            <w:r>
              <w:rPr>
                <w:rStyle w:val="15"/>
              </w:rPr>
              <w:t>需用时间</w:t>
            </w:r>
          </w:p>
          <w:p>
            <w:pPr>
              <w:pStyle w:val="18"/>
              <w:tabs>
                <w:tab w:val="left" w:pos="793"/>
                <w:tab w:val="left" w:pos="1160"/>
                <w:tab w:val="left" w:pos="1318"/>
              </w:tabs>
              <w:spacing w:before="25" w:line="261" w:lineRule="auto"/>
              <w:ind w:left="267" w:right="233" w:firstLine="158"/>
              <w:rPr>
                <w:sz w:val="21"/>
              </w:rPr>
            </w:pP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sz w:val="21"/>
              </w:rPr>
              <w:t>年</w:t>
            </w:r>
            <w:r>
              <w:rPr>
                <w:sz w:val="21"/>
                <w:u w:val="single"/>
              </w:rPr>
              <w:t xml:space="preserve"> </w:t>
            </w:r>
            <w:r>
              <w:rPr>
                <w:sz w:val="21"/>
                <w:u w:val="single"/>
              </w:rPr>
              <w:tab/>
            </w:r>
            <w:r>
              <w:rPr>
                <w:sz w:val="21"/>
              </w:rPr>
              <w:t>月至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u w:val="single"/>
              </w:rPr>
              <w:tab/>
            </w:r>
            <w:r>
              <w:rPr>
                <w:sz w:val="21"/>
              </w:rPr>
              <w:t>月</w:t>
            </w:r>
          </w:p>
        </w:tc>
        <w:tc>
          <w:tcPr>
            <w:tcW w:w="2831" w:type="dxa"/>
            <w:gridSpan w:val="3"/>
            <w:tcBorders>
              <w:left w:val="single" w:color="000000" w:sz="6" w:space="0"/>
              <w:bottom w:val="single" w:color="000000" w:sz="6" w:space="0"/>
            </w:tcBorders>
          </w:tcPr>
          <w:p>
            <w:pPr>
              <w:pStyle w:val="18"/>
              <w:spacing w:before="14"/>
              <w:ind w:left="1001" w:right="969"/>
              <w:jc w:val="center"/>
              <w:rPr>
                <w:rStyle w:val="15"/>
              </w:rPr>
            </w:pPr>
            <w:r>
              <w:rPr>
                <w:rStyle w:val="15"/>
              </w:rPr>
              <w:t>用地位置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2197" w:type="dxa"/>
            <w:vMerge w:val="continue"/>
            <w:tcBorders>
              <w:top w:val="nil"/>
              <w:bottom w:val="single" w:color="000000" w:sz="6" w:space="0"/>
              <w:right w:val="single" w:color="000000" w:sz="6" w:space="0"/>
            </w:tcBorders>
          </w:tcPr>
          <w:p>
            <w:pPr>
              <w:rPr>
                <w:rStyle w:val="15"/>
              </w:rPr>
            </w:pPr>
          </w:p>
        </w:tc>
        <w:tc>
          <w:tcPr>
            <w:tcW w:w="699" w:type="dxa"/>
            <w:tcBorders>
              <w:top w:val="single" w:color="000000" w:sz="6" w:space="0"/>
              <w:left w:val="single" w:color="000000" w:sz="6" w:space="0"/>
              <w:bottom w:val="single" w:color="000000" w:sz="6" w:space="0"/>
              <w:right w:val="single" w:color="000000" w:sz="6" w:space="0"/>
            </w:tcBorders>
          </w:tcPr>
          <w:p>
            <w:pPr>
              <w:pStyle w:val="18"/>
              <w:spacing w:before="144"/>
              <w:ind w:left="146"/>
              <w:rPr>
                <w:rStyle w:val="15"/>
              </w:rPr>
            </w:pPr>
            <w:r>
              <w:rPr>
                <w:rStyle w:val="15"/>
              </w:rPr>
              <w:t>菜地</w:t>
            </w:r>
          </w:p>
        </w:tc>
        <w:tc>
          <w:tcPr>
            <w:tcW w:w="700" w:type="dxa"/>
            <w:tcBorders>
              <w:top w:val="single" w:color="000000" w:sz="6" w:space="0"/>
              <w:left w:val="single" w:color="000000" w:sz="6" w:space="0"/>
              <w:bottom w:val="single" w:color="000000" w:sz="6" w:space="0"/>
              <w:right w:val="single" w:color="000000" w:sz="6" w:space="0"/>
            </w:tcBorders>
          </w:tcPr>
          <w:p>
            <w:pPr>
              <w:pStyle w:val="18"/>
              <w:spacing w:before="144"/>
              <w:ind w:left="147"/>
              <w:rPr>
                <w:rStyle w:val="15"/>
              </w:rPr>
            </w:pPr>
            <w:r>
              <w:rPr>
                <w:rStyle w:val="15"/>
              </w:rPr>
              <w:t>水田</w:t>
            </w:r>
          </w:p>
        </w:tc>
        <w:tc>
          <w:tcPr>
            <w:tcW w:w="702" w:type="dxa"/>
            <w:tcBorders>
              <w:top w:val="single" w:color="000000" w:sz="6" w:space="0"/>
              <w:left w:val="single" w:color="000000" w:sz="6" w:space="0"/>
              <w:bottom w:val="single" w:color="000000" w:sz="6" w:space="0"/>
              <w:right w:val="single" w:color="000000" w:sz="6" w:space="0"/>
            </w:tcBorders>
          </w:tcPr>
          <w:p>
            <w:pPr>
              <w:pStyle w:val="18"/>
              <w:spacing w:before="144"/>
              <w:ind w:left="148"/>
              <w:rPr>
                <w:rStyle w:val="15"/>
              </w:rPr>
            </w:pPr>
            <w:r>
              <w:rPr>
                <w:rStyle w:val="15"/>
              </w:rPr>
              <w:t>旱地</w:t>
            </w:r>
          </w:p>
        </w:tc>
        <w:tc>
          <w:tcPr>
            <w:tcW w:w="700" w:type="dxa"/>
            <w:tcBorders>
              <w:top w:val="single" w:color="000000" w:sz="6" w:space="0"/>
              <w:left w:val="single" w:color="000000" w:sz="6" w:space="0"/>
              <w:bottom w:val="single" w:color="000000" w:sz="6" w:space="0"/>
              <w:right w:val="single" w:color="000000" w:sz="6" w:space="0"/>
            </w:tcBorders>
          </w:tcPr>
          <w:p>
            <w:pPr>
              <w:pStyle w:val="18"/>
              <w:spacing w:before="144"/>
              <w:ind w:left="147"/>
              <w:rPr>
                <w:rStyle w:val="15"/>
              </w:rPr>
            </w:pPr>
            <w:r>
              <w:rPr>
                <w:rStyle w:val="15"/>
              </w:rPr>
              <w:t>果园</w:t>
            </w:r>
          </w:p>
        </w:tc>
        <w:tc>
          <w:tcPr>
            <w:tcW w:w="706" w:type="dxa"/>
            <w:tcBorders>
              <w:top w:val="single" w:color="000000" w:sz="6" w:space="0"/>
              <w:left w:val="single" w:color="000000" w:sz="6" w:space="0"/>
              <w:bottom w:val="single" w:color="000000" w:sz="6" w:space="0"/>
              <w:right w:val="single" w:color="000000" w:sz="6" w:space="0"/>
            </w:tcBorders>
          </w:tcPr>
          <w:p>
            <w:pPr>
              <w:pStyle w:val="18"/>
              <w:spacing w:before="144"/>
              <w:ind w:left="150"/>
              <w:rPr>
                <w:rStyle w:val="15"/>
              </w:rPr>
            </w:pPr>
            <w:r>
              <w:rPr>
                <w:rStyle w:val="15"/>
              </w:rPr>
              <w:t>荒地</w:t>
            </w:r>
          </w:p>
        </w:tc>
        <w:tc>
          <w:tcPr>
            <w:tcW w:w="1779" w:type="dxa"/>
            <w:vMerge w:val="continue"/>
            <w:tcBorders>
              <w:top w:val="nil"/>
              <w:left w:val="single" w:color="000000" w:sz="6" w:space="0"/>
              <w:bottom w:val="single" w:color="000000" w:sz="6" w:space="0"/>
              <w:right w:val="single" w:color="000000" w:sz="6" w:space="0"/>
            </w:tcBorders>
          </w:tcPr>
          <w:p>
            <w:pPr>
              <w:rPr>
                <w:sz w:val="2"/>
                <w:szCs w:val="2"/>
              </w:rPr>
            </w:pPr>
          </w:p>
        </w:tc>
        <w:tc>
          <w:tcPr>
            <w:tcW w:w="943" w:type="dxa"/>
            <w:tcBorders>
              <w:top w:val="single" w:color="000000" w:sz="6" w:space="0"/>
              <w:left w:val="single" w:color="000000" w:sz="6" w:space="0"/>
              <w:bottom w:val="single" w:color="000000" w:sz="6" w:space="0"/>
              <w:right w:val="single" w:color="000000" w:sz="6" w:space="0"/>
            </w:tcBorders>
          </w:tcPr>
          <w:p>
            <w:pPr>
              <w:pStyle w:val="18"/>
              <w:spacing w:line="300" w:lineRule="exact"/>
              <w:ind w:left="372" w:right="344"/>
              <w:jc w:val="center"/>
              <w:rPr>
                <w:rStyle w:val="15"/>
              </w:rPr>
            </w:pPr>
            <w:r>
              <w:rPr>
                <w:rStyle w:val="15"/>
              </w:rPr>
              <w:t>桩号</w:t>
            </w:r>
          </w:p>
        </w:tc>
        <w:tc>
          <w:tcPr>
            <w:tcW w:w="944" w:type="dxa"/>
            <w:tcBorders>
              <w:top w:val="single" w:color="000000" w:sz="6" w:space="0"/>
              <w:left w:val="single" w:color="000000" w:sz="6" w:space="0"/>
              <w:bottom w:val="single" w:color="000000" w:sz="6" w:space="0"/>
              <w:right w:val="single" w:color="000000" w:sz="6" w:space="0"/>
            </w:tcBorders>
          </w:tcPr>
          <w:p>
            <w:pPr>
              <w:pStyle w:val="18"/>
              <w:spacing w:line="270" w:lineRule="exact"/>
              <w:ind w:left="269"/>
              <w:rPr>
                <w:rStyle w:val="15"/>
              </w:rPr>
            </w:pPr>
            <w:r>
              <w:rPr>
                <w:rStyle w:val="15"/>
              </w:rPr>
              <w:t>左侧</w:t>
            </w:r>
          </w:p>
          <w:p>
            <w:pPr>
              <w:pStyle w:val="18"/>
              <w:spacing w:before="25"/>
              <w:ind w:left="214"/>
              <w:rPr>
                <w:rStyle w:val="15"/>
              </w:rPr>
            </w:pPr>
            <w:r>
              <w:rPr>
                <w:rStyle w:val="15"/>
              </w:rPr>
              <w:t>（m）</w:t>
            </w:r>
          </w:p>
        </w:tc>
        <w:tc>
          <w:tcPr>
            <w:tcW w:w="944" w:type="dxa"/>
            <w:tcBorders>
              <w:top w:val="single" w:color="000000" w:sz="6" w:space="0"/>
              <w:left w:val="single" w:color="000000" w:sz="6" w:space="0"/>
              <w:bottom w:val="single" w:color="000000" w:sz="6" w:space="0"/>
            </w:tcBorders>
          </w:tcPr>
          <w:p>
            <w:pPr>
              <w:pStyle w:val="18"/>
              <w:spacing w:line="270" w:lineRule="exact"/>
              <w:ind w:left="269"/>
              <w:rPr>
                <w:rStyle w:val="15"/>
              </w:rPr>
            </w:pPr>
            <w:r>
              <w:rPr>
                <w:rStyle w:val="15"/>
              </w:rPr>
              <w:t>右侧</w:t>
            </w:r>
          </w:p>
          <w:p>
            <w:pPr>
              <w:pStyle w:val="18"/>
              <w:spacing w:before="25"/>
              <w:ind w:left="216"/>
              <w:rPr>
                <w:rStyle w:val="15"/>
              </w:rPr>
            </w:pPr>
            <w:r>
              <w:rPr>
                <w:rStyle w:val="15"/>
              </w:rPr>
              <w:t>（m）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2197" w:type="dxa"/>
            <w:tcBorders>
              <w:top w:val="single" w:color="000000" w:sz="6" w:space="0"/>
              <w:bottom w:val="single" w:color="000000" w:sz="6" w:space="0"/>
              <w:right w:val="single" w:color="000000" w:sz="6" w:space="0"/>
            </w:tcBorders>
          </w:tcPr>
          <w:p>
            <w:pPr>
              <w:pStyle w:val="18"/>
              <w:spacing w:before="12"/>
              <w:ind w:left="108"/>
              <w:rPr>
                <w:rStyle w:val="15"/>
              </w:rPr>
            </w:pPr>
            <w:r>
              <w:rPr>
                <w:rStyle w:val="15"/>
              </w:rPr>
              <w:t>一.临时工程</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4"/>
              <w:ind w:left="108"/>
              <w:rPr>
                <w:rStyle w:val="15"/>
              </w:rPr>
            </w:pPr>
            <w:r>
              <w:rPr>
                <w:rStyle w:val="15"/>
              </w:rPr>
              <w:t>1.便道</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4"/>
              <w:ind w:left="108"/>
              <w:rPr>
                <w:rStyle w:val="15"/>
              </w:rPr>
            </w:pPr>
            <w:r>
              <w:rPr>
                <w:rStyle w:val="15"/>
              </w:rPr>
              <w:t>2.便桥</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4"/>
              <w:ind w:left="108"/>
              <w:rPr>
                <w:rStyle w:val="15"/>
              </w:rPr>
            </w:pPr>
            <w:r>
              <w:rPr>
                <w:rStyle w:val="15"/>
              </w:rPr>
              <w:t>3.……</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5"/>
              <w:ind w:left="108"/>
              <w:rPr>
                <w:rStyle w:val="15"/>
              </w:rPr>
            </w:pPr>
            <w:r>
              <w:rPr>
                <w:rStyle w:val="15"/>
              </w:rPr>
              <w:t>……</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2197" w:type="dxa"/>
            <w:tcBorders>
              <w:top w:val="single" w:color="000000" w:sz="6" w:space="0"/>
              <w:bottom w:val="single" w:color="000000" w:sz="6" w:space="0"/>
              <w:right w:val="single" w:color="000000" w:sz="6" w:space="0"/>
            </w:tcBorders>
          </w:tcPr>
          <w:p>
            <w:pPr>
              <w:pStyle w:val="18"/>
              <w:spacing w:before="1" w:line="300" w:lineRule="exact"/>
              <w:ind w:left="108" w:right="86"/>
              <w:rPr>
                <w:rStyle w:val="15"/>
              </w:rPr>
            </w:pPr>
            <w:r>
              <w:rPr>
                <w:rStyle w:val="15"/>
              </w:rPr>
              <w:t>二. 生产及生活临时设施</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2197" w:type="dxa"/>
            <w:tcBorders>
              <w:top w:val="single" w:color="000000" w:sz="6" w:space="0"/>
              <w:bottom w:val="single" w:color="000000" w:sz="6" w:space="0"/>
              <w:right w:val="single" w:color="000000" w:sz="6" w:space="0"/>
            </w:tcBorders>
          </w:tcPr>
          <w:p>
            <w:pPr>
              <w:pStyle w:val="18"/>
              <w:spacing w:before="13"/>
              <w:ind w:left="108"/>
              <w:rPr>
                <w:rStyle w:val="15"/>
              </w:rPr>
            </w:pPr>
            <w:r>
              <w:rPr>
                <w:rStyle w:val="15"/>
              </w:rPr>
              <w:t>1.临时住房</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4"/>
              <w:ind w:left="108"/>
              <w:rPr>
                <w:rStyle w:val="15"/>
              </w:rPr>
            </w:pPr>
            <w:r>
              <w:rPr>
                <w:rStyle w:val="15"/>
              </w:rPr>
              <w:t>2.办公等公用房屋</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5"/>
              <w:ind w:left="108"/>
              <w:rPr>
                <w:rStyle w:val="15"/>
              </w:rPr>
            </w:pPr>
            <w:r>
              <w:rPr>
                <w:rStyle w:val="15"/>
              </w:rPr>
              <w:t>3.料场</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5"/>
              <w:ind w:left="108"/>
              <w:rPr>
                <w:rStyle w:val="15"/>
              </w:rPr>
            </w:pPr>
            <w:r>
              <w:rPr>
                <w:rStyle w:val="15"/>
              </w:rPr>
              <w:t>4.预制场</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spacing w:before="15"/>
              <w:ind w:left="108"/>
              <w:rPr>
                <w:rStyle w:val="15"/>
              </w:rPr>
            </w:pPr>
            <w:r>
              <w:rPr>
                <w:rStyle w:val="15"/>
              </w:rPr>
              <w:t>……</w:t>
            </w:r>
          </w:p>
        </w:tc>
        <w:tc>
          <w:tcPr>
            <w:tcW w:w="699"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Style w:val="15"/>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2197" w:type="dxa"/>
            <w:tcBorders>
              <w:top w:val="single" w:color="000000" w:sz="6" w:space="0"/>
              <w:bottom w:val="single" w:color="000000" w:sz="6" w:space="0"/>
              <w:right w:val="single" w:color="000000" w:sz="6" w:space="0"/>
            </w:tcBorders>
          </w:tcPr>
          <w:p>
            <w:pPr>
              <w:pStyle w:val="18"/>
              <w:rPr>
                <w:rFonts w:ascii="Times New Roman"/>
                <w:sz w:val="18"/>
              </w:rPr>
            </w:pPr>
          </w:p>
        </w:tc>
        <w:tc>
          <w:tcPr>
            <w:tcW w:w="69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bottom w:val="single" w:color="000000" w:sz="6" w:space="0"/>
            </w:tcBorders>
          </w:tcPr>
          <w:p>
            <w:pPr>
              <w:pStyle w:val="18"/>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2197" w:type="dxa"/>
            <w:tcBorders>
              <w:top w:val="single" w:color="000000" w:sz="6" w:space="0"/>
              <w:right w:val="single" w:color="000000" w:sz="6" w:space="0"/>
            </w:tcBorders>
          </w:tcPr>
          <w:p>
            <w:pPr>
              <w:pStyle w:val="18"/>
              <w:spacing w:before="15"/>
              <w:ind w:left="317"/>
              <w:rPr>
                <w:sz w:val="21"/>
              </w:rPr>
            </w:pPr>
            <w:r>
              <w:rPr>
                <w:rStyle w:val="15"/>
              </w:rPr>
              <w:t>租用面积合计</w:t>
            </w:r>
          </w:p>
        </w:tc>
        <w:tc>
          <w:tcPr>
            <w:tcW w:w="699" w:type="dxa"/>
            <w:tcBorders>
              <w:top w:val="single" w:color="000000" w:sz="6" w:space="0"/>
              <w:left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right w:val="single" w:color="000000" w:sz="6" w:space="0"/>
            </w:tcBorders>
          </w:tcPr>
          <w:p>
            <w:pPr>
              <w:pStyle w:val="18"/>
              <w:rPr>
                <w:rFonts w:ascii="Times New Roman"/>
                <w:sz w:val="18"/>
              </w:rPr>
            </w:pPr>
          </w:p>
        </w:tc>
        <w:tc>
          <w:tcPr>
            <w:tcW w:w="702" w:type="dxa"/>
            <w:tcBorders>
              <w:top w:val="single" w:color="000000" w:sz="6" w:space="0"/>
              <w:left w:val="single" w:color="000000" w:sz="6" w:space="0"/>
              <w:right w:val="single" w:color="000000" w:sz="6" w:space="0"/>
            </w:tcBorders>
          </w:tcPr>
          <w:p>
            <w:pPr>
              <w:pStyle w:val="18"/>
              <w:rPr>
                <w:rFonts w:ascii="Times New Roman"/>
                <w:sz w:val="18"/>
              </w:rPr>
            </w:pPr>
          </w:p>
        </w:tc>
        <w:tc>
          <w:tcPr>
            <w:tcW w:w="700" w:type="dxa"/>
            <w:tcBorders>
              <w:top w:val="single" w:color="000000" w:sz="6" w:space="0"/>
              <w:left w:val="single" w:color="000000" w:sz="6" w:space="0"/>
              <w:right w:val="single" w:color="000000" w:sz="6" w:space="0"/>
            </w:tcBorders>
          </w:tcPr>
          <w:p>
            <w:pPr>
              <w:pStyle w:val="18"/>
              <w:rPr>
                <w:rFonts w:ascii="Times New Roman"/>
                <w:sz w:val="18"/>
              </w:rPr>
            </w:pPr>
          </w:p>
        </w:tc>
        <w:tc>
          <w:tcPr>
            <w:tcW w:w="706" w:type="dxa"/>
            <w:tcBorders>
              <w:top w:val="single" w:color="000000" w:sz="6" w:space="0"/>
              <w:left w:val="single" w:color="000000" w:sz="6" w:space="0"/>
              <w:right w:val="single" w:color="000000" w:sz="6" w:space="0"/>
            </w:tcBorders>
          </w:tcPr>
          <w:p>
            <w:pPr>
              <w:pStyle w:val="18"/>
              <w:rPr>
                <w:rFonts w:ascii="Times New Roman"/>
                <w:sz w:val="18"/>
              </w:rPr>
            </w:pPr>
          </w:p>
        </w:tc>
        <w:tc>
          <w:tcPr>
            <w:tcW w:w="1779" w:type="dxa"/>
            <w:tcBorders>
              <w:top w:val="single" w:color="000000" w:sz="6" w:space="0"/>
              <w:left w:val="single" w:color="000000" w:sz="6" w:space="0"/>
              <w:right w:val="single" w:color="000000" w:sz="6" w:space="0"/>
            </w:tcBorders>
          </w:tcPr>
          <w:p>
            <w:pPr>
              <w:pStyle w:val="18"/>
              <w:rPr>
                <w:rFonts w:ascii="Times New Roman"/>
                <w:sz w:val="18"/>
              </w:rPr>
            </w:pPr>
          </w:p>
        </w:tc>
        <w:tc>
          <w:tcPr>
            <w:tcW w:w="943" w:type="dxa"/>
            <w:tcBorders>
              <w:top w:val="single" w:color="000000" w:sz="6" w:space="0"/>
              <w:left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right w:val="single" w:color="000000" w:sz="6" w:space="0"/>
            </w:tcBorders>
          </w:tcPr>
          <w:p>
            <w:pPr>
              <w:pStyle w:val="18"/>
              <w:rPr>
                <w:rFonts w:ascii="Times New Roman"/>
                <w:sz w:val="18"/>
              </w:rPr>
            </w:pPr>
          </w:p>
        </w:tc>
        <w:tc>
          <w:tcPr>
            <w:tcW w:w="944" w:type="dxa"/>
            <w:tcBorders>
              <w:top w:val="single" w:color="000000" w:sz="6" w:space="0"/>
              <w:left w:val="single" w:color="000000" w:sz="6" w:space="0"/>
            </w:tcBorders>
          </w:tcPr>
          <w:p>
            <w:pPr>
              <w:pStyle w:val="18"/>
              <w:rPr>
                <w:rFonts w:ascii="Times New Roman"/>
                <w:sz w:val="18"/>
              </w:rPr>
            </w:pPr>
          </w:p>
        </w:tc>
      </w:tr>
    </w:tbl>
    <w:p>
      <w:pPr>
        <w:spacing w:after="0"/>
        <w:rPr>
          <w:rFonts w:ascii="Times New Roman"/>
          <w:sz w:val="18"/>
        </w:rPr>
        <w:sectPr>
          <w:pgSz w:w="11910" w:h="16840"/>
          <w:pgMar w:top="1000" w:right="720" w:bottom="760" w:left="620" w:header="808" w:footer="575" w:gutter="0"/>
          <w:pgNumType w:fmt="decimal"/>
        </w:sectPr>
      </w:pPr>
    </w:p>
    <w:p>
      <w:pPr>
        <w:pStyle w:val="3"/>
        <w:rPr>
          <w:b/>
          <w:sz w:val="20"/>
        </w:rPr>
      </w:pPr>
    </w:p>
    <w:p>
      <w:pPr>
        <w:pStyle w:val="3"/>
        <w:spacing w:before="7"/>
        <w:rPr>
          <w:b/>
          <w:sz w:val="18"/>
        </w:rPr>
      </w:pPr>
    </w:p>
    <w:p>
      <w:pPr>
        <w:spacing w:before="14"/>
        <w:ind w:left="232" w:right="0" w:firstLine="0"/>
        <w:jc w:val="left"/>
        <w:rPr>
          <w:rFonts w:hint="eastAsia" w:ascii="黑体" w:eastAsia="黑体"/>
          <w:b/>
          <w:sz w:val="28"/>
        </w:rPr>
      </w:pPr>
      <w:r>
        <w:rPr>
          <w:rFonts w:hint="eastAsia" w:ascii="黑体" w:eastAsia="黑体"/>
          <w:b/>
          <w:w w:val="95"/>
          <w:sz w:val="28"/>
        </w:rPr>
        <w:t>2.拟分包计划表（格式）</w:t>
      </w:r>
    </w:p>
    <w:p>
      <w:pPr>
        <w:pStyle w:val="3"/>
        <w:rPr>
          <w:rFonts w:ascii="黑体"/>
          <w:b/>
          <w:sz w:val="20"/>
        </w:rPr>
      </w:pPr>
    </w:p>
    <w:p>
      <w:pPr>
        <w:pStyle w:val="3"/>
        <w:spacing w:before="8"/>
        <w:rPr>
          <w:rFonts w:ascii="黑体"/>
          <w:b/>
          <w:sz w:val="16"/>
        </w:rPr>
      </w:pPr>
    </w:p>
    <w:p>
      <w:pPr>
        <w:spacing w:before="35"/>
        <w:ind w:left="4714" w:right="4653" w:firstLine="0"/>
        <w:jc w:val="center"/>
        <w:rPr>
          <w:b/>
          <w:sz w:val="21"/>
        </w:rPr>
      </w:pPr>
      <w:r>
        <w:rPr>
          <w:b/>
          <w:w w:val="95"/>
          <w:sz w:val="21"/>
        </w:rPr>
        <w:t>拟分包计划表</w:t>
      </w:r>
    </w:p>
    <w:p>
      <w:pPr>
        <w:pStyle w:val="3"/>
        <w:rPr>
          <w:b/>
          <w:sz w:val="20"/>
        </w:rPr>
      </w:pPr>
    </w:p>
    <w:p>
      <w:pPr>
        <w:pStyle w:val="3"/>
        <w:spacing w:before="6"/>
        <w:rPr>
          <w:b/>
          <w:sz w:val="14"/>
        </w:rPr>
      </w:pPr>
    </w:p>
    <w:tbl>
      <w:tblPr>
        <w:tblStyle w:val="14"/>
        <w:tblW w:w="10368"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
        <w:gridCol w:w="2076"/>
        <w:gridCol w:w="1865"/>
        <w:gridCol w:w="1235"/>
        <w:gridCol w:w="1235"/>
        <w:gridCol w:w="1236"/>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6" w:type="dxa"/>
            <w:vMerge w:val="restart"/>
          </w:tcPr>
          <w:p>
            <w:pPr>
              <w:pStyle w:val="18"/>
              <w:spacing w:before="39" w:line="261" w:lineRule="auto"/>
              <w:ind w:left="197" w:right="187"/>
              <w:rPr>
                <w:rStyle w:val="15"/>
              </w:rPr>
            </w:pPr>
            <w:r>
              <w:rPr>
                <w:rStyle w:val="15"/>
              </w:rPr>
              <w:t>序号</w:t>
            </w:r>
          </w:p>
        </w:tc>
        <w:tc>
          <w:tcPr>
            <w:tcW w:w="2076" w:type="dxa"/>
            <w:vMerge w:val="restart"/>
          </w:tcPr>
          <w:p>
            <w:pPr>
              <w:pStyle w:val="18"/>
              <w:spacing w:before="39" w:line="261" w:lineRule="auto"/>
              <w:ind w:left="233" w:leftChars="0" w:right="86" w:rightChars="0" w:hanging="35" w:firstLineChars="0"/>
              <w:rPr>
                <w:rStyle w:val="15"/>
              </w:rPr>
            </w:pPr>
            <w:r>
              <w:rPr>
                <w:rStyle w:val="15"/>
              </w:rPr>
              <w:t>拟分包项目名称、范围及理由</w:t>
            </w:r>
          </w:p>
        </w:tc>
        <w:tc>
          <w:tcPr>
            <w:tcW w:w="5571" w:type="dxa"/>
            <w:gridSpan w:val="4"/>
          </w:tcPr>
          <w:p>
            <w:pPr>
              <w:pStyle w:val="18"/>
              <w:spacing w:before="15"/>
              <w:ind w:left="2265" w:right="2041" w:rightChars="0"/>
              <w:jc w:val="center"/>
              <w:rPr>
                <w:rStyle w:val="15"/>
              </w:rPr>
            </w:pPr>
            <w:r>
              <w:rPr>
                <w:rStyle w:val="15"/>
              </w:rPr>
              <w:t>拟选分包人</w:t>
            </w:r>
          </w:p>
        </w:tc>
        <w:tc>
          <w:tcPr>
            <w:tcW w:w="2115" w:type="dxa"/>
            <w:vMerge w:val="restart"/>
          </w:tcPr>
          <w:p>
            <w:pPr>
              <w:pStyle w:val="18"/>
              <w:spacing w:before="7"/>
              <w:rPr>
                <w:rStyle w:val="15"/>
              </w:rPr>
            </w:pPr>
          </w:p>
          <w:p>
            <w:pPr>
              <w:pStyle w:val="18"/>
              <w:ind w:left="835" w:right="830"/>
              <w:jc w:val="center"/>
              <w:rPr>
                <w:rStyle w:val="15"/>
              </w:rPr>
            </w:pPr>
            <w:r>
              <w:rPr>
                <w:rStyle w:val="1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6" w:type="dxa"/>
            <w:vMerge w:val="continue"/>
            <w:tcBorders>
              <w:top w:val="nil"/>
            </w:tcBorders>
          </w:tcPr>
          <w:p>
            <w:pPr>
              <w:rPr>
                <w:rStyle w:val="15"/>
              </w:rPr>
            </w:pPr>
          </w:p>
        </w:tc>
        <w:tc>
          <w:tcPr>
            <w:tcW w:w="2076" w:type="dxa"/>
            <w:vMerge w:val="continue"/>
            <w:tcBorders>
              <w:top w:val="nil"/>
            </w:tcBorders>
          </w:tcPr>
          <w:p>
            <w:pPr>
              <w:rPr>
                <w:rStyle w:val="15"/>
              </w:rPr>
            </w:pPr>
          </w:p>
        </w:tc>
        <w:tc>
          <w:tcPr>
            <w:tcW w:w="1865" w:type="dxa"/>
          </w:tcPr>
          <w:p>
            <w:pPr>
              <w:pStyle w:val="18"/>
              <w:spacing w:before="15"/>
              <w:ind w:left="212" w:right="206"/>
              <w:jc w:val="center"/>
              <w:rPr>
                <w:rStyle w:val="15"/>
              </w:rPr>
            </w:pPr>
            <w:r>
              <w:rPr>
                <w:rStyle w:val="15"/>
              </w:rPr>
              <w:t>拟选分包人名称</w:t>
            </w:r>
          </w:p>
        </w:tc>
        <w:tc>
          <w:tcPr>
            <w:tcW w:w="1235" w:type="dxa"/>
          </w:tcPr>
          <w:p>
            <w:pPr>
              <w:pStyle w:val="18"/>
              <w:spacing w:before="15"/>
              <w:ind w:left="196"/>
              <w:rPr>
                <w:rStyle w:val="15"/>
              </w:rPr>
            </w:pPr>
            <w:r>
              <w:rPr>
                <w:rStyle w:val="15"/>
              </w:rPr>
              <w:t>注册地点</w:t>
            </w:r>
          </w:p>
        </w:tc>
        <w:tc>
          <w:tcPr>
            <w:tcW w:w="1235" w:type="dxa"/>
          </w:tcPr>
          <w:p>
            <w:pPr>
              <w:pStyle w:val="18"/>
              <w:spacing w:before="15"/>
              <w:ind w:left="197"/>
              <w:rPr>
                <w:rStyle w:val="15"/>
              </w:rPr>
            </w:pPr>
            <w:r>
              <w:rPr>
                <w:rStyle w:val="15"/>
              </w:rPr>
              <w:t>企业资质</w:t>
            </w:r>
          </w:p>
        </w:tc>
        <w:tc>
          <w:tcPr>
            <w:tcW w:w="1236" w:type="dxa"/>
          </w:tcPr>
          <w:p>
            <w:pPr>
              <w:pStyle w:val="18"/>
              <w:spacing w:before="15"/>
              <w:ind w:left="198"/>
              <w:rPr>
                <w:rStyle w:val="15"/>
              </w:rPr>
            </w:pPr>
            <w:r>
              <w:rPr>
                <w:rStyle w:val="15"/>
              </w:rPr>
              <w:t>有关业绩</w:t>
            </w:r>
          </w:p>
        </w:tc>
        <w:tc>
          <w:tcPr>
            <w:tcW w:w="2115" w:type="dxa"/>
            <w:vMerge w:val="continue"/>
            <w:tcBorders>
              <w:top w:val="nil"/>
            </w:tcBorders>
          </w:tcPr>
          <w:p>
            <w:pPr>
              <w:rPr>
                <w:rStyle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6" w:type="dxa"/>
            <w:vMerge w:val="restart"/>
          </w:tcPr>
          <w:p>
            <w:pPr>
              <w:pStyle w:val="18"/>
              <w:rPr>
                <w:rStyle w:val="15"/>
              </w:rPr>
            </w:pPr>
          </w:p>
        </w:tc>
        <w:tc>
          <w:tcPr>
            <w:tcW w:w="2076" w:type="dxa"/>
            <w:vMerge w:val="restart"/>
          </w:tcPr>
          <w:p>
            <w:pPr>
              <w:pStyle w:val="18"/>
              <w:rPr>
                <w:rStyle w:val="15"/>
              </w:rPr>
            </w:pPr>
          </w:p>
        </w:tc>
        <w:tc>
          <w:tcPr>
            <w:tcW w:w="1865" w:type="dxa"/>
          </w:tcPr>
          <w:p>
            <w:pPr>
              <w:pStyle w:val="18"/>
              <w:spacing w:before="16"/>
              <w:ind w:left="212" w:right="206"/>
              <w:jc w:val="center"/>
              <w:rPr>
                <w:rStyle w:val="15"/>
              </w:rPr>
            </w:pPr>
            <w:r>
              <w:rPr>
                <w:rStyle w:val="15"/>
              </w:rPr>
              <w:t>……</w:t>
            </w:r>
          </w:p>
        </w:tc>
        <w:tc>
          <w:tcPr>
            <w:tcW w:w="1235" w:type="dxa"/>
          </w:tcPr>
          <w:p>
            <w:pPr>
              <w:pStyle w:val="18"/>
              <w:rPr>
                <w:rStyle w:val="15"/>
              </w:rPr>
            </w:pPr>
          </w:p>
        </w:tc>
        <w:tc>
          <w:tcPr>
            <w:tcW w:w="1235" w:type="dxa"/>
          </w:tcPr>
          <w:p>
            <w:pPr>
              <w:pStyle w:val="18"/>
              <w:rPr>
                <w:rStyle w:val="15"/>
              </w:rPr>
            </w:pPr>
          </w:p>
        </w:tc>
        <w:tc>
          <w:tcPr>
            <w:tcW w:w="1236" w:type="dxa"/>
          </w:tcPr>
          <w:p>
            <w:pPr>
              <w:pStyle w:val="18"/>
              <w:rPr>
                <w:rStyle w:val="15"/>
              </w:rPr>
            </w:pPr>
          </w:p>
        </w:tc>
        <w:tc>
          <w:tcPr>
            <w:tcW w:w="2115" w:type="dxa"/>
          </w:tcPr>
          <w:p>
            <w:pPr>
              <w:pStyle w:val="18"/>
              <w:rPr>
                <w:rStyle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6" w:type="dxa"/>
            <w:vMerge w:val="continue"/>
            <w:tcBorders>
              <w:top w:val="nil"/>
            </w:tcBorders>
          </w:tcPr>
          <w:p>
            <w:pPr>
              <w:rPr>
                <w:rStyle w:val="15"/>
              </w:rPr>
            </w:pPr>
          </w:p>
        </w:tc>
        <w:tc>
          <w:tcPr>
            <w:tcW w:w="2076" w:type="dxa"/>
            <w:vMerge w:val="continue"/>
            <w:tcBorders>
              <w:top w:val="nil"/>
            </w:tcBorders>
          </w:tcPr>
          <w:p>
            <w:pPr>
              <w:rPr>
                <w:rStyle w:val="15"/>
              </w:rPr>
            </w:pPr>
          </w:p>
        </w:tc>
        <w:tc>
          <w:tcPr>
            <w:tcW w:w="1865" w:type="dxa"/>
          </w:tcPr>
          <w:p>
            <w:pPr>
              <w:pStyle w:val="18"/>
              <w:spacing w:before="14"/>
              <w:ind w:left="10"/>
              <w:jc w:val="center"/>
              <w:rPr>
                <w:rStyle w:val="15"/>
              </w:rPr>
            </w:pPr>
            <w:r>
              <w:rPr>
                <w:rStyle w:val="15"/>
              </w:rPr>
              <w:t>N</w:t>
            </w:r>
          </w:p>
        </w:tc>
        <w:tc>
          <w:tcPr>
            <w:tcW w:w="1235" w:type="dxa"/>
          </w:tcPr>
          <w:p>
            <w:pPr>
              <w:pStyle w:val="18"/>
              <w:rPr>
                <w:rStyle w:val="15"/>
              </w:rPr>
            </w:pPr>
          </w:p>
        </w:tc>
        <w:tc>
          <w:tcPr>
            <w:tcW w:w="1235" w:type="dxa"/>
          </w:tcPr>
          <w:p>
            <w:pPr>
              <w:pStyle w:val="18"/>
              <w:rPr>
                <w:rStyle w:val="15"/>
              </w:rPr>
            </w:pPr>
          </w:p>
        </w:tc>
        <w:tc>
          <w:tcPr>
            <w:tcW w:w="1236" w:type="dxa"/>
          </w:tcPr>
          <w:p>
            <w:pPr>
              <w:pStyle w:val="18"/>
              <w:rPr>
                <w:rStyle w:val="15"/>
              </w:rPr>
            </w:pPr>
          </w:p>
        </w:tc>
        <w:tc>
          <w:tcPr>
            <w:tcW w:w="2115" w:type="dxa"/>
          </w:tcPr>
          <w:p>
            <w:pPr>
              <w:pStyle w:val="18"/>
              <w:rPr>
                <w:rStyle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6" w:type="dxa"/>
            <w:vMerge w:val="restart"/>
          </w:tcPr>
          <w:p>
            <w:pPr>
              <w:pStyle w:val="18"/>
              <w:rPr>
                <w:rStyle w:val="15"/>
              </w:rPr>
            </w:pPr>
          </w:p>
        </w:tc>
        <w:tc>
          <w:tcPr>
            <w:tcW w:w="2076" w:type="dxa"/>
            <w:vMerge w:val="restart"/>
          </w:tcPr>
          <w:p>
            <w:pPr>
              <w:pStyle w:val="18"/>
              <w:rPr>
                <w:rStyle w:val="15"/>
              </w:rPr>
            </w:pPr>
          </w:p>
        </w:tc>
        <w:tc>
          <w:tcPr>
            <w:tcW w:w="1865" w:type="dxa"/>
          </w:tcPr>
          <w:p>
            <w:pPr>
              <w:pStyle w:val="18"/>
              <w:spacing w:before="14"/>
              <w:ind w:left="212" w:right="206"/>
              <w:jc w:val="center"/>
              <w:rPr>
                <w:rStyle w:val="15"/>
              </w:rPr>
            </w:pPr>
            <w:r>
              <w:rPr>
                <w:rStyle w:val="15"/>
              </w:rPr>
              <w:t>……</w:t>
            </w:r>
          </w:p>
        </w:tc>
        <w:tc>
          <w:tcPr>
            <w:tcW w:w="1235" w:type="dxa"/>
          </w:tcPr>
          <w:p>
            <w:pPr>
              <w:pStyle w:val="18"/>
              <w:rPr>
                <w:rStyle w:val="15"/>
              </w:rPr>
            </w:pPr>
          </w:p>
        </w:tc>
        <w:tc>
          <w:tcPr>
            <w:tcW w:w="1235" w:type="dxa"/>
          </w:tcPr>
          <w:p>
            <w:pPr>
              <w:pStyle w:val="18"/>
              <w:rPr>
                <w:rStyle w:val="15"/>
              </w:rPr>
            </w:pPr>
          </w:p>
        </w:tc>
        <w:tc>
          <w:tcPr>
            <w:tcW w:w="1236" w:type="dxa"/>
          </w:tcPr>
          <w:p>
            <w:pPr>
              <w:pStyle w:val="18"/>
              <w:rPr>
                <w:rStyle w:val="15"/>
              </w:rPr>
            </w:pPr>
          </w:p>
        </w:tc>
        <w:tc>
          <w:tcPr>
            <w:tcW w:w="2115" w:type="dxa"/>
          </w:tcPr>
          <w:p>
            <w:pPr>
              <w:pStyle w:val="18"/>
              <w:rPr>
                <w:rStyle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6" w:type="dxa"/>
            <w:vMerge w:val="continue"/>
            <w:tcBorders>
              <w:top w:val="nil"/>
            </w:tcBorders>
          </w:tcPr>
          <w:p>
            <w:pPr>
              <w:rPr>
                <w:rStyle w:val="15"/>
              </w:rPr>
            </w:pPr>
          </w:p>
        </w:tc>
        <w:tc>
          <w:tcPr>
            <w:tcW w:w="2076" w:type="dxa"/>
            <w:vMerge w:val="continue"/>
            <w:tcBorders>
              <w:top w:val="nil"/>
            </w:tcBorders>
          </w:tcPr>
          <w:p>
            <w:pPr>
              <w:rPr>
                <w:rStyle w:val="15"/>
              </w:rPr>
            </w:pPr>
          </w:p>
        </w:tc>
        <w:tc>
          <w:tcPr>
            <w:tcW w:w="1865" w:type="dxa"/>
          </w:tcPr>
          <w:p>
            <w:pPr>
              <w:pStyle w:val="18"/>
              <w:spacing w:before="14"/>
              <w:ind w:left="10"/>
              <w:jc w:val="center"/>
              <w:rPr>
                <w:rStyle w:val="15"/>
              </w:rPr>
            </w:pPr>
            <w:r>
              <w:rPr>
                <w:rStyle w:val="15"/>
              </w:rPr>
              <w:t>N</w:t>
            </w:r>
          </w:p>
        </w:tc>
        <w:tc>
          <w:tcPr>
            <w:tcW w:w="1235" w:type="dxa"/>
          </w:tcPr>
          <w:p>
            <w:pPr>
              <w:pStyle w:val="18"/>
              <w:rPr>
                <w:rStyle w:val="15"/>
              </w:rPr>
            </w:pPr>
          </w:p>
        </w:tc>
        <w:tc>
          <w:tcPr>
            <w:tcW w:w="1235" w:type="dxa"/>
          </w:tcPr>
          <w:p>
            <w:pPr>
              <w:pStyle w:val="18"/>
              <w:rPr>
                <w:rStyle w:val="15"/>
              </w:rPr>
            </w:pPr>
          </w:p>
        </w:tc>
        <w:tc>
          <w:tcPr>
            <w:tcW w:w="1236" w:type="dxa"/>
          </w:tcPr>
          <w:p>
            <w:pPr>
              <w:pStyle w:val="18"/>
              <w:rPr>
                <w:rStyle w:val="15"/>
              </w:rPr>
            </w:pPr>
          </w:p>
        </w:tc>
        <w:tc>
          <w:tcPr>
            <w:tcW w:w="2115" w:type="dxa"/>
          </w:tcPr>
          <w:p>
            <w:pPr>
              <w:pStyle w:val="18"/>
              <w:rPr>
                <w:rStyle w:val="15"/>
              </w:rPr>
            </w:pPr>
          </w:p>
        </w:tc>
      </w:tr>
    </w:tbl>
    <w:p>
      <w:pPr>
        <w:pStyle w:val="3"/>
        <w:spacing w:before="75"/>
        <w:ind w:left="652"/>
      </w:pPr>
      <w:r>
        <w:rPr>
          <w:rStyle w:val="15"/>
        </w:rPr>
        <w:t>备注：本表所列分包仅限于承包人自行施工范围内的非主体、非关键工程。</w:t>
      </w:r>
    </w:p>
    <w:p>
      <w:pPr>
        <w:pStyle w:val="3"/>
        <w:tabs>
          <w:tab w:val="left" w:pos="1365"/>
          <w:tab w:val="left" w:pos="2099"/>
          <w:tab w:val="left" w:pos="2834"/>
        </w:tabs>
        <w:spacing w:before="125"/>
        <w:ind w:right="170"/>
        <w:jc w:val="right"/>
      </w:pPr>
      <w:r>
        <w:t>日期：</w:t>
      </w:r>
      <w:r>
        <w:tab/>
      </w:r>
      <w:r>
        <w:t>年</w:t>
      </w:r>
      <w:r>
        <w:tab/>
      </w:r>
      <w:r>
        <w:t>月</w:t>
      </w:r>
      <w:r>
        <w:tab/>
      </w:r>
      <w:r>
        <w:rPr>
          <w:spacing w:val="-1"/>
          <w:w w:val="95"/>
        </w:rPr>
        <w:t>日</w:t>
      </w:r>
    </w:p>
    <w:p>
      <w:pPr>
        <w:spacing w:after="0"/>
        <w:jc w:val="right"/>
        <w:sectPr>
          <w:pgSz w:w="11910" w:h="16840"/>
          <w:pgMar w:top="1000" w:right="680" w:bottom="760" w:left="620" w:header="808" w:footer="575" w:gutter="0"/>
          <w:pgNumType w:fmt="decimal"/>
        </w:sectPr>
      </w:pPr>
    </w:p>
    <w:p>
      <w:pPr>
        <w:pStyle w:val="3"/>
        <w:rPr>
          <w:sz w:val="20"/>
        </w:rPr>
      </w:pPr>
    </w:p>
    <w:p>
      <w:pPr>
        <w:pStyle w:val="3"/>
        <w:spacing w:before="7"/>
        <w:rPr>
          <w:sz w:val="18"/>
        </w:rPr>
      </w:pPr>
    </w:p>
    <w:p>
      <w:pPr>
        <w:pStyle w:val="8"/>
        <w:ind w:left="132"/>
      </w:pPr>
      <w:r>
        <w:rPr>
          <w:w w:val="95"/>
        </w:rPr>
        <w:t>3.项目管理机构配备情况表配备情况表（格式）</w:t>
      </w:r>
    </w:p>
    <w:p>
      <w:pPr>
        <w:pStyle w:val="3"/>
        <w:spacing w:before="3"/>
        <w:rPr>
          <w:rFonts w:ascii="黑体"/>
          <w:b/>
          <w:sz w:val="39"/>
        </w:rPr>
      </w:pPr>
    </w:p>
    <w:p>
      <w:pPr>
        <w:pStyle w:val="9"/>
        <w:spacing w:before="0"/>
        <w:ind w:left="3617" w:right="3430" w:rightChars="0"/>
        <w:jc w:val="center"/>
        <w:rPr>
          <w:rStyle w:val="15"/>
        </w:rPr>
      </w:pPr>
      <w:r>
        <w:rPr>
          <w:rStyle w:val="15"/>
        </w:rPr>
        <w:t>项目管理机构配备情况表配备情况表</w:t>
      </w:r>
    </w:p>
    <w:p>
      <w:pPr>
        <w:pStyle w:val="3"/>
        <w:rPr>
          <w:b/>
          <w:sz w:val="20"/>
        </w:rPr>
      </w:pPr>
    </w:p>
    <w:p>
      <w:pPr>
        <w:pStyle w:val="3"/>
        <w:spacing w:before="2"/>
        <w:rPr>
          <w:b/>
          <w:sz w:val="20"/>
        </w:rPr>
      </w:pPr>
    </w:p>
    <w:p>
      <w:pPr>
        <w:pStyle w:val="3"/>
        <w:tabs>
          <w:tab w:val="left" w:pos="2545"/>
        </w:tabs>
        <w:spacing w:after="49"/>
        <w:ind w:left="132"/>
        <w:rPr>
          <w:rStyle w:val="15"/>
        </w:rPr>
      </w:pPr>
      <w:r>
        <w:rPr>
          <w:u w:val="single"/>
        </w:rPr>
        <w:t>{招标工程项目名称}</w:t>
      </w:r>
      <w:r>
        <w:rPr>
          <w:u w:val="single"/>
        </w:rPr>
        <w:tab/>
      </w:r>
      <w:r>
        <w:rPr>
          <w:rStyle w:val="15"/>
        </w:rPr>
        <w:t>工程</w:t>
      </w:r>
    </w:p>
    <w:tbl>
      <w:tblPr>
        <w:tblStyle w:val="14"/>
        <w:tblW w:w="1023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700"/>
        <w:gridCol w:w="686"/>
        <w:gridCol w:w="1134"/>
        <w:gridCol w:w="709"/>
        <w:gridCol w:w="709"/>
        <w:gridCol w:w="816"/>
        <w:gridCol w:w="1026"/>
        <w:gridCol w:w="1613"/>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vMerge w:val="restart"/>
          </w:tcPr>
          <w:p>
            <w:pPr>
              <w:pStyle w:val="18"/>
              <w:spacing w:before="5"/>
              <w:rPr>
                <w:rStyle w:val="15"/>
                <w:sz w:val="21"/>
                <w:szCs w:val="21"/>
              </w:rPr>
            </w:pPr>
          </w:p>
          <w:p>
            <w:pPr>
              <w:pStyle w:val="18"/>
              <w:ind w:left="229" w:right="224"/>
              <w:jc w:val="center"/>
              <w:rPr>
                <w:rStyle w:val="15"/>
                <w:sz w:val="21"/>
                <w:szCs w:val="21"/>
              </w:rPr>
            </w:pPr>
            <w:r>
              <w:rPr>
                <w:rStyle w:val="15"/>
                <w:sz w:val="21"/>
                <w:szCs w:val="21"/>
              </w:rPr>
              <w:t>岗位</w:t>
            </w:r>
          </w:p>
        </w:tc>
        <w:tc>
          <w:tcPr>
            <w:tcW w:w="700" w:type="dxa"/>
            <w:vMerge w:val="restart"/>
          </w:tcPr>
          <w:p>
            <w:pPr>
              <w:pStyle w:val="18"/>
              <w:spacing w:before="40" w:line="261" w:lineRule="auto"/>
              <w:ind w:left="244" w:right="234"/>
              <w:jc w:val="center"/>
              <w:rPr>
                <w:rStyle w:val="15"/>
                <w:sz w:val="21"/>
                <w:szCs w:val="21"/>
              </w:rPr>
            </w:pPr>
            <w:r>
              <w:rPr>
                <w:rStyle w:val="15"/>
                <w:sz w:val="21"/>
                <w:szCs w:val="21"/>
              </w:rPr>
              <w:t>姓名</w:t>
            </w:r>
          </w:p>
        </w:tc>
        <w:tc>
          <w:tcPr>
            <w:tcW w:w="686" w:type="dxa"/>
            <w:vMerge w:val="restart"/>
          </w:tcPr>
          <w:p>
            <w:pPr>
              <w:pStyle w:val="18"/>
              <w:spacing w:before="40" w:line="261" w:lineRule="auto"/>
              <w:ind w:left="238" w:right="226"/>
              <w:jc w:val="center"/>
              <w:rPr>
                <w:rStyle w:val="15"/>
                <w:sz w:val="21"/>
                <w:szCs w:val="21"/>
              </w:rPr>
            </w:pPr>
            <w:r>
              <w:rPr>
                <w:rStyle w:val="15"/>
                <w:sz w:val="21"/>
                <w:szCs w:val="21"/>
              </w:rPr>
              <w:t>职称</w:t>
            </w:r>
          </w:p>
        </w:tc>
        <w:tc>
          <w:tcPr>
            <w:tcW w:w="3368" w:type="dxa"/>
            <w:gridSpan w:val="4"/>
          </w:tcPr>
          <w:p>
            <w:pPr>
              <w:pStyle w:val="18"/>
              <w:spacing w:before="16"/>
              <w:ind w:left="737"/>
              <w:rPr>
                <w:rStyle w:val="15"/>
                <w:sz w:val="21"/>
                <w:szCs w:val="21"/>
              </w:rPr>
            </w:pPr>
            <w:r>
              <w:rPr>
                <w:rStyle w:val="15"/>
                <w:sz w:val="21"/>
                <w:szCs w:val="21"/>
              </w:rPr>
              <w:t>执业或职业资格证明</w:t>
            </w:r>
          </w:p>
        </w:tc>
        <w:tc>
          <w:tcPr>
            <w:tcW w:w="2639" w:type="dxa"/>
            <w:gridSpan w:val="2"/>
          </w:tcPr>
          <w:p>
            <w:pPr>
              <w:pStyle w:val="18"/>
              <w:spacing w:before="16"/>
              <w:ind w:left="477"/>
              <w:rPr>
                <w:rStyle w:val="15"/>
                <w:sz w:val="21"/>
                <w:szCs w:val="21"/>
              </w:rPr>
            </w:pPr>
            <w:r>
              <w:rPr>
                <w:rStyle w:val="15"/>
                <w:sz w:val="21"/>
                <w:szCs w:val="21"/>
              </w:rPr>
              <w:t>承担完工工程情况</w:t>
            </w:r>
          </w:p>
        </w:tc>
        <w:tc>
          <w:tcPr>
            <w:tcW w:w="1336" w:type="dxa"/>
            <w:vMerge w:val="restart"/>
          </w:tcPr>
          <w:p>
            <w:pPr>
              <w:pStyle w:val="18"/>
              <w:spacing w:before="40" w:line="261" w:lineRule="auto"/>
              <w:ind w:left="142" w:right="132"/>
              <w:rPr>
                <w:rStyle w:val="15"/>
                <w:sz w:val="21"/>
                <w:szCs w:val="21"/>
              </w:rPr>
            </w:pPr>
            <w:r>
              <w:rPr>
                <w:rStyle w:val="15"/>
                <w:sz w:val="21"/>
                <w:szCs w:val="21"/>
              </w:rPr>
              <w:t>对应投标文件所在页码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vMerge w:val="continue"/>
            <w:tcBorders>
              <w:top w:val="nil"/>
            </w:tcBorders>
          </w:tcPr>
          <w:p>
            <w:pPr>
              <w:rPr>
                <w:rStyle w:val="15"/>
                <w:sz w:val="21"/>
                <w:szCs w:val="21"/>
              </w:rPr>
            </w:pPr>
          </w:p>
        </w:tc>
        <w:tc>
          <w:tcPr>
            <w:tcW w:w="700" w:type="dxa"/>
            <w:vMerge w:val="continue"/>
            <w:tcBorders>
              <w:top w:val="nil"/>
            </w:tcBorders>
          </w:tcPr>
          <w:p>
            <w:pPr>
              <w:rPr>
                <w:rStyle w:val="15"/>
                <w:sz w:val="21"/>
                <w:szCs w:val="21"/>
              </w:rPr>
            </w:pPr>
          </w:p>
        </w:tc>
        <w:tc>
          <w:tcPr>
            <w:tcW w:w="686" w:type="dxa"/>
            <w:vMerge w:val="continue"/>
            <w:tcBorders>
              <w:top w:val="nil"/>
            </w:tcBorders>
          </w:tcPr>
          <w:p>
            <w:pPr>
              <w:rPr>
                <w:rStyle w:val="15"/>
                <w:sz w:val="21"/>
                <w:szCs w:val="21"/>
              </w:rPr>
            </w:pPr>
          </w:p>
        </w:tc>
        <w:tc>
          <w:tcPr>
            <w:tcW w:w="1134" w:type="dxa"/>
          </w:tcPr>
          <w:p>
            <w:pPr>
              <w:pStyle w:val="18"/>
              <w:spacing w:before="14"/>
              <w:ind w:left="147"/>
              <w:rPr>
                <w:rStyle w:val="15"/>
                <w:sz w:val="21"/>
                <w:szCs w:val="21"/>
              </w:rPr>
            </w:pPr>
            <w:r>
              <w:rPr>
                <w:rStyle w:val="15"/>
                <w:sz w:val="21"/>
                <w:szCs w:val="21"/>
              </w:rPr>
              <w:t>证书名称</w:t>
            </w:r>
          </w:p>
        </w:tc>
        <w:tc>
          <w:tcPr>
            <w:tcW w:w="709" w:type="dxa"/>
          </w:tcPr>
          <w:p>
            <w:pPr>
              <w:pStyle w:val="18"/>
              <w:spacing w:before="14"/>
              <w:ind w:left="143"/>
              <w:rPr>
                <w:rStyle w:val="15"/>
                <w:sz w:val="21"/>
                <w:szCs w:val="21"/>
              </w:rPr>
            </w:pPr>
            <w:r>
              <w:rPr>
                <w:rStyle w:val="15"/>
                <w:sz w:val="21"/>
                <w:szCs w:val="21"/>
              </w:rPr>
              <w:t>级别</w:t>
            </w:r>
          </w:p>
        </w:tc>
        <w:tc>
          <w:tcPr>
            <w:tcW w:w="709" w:type="dxa"/>
          </w:tcPr>
          <w:p>
            <w:pPr>
              <w:pStyle w:val="18"/>
              <w:spacing w:before="14"/>
              <w:ind w:left="142"/>
              <w:rPr>
                <w:rStyle w:val="15"/>
                <w:sz w:val="21"/>
                <w:szCs w:val="21"/>
              </w:rPr>
            </w:pPr>
            <w:r>
              <w:rPr>
                <w:rStyle w:val="15"/>
                <w:sz w:val="21"/>
                <w:szCs w:val="21"/>
              </w:rPr>
              <w:t>证号</w:t>
            </w:r>
          </w:p>
        </w:tc>
        <w:tc>
          <w:tcPr>
            <w:tcW w:w="816" w:type="dxa"/>
          </w:tcPr>
          <w:p>
            <w:pPr>
              <w:pStyle w:val="18"/>
              <w:spacing w:before="14"/>
              <w:ind w:left="196"/>
              <w:rPr>
                <w:rStyle w:val="15"/>
                <w:sz w:val="21"/>
                <w:szCs w:val="21"/>
              </w:rPr>
            </w:pPr>
            <w:r>
              <w:rPr>
                <w:rStyle w:val="15"/>
                <w:sz w:val="21"/>
                <w:szCs w:val="21"/>
              </w:rPr>
              <w:t>专业</w:t>
            </w:r>
          </w:p>
        </w:tc>
        <w:tc>
          <w:tcPr>
            <w:tcW w:w="1026" w:type="dxa"/>
          </w:tcPr>
          <w:p>
            <w:pPr>
              <w:pStyle w:val="18"/>
              <w:spacing w:before="14"/>
              <w:ind w:left="196"/>
              <w:rPr>
                <w:rStyle w:val="15"/>
                <w:sz w:val="21"/>
                <w:szCs w:val="21"/>
              </w:rPr>
            </w:pPr>
            <w:r>
              <w:rPr>
                <w:rStyle w:val="15"/>
                <w:sz w:val="21"/>
                <w:szCs w:val="21"/>
              </w:rPr>
              <w:t>项目数</w:t>
            </w:r>
          </w:p>
        </w:tc>
        <w:tc>
          <w:tcPr>
            <w:tcW w:w="1613" w:type="dxa"/>
          </w:tcPr>
          <w:p>
            <w:pPr>
              <w:pStyle w:val="18"/>
              <w:spacing w:before="14"/>
              <w:ind w:left="176"/>
              <w:rPr>
                <w:rStyle w:val="15"/>
                <w:sz w:val="21"/>
                <w:szCs w:val="21"/>
              </w:rPr>
            </w:pPr>
            <w:r>
              <w:rPr>
                <w:rStyle w:val="15"/>
                <w:sz w:val="21"/>
                <w:szCs w:val="21"/>
              </w:rPr>
              <w:t>主要项目名称</w:t>
            </w:r>
          </w:p>
        </w:tc>
        <w:tc>
          <w:tcPr>
            <w:tcW w:w="1336" w:type="dxa"/>
            <w:vMerge w:val="continue"/>
            <w:tcBorders>
              <w:top w:val="nil"/>
            </w:tcBorders>
          </w:tcPr>
          <w:p>
            <w:pPr>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503" w:type="dxa"/>
          </w:tcPr>
          <w:p>
            <w:pPr>
              <w:pStyle w:val="18"/>
              <w:spacing w:before="16"/>
              <w:ind w:left="231" w:right="224"/>
              <w:jc w:val="center"/>
              <w:rPr>
                <w:rStyle w:val="15"/>
                <w:sz w:val="21"/>
                <w:szCs w:val="21"/>
              </w:rPr>
            </w:pPr>
            <w:r>
              <w:rPr>
                <w:rStyle w:val="15"/>
                <w:sz w:val="21"/>
                <w:szCs w:val="21"/>
              </w:rPr>
              <w:t>项目经理</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5"/>
              <w:ind w:left="231" w:right="173" w:rightChars="0"/>
              <w:jc w:val="center"/>
              <w:rPr>
                <w:rStyle w:val="15"/>
                <w:sz w:val="21"/>
                <w:szCs w:val="21"/>
              </w:rPr>
            </w:pPr>
            <w:r>
              <w:rPr>
                <w:rStyle w:val="15"/>
                <w:sz w:val="21"/>
                <w:szCs w:val="21"/>
              </w:rPr>
              <w:t>技术负责人</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5"/>
              <w:ind w:left="229" w:right="224"/>
              <w:jc w:val="center"/>
              <w:rPr>
                <w:rStyle w:val="15"/>
                <w:sz w:val="21"/>
                <w:szCs w:val="21"/>
              </w:rPr>
            </w:pPr>
            <w:r>
              <w:rPr>
                <w:rStyle w:val="15"/>
                <w:sz w:val="21"/>
                <w:szCs w:val="21"/>
              </w:rPr>
              <w:t>施工员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6"/>
              <w:ind w:left="229" w:right="224"/>
              <w:jc w:val="center"/>
              <w:rPr>
                <w:rStyle w:val="15"/>
                <w:sz w:val="21"/>
                <w:szCs w:val="21"/>
              </w:rPr>
            </w:pPr>
            <w:r>
              <w:rPr>
                <w:rStyle w:val="15"/>
                <w:sz w:val="21"/>
                <w:szCs w:val="21"/>
              </w:rPr>
              <w:t>质检员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4"/>
              <w:ind w:left="229" w:right="224"/>
              <w:jc w:val="center"/>
              <w:rPr>
                <w:rStyle w:val="15"/>
                <w:sz w:val="21"/>
                <w:szCs w:val="21"/>
              </w:rPr>
            </w:pPr>
            <w:r>
              <w:rPr>
                <w:rStyle w:val="15"/>
                <w:sz w:val="21"/>
                <w:szCs w:val="21"/>
              </w:rPr>
              <w:t>安全员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4"/>
              <w:ind w:left="229" w:right="224"/>
              <w:jc w:val="center"/>
              <w:rPr>
                <w:rStyle w:val="15"/>
                <w:sz w:val="21"/>
                <w:szCs w:val="21"/>
              </w:rPr>
            </w:pPr>
            <w:r>
              <w:rPr>
                <w:rStyle w:val="15"/>
                <w:sz w:val="21"/>
                <w:szCs w:val="21"/>
              </w:rPr>
              <w:t>材料员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4"/>
              <w:ind w:left="229" w:right="224"/>
              <w:jc w:val="center"/>
              <w:rPr>
                <w:rStyle w:val="15"/>
                <w:sz w:val="21"/>
                <w:szCs w:val="21"/>
              </w:rPr>
            </w:pPr>
            <w:r>
              <w:rPr>
                <w:rStyle w:val="15"/>
                <w:sz w:val="21"/>
                <w:szCs w:val="21"/>
              </w:rPr>
              <w:t>资料员</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03" w:type="dxa"/>
          </w:tcPr>
          <w:p>
            <w:pPr>
              <w:pStyle w:val="18"/>
              <w:spacing w:before="15"/>
              <w:ind w:left="229" w:right="224"/>
              <w:jc w:val="center"/>
              <w:rPr>
                <w:rStyle w:val="15"/>
                <w:sz w:val="21"/>
                <w:szCs w:val="21"/>
              </w:rPr>
            </w:pPr>
            <w:r>
              <w:rPr>
                <w:rStyle w:val="15"/>
                <w:sz w:val="21"/>
                <w:szCs w:val="21"/>
              </w:rPr>
              <w:t>……</w:t>
            </w:r>
          </w:p>
        </w:tc>
        <w:tc>
          <w:tcPr>
            <w:tcW w:w="700" w:type="dxa"/>
          </w:tcPr>
          <w:p>
            <w:pPr>
              <w:pStyle w:val="18"/>
              <w:rPr>
                <w:rStyle w:val="15"/>
                <w:sz w:val="21"/>
                <w:szCs w:val="21"/>
              </w:rPr>
            </w:pPr>
          </w:p>
        </w:tc>
        <w:tc>
          <w:tcPr>
            <w:tcW w:w="686" w:type="dxa"/>
          </w:tcPr>
          <w:p>
            <w:pPr>
              <w:pStyle w:val="18"/>
              <w:rPr>
                <w:rStyle w:val="15"/>
                <w:sz w:val="21"/>
                <w:szCs w:val="21"/>
              </w:rPr>
            </w:pPr>
          </w:p>
        </w:tc>
        <w:tc>
          <w:tcPr>
            <w:tcW w:w="1134" w:type="dxa"/>
          </w:tcPr>
          <w:p>
            <w:pPr>
              <w:pStyle w:val="18"/>
              <w:rPr>
                <w:rStyle w:val="15"/>
                <w:sz w:val="21"/>
                <w:szCs w:val="21"/>
              </w:rPr>
            </w:pPr>
          </w:p>
        </w:tc>
        <w:tc>
          <w:tcPr>
            <w:tcW w:w="709" w:type="dxa"/>
          </w:tcPr>
          <w:p>
            <w:pPr>
              <w:pStyle w:val="18"/>
              <w:rPr>
                <w:rStyle w:val="15"/>
                <w:sz w:val="21"/>
                <w:szCs w:val="21"/>
              </w:rPr>
            </w:pPr>
          </w:p>
        </w:tc>
        <w:tc>
          <w:tcPr>
            <w:tcW w:w="709" w:type="dxa"/>
          </w:tcPr>
          <w:p>
            <w:pPr>
              <w:pStyle w:val="18"/>
              <w:rPr>
                <w:rStyle w:val="15"/>
                <w:sz w:val="21"/>
                <w:szCs w:val="21"/>
              </w:rPr>
            </w:pPr>
          </w:p>
        </w:tc>
        <w:tc>
          <w:tcPr>
            <w:tcW w:w="816" w:type="dxa"/>
          </w:tcPr>
          <w:p>
            <w:pPr>
              <w:pStyle w:val="18"/>
              <w:rPr>
                <w:rStyle w:val="15"/>
                <w:sz w:val="21"/>
                <w:szCs w:val="21"/>
              </w:rPr>
            </w:pPr>
          </w:p>
        </w:tc>
        <w:tc>
          <w:tcPr>
            <w:tcW w:w="1026" w:type="dxa"/>
          </w:tcPr>
          <w:p>
            <w:pPr>
              <w:pStyle w:val="18"/>
              <w:rPr>
                <w:rStyle w:val="15"/>
                <w:sz w:val="21"/>
                <w:szCs w:val="21"/>
              </w:rPr>
            </w:pPr>
          </w:p>
        </w:tc>
        <w:tc>
          <w:tcPr>
            <w:tcW w:w="1613" w:type="dxa"/>
          </w:tcPr>
          <w:p>
            <w:pPr>
              <w:pStyle w:val="18"/>
              <w:rPr>
                <w:rStyle w:val="15"/>
                <w:sz w:val="21"/>
                <w:szCs w:val="21"/>
              </w:rPr>
            </w:pPr>
          </w:p>
        </w:tc>
        <w:tc>
          <w:tcPr>
            <w:tcW w:w="1336" w:type="dxa"/>
          </w:tcPr>
          <w:p>
            <w:pPr>
              <w:pStyle w:val="18"/>
              <w:rPr>
                <w:rStyle w:val="1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232" w:type="dxa"/>
            <w:gridSpan w:val="10"/>
          </w:tcPr>
          <w:p>
            <w:pPr>
              <w:pStyle w:val="18"/>
              <w:spacing w:line="269" w:lineRule="exact"/>
              <w:ind w:left="108" w:right="-15"/>
              <w:rPr>
                <w:rStyle w:val="15"/>
                <w:sz w:val="21"/>
                <w:szCs w:val="21"/>
              </w:rPr>
            </w:pPr>
            <w:r>
              <w:rPr>
                <w:rStyle w:val="15"/>
                <w:sz w:val="21"/>
                <w:szCs w:val="21"/>
              </w:rPr>
              <w:t>一旦我单位中标，将实行项目经理负责制，我方保证并配备上述项目管理机构。上述填报内容真实，若不真实，</w:t>
            </w:r>
          </w:p>
          <w:p>
            <w:pPr>
              <w:pStyle w:val="18"/>
              <w:spacing w:before="25"/>
              <w:ind w:left="108"/>
              <w:rPr>
                <w:rStyle w:val="15"/>
                <w:sz w:val="21"/>
                <w:szCs w:val="21"/>
              </w:rPr>
            </w:pPr>
            <w:r>
              <w:rPr>
                <w:rStyle w:val="15"/>
                <w:sz w:val="21"/>
                <w:szCs w:val="21"/>
              </w:rPr>
              <w:t>愿按有关规定接受处理。项目管理班子机构设置、职责分工等情况另附资料说明。</w:t>
            </w:r>
          </w:p>
        </w:tc>
      </w:tr>
    </w:tbl>
    <w:p>
      <w:pPr>
        <w:pStyle w:val="3"/>
        <w:spacing w:before="75"/>
        <w:ind w:left="132"/>
        <w:rPr>
          <w:rStyle w:val="15"/>
          <w:sz w:val="21"/>
          <w:szCs w:val="21"/>
        </w:rPr>
      </w:pPr>
      <w:r>
        <w:rPr>
          <w:rStyle w:val="15"/>
          <w:sz w:val="21"/>
          <w:szCs w:val="21"/>
        </w:rPr>
        <w:t>备注：</w:t>
      </w:r>
    </w:p>
    <w:p>
      <w:pPr>
        <w:pStyle w:val="3"/>
        <w:spacing w:before="125" w:line="348" w:lineRule="auto"/>
        <w:ind w:left="132" w:right="125" w:firstLine="420"/>
        <w:jc w:val="both"/>
        <w:rPr>
          <w:rStyle w:val="15"/>
          <w:sz w:val="21"/>
          <w:szCs w:val="21"/>
        </w:rPr>
      </w:pPr>
      <w:r>
        <w:rPr>
          <w:rStyle w:val="15"/>
          <w:sz w:val="21"/>
          <w:szCs w:val="21"/>
        </w:rPr>
        <w:t>1.附各岗位人员资格证件（执业资格岗位证书、职称证（若有）、学历证（若有））材料的复印件，以及投标人认为需要增加的其他证明材料复印件。以上复印件均须加盖投标人单位公章。</w:t>
      </w:r>
    </w:p>
    <w:p>
      <w:pPr>
        <w:pStyle w:val="3"/>
        <w:spacing w:before="30" w:line="348" w:lineRule="auto"/>
        <w:ind w:left="132" w:right="128" w:firstLine="420"/>
        <w:jc w:val="both"/>
      </w:pPr>
      <w:r>
        <w:rPr>
          <w:rStyle w:val="15"/>
          <w:sz w:val="21"/>
          <w:szCs w:val="21"/>
        </w:rPr>
        <w:t>2.附各岗位人员有类似经验的，应附证明材料（中标通知书和项目竣工验收证明材料）反映该项目系由该人员管理承建，所提供材料须能清晰反映签订合同的①合同时限、②合同内容、③合同金额等与本次招标要求相符的因素，所提供材料不能清晰反映的均作无效材料处理。</w:t>
      </w:r>
    </w:p>
    <w:sectPr>
      <w:footerReference r:id="rId16" w:type="default"/>
      <w:pgSz w:w="11910" w:h="16840"/>
      <w:pgMar w:top="1000" w:right="720" w:bottom="760" w:left="720" w:header="808" w:footer="575"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071744" behindDoc="1" locked="0" layoutInCell="1" allowOverlap="1">
              <wp:simplePos x="0" y="0"/>
              <wp:positionH relativeFrom="page">
                <wp:posOffset>4396105</wp:posOffset>
              </wp:positionH>
              <wp:positionV relativeFrom="page">
                <wp:posOffset>10189845</wp:posOffset>
              </wp:positionV>
              <wp:extent cx="2491105" cy="102235"/>
              <wp:effectExtent l="0" t="0" r="0" b="0"/>
              <wp:wrapNone/>
              <wp:docPr id="14" name="文本框 3"/>
              <wp:cNvGraphicFramePr/>
              <a:graphic xmlns:a="http://schemas.openxmlformats.org/drawingml/2006/main">
                <a:graphicData uri="http://schemas.microsoft.com/office/word/2010/wordprocessingShape">
                  <wps:wsp>
                    <wps:cNvSpPr txBox="1"/>
                    <wps:spPr>
                      <a:xfrm>
                        <a:off x="0" y="0"/>
                        <a:ext cx="2491105" cy="102235"/>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lang w:eastAsia="zh-CN"/>
                            </w:rPr>
                            <w:t>广西桂林华禹水利水电工程咨询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3" o:spid="_x0000_s1026" o:spt="202" type="#_x0000_t202" style="position:absolute;left:0pt;margin-left:346.15pt;margin-top:802.35pt;height:8.05pt;width:196.15pt;mso-position-horizontal-relative:page;mso-position-vertical-relative:page;z-index:-244736;mso-width-relative:page;mso-height-relative:page;" filled="f" stroked="f" coordsize="21600,21600" o:gfxdata="UEsDBAoAAAAAAIdO4kAAAAAAAAAAAAAAAAAEAAAAZHJzL1BLAwQUAAAACACHTuJAzP0L49sAAAAO&#10;AQAADwAAAGRycy9kb3ducmV2LnhtbE2Py07DMBBF90j8gzWV2FG7oTJpGqdCCFZIiDQsWDrxNIka&#10;j0PsPvh7nBUsZ+7RnTP57moHdsbJ944UrJYCGFLjTE+tgs/q9T4F5oMmowdHqOAHPeyK25tcZ8Zd&#10;qMTzPrQslpDPtIIuhDHj3DcdWu2XbkSK2cFNVoc4Ti03k77EcjvwRAjJre4pXuj0iM8dNsf9ySp4&#10;+qLypf9+rz/KQ9lX1UbQmzwqdbdYiS2wgNfwB8OsH9WhiE61O5HxbFAgN8lDRGMgxfoR2IyIdC2B&#10;1fMuESnwIuf/3yh+AVBLAwQUAAAACACHTuJAJYOnXacBAAAuAwAADgAAAGRycy9lMm9Eb2MueG1s&#10;rVJLbhsxDN0XyB0E7eP5JC6agccBgiBBgaItkOQAskbyCNAPlOIZXyC5QVfddN9z+RylZI9TJLsg&#10;G4oiqUe+Ry0uR6PJRkBQzra0mpWUCMtdp+y6pQ/3N6dfKAmR2Y5pZ0VLtyLQy+XJp8XgG1G73ulO&#10;AEEQG5rBt7SP0TdFEXgvDAsz54XFpHRgWMQrrIsO2IDoRhd1WX4uBgedB8dFCBi93ifpMuNLKXj8&#10;IWUQkeiW4mwxW8h2lWyxXLBmDcz3ih/GYO+YwjBlsekR6ppFRh5BvYEyioMLTsYZd6ZwUiouMgdk&#10;U5Wv2Nz1zIvMBcUJ/ihT+DhY/n3zE4jqcHfnlFhmcEe7X8+73393f57IWdJn8KHBsjuPhXG8ciPW&#10;TvGAwUR7lGDSiYQI5lHp7VFdMUbCMVifX1RVOaeEY64q6/psnmCKl9ceQrwVzpDktBRwe1lUtvkW&#10;4r50KknNrLtRWucNakuGll7M63l+cMwguLbYI3HYz5q8OK7GA7GV67bIS3+1KGr6IJMDk7OanEcP&#10;at3jXJl9hsSlZAKHD5S2/v89N3755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P0L49sAAAAO&#10;AQAADwAAAAAAAAABACAAAAAiAAAAZHJzL2Rvd25yZXYueG1sUEsBAhQAFAAAAAgAh07iQCWDp12n&#10;AQAALgMAAA4AAAAAAAAAAQAgAAAAKgEAAGRycy9lMm9Eb2MueG1sUEsFBgAAAAAGAAYAWQEAAEMF&#10;A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lang w:eastAsia="zh-CN"/>
                      </w:rPr>
                      <w:t>广西桂林华禹水利水电工程咨询</w:t>
                    </w:r>
                    <w:r>
                      <w:rPr>
                        <w:rFonts w:hint="eastAsia" w:ascii="黑体" w:eastAsia="黑体"/>
                        <w:sz w:val="18"/>
                      </w:rPr>
                      <w:t>有限公司编制</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81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503081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kM9rkBAABWAwAADgAAAGRycy9lMm9Eb2MueG1srVNLbtswEN0X6B0I&#10;7mspDhy4gumgRZCiQJAWSHIAmiItAvyBQ1vyBZIbdNVN9jmXz9EhbTlFuwuyoWY4wzfvzYwWl4M1&#10;ZCsjaO8YPZvUlEgnfKvdmtGH++tPc0ogcddy451kdCeBXi4/flj0oZFT33nTykgQxEHTB0a7lEJT&#10;VSA6aTlMfJAOg8pHyxO6cV21kfeIbk01reuLqvexDdELCYC3V4cgXRZ8paRIP5QCmYhhFLmlcsZy&#10;rvJZLRe8WUceOi2ONPgbWFiuHRY9QV3xxMkm6v+grBbRg1dpIrytvFJayKIB1ZzV/6i563iQRQs2&#10;B8KpTfB+sOJ2+zMS3TJ6PqPEcYsz2v962v9+2T8/kvOL3KA+QIN5dwEz0/DVDzjo8R7wMuseVLT5&#10;i4oIxrHVu1N75ZCIyI/m0/m8xpDA2OggfvX6PERI36S3JBuMRpxfaSvf3kA6pI4puZrz19qYMkPj&#10;SM/o59l0Vh6cIghuHNbIIg5ks5WG1XBUtvLtDoX1uAOMOlxSSsx3hy3O6zIacTRWo7EJUa+7sk+Z&#10;CYQvm4RsCslc4QB7LIzDKzKPi5a342+/ZL3+D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iJDPa5AQAAVgMAAA4AAAAAAAAAAQAgAAAAHg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2768" behindDoc="1" locked="0" layoutInCell="1" allowOverlap="1">
              <wp:simplePos x="0" y="0"/>
              <wp:positionH relativeFrom="page">
                <wp:posOffset>4636770</wp:posOffset>
              </wp:positionH>
              <wp:positionV relativeFrom="page">
                <wp:posOffset>10189845</wp:posOffset>
              </wp:positionV>
              <wp:extent cx="2396490" cy="1397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2396490" cy="13970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21" o:spid="_x0000_s1026" o:spt="202" type="#_x0000_t202" style="position:absolute;left:0pt;margin-left:365.1pt;margin-top:802.35pt;height:11pt;width:188.7pt;mso-position-horizontal-relative:page;mso-position-vertical-relative:page;z-index:-243712;mso-width-relative:page;mso-height-relative:page;" filled="f" stroked="f" coordsize="21600,21600" o:gfxdata="UEsDBAoAAAAAAIdO4kAAAAAAAAAAAAAAAAAEAAAAZHJzL1BLAwQUAAAACACHTuJA6hQ6e9oAAAAO&#10;AQAADwAAAGRycy9kb3ducmV2LnhtbE2PTU+EMBCG7yb+h2ZMvLktaIoiZWM2ejIxsnjwWGAWmqVT&#10;lnY//PeWkx5n3ifvPFOsL3ZkJ5y9caQgWQlgSK3rDPUKvuq3u0dgPmjq9OgIFfygh3V5fVXovHNn&#10;qvC0DT2LJeRzrWAIYco59+2AVvuVm5BitnOz1SGOc8+7WZ9juR15KoTkVhuKFwY94WbAdr89WgUv&#10;31S9msNH81ntKlPXT4Le5V6p25tEPAMLeAl/MCz6UR3K6NS4I3WejQqye5FGNAZSPGTAFiQRmQTW&#10;LLtUZsDLgv9/o/wFUEsDBBQAAAAIAIdO4kBnHWzBqQEAAC8DAAAOAAAAZHJzL2Uyb0RvYy54bWyt&#10;UstOGzEU3VfiHyzvm5lMgDajTJAqBEKqAIn2AxyPnbHkl65NZvID7R90xYY935Xv4NpkQgU7xMZz&#10;5z6OzznXi7PBaLIREJSzDZ1OSkqE5a5Vdt3Q378uvn6nJERmW6adFQ3dikDPlkdfFr2vReU6p1sB&#10;BEFsqHvf0C5GXxdF4J0wLEycFxaL0oFhEX9hXbTAekQ3uqjK8rToHbQeHBchYPb8pUiXGV9KweON&#10;lEFEohuK3GI+IZ+rdBbLBavXwHyn+J4G+wALw5TFSw9Q5ywycg/qHZRRHFxwMk64M4WTUnGRNaCa&#10;aflGzV3HvMha0JzgDzaFz4Pl15tbIKptaDWjxDKDO9r9+7t7eNo9/iHVNBnU+1Bj353Hzjj8cAMu&#10;eswHTCbdgwSTvqiIYB2t3h7sFUMkHJPVbH56PMcSx9p0Nv9WZv+L12kPIV4KZ0gKGgq4vuwq2/wM&#10;EZlg69iSLrPuQmmdV6gt6Rs6P6lO8sChghPa4mDS8MI1RXFYDXthK9duUZe+suhqeiFjAGOwGoN7&#10;D2rdIa+sPkPiVjKr/QtKa///P1/8+s6Xz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UOnvaAAAA&#10;DgEAAA8AAAAAAAAAAQAgAAAAIgAAAGRycy9kb3ducmV2LnhtbFBLAQIUABQAAAAIAIdO4kBnHWzB&#10;qQEAAC8DAAAOAAAAAAAAAAEAIAAAACkBAABkcnMvZTJvRG9jLnhtbFBLBQYAAAAABgAGAFkBAABE&#10;BQ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83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503083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jK5JroBAABWAwAADgAAAGRycy9lMm9Eb2MueG1srVNLbtswEN0H6B0I&#10;7mspDpK6gukgQZCiQNEGSHMAmiItAvxhSFvyBZobZNVN9z2Xz5EhbTlBsiu6oWY4wzfvzYzml4M1&#10;ZCMhau8YPZ3UlEgnfKvditGHn7cfZ5TExF3LjXeS0a2M9HLx4WTeh0ZOfedNK4EgiItNHxjtUgpN&#10;VUXRScvjxAfpMKg8WJ7QhVXVAu8R3ZpqWtcXVe+hDeCFjBFvb/ZBuij4SkmRfigVZSKGUeSWygnl&#10;XOazWsx5swIeOi0ONPg/sLBcOyx6hLrhiZM16HdQVgvw0as0Ed5WXiktZNGAak7rN2ruOx5k0YLN&#10;ieHYpvj/YMX3zR0Q3TJ6dkGJ4xZntHt63P3+u/vzi5x9yg3qQ2ww7z5gZhqu/YCDHu8jXmbdgwKb&#10;v6iIYBxbvT22Vw6JiPxoNp3NagwJjI0O4lcvzwPE9EV6S7LBKOD8Slv55ltM+9QxJVdz/lYbU2Zo&#10;HOkZ/Xw+PS8PjhEENw5rZBF7stlKw3I4KFv6dovCetwBRh0uKSXmq8MW53UZDRiN5WisA+hVV/Yp&#10;M4nhap2QTSGZK+xhD4VxeEXmYdHydrz2S9bL77B4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mMrkmugEAAFYDAAAOAAAAAAAAAAEAIAAAAB4BAABkcnMvZTJvRG9jLnhtbFBLBQYAAAAABgAG&#10;AFkBAABK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2768" behindDoc="1" locked="0" layoutInCell="1" allowOverlap="1">
              <wp:simplePos x="0" y="0"/>
              <wp:positionH relativeFrom="page">
                <wp:posOffset>4617085</wp:posOffset>
              </wp:positionH>
              <wp:positionV relativeFrom="page">
                <wp:posOffset>10189845</wp:posOffset>
              </wp:positionV>
              <wp:extent cx="2416175" cy="130175"/>
              <wp:effectExtent l="0" t="0" r="0" b="0"/>
              <wp:wrapNone/>
              <wp:docPr id="24" name="文本框 23"/>
              <wp:cNvGraphicFramePr/>
              <a:graphic xmlns:a="http://schemas.openxmlformats.org/drawingml/2006/main">
                <a:graphicData uri="http://schemas.microsoft.com/office/word/2010/wordprocessingShape">
                  <wps:wsp>
                    <wps:cNvSpPr txBox="1"/>
                    <wps:spPr>
                      <a:xfrm>
                        <a:off x="0" y="0"/>
                        <a:ext cx="2416175" cy="130175"/>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23" o:spid="_x0000_s1026" o:spt="202" type="#_x0000_t202" style="position:absolute;left:0pt;margin-left:363.55pt;margin-top:802.35pt;height:10.25pt;width:190.25pt;mso-position-horizontal-relative:page;mso-position-vertical-relative:page;z-index:-243712;mso-width-relative:page;mso-height-relative:page;" filled="f" stroked="f" coordsize="21600,21600" o:gfxdata="UEsDBAoAAAAAAIdO4kAAAAAAAAAAAAAAAAAEAAAAZHJzL1BLAwQUAAAACACHTuJAKBHLQNoAAAAO&#10;AQAADwAAAGRycy9kb3ducmV2LnhtbE2PTU+EMBCG7yb+h2ZMvLktREGRsjEbPZkYWTx4LHQWmqVT&#10;lnY//PeWkx5n3ifvPFOuL3ZkJ5y9cSQhWQlgSJ3ThnoJX83b3SMwHxRpNTpCCT/oYV1dX5Wq0O5M&#10;NZ62oWexhHyhJAwhTAXnvhvQKr9yE1LMdm62KsRx7rme1TmW25GnQmTcKkPxwqAm3AzY7bdHK+Hl&#10;m+pXc/hoP+tdbZrmSdB7tpfy9iYRz8ACXsIfDIt+VIcqOrXuSNqzUUKe5klEY5CJ+xzYgiQiz4C1&#10;yy59SIFXJf//RvULUEsDBBQAAAAIAIdO4kDRjD3lqQEAAC8DAAAOAAAAZHJzL2Uyb0RvYy54bWyt&#10;UktuGzEM3RfoHQTt6/kkTtuBxwGKIEWBICmQ9gCyRvIIkERBUjzjCyQ3yCqb7HsunyOU7HGCdFd0&#10;Q1Ek9cj3qMX5aDTZCB8U2JZWs5ISYTl0yq5b+vvX5acvlITIbMc0WNHSrQj0fPnxw2JwjaihB90J&#10;TxDEhmZwLe1jdE1RBN4Lw8IMnLCYlOANi3j166LzbEB0o4u6LM+KAXznPHARAkYv9km6zPhSCh5v&#10;pAwiEt1SnC1m67NdJVssF6xZe+Z6xQ9jsH+YwjBlsekR6oJFRu68+gvKKO4hgIwzDqYAKRUXmQOy&#10;qcp3bG575kTmguIEd5Qp/D9Yfr356YnqWlqfUmKZwR3tHh92T392z/ekPkkCDS40WHfrsDKO32DE&#10;RU/xgMHEe5TepBMZEcyj1NujvGKMhGOwPq3Oqs9zSjjmqpMy+QhfvL52PsTvAgxJTks9ri+ryjZX&#10;Ie5Lp5LUzMKl0jqvUFsytPTrvJ7nB8cMgmuLPRKH/azJi+NqPBBbQbdFXvqHRVXTD5kcPzmryblz&#10;Xq17nCuzz5C4lUzg8IPS2t/ec+PXf75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gRy0DaAAAA&#10;DgEAAA8AAAAAAAAAAQAgAAAAIgAAAGRycy9kb3ducmV2LnhtbFBLAQIUABQAAAAIAIdO4kDRjD3l&#10;qQEAAC8DAAAOAAAAAAAAAAEAIAAAACkBAABkcnMvZTJvRG9jLnhtbFBLBQYAAAAABgAGAFkBAABE&#10;BQ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072768" behindDoc="1" locked="0" layoutInCell="1" allowOverlap="1">
              <wp:simplePos x="0" y="0"/>
              <wp:positionH relativeFrom="page">
                <wp:posOffset>4588510</wp:posOffset>
              </wp:positionH>
              <wp:positionV relativeFrom="page">
                <wp:posOffset>10189845</wp:posOffset>
              </wp:positionV>
              <wp:extent cx="2444750" cy="1117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444750" cy="11176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_x0000_s1026" o:spid="_x0000_s1026" o:spt="202" type="#_x0000_t202" style="position:absolute;left:0pt;margin-left:361.3pt;margin-top:802.35pt;height:8.8pt;width:192.5pt;mso-position-horizontal-relative:page;mso-position-vertical-relative:page;z-index:-243712;mso-width-relative:page;mso-height-relative:page;" filled="f" stroked="f" coordsize="21600,21600" o:gfxdata="UEsDBAoAAAAAAIdO4kAAAAAAAAAAAAAAAAAEAAAAZHJzL1BLAwQUAAAACACHTuJA7oJhldoAAAAO&#10;AQAADwAAAGRycy9kb3ducmV2LnhtbE2PzU7DMBCE70i8g7VI3KidgBIIcSpUwQkJkYYDRyd2E6vx&#10;Oo3dH96ezQmOO/NpdqZcX9zITmYO1qOEZCWAGey8tthL+Gre7h6BhahQq9GjkfBjAqyr66tSFdqf&#10;sTanbewZhWAolIQhxqngPHSDcSqs/GSQvJ2fnYp0zj3XszpTuBt5KkTGnbJIHwY1mc1guv326CS8&#10;fGP9ag8f7We9q23TPAl8z/ZS3t4k4hlYNJf4B8NSn6pDRZ1af0Qd2CghT9OMUDIy8ZADW5BE5KS1&#10;i5am98Crkv+fUf0CUEsDBBQAAAAIAIdO4kBK9knCqAEAAC8DAAAOAAAAZHJzL2Uyb0RvYy54bWyt&#10;UsFuEzEQvSPxD5bvZLNR0sIqm0qoKkJCgNTyAY7XzlqyPdbYzW5+AP6AExfufFe+g7GbTYHeKi72&#10;eGb8/N4br69GZ9leYTTgW17P5pwpL6EzftfyL3c3r15zFpPwnbDgVcsPKvKrzcsX6yE0agE92E4h&#10;IxAfmyG0vE8pNFUVZa+ciDMIylNRAzqR6Ii7qkMxELqz1WI+v6gGwC4gSBUjZa8finxT8LVWMn3S&#10;OqrEbMuJWyorlnWb12qzFs0OReiNPNEQz2DhhPH06BnqWiTB7tE8gXJGIkTQaSbBVaC1kapoIDX1&#10;/B81t70Iqmghc2I42xT/H6z8uP+MzHQtX6w488LRjI7fvx1//Dr+/MooRwYNITbUdxuoM41vYaRB&#10;T/lIyax71OjyTooY1cnqw9leNSYmKblYLpeXKypJqtV1fXlR/K8ebweM6Z0Cx3LQcqTxFVfF/kNM&#10;xIRap5b8mIcbY20ZofVsaPmbFTH+q0I3rKeLWcMD1xylcTuehG2hO5Au+96Tq/mHTAFOwXYK7gOa&#10;XU+8ivoCSVMprE4/KI/9z3N5+PGf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oJhldoAAAAO&#10;AQAADwAAAAAAAAABACAAAAAiAAAAZHJzL2Rvd25yZXYueG1sUEsBAhQAFAAAAAgAh07iQEr2ScKo&#10;AQAALwMAAA4AAAAAAAAAAQAgAAAAKQEAAGRycy9lMm9Eb2MueG1sUEsFBgAAAAAGAAYAWQEAAEMF&#10;A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r>
      <w:rPr>
        <w:sz w:val="21"/>
      </w:rPr>
      <mc:AlternateContent>
        <mc:Choice Requires="wps">
          <w:drawing>
            <wp:anchor distT="0" distB="0" distL="114300" distR="114300" simplePos="0" relativeHeight="503084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503084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OJ7oBAABWAwAADgAAAGRycy9lMm9Eb2MueG1srVNLbtswEN0X6B0I&#10;7mMpDtKqgukgQZCiQNEUSHsAmiItAvxhSFvyBdobdJVN9jmXz9EhbTlFuyuyoWY4wzfvzYwWV6M1&#10;ZCshau8YPZ/VlEgnfKfdmtHv3+7OGkpi4q7jxjvJ6E5GerV8+2YxhFbOfe9NJ4EgiIvtEBjtUwpt&#10;VUXRS8vjzAfpMKg8WJ7QhXXVAR8Q3ZpqXtfvqsFDF8ALGSPe3h6CdFnwlZIi3SsVZSKGUeSWygnl&#10;XOWzWi54uwYeei2ONPh/sLBcOyx6grrliZMN6H+grBbgo1dpJrytvFJayKIB1ZzXf6l56HmQRQs2&#10;J4ZTm+LrwYov269AdMfoxXtKHLc4o/2vn/vH5/3TD3LR5AYNIbaY9xAwM403fsRBT/cRL7PuUYHN&#10;X1REMI6t3p3aK8dERH7UzJumxpDA2OQgfvXyPEBMH6W3JBuMAs6vtJVvP8d0SJ1ScjXn77QxZYbG&#10;kYHRD5fzy/LgFEFw47BGFnEgm600rsajspXvdihswB1g1OGSUmI+OWxxXpfJgMlYTcYmgF73ZZ8y&#10;kxiuNwnZFJK5wgH2WBiHV2QeFy1vx59+yXr5H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80k4nugEAAFYDAAAOAAAAAAAAAAEAIAAAAB4BAABkcnMvZTJvRG9jLnhtbFBLBQYAAAAABgAG&#10;AFkBAABK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072768" behindDoc="1" locked="0" layoutInCell="1" allowOverlap="1">
              <wp:simplePos x="0" y="0"/>
              <wp:positionH relativeFrom="page">
                <wp:posOffset>4655820</wp:posOffset>
              </wp:positionH>
              <wp:positionV relativeFrom="page">
                <wp:posOffset>10189845</wp:posOffset>
              </wp:positionV>
              <wp:extent cx="2377440" cy="120650"/>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2377440" cy="12065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27" o:spid="_x0000_s1026" o:spt="202" type="#_x0000_t202" style="position:absolute;left:0pt;margin-left:366.6pt;margin-top:802.35pt;height:9.5pt;width:187.2pt;mso-position-horizontal-relative:page;mso-position-vertical-relative:page;z-index:-243712;mso-width-relative:page;mso-height-relative:page;" filled="f" stroked="f" coordsize="21600,21600" o:gfxdata="UEsDBAoAAAAAAIdO4kAAAAAAAAAAAAAAAAAEAAAAZHJzL1BLAwQUAAAACACHTuJAp+iSB9oAAAAO&#10;AQAADwAAAGRycy9kb3ducmV2LnhtbE2PTU+EMBCG7yb+h2ZMvLktYMBlKRtj9GRiZPHgscAsNEun&#10;SLsf/nvLaT3OvE/eeabYXszITjg7bUlCtBLAkFrbaeolfNVvD0/AnFfUqdESSvhFB9vy9qZQeWfP&#10;VOFp53sWSsjlSsLg/ZRz7toBjXIrOyGFbG9no3wY5553szqHcjPyWIiUG6UpXBjUhC8Dtofd0Uh4&#10;/qbqVf98NJ/VvtJ1vRb0nh6kvL+LxAaYx4u/wrDoB3Uog1Njj9Q5NkrIkiQOaAhS8ZgBW5BIZCmw&#10;ZtnFSQa8LPj/N8o/UEsDBBQAAAAIAIdO4kCgCxUBqQEAAC8DAAAOAAAAZHJzL2Uyb0RvYy54bWyt&#10;Uktu2zAQ3RfIHQjua8lqbLeC5QBBkKBAkRRIewCaIi0C/GHIWPIF2htk1U33OZfPkSFjOUGyC7Kh&#10;RvN5fO8Nl2eD0WQrIChnGzqdlJQIy12r7Kahv39dfv5KSYjMtkw7Kxq6E4GerU4+LXtfi8p1TrcC&#10;CILYUPe+oV2Mvi6KwDthWJg4LywWpQPDIv7CpmiB9YhudFGV5bzoHbQeHBchYPbiqUhXGV9KweON&#10;lEFEohuK3GI+IZ/rdBarJas3wHyn+IEGewcLw5TFS49QFywycgfqDZRRHFxwMk64M4WTUnGRNaCa&#10;aflKzW3HvMha0JzgjzaFj4Pl19ufQFTb0GpOiWUGd7S//7v/97D//4dUi2RQ70ONfbceO+Nw7gZc&#10;9JgPmEy6BwkmfVERwTpavTvaK4ZIOCarL4vF6SmWONamVTmfZf+L52kPIV4JZ0gKGgq4vuwq2/4I&#10;EZlg69iSLrPuUmmdV6gt6Rv6bVbN8sCxghPa4mDS8MQ1RXFYDwdha9fuUJf+btHV9ELGAMZgPQZ3&#10;HtSmQ15ZfYbErWRWhxeU1v7yP1/8/M5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okgfaAAAA&#10;DgEAAA8AAAAAAAAAAQAgAAAAIgAAAGRycy9kb3ducmV2LnhtbFBLAQIUABQAAAAIAIdO4kCgCxUB&#10;qQEAAC8DAAAOAAAAAAAAAAEAIAAAACkBAABkcnMvZTJvRG9jLnhtbFBLBQYAAAAABgAGAFkBAABE&#10;BQ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r>
      <w:rPr>
        <w:sz w:val="21"/>
      </w:rPr>
      <mc:AlternateContent>
        <mc:Choice Requires="wps">
          <w:drawing>
            <wp:anchor distT="0" distB="0" distL="114300" distR="114300" simplePos="0" relativeHeight="503085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503085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5kN7kBAABWAwAADgAAAGRycy9lMm9Eb2MueG1srVPBThsxEL1X4h8s&#10;38kuQaCwioNaIRASapFoP8Dx2llLtseynezmB9o/4MSld74r39Gxkw0V3KpevDOe8Zt5b2bn14M1&#10;ZCND1OAYPZvUlEgnoNVuxeiP77enM0pi4q7lBpxkdCsjvV6cfJr3vpFT6MC0MhAEcbHpPaNdSr6p&#10;qig6aXmcgJcOgwqC5QndsKrawHtEt6aa1vVl1UNofQAhY8Tbm32QLgq+UlKkb0pFmYhhFHtL5Qzl&#10;XOazWsx5swrcd1oc2uD/0IXl2mHRI9QNT5ysg/4AZbUIEEGliQBbgVJayMIB2ZzV79g8ddzLwgXF&#10;if4oU/x/sOLr5jEQ3TJ6jpNy3OKMds+/di+vu98/yflVFqj3scG8J4+ZafgCAw56vI94mXkPKtj8&#10;RUYE4yj19iivHBIR+dFsOpvVGBIYGx3Er96e+xDTnQRLssFowPkVWfnmIaZ96piSqzm41caUGRpH&#10;ekavLqYX5cExguDGYY1MYt9sttKwHA7MltBukViPO8CowyWlxNw7lDivy2iE0ViOxtoHverKPuVO&#10;ov+8TthNaTJX2MMeCuPwCs3DouXt+NsvWW+/w+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juZDe5AQAAVgMAAA4AAAAAAAAAAQAgAAAAHg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73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503073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Tdx7kBAABWAwAADgAAAGRycy9lMm9Eb2MueG1srVNLbtswEN0XyB0I&#10;7mMpApKqgumgRZCgQNEWSHsAmiItAvyBQ1vyBdobdNVN9z2Xz9EhbTlFuwuyoWY4wzfvzYyWt5M1&#10;ZCcjaO8YvVrUlEgnfK/dhtGvX+4vW0ogcddz451kdC+B3q4uXi3H0MnGD970MhIEcdCNgdEhpdBV&#10;FYhBWg4LH6TDoPLR8oRu3FR95COiW1M1dX1TjT72IXohAfD27hikq4KvlBTpk1IgEzGMIrdUzljO&#10;dT6r1ZJ3m8jDoMWJBn8GC8u1w6JnqDueONlG/R+U1SJ68CothLeVV0oLWTSgmqv6HzWPAw+yaMHm&#10;QDi3CV4OVnzcfY5E94w2rylx3OKMDj++H37+Pvz6Rpo2N2gM0GHeY8DMNL3zEw56vge8zLonFW3+&#10;oiKCcWz1/txeOSUi8qO2adsaQwJjs4P41dPzECE9SG9JNhiNOL/SVr77AOmYOqfkas7fa2PKDI0j&#10;I6Nvrpvr8uAcQXDjsEYWcSSbrTStp5Oyte/3KGzEHWDU4ZJSYt47bHFel9mIs7GejW2IejOUfcpM&#10;ILzdJmRTSOYKR9hTYRxekXlatLwdf/sl6+l3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Jpk3ce5AQAAVgMAAA4AAAAAAAAAAQAgAAAAHg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4441825</wp:posOffset>
              </wp:positionH>
              <wp:positionV relativeFrom="page">
                <wp:posOffset>10189845</wp:posOffset>
              </wp:positionV>
              <wp:extent cx="2482215" cy="149225"/>
              <wp:effectExtent l="0" t="0" r="0" b="0"/>
              <wp:wrapNone/>
              <wp:docPr id="15" name="文本框 5"/>
              <wp:cNvGraphicFramePr/>
              <a:graphic xmlns:a="http://schemas.openxmlformats.org/drawingml/2006/main">
                <a:graphicData uri="http://schemas.microsoft.com/office/word/2010/wordprocessingShape">
                  <wps:wsp>
                    <wps:cNvSpPr txBox="1"/>
                    <wps:spPr>
                      <a:xfrm>
                        <a:off x="0" y="0"/>
                        <a:ext cx="2482215" cy="149225"/>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5" o:spid="_x0000_s1026" o:spt="202" type="#_x0000_t202" style="position:absolute;left:0pt;margin-left:349.75pt;margin-top:802.35pt;height:11.75pt;width:195.45pt;mso-position-horizontal-relative:page;mso-position-vertical-relative:page;z-index:-244736;mso-width-relative:page;mso-height-relative:page;" filled="f" stroked="f" coordsize="21600,21600" o:gfxdata="UEsDBAoAAAAAAIdO4kAAAAAAAAAAAAAAAAAEAAAAZHJzL1BLAwQUAAAACACHTuJAB/4QAtsAAAAO&#10;AQAADwAAAGRycy9kb3ducmV2LnhtbE2Py07DMBBF90j8gzVI7KjdqIQmxKkQghVSRRoWLJ14mliN&#10;xyF2H/x9nRUsZ+7RnTPF5mIHdsLJG0cSlgsBDKl12lAn4at+f1gD80GRVoMjlPCLHjbl7U2hcu3O&#10;VOFpFzoWS8jnSkIfwphz7tserfILNyLFbO8mq0Icp47rSZ1juR14IkTKrTIUL/RqxNce28PuaCW8&#10;fFP1Zn62zWe1r0xdZ4I+0oOU93dL8Qws4CX8wTDrR3Uoo1PjjqQ9GySkWfYY0RikYvUEbEZEJlbA&#10;mnmXrBPgZcH/v1FeAVBLAwQUAAAACACHTuJA0rZ5bqYBAAAuAwAADgAAAGRycy9lMm9Eb2MueG1s&#10;rVJLbtswEN0XyB0I7mvZQlwkguUARZCgQJEWSHsAmiItAiSHGDKWfIH0Bl11033P5XN0yFhOP7sg&#10;G2o0M3zz3huurkZn2U5hNOBbvpjNOVNeQmf8tuVfv9y8veAsJuE7YcGrlu9V5FfrszerITSqhh5s&#10;p5ARiI/NEFrepxSaqoqyV07EGQTlqagBnUj0i9uqQzEQurNVPZ+/qwbALiBIFSNlr5+KfF3wtVYy&#10;fdI6qsRsy4lbKieWc5PPar0SzRZF6I080hAvYOGE8TT0BHUtkmAPaP6DckYiRNBpJsFVoLWRqmgg&#10;NYv5P2ruexFU0ULmxHCyKb4erLzbfUZmOtrdkjMvHO3o8P3b4cevw89Htsz+DCE21HYfqDGN72Gk&#10;3ikfKZlljxpd/pIgRnVyen9yV42JSUrW5xd1nadIqi3OL+u6wFfPtwPGdKvAsRy0HGl7xVSx+xgT&#10;MaHWqSUP83BjrC0btJ4NLb9cEuRfFbphPV3MGp645iiNm/EobAPdnnTZD55MzQ9kCnAKNlPwENBs&#10;e+JV1BdIWkphdXxAeet//pfBz8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hAC2wAAAA4B&#10;AAAPAAAAAAAAAAEAIAAAACIAAABkcnMvZG93bnJldi54bWxQSwECFAAUAAAACACHTuJA0rZ5bqYB&#10;AAAuAwAADgAAAAAAAAABACAAAAAqAQAAZHJzL2Uyb0RvYy54bWxQSwUGAAAAAAYABgBZAQAAQgUA&#10;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74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503074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j317kBAABWAwAADgAAAGRycy9lMm9Eb2MueG1srVPBbtswDL0X2D8I&#10;ui92DXRIjSjFhqLDgKEr0O4DFFmKBUiiICmx8wPtH/S0S+/7rnzHKCVOh+1W9CKTIvXI90gvrkZr&#10;yFaGqMExej6rKZFOQKfdmtGfDzcf55TExF3HDTjJ6E5GerX8cLYYfCsb6MF0MhAEcbEdPKN9Sr6t&#10;qih6aXmcgZcOgwqC5QndsK66wAdEt6Zq6vpTNUDofAAhY8Tb60OQLgu+UlKkH0pFmYhhFHtL5Qzl&#10;XOWzWi54uw7c91oc2+Bv6MJy7bDoCeqaJ042Qf8HZbUIEEGlmQBbgVJayMIB2ZzX/7C577mXhQuK&#10;E/1Jpvh+sOJ2exeI7hhtcFKOW5zR/vlp/+v3/uWRNJdZoMHHFvPuPWam8QuMOOjpPuJl5j2qYPMX&#10;GRGMo9S7k7xyTETkR/NmPq8xJDA2OYhfvT73IaavEizJBqMB51dk5dvvMR1Sp5RczcGNNqbM0Dgy&#10;MHp50VyUB6cIghuHNTKJQ7PZSuNqPDJbQbdDYgPuAKMOl5QS882hxHldJiNMxmoyNj7odV/2KXcS&#10;/edNwm5Kk7nCAfZYGIdXaB4XLW/H337Jev0d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C5Y99e5AQAAVgMAAA4AAAAAAAAAAQAgAAAAHg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4518025</wp:posOffset>
              </wp:positionH>
              <wp:positionV relativeFrom="page">
                <wp:posOffset>10189845</wp:posOffset>
              </wp:positionV>
              <wp:extent cx="2406015" cy="130175"/>
              <wp:effectExtent l="0" t="0" r="0" b="0"/>
              <wp:wrapNone/>
              <wp:docPr id="16" name="文本框 7"/>
              <wp:cNvGraphicFramePr/>
              <a:graphic xmlns:a="http://schemas.openxmlformats.org/drawingml/2006/main">
                <a:graphicData uri="http://schemas.microsoft.com/office/word/2010/wordprocessingShape">
                  <wps:wsp>
                    <wps:cNvSpPr txBox="1"/>
                    <wps:spPr>
                      <a:xfrm>
                        <a:off x="0" y="0"/>
                        <a:ext cx="2406015" cy="130175"/>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7" o:spid="_x0000_s1026" o:spt="202" type="#_x0000_t202" style="position:absolute;left:0pt;margin-left:355.75pt;margin-top:802.35pt;height:10.25pt;width:189.45pt;mso-position-horizontal-relative:page;mso-position-vertical-relative:page;z-index:-244736;mso-width-relative:page;mso-height-relative:page;" filled="f" stroked="f" coordsize="21600,21600" o:gfxdata="UEsDBAoAAAAAAIdO4kAAAAAAAAAAAAAAAAAEAAAAZHJzL1BLAwQUAAAACACHTuJAdF1hwNsAAAAO&#10;AQAADwAAAGRycy9kb3ducmV2LnhtbE2Py07DMBBF90j8gzVI7KidqE1piFMhBCskRBoWLJ14mliN&#10;xyF2H/w9zqosZ+7RnTPF9mIHdsLJG0cSkoUAhtQ6baiT8FW/PTwC80GRVoMjlPCLHrbl7U2hcu3O&#10;VOFpFzoWS8jnSkIfwphz7tserfILNyLFbO8mq0Icp47rSZ1juR14KkTGrTIUL/RqxJce28PuaCU8&#10;f1P1an4+ms9qX5m63gh6zw5S3t8l4glYwEu4wjDrR3Uoo1PjjqQ9GySsk2QV0RhkYrkGNiNiI5bA&#10;mnmXrlLgZcH/v1H+AVBLAwQUAAAACACHTuJAsEfzVKgBAAAuAwAADgAAAGRycy9lMm9Eb2MueG1s&#10;rVLBThsxEL1X4h8s38nupiSUVTZIFQIhobYS9AMcr521ZHss22Q3PwB/0BMX7v2ufAdjJxtQe6t6&#10;GY9nxm/mvfHicjCabIQPCmxDq0lJibAcWmXXDf35cH36hZIQmW2ZBisauhWBXi5PPi16V4spdKBb&#10;4QmC2FD3rqFdjK4uisA7YViYgBMWkxK8YRGvfl20nvWIbnQxLct50YNvnQcuQsDo1T5JlxlfSsHj&#10;dymDiEQ3FGeL2fpsV8kWywWr1565TvHDGOwfpjBMWWx6hLpikZFHr/6CMop7CCDjhIMpQErFReaA&#10;bKryDzb3HXMic0FxgjvKFP4fLP+2+eGJanF3c0osM7ij3a/n3cvv3esTOU/69C7UWHbvsDAOX2HA&#10;2jEeMJhoD9KbdCIhgnlUentUVwyRcAxOz8p5Wc0o4ZirPpfV+SzBFO+vnQ/xRoAhyWmox+1lUdnm&#10;LsR96ViSmlm4VlrnDWpL+oZezKaz/OCYQXBtsUfisJ81eXFYDQdiK2i3yEvfWhQ1fZDR8aOzGp1H&#10;59W6w7ky+wyJS8kEDh8obf3jPTd+/+b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RdYcDbAAAA&#10;DgEAAA8AAAAAAAAAAQAgAAAAIgAAAGRycy9kb3ducmV2LnhtbFBLAQIUABQAAAAIAIdO4kCwR/NU&#10;qAEAAC4DAAAOAAAAAAAAAAEAIAAAACoBAABkcnMvZTJvRG9jLnhtbFBLBQYAAAAABgAGAFkBAABE&#10;BQ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75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503075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3xJPbgBAABWAwAADgAAAGRycy9lMm9Eb2MueG1srVNLbtswEN0X6B0I&#10;7mspClI4gukgQZCiQNEWSHoAmiItAvyBQ1vyBdobdNVN9z2Xz9EhbdlFswuyoWY4wzfz3owWN6M1&#10;ZCsjaO8YvZjVlEgnfKfdmtFvTw/v5pRA4q7jxjvJ6E4CvVm+fbMYQisb33vTyUgQxEE7BEb7lEJb&#10;VSB6aTnMfJAOg8pHyxO6cV11kQ+Ibk3V1PX7avCxC9ELCYC394cgXRZ8paRIX5QCmYhhFHtL5Yzl&#10;XOWzWi54u4489Foc2+Av6MJy7bDoCeqeJ042UT+DslpED16lmfC28kppIQsHZHNR/8fmsedBFi4o&#10;DoSTTPB6sOLz9mskumO0uabEcYsz2v/8sf/1Z//7O7ksAg0BWsx7DJiZxjs/4qCzcPke8DLzHlW0&#10;+YuMCMZR6t1JXjkmIvKjeTOf1xgSGJscxKnOz0OE9EF6S7LBaMT5FVn59hOkQ+qUkqs5/6CNKTM0&#10;jgyMXl81V+XBKYLgxmGNc7PZSuNqPDJY+W6HxAbcAUYdLikl5qNDifO6TEacjNVkbELU677sU+4E&#10;wu0mYTelyVzhAHssjMMrNI+LlrfjX79knX+H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3xJPbgBAABW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4413250</wp:posOffset>
              </wp:positionH>
              <wp:positionV relativeFrom="page">
                <wp:posOffset>10189845</wp:posOffset>
              </wp:positionV>
              <wp:extent cx="2510790" cy="149225"/>
              <wp:effectExtent l="0" t="0" r="0" b="0"/>
              <wp:wrapNone/>
              <wp:docPr id="17" name="文本框 9"/>
              <wp:cNvGraphicFramePr/>
              <a:graphic xmlns:a="http://schemas.openxmlformats.org/drawingml/2006/main">
                <a:graphicData uri="http://schemas.microsoft.com/office/word/2010/wordprocessingShape">
                  <wps:wsp>
                    <wps:cNvSpPr txBox="1"/>
                    <wps:spPr>
                      <a:xfrm>
                        <a:off x="0" y="0"/>
                        <a:ext cx="2510790" cy="149225"/>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9" o:spid="_x0000_s1026" o:spt="202" type="#_x0000_t202" style="position:absolute;left:0pt;margin-left:347.5pt;margin-top:802.35pt;height:11.75pt;width:197.7pt;mso-position-horizontal-relative:page;mso-position-vertical-relative:page;z-index:-244736;mso-width-relative:page;mso-height-relative:page;" filled="f" stroked="f" coordsize="21600,21600" o:gfxdata="UEsDBAoAAAAAAIdO4kAAAAAAAAAAAAAAAAAEAAAAZHJzL1BLAwQUAAAACACHTuJAktBCWtsAAAAO&#10;AQAADwAAAGRycy9kb3ducmV2LnhtbE2PzU7DMBCE70i8g7VI3KjdqIQmxKkQghNSRRoOHJ14m1iN&#10;1yF2f3j7Oic47sxo9ptic7EDO+HkjSMJy4UAhtQ6baiT8FW/P6yB+aBIq8ERSvhFD5vy9qZQuXZn&#10;qvC0Cx2LJeRzJaEPYcw5922PVvmFG5Git3eTVSGeU8f1pM6x3A48ESLlVhmKH3o14muP7WF3tBJe&#10;vql6Mz/b5rPaV6auM0Ef6UHK+7uleAYW8BL+wjDjR3QoI1PjjqQ9GySk2WPcEqKRitUTsDkiMrEC&#10;1sxask6AlwX/P6O8AlBLAwQUAAAACACHTuJANq55vqYBAAAuAwAADgAAAGRycy9lMm9Eb2MueG1s&#10;rVLBbtswDL0X2D8Iui92jKVtjDgFhqLDgKEd0O0DFFmKBUiiIKmx8wPtH/TUS+/9rnzHKCVOu/VW&#10;7EJTJP3I98jFxWA02QgfFNiGTiclJcJyaJVdN/T3r6vP55SEyGzLNFjR0K0I9GL56WTRu1pU0IFu&#10;hScIYkPdu4Z2Mbq6KALvhGFhAk5YTErwhkV8+nXRetYjutFFVZanRQ++dR64CAGjl/skXWZ8KQWP&#10;N1IGEYluKM4Ws/XZrpItlgtWrz1zneKHMdgHpjBMWWx6hLpkkZE7r95BGcU9BJBxwsEUIKXiInNA&#10;NtPyHza3HXMic0FxgjvKFP4fLL/e/PREtbi7M0osM7ij3ePD7ull93xP5kmf3oUay24dFsbhKwxY&#10;O8YDBhPtQXqTvkiIYB6V3h7VFUMkHIPVbFqezTHFMTf9Mq+qWYIpXv92PsRvAgxJTkM9bi+LyjY/&#10;QtyXjiWpmYUrpXXeoLakb+h8hpB/ZRBcW+yROOxnTV4cVsOB2AraLfLS3y2Kmg5kdPzorEbnznm1&#10;7nCuzD5D4lIygcMBpa2/fefGr2e+/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0EJa2wAAAA4B&#10;AAAPAAAAAAAAAAEAIAAAACIAAABkcnMvZG93bnJldi54bWxQSwECFAAUAAAACACHTuJANq55vqYB&#10;AAAuAwAADgAAAAAAAAABACAAAAAqAQAAZHJzL2Uyb0RvYy54bWxQSwUGAAAAAAYABgBZAQAAQgUA&#10;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8"/>
      </w:rPr>
    </w:pPr>
    <w:r>
      <w:rPr>
        <w:sz w:val="21"/>
      </w:rPr>
      <mc:AlternateContent>
        <mc:Choice Requires="wps">
          <w:drawing>
            <wp:anchor distT="0" distB="0" distL="114300" distR="114300" simplePos="0" relativeHeight="503076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503076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QIaLkBAABWAwAADgAAAGRycy9lMm9Eb2MueG1srVPBbtswDL0X2D8I&#10;ui92UnRIjSjFhqJDgWIr0O4DFFmKBUiiICmx8wPbH/S0y+77rnxHKSVOi/VW7CKTIvX4HkkvrgZr&#10;yFaGqMExOp3UlEgnoNVuzeiPx5uPc0pi4q7lBpxkdCcjvVp+OFv0vpEz6MC0MhAEcbHpPaNdSr6p&#10;qig6aXmcgJcOgwqC5QndsK7awHtEt6aa1fWnqofQ+gBCxoi314cgXRZ8paRI35WKMhHDKHJL5Qzl&#10;XOWzWi54sw7cd1ocafB3sLBcOyx6grrmiZNN0G+grBYBIqg0EWArUEoLWTSgmmn9j5qHjntZtGBz&#10;oj+1Kf4/WPFtex+Ibhk9x/Y4bnFG+6df+99/939+kvNpblDvY4N5Dx4z0/AFBhz0eB/xMuseVLD5&#10;i4oIxhFrd2qvHBIR+dF8Np/XGBIYGx3Er16e+xDTVwmWZIPRgPMrbeXbu5gOqWNKrubgRhtTZmgc&#10;6Rm9vJhdlAenCIIbhzWyiAPZbKVhNRyVraDdobAed4BRh0tKibl12OK8LqMRRmM1Ghsf9Lor+5SZ&#10;RP95k5BNIZkrHGCPhXF4ReZx0fJ2vPZL1svvsH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FskCGi5AQAAVgMAAA4AAAAAAAAAAQAgAAAAHg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4359910</wp:posOffset>
              </wp:positionH>
              <wp:positionV relativeFrom="page">
                <wp:posOffset>10189845</wp:posOffset>
              </wp:positionV>
              <wp:extent cx="2673350" cy="120650"/>
              <wp:effectExtent l="0" t="0" r="0" b="0"/>
              <wp:wrapNone/>
              <wp:docPr id="18" name="文本框 11"/>
              <wp:cNvGraphicFramePr/>
              <a:graphic xmlns:a="http://schemas.openxmlformats.org/drawingml/2006/main">
                <a:graphicData uri="http://schemas.microsoft.com/office/word/2010/wordprocessingShape">
                  <wps:wsp>
                    <wps:cNvSpPr txBox="1"/>
                    <wps:spPr>
                      <a:xfrm>
                        <a:off x="0" y="0"/>
                        <a:ext cx="2673350" cy="12065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11" o:spid="_x0000_s1026" o:spt="202" type="#_x0000_t202" style="position:absolute;left:0pt;margin-left:343.3pt;margin-top:802.35pt;height:9.5pt;width:210.5pt;mso-position-horizontal-relative:page;mso-position-vertical-relative:page;z-index:-244736;mso-width-relative:page;mso-height-relative:page;" filled="f" stroked="f" coordsize="21600,21600" o:gfxdata="UEsDBAoAAAAAAIdO4kAAAAAAAAAAAAAAAAAEAAAAZHJzL1BLAwQUAAAACACHTuJA+ke7pdoAAAAO&#10;AQAADwAAAGRycy9kb3ducmV2LnhtbE2PzU7DMBCE70i8g7WVuFE7BTkljVMhBCckRBoOHJ3ETazG&#10;6xC7P7w9m1M57syn2Zl8e3EDO5kpWI8KkqUAZrDxrcVOwVf1dr8GFqLGVg8ejYJfE2Bb3N7kOmv9&#10;GUtz2sWOUQiGTCvoYxwzzkPTG6fD0o8Gydv7yelI59TxdtJnCncDXwkhudMW6UOvR/PSm+awOzoF&#10;z99Yvtqfj/qz3Je2qp4EvsuDUneLRGyARXOJVxjm+lQdCupU+yO2gQ0K5FpKQsmQ4jEFNiOJSEmr&#10;Z231kAIvcv5/RvEHUEsDBBQAAAAIAIdO4kA5gRUoqAEAAC8DAAAOAAAAZHJzL2Uyb0RvYy54bWyt&#10;Uktu2zAQ3QfoHQjua30Cu6lgOUARpAgQpAWSHoCmSIsAySFIxpIv0N4gq26yz7l8jg5pyynaXZAN&#10;NZoZvpn3HpeXo9FkK3xQYFtazUpKhOXQKbtp6Y+H648XlITIbMc0WNHSnQj0cvXhbDm4RtTQg+6E&#10;JwhiQzO4lvYxuqYoAu+FYWEGTlgsSvCGRfz1m6LzbEB0o4u6LBfFAL5zHrgIAbNXhyJdZXwpBY/f&#10;pAwiEt1S3C3m0+dznc5itWTNxjPXK35cg71hC8OUxaEnqCsWGXn06j8oo7iHADLOOJgCpFRcZA7I&#10;pir/YXPfMycyFxQnuJNM4f1g+d32uyeqQ+/QKcsMerR/+rX//bJ//kmqKgk0uNBg373Dzjh+gRGb&#10;p3zAZOI9Sm/SFxkRrKPUu5O8YoyEY7JefDo/n2OJY62qywXGCF+83nY+xK8CDElBSz3al1Vl29sQ&#10;D61TSxpm4VppnS3Ulgwt/Tyv5/nCqYLg2uKMxOGwa4riuB6PxNbQ7ZCXvrGoanohU+CnYD0Fj86r&#10;TY97ZfYZEl3JBI4vKNn+938e/PrOV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e7pdoAAAAO&#10;AQAADwAAAAAAAAABACAAAAAiAAAAZHJzL2Rvd25yZXYueG1sUEsBAhQAFAAAAAgAh07iQDmBFSio&#10;AQAALwMAAA4AAAAAAAAAAQAgAAAAKQEAAGRycy9lMm9Eb2MueG1sUEsFBgAAAAAGAAYAWQEAAEMF&#10;A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77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503077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8CNLkBAABWAwAADgAAAGRycy9lMm9Eb2MueG1srVNLbtswEN0XyB0I&#10;7mvJCl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OXc0octzijw88fh19/Dr+/k8smN2gI0GLefcDMNH70Iw56uge8zLpHFW3+&#10;oiKCcWz1/txeOSYi8qNFs1jUGBIYmxzEr56ehwjpTnpLssFoxPmVtvLdZ0jH1CklV3P+VhtTZmgc&#10;GRh9f9VclQfnCIIbhzWyiCPZbKVxPZ6UrX23R2ED7gCjDpeUEvPJYYvzukxGnIz1ZGxD1Ju+7FNm&#10;AuHDNiGbQjJXOMKeCuPwiszTouXt+NcvWU+/w+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CFvAjS5AQAAVgMAAA4AAAAAAAAAAQAgAAAAHg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4283710</wp:posOffset>
              </wp:positionH>
              <wp:positionV relativeFrom="page">
                <wp:posOffset>10189845</wp:posOffset>
              </wp:positionV>
              <wp:extent cx="2749550" cy="120650"/>
              <wp:effectExtent l="0" t="0" r="0" b="0"/>
              <wp:wrapNone/>
              <wp:docPr id="19" name="文本框 13"/>
              <wp:cNvGraphicFramePr/>
              <a:graphic xmlns:a="http://schemas.openxmlformats.org/drawingml/2006/main">
                <a:graphicData uri="http://schemas.microsoft.com/office/word/2010/wordprocessingShape">
                  <wps:wsp>
                    <wps:cNvSpPr txBox="1"/>
                    <wps:spPr>
                      <a:xfrm>
                        <a:off x="0" y="0"/>
                        <a:ext cx="2749550" cy="12065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13" o:spid="_x0000_s1026" o:spt="202" type="#_x0000_t202" style="position:absolute;left:0pt;margin-left:337.3pt;margin-top:802.35pt;height:9.5pt;width:216.5pt;mso-position-horizontal-relative:page;mso-position-vertical-relative:page;z-index:-244736;mso-width-relative:page;mso-height-relative:page;" filled="f" stroked="f" coordsize="21600,21600" o:gfxdata="UEsDBAoAAAAAAIdO4kAAAAAAAAAAAAAAAAAEAAAAZHJzL1BLAwQUAAAACACHTuJAviHBitoAAAAO&#10;AQAADwAAAGRycy9kb3ducmV2LnhtbE2PzU7DMBCE70i8g7VI3KidUiU0jVMhBCckRBoOHJ14m1iN&#10;1yF2f3h7nFM57syn2Zlie7EDO+HkjSMJyUIAQ2qdNtRJ+KrfHp6A+aBIq8ERSvhFD9vy9qZQuXZn&#10;qvC0Cx2LIeRzJaEPYcw5922PVvmFG5Git3eTVSGeU8f1pM4x3A58KUTKrTIUP/RqxJce28PuaCU8&#10;f1P1an4+ms9qX5m6Xgt6Tw9S3t8lYgMs4CVcYZjrx+pQxk6NO5L2bJCQZqs0otFIxSoDNiOJyKLW&#10;zNryMQNeFvz/jPIPUEsDBBQAAAAIAIdO4kBYxS/GqAEAAC8DAAAOAAAAZHJzL2Uyb0RvYy54bWyt&#10;UsFOGzEQvVfiHyzfm91sCSWrbJAqRFUJlUqUD3C8dtaS7bFsk938APwBp16497vyHR072YDghnoZ&#10;j2fGb+a98eJiMJpshA8KbEOnk5ISYTm0yq4bevf76vM5JSEy2zINVjR0KwK9WJ58WvSuFhV0oFvh&#10;CYLYUPeuoV2Mri6KwDthWJiAExaTErxhEa9+XbSe9YhudFGV5VnRg2+dBy5CwOjlPkmXGV9KweON&#10;lEFEohuKs8VsfbarZIvlgtVrz1yn+GEM9oEpDFMWmx6hLllk5N6rd1BGcQ8BZJxwMAVIqbjIHJDN&#10;tHzD5rZjTmQuKE5wR5nC/4PlPze/PFEt7m5OiWUGd7R7etz9+bt7fiDTL0mg3oUa624dVsbhGwxY&#10;PMYDBhPvQXqTTmREMI9Sb4/yiiESjsHq6+l8NsMUx9y0Ks/QR/ji5bXzIX4XYEhyGupxfVlVtrkO&#10;cV86lqRmFq6U1nmF2pK+ofNZNcsPjhkE1xZ7JA77WZMXh9VwILaCdou89A+LqqYfMjp+dFajc++8&#10;Wnc4V2afIXErmcDhB6W1v77nxi//fP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iHBitoAAAAO&#10;AQAADwAAAAAAAAABACAAAAAiAAAAZHJzL2Rvd25yZXYueG1sUEsBAhQAFAAAAAgAh07iQFjFL8ao&#10;AQAALwMAAA4AAAAAAAAAAQAgAAAAKQEAAGRycy9lMm9Eb2MueG1sUEsFBgAAAAAGAAYAWQEAAEMF&#10;A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78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503078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9S35LkBAABWAwAADgAAAGRycy9lMm9Eb2MueG1srVNLbtswEN0XyB0I&#10;7mspMlK4gumgRZCgQNEWSHIAmiItAvyBQ1vyBdobdNVN9z2Xz9EhbTlFsgu6oWY4wzfvzYyW16M1&#10;ZCcjaO8YvZzVlEgnfKfdhtHHh9u3C0ogcddx451kdC+BXq8u3iyH0MrG9950MhIEcdAOgdE+pdBW&#10;FYheWg4zH6TDoPLR8oRu3FRd5AOiW1M1df2uGnzsQvRCAuDtzTFIVwVfKSnSV6VAJmIYRW6pnLGc&#10;63xWqyVvN5GHXosTDf4KFpZrh0XPUDc8cbKN+gWU1SJ68CrNhLeVV0oLWTSgmsv6mZr7ngdZtGBz&#10;IJzbBP8PVnzZfYtEd4zOG0octzijw88fh19/Dr+/k/k8N2gI0GLefcDMNH70Iw56uge8zLpHFW3+&#10;oiKCcWz1/txeOSYi8qNFs1jUGBIYmxzEr56ehwjpTnpLssFoxPmVtvLdZ0jH1CklV3P+VhtTZmgc&#10;GRh9f9VclQfnCIIbhzWyiCPZbKVxPZ6UrX23R2ED7gCjDpeUEvPJYYvzukxGnIz1ZGxD1Ju+7FNm&#10;AuHDNiGbQjJXOMKeCuPwiszTouXt+NcvWU+/w+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Ut+S5AQAAVgMAAA4AAAAAAAAAAQAgAAAAHg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4436745</wp:posOffset>
              </wp:positionH>
              <wp:positionV relativeFrom="page">
                <wp:posOffset>10189845</wp:posOffset>
              </wp:positionV>
              <wp:extent cx="2596515" cy="111760"/>
              <wp:effectExtent l="0" t="0" r="0" b="0"/>
              <wp:wrapNone/>
              <wp:docPr id="20" name="文本框 15"/>
              <wp:cNvGraphicFramePr/>
              <a:graphic xmlns:a="http://schemas.openxmlformats.org/drawingml/2006/main">
                <a:graphicData uri="http://schemas.microsoft.com/office/word/2010/wordprocessingShape">
                  <wps:wsp>
                    <wps:cNvSpPr txBox="1"/>
                    <wps:spPr>
                      <a:xfrm>
                        <a:off x="0" y="0"/>
                        <a:ext cx="2596515" cy="11176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15" o:spid="_x0000_s1026" o:spt="202" type="#_x0000_t202" style="position:absolute;left:0pt;margin-left:349.35pt;margin-top:802.35pt;height:8.8pt;width:204.45pt;mso-position-horizontal-relative:page;mso-position-vertical-relative:page;z-index:-244736;mso-width-relative:page;mso-height-relative:page;" filled="f" stroked="f" coordsize="21600,21600" o:gfxdata="UEsDBAoAAAAAAIdO4kAAAAAAAAAAAAAAAAAEAAAAZHJzL1BLAwQUAAAACACHTuJAdC84ONsAAAAO&#10;AQAADwAAAGRycy9kb3ducmV2LnhtbE2PzU7DMBCE70i8g7WVuFE7AbltGqdCCE5IiDQcODqxm0SN&#10;1yF2f3h7Nie47e6MZr/Jd1c3sLOdQu9RQbIUwCw23vTYKvisXu/XwELUaPTg0Sr4sQF2xe1NrjPj&#10;L1ja8z62jEIwZFpBF+OYcR6azjodln60SNrBT05HWqeWm0lfKNwNPBVCcqd7pA+dHu1zZ5vj/uQU&#10;PH1h+dJ/v9cf5aHsq2oj8E0elbpbJGILLNpr/DPDjE/oUBBT7U9oAhsUyM16RVYSpHikabYkYiWB&#10;1fMtTR+AFzn/X6P4BVBLAwQUAAAACACHTuJA4uMq8KgBAAAvAwAADgAAAGRycy9lMm9Eb2MueG1s&#10;rVJLbtswEN0X6B0I7mNZAuQkguUAQZCiQNEGSHsAmiItAiSHIBlLvkBzg66yyT7n8jkyZCynSHZB&#10;NtRoPo/vveHyYjSabIUPCmxLy9mcEmE5dMpuWvrn9/XJGSUhMtsxDVa0dCcCvVh9/bIcXCMq6EF3&#10;whMEsaEZXEv7GF1TFIH3wrAwAycsFiV4wyL++k3ReTYgutFFNZ8vigF85zxwEQJmr16KdJXxpRQ8&#10;/pIyiEh0S5FbzKfP5zqdxWrJmo1nrlf8QIN9gIVhyuKlR6grFhm58+odlFHcQwAZZxxMAVIqLrIG&#10;VFPO36i57ZkTWQuaE9zRpvB5sPzn9sYT1bW0QnssM7ij/b/7/cPT/vEvKetk0OBCg323DjvjeAkj&#10;LnrKB0wm3aP0Jn1REcE6Yu2O9ooxEo7Jqj5f1AhJONbKsjxdZP+L12nnQ/wmwJAUtNTj+rKrbPsj&#10;RGSCrVNLuszCtdI6r1BbMrT0vK7qPHCs4IS2OJg0vHBNURzX40HYGrod6tLfLbqaXsgU+ClYT8Gd&#10;82rTI6+sPkPiVjKrwwtKa///P1/8+s5Xz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QvODjbAAAA&#10;DgEAAA8AAAAAAAAAAQAgAAAAIgAAAGRycy9kb3ducmV2LnhtbFBLAQIUABQAAAAIAIdO4kDi4yrw&#10;qAEAAC8DAAAOAAAAAAAAAAEAIAAAACoBAABkcnMvZTJvRG9jLnhtbFBLBQYAAAAABgAGAFkBAABE&#10;BQ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79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503079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WjLoBAABWAwAADgAAAGRycy9lMm9Eb2MueG1srVNLbtswEN0X6B0I&#10;7mMpdhO4gumgQZCiQJEUSHsAmiItAvxhSFvyBdobdNVN9zmXz9EhbTlBsgu6oWY4wzfvzYwWV4M1&#10;ZCshau8YPZ/UlEgnfKvdmtEf32/P5pTExF3LjXeS0Z2M9Gr5/t2iD42c+s6bVgJBEBebPjDapRSa&#10;qoqik5bHiQ/SYVB5sDyhC+uqBd4jujXVtK4vq95DG8ALGSPe3hyCdFnwlZIi3SsVZSKGUeSWygnl&#10;XOWzWi54swYeOi2ONPgbWFiuHRY9Qd3wxMkG9CsoqwX46FWaCG8rr5QWsmhANef1CzUPHQ+yaMHm&#10;xHBqU/x/sOJu+w2IbhmdzShx3OKM9r9/7f887v/+JLMPuUF9iA3mPQTMTMO1H3DQ433Ey6x7UGDz&#10;FxURjGOrd6f2yiERkR/Np/N5jSGBsdFB/OrpeYCYPktvSTYYBZxfaSvffo3pkDqm5GrO32pjygyN&#10;Iz2jHy+mF+XBKYLgxmGNLOJANltpWA1HZSvf7lBYjzvAqMMlpcR8cdjivC6jAaOxGo1NAL3uyj5l&#10;JjF82iRkU0jmCgfYY2EcXpF5XLS8Hc/9kvX0Oy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V+RaMugEAAFYDAAAOAAAAAAAAAAEAIAAAAB4BAABkcnMvZTJvRG9jLnhtbFBLBQYAAAAABgAG&#10;AFkBAABK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4598670</wp:posOffset>
              </wp:positionH>
              <wp:positionV relativeFrom="page">
                <wp:posOffset>10189845</wp:posOffset>
              </wp:positionV>
              <wp:extent cx="2434590" cy="139700"/>
              <wp:effectExtent l="0" t="0" r="0" b="0"/>
              <wp:wrapNone/>
              <wp:docPr id="21" name="文本框 17"/>
              <wp:cNvGraphicFramePr/>
              <a:graphic xmlns:a="http://schemas.openxmlformats.org/drawingml/2006/main">
                <a:graphicData uri="http://schemas.microsoft.com/office/word/2010/wordprocessingShape">
                  <wps:wsp>
                    <wps:cNvSpPr txBox="1"/>
                    <wps:spPr>
                      <a:xfrm>
                        <a:off x="0" y="0"/>
                        <a:ext cx="2434590" cy="13970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17" o:spid="_x0000_s1026" o:spt="202" type="#_x0000_t202" style="position:absolute;left:0pt;margin-left:362.1pt;margin-top:802.35pt;height:11pt;width:191.7pt;mso-position-horizontal-relative:page;mso-position-vertical-relative:page;z-index:-244736;mso-width-relative:page;mso-height-relative:page;" filled="f" stroked="f" coordsize="21600,21600" o:gfxdata="UEsDBAoAAAAAAIdO4kAAAAAAAAAAAAAAAAAEAAAAZHJzL1BLAwQUAAAACACHTuJAfopTzNoAAAAO&#10;AQAADwAAAGRycy9kb3ducmV2LnhtbE2PTU+EMBCG7yb+h2ZMvLktZAMuS9kYoycTI4sHj4XOQrN0&#10;irT74b+3nPQ48z5555lyd7UjO+PsjSMJyUoAQ+qcNtRL+GxeHx6B+aBIq9ERSvhBD7vq9qZUhXYX&#10;qvG8Dz2LJeQLJWEIYSo4992AVvmVm5BidnCzVSGOc8/1rC6x3I48FSLjVhmKFwY14fOA3XF/shKe&#10;vqh+Md/v7Ud9qE3TbAS9ZUcp7+8SsQUW8Br+YFj0ozpU0al1J9KejRLydJ1GNAaZWOfAFiQReQas&#10;XXZplgOvSv7/jeoXUEsDBBQAAAAIAIdO4kBnNpEkqQEAAC8DAAAOAAAAZHJzL2Uyb0RvYy54bWyt&#10;Uktu2zAQ3RfoHQjua30SJ7VgOUARpChQJAWSHoCmSIsAfxgylnyB9gZdZZN9zuVzZMhYTpDuim6o&#10;0Xwe33vD5cVoNNkKCMrZllazkhJhueuU3bT0593Vp8+UhMhsx7SzoqU7EejF6uOH5eAbUbve6U4A&#10;QRAbmsG3tI/RN0UReC8MCzPnhcWidGBYxF/YFB2wAdGNLuqyPCsGB50Hx0UImL18KdJVxpdS8Hgj&#10;ZRCR6JYit5hPyOc6ncVqyZoNMN8rfqDB/oGFYcripUeoSxYZuQf1F5RRHFxwMs64M4WTUnGRNaCa&#10;qnyn5rZnXmQtaE7wR5vC/4Pl19sfQFTX0rqixDKDO9r/+b1/eNo//iLVeTJo8KHBvluPnXH84kZc&#10;9JQPmEy6RwkmfVERwTpavTvaK8ZIOCbr05PT+QJLHGvVyeK8zP4Xr9MeQvwqnCEpaCng+rKrbPs9&#10;RGSCrVNLusy6K6V1XqG2ZGjpYl7P88CxghPa4mDS8MI1RXFcjwdha9ftUJf+ZtHV9EKmAKZgPQX3&#10;HtSmR15ZfYbErWRWhxeU1v72P1/8+s5Xz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6KU8zaAAAA&#10;DgEAAA8AAAAAAAAAAQAgAAAAIgAAAGRycy9kb3ducmV2LnhtbFBLAQIUABQAAAAIAIdO4kBnNpEk&#10;qQEAAC8DAAAOAAAAAAAAAAEAIAAAACkBAABkcnMvZTJvRG9jLnhtbFBLBQYAAAAABgAGAFkBAABE&#10;BQ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503080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503080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GqroBAABWAwAADgAAAGRycy9lMm9Eb2MueG1srVNLbtswEN0X6B0I&#10;7mMpTh24gumgQZCiQJEUSHsAmiItAvxhSFvyBdobdNVN9zmXz9EhbTlBsgu6oWY4wzfvzYwWV4M1&#10;ZCshau8YPZ/UlEgnfKvdmtEf32/P5pTExF3LjXeS0Z2M9Gr5/t2iD42c+s6bVgJBEBebPjDapRSa&#10;qoqik5bHiQ/SYVB5sDyhC+uqBd4jujXVtK4vq95DG8ALGSPe3hyCdFnwlZIi3SsVZSKGUeSWygnl&#10;XOWzWi54swYeOi2ONPgbWFiuHRY9Qd3wxMkG9CsoqwX46FWaCG8rr5QWsmhANef1CzUPHQ+yaMHm&#10;xHBqU/x/sOJu+w2Ibhm9+ECJ4xZntP/9a//ncf/3J7mY5Qb1ITaY9xAwMw3XfsBBj/cRL7PuQYHN&#10;X1REMI6t3p3aK4dERH40n87nNYYExkYH8aun5wFi+iy9JdlgFHB+pa18+zWmQ+qYkqs5f6uNKTM0&#10;jvSMfpxNZ+XBKYLgxmGNLOJANltpWA1HZSvf7lBYjzvAqMMlpcR8cdjivC6jAaOxGo1NAL3uyj5l&#10;JjF82iRkU0jmCgfYY2EcXpF5XLS8Hc/9kvX0Oy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ywgaqugEAAFYDAAAOAAAAAAAAAAEAIAAAAB4BAABkcnMvZTJvRG9jLnhtbFBLBQYAAAAABgAG&#10;AFkBAABK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503072768" behindDoc="1" locked="0" layoutInCell="1" allowOverlap="1">
              <wp:simplePos x="0" y="0"/>
              <wp:positionH relativeFrom="page">
                <wp:posOffset>4664710</wp:posOffset>
              </wp:positionH>
              <wp:positionV relativeFrom="page">
                <wp:posOffset>10189845</wp:posOffset>
              </wp:positionV>
              <wp:extent cx="2368550" cy="15875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2368550" cy="158750"/>
                      </a:xfrm>
                      <a:prstGeom prst="rect">
                        <a:avLst/>
                      </a:prstGeom>
                      <a:noFill/>
                      <a:ln w="9525">
                        <a:noFill/>
                      </a:ln>
                    </wps:spPr>
                    <wps:txbx>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wps:txbx>
                    <wps:bodyPr lIns="0" tIns="0" rIns="0" bIns="0" upright="1"/>
                  </wps:wsp>
                </a:graphicData>
              </a:graphic>
            </wp:anchor>
          </w:drawing>
        </mc:Choice>
        <mc:Fallback>
          <w:pict>
            <v:shape id="文本框 19" o:spid="_x0000_s1026" o:spt="202" type="#_x0000_t202" style="position:absolute;left:0pt;margin-left:367.3pt;margin-top:802.35pt;height:12.5pt;width:186.5pt;mso-position-horizontal-relative:page;mso-position-vertical-relative:page;z-index:-243712;mso-width-relative:page;mso-height-relative:page;" filled="f" stroked="f" coordsize="21600,21600" o:gfxdata="UEsDBAoAAAAAAIdO4kAAAAAAAAAAAAAAAAAEAAAAZHJzL1BLAwQUAAAACACHTuJAQ78BKtoAAAAO&#10;AQAADwAAAGRycy9kb3ducmV2LnhtbE2PzU7DMBCE70i8g7VI3KidUiU0xKkQghNS1TQcODrxNrEa&#10;r0Ps/vD2OCc47syn2Zlic7UDO+PkjSMJyUIAQ2qdNtRJ+KzfH56A+aBIq8ERSvhBD5vy9qZQuXYX&#10;qvC8Dx2LIeRzJaEPYcw5922PVvmFG5Gid3CTVSGeU8f1pC4x3A58KUTKrTIUP/RqxNce2+P+ZCW8&#10;fFH1Zr63za46VKau14I+0qOU93eJeAYW8Br+YJjrx+pQxk6NO5H2bJCQPa7SiEYjFasM2IwkIota&#10;M2vLdQa8LPj/GeUvUEsDBBQAAAAIAIdO4kD5QmfJqAEAAC8DAAAOAAAAZHJzL2Uyb0RvYy54bWyt&#10;Us1OGzEQvlfqO1i+N5tstRBW2SBViKoSAiTgARyvnbXkP41NdvMC8AY9ceHOc+U5OnayoWpviMt4&#10;PDP+Zr5vvDgfjCYbAUE529DZZEqJsNy1yq4b+nB/+W1OSYjMtkw7Kxq6FYGeL79+WfS+FqXrnG4F&#10;EASxoe59Q7sYfV0UgXfCsDBxXlhMSgeGRbzCumiB9YhudFFOpydF76D14LgIAaMX+yRdZnwpBY83&#10;UgYRiW4ozhazhWxXyRbLBavXwHyn+GEM9oEpDFMWmx6hLlhk5BHUf1BGcXDByTjhzhROSsVF5oBs&#10;ZtN/2Nx1zIvMBcUJ/ihT+DxYfr25BaLahpYlJZYZ3NHu9/Pu5W33+kRmZ0mg3oca6+48Vsbhhxtw&#10;0WM8YDDxHiSYdCIjgnmUenuUVwyRcAyW30/mVYUpjrlZNT9FH+GL99ceQvwpnCHJaSjg+rKqbHMV&#10;4r50LEnNrLtUWucVakv6hp5VZZUfHDMIri32SBz2syYvDqvhQGzl2i3y0r8sqpp+yOjA6KxG59GD&#10;Wnc4V2afIXErmcDhB6W1/33Pjd//+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78BKtoAAAAO&#10;AQAADwAAAAAAAAABACAAAAAiAAAAZHJzL2Rvd25yZXYueG1sUEsBAhQAFAAAAAgAh07iQPlCZ8mo&#10;AQAALwMAAA4AAAAAAAAAAQAgAAAAKQEAAGRycy9lMm9Eb2MueG1sUEsFBgAAAAAGAAYAWQEAAEMF&#10;AAA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rPr>
                    </w:pPr>
                    <w:r>
                      <w:rPr>
                        <w:rFonts w:hint="eastAsia" w:ascii="黑体" w:eastAsia="黑体"/>
                        <w:sz w:val="18"/>
                      </w:rPr>
                      <w:t>广西</w:t>
                    </w:r>
                    <w:r>
                      <w:rPr>
                        <w:rFonts w:hint="eastAsia" w:ascii="黑体" w:eastAsia="黑体"/>
                        <w:sz w:val="18"/>
                        <w:lang w:eastAsia="zh-CN"/>
                      </w:rPr>
                      <w:t>桂林华禹水利水电工程咨询</w:t>
                    </w:r>
                    <w:r>
                      <w:rPr>
                        <w:rFonts w:hint="eastAsia" w:ascii="黑体" w:eastAsia="黑体"/>
                        <w:sz w:val="18"/>
                      </w:rPr>
                      <w:t>有限公司编制</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071744" behindDoc="1" locked="0" layoutInCell="1" allowOverlap="1">
              <wp:simplePos x="0" y="0"/>
              <wp:positionH relativeFrom="page">
                <wp:posOffset>4893945</wp:posOffset>
              </wp:positionH>
              <wp:positionV relativeFrom="page">
                <wp:posOffset>503555</wp:posOffset>
              </wp:positionV>
              <wp:extent cx="2261235" cy="130175"/>
              <wp:effectExtent l="0" t="0" r="0" b="0"/>
              <wp:wrapNone/>
              <wp:docPr id="12" name="文本框 2"/>
              <wp:cNvGraphicFramePr/>
              <a:graphic xmlns:a="http://schemas.openxmlformats.org/drawingml/2006/main">
                <a:graphicData uri="http://schemas.microsoft.com/office/word/2010/wordprocessingShape">
                  <wps:wsp>
                    <wps:cNvSpPr txBox="1"/>
                    <wps:spPr>
                      <a:xfrm>
                        <a:off x="0" y="0"/>
                        <a:ext cx="2261235" cy="130175"/>
                      </a:xfrm>
                      <a:prstGeom prst="rect">
                        <a:avLst/>
                      </a:prstGeom>
                      <a:noFill/>
                      <a:ln w="9525">
                        <a:noFill/>
                      </a:ln>
                    </wps:spPr>
                    <wps:txbx>
                      <w:txbxContent>
                        <w:p>
                          <w:pPr>
                            <w:spacing w:before="0" w:line="200" w:lineRule="exact"/>
                            <w:ind w:left="20" w:right="0" w:firstLine="0"/>
                            <w:jc w:val="left"/>
                            <w:rPr>
                              <w:rFonts w:hint="default" w:ascii="黑体" w:hAnsi="黑体" w:eastAsia="黑体"/>
                              <w:sz w:val="18"/>
                              <w:lang w:val="en-US" w:eastAsia="zh-CN"/>
                            </w:rPr>
                          </w:pPr>
                          <w:r>
                            <w:rPr>
                              <w:rFonts w:hint="eastAsia" w:ascii="黑体" w:hAnsi="黑体" w:eastAsia="黑体"/>
                              <w:sz w:val="18"/>
                            </w:rPr>
                            <w:t>项目编号：</w:t>
                          </w:r>
                          <w:r>
                            <w:rPr>
                              <w:rFonts w:hint="eastAsia" w:ascii="黑体" w:hAnsi="黑体" w:eastAsia="黑体"/>
                              <w:sz w:val="18"/>
                              <w:lang w:val="en-US" w:eastAsia="zh-CN"/>
                            </w:rPr>
                            <w:t>HZZC2020-G2-230031-GLHY</w:t>
                          </w:r>
                        </w:p>
                      </w:txbxContent>
                    </wps:txbx>
                    <wps:bodyPr lIns="0" tIns="0" rIns="0" bIns="0" upright="1"/>
                  </wps:wsp>
                </a:graphicData>
              </a:graphic>
            </wp:anchor>
          </w:drawing>
        </mc:Choice>
        <mc:Fallback>
          <w:pict>
            <v:shape id="文本框 2" o:spid="_x0000_s1026" o:spt="202" type="#_x0000_t202" style="position:absolute;left:0pt;margin-left:385.35pt;margin-top:39.65pt;height:10.25pt;width:178.05pt;mso-position-horizontal-relative:page;mso-position-vertical-relative:page;z-index:-244736;mso-width-relative:page;mso-height-relative:page;" filled="f" stroked="f" coordsize="21600,21600" o:gfxdata="UEsDBAoAAAAAAIdO4kAAAAAAAAAAAAAAAAAEAAAAZHJzL1BLAwQUAAAACACHTuJAMcoModkAAAAK&#10;AQAADwAAAGRycy9kb3ducmV2LnhtbE2Py07DMBBF90j9B2uQ2FE7RUqaEKeqEKyQEGlYsHTiaWI1&#10;HofYffD3uCu6m9Ec3Tm33FzsyE44e+NIQrIUwJA6pw31Er6at8c1MB8UaTU6Qgm/6GFTLe5KVWh3&#10;phpPu9CzGEK+UBKGEKaCc98NaJVfugkp3vZutirEde65ntU5htuRr4RIuVWG4odBTfgyYHfYHa2E&#10;7TfVr+bno/2s97VpmlzQe3qQ8uE+Ec/AAl7CPwxX/agOVXRq3ZG0Z6OELBNZROOQPwG7AskqjWVa&#10;CXm+Bl6V/LZC9QdQSwMEFAAAAAgAh07iQMMrMFOoAQAALgMAAA4AAABkcnMvZTJvRG9jLnhtbK1S&#10;zU4bMRC+V+IdLN/J/qDQssoGCSFQpaqtBDyA47WzlmyPZZvs5gXgDXrqpfc+V56jYycbKrghLuPx&#10;zPib+b7x4nI0mmyEDwpsS6tZSYmwHDpl1y19uL85/UJJiMx2TIMVLd2KQC+XJ58Wg2tEDT3oTniC&#10;IDY0g2tpH6NriiLwXhgWZuCExaQEb1jEq18XnWcDohtd1GV5XgzgO+eBixAwer1P0mXGl1Lw+EPK&#10;ICLRLcXZYrY+21WyxXLBmrVnrlf8MAZ7xxSGKYtNj1DXLDLy6NUbKKO4hwAyzjiYAqRUXGQOyKYq&#10;X7G565kTmQuKE9xRpvBxsPz75qcnqsPd1ZRYZnBHu1/Pu99/d3+eSJ30GVxosOzOYWEcr2DE2ike&#10;MJhoj9KbdCIhgnlUentUV4yRcAzW9XlVn80p4Zirzsrq8zzBFC+vnQ/xVoAhyWmpx+1lUdnmW4j7&#10;0qkkNbNwo7TOG9SWDC29mNfz/OCYQXBtsUfisJ81eXFcjQdiK+i2yEt/tShq+iCT4ydnNTmPzqt1&#10;j3Nl9hkSl5IJHD5Q2vr/99z45Zs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ygyh2QAAAAoB&#10;AAAPAAAAAAAAAAEAIAAAACIAAABkcnMvZG93bnJldi54bWxQSwECFAAUAAAACACHTuJAwyswU6gB&#10;AAAuAwAADgAAAAAAAAABACAAAAAoAQAAZHJzL2Uyb0RvYy54bWxQSwUGAAAAAAYABgBZAQAAQgUA&#10;AAAA&#10;">
              <v:fill on="f" focussize="0,0"/>
              <v:stroke on="f"/>
              <v:imagedata o:title=""/>
              <o:lock v:ext="edit" aspectratio="f"/>
              <v:textbox inset="0mm,0mm,0mm,0mm">
                <w:txbxContent>
                  <w:p>
                    <w:pPr>
                      <w:spacing w:before="0" w:line="200" w:lineRule="exact"/>
                      <w:ind w:left="20" w:right="0" w:firstLine="0"/>
                      <w:jc w:val="left"/>
                      <w:rPr>
                        <w:rFonts w:hint="default" w:ascii="黑体" w:hAnsi="黑体" w:eastAsia="黑体"/>
                        <w:sz w:val="18"/>
                        <w:lang w:val="en-US" w:eastAsia="zh-CN"/>
                      </w:rPr>
                    </w:pPr>
                    <w:r>
                      <w:rPr>
                        <w:rFonts w:hint="eastAsia" w:ascii="黑体" w:hAnsi="黑体" w:eastAsia="黑体"/>
                        <w:sz w:val="18"/>
                      </w:rPr>
                      <w:t>项目编号：</w:t>
                    </w:r>
                    <w:r>
                      <w:rPr>
                        <w:rFonts w:hint="eastAsia" w:ascii="黑体" w:hAnsi="黑体" w:eastAsia="黑体"/>
                        <w:sz w:val="18"/>
                        <w:lang w:val="en-US" w:eastAsia="zh-CN"/>
                      </w:rPr>
                      <w:t>HZZC2020-G2-230031-GLHY</w:t>
                    </w:r>
                  </w:p>
                </w:txbxContent>
              </v:textbox>
            </v:shape>
          </w:pict>
        </mc:Fallback>
      </mc:AlternateContent>
    </w:r>
    <w:r>
      <mc:AlternateContent>
        <mc:Choice Requires="wps">
          <w:drawing>
            <wp:anchor distT="0" distB="0" distL="114300" distR="114300" simplePos="0" relativeHeight="503071744" behindDoc="1" locked="0" layoutInCell="1" allowOverlap="1">
              <wp:simplePos x="0" y="0"/>
              <wp:positionH relativeFrom="page">
                <wp:posOffset>673100</wp:posOffset>
              </wp:positionH>
              <wp:positionV relativeFrom="page">
                <wp:posOffset>512445</wp:posOffset>
              </wp:positionV>
              <wp:extent cx="2996565" cy="12065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2996565" cy="120650"/>
                      </a:xfrm>
                      <a:prstGeom prst="rect">
                        <a:avLst/>
                      </a:prstGeom>
                      <a:noFill/>
                      <a:ln w="9525">
                        <a:noFill/>
                      </a:ln>
                    </wps:spPr>
                    <wps:txbx>
                      <w:txbxContent>
                        <w:p>
                          <w:pPr>
                            <w:spacing w:before="0" w:line="200" w:lineRule="exact"/>
                            <w:ind w:left="20" w:right="0" w:firstLine="0"/>
                            <w:jc w:val="left"/>
                            <w:rPr>
                              <w:rFonts w:hint="eastAsia" w:ascii="黑体" w:eastAsia="黑体"/>
                              <w:sz w:val="18"/>
                              <w:lang w:eastAsia="zh-CN"/>
                            </w:rPr>
                          </w:pPr>
                          <w:r>
                            <w:rPr>
                              <w:rFonts w:hint="eastAsia" w:ascii="黑体" w:eastAsia="黑体"/>
                              <w:sz w:val="18"/>
                            </w:rPr>
                            <w:t>项目名称：</w:t>
                          </w:r>
                          <w:r>
                            <w:rPr>
                              <w:rFonts w:hint="eastAsia" w:ascii="黑体" w:eastAsia="黑体"/>
                              <w:sz w:val="18"/>
                              <w:lang w:eastAsia="zh-CN"/>
                            </w:rPr>
                            <w:t>富川县新华至连山道路路面修复工程</w:t>
                          </w:r>
                        </w:p>
                      </w:txbxContent>
                    </wps:txbx>
                    <wps:bodyPr lIns="0" tIns="0" rIns="0" bIns="0" upright="1"/>
                  </wps:wsp>
                </a:graphicData>
              </a:graphic>
            </wp:anchor>
          </w:drawing>
        </mc:Choice>
        <mc:Fallback>
          <w:pict>
            <v:shape id="文本框 1" o:spid="_x0000_s1026" o:spt="202" type="#_x0000_t202" style="position:absolute;left:0pt;margin-left:53pt;margin-top:40.35pt;height:9.5pt;width:235.95pt;mso-position-horizontal-relative:page;mso-position-vertical-relative:page;z-index:-244736;mso-width-relative:page;mso-height-relative:page;" filled="f" stroked="f" coordsize="21600,21600" o:gfxdata="UEsDBAoAAAAAAIdO4kAAAAAAAAAAAAAAAAAEAAAAZHJzL1BLAwQUAAAACACHTuJAHy1hMtgAAAAJ&#10;AQAADwAAAGRycy9kb3ducmV2LnhtbE2PzU7DMBCE70h9B2uRuFG7SCRNiFNVCE5IiDQcODrJNrEa&#10;r0Ps/vD2LCd6HM1o5ptic3GjOOEcrCcNq6UCgdT6zlKv4bN+vV+DCNFQZ0ZPqOEHA2zKxU1h8s6f&#10;qcLTLvaCSyjkRsMQ45RLGdoBnQlLPyGxt/ezM5Hl3MtuNmcud6N8UCqRzljihcFM+Dxge9gdnYbt&#10;F1Uv9vu9+aj2la3rTNFbctD67nalnkBEvMT/MPzhMzqUzNT4I3VBjKxVwl+ihrVKQXDgMU0zEI2G&#10;LEtBloW8flD+AlBLAwQUAAAACACHTuJA97XiB6gBAAAuAwAADgAAAGRycy9lMm9Eb2MueG1srVJL&#10;btswEN0X6B0I7mvJKmTEguUARZAgQJEGSHMAmiItAiSHIBlLvkBzg66yyb7n8jk6pC0naHdFN9Ro&#10;Po/vveHqcjSa7IQPCmxL57OSEmE5dMpuW/r4/frTBSUhMtsxDVa0dC8CvVx//LAaXCMq6EF3whME&#10;saEZXEv7GF1TFIH3wrAwAycsFiV4wyL++m3ReTYgutFFVZaLYgDfOQ9chIDZq2ORrjO+lILHb1IG&#10;EYluKXKL+fT53KSzWK9Ys/XM9YqfaLB/YGGYsnjpGeqKRUaevPoLyijuIYCMMw6mACkVF1kDqpmX&#10;f6h56JkTWQuaE9zZpvD/YPnd7t4T1eHuPlNimcEdHX4+H15+HV5/kHnyZ3ChwbYHh41x/AIj9k75&#10;gMkke5TepC8KIlhHp/dnd8UYCcdktVwu6kVNCcfavCoXdba/eJt2PsQbAYakoKUet5dNZbuvISIT&#10;bJ1a0mUWrpXWeYPakqGly7qq88C5ghPa4mDScOSaojhuxpOwDXR71KVvLZqaHsgU+CnYTMGT82rb&#10;I6+sPkPiUjKr0wNKW3//ny9+e+b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8tYTLYAAAACQEA&#10;AA8AAAAAAAAAAQAgAAAAIgAAAGRycy9kb3ducmV2LnhtbFBLAQIUABQAAAAIAIdO4kD3teIHqAEA&#10;AC4DAAAOAAAAAAAAAAEAIAAAACcBAABkcnMvZTJvRG9jLnhtbFBLBQYAAAAABgAGAFkBAABBBQAA&#10;AAA=&#10;">
              <v:fill on="f" focussize="0,0"/>
              <v:stroke on="f"/>
              <v:imagedata o:title=""/>
              <o:lock v:ext="edit" aspectratio="f"/>
              <v:textbox inset="0mm,0mm,0mm,0mm">
                <w:txbxContent>
                  <w:p>
                    <w:pPr>
                      <w:spacing w:before="0" w:line="200" w:lineRule="exact"/>
                      <w:ind w:left="20" w:right="0" w:firstLine="0"/>
                      <w:jc w:val="left"/>
                      <w:rPr>
                        <w:rFonts w:hint="eastAsia" w:ascii="黑体" w:eastAsia="黑体"/>
                        <w:sz w:val="18"/>
                        <w:lang w:eastAsia="zh-CN"/>
                      </w:rPr>
                    </w:pPr>
                    <w:r>
                      <w:rPr>
                        <w:rFonts w:hint="eastAsia" w:ascii="黑体" w:eastAsia="黑体"/>
                        <w:sz w:val="18"/>
                      </w:rPr>
                      <w:t>项目名称：</w:t>
                    </w:r>
                    <w:r>
                      <w:rPr>
                        <w:rFonts w:hint="eastAsia" w:ascii="黑体" w:eastAsia="黑体"/>
                        <w:sz w:val="18"/>
                        <w:lang w:eastAsia="zh-CN"/>
                      </w:rPr>
                      <w:t>富川县新华至连山道路路面修复工程</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3"/>
      <w:numFmt w:val="decimal"/>
      <w:lvlText w:val="%1"/>
      <w:lvlJc w:val="left"/>
      <w:pPr>
        <w:ind w:left="640" w:hanging="528"/>
        <w:jc w:val="left"/>
      </w:pPr>
      <w:rPr>
        <w:rFonts w:hint="default"/>
      </w:rPr>
    </w:lvl>
    <w:lvl w:ilvl="1" w:tentative="0">
      <w:start w:val="1"/>
      <w:numFmt w:val="decimal"/>
      <w:lvlText w:val="%1.%2"/>
      <w:lvlJc w:val="left"/>
      <w:pPr>
        <w:ind w:left="640" w:hanging="528"/>
        <w:jc w:val="left"/>
      </w:pPr>
      <w:rPr>
        <w:rFonts w:hint="default" w:ascii="宋体" w:hAnsi="宋体" w:eastAsia="宋体" w:cs="宋体"/>
        <w:b/>
        <w:bCs/>
        <w:spacing w:val="0"/>
        <w:w w:val="98"/>
        <w:sz w:val="21"/>
        <w:szCs w:val="21"/>
      </w:rPr>
    </w:lvl>
    <w:lvl w:ilvl="2" w:tentative="0">
      <w:start w:val="0"/>
      <w:numFmt w:val="bullet"/>
      <w:lvlText w:val="•"/>
      <w:lvlJc w:val="left"/>
      <w:pPr>
        <w:ind w:left="2617" w:hanging="528"/>
      </w:pPr>
      <w:rPr>
        <w:rFonts w:hint="default"/>
      </w:rPr>
    </w:lvl>
    <w:lvl w:ilvl="3" w:tentative="0">
      <w:start w:val="0"/>
      <w:numFmt w:val="bullet"/>
      <w:lvlText w:val="•"/>
      <w:lvlJc w:val="left"/>
      <w:pPr>
        <w:ind w:left="3606" w:hanging="528"/>
      </w:pPr>
      <w:rPr>
        <w:rFonts w:hint="default"/>
      </w:rPr>
    </w:lvl>
    <w:lvl w:ilvl="4" w:tentative="0">
      <w:start w:val="0"/>
      <w:numFmt w:val="bullet"/>
      <w:lvlText w:val="•"/>
      <w:lvlJc w:val="left"/>
      <w:pPr>
        <w:ind w:left="4594" w:hanging="528"/>
      </w:pPr>
      <w:rPr>
        <w:rFonts w:hint="default"/>
      </w:rPr>
    </w:lvl>
    <w:lvl w:ilvl="5" w:tentative="0">
      <w:start w:val="0"/>
      <w:numFmt w:val="bullet"/>
      <w:lvlText w:val="•"/>
      <w:lvlJc w:val="left"/>
      <w:pPr>
        <w:ind w:left="5583" w:hanging="528"/>
      </w:pPr>
      <w:rPr>
        <w:rFonts w:hint="default"/>
      </w:rPr>
    </w:lvl>
    <w:lvl w:ilvl="6" w:tentative="0">
      <w:start w:val="0"/>
      <w:numFmt w:val="bullet"/>
      <w:lvlText w:val="•"/>
      <w:lvlJc w:val="left"/>
      <w:pPr>
        <w:ind w:left="6572" w:hanging="528"/>
      </w:pPr>
      <w:rPr>
        <w:rFonts w:hint="default"/>
      </w:rPr>
    </w:lvl>
    <w:lvl w:ilvl="7" w:tentative="0">
      <w:start w:val="0"/>
      <w:numFmt w:val="bullet"/>
      <w:lvlText w:val="•"/>
      <w:lvlJc w:val="left"/>
      <w:pPr>
        <w:ind w:left="7560" w:hanging="528"/>
      </w:pPr>
      <w:rPr>
        <w:rFonts w:hint="default"/>
      </w:rPr>
    </w:lvl>
    <w:lvl w:ilvl="8" w:tentative="0">
      <w:start w:val="0"/>
      <w:numFmt w:val="bullet"/>
      <w:lvlText w:val="•"/>
      <w:lvlJc w:val="left"/>
      <w:pPr>
        <w:ind w:left="8549" w:hanging="528"/>
      </w:pPr>
      <w:rPr>
        <w:rFonts w:hint="default"/>
      </w:rPr>
    </w:lvl>
  </w:abstractNum>
  <w:abstractNum w:abstractNumId="1">
    <w:nsid w:val="845B5372"/>
    <w:multiLevelType w:val="multilevel"/>
    <w:tmpl w:val="845B5372"/>
    <w:lvl w:ilvl="0" w:tentative="0">
      <w:start w:val="1"/>
      <w:numFmt w:val="decimal"/>
      <w:lvlText w:val="%1."/>
      <w:lvlJc w:val="left"/>
      <w:pPr>
        <w:ind w:left="118" w:hanging="315"/>
        <w:jc w:val="left"/>
      </w:pPr>
      <w:rPr>
        <w:rFonts w:hint="default" w:ascii="宋体" w:hAnsi="宋体" w:eastAsia="宋体" w:cs="宋体"/>
        <w:spacing w:val="0"/>
        <w:w w:val="99"/>
        <w:sz w:val="21"/>
        <w:szCs w:val="21"/>
      </w:rPr>
    </w:lvl>
    <w:lvl w:ilvl="1" w:tentative="0">
      <w:start w:val="0"/>
      <w:numFmt w:val="bullet"/>
      <w:lvlText w:val="•"/>
      <w:lvlJc w:val="left"/>
      <w:pPr>
        <w:ind w:left="828" w:hanging="315"/>
      </w:pPr>
      <w:rPr>
        <w:rFonts w:hint="default"/>
      </w:rPr>
    </w:lvl>
    <w:lvl w:ilvl="2" w:tentative="0">
      <w:start w:val="0"/>
      <w:numFmt w:val="bullet"/>
      <w:lvlText w:val="•"/>
      <w:lvlJc w:val="left"/>
      <w:pPr>
        <w:ind w:left="1537" w:hanging="315"/>
      </w:pPr>
      <w:rPr>
        <w:rFonts w:hint="default"/>
      </w:rPr>
    </w:lvl>
    <w:lvl w:ilvl="3" w:tentative="0">
      <w:start w:val="0"/>
      <w:numFmt w:val="bullet"/>
      <w:lvlText w:val="•"/>
      <w:lvlJc w:val="left"/>
      <w:pPr>
        <w:ind w:left="2245" w:hanging="315"/>
      </w:pPr>
      <w:rPr>
        <w:rFonts w:hint="default"/>
      </w:rPr>
    </w:lvl>
    <w:lvl w:ilvl="4" w:tentative="0">
      <w:start w:val="0"/>
      <w:numFmt w:val="bullet"/>
      <w:lvlText w:val="•"/>
      <w:lvlJc w:val="left"/>
      <w:pPr>
        <w:ind w:left="2954" w:hanging="315"/>
      </w:pPr>
      <w:rPr>
        <w:rFonts w:hint="default"/>
      </w:rPr>
    </w:lvl>
    <w:lvl w:ilvl="5" w:tentative="0">
      <w:start w:val="0"/>
      <w:numFmt w:val="bullet"/>
      <w:lvlText w:val="•"/>
      <w:lvlJc w:val="left"/>
      <w:pPr>
        <w:ind w:left="3662" w:hanging="315"/>
      </w:pPr>
      <w:rPr>
        <w:rFonts w:hint="default"/>
      </w:rPr>
    </w:lvl>
    <w:lvl w:ilvl="6" w:tentative="0">
      <w:start w:val="0"/>
      <w:numFmt w:val="bullet"/>
      <w:lvlText w:val="•"/>
      <w:lvlJc w:val="left"/>
      <w:pPr>
        <w:ind w:left="4371" w:hanging="315"/>
      </w:pPr>
      <w:rPr>
        <w:rFonts w:hint="default"/>
      </w:rPr>
    </w:lvl>
    <w:lvl w:ilvl="7" w:tentative="0">
      <w:start w:val="0"/>
      <w:numFmt w:val="bullet"/>
      <w:lvlText w:val="•"/>
      <w:lvlJc w:val="left"/>
      <w:pPr>
        <w:ind w:left="5079" w:hanging="315"/>
      </w:pPr>
      <w:rPr>
        <w:rFonts w:hint="default"/>
      </w:rPr>
    </w:lvl>
    <w:lvl w:ilvl="8" w:tentative="0">
      <w:start w:val="0"/>
      <w:numFmt w:val="bullet"/>
      <w:lvlText w:val="•"/>
      <w:lvlJc w:val="left"/>
      <w:pPr>
        <w:ind w:left="5788" w:hanging="315"/>
      </w:pPr>
      <w:rPr>
        <w:rFonts w:hint="default"/>
      </w:rPr>
    </w:lvl>
  </w:abstractNum>
  <w:abstractNum w:abstractNumId="2">
    <w:nsid w:val="8461FADE"/>
    <w:multiLevelType w:val="multilevel"/>
    <w:tmpl w:val="8461FADE"/>
    <w:lvl w:ilvl="0" w:tentative="0">
      <w:start w:val="7"/>
      <w:numFmt w:val="decimal"/>
      <w:lvlText w:val="%1"/>
      <w:lvlJc w:val="left"/>
      <w:pPr>
        <w:ind w:left="532" w:hanging="420"/>
        <w:jc w:val="left"/>
      </w:pPr>
      <w:rPr>
        <w:rFonts w:hint="default"/>
      </w:rPr>
    </w:lvl>
    <w:lvl w:ilvl="1" w:tentative="0">
      <w:start w:val="2"/>
      <w:numFmt w:val="decimal"/>
      <w:lvlText w:val="%1.%2"/>
      <w:lvlJc w:val="left"/>
      <w:pPr>
        <w:ind w:left="532" w:hanging="420"/>
        <w:jc w:val="left"/>
      </w:pPr>
      <w:rPr>
        <w:rFonts w:hint="default" w:ascii="宋体" w:hAnsi="宋体" w:eastAsia="宋体" w:cs="宋体"/>
        <w:b/>
        <w:bCs/>
        <w:spacing w:val="0"/>
        <w:w w:val="98"/>
        <w:sz w:val="21"/>
        <w:szCs w:val="21"/>
      </w:rPr>
    </w:lvl>
    <w:lvl w:ilvl="2" w:tentative="0">
      <w:start w:val="0"/>
      <w:numFmt w:val="bullet"/>
      <w:lvlText w:val="•"/>
      <w:lvlJc w:val="left"/>
      <w:pPr>
        <w:ind w:left="2200" w:hanging="420"/>
      </w:pPr>
      <w:rPr>
        <w:rFonts w:hint="default"/>
      </w:rPr>
    </w:lvl>
    <w:lvl w:ilvl="3" w:tentative="0">
      <w:start w:val="0"/>
      <w:numFmt w:val="bullet"/>
      <w:lvlText w:val="•"/>
      <w:lvlJc w:val="left"/>
      <w:pPr>
        <w:ind w:left="3241" w:hanging="420"/>
      </w:pPr>
      <w:rPr>
        <w:rFonts w:hint="default"/>
      </w:rPr>
    </w:lvl>
    <w:lvl w:ilvl="4" w:tentative="0">
      <w:start w:val="0"/>
      <w:numFmt w:val="bullet"/>
      <w:lvlText w:val="•"/>
      <w:lvlJc w:val="left"/>
      <w:pPr>
        <w:ind w:left="4282" w:hanging="420"/>
      </w:pPr>
      <w:rPr>
        <w:rFonts w:hint="default"/>
      </w:rPr>
    </w:lvl>
    <w:lvl w:ilvl="5" w:tentative="0">
      <w:start w:val="0"/>
      <w:numFmt w:val="bullet"/>
      <w:lvlText w:val="•"/>
      <w:lvlJc w:val="left"/>
      <w:pPr>
        <w:ind w:left="5323" w:hanging="420"/>
      </w:pPr>
      <w:rPr>
        <w:rFonts w:hint="default"/>
      </w:rPr>
    </w:lvl>
    <w:lvl w:ilvl="6" w:tentative="0">
      <w:start w:val="0"/>
      <w:numFmt w:val="bullet"/>
      <w:lvlText w:val="•"/>
      <w:lvlJc w:val="left"/>
      <w:pPr>
        <w:ind w:left="6363" w:hanging="420"/>
      </w:pPr>
      <w:rPr>
        <w:rFonts w:hint="default"/>
      </w:rPr>
    </w:lvl>
    <w:lvl w:ilvl="7" w:tentative="0">
      <w:start w:val="0"/>
      <w:numFmt w:val="bullet"/>
      <w:lvlText w:val="•"/>
      <w:lvlJc w:val="left"/>
      <w:pPr>
        <w:ind w:left="7404" w:hanging="420"/>
      </w:pPr>
      <w:rPr>
        <w:rFonts w:hint="default"/>
      </w:rPr>
    </w:lvl>
    <w:lvl w:ilvl="8" w:tentative="0">
      <w:start w:val="0"/>
      <w:numFmt w:val="bullet"/>
      <w:lvlText w:val="•"/>
      <w:lvlJc w:val="left"/>
      <w:pPr>
        <w:ind w:left="8445" w:hanging="420"/>
      </w:pPr>
      <w:rPr>
        <w:rFonts w:hint="default"/>
      </w:rPr>
    </w:lvl>
  </w:abstractNum>
  <w:abstractNum w:abstractNumId="3">
    <w:nsid w:val="8CAEB125"/>
    <w:multiLevelType w:val="multilevel"/>
    <w:tmpl w:val="8CAEB125"/>
    <w:lvl w:ilvl="0" w:tentative="0">
      <w:start w:val="1"/>
      <w:numFmt w:val="decimal"/>
      <w:lvlText w:val="%1."/>
      <w:lvlJc w:val="left"/>
      <w:pPr>
        <w:ind w:left="118" w:hanging="315"/>
        <w:jc w:val="left"/>
      </w:pPr>
      <w:rPr>
        <w:rFonts w:hint="default" w:ascii="宋体" w:hAnsi="宋体" w:eastAsia="宋体" w:cs="宋体"/>
        <w:spacing w:val="0"/>
        <w:w w:val="99"/>
        <w:sz w:val="21"/>
        <w:szCs w:val="21"/>
      </w:rPr>
    </w:lvl>
    <w:lvl w:ilvl="1" w:tentative="0">
      <w:start w:val="0"/>
      <w:numFmt w:val="bullet"/>
      <w:lvlText w:val="•"/>
      <w:lvlJc w:val="left"/>
      <w:pPr>
        <w:ind w:left="828" w:hanging="315"/>
      </w:pPr>
      <w:rPr>
        <w:rFonts w:hint="default"/>
      </w:rPr>
    </w:lvl>
    <w:lvl w:ilvl="2" w:tentative="0">
      <w:start w:val="0"/>
      <w:numFmt w:val="bullet"/>
      <w:lvlText w:val="•"/>
      <w:lvlJc w:val="left"/>
      <w:pPr>
        <w:ind w:left="1537" w:hanging="315"/>
      </w:pPr>
      <w:rPr>
        <w:rFonts w:hint="default"/>
      </w:rPr>
    </w:lvl>
    <w:lvl w:ilvl="3" w:tentative="0">
      <w:start w:val="0"/>
      <w:numFmt w:val="bullet"/>
      <w:lvlText w:val="•"/>
      <w:lvlJc w:val="left"/>
      <w:pPr>
        <w:ind w:left="2245" w:hanging="315"/>
      </w:pPr>
      <w:rPr>
        <w:rFonts w:hint="default"/>
      </w:rPr>
    </w:lvl>
    <w:lvl w:ilvl="4" w:tentative="0">
      <w:start w:val="0"/>
      <w:numFmt w:val="bullet"/>
      <w:lvlText w:val="•"/>
      <w:lvlJc w:val="left"/>
      <w:pPr>
        <w:ind w:left="2954" w:hanging="315"/>
      </w:pPr>
      <w:rPr>
        <w:rFonts w:hint="default"/>
      </w:rPr>
    </w:lvl>
    <w:lvl w:ilvl="5" w:tentative="0">
      <w:start w:val="0"/>
      <w:numFmt w:val="bullet"/>
      <w:lvlText w:val="•"/>
      <w:lvlJc w:val="left"/>
      <w:pPr>
        <w:ind w:left="3662" w:hanging="315"/>
      </w:pPr>
      <w:rPr>
        <w:rFonts w:hint="default"/>
      </w:rPr>
    </w:lvl>
    <w:lvl w:ilvl="6" w:tentative="0">
      <w:start w:val="0"/>
      <w:numFmt w:val="bullet"/>
      <w:lvlText w:val="•"/>
      <w:lvlJc w:val="left"/>
      <w:pPr>
        <w:ind w:left="4371" w:hanging="315"/>
      </w:pPr>
      <w:rPr>
        <w:rFonts w:hint="default"/>
      </w:rPr>
    </w:lvl>
    <w:lvl w:ilvl="7" w:tentative="0">
      <w:start w:val="0"/>
      <w:numFmt w:val="bullet"/>
      <w:lvlText w:val="•"/>
      <w:lvlJc w:val="left"/>
      <w:pPr>
        <w:ind w:left="5079" w:hanging="315"/>
      </w:pPr>
      <w:rPr>
        <w:rFonts w:hint="default"/>
      </w:rPr>
    </w:lvl>
    <w:lvl w:ilvl="8" w:tentative="0">
      <w:start w:val="0"/>
      <w:numFmt w:val="bullet"/>
      <w:lvlText w:val="•"/>
      <w:lvlJc w:val="left"/>
      <w:pPr>
        <w:ind w:left="5788" w:hanging="315"/>
      </w:pPr>
      <w:rPr>
        <w:rFonts w:hint="default"/>
      </w:rPr>
    </w:lvl>
  </w:abstractNum>
  <w:abstractNum w:abstractNumId="4">
    <w:nsid w:val="91995D4F"/>
    <w:multiLevelType w:val="multilevel"/>
    <w:tmpl w:val="91995D4F"/>
    <w:lvl w:ilvl="0" w:tentative="0">
      <w:start w:val="1"/>
      <w:numFmt w:val="decimal"/>
      <w:lvlText w:val="%1."/>
      <w:lvlJc w:val="left"/>
      <w:pPr>
        <w:ind w:left="118" w:hanging="315"/>
        <w:jc w:val="left"/>
      </w:pPr>
      <w:rPr>
        <w:rFonts w:hint="default" w:ascii="宋体" w:hAnsi="宋体" w:eastAsia="宋体" w:cs="宋体"/>
        <w:spacing w:val="0"/>
        <w:w w:val="99"/>
        <w:sz w:val="21"/>
        <w:szCs w:val="21"/>
      </w:rPr>
    </w:lvl>
    <w:lvl w:ilvl="1" w:tentative="0">
      <w:start w:val="0"/>
      <w:numFmt w:val="bullet"/>
      <w:lvlText w:val="•"/>
      <w:lvlJc w:val="left"/>
      <w:pPr>
        <w:ind w:left="828" w:hanging="315"/>
      </w:pPr>
      <w:rPr>
        <w:rFonts w:hint="default"/>
      </w:rPr>
    </w:lvl>
    <w:lvl w:ilvl="2" w:tentative="0">
      <w:start w:val="0"/>
      <w:numFmt w:val="bullet"/>
      <w:lvlText w:val="•"/>
      <w:lvlJc w:val="left"/>
      <w:pPr>
        <w:ind w:left="1537" w:hanging="315"/>
      </w:pPr>
      <w:rPr>
        <w:rFonts w:hint="default"/>
      </w:rPr>
    </w:lvl>
    <w:lvl w:ilvl="3" w:tentative="0">
      <w:start w:val="0"/>
      <w:numFmt w:val="bullet"/>
      <w:lvlText w:val="•"/>
      <w:lvlJc w:val="left"/>
      <w:pPr>
        <w:ind w:left="2245" w:hanging="315"/>
      </w:pPr>
      <w:rPr>
        <w:rFonts w:hint="default"/>
      </w:rPr>
    </w:lvl>
    <w:lvl w:ilvl="4" w:tentative="0">
      <w:start w:val="0"/>
      <w:numFmt w:val="bullet"/>
      <w:lvlText w:val="•"/>
      <w:lvlJc w:val="left"/>
      <w:pPr>
        <w:ind w:left="2954" w:hanging="315"/>
      </w:pPr>
      <w:rPr>
        <w:rFonts w:hint="default"/>
      </w:rPr>
    </w:lvl>
    <w:lvl w:ilvl="5" w:tentative="0">
      <w:start w:val="0"/>
      <w:numFmt w:val="bullet"/>
      <w:lvlText w:val="•"/>
      <w:lvlJc w:val="left"/>
      <w:pPr>
        <w:ind w:left="3662" w:hanging="315"/>
      </w:pPr>
      <w:rPr>
        <w:rFonts w:hint="default"/>
      </w:rPr>
    </w:lvl>
    <w:lvl w:ilvl="6" w:tentative="0">
      <w:start w:val="0"/>
      <w:numFmt w:val="bullet"/>
      <w:lvlText w:val="•"/>
      <w:lvlJc w:val="left"/>
      <w:pPr>
        <w:ind w:left="4371" w:hanging="315"/>
      </w:pPr>
      <w:rPr>
        <w:rFonts w:hint="default"/>
      </w:rPr>
    </w:lvl>
    <w:lvl w:ilvl="7" w:tentative="0">
      <w:start w:val="0"/>
      <w:numFmt w:val="bullet"/>
      <w:lvlText w:val="•"/>
      <w:lvlJc w:val="left"/>
      <w:pPr>
        <w:ind w:left="5079" w:hanging="315"/>
      </w:pPr>
      <w:rPr>
        <w:rFonts w:hint="default"/>
      </w:rPr>
    </w:lvl>
    <w:lvl w:ilvl="8" w:tentative="0">
      <w:start w:val="0"/>
      <w:numFmt w:val="bullet"/>
      <w:lvlText w:val="•"/>
      <w:lvlJc w:val="left"/>
      <w:pPr>
        <w:ind w:left="5788" w:hanging="315"/>
      </w:pPr>
      <w:rPr>
        <w:rFonts w:hint="default"/>
      </w:rPr>
    </w:lvl>
  </w:abstractNum>
  <w:abstractNum w:abstractNumId="5">
    <w:nsid w:val="9288B902"/>
    <w:multiLevelType w:val="multilevel"/>
    <w:tmpl w:val="9288B902"/>
    <w:lvl w:ilvl="0" w:tentative="0">
      <w:start w:val="3"/>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0" w:hanging="629"/>
        <w:jc w:val="left"/>
      </w:pPr>
      <w:rPr>
        <w:rFonts w:hint="default" w:ascii="宋体" w:hAnsi="宋体" w:eastAsia="宋体" w:cs="宋体"/>
        <w:spacing w:val="-2"/>
        <w:w w:val="99"/>
        <w:sz w:val="21"/>
        <w:szCs w:val="21"/>
      </w:rPr>
    </w:lvl>
    <w:lvl w:ilvl="3" w:tentative="0">
      <w:start w:val="0"/>
      <w:numFmt w:val="bullet"/>
      <w:lvlText w:val="•"/>
      <w:lvlJc w:val="left"/>
      <w:pPr>
        <w:ind w:left="2641" w:hanging="629"/>
      </w:pPr>
      <w:rPr>
        <w:rFonts w:hint="default"/>
      </w:rPr>
    </w:lvl>
    <w:lvl w:ilvl="4" w:tentative="0">
      <w:start w:val="0"/>
      <w:numFmt w:val="bullet"/>
      <w:lvlText w:val="•"/>
      <w:lvlJc w:val="left"/>
      <w:pPr>
        <w:ind w:left="3702" w:hanging="629"/>
      </w:pPr>
      <w:rPr>
        <w:rFonts w:hint="default"/>
      </w:rPr>
    </w:lvl>
    <w:lvl w:ilvl="5" w:tentative="0">
      <w:start w:val="0"/>
      <w:numFmt w:val="bullet"/>
      <w:lvlText w:val="•"/>
      <w:lvlJc w:val="left"/>
      <w:pPr>
        <w:ind w:left="4763" w:hanging="629"/>
      </w:pPr>
      <w:rPr>
        <w:rFonts w:hint="default"/>
      </w:rPr>
    </w:lvl>
    <w:lvl w:ilvl="6" w:tentative="0">
      <w:start w:val="0"/>
      <w:numFmt w:val="bullet"/>
      <w:lvlText w:val="•"/>
      <w:lvlJc w:val="left"/>
      <w:pPr>
        <w:ind w:left="5823" w:hanging="629"/>
      </w:pPr>
      <w:rPr>
        <w:rFonts w:hint="default"/>
      </w:rPr>
    </w:lvl>
    <w:lvl w:ilvl="7" w:tentative="0">
      <w:start w:val="0"/>
      <w:numFmt w:val="bullet"/>
      <w:lvlText w:val="•"/>
      <w:lvlJc w:val="left"/>
      <w:pPr>
        <w:ind w:left="6884" w:hanging="629"/>
      </w:pPr>
      <w:rPr>
        <w:rFonts w:hint="default"/>
      </w:rPr>
    </w:lvl>
    <w:lvl w:ilvl="8" w:tentative="0">
      <w:start w:val="0"/>
      <w:numFmt w:val="bullet"/>
      <w:lvlText w:val="•"/>
      <w:lvlJc w:val="left"/>
      <w:pPr>
        <w:ind w:left="7945" w:hanging="629"/>
      </w:pPr>
      <w:rPr>
        <w:rFonts w:hint="default"/>
      </w:rPr>
    </w:lvl>
  </w:abstractNum>
  <w:abstractNum w:abstractNumId="6">
    <w:nsid w:val="9C8AC8EF"/>
    <w:multiLevelType w:val="multilevel"/>
    <w:tmpl w:val="9C8AC8EF"/>
    <w:lvl w:ilvl="0" w:tentative="0">
      <w:start w:val="2"/>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0" w:hanging="629"/>
        <w:jc w:val="right"/>
      </w:pPr>
      <w:rPr>
        <w:rFonts w:hint="default" w:ascii="宋体" w:hAnsi="宋体" w:eastAsia="宋体" w:cs="宋体"/>
        <w:spacing w:val="-2"/>
        <w:w w:val="99"/>
        <w:sz w:val="21"/>
        <w:szCs w:val="21"/>
      </w:rPr>
    </w:lvl>
    <w:lvl w:ilvl="3" w:tentative="0">
      <w:start w:val="0"/>
      <w:numFmt w:val="bullet"/>
      <w:lvlText w:val="•"/>
      <w:lvlJc w:val="left"/>
      <w:pPr>
        <w:ind w:left="2641" w:hanging="629"/>
      </w:pPr>
      <w:rPr>
        <w:rFonts w:hint="default"/>
      </w:rPr>
    </w:lvl>
    <w:lvl w:ilvl="4" w:tentative="0">
      <w:start w:val="0"/>
      <w:numFmt w:val="bullet"/>
      <w:lvlText w:val="•"/>
      <w:lvlJc w:val="left"/>
      <w:pPr>
        <w:ind w:left="3702" w:hanging="629"/>
      </w:pPr>
      <w:rPr>
        <w:rFonts w:hint="default"/>
      </w:rPr>
    </w:lvl>
    <w:lvl w:ilvl="5" w:tentative="0">
      <w:start w:val="0"/>
      <w:numFmt w:val="bullet"/>
      <w:lvlText w:val="•"/>
      <w:lvlJc w:val="left"/>
      <w:pPr>
        <w:ind w:left="4763" w:hanging="629"/>
      </w:pPr>
      <w:rPr>
        <w:rFonts w:hint="default"/>
      </w:rPr>
    </w:lvl>
    <w:lvl w:ilvl="6" w:tentative="0">
      <w:start w:val="0"/>
      <w:numFmt w:val="bullet"/>
      <w:lvlText w:val="•"/>
      <w:lvlJc w:val="left"/>
      <w:pPr>
        <w:ind w:left="5823" w:hanging="629"/>
      </w:pPr>
      <w:rPr>
        <w:rFonts w:hint="default"/>
      </w:rPr>
    </w:lvl>
    <w:lvl w:ilvl="7" w:tentative="0">
      <w:start w:val="0"/>
      <w:numFmt w:val="bullet"/>
      <w:lvlText w:val="•"/>
      <w:lvlJc w:val="left"/>
      <w:pPr>
        <w:ind w:left="6884" w:hanging="629"/>
      </w:pPr>
      <w:rPr>
        <w:rFonts w:hint="default"/>
      </w:rPr>
    </w:lvl>
    <w:lvl w:ilvl="8" w:tentative="0">
      <w:start w:val="0"/>
      <w:numFmt w:val="bullet"/>
      <w:lvlText w:val="•"/>
      <w:lvlJc w:val="left"/>
      <w:pPr>
        <w:ind w:left="7945" w:hanging="629"/>
      </w:pPr>
      <w:rPr>
        <w:rFonts w:hint="default"/>
      </w:rPr>
    </w:lvl>
  </w:abstractNum>
  <w:abstractNum w:abstractNumId="7">
    <w:nsid w:val="B0F1ACD9"/>
    <w:multiLevelType w:val="multilevel"/>
    <w:tmpl w:val="B0F1ACD9"/>
    <w:lvl w:ilvl="0" w:tentative="0">
      <w:start w:val="7"/>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0" w:hanging="629"/>
        <w:jc w:val="left"/>
      </w:pPr>
      <w:rPr>
        <w:rFonts w:hint="default" w:ascii="宋体" w:hAnsi="宋体" w:eastAsia="宋体" w:cs="宋体"/>
        <w:spacing w:val="-2"/>
        <w:w w:val="99"/>
        <w:sz w:val="21"/>
        <w:szCs w:val="21"/>
      </w:rPr>
    </w:lvl>
    <w:lvl w:ilvl="3" w:tentative="0">
      <w:start w:val="0"/>
      <w:numFmt w:val="bullet"/>
      <w:lvlText w:val="•"/>
      <w:lvlJc w:val="left"/>
      <w:pPr>
        <w:ind w:left="2641" w:hanging="629"/>
      </w:pPr>
      <w:rPr>
        <w:rFonts w:hint="default"/>
      </w:rPr>
    </w:lvl>
    <w:lvl w:ilvl="4" w:tentative="0">
      <w:start w:val="0"/>
      <w:numFmt w:val="bullet"/>
      <w:lvlText w:val="•"/>
      <w:lvlJc w:val="left"/>
      <w:pPr>
        <w:ind w:left="3702" w:hanging="629"/>
      </w:pPr>
      <w:rPr>
        <w:rFonts w:hint="default"/>
      </w:rPr>
    </w:lvl>
    <w:lvl w:ilvl="5" w:tentative="0">
      <w:start w:val="0"/>
      <w:numFmt w:val="bullet"/>
      <w:lvlText w:val="•"/>
      <w:lvlJc w:val="left"/>
      <w:pPr>
        <w:ind w:left="4763" w:hanging="629"/>
      </w:pPr>
      <w:rPr>
        <w:rFonts w:hint="default"/>
      </w:rPr>
    </w:lvl>
    <w:lvl w:ilvl="6" w:tentative="0">
      <w:start w:val="0"/>
      <w:numFmt w:val="bullet"/>
      <w:lvlText w:val="•"/>
      <w:lvlJc w:val="left"/>
      <w:pPr>
        <w:ind w:left="5823" w:hanging="629"/>
      </w:pPr>
      <w:rPr>
        <w:rFonts w:hint="default"/>
      </w:rPr>
    </w:lvl>
    <w:lvl w:ilvl="7" w:tentative="0">
      <w:start w:val="0"/>
      <w:numFmt w:val="bullet"/>
      <w:lvlText w:val="•"/>
      <w:lvlJc w:val="left"/>
      <w:pPr>
        <w:ind w:left="6884" w:hanging="629"/>
      </w:pPr>
      <w:rPr>
        <w:rFonts w:hint="default"/>
      </w:rPr>
    </w:lvl>
    <w:lvl w:ilvl="8" w:tentative="0">
      <w:start w:val="0"/>
      <w:numFmt w:val="bullet"/>
      <w:lvlText w:val="•"/>
      <w:lvlJc w:val="left"/>
      <w:pPr>
        <w:ind w:left="7945" w:hanging="629"/>
      </w:pPr>
      <w:rPr>
        <w:rFonts w:hint="default"/>
      </w:rPr>
    </w:lvl>
  </w:abstractNum>
  <w:abstractNum w:abstractNumId="8">
    <w:nsid w:val="B8CEF35B"/>
    <w:multiLevelType w:val="multilevel"/>
    <w:tmpl w:val="B8CEF35B"/>
    <w:lvl w:ilvl="0" w:tentative="0">
      <w:start w:val="1"/>
      <w:numFmt w:val="decimal"/>
      <w:lvlText w:val="%1."/>
      <w:lvlJc w:val="left"/>
      <w:pPr>
        <w:ind w:left="432" w:hanging="315"/>
        <w:jc w:val="left"/>
      </w:pPr>
      <w:rPr>
        <w:rFonts w:hint="default" w:ascii="宋体" w:hAnsi="宋体" w:eastAsia="宋体" w:cs="宋体"/>
        <w:spacing w:val="0"/>
        <w:w w:val="99"/>
        <w:sz w:val="21"/>
        <w:szCs w:val="21"/>
      </w:rPr>
    </w:lvl>
    <w:lvl w:ilvl="1" w:tentative="0">
      <w:start w:val="0"/>
      <w:numFmt w:val="bullet"/>
      <w:lvlText w:val="•"/>
      <w:lvlJc w:val="left"/>
      <w:pPr>
        <w:ind w:left="1116" w:hanging="315"/>
      </w:pPr>
      <w:rPr>
        <w:rFonts w:hint="default"/>
      </w:rPr>
    </w:lvl>
    <w:lvl w:ilvl="2" w:tentative="0">
      <w:start w:val="0"/>
      <w:numFmt w:val="bullet"/>
      <w:lvlText w:val="•"/>
      <w:lvlJc w:val="left"/>
      <w:pPr>
        <w:ind w:left="1793" w:hanging="315"/>
      </w:pPr>
      <w:rPr>
        <w:rFonts w:hint="default"/>
      </w:rPr>
    </w:lvl>
    <w:lvl w:ilvl="3" w:tentative="0">
      <w:start w:val="0"/>
      <w:numFmt w:val="bullet"/>
      <w:lvlText w:val="•"/>
      <w:lvlJc w:val="left"/>
      <w:pPr>
        <w:ind w:left="2469" w:hanging="315"/>
      </w:pPr>
      <w:rPr>
        <w:rFonts w:hint="default"/>
      </w:rPr>
    </w:lvl>
    <w:lvl w:ilvl="4" w:tentative="0">
      <w:start w:val="0"/>
      <w:numFmt w:val="bullet"/>
      <w:lvlText w:val="•"/>
      <w:lvlJc w:val="left"/>
      <w:pPr>
        <w:ind w:left="3146" w:hanging="315"/>
      </w:pPr>
      <w:rPr>
        <w:rFonts w:hint="default"/>
      </w:rPr>
    </w:lvl>
    <w:lvl w:ilvl="5" w:tentative="0">
      <w:start w:val="0"/>
      <w:numFmt w:val="bullet"/>
      <w:lvlText w:val="•"/>
      <w:lvlJc w:val="left"/>
      <w:pPr>
        <w:ind w:left="3822" w:hanging="315"/>
      </w:pPr>
      <w:rPr>
        <w:rFonts w:hint="default"/>
      </w:rPr>
    </w:lvl>
    <w:lvl w:ilvl="6" w:tentative="0">
      <w:start w:val="0"/>
      <w:numFmt w:val="bullet"/>
      <w:lvlText w:val="•"/>
      <w:lvlJc w:val="left"/>
      <w:pPr>
        <w:ind w:left="4499" w:hanging="315"/>
      </w:pPr>
      <w:rPr>
        <w:rFonts w:hint="default"/>
      </w:rPr>
    </w:lvl>
    <w:lvl w:ilvl="7" w:tentative="0">
      <w:start w:val="0"/>
      <w:numFmt w:val="bullet"/>
      <w:lvlText w:val="•"/>
      <w:lvlJc w:val="left"/>
      <w:pPr>
        <w:ind w:left="5175" w:hanging="315"/>
      </w:pPr>
      <w:rPr>
        <w:rFonts w:hint="default"/>
      </w:rPr>
    </w:lvl>
    <w:lvl w:ilvl="8" w:tentative="0">
      <w:start w:val="0"/>
      <w:numFmt w:val="bullet"/>
      <w:lvlText w:val="•"/>
      <w:lvlJc w:val="left"/>
      <w:pPr>
        <w:ind w:left="5852" w:hanging="315"/>
      </w:pPr>
      <w:rPr>
        <w:rFonts w:hint="default"/>
      </w:rPr>
    </w:lvl>
  </w:abstractNum>
  <w:abstractNum w:abstractNumId="9">
    <w:nsid w:val="BB64CFA9"/>
    <w:multiLevelType w:val="multilevel"/>
    <w:tmpl w:val="BB64CFA9"/>
    <w:lvl w:ilvl="0" w:tentative="0">
      <w:start w:val="1"/>
      <w:numFmt w:val="decimal"/>
      <w:lvlText w:val="%1."/>
      <w:lvlJc w:val="left"/>
      <w:pPr>
        <w:ind w:left="432" w:hanging="315"/>
        <w:jc w:val="left"/>
      </w:pPr>
      <w:rPr>
        <w:rFonts w:hint="default" w:ascii="宋体" w:hAnsi="宋体" w:eastAsia="宋体" w:cs="宋体"/>
        <w:spacing w:val="0"/>
        <w:w w:val="99"/>
        <w:sz w:val="21"/>
        <w:szCs w:val="21"/>
      </w:rPr>
    </w:lvl>
    <w:lvl w:ilvl="1" w:tentative="0">
      <w:start w:val="0"/>
      <w:numFmt w:val="bullet"/>
      <w:lvlText w:val="•"/>
      <w:lvlJc w:val="left"/>
      <w:pPr>
        <w:ind w:left="1116" w:hanging="315"/>
      </w:pPr>
      <w:rPr>
        <w:rFonts w:hint="default"/>
      </w:rPr>
    </w:lvl>
    <w:lvl w:ilvl="2" w:tentative="0">
      <w:start w:val="0"/>
      <w:numFmt w:val="bullet"/>
      <w:lvlText w:val="•"/>
      <w:lvlJc w:val="left"/>
      <w:pPr>
        <w:ind w:left="1793" w:hanging="315"/>
      </w:pPr>
      <w:rPr>
        <w:rFonts w:hint="default"/>
      </w:rPr>
    </w:lvl>
    <w:lvl w:ilvl="3" w:tentative="0">
      <w:start w:val="0"/>
      <w:numFmt w:val="bullet"/>
      <w:lvlText w:val="•"/>
      <w:lvlJc w:val="left"/>
      <w:pPr>
        <w:ind w:left="2469" w:hanging="315"/>
      </w:pPr>
      <w:rPr>
        <w:rFonts w:hint="default"/>
      </w:rPr>
    </w:lvl>
    <w:lvl w:ilvl="4" w:tentative="0">
      <w:start w:val="0"/>
      <w:numFmt w:val="bullet"/>
      <w:lvlText w:val="•"/>
      <w:lvlJc w:val="left"/>
      <w:pPr>
        <w:ind w:left="3146" w:hanging="315"/>
      </w:pPr>
      <w:rPr>
        <w:rFonts w:hint="default"/>
      </w:rPr>
    </w:lvl>
    <w:lvl w:ilvl="5" w:tentative="0">
      <w:start w:val="0"/>
      <w:numFmt w:val="bullet"/>
      <w:lvlText w:val="•"/>
      <w:lvlJc w:val="left"/>
      <w:pPr>
        <w:ind w:left="3822" w:hanging="315"/>
      </w:pPr>
      <w:rPr>
        <w:rFonts w:hint="default"/>
      </w:rPr>
    </w:lvl>
    <w:lvl w:ilvl="6" w:tentative="0">
      <w:start w:val="0"/>
      <w:numFmt w:val="bullet"/>
      <w:lvlText w:val="•"/>
      <w:lvlJc w:val="left"/>
      <w:pPr>
        <w:ind w:left="4499" w:hanging="315"/>
      </w:pPr>
      <w:rPr>
        <w:rFonts w:hint="default"/>
      </w:rPr>
    </w:lvl>
    <w:lvl w:ilvl="7" w:tentative="0">
      <w:start w:val="0"/>
      <w:numFmt w:val="bullet"/>
      <w:lvlText w:val="•"/>
      <w:lvlJc w:val="left"/>
      <w:pPr>
        <w:ind w:left="5175" w:hanging="315"/>
      </w:pPr>
      <w:rPr>
        <w:rFonts w:hint="default"/>
      </w:rPr>
    </w:lvl>
    <w:lvl w:ilvl="8" w:tentative="0">
      <w:start w:val="0"/>
      <w:numFmt w:val="bullet"/>
      <w:lvlText w:val="•"/>
      <w:lvlJc w:val="left"/>
      <w:pPr>
        <w:ind w:left="5852" w:hanging="315"/>
      </w:pPr>
      <w:rPr>
        <w:rFonts w:hint="default"/>
      </w:rPr>
    </w:lvl>
  </w:abstractNum>
  <w:abstractNum w:abstractNumId="10">
    <w:nsid w:val="BE923771"/>
    <w:multiLevelType w:val="multilevel"/>
    <w:tmpl w:val="BE923771"/>
    <w:lvl w:ilvl="0" w:tentative="0">
      <w:start w:val="10"/>
      <w:numFmt w:val="decimal"/>
      <w:lvlText w:val="%1"/>
      <w:lvlJc w:val="left"/>
      <w:pPr>
        <w:ind w:left="625" w:hanging="526"/>
        <w:jc w:val="left"/>
      </w:pPr>
      <w:rPr>
        <w:rFonts w:hint="default"/>
      </w:rPr>
    </w:lvl>
    <w:lvl w:ilvl="1" w:tentative="0">
      <w:start w:val="1"/>
      <w:numFmt w:val="decimal"/>
      <w:lvlText w:val="%1.%2"/>
      <w:lvlJc w:val="left"/>
      <w:pPr>
        <w:ind w:left="520" w:hanging="526"/>
        <w:jc w:val="left"/>
      </w:pPr>
      <w:rPr>
        <w:rFonts w:hint="default" w:ascii="宋体" w:hAnsi="宋体" w:eastAsia="宋体" w:cs="宋体"/>
        <w:spacing w:val="0"/>
        <w:w w:val="99"/>
        <w:sz w:val="21"/>
        <w:szCs w:val="21"/>
      </w:rPr>
    </w:lvl>
    <w:lvl w:ilvl="2" w:tentative="0">
      <w:start w:val="0"/>
      <w:numFmt w:val="bullet"/>
      <w:lvlText w:val="•"/>
      <w:lvlJc w:val="left"/>
      <w:pPr>
        <w:ind w:left="1663" w:hanging="526"/>
      </w:pPr>
      <w:rPr>
        <w:rFonts w:hint="default"/>
      </w:rPr>
    </w:lvl>
    <w:lvl w:ilvl="3" w:tentative="0">
      <w:start w:val="0"/>
      <w:numFmt w:val="bullet"/>
      <w:lvlText w:val="•"/>
      <w:lvlJc w:val="left"/>
      <w:pPr>
        <w:ind w:left="2706" w:hanging="526"/>
      </w:pPr>
      <w:rPr>
        <w:rFonts w:hint="default"/>
      </w:rPr>
    </w:lvl>
    <w:lvl w:ilvl="4" w:tentative="0">
      <w:start w:val="0"/>
      <w:numFmt w:val="bullet"/>
      <w:lvlText w:val="•"/>
      <w:lvlJc w:val="left"/>
      <w:pPr>
        <w:ind w:left="3749" w:hanging="526"/>
      </w:pPr>
      <w:rPr>
        <w:rFonts w:hint="default"/>
      </w:rPr>
    </w:lvl>
    <w:lvl w:ilvl="5" w:tentative="0">
      <w:start w:val="0"/>
      <w:numFmt w:val="bullet"/>
      <w:lvlText w:val="•"/>
      <w:lvlJc w:val="left"/>
      <w:pPr>
        <w:ind w:left="4792" w:hanging="526"/>
      </w:pPr>
      <w:rPr>
        <w:rFonts w:hint="default"/>
      </w:rPr>
    </w:lvl>
    <w:lvl w:ilvl="6" w:tentative="0">
      <w:start w:val="0"/>
      <w:numFmt w:val="bullet"/>
      <w:lvlText w:val="•"/>
      <w:lvlJc w:val="left"/>
      <w:pPr>
        <w:ind w:left="5835" w:hanging="526"/>
      </w:pPr>
      <w:rPr>
        <w:rFonts w:hint="default"/>
      </w:rPr>
    </w:lvl>
    <w:lvl w:ilvl="7" w:tentative="0">
      <w:start w:val="0"/>
      <w:numFmt w:val="bullet"/>
      <w:lvlText w:val="•"/>
      <w:lvlJc w:val="left"/>
      <w:pPr>
        <w:ind w:left="6878" w:hanging="526"/>
      </w:pPr>
      <w:rPr>
        <w:rFonts w:hint="default"/>
      </w:rPr>
    </w:lvl>
    <w:lvl w:ilvl="8" w:tentative="0">
      <w:start w:val="0"/>
      <w:numFmt w:val="bullet"/>
      <w:lvlText w:val="•"/>
      <w:lvlJc w:val="left"/>
      <w:pPr>
        <w:ind w:left="7921" w:hanging="526"/>
      </w:pPr>
      <w:rPr>
        <w:rFonts w:hint="default"/>
      </w:rPr>
    </w:lvl>
  </w:abstractNum>
  <w:abstractNum w:abstractNumId="11">
    <w:nsid w:val="D7F9FE59"/>
    <w:multiLevelType w:val="multilevel"/>
    <w:tmpl w:val="D7F9FE59"/>
    <w:lvl w:ilvl="0" w:tentative="0">
      <w:start w:val="1"/>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0" w:hanging="632"/>
        <w:jc w:val="left"/>
      </w:pPr>
      <w:rPr>
        <w:rFonts w:hint="default" w:ascii="宋体" w:hAnsi="宋体" w:eastAsia="宋体" w:cs="宋体"/>
        <w:spacing w:val="-2"/>
        <w:w w:val="99"/>
        <w:sz w:val="21"/>
        <w:szCs w:val="21"/>
      </w:rPr>
    </w:lvl>
    <w:lvl w:ilvl="3" w:tentative="0">
      <w:start w:val="0"/>
      <w:numFmt w:val="bullet"/>
      <w:lvlText w:val="•"/>
      <w:lvlJc w:val="left"/>
      <w:pPr>
        <w:ind w:left="2265" w:hanging="632"/>
      </w:pPr>
      <w:rPr>
        <w:rFonts w:hint="default"/>
      </w:rPr>
    </w:lvl>
    <w:lvl w:ilvl="4" w:tentative="0">
      <w:start w:val="0"/>
      <w:numFmt w:val="bullet"/>
      <w:lvlText w:val="•"/>
      <w:lvlJc w:val="left"/>
      <w:pPr>
        <w:ind w:left="3371" w:hanging="632"/>
      </w:pPr>
      <w:rPr>
        <w:rFonts w:hint="default"/>
      </w:rPr>
    </w:lvl>
    <w:lvl w:ilvl="5" w:tentative="0">
      <w:start w:val="0"/>
      <w:numFmt w:val="bullet"/>
      <w:lvlText w:val="•"/>
      <w:lvlJc w:val="left"/>
      <w:pPr>
        <w:ind w:left="4477" w:hanging="632"/>
      </w:pPr>
      <w:rPr>
        <w:rFonts w:hint="default"/>
      </w:rPr>
    </w:lvl>
    <w:lvl w:ilvl="6" w:tentative="0">
      <w:start w:val="0"/>
      <w:numFmt w:val="bullet"/>
      <w:lvlText w:val="•"/>
      <w:lvlJc w:val="left"/>
      <w:pPr>
        <w:ind w:left="5583" w:hanging="632"/>
      </w:pPr>
      <w:rPr>
        <w:rFonts w:hint="default"/>
      </w:rPr>
    </w:lvl>
    <w:lvl w:ilvl="7" w:tentative="0">
      <w:start w:val="0"/>
      <w:numFmt w:val="bullet"/>
      <w:lvlText w:val="•"/>
      <w:lvlJc w:val="left"/>
      <w:pPr>
        <w:ind w:left="6689" w:hanging="632"/>
      </w:pPr>
      <w:rPr>
        <w:rFonts w:hint="default"/>
      </w:rPr>
    </w:lvl>
    <w:lvl w:ilvl="8" w:tentative="0">
      <w:start w:val="0"/>
      <w:numFmt w:val="bullet"/>
      <w:lvlText w:val="•"/>
      <w:lvlJc w:val="left"/>
      <w:pPr>
        <w:ind w:left="7795" w:hanging="632"/>
      </w:pPr>
      <w:rPr>
        <w:rFonts w:hint="default"/>
      </w:rPr>
    </w:lvl>
  </w:abstractNum>
  <w:abstractNum w:abstractNumId="12">
    <w:nsid w:val="DCBA6B53"/>
    <w:multiLevelType w:val="multilevel"/>
    <w:tmpl w:val="DCBA6B53"/>
    <w:lvl w:ilvl="0" w:tentative="0">
      <w:start w:val="6"/>
      <w:numFmt w:val="decimal"/>
      <w:lvlText w:val="%1"/>
      <w:lvlJc w:val="left"/>
      <w:pPr>
        <w:ind w:left="100" w:hanging="377"/>
        <w:jc w:val="left"/>
      </w:pPr>
      <w:rPr>
        <w:rFonts w:hint="default"/>
      </w:rPr>
    </w:lvl>
    <w:lvl w:ilvl="1" w:tentative="0">
      <w:start w:val="1"/>
      <w:numFmt w:val="decimal"/>
      <w:lvlText w:val="%1.%2"/>
      <w:lvlJc w:val="left"/>
      <w:pPr>
        <w:ind w:left="100" w:hanging="377"/>
        <w:jc w:val="left"/>
      </w:pPr>
      <w:rPr>
        <w:rFonts w:hint="default" w:ascii="宋体" w:hAnsi="宋体" w:eastAsia="宋体" w:cs="宋体"/>
        <w:spacing w:val="0"/>
        <w:w w:val="99"/>
        <w:sz w:val="21"/>
        <w:szCs w:val="21"/>
      </w:rPr>
    </w:lvl>
    <w:lvl w:ilvl="2" w:tentative="0">
      <w:start w:val="0"/>
      <w:numFmt w:val="bullet"/>
      <w:lvlText w:val="•"/>
      <w:lvlJc w:val="left"/>
      <w:pPr>
        <w:ind w:left="2093" w:hanging="377"/>
      </w:pPr>
      <w:rPr>
        <w:rFonts w:hint="default"/>
      </w:rPr>
    </w:lvl>
    <w:lvl w:ilvl="3" w:tentative="0">
      <w:start w:val="0"/>
      <w:numFmt w:val="bullet"/>
      <w:lvlText w:val="•"/>
      <w:lvlJc w:val="left"/>
      <w:pPr>
        <w:ind w:left="3090" w:hanging="377"/>
      </w:pPr>
      <w:rPr>
        <w:rFonts w:hint="default"/>
      </w:rPr>
    </w:lvl>
    <w:lvl w:ilvl="4" w:tentative="0">
      <w:start w:val="0"/>
      <w:numFmt w:val="bullet"/>
      <w:lvlText w:val="•"/>
      <w:lvlJc w:val="left"/>
      <w:pPr>
        <w:ind w:left="4086" w:hanging="377"/>
      </w:pPr>
      <w:rPr>
        <w:rFonts w:hint="default"/>
      </w:rPr>
    </w:lvl>
    <w:lvl w:ilvl="5" w:tentative="0">
      <w:start w:val="0"/>
      <w:numFmt w:val="bullet"/>
      <w:lvlText w:val="•"/>
      <w:lvlJc w:val="left"/>
      <w:pPr>
        <w:ind w:left="5083" w:hanging="377"/>
      </w:pPr>
      <w:rPr>
        <w:rFonts w:hint="default"/>
      </w:rPr>
    </w:lvl>
    <w:lvl w:ilvl="6" w:tentative="0">
      <w:start w:val="0"/>
      <w:numFmt w:val="bullet"/>
      <w:lvlText w:val="•"/>
      <w:lvlJc w:val="left"/>
      <w:pPr>
        <w:ind w:left="6080" w:hanging="377"/>
      </w:pPr>
      <w:rPr>
        <w:rFonts w:hint="default"/>
      </w:rPr>
    </w:lvl>
    <w:lvl w:ilvl="7" w:tentative="0">
      <w:start w:val="0"/>
      <w:numFmt w:val="bullet"/>
      <w:lvlText w:val="•"/>
      <w:lvlJc w:val="left"/>
      <w:pPr>
        <w:ind w:left="7076" w:hanging="377"/>
      </w:pPr>
      <w:rPr>
        <w:rFonts w:hint="default"/>
      </w:rPr>
    </w:lvl>
    <w:lvl w:ilvl="8" w:tentative="0">
      <w:start w:val="0"/>
      <w:numFmt w:val="bullet"/>
      <w:lvlText w:val="•"/>
      <w:lvlJc w:val="left"/>
      <w:pPr>
        <w:ind w:left="8073" w:hanging="377"/>
      </w:pPr>
      <w:rPr>
        <w:rFonts w:hint="default"/>
      </w:rPr>
    </w:lvl>
  </w:abstractNum>
  <w:abstractNum w:abstractNumId="13">
    <w:nsid w:val="E093A4B0"/>
    <w:multiLevelType w:val="multilevel"/>
    <w:tmpl w:val="E093A4B0"/>
    <w:lvl w:ilvl="0" w:tentative="0">
      <w:start w:val="28"/>
      <w:numFmt w:val="decimal"/>
      <w:lvlText w:val="%1."/>
      <w:lvlJc w:val="left"/>
      <w:pPr>
        <w:ind w:left="640" w:hanging="528"/>
        <w:jc w:val="left"/>
      </w:pPr>
      <w:rPr>
        <w:rFonts w:hint="default" w:ascii="宋体" w:hAnsi="宋体" w:eastAsia="宋体" w:cs="宋体"/>
        <w:b/>
        <w:bCs/>
        <w:spacing w:val="0"/>
        <w:w w:val="98"/>
        <w:sz w:val="21"/>
        <w:szCs w:val="21"/>
      </w:rPr>
    </w:lvl>
    <w:lvl w:ilvl="1" w:tentative="0">
      <w:start w:val="2"/>
      <w:numFmt w:val="decimal"/>
      <w:lvlText w:val="%2."/>
      <w:lvlJc w:val="left"/>
      <w:pPr>
        <w:ind w:left="112" w:hanging="315"/>
        <w:jc w:val="left"/>
      </w:pPr>
      <w:rPr>
        <w:rFonts w:hint="default" w:ascii="宋体" w:hAnsi="宋体" w:eastAsia="宋体" w:cs="宋体"/>
        <w:spacing w:val="-2"/>
        <w:w w:val="99"/>
        <w:sz w:val="21"/>
        <w:szCs w:val="21"/>
      </w:rPr>
    </w:lvl>
    <w:lvl w:ilvl="2" w:tentative="0">
      <w:start w:val="0"/>
      <w:numFmt w:val="bullet"/>
      <w:lvlText w:val="•"/>
      <w:lvlJc w:val="left"/>
      <w:pPr>
        <w:ind w:left="1736" w:hanging="315"/>
      </w:pPr>
      <w:rPr>
        <w:rFonts w:hint="default"/>
      </w:rPr>
    </w:lvl>
    <w:lvl w:ilvl="3" w:tentative="0">
      <w:start w:val="0"/>
      <w:numFmt w:val="bullet"/>
      <w:lvlText w:val="•"/>
      <w:lvlJc w:val="left"/>
      <w:pPr>
        <w:ind w:left="2832" w:hanging="315"/>
      </w:pPr>
      <w:rPr>
        <w:rFonts w:hint="default"/>
      </w:rPr>
    </w:lvl>
    <w:lvl w:ilvl="4" w:tentative="0">
      <w:start w:val="0"/>
      <w:numFmt w:val="bullet"/>
      <w:lvlText w:val="•"/>
      <w:lvlJc w:val="left"/>
      <w:pPr>
        <w:ind w:left="3929" w:hanging="315"/>
      </w:pPr>
      <w:rPr>
        <w:rFonts w:hint="default"/>
      </w:rPr>
    </w:lvl>
    <w:lvl w:ilvl="5" w:tentative="0">
      <w:start w:val="0"/>
      <w:numFmt w:val="bullet"/>
      <w:lvlText w:val="•"/>
      <w:lvlJc w:val="left"/>
      <w:pPr>
        <w:ind w:left="5025" w:hanging="315"/>
      </w:pPr>
      <w:rPr>
        <w:rFonts w:hint="default"/>
      </w:rPr>
    </w:lvl>
    <w:lvl w:ilvl="6" w:tentative="0">
      <w:start w:val="0"/>
      <w:numFmt w:val="bullet"/>
      <w:lvlText w:val="•"/>
      <w:lvlJc w:val="left"/>
      <w:pPr>
        <w:ind w:left="6121" w:hanging="315"/>
      </w:pPr>
      <w:rPr>
        <w:rFonts w:hint="default"/>
      </w:rPr>
    </w:lvl>
    <w:lvl w:ilvl="7" w:tentative="0">
      <w:start w:val="0"/>
      <w:numFmt w:val="bullet"/>
      <w:lvlText w:val="•"/>
      <w:lvlJc w:val="left"/>
      <w:pPr>
        <w:ind w:left="7218" w:hanging="315"/>
      </w:pPr>
      <w:rPr>
        <w:rFonts w:hint="default"/>
      </w:rPr>
    </w:lvl>
    <w:lvl w:ilvl="8" w:tentative="0">
      <w:start w:val="0"/>
      <w:numFmt w:val="bullet"/>
      <w:lvlText w:val="•"/>
      <w:lvlJc w:val="left"/>
      <w:pPr>
        <w:ind w:left="8314" w:hanging="315"/>
      </w:pPr>
      <w:rPr>
        <w:rFonts w:hint="default"/>
      </w:rPr>
    </w:lvl>
  </w:abstractNum>
  <w:abstractNum w:abstractNumId="14">
    <w:nsid w:val="F4B5D9F5"/>
    <w:multiLevelType w:val="multilevel"/>
    <w:tmpl w:val="F4B5D9F5"/>
    <w:lvl w:ilvl="0" w:tentative="0">
      <w:start w:val="4"/>
      <w:numFmt w:val="decimal"/>
      <w:lvlText w:val="%1"/>
      <w:lvlJc w:val="left"/>
      <w:pPr>
        <w:ind w:left="100" w:hanging="368"/>
        <w:jc w:val="left"/>
      </w:pPr>
      <w:rPr>
        <w:rFonts w:hint="default"/>
      </w:rPr>
    </w:lvl>
    <w:lvl w:ilvl="1" w:tentative="0">
      <w:start w:val="1"/>
      <w:numFmt w:val="decimal"/>
      <w:lvlText w:val="%1.%2"/>
      <w:lvlJc w:val="left"/>
      <w:pPr>
        <w:ind w:left="100" w:hanging="368"/>
        <w:jc w:val="left"/>
      </w:pPr>
      <w:rPr>
        <w:rFonts w:hint="default" w:ascii="宋体" w:hAnsi="宋体" w:eastAsia="宋体" w:cs="宋体"/>
        <w:spacing w:val="0"/>
        <w:w w:val="99"/>
        <w:sz w:val="21"/>
        <w:szCs w:val="21"/>
      </w:rPr>
    </w:lvl>
    <w:lvl w:ilvl="2" w:tentative="0">
      <w:start w:val="0"/>
      <w:numFmt w:val="bullet"/>
      <w:lvlText w:val="•"/>
      <w:lvlJc w:val="left"/>
      <w:pPr>
        <w:ind w:left="2081" w:hanging="368"/>
      </w:pPr>
      <w:rPr>
        <w:rFonts w:hint="default"/>
      </w:rPr>
    </w:lvl>
    <w:lvl w:ilvl="3" w:tentative="0">
      <w:start w:val="0"/>
      <w:numFmt w:val="bullet"/>
      <w:lvlText w:val="•"/>
      <w:lvlJc w:val="left"/>
      <w:pPr>
        <w:ind w:left="3072" w:hanging="368"/>
      </w:pPr>
      <w:rPr>
        <w:rFonts w:hint="default"/>
      </w:rPr>
    </w:lvl>
    <w:lvl w:ilvl="4" w:tentative="0">
      <w:start w:val="0"/>
      <w:numFmt w:val="bullet"/>
      <w:lvlText w:val="•"/>
      <w:lvlJc w:val="left"/>
      <w:pPr>
        <w:ind w:left="4062" w:hanging="368"/>
      </w:pPr>
      <w:rPr>
        <w:rFonts w:hint="default"/>
      </w:rPr>
    </w:lvl>
    <w:lvl w:ilvl="5" w:tentative="0">
      <w:start w:val="0"/>
      <w:numFmt w:val="bullet"/>
      <w:lvlText w:val="•"/>
      <w:lvlJc w:val="left"/>
      <w:pPr>
        <w:ind w:left="5053" w:hanging="368"/>
      </w:pPr>
      <w:rPr>
        <w:rFonts w:hint="default"/>
      </w:rPr>
    </w:lvl>
    <w:lvl w:ilvl="6" w:tentative="0">
      <w:start w:val="0"/>
      <w:numFmt w:val="bullet"/>
      <w:lvlText w:val="•"/>
      <w:lvlJc w:val="left"/>
      <w:pPr>
        <w:ind w:left="6044" w:hanging="368"/>
      </w:pPr>
      <w:rPr>
        <w:rFonts w:hint="default"/>
      </w:rPr>
    </w:lvl>
    <w:lvl w:ilvl="7" w:tentative="0">
      <w:start w:val="0"/>
      <w:numFmt w:val="bullet"/>
      <w:lvlText w:val="•"/>
      <w:lvlJc w:val="left"/>
      <w:pPr>
        <w:ind w:left="7034" w:hanging="368"/>
      </w:pPr>
      <w:rPr>
        <w:rFonts w:hint="default"/>
      </w:rPr>
    </w:lvl>
    <w:lvl w:ilvl="8" w:tentative="0">
      <w:start w:val="0"/>
      <w:numFmt w:val="bullet"/>
      <w:lvlText w:val="•"/>
      <w:lvlJc w:val="left"/>
      <w:pPr>
        <w:ind w:left="8025" w:hanging="368"/>
      </w:pPr>
      <w:rPr>
        <w:rFonts w:hint="default"/>
      </w:rPr>
    </w:lvl>
  </w:abstractNum>
  <w:abstractNum w:abstractNumId="15">
    <w:nsid w:val="F7735DC9"/>
    <w:multiLevelType w:val="multilevel"/>
    <w:tmpl w:val="F7735DC9"/>
    <w:lvl w:ilvl="0" w:tentative="0">
      <w:start w:val="25"/>
      <w:numFmt w:val="decimal"/>
      <w:lvlText w:val="%1"/>
      <w:lvlJc w:val="left"/>
      <w:pPr>
        <w:ind w:left="112" w:hanging="473"/>
        <w:jc w:val="left"/>
      </w:pPr>
      <w:rPr>
        <w:rFonts w:hint="default"/>
      </w:rPr>
    </w:lvl>
    <w:lvl w:ilvl="1" w:tentative="0">
      <w:start w:val="1"/>
      <w:numFmt w:val="decimal"/>
      <w:lvlText w:val="%1.%2"/>
      <w:lvlJc w:val="left"/>
      <w:pPr>
        <w:ind w:left="112" w:hanging="473"/>
        <w:jc w:val="left"/>
      </w:pPr>
      <w:rPr>
        <w:rFonts w:hint="default" w:ascii="宋体" w:hAnsi="宋体" w:eastAsia="宋体" w:cs="宋体"/>
        <w:spacing w:val="-2"/>
        <w:w w:val="99"/>
        <w:sz w:val="21"/>
        <w:szCs w:val="21"/>
      </w:rPr>
    </w:lvl>
    <w:lvl w:ilvl="2" w:tentative="0">
      <w:start w:val="1"/>
      <w:numFmt w:val="decimal"/>
      <w:lvlText w:val="%1.%2.%3"/>
      <w:lvlJc w:val="left"/>
      <w:pPr>
        <w:ind w:left="112" w:hanging="684"/>
        <w:jc w:val="left"/>
      </w:pPr>
      <w:rPr>
        <w:rFonts w:hint="default" w:ascii="宋体" w:hAnsi="宋体" w:eastAsia="宋体" w:cs="宋体"/>
        <w:spacing w:val="-2"/>
        <w:w w:val="99"/>
        <w:sz w:val="21"/>
        <w:szCs w:val="21"/>
      </w:rPr>
    </w:lvl>
    <w:lvl w:ilvl="3" w:tentative="0">
      <w:start w:val="0"/>
      <w:numFmt w:val="bullet"/>
      <w:lvlText w:val="•"/>
      <w:lvlJc w:val="left"/>
      <w:pPr>
        <w:ind w:left="3254" w:hanging="684"/>
      </w:pPr>
      <w:rPr>
        <w:rFonts w:hint="default"/>
      </w:rPr>
    </w:lvl>
    <w:lvl w:ilvl="4" w:tentative="0">
      <w:start w:val="0"/>
      <w:numFmt w:val="bullet"/>
      <w:lvlText w:val="•"/>
      <w:lvlJc w:val="left"/>
      <w:pPr>
        <w:ind w:left="4298" w:hanging="684"/>
      </w:pPr>
      <w:rPr>
        <w:rFonts w:hint="default"/>
      </w:rPr>
    </w:lvl>
    <w:lvl w:ilvl="5" w:tentative="0">
      <w:start w:val="0"/>
      <w:numFmt w:val="bullet"/>
      <w:lvlText w:val="•"/>
      <w:lvlJc w:val="left"/>
      <w:pPr>
        <w:ind w:left="5343" w:hanging="684"/>
      </w:pPr>
      <w:rPr>
        <w:rFonts w:hint="default"/>
      </w:rPr>
    </w:lvl>
    <w:lvl w:ilvl="6" w:tentative="0">
      <w:start w:val="0"/>
      <w:numFmt w:val="bullet"/>
      <w:lvlText w:val="•"/>
      <w:lvlJc w:val="left"/>
      <w:pPr>
        <w:ind w:left="6388" w:hanging="684"/>
      </w:pPr>
      <w:rPr>
        <w:rFonts w:hint="default"/>
      </w:rPr>
    </w:lvl>
    <w:lvl w:ilvl="7" w:tentative="0">
      <w:start w:val="0"/>
      <w:numFmt w:val="bullet"/>
      <w:lvlText w:val="•"/>
      <w:lvlJc w:val="left"/>
      <w:pPr>
        <w:ind w:left="7432" w:hanging="684"/>
      </w:pPr>
      <w:rPr>
        <w:rFonts w:hint="default"/>
      </w:rPr>
    </w:lvl>
    <w:lvl w:ilvl="8" w:tentative="0">
      <w:start w:val="0"/>
      <w:numFmt w:val="bullet"/>
      <w:lvlText w:val="•"/>
      <w:lvlJc w:val="left"/>
      <w:pPr>
        <w:ind w:left="8477" w:hanging="684"/>
      </w:pPr>
      <w:rPr>
        <w:rFonts w:hint="default"/>
      </w:rPr>
    </w:lvl>
  </w:abstractNum>
  <w:abstractNum w:abstractNumId="16">
    <w:nsid w:val="0E640482"/>
    <w:multiLevelType w:val="multilevel"/>
    <w:tmpl w:val="0E640482"/>
    <w:lvl w:ilvl="0" w:tentative="0">
      <w:start w:val="5"/>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0"/>
      <w:numFmt w:val="bullet"/>
      <w:lvlText w:val="•"/>
      <w:lvlJc w:val="left"/>
      <w:pPr>
        <w:ind w:left="2429" w:hanging="420"/>
      </w:pPr>
      <w:rPr>
        <w:rFonts w:hint="default"/>
      </w:rPr>
    </w:lvl>
    <w:lvl w:ilvl="3" w:tentative="0">
      <w:start w:val="0"/>
      <w:numFmt w:val="bullet"/>
      <w:lvlText w:val="•"/>
      <w:lvlJc w:val="left"/>
      <w:pPr>
        <w:ind w:left="3384" w:hanging="420"/>
      </w:pPr>
      <w:rPr>
        <w:rFonts w:hint="default"/>
      </w:rPr>
    </w:lvl>
    <w:lvl w:ilvl="4" w:tentative="0">
      <w:start w:val="0"/>
      <w:numFmt w:val="bullet"/>
      <w:lvlText w:val="•"/>
      <w:lvlJc w:val="left"/>
      <w:pPr>
        <w:ind w:left="4338" w:hanging="420"/>
      </w:pPr>
      <w:rPr>
        <w:rFonts w:hint="default"/>
      </w:rPr>
    </w:lvl>
    <w:lvl w:ilvl="5" w:tentative="0">
      <w:start w:val="0"/>
      <w:numFmt w:val="bullet"/>
      <w:lvlText w:val="•"/>
      <w:lvlJc w:val="left"/>
      <w:pPr>
        <w:ind w:left="5293" w:hanging="420"/>
      </w:pPr>
      <w:rPr>
        <w:rFonts w:hint="default"/>
      </w:rPr>
    </w:lvl>
    <w:lvl w:ilvl="6" w:tentative="0">
      <w:start w:val="0"/>
      <w:numFmt w:val="bullet"/>
      <w:lvlText w:val="•"/>
      <w:lvlJc w:val="left"/>
      <w:pPr>
        <w:ind w:left="6248" w:hanging="420"/>
      </w:pPr>
      <w:rPr>
        <w:rFonts w:hint="default"/>
      </w:rPr>
    </w:lvl>
    <w:lvl w:ilvl="7" w:tentative="0">
      <w:start w:val="0"/>
      <w:numFmt w:val="bullet"/>
      <w:lvlText w:val="•"/>
      <w:lvlJc w:val="left"/>
      <w:pPr>
        <w:ind w:left="7202" w:hanging="420"/>
      </w:pPr>
      <w:rPr>
        <w:rFonts w:hint="default"/>
      </w:rPr>
    </w:lvl>
    <w:lvl w:ilvl="8" w:tentative="0">
      <w:start w:val="0"/>
      <w:numFmt w:val="bullet"/>
      <w:lvlText w:val="•"/>
      <w:lvlJc w:val="left"/>
      <w:pPr>
        <w:ind w:left="8157" w:hanging="420"/>
      </w:pPr>
      <w:rPr>
        <w:rFonts w:hint="default"/>
      </w:rPr>
    </w:lvl>
  </w:abstractNum>
  <w:abstractNum w:abstractNumId="17">
    <w:nsid w:val="1ACDE60F"/>
    <w:multiLevelType w:val="multilevel"/>
    <w:tmpl w:val="1ACDE60F"/>
    <w:lvl w:ilvl="0" w:tentative="0">
      <w:start w:val="1"/>
      <w:numFmt w:val="decimal"/>
      <w:lvlText w:val="%1."/>
      <w:lvlJc w:val="left"/>
      <w:pPr>
        <w:ind w:left="118" w:hanging="315"/>
        <w:jc w:val="left"/>
      </w:pPr>
      <w:rPr>
        <w:rFonts w:hint="default" w:ascii="宋体" w:hAnsi="宋体" w:eastAsia="宋体" w:cs="宋体"/>
        <w:spacing w:val="0"/>
        <w:w w:val="99"/>
        <w:sz w:val="21"/>
        <w:szCs w:val="21"/>
      </w:rPr>
    </w:lvl>
    <w:lvl w:ilvl="1" w:tentative="0">
      <w:start w:val="0"/>
      <w:numFmt w:val="bullet"/>
      <w:lvlText w:val="•"/>
      <w:lvlJc w:val="left"/>
      <w:pPr>
        <w:ind w:left="828" w:hanging="315"/>
      </w:pPr>
      <w:rPr>
        <w:rFonts w:hint="default"/>
      </w:rPr>
    </w:lvl>
    <w:lvl w:ilvl="2" w:tentative="0">
      <w:start w:val="0"/>
      <w:numFmt w:val="bullet"/>
      <w:lvlText w:val="•"/>
      <w:lvlJc w:val="left"/>
      <w:pPr>
        <w:ind w:left="1537" w:hanging="315"/>
      </w:pPr>
      <w:rPr>
        <w:rFonts w:hint="default"/>
      </w:rPr>
    </w:lvl>
    <w:lvl w:ilvl="3" w:tentative="0">
      <w:start w:val="0"/>
      <w:numFmt w:val="bullet"/>
      <w:lvlText w:val="•"/>
      <w:lvlJc w:val="left"/>
      <w:pPr>
        <w:ind w:left="2245" w:hanging="315"/>
      </w:pPr>
      <w:rPr>
        <w:rFonts w:hint="default"/>
      </w:rPr>
    </w:lvl>
    <w:lvl w:ilvl="4" w:tentative="0">
      <w:start w:val="0"/>
      <w:numFmt w:val="bullet"/>
      <w:lvlText w:val="•"/>
      <w:lvlJc w:val="left"/>
      <w:pPr>
        <w:ind w:left="2954" w:hanging="315"/>
      </w:pPr>
      <w:rPr>
        <w:rFonts w:hint="default"/>
      </w:rPr>
    </w:lvl>
    <w:lvl w:ilvl="5" w:tentative="0">
      <w:start w:val="0"/>
      <w:numFmt w:val="bullet"/>
      <w:lvlText w:val="•"/>
      <w:lvlJc w:val="left"/>
      <w:pPr>
        <w:ind w:left="3662" w:hanging="315"/>
      </w:pPr>
      <w:rPr>
        <w:rFonts w:hint="default"/>
      </w:rPr>
    </w:lvl>
    <w:lvl w:ilvl="6" w:tentative="0">
      <w:start w:val="0"/>
      <w:numFmt w:val="bullet"/>
      <w:lvlText w:val="•"/>
      <w:lvlJc w:val="left"/>
      <w:pPr>
        <w:ind w:left="4371" w:hanging="315"/>
      </w:pPr>
      <w:rPr>
        <w:rFonts w:hint="default"/>
      </w:rPr>
    </w:lvl>
    <w:lvl w:ilvl="7" w:tentative="0">
      <w:start w:val="0"/>
      <w:numFmt w:val="bullet"/>
      <w:lvlText w:val="•"/>
      <w:lvlJc w:val="left"/>
      <w:pPr>
        <w:ind w:left="5079" w:hanging="315"/>
      </w:pPr>
      <w:rPr>
        <w:rFonts w:hint="default"/>
      </w:rPr>
    </w:lvl>
    <w:lvl w:ilvl="8" w:tentative="0">
      <w:start w:val="0"/>
      <w:numFmt w:val="bullet"/>
      <w:lvlText w:val="•"/>
      <w:lvlJc w:val="left"/>
      <w:pPr>
        <w:ind w:left="5788" w:hanging="315"/>
      </w:pPr>
      <w:rPr>
        <w:rFonts w:hint="default"/>
      </w:rPr>
    </w:lvl>
  </w:abstractNum>
  <w:abstractNum w:abstractNumId="18">
    <w:nsid w:val="243FCF68"/>
    <w:multiLevelType w:val="multilevel"/>
    <w:tmpl w:val="243FCF68"/>
    <w:lvl w:ilvl="0" w:tentative="0">
      <w:start w:val="16"/>
      <w:numFmt w:val="decimal"/>
      <w:lvlText w:val="%1."/>
      <w:lvlJc w:val="left"/>
      <w:pPr>
        <w:ind w:left="532" w:hanging="420"/>
        <w:jc w:val="left"/>
      </w:pPr>
      <w:rPr>
        <w:rFonts w:hint="default" w:ascii="宋体" w:hAnsi="宋体" w:eastAsia="宋体" w:cs="宋体"/>
        <w:b/>
        <w:bCs/>
        <w:spacing w:val="0"/>
        <w:w w:val="98"/>
        <w:sz w:val="21"/>
        <w:szCs w:val="21"/>
      </w:rPr>
    </w:lvl>
    <w:lvl w:ilvl="1" w:tentative="0">
      <w:start w:val="0"/>
      <w:numFmt w:val="bullet"/>
      <w:lvlText w:val="•"/>
      <w:lvlJc w:val="left"/>
      <w:pPr>
        <w:ind w:left="640" w:hanging="420"/>
      </w:pPr>
      <w:rPr>
        <w:rFonts w:hint="default"/>
      </w:rPr>
    </w:lvl>
    <w:lvl w:ilvl="2" w:tentative="0">
      <w:start w:val="0"/>
      <w:numFmt w:val="bullet"/>
      <w:lvlText w:val="•"/>
      <w:lvlJc w:val="left"/>
      <w:pPr>
        <w:ind w:left="1738" w:hanging="420"/>
      </w:pPr>
      <w:rPr>
        <w:rFonts w:hint="default"/>
      </w:rPr>
    </w:lvl>
    <w:lvl w:ilvl="3" w:tentative="0">
      <w:start w:val="0"/>
      <w:numFmt w:val="bullet"/>
      <w:lvlText w:val="•"/>
      <w:lvlJc w:val="left"/>
      <w:pPr>
        <w:ind w:left="2837" w:hanging="420"/>
      </w:pPr>
      <w:rPr>
        <w:rFonts w:hint="default"/>
      </w:rPr>
    </w:lvl>
    <w:lvl w:ilvl="4" w:tentative="0">
      <w:start w:val="0"/>
      <w:numFmt w:val="bullet"/>
      <w:lvlText w:val="•"/>
      <w:lvlJc w:val="left"/>
      <w:pPr>
        <w:ind w:left="3935" w:hanging="420"/>
      </w:pPr>
      <w:rPr>
        <w:rFonts w:hint="default"/>
      </w:rPr>
    </w:lvl>
    <w:lvl w:ilvl="5" w:tentative="0">
      <w:start w:val="0"/>
      <w:numFmt w:val="bullet"/>
      <w:lvlText w:val="•"/>
      <w:lvlJc w:val="left"/>
      <w:pPr>
        <w:ind w:left="5034" w:hanging="420"/>
      </w:pPr>
      <w:rPr>
        <w:rFonts w:hint="default"/>
      </w:rPr>
    </w:lvl>
    <w:lvl w:ilvl="6" w:tentative="0">
      <w:start w:val="0"/>
      <w:numFmt w:val="bullet"/>
      <w:lvlText w:val="•"/>
      <w:lvlJc w:val="left"/>
      <w:pPr>
        <w:ind w:left="6132" w:hanging="420"/>
      </w:pPr>
      <w:rPr>
        <w:rFonts w:hint="default"/>
      </w:rPr>
    </w:lvl>
    <w:lvl w:ilvl="7" w:tentative="0">
      <w:start w:val="0"/>
      <w:numFmt w:val="bullet"/>
      <w:lvlText w:val="•"/>
      <w:lvlJc w:val="left"/>
      <w:pPr>
        <w:ind w:left="7231" w:hanging="420"/>
      </w:pPr>
      <w:rPr>
        <w:rFonts w:hint="default"/>
      </w:rPr>
    </w:lvl>
    <w:lvl w:ilvl="8" w:tentative="0">
      <w:start w:val="0"/>
      <w:numFmt w:val="bullet"/>
      <w:lvlText w:val="•"/>
      <w:lvlJc w:val="left"/>
      <w:pPr>
        <w:ind w:left="8329" w:hanging="420"/>
      </w:pPr>
      <w:rPr>
        <w:rFonts w:hint="default"/>
      </w:rPr>
    </w:lvl>
  </w:abstractNum>
  <w:abstractNum w:abstractNumId="19">
    <w:nsid w:val="2470EC97"/>
    <w:multiLevelType w:val="multilevel"/>
    <w:tmpl w:val="2470EC97"/>
    <w:lvl w:ilvl="0" w:tentative="0">
      <w:start w:val="5"/>
      <w:numFmt w:val="decimal"/>
      <w:lvlText w:val="%1"/>
      <w:lvlJc w:val="left"/>
      <w:pPr>
        <w:ind w:left="100" w:hanging="368"/>
        <w:jc w:val="left"/>
      </w:pPr>
      <w:rPr>
        <w:rFonts w:hint="default"/>
      </w:rPr>
    </w:lvl>
    <w:lvl w:ilvl="1" w:tentative="0">
      <w:start w:val="1"/>
      <w:numFmt w:val="decimal"/>
      <w:lvlText w:val="%1.%2"/>
      <w:lvlJc w:val="left"/>
      <w:pPr>
        <w:ind w:left="100" w:hanging="368"/>
        <w:jc w:val="left"/>
      </w:pPr>
      <w:rPr>
        <w:rFonts w:hint="default" w:ascii="宋体" w:hAnsi="宋体" w:eastAsia="宋体" w:cs="宋体"/>
        <w:spacing w:val="0"/>
        <w:w w:val="99"/>
        <w:sz w:val="21"/>
        <w:szCs w:val="21"/>
      </w:rPr>
    </w:lvl>
    <w:lvl w:ilvl="2" w:tentative="0">
      <w:start w:val="0"/>
      <w:numFmt w:val="bullet"/>
      <w:lvlText w:val="•"/>
      <w:lvlJc w:val="left"/>
      <w:pPr>
        <w:ind w:left="2093" w:hanging="368"/>
      </w:pPr>
      <w:rPr>
        <w:rFonts w:hint="default"/>
      </w:rPr>
    </w:lvl>
    <w:lvl w:ilvl="3" w:tentative="0">
      <w:start w:val="0"/>
      <w:numFmt w:val="bullet"/>
      <w:lvlText w:val="•"/>
      <w:lvlJc w:val="left"/>
      <w:pPr>
        <w:ind w:left="3090" w:hanging="368"/>
      </w:pPr>
      <w:rPr>
        <w:rFonts w:hint="default"/>
      </w:rPr>
    </w:lvl>
    <w:lvl w:ilvl="4" w:tentative="0">
      <w:start w:val="0"/>
      <w:numFmt w:val="bullet"/>
      <w:lvlText w:val="•"/>
      <w:lvlJc w:val="left"/>
      <w:pPr>
        <w:ind w:left="4086" w:hanging="368"/>
      </w:pPr>
      <w:rPr>
        <w:rFonts w:hint="default"/>
      </w:rPr>
    </w:lvl>
    <w:lvl w:ilvl="5" w:tentative="0">
      <w:start w:val="0"/>
      <w:numFmt w:val="bullet"/>
      <w:lvlText w:val="•"/>
      <w:lvlJc w:val="left"/>
      <w:pPr>
        <w:ind w:left="5083" w:hanging="368"/>
      </w:pPr>
      <w:rPr>
        <w:rFonts w:hint="default"/>
      </w:rPr>
    </w:lvl>
    <w:lvl w:ilvl="6" w:tentative="0">
      <w:start w:val="0"/>
      <w:numFmt w:val="bullet"/>
      <w:lvlText w:val="•"/>
      <w:lvlJc w:val="left"/>
      <w:pPr>
        <w:ind w:left="6080" w:hanging="368"/>
      </w:pPr>
      <w:rPr>
        <w:rFonts w:hint="default"/>
      </w:rPr>
    </w:lvl>
    <w:lvl w:ilvl="7" w:tentative="0">
      <w:start w:val="0"/>
      <w:numFmt w:val="bullet"/>
      <w:lvlText w:val="•"/>
      <w:lvlJc w:val="left"/>
      <w:pPr>
        <w:ind w:left="7076" w:hanging="368"/>
      </w:pPr>
      <w:rPr>
        <w:rFonts w:hint="default"/>
      </w:rPr>
    </w:lvl>
    <w:lvl w:ilvl="8" w:tentative="0">
      <w:start w:val="0"/>
      <w:numFmt w:val="bullet"/>
      <w:lvlText w:val="•"/>
      <w:lvlJc w:val="left"/>
      <w:pPr>
        <w:ind w:left="8073" w:hanging="368"/>
      </w:pPr>
      <w:rPr>
        <w:rFonts w:hint="default"/>
      </w:rPr>
    </w:lvl>
  </w:abstractNum>
  <w:abstractNum w:abstractNumId="20">
    <w:nsid w:val="30FC5B15"/>
    <w:multiLevelType w:val="multilevel"/>
    <w:tmpl w:val="30FC5B15"/>
    <w:lvl w:ilvl="0" w:tentative="0">
      <w:start w:val="1"/>
      <w:numFmt w:val="decimal"/>
      <w:lvlText w:val="%1"/>
      <w:lvlJc w:val="left"/>
      <w:pPr>
        <w:ind w:left="112" w:hanging="420"/>
        <w:jc w:val="left"/>
      </w:pPr>
      <w:rPr>
        <w:rFonts w:hint="default"/>
      </w:rPr>
    </w:lvl>
    <w:lvl w:ilvl="1" w:tentative="0">
      <w:start w:val="1"/>
      <w:numFmt w:val="decimal"/>
      <w:lvlText w:val="%1.%2"/>
      <w:lvlJc w:val="left"/>
      <w:pPr>
        <w:ind w:left="112" w:hanging="420"/>
        <w:jc w:val="left"/>
      </w:pPr>
      <w:rPr>
        <w:rFonts w:hint="default" w:ascii="宋体" w:hAnsi="宋体" w:eastAsia="宋体" w:cs="宋体"/>
        <w:spacing w:val="0"/>
        <w:w w:val="99"/>
        <w:sz w:val="21"/>
        <w:szCs w:val="21"/>
      </w:rPr>
    </w:lvl>
    <w:lvl w:ilvl="2" w:tentative="0">
      <w:start w:val="0"/>
      <w:numFmt w:val="bullet"/>
      <w:lvlText w:val="•"/>
      <w:lvlJc w:val="left"/>
      <w:pPr>
        <w:ind w:left="2205" w:hanging="420"/>
      </w:pPr>
      <w:rPr>
        <w:rFonts w:hint="default"/>
      </w:rPr>
    </w:lvl>
    <w:lvl w:ilvl="3" w:tentative="0">
      <w:start w:val="0"/>
      <w:numFmt w:val="bullet"/>
      <w:lvlText w:val="•"/>
      <w:lvlJc w:val="left"/>
      <w:pPr>
        <w:ind w:left="3248" w:hanging="420"/>
      </w:pPr>
      <w:rPr>
        <w:rFonts w:hint="default"/>
      </w:rPr>
    </w:lvl>
    <w:lvl w:ilvl="4" w:tentative="0">
      <w:start w:val="0"/>
      <w:numFmt w:val="bullet"/>
      <w:lvlText w:val="•"/>
      <w:lvlJc w:val="left"/>
      <w:pPr>
        <w:ind w:left="4290" w:hanging="420"/>
      </w:pPr>
      <w:rPr>
        <w:rFonts w:hint="default"/>
      </w:rPr>
    </w:lvl>
    <w:lvl w:ilvl="5" w:tentative="0">
      <w:start w:val="0"/>
      <w:numFmt w:val="bullet"/>
      <w:lvlText w:val="•"/>
      <w:lvlJc w:val="left"/>
      <w:pPr>
        <w:ind w:left="5333" w:hanging="420"/>
      </w:pPr>
      <w:rPr>
        <w:rFonts w:hint="default"/>
      </w:rPr>
    </w:lvl>
    <w:lvl w:ilvl="6" w:tentative="0">
      <w:start w:val="0"/>
      <w:numFmt w:val="bullet"/>
      <w:lvlText w:val="•"/>
      <w:lvlJc w:val="left"/>
      <w:pPr>
        <w:ind w:left="6376" w:hanging="420"/>
      </w:pPr>
      <w:rPr>
        <w:rFonts w:hint="default"/>
      </w:rPr>
    </w:lvl>
    <w:lvl w:ilvl="7" w:tentative="0">
      <w:start w:val="0"/>
      <w:numFmt w:val="bullet"/>
      <w:lvlText w:val="•"/>
      <w:lvlJc w:val="left"/>
      <w:pPr>
        <w:ind w:left="7418" w:hanging="420"/>
      </w:pPr>
      <w:rPr>
        <w:rFonts w:hint="default"/>
      </w:rPr>
    </w:lvl>
    <w:lvl w:ilvl="8" w:tentative="0">
      <w:start w:val="0"/>
      <w:numFmt w:val="bullet"/>
      <w:lvlText w:val="•"/>
      <w:lvlJc w:val="left"/>
      <w:pPr>
        <w:ind w:left="8461" w:hanging="420"/>
      </w:pPr>
      <w:rPr>
        <w:rFonts w:hint="default"/>
      </w:rPr>
    </w:lvl>
  </w:abstractNum>
  <w:abstractNum w:abstractNumId="21">
    <w:nsid w:val="39A0D9AC"/>
    <w:multiLevelType w:val="multilevel"/>
    <w:tmpl w:val="39A0D9AC"/>
    <w:lvl w:ilvl="0" w:tentative="0">
      <w:start w:val="4"/>
      <w:numFmt w:val="decimal"/>
      <w:lvlText w:val="%1"/>
      <w:lvlJc w:val="left"/>
      <w:pPr>
        <w:ind w:left="532" w:hanging="420"/>
        <w:jc w:val="left"/>
      </w:pPr>
      <w:rPr>
        <w:rFonts w:hint="default"/>
      </w:rPr>
    </w:lvl>
    <w:lvl w:ilvl="1" w:tentative="0">
      <w:start w:val="1"/>
      <w:numFmt w:val="decimal"/>
      <w:lvlText w:val="%1.%2"/>
      <w:lvlJc w:val="left"/>
      <w:pPr>
        <w:ind w:left="532" w:hanging="420"/>
        <w:jc w:val="left"/>
      </w:pPr>
      <w:rPr>
        <w:rFonts w:hint="default" w:ascii="宋体" w:hAnsi="宋体" w:eastAsia="宋体" w:cs="宋体"/>
        <w:b/>
        <w:bCs/>
        <w:spacing w:val="0"/>
        <w:w w:val="98"/>
        <w:sz w:val="21"/>
        <w:szCs w:val="21"/>
      </w:rPr>
    </w:lvl>
    <w:lvl w:ilvl="2" w:tentative="0">
      <w:start w:val="2"/>
      <w:numFmt w:val="lowerLetter"/>
      <w:lvlText w:val="%3."/>
      <w:lvlJc w:val="left"/>
      <w:pPr>
        <w:ind w:left="112" w:hanging="315"/>
        <w:jc w:val="left"/>
      </w:pPr>
      <w:rPr>
        <w:rFonts w:hint="default" w:ascii="宋体" w:hAnsi="宋体" w:eastAsia="宋体" w:cs="宋体"/>
        <w:spacing w:val="0"/>
        <w:w w:val="99"/>
        <w:sz w:val="21"/>
        <w:szCs w:val="21"/>
      </w:rPr>
    </w:lvl>
    <w:lvl w:ilvl="3" w:tentative="0">
      <w:start w:val="0"/>
      <w:numFmt w:val="bullet"/>
      <w:lvlText w:val="•"/>
      <w:lvlJc w:val="left"/>
      <w:pPr>
        <w:ind w:left="2737" w:hanging="315"/>
      </w:pPr>
      <w:rPr>
        <w:rFonts w:hint="default"/>
      </w:rPr>
    </w:lvl>
    <w:lvl w:ilvl="4" w:tentative="0">
      <w:start w:val="0"/>
      <w:numFmt w:val="bullet"/>
      <w:lvlText w:val="•"/>
      <w:lvlJc w:val="left"/>
      <w:pPr>
        <w:ind w:left="3835" w:hanging="315"/>
      </w:pPr>
      <w:rPr>
        <w:rFonts w:hint="default"/>
      </w:rPr>
    </w:lvl>
    <w:lvl w:ilvl="5" w:tentative="0">
      <w:start w:val="0"/>
      <w:numFmt w:val="bullet"/>
      <w:lvlText w:val="•"/>
      <w:lvlJc w:val="left"/>
      <w:pPr>
        <w:ind w:left="4934" w:hanging="315"/>
      </w:pPr>
      <w:rPr>
        <w:rFonts w:hint="default"/>
      </w:rPr>
    </w:lvl>
    <w:lvl w:ilvl="6" w:tentative="0">
      <w:start w:val="0"/>
      <w:numFmt w:val="bullet"/>
      <w:lvlText w:val="•"/>
      <w:lvlJc w:val="left"/>
      <w:pPr>
        <w:ind w:left="6032" w:hanging="315"/>
      </w:pPr>
      <w:rPr>
        <w:rFonts w:hint="default"/>
      </w:rPr>
    </w:lvl>
    <w:lvl w:ilvl="7" w:tentative="0">
      <w:start w:val="0"/>
      <w:numFmt w:val="bullet"/>
      <w:lvlText w:val="•"/>
      <w:lvlJc w:val="left"/>
      <w:pPr>
        <w:ind w:left="7131" w:hanging="315"/>
      </w:pPr>
      <w:rPr>
        <w:rFonts w:hint="default"/>
      </w:rPr>
    </w:lvl>
    <w:lvl w:ilvl="8" w:tentative="0">
      <w:start w:val="0"/>
      <w:numFmt w:val="bullet"/>
      <w:lvlText w:val="•"/>
      <w:lvlJc w:val="left"/>
      <w:pPr>
        <w:ind w:left="8229" w:hanging="315"/>
      </w:pPr>
      <w:rPr>
        <w:rFonts w:hint="default"/>
      </w:rPr>
    </w:lvl>
  </w:abstractNum>
  <w:abstractNum w:abstractNumId="22">
    <w:nsid w:val="46A08BB8"/>
    <w:multiLevelType w:val="multilevel"/>
    <w:tmpl w:val="46A08BB8"/>
    <w:lvl w:ilvl="0" w:tentative="0">
      <w:start w:val="6"/>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0" w:hanging="632"/>
        <w:jc w:val="left"/>
      </w:pPr>
      <w:rPr>
        <w:rFonts w:hint="default" w:ascii="宋体" w:hAnsi="宋体" w:eastAsia="宋体" w:cs="宋体"/>
        <w:spacing w:val="-2"/>
        <w:w w:val="99"/>
        <w:sz w:val="21"/>
        <w:szCs w:val="21"/>
      </w:rPr>
    </w:lvl>
    <w:lvl w:ilvl="3" w:tentative="0">
      <w:start w:val="0"/>
      <w:numFmt w:val="bullet"/>
      <w:lvlText w:val="•"/>
      <w:lvlJc w:val="left"/>
      <w:pPr>
        <w:ind w:left="2641" w:hanging="632"/>
      </w:pPr>
      <w:rPr>
        <w:rFonts w:hint="default"/>
      </w:rPr>
    </w:lvl>
    <w:lvl w:ilvl="4" w:tentative="0">
      <w:start w:val="0"/>
      <w:numFmt w:val="bullet"/>
      <w:lvlText w:val="•"/>
      <w:lvlJc w:val="left"/>
      <w:pPr>
        <w:ind w:left="3702" w:hanging="632"/>
      </w:pPr>
      <w:rPr>
        <w:rFonts w:hint="default"/>
      </w:rPr>
    </w:lvl>
    <w:lvl w:ilvl="5" w:tentative="0">
      <w:start w:val="0"/>
      <w:numFmt w:val="bullet"/>
      <w:lvlText w:val="•"/>
      <w:lvlJc w:val="left"/>
      <w:pPr>
        <w:ind w:left="4763" w:hanging="632"/>
      </w:pPr>
      <w:rPr>
        <w:rFonts w:hint="default"/>
      </w:rPr>
    </w:lvl>
    <w:lvl w:ilvl="6" w:tentative="0">
      <w:start w:val="0"/>
      <w:numFmt w:val="bullet"/>
      <w:lvlText w:val="•"/>
      <w:lvlJc w:val="left"/>
      <w:pPr>
        <w:ind w:left="5823" w:hanging="632"/>
      </w:pPr>
      <w:rPr>
        <w:rFonts w:hint="default"/>
      </w:rPr>
    </w:lvl>
    <w:lvl w:ilvl="7" w:tentative="0">
      <w:start w:val="0"/>
      <w:numFmt w:val="bullet"/>
      <w:lvlText w:val="•"/>
      <w:lvlJc w:val="left"/>
      <w:pPr>
        <w:ind w:left="6884" w:hanging="632"/>
      </w:pPr>
      <w:rPr>
        <w:rFonts w:hint="default"/>
      </w:rPr>
    </w:lvl>
    <w:lvl w:ilvl="8" w:tentative="0">
      <w:start w:val="0"/>
      <w:numFmt w:val="bullet"/>
      <w:lvlText w:val="•"/>
      <w:lvlJc w:val="left"/>
      <w:pPr>
        <w:ind w:left="7945" w:hanging="632"/>
      </w:pPr>
      <w:rPr>
        <w:rFonts w:hint="default"/>
      </w:rPr>
    </w:lvl>
  </w:abstractNum>
  <w:abstractNum w:abstractNumId="23">
    <w:nsid w:val="4C1BAE26"/>
    <w:multiLevelType w:val="multilevel"/>
    <w:tmpl w:val="4C1BAE26"/>
    <w:lvl w:ilvl="0" w:tentative="0">
      <w:start w:val="3"/>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0" w:hanging="632"/>
        <w:jc w:val="left"/>
      </w:pPr>
      <w:rPr>
        <w:rFonts w:hint="default" w:ascii="宋体" w:hAnsi="宋体" w:eastAsia="宋体" w:cs="宋体"/>
        <w:spacing w:val="-2"/>
        <w:w w:val="99"/>
        <w:sz w:val="21"/>
        <w:szCs w:val="21"/>
      </w:rPr>
    </w:lvl>
    <w:lvl w:ilvl="3" w:tentative="0">
      <w:start w:val="1"/>
      <w:numFmt w:val="decimal"/>
      <w:lvlText w:val="%1.%2.%3.%4"/>
      <w:lvlJc w:val="left"/>
      <w:pPr>
        <w:ind w:left="100" w:hanging="788"/>
        <w:jc w:val="left"/>
      </w:pPr>
      <w:rPr>
        <w:rFonts w:hint="default" w:ascii="宋体" w:hAnsi="宋体" w:eastAsia="宋体" w:cs="宋体"/>
        <w:spacing w:val="-2"/>
        <w:w w:val="99"/>
        <w:sz w:val="21"/>
        <w:szCs w:val="21"/>
      </w:rPr>
    </w:lvl>
    <w:lvl w:ilvl="4" w:tentative="0">
      <w:start w:val="0"/>
      <w:numFmt w:val="bullet"/>
      <w:lvlText w:val="•"/>
      <w:lvlJc w:val="left"/>
      <w:pPr>
        <w:ind w:left="3491" w:hanging="788"/>
      </w:pPr>
      <w:rPr>
        <w:rFonts w:hint="default"/>
      </w:rPr>
    </w:lvl>
    <w:lvl w:ilvl="5" w:tentative="0">
      <w:start w:val="0"/>
      <w:numFmt w:val="bullet"/>
      <w:lvlText w:val="•"/>
      <w:lvlJc w:val="left"/>
      <w:pPr>
        <w:ind w:left="4587" w:hanging="788"/>
      </w:pPr>
      <w:rPr>
        <w:rFonts w:hint="default"/>
      </w:rPr>
    </w:lvl>
    <w:lvl w:ilvl="6" w:tentative="0">
      <w:start w:val="0"/>
      <w:numFmt w:val="bullet"/>
      <w:lvlText w:val="•"/>
      <w:lvlJc w:val="left"/>
      <w:pPr>
        <w:ind w:left="5683" w:hanging="788"/>
      </w:pPr>
      <w:rPr>
        <w:rFonts w:hint="default"/>
      </w:rPr>
    </w:lvl>
    <w:lvl w:ilvl="7" w:tentative="0">
      <w:start w:val="0"/>
      <w:numFmt w:val="bullet"/>
      <w:lvlText w:val="•"/>
      <w:lvlJc w:val="left"/>
      <w:pPr>
        <w:ind w:left="6779" w:hanging="788"/>
      </w:pPr>
      <w:rPr>
        <w:rFonts w:hint="default"/>
      </w:rPr>
    </w:lvl>
    <w:lvl w:ilvl="8" w:tentative="0">
      <w:start w:val="0"/>
      <w:numFmt w:val="bullet"/>
      <w:lvlText w:val="•"/>
      <w:lvlJc w:val="left"/>
      <w:pPr>
        <w:ind w:left="7875" w:hanging="788"/>
      </w:pPr>
      <w:rPr>
        <w:rFonts w:hint="default"/>
      </w:rPr>
    </w:lvl>
  </w:abstractNum>
  <w:abstractNum w:abstractNumId="24">
    <w:nsid w:val="4D94DA66"/>
    <w:multiLevelType w:val="multilevel"/>
    <w:tmpl w:val="4D94DA66"/>
    <w:lvl w:ilvl="0" w:tentative="0">
      <w:start w:val="17"/>
      <w:numFmt w:val="decimal"/>
      <w:lvlText w:val="%1"/>
      <w:lvlJc w:val="left"/>
      <w:pPr>
        <w:ind w:left="640" w:hanging="528"/>
        <w:jc w:val="left"/>
      </w:pPr>
      <w:rPr>
        <w:rFonts w:hint="default"/>
      </w:rPr>
    </w:lvl>
    <w:lvl w:ilvl="1" w:tentative="0">
      <w:start w:val="2"/>
      <w:numFmt w:val="decimal"/>
      <w:lvlText w:val="%1.%2"/>
      <w:lvlJc w:val="left"/>
      <w:pPr>
        <w:ind w:left="640" w:hanging="528"/>
        <w:jc w:val="left"/>
      </w:pPr>
      <w:rPr>
        <w:rFonts w:hint="default" w:ascii="宋体" w:hAnsi="宋体" w:eastAsia="宋体" w:cs="宋体"/>
        <w:b/>
        <w:bCs/>
        <w:spacing w:val="0"/>
        <w:w w:val="98"/>
        <w:sz w:val="21"/>
        <w:szCs w:val="21"/>
      </w:rPr>
    </w:lvl>
    <w:lvl w:ilvl="2" w:tentative="0">
      <w:start w:val="3"/>
      <w:numFmt w:val="decimal"/>
      <w:lvlText w:val="%1.%2.%3"/>
      <w:lvlJc w:val="left"/>
      <w:pPr>
        <w:ind w:left="112" w:hanging="684"/>
        <w:jc w:val="left"/>
      </w:pPr>
      <w:rPr>
        <w:rFonts w:hint="default" w:ascii="宋体" w:hAnsi="宋体" w:eastAsia="宋体" w:cs="宋体"/>
        <w:spacing w:val="-2"/>
        <w:w w:val="99"/>
        <w:sz w:val="21"/>
        <w:szCs w:val="21"/>
      </w:rPr>
    </w:lvl>
    <w:lvl w:ilvl="3" w:tentative="0">
      <w:start w:val="0"/>
      <w:numFmt w:val="bullet"/>
      <w:lvlText w:val="•"/>
      <w:lvlJc w:val="left"/>
      <w:pPr>
        <w:ind w:left="2418" w:hanging="684"/>
      </w:pPr>
      <w:rPr>
        <w:rFonts w:hint="default"/>
      </w:rPr>
    </w:lvl>
    <w:lvl w:ilvl="4" w:tentative="0">
      <w:start w:val="0"/>
      <w:numFmt w:val="bullet"/>
      <w:lvlText w:val="•"/>
      <w:lvlJc w:val="left"/>
      <w:pPr>
        <w:ind w:left="3576" w:hanging="684"/>
      </w:pPr>
      <w:rPr>
        <w:rFonts w:hint="default"/>
      </w:rPr>
    </w:lvl>
    <w:lvl w:ilvl="5" w:tentative="0">
      <w:start w:val="0"/>
      <w:numFmt w:val="bullet"/>
      <w:lvlText w:val="•"/>
      <w:lvlJc w:val="left"/>
      <w:pPr>
        <w:ind w:left="4735" w:hanging="684"/>
      </w:pPr>
      <w:rPr>
        <w:rFonts w:hint="default"/>
      </w:rPr>
    </w:lvl>
    <w:lvl w:ilvl="6" w:tentative="0">
      <w:start w:val="0"/>
      <w:numFmt w:val="bullet"/>
      <w:lvlText w:val="•"/>
      <w:lvlJc w:val="left"/>
      <w:pPr>
        <w:ind w:left="5893" w:hanging="684"/>
      </w:pPr>
      <w:rPr>
        <w:rFonts w:hint="default"/>
      </w:rPr>
    </w:lvl>
    <w:lvl w:ilvl="7" w:tentative="0">
      <w:start w:val="0"/>
      <w:numFmt w:val="bullet"/>
      <w:lvlText w:val="•"/>
      <w:lvlJc w:val="left"/>
      <w:pPr>
        <w:ind w:left="7051" w:hanging="684"/>
      </w:pPr>
      <w:rPr>
        <w:rFonts w:hint="default"/>
      </w:rPr>
    </w:lvl>
    <w:lvl w:ilvl="8" w:tentative="0">
      <w:start w:val="0"/>
      <w:numFmt w:val="bullet"/>
      <w:lvlText w:val="•"/>
      <w:lvlJc w:val="left"/>
      <w:pPr>
        <w:ind w:left="8210" w:hanging="684"/>
      </w:pPr>
      <w:rPr>
        <w:rFonts w:hint="default"/>
      </w:rPr>
    </w:lvl>
  </w:abstractNum>
  <w:abstractNum w:abstractNumId="25">
    <w:nsid w:val="58765686"/>
    <w:multiLevelType w:val="multilevel"/>
    <w:tmpl w:val="58765686"/>
    <w:lvl w:ilvl="0" w:tentative="0">
      <w:start w:val="9"/>
      <w:numFmt w:val="decimal"/>
      <w:lvlText w:val="%1"/>
      <w:lvlJc w:val="left"/>
      <w:pPr>
        <w:ind w:left="532" w:hanging="420"/>
        <w:jc w:val="left"/>
      </w:pPr>
      <w:rPr>
        <w:rFonts w:hint="default"/>
      </w:rPr>
    </w:lvl>
    <w:lvl w:ilvl="1" w:tentative="0">
      <w:start w:val="4"/>
      <w:numFmt w:val="decimal"/>
      <w:lvlText w:val="%1.%2"/>
      <w:lvlJc w:val="left"/>
      <w:pPr>
        <w:ind w:left="532" w:hanging="420"/>
        <w:jc w:val="left"/>
      </w:pPr>
      <w:rPr>
        <w:rFonts w:hint="default" w:ascii="宋体" w:hAnsi="宋体" w:eastAsia="宋体" w:cs="宋体"/>
        <w:b/>
        <w:bCs/>
        <w:spacing w:val="0"/>
        <w:w w:val="98"/>
        <w:sz w:val="21"/>
        <w:szCs w:val="21"/>
      </w:rPr>
    </w:lvl>
    <w:lvl w:ilvl="2" w:tentative="0">
      <w:start w:val="0"/>
      <w:numFmt w:val="bullet"/>
      <w:lvlText w:val="•"/>
      <w:lvlJc w:val="left"/>
      <w:pPr>
        <w:ind w:left="1649" w:hanging="420"/>
      </w:pPr>
      <w:rPr>
        <w:rFonts w:hint="default"/>
      </w:rPr>
    </w:lvl>
    <w:lvl w:ilvl="3" w:tentative="0">
      <w:start w:val="0"/>
      <w:numFmt w:val="bullet"/>
      <w:lvlText w:val="•"/>
      <w:lvlJc w:val="left"/>
      <w:pPr>
        <w:ind w:left="2759" w:hanging="420"/>
      </w:pPr>
      <w:rPr>
        <w:rFonts w:hint="default"/>
      </w:rPr>
    </w:lvl>
    <w:lvl w:ilvl="4" w:tentative="0">
      <w:start w:val="0"/>
      <w:numFmt w:val="bullet"/>
      <w:lvlText w:val="•"/>
      <w:lvlJc w:val="left"/>
      <w:pPr>
        <w:ind w:left="3869" w:hanging="420"/>
      </w:pPr>
      <w:rPr>
        <w:rFonts w:hint="default"/>
      </w:rPr>
    </w:lvl>
    <w:lvl w:ilvl="5" w:tentative="0">
      <w:start w:val="0"/>
      <w:numFmt w:val="bullet"/>
      <w:lvlText w:val="•"/>
      <w:lvlJc w:val="left"/>
      <w:pPr>
        <w:ind w:left="4978" w:hanging="420"/>
      </w:pPr>
      <w:rPr>
        <w:rFonts w:hint="default"/>
      </w:rPr>
    </w:lvl>
    <w:lvl w:ilvl="6" w:tentative="0">
      <w:start w:val="0"/>
      <w:numFmt w:val="bullet"/>
      <w:lvlText w:val="•"/>
      <w:lvlJc w:val="left"/>
      <w:pPr>
        <w:ind w:left="6088" w:hanging="420"/>
      </w:pPr>
      <w:rPr>
        <w:rFonts w:hint="default"/>
      </w:rPr>
    </w:lvl>
    <w:lvl w:ilvl="7" w:tentative="0">
      <w:start w:val="0"/>
      <w:numFmt w:val="bullet"/>
      <w:lvlText w:val="•"/>
      <w:lvlJc w:val="left"/>
      <w:pPr>
        <w:ind w:left="7198" w:hanging="420"/>
      </w:pPr>
      <w:rPr>
        <w:rFonts w:hint="default"/>
      </w:rPr>
    </w:lvl>
    <w:lvl w:ilvl="8" w:tentative="0">
      <w:start w:val="0"/>
      <w:numFmt w:val="bullet"/>
      <w:lvlText w:val="•"/>
      <w:lvlJc w:val="left"/>
      <w:pPr>
        <w:ind w:left="8307" w:hanging="420"/>
      </w:pPr>
      <w:rPr>
        <w:rFonts w:hint="default"/>
      </w:rPr>
    </w:lvl>
  </w:abstractNum>
  <w:abstractNum w:abstractNumId="26">
    <w:nsid w:val="5E29AB5A"/>
    <w:multiLevelType w:val="multilevel"/>
    <w:tmpl w:val="5E29AB5A"/>
    <w:lvl w:ilvl="0" w:tentative="0">
      <w:start w:val="1"/>
      <w:numFmt w:val="decimal"/>
      <w:lvlText w:val="%1."/>
      <w:lvlJc w:val="left"/>
      <w:pPr>
        <w:ind w:left="432" w:hanging="315"/>
        <w:jc w:val="left"/>
      </w:pPr>
      <w:rPr>
        <w:rFonts w:hint="default" w:ascii="宋体" w:hAnsi="宋体" w:eastAsia="宋体" w:cs="宋体"/>
        <w:spacing w:val="0"/>
        <w:w w:val="99"/>
        <w:sz w:val="21"/>
        <w:szCs w:val="21"/>
      </w:rPr>
    </w:lvl>
    <w:lvl w:ilvl="1" w:tentative="0">
      <w:start w:val="0"/>
      <w:numFmt w:val="bullet"/>
      <w:lvlText w:val="•"/>
      <w:lvlJc w:val="left"/>
      <w:pPr>
        <w:ind w:left="1116" w:hanging="315"/>
      </w:pPr>
      <w:rPr>
        <w:rFonts w:hint="default"/>
      </w:rPr>
    </w:lvl>
    <w:lvl w:ilvl="2" w:tentative="0">
      <w:start w:val="0"/>
      <w:numFmt w:val="bullet"/>
      <w:lvlText w:val="•"/>
      <w:lvlJc w:val="left"/>
      <w:pPr>
        <w:ind w:left="1793" w:hanging="315"/>
      </w:pPr>
      <w:rPr>
        <w:rFonts w:hint="default"/>
      </w:rPr>
    </w:lvl>
    <w:lvl w:ilvl="3" w:tentative="0">
      <w:start w:val="0"/>
      <w:numFmt w:val="bullet"/>
      <w:lvlText w:val="•"/>
      <w:lvlJc w:val="left"/>
      <w:pPr>
        <w:ind w:left="2469" w:hanging="315"/>
      </w:pPr>
      <w:rPr>
        <w:rFonts w:hint="default"/>
      </w:rPr>
    </w:lvl>
    <w:lvl w:ilvl="4" w:tentative="0">
      <w:start w:val="0"/>
      <w:numFmt w:val="bullet"/>
      <w:lvlText w:val="•"/>
      <w:lvlJc w:val="left"/>
      <w:pPr>
        <w:ind w:left="3146" w:hanging="315"/>
      </w:pPr>
      <w:rPr>
        <w:rFonts w:hint="default"/>
      </w:rPr>
    </w:lvl>
    <w:lvl w:ilvl="5" w:tentative="0">
      <w:start w:val="0"/>
      <w:numFmt w:val="bullet"/>
      <w:lvlText w:val="•"/>
      <w:lvlJc w:val="left"/>
      <w:pPr>
        <w:ind w:left="3822" w:hanging="315"/>
      </w:pPr>
      <w:rPr>
        <w:rFonts w:hint="default"/>
      </w:rPr>
    </w:lvl>
    <w:lvl w:ilvl="6" w:tentative="0">
      <w:start w:val="0"/>
      <w:numFmt w:val="bullet"/>
      <w:lvlText w:val="•"/>
      <w:lvlJc w:val="left"/>
      <w:pPr>
        <w:ind w:left="4499" w:hanging="315"/>
      </w:pPr>
      <w:rPr>
        <w:rFonts w:hint="default"/>
      </w:rPr>
    </w:lvl>
    <w:lvl w:ilvl="7" w:tentative="0">
      <w:start w:val="0"/>
      <w:numFmt w:val="bullet"/>
      <w:lvlText w:val="•"/>
      <w:lvlJc w:val="left"/>
      <w:pPr>
        <w:ind w:left="5175" w:hanging="315"/>
      </w:pPr>
      <w:rPr>
        <w:rFonts w:hint="default"/>
      </w:rPr>
    </w:lvl>
    <w:lvl w:ilvl="8" w:tentative="0">
      <w:start w:val="0"/>
      <w:numFmt w:val="bullet"/>
      <w:lvlText w:val="•"/>
      <w:lvlJc w:val="left"/>
      <w:pPr>
        <w:ind w:left="5852" w:hanging="315"/>
      </w:pPr>
      <w:rPr>
        <w:rFonts w:hint="default"/>
      </w:rPr>
    </w:lvl>
  </w:abstractNum>
  <w:abstractNum w:abstractNumId="27">
    <w:nsid w:val="5FFFB1A7"/>
    <w:multiLevelType w:val="multilevel"/>
    <w:tmpl w:val="5FFFB1A7"/>
    <w:lvl w:ilvl="0" w:tentative="0">
      <w:start w:val="1"/>
      <w:numFmt w:val="decimal"/>
      <w:lvlText w:val="%1."/>
      <w:lvlJc w:val="left"/>
      <w:pPr>
        <w:ind w:left="118" w:hanging="315"/>
        <w:jc w:val="left"/>
      </w:pPr>
      <w:rPr>
        <w:rFonts w:hint="default" w:ascii="宋体" w:hAnsi="宋体" w:eastAsia="宋体" w:cs="宋体"/>
        <w:spacing w:val="0"/>
        <w:w w:val="99"/>
        <w:sz w:val="21"/>
        <w:szCs w:val="21"/>
      </w:rPr>
    </w:lvl>
    <w:lvl w:ilvl="1" w:tentative="0">
      <w:start w:val="0"/>
      <w:numFmt w:val="bullet"/>
      <w:lvlText w:val="•"/>
      <w:lvlJc w:val="left"/>
      <w:pPr>
        <w:ind w:left="828" w:hanging="315"/>
      </w:pPr>
      <w:rPr>
        <w:rFonts w:hint="default"/>
      </w:rPr>
    </w:lvl>
    <w:lvl w:ilvl="2" w:tentative="0">
      <w:start w:val="0"/>
      <w:numFmt w:val="bullet"/>
      <w:lvlText w:val="•"/>
      <w:lvlJc w:val="left"/>
      <w:pPr>
        <w:ind w:left="1537" w:hanging="315"/>
      </w:pPr>
      <w:rPr>
        <w:rFonts w:hint="default"/>
      </w:rPr>
    </w:lvl>
    <w:lvl w:ilvl="3" w:tentative="0">
      <w:start w:val="0"/>
      <w:numFmt w:val="bullet"/>
      <w:lvlText w:val="•"/>
      <w:lvlJc w:val="left"/>
      <w:pPr>
        <w:ind w:left="2245" w:hanging="315"/>
      </w:pPr>
      <w:rPr>
        <w:rFonts w:hint="default"/>
      </w:rPr>
    </w:lvl>
    <w:lvl w:ilvl="4" w:tentative="0">
      <w:start w:val="0"/>
      <w:numFmt w:val="bullet"/>
      <w:lvlText w:val="•"/>
      <w:lvlJc w:val="left"/>
      <w:pPr>
        <w:ind w:left="2954" w:hanging="315"/>
      </w:pPr>
      <w:rPr>
        <w:rFonts w:hint="default"/>
      </w:rPr>
    </w:lvl>
    <w:lvl w:ilvl="5" w:tentative="0">
      <w:start w:val="0"/>
      <w:numFmt w:val="bullet"/>
      <w:lvlText w:val="•"/>
      <w:lvlJc w:val="left"/>
      <w:pPr>
        <w:ind w:left="3662" w:hanging="315"/>
      </w:pPr>
      <w:rPr>
        <w:rFonts w:hint="default"/>
      </w:rPr>
    </w:lvl>
    <w:lvl w:ilvl="6" w:tentative="0">
      <w:start w:val="0"/>
      <w:numFmt w:val="bullet"/>
      <w:lvlText w:val="•"/>
      <w:lvlJc w:val="left"/>
      <w:pPr>
        <w:ind w:left="4371" w:hanging="315"/>
      </w:pPr>
      <w:rPr>
        <w:rFonts w:hint="default"/>
      </w:rPr>
    </w:lvl>
    <w:lvl w:ilvl="7" w:tentative="0">
      <w:start w:val="0"/>
      <w:numFmt w:val="bullet"/>
      <w:lvlText w:val="•"/>
      <w:lvlJc w:val="left"/>
      <w:pPr>
        <w:ind w:left="5079" w:hanging="315"/>
      </w:pPr>
      <w:rPr>
        <w:rFonts w:hint="default"/>
      </w:rPr>
    </w:lvl>
    <w:lvl w:ilvl="8" w:tentative="0">
      <w:start w:val="0"/>
      <w:numFmt w:val="bullet"/>
      <w:lvlText w:val="•"/>
      <w:lvlJc w:val="left"/>
      <w:pPr>
        <w:ind w:left="5788" w:hanging="315"/>
      </w:pPr>
      <w:rPr>
        <w:rFonts w:hint="default"/>
      </w:rPr>
    </w:lvl>
  </w:abstractNum>
  <w:abstractNum w:abstractNumId="28">
    <w:nsid w:val="60382F6E"/>
    <w:multiLevelType w:val="multilevel"/>
    <w:tmpl w:val="60382F6E"/>
    <w:lvl w:ilvl="0" w:tentative="0">
      <w:start w:val="4"/>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0" w:hanging="632"/>
        <w:jc w:val="left"/>
      </w:pPr>
      <w:rPr>
        <w:rFonts w:hint="default" w:ascii="宋体" w:hAnsi="宋体" w:eastAsia="宋体" w:cs="宋体"/>
        <w:spacing w:val="-2"/>
        <w:w w:val="99"/>
        <w:sz w:val="21"/>
        <w:szCs w:val="21"/>
      </w:rPr>
    </w:lvl>
    <w:lvl w:ilvl="3" w:tentative="0">
      <w:start w:val="0"/>
      <w:numFmt w:val="bullet"/>
      <w:lvlText w:val="•"/>
      <w:lvlJc w:val="left"/>
      <w:pPr>
        <w:ind w:left="2273" w:hanging="632"/>
      </w:pPr>
      <w:rPr>
        <w:rFonts w:hint="default"/>
      </w:rPr>
    </w:lvl>
    <w:lvl w:ilvl="4" w:tentative="0">
      <w:start w:val="0"/>
      <w:numFmt w:val="bullet"/>
      <w:lvlText w:val="•"/>
      <w:lvlJc w:val="left"/>
      <w:pPr>
        <w:ind w:left="3386" w:hanging="632"/>
      </w:pPr>
      <w:rPr>
        <w:rFonts w:hint="default"/>
      </w:rPr>
    </w:lvl>
    <w:lvl w:ilvl="5" w:tentative="0">
      <w:start w:val="0"/>
      <w:numFmt w:val="bullet"/>
      <w:lvlText w:val="•"/>
      <w:lvlJc w:val="left"/>
      <w:pPr>
        <w:ind w:left="4500" w:hanging="632"/>
      </w:pPr>
      <w:rPr>
        <w:rFonts w:hint="default"/>
      </w:rPr>
    </w:lvl>
    <w:lvl w:ilvl="6" w:tentative="0">
      <w:start w:val="0"/>
      <w:numFmt w:val="bullet"/>
      <w:lvlText w:val="•"/>
      <w:lvlJc w:val="left"/>
      <w:pPr>
        <w:ind w:left="5613" w:hanging="632"/>
      </w:pPr>
      <w:rPr>
        <w:rFonts w:hint="default"/>
      </w:rPr>
    </w:lvl>
    <w:lvl w:ilvl="7" w:tentative="0">
      <w:start w:val="0"/>
      <w:numFmt w:val="bullet"/>
      <w:lvlText w:val="•"/>
      <w:lvlJc w:val="left"/>
      <w:pPr>
        <w:ind w:left="6726" w:hanging="632"/>
      </w:pPr>
      <w:rPr>
        <w:rFonts w:hint="default"/>
      </w:rPr>
    </w:lvl>
    <w:lvl w:ilvl="8" w:tentative="0">
      <w:start w:val="0"/>
      <w:numFmt w:val="bullet"/>
      <w:lvlText w:val="•"/>
      <w:lvlJc w:val="left"/>
      <w:pPr>
        <w:ind w:left="7840" w:hanging="632"/>
      </w:pPr>
      <w:rPr>
        <w:rFonts w:hint="default"/>
      </w:rPr>
    </w:lvl>
  </w:abstractNum>
  <w:abstractNum w:abstractNumId="29">
    <w:nsid w:val="629F7852"/>
    <w:multiLevelType w:val="multilevel"/>
    <w:tmpl w:val="629F7852"/>
    <w:lvl w:ilvl="0" w:tentative="0">
      <w:start w:val="2"/>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1"/>
      <w:numFmt w:val="decimal"/>
      <w:lvlText w:val="%1.%2.%3"/>
      <w:lvlJc w:val="left"/>
      <w:pPr>
        <w:ind w:left="1096" w:hanging="576"/>
        <w:jc w:val="left"/>
      </w:pPr>
      <w:rPr>
        <w:rFonts w:hint="default" w:ascii="宋体" w:hAnsi="宋体" w:eastAsia="宋体" w:cs="宋体"/>
        <w:spacing w:val="-2"/>
        <w:w w:val="99"/>
        <w:sz w:val="21"/>
        <w:szCs w:val="21"/>
      </w:rPr>
    </w:lvl>
    <w:lvl w:ilvl="3" w:tentative="0">
      <w:start w:val="0"/>
      <w:numFmt w:val="bullet"/>
      <w:lvlText w:val="•"/>
      <w:lvlJc w:val="left"/>
      <w:pPr>
        <w:ind w:left="2255" w:hanging="576"/>
      </w:pPr>
      <w:rPr>
        <w:rFonts w:hint="default"/>
      </w:rPr>
    </w:lvl>
    <w:lvl w:ilvl="4" w:tentative="0">
      <w:start w:val="0"/>
      <w:numFmt w:val="bullet"/>
      <w:lvlText w:val="•"/>
      <w:lvlJc w:val="left"/>
      <w:pPr>
        <w:ind w:left="3371" w:hanging="576"/>
      </w:pPr>
      <w:rPr>
        <w:rFonts w:hint="default"/>
      </w:rPr>
    </w:lvl>
    <w:lvl w:ilvl="5" w:tentative="0">
      <w:start w:val="0"/>
      <w:numFmt w:val="bullet"/>
      <w:lvlText w:val="•"/>
      <w:lvlJc w:val="left"/>
      <w:pPr>
        <w:ind w:left="4487" w:hanging="576"/>
      </w:pPr>
      <w:rPr>
        <w:rFonts w:hint="default"/>
      </w:rPr>
    </w:lvl>
    <w:lvl w:ilvl="6" w:tentative="0">
      <w:start w:val="0"/>
      <w:numFmt w:val="bullet"/>
      <w:lvlText w:val="•"/>
      <w:lvlJc w:val="left"/>
      <w:pPr>
        <w:ind w:left="5603" w:hanging="576"/>
      </w:pPr>
      <w:rPr>
        <w:rFonts w:hint="default"/>
      </w:rPr>
    </w:lvl>
    <w:lvl w:ilvl="7" w:tentative="0">
      <w:start w:val="0"/>
      <w:numFmt w:val="bullet"/>
      <w:lvlText w:val="•"/>
      <w:lvlJc w:val="left"/>
      <w:pPr>
        <w:ind w:left="6719" w:hanging="576"/>
      </w:pPr>
      <w:rPr>
        <w:rFonts w:hint="default"/>
      </w:rPr>
    </w:lvl>
    <w:lvl w:ilvl="8" w:tentative="0">
      <w:start w:val="0"/>
      <w:numFmt w:val="bullet"/>
      <w:lvlText w:val="•"/>
      <w:lvlJc w:val="left"/>
      <w:pPr>
        <w:ind w:left="7835" w:hanging="576"/>
      </w:pPr>
      <w:rPr>
        <w:rFonts w:hint="default"/>
      </w:rPr>
    </w:lvl>
  </w:abstractNum>
  <w:abstractNum w:abstractNumId="30">
    <w:nsid w:val="77ECEA79"/>
    <w:multiLevelType w:val="multilevel"/>
    <w:tmpl w:val="77ECEA79"/>
    <w:lvl w:ilvl="0" w:tentative="0">
      <w:start w:val="9"/>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0"/>
      <w:numFmt w:val="bullet"/>
      <w:lvlText w:val="•"/>
      <w:lvlJc w:val="left"/>
      <w:pPr>
        <w:ind w:left="2429" w:hanging="420"/>
      </w:pPr>
      <w:rPr>
        <w:rFonts w:hint="default"/>
      </w:rPr>
    </w:lvl>
    <w:lvl w:ilvl="3" w:tentative="0">
      <w:start w:val="0"/>
      <w:numFmt w:val="bullet"/>
      <w:lvlText w:val="•"/>
      <w:lvlJc w:val="left"/>
      <w:pPr>
        <w:ind w:left="3384" w:hanging="420"/>
      </w:pPr>
      <w:rPr>
        <w:rFonts w:hint="default"/>
      </w:rPr>
    </w:lvl>
    <w:lvl w:ilvl="4" w:tentative="0">
      <w:start w:val="0"/>
      <w:numFmt w:val="bullet"/>
      <w:lvlText w:val="•"/>
      <w:lvlJc w:val="left"/>
      <w:pPr>
        <w:ind w:left="4338" w:hanging="420"/>
      </w:pPr>
      <w:rPr>
        <w:rFonts w:hint="default"/>
      </w:rPr>
    </w:lvl>
    <w:lvl w:ilvl="5" w:tentative="0">
      <w:start w:val="0"/>
      <w:numFmt w:val="bullet"/>
      <w:lvlText w:val="•"/>
      <w:lvlJc w:val="left"/>
      <w:pPr>
        <w:ind w:left="5293" w:hanging="420"/>
      </w:pPr>
      <w:rPr>
        <w:rFonts w:hint="default"/>
      </w:rPr>
    </w:lvl>
    <w:lvl w:ilvl="6" w:tentative="0">
      <w:start w:val="0"/>
      <w:numFmt w:val="bullet"/>
      <w:lvlText w:val="•"/>
      <w:lvlJc w:val="left"/>
      <w:pPr>
        <w:ind w:left="6248" w:hanging="420"/>
      </w:pPr>
      <w:rPr>
        <w:rFonts w:hint="default"/>
      </w:rPr>
    </w:lvl>
    <w:lvl w:ilvl="7" w:tentative="0">
      <w:start w:val="0"/>
      <w:numFmt w:val="bullet"/>
      <w:lvlText w:val="•"/>
      <w:lvlJc w:val="left"/>
      <w:pPr>
        <w:ind w:left="7202" w:hanging="420"/>
      </w:pPr>
      <w:rPr>
        <w:rFonts w:hint="default"/>
      </w:rPr>
    </w:lvl>
    <w:lvl w:ilvl="8" w:tentative="0">
      <w:start w:val="0"/>
      <w:numFmt w:val="bullet"/>
      <w:lvlText w:val="•"/>
      <w:lvlJc w:val="left"/>
      <w:pPr>
        <w:ind w:left="8157" w:hanging="420"/>
      </w:pPr>
      <w:rPr>
        <w:rFonts w:hint="default"/>
      </w:rPr>
    </w:lvl>
  </w:abstractNum>
  <w:abstractNum w:abstractNumId="31">
    <w:nsid w:val="79AA4FA4"/>
    <w:multiLevelType w:val="multilevel"/>
    <w:tmpl w:val="79AA4FA4"/>
    <w:lvl w:ilvl="0" w:tentative="0">
      <w:start w:val="2"/>
      <w:numFmt w:val="decimal"/>
      <w:lvlText w:val="%1"/>
      <w:lvlJc w:val="left"/>
      <w:pPr>
        <w:ind w:left="112" w:hanging="420"/>
        <w:jc w:val="left"/>
      </w:pPr>
      <w:rPr>
        <w:rFonts w:hint="default"/>
      </w:rPr>
    </w:lvl>
    <w:lvl w:ilvl="1" w:tentative="0">
      <w:start w:val="1"/>
      <w:numFmt w:val="decimal"/>
      <w:lvlText w:val="%1.%2"/>
      <w:lvlJc w:val="left"/>
      <w:pPr>
        <w:ind w:left="112" w:hanging="420"/>
        <w:jc w:val="left"/>
      </w:pPr>
      <w:rPr>
        <w:rFonts w:hint="default" w:ascii="宋体" w:hAnsi="宋体" w:eastAsia="宋体" w:cs="宋体"/>
        <w:spacing w:val="0"/>
        <w:w w:val="99"/>
        <w:sz w:val="21"/>
        <w:szCs w:val="21"/>
      </w:rPr>
    </w:lvl>
    <w:lvl w:ilvl="2" w:tentative="0">
      <w:start w:val="0"/>
      <w:numFmt w:val="bullet"/>
      <w:lvlText w:val="•"/>
      <w:lvlJc w:val="left"/>
      <w:pPr>
        <w:ind w:left="2205" w:hanging="420"/>
      </w:pPr>
      <w:rPr>
        <w:rFonts w:hint="default"/>
      </w:rPr>
    </w:lvl>
    <w:lvl w:ilvl="3" w:tentative="0">
      <w:start w:val="0"/>
      <w:numFmt w:val="bullet"/>
      <w:lvlText w:val="•"/>
      <w:lvlJc w:val="left"/>
      <w:pPr>
        <w:ind w:left="3248" w:hanging="420"/>
      </w:pPr>
      <w:rPr>
        <w:rFonts w:hint="default"/>
      </w:rPr>
    </w:lvl>
    <w:lvl w:ilvl="4" w:tentative="0">
      <w:start w:val="0"/>
      <w:numFmt w:val="bullet"/>
      <w:lvlText w:val="•"/>
      <w:lvlJc w:val="left"/>
      <w:pPr>
        <w:ind w:left="4290" w:hanging="420"/>
      </w:pPr>
      <w:rPr>
        <w:rFonts w:hint="default"/>
      </w:rPr>
    </w:lvl>
    <w:lvl w:ilvl="5" w:tentative="0">
      <w:start w:val="0"/>
      <w:numFmt w:val="bullet"/>
      <w:lvlText w:val="•"/>
      <w:lvlJc w:val="left"/>
      <w:pPr>
        <w:ind w:left="5333" w:hanging="420"/>
      </w:pPr>
      <w:rPr>
        <w:rFonts w:hint="default"/>
      </w:rPr>
    </w:lvl>
    <w:lvl w:ilvl="6" w:tentative="0">
      <w:start w:val="0"/>
      <w:numFmt w:val="bullet"/>
      <w:lvlText w:val="•"/>
      <w:lvlJc w:val="left"/>
      <w:pPr>
        <w:ind w:left="6376" w:hanging="420"/>
      </w:pPr>
      <w:rPr>
        <w:rFonts w:hint="default"/>
      </w:rPr>
    </w:lvl>
    <w:lvl w:ilvl="7" w:tentative="0">
      <w:start w:val="0"/>
      <w:numFmt w:val="bullet"/>
      <w:lvlText w:val="•"/>
      <w:lvlJc w:val="left"/>
      <w:pPr>
        <w:ind w:left="7418" w:hanging="420"/>
      </w:pPr>
      <w:rPr>
        <w:rFonts w:hint="default"/>
      </w:rPr>
    </w:lvl>
    <w:lvl w:ilvl="8" w:tentative="0">
      <w:start w:val="0"/>
      <w:numFmt w:val="bullet"/>
      <w:lvlText w:val="•"/>
      <w:lvlJc w:val="left"/>
      <w:pPr>
        <w:ind w:left="8461" w:hanging="420"/>
      </w:pPr>
      <w:rPr>
        <w:rFonts w:hint="default"/>
      </w:rPr>
    </w:lvl>
  </w:abstractNum>
  <w:abstractNum w:abstractNumId="32">
    <w:nsid w:val="7C246926"/>
    <w:multiLevelType w:val="multilevel"/>
    <w:tmpl w:val="7C246926"/>
    <w:lvl w:ilvl="0" w:tentative="0">
      <w:start w:val="8"/>
      <w:numFmt w:val="decimal"/>
      <w:lvlText w:val="%1"/>
      <w:lvlJc w:val="left"/>
      <w:pPr>
        <w:ind w:left="520" w:hanging="420"/>
        <w:jc w:val="left"/>
      </w:pPr>
      <w:rPr>
        <w:rFonts w:hint="default"/>
      </w:rPr>
    </w:lvl>
    <w:lvl w:ilvl="1" w:tentative="0">
      <w:start w:val="1"/>
      <w:numFmt w:val="decimal"/>
      <w:lvlText w:val="%1.%2"/>
      <w:lvlJc w:val="left"/>
      <w:pPr>
        <w:ind w:left="520" w:hanging="420"/>
        <w:jc w:val="left"/>
      </w:pPr>
      <w:rPr>
        <w:rFonts w:hint="default" w:ascii="宋体" w:hAnsi="宋体" w:eastAsia="宋体" w:cs="宋体"/>
        <w:spacing w:val="0"/>
        <w:w w:val="99"/>
        <w:sz w:val="21"/>
        <w:szCs w:val="21"/>
      </w:rPr>
    </w:lvl>
    <w:lvl w:ilvl="2" w:tentative="0">
      <w:start w:val="0"/>
      <w:numFmt w:val="bullet"/>
      <w:lvlText w:val="•"/>
      <w:lvlJc w:val="left"/>
      <w:pPr>
        <w:ind w:left="2429" w:hanging="420"/>
      </w:pPr>
      <w:rPr>
        <w:rFonts w:hint="default"/>
      </w:rPr>
    </w:lvl>
    <w:lvl w:ilvl="3" w:tentative="0">
      <w:start w:val="0"/>
      <w:numFmt w:val="bullet"/>
      <w:lvlText w:val="•"/>
      <w:lvlJc w:val="left"/>
      <w:pPr>
        <w:ind w:left="3384" w:hanging="420"/>
      </w:pPr>
      <w:rPr>
        <w:rFonts w:hint="default"/>
      </w:rPr>
    </w:lvl>
    <w:lvl w:ilvl="4" w:tentative="0">
      <w:start w:val="0"/>
      <w:numFmt w:val="bullet"/>
      <w:lvlText w:val="•"/>
      <w:lvlJc w:val="left"/>
      <w:pPr>
        <w:ind w:left="4338" w:hanging="420"/>
      </w:pPr>
      <w:rPr>
        <w:rFonts w:hint="default"/>
      </w:rPr>
    </w:lvl>
    <w:lvl w:ilvl="5" w:tentative="0">
      <w:start w:val="0"/>
      <w:numFmt w:val="bullet"/>
      <w:lvlText w:val="•"/>
      <w:lvlJc w:val="left"/>
      <w:pPr>
        <w:ind w:left="5293" w:hanging="420"/>
      </w:pPr>
      <w:rPr>
        <w:rFonts w:hint="default"/>
      </w:rPr>
    </w:lvl>
    <w:lvl w:ilvl="6" w:tentative="0">
      <w:start w:val="0"/>
      <w:numFmt w:val="bullet"/>
      <w:lvlText w:val="•"/>
      <w:lvlJc w:val="left"/>
      <w:pPr>
        <w:ind w:left="6248" w:hanging="420"/>
      </w:pPr>
      <w:rPr>
        <w:rFonts w:hint="default"/>
      </w:rPr>
    </w:lvl>
    <w:lvl w:ilvl="7" w:tentative="0">
      <w:start w:val="0"/>
      <w:numFmt w:val="bullet"/>
      <w:lvlText w:val="•"/>
      <w:lvlJc w:val="left"/>
      <w:pPr>
        <w:ind w:left="7202" w:hanging="420"/>
      </w:pPr>
      <w:rPr>
        <w:rFonts w:hint="default"/>
      </w:rPr>
    </w:lvl>
    <w:lvl w:ilvl="8" w:tentative="0">
      <w:start w:val="0"/>
      <w:numFmt w:val="bullet"/>
      <w:lvlText w:val="•"/>
      <w:lvlJc w:val="left"/>
      <w:pPr>
        <w:ind w:left="8157" w:hanging="420"/>
      </w:pPr>
      <w:rPr>
        <w:rFonts w:hint="default"/>
      </w:rPr>
    </w:lvl>
  </w:abstractNum>
  <w:abstractNum w:abstractNumId="33">
    <w:nsid w:val="7DEC2089"/>
    <w:multiLevelType w:val="multilevel"/>
    <w:tmpl w:val="7DEC2089"/>
    <w:lvl w:ilvl="0" w:tentative="0">
      <w:start w:val="11"/>
      <w:numFmt w:val="decimal"/>
      <w:lvlText w:val="%1"/>
      <w:lvlJc w:val="left"/>
      <w:pPr>
        <w:ind w:left="640" w:hanging="528"/>
        <w:jc w:val="left"/>
      </w:pPr>
      <w:rPr>
        <w:rFonts w:hint="default"/>
      </w:rPr>
    </w:lvl>
    <w:lvl w:ilvl="1" w:tentative="0">
      <w:start w:val="4"/>
      <w:numFmt w:val="decimal"/>
      <w:lvlText w:val="%1.%2"/>
      <w:lvlJc w:val="left"/>
      <w:pPr>
        <w:ind w:left="640" w:hanging="528"/>
        <w:jc w:val="left"/>
      </w:pPr>
      <w:rPr>
        <w:rFonts w:hint="default" w:ascii="宋体" w:hAnsi="宋体" w:eastAsia="宋体" w:cs="宋体"/>
        <w:b/>
        <w:bCs/>
        <w:spacing w:val="-2"/>
        <w:w w:val="98"/>
        <w:sz w:val="21"/>
        <w:szCs w:val="21"/>
      </w:rPr>
    </w:lvl>
    <w:lvl w:ilvl="2" w:tentative="0">
      <w:start w:val="0"/>
      <w:numFmt w:val="bullet"/>
      <w:lvlText w:val="•"/>
      <w:lvlJc w:val="left"/>
      <w:pPr>
        <w:ind w:left="2617" w:hanging="528"/>
      </w:pPr>
      <w:rPr>
        <w:rFonts w:hint="default"/>
      </w:rPr>
    </w:lvl>
    <w:lvl w:ilvl="3" w:tentative="0">
      <w:start w:val="0"/>
      <w:numFmt w:val="bullet"/>
      <w:lvlText w:val="•"/>
      <w:lvlJc w:val="left"/>
      <w:pPr>
        <w:ind w:left="3606" w:hanging="528"/>
      </w:pPr>
      <w:rPr>
        <w:rFonts w:hint="default"/>
      </w:rPr>
    </w:lvl>
    <w:lvl w:ilvl="4" w:tentative="0">
      <w:start w:val="0"/>
      <w:numFmt w:val="bullet"/>
      <w:lvlText w:val="•"/>
      <w:lvlJc w:val="left"/>
      <w:pPr>
        <w:ind w:left="4594" w:hanging="528"/>
      </w:pPr>
      <w:rPr>
        <w:rFonts w:hint="default"/>
      </w:rPr>
    </w:lvl>
    <w:lvl w:ilvl="5" w:tentative="0">
      <w:start w:val="0"/>
      <w:numFmt w:val="bullet"/>
      <w:lvlText w:val="•"/>
      <w:lvlJc w:val="left"/>
      <w:pPr>
        <w:ind w:left="5583" w:hanging="528"/>
      </w:pPr>
      <w:rPr>
        <w:rFonts w:hint="default"/>
      </w:rPr>
    </w:lvl>
    <w:lvl w:ilvl="6" w:tentative="0">
      <w:start w:val="0"/>
      <w:numFmt w:val="bullet"/>
      <w:lvlText w:val="•"/>
      <w:lvlJc w:val="left"/>
      <w:pPr>
        <w:ind w:left="6572" w:hanging="528"/>
      </w:pPr>
      <w:rPr>
        <w:rFonts w:hint="default"/>
      </w:rPr>
    </w:lvl>
    <w:lvl w:ilvl="7" w:tentative="0">
      <w:start w:val="0"/>
      <w:numFmt w:val="bullet"/>
      <w:lvlText w:val="•"/>
      <w:lvlJc w:val="left"/>
      <w:pPr>
        <w:ind w:left="7560" w:hanging="528"/>
      </w:pPr>
      <w:rPr>
        <w:rFonts w:hint="default"/>
      </w:rPr>
    </w:lvl>
    <w:lvl w:ilvl="8" w:tentative="0">
      <w:start w:val="0"/>
      <w:numFmt w:val="bullet"/>
      <w:lvlText w:val="•"/>
      <w:lvlJc w:val="left"/>
      <w:pPr>
        <w:ind w:left="8549" w:hanging="528"/>
      </w:pPr>
      <w:rPr>
        <w:rFonts w:hint="default"/>
      </w:rPr>
    </w:lvl>
  </w:abstractNum>
  <w:num w:numId="1">
    <w:abstractNumId w:val="14"/>
  </w:num>
  <w:num w:numId="2">
    <w:abstractNumId w:val="19"/>
  </w:num>
  <w:num w:numId="3">
    <w:abstractNumId w:val="12"/>
  </w:num>
  <w:num w:numId="4">
    <w:abstractNumId w:val="11"/>
  </w:num>
  <w:num w:numId="5">
    <w:abstractNumId w:val="6"/>
  </w:num>
  <w:num w:numId="6">
    <w:abstractNumId w:val="23"/>
  </w:num>
  <w:num w:numId="7">
    <w:abstractNumId w:val="28"/>
  </w:num>
  <w:num w:numId="8">
    <w:abstractNumId w:val="16"/>
  </w:num>
  <w:num w:numId="9">
    <w:abstractNumId w:val="22"/>
  </w:num>
  <w:num w:numId="10">
    <w:abstractNumId w:val="7"/>
  </w:num>
  <w:num w:numId="11">
    <w:abstractNumId w:val="32"/>
  </w:num>
  <w:num w:numId="12">
    <w:abstractNumId w:val="30"/>
  </w:num>
  <w:num w:numId="13">
    <w:abstractNumId w:val="10"/>
  </w:num>
  <w:num w:numId="14">
    <w:abstractNumId w:val="29"/>
  </w:num>
  <w:num w:numId="15">
    <w:abstractNumId w:val="5"/>
  </w:num>
  <w:num w:numId="16">
    <w:abstractNumId w:val="21"/>
  </w:num>
  <w:num w:numId="17">
    <w:abstractNumId w:val="2"/>
  </w:num>
  <w:num w:numId="18">
    <w:abstractNumId w:val="25"/>
  </w:num>
  <w:num w:numId="19">
    <w:abstractNumId w:val="33"/>
  </w:num>
  <w:num w:numId="20">
    <w:abstractNumId w:val="0"/>
  </w:num>
  <w:num w:numId="21">
    <w:abstractNumId w:val="18"/>
  </w:num>
  <w:num w:numId="22">
    <w:abstractNumId w:val="24"/>
  </w:num>
  <w:num w:numId="23">
    <w:abstractNumId w:val="15"/>
  </w:num>
  <w:num w:numId="24">
    <w:abstractNumId w:val="13"/>
  </w:num>
  <w:num w:numId="25">
    <w:abstractNumId w:val="20"/>
  </w:num>
  <w:num w:numId="26">
    <w:abstractNumId w:val="31"/>
  </w:num>
  <w:num w:numId="27">
    <w:abstractNumId w:val="9"/>
  </w:num>
  <w:num w:numId="28">
    <w:abstractNumId w:val="4"/>
  </w:num>
  <w:num w:numId="29">
    <w:abstractNumId w:val="8"/>
  </w:num>
  <w:num w:numId="30">
    <w:abstractNumId w:val="26"/>
  </w:num>
  <w:num w:numId="31">
    <w:abstractNumId w:val="1"/>
  </w:num>
  <w:num w:numId="32">
    <w:abstractNumId w:val="17"/>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6767"/>
    <w:rsid w:val="04AD2A7B"/>
    <w:rsid w:val="0E587823"/>
    <w:rsid w:val="16BD03A8"/>
    <w:rsid w:val="1D8F180A"/>
    <w:rsid w:val="25607BA3"/>
    <w:rsid w:val="29326DAE"/>
    <w:rsid w:val="2C270F98"/>
    <w:rsid w:val="32B912A1"/>
    <w:rsid w:val="4E181F09"/>
    <w:rsid w:val="4E780482"/>
    <w:rsid w:val="57860523"/>
    <w:rsid w:val="5B367C87"/>
    <w:rsid w:val="5CA445E9"/>
    <w:rsid w:val="5D880BE0"/>
    <w:rsid w:val="6038742C"/>
    <w:rsid w:val="6A887E99"/>
    <w:rsid w:val="6B5D2C77"/>
    <w:rsid w:val="6B69732B"/>
    <w:rsid w:val="6F082F86"/>
    <w:rsid w:val="71476C2D"/>
    <w:rsid w:val="73C02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spacing w:line="1072" w:lineRule="exact"/>
      <w:jc w:val="center"/>
      <w:outlineLvl w:val="1"/>
    </w:pPr>
    <w:rPr>
      <w:rFonts w:ascii="黑体" w:hAnsi="黑体" w:eastAsia="黑体" w:cs="黑体"/>
      <w:b/>
      <w:bCs/>
      <w:sz w:val="84"/>
      <w:szCs w:val="84"/>
    </w:rPr>
  </w:style>
  <w:style w:type="paragraph" w:styleId="5">
    <w:name w:val="heading 2"/>
    <w:basedOn w:val="1"/>
    <w:next w:val="1"/>
    <w:qFormat/>
    <w:uiPriority w:val="1"/>
    <w:pPr>
      <w:ind w:left="3392"/>
      <w:outlineLvl w:val="2"/>
    </w:pPr>
    <w:rPr>
      <w:rFonts w:ascii="黑体" w:hAnsi="黑体" w:eastAsia="黑体" w:cs="黑体"/>
      <w:sz w:val="52"/>
      <w:szCs w:val="52"/>
    </w:rPr>
  </w:style>
  <w:style w:type="paragraph" w:styleId="6">
    <w:name w:val="heading 3"/>
    <w:basedOn w:val="1"/>
    <w:next w:val="1"/>
    <w:qFormat/>
    <w:uiPriority w:val="1"/>
    <w:pPr>
      <w:spacing w:before="1"/>
      <w:jc w:val="center"/>
      <w:outlineLvl w:val="3"/>
    </w:pPr>
    <w:rPr>
      <w:rFonts w:ascii="黑体" w:hAnsi="黑体" w:eastAsia="黑体" w:cs="黑体"/>
      <w:b/>
      <w:bCs/>
      <w:sz w:val="32"/>
      <w:szCs w:val="32"/>
    </w:rPr>
  </w:style>
  <w:style w:type="paragraph" w:styleId="7">
    <w:name w:val="heading 4"/>
    <w:basedOn w:val="1"/>
    <w:next w:val="1"/>
    <w:qFormat/>
    <w:uiPriority w:val="1"/>
    <w:pPr>
      <w:spacing w:before="1"/>
      <w:ind w:left="4172"/>
      <w:outlineLvl w:val="4"/>
    </w:pPr>
    <w:rPr>
      <w:rFonts w:ascii="黑体" w:hAnsi="黑体" w:eastAsia="黑体" w:cs="黑体"/>
      <w:sz w:val="32"/>
      <w:szCs w:val="32"/>
    </w:rPr>
  </w:style>
  <w:style w:type="paragraph" w:styleId="8">
    <w:name w:val="heading 5"/>
    <w:basedOn w:val="1"/>
    <w:next w:val="1"/>
    <w:qFormat/>
    <w:uiPriority w:val="1"/>
    <w:pPr>
      <w:spacing w:before="14"/>
      <w:ind w:left="112"/>
      <w:outlineLvl w:val="5"/>
    </w:pPr>
    <w:rPr>
      <w:rFonts w:ascii="黑体" w:hAnsi="黑体" w:eastAsia="黑体" w:cs="黑体"/>
      <w:b/>
      <w:bCs/>
      <w:sz w:val="28"/>
      <w:szCs w:val="28"/>
    </w:rPr>
  </w:style>
  <w:style w:type="paragraph" w:styleId="9">
    <w:name w:val="heading 6"/>
    <w:basedOn w:val="1"/>
    <w:next w:val="1"/>
    <w:qFormat/>
    <w:uiPriority w:val="1"/>
    <w:pPr>
      <w:spacing w:before="35"/>
      <w:ind w:left="112"/>
      <w:outlineLvl w:val="6"/>
    </w:pPr>
    <w:rPr>
      <w:rFonts w:ascii="宋体" w:hAnsi="宋体" w:eastAsia="宋体" w:cs="宋体"/>
      <w:b/>
      <w:bCs/>
      <w:sz w:val="21"/>
      <w:szCs w:val="21"/>
    </w:rPr>
  </w:style>
  <w:style w:type="character" w:default="1" w:styleId="15">
    <w:name w:val="Default Paragraph Font"/>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1"/>
    <w:rPr>
      <w:rFonts w:ascii="宋体" w:hAnsi="宋体" w:eastAsia="宋体" w:cs="宋体"/>
      <w:sz w:val="21"/>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170"/>
      <w:ind w:left="100"/>
    </w:pPr>
    <w:rPr>
      <w:rFonts w:ascii="黑体" w:hAnsi="黑体" w:eastAsia="黑体" w:cs="黑体"/>
      <w:sz w:val="21"/>
      <w:szCs w:val="21"/>
    </w:rPr>
  </w:style>
  <w:style w:type="paragraph" w:styleId="13">
    <w:name w:val="toc 2"/>
    <w:basedOn w:val="1"/>
    <w:next w:val="1"/>
    <w:qFormat/>
    <w:uiPriority w:val="1"/>
    <w:pPr>
      <w:spacing w:line="272" w:lineRule="exact"/>
      <w:ind w:left="940" w:hanging="420"/>
    </w:pPr>
    <w:rPr>
      <w:rFonts w:ascii="宋体" w:hAnsi="宋体" w:eastAsia="宋体" w:cs="宋体"/>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00" w:hanging="420"/>
    </w:pPr>
    <w:rPr>
      <w:rFonts w:ascii="宋体" w:hAnsi="宋体" w:eastAsia="宋体" w:cs="宋体"/>
    </w:r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61956</Words>
  <Characters>64404</Characters>
  <TotalTime>59</TotalTime>
  <ScaleCrop>false</ScaleCrop>
  <LinksUpToDate>false</LinksUpToDate>
  <CharactersWithSpaces>67824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2020-06-05T12:40:00Z</dcterms:created>
  <dc:creator>微软用户</dc:creator>
  <cp:lastModifiedBy>昭子</cp:lastModifiedBy>
  <dcterms:modified xsi:type="dcterms:W3CDTF">2020-06-11T03:52:30Z</dcterms:modified>
  <dc:title>广西壮族自治区房屋建筑和市政工程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WPS 文字</vt:lpwstr>
  </property>
  <property fmtid="{D5CDD505-2E9C-101B-9397-08002B2CF9AE}" pid="4" name="LastSaved">
    <vt:filetime>2020-06-05T00:00:00Z</vt:filetime>
  </property>
  <property fmtid="{D5CDD505-2E9C-101B-9397-08002B2CF9AE}" pid="5" name="KSOProductBuildVer">
    <vt:lpwstr>2052-11.1.0.9740</vt:lpwstr>
  </property>
</Properties>
</file>