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asciiTheme="minorEastAsia" w:hAnsiTheme="minorEastAsia" w:eastAsiaTheme="minorEastAsia" w:cstheme="minorEastAsia"/>
          <w:color w:val="auto"/>
          <w:sz w:val="26"/>
          <w:highlight w:val="none"/>
        </w:rPr>
      </w:pPr>
      <w:bookmarkStart w:id="0" w:name="_Toc9004571"/>
      <w:bookmarkStart w:id="1" w:name="_Toc338662954"/>
    </w:p>
    <w:p>
      <w:pPr>
        <w:spacing w:before="16"/>
        <w:ind w:left="150" w:right="167"/>
        <w:jc w:val="center"/>
        <w:rPr>
          <w:rFonts w:asciiTheme="minorEastAsia" w:hAnsiTheme="minorEastAsia" w:eastAsiaTheme="minorEastAsia" w:cstheme="minorEastAsia"/>
          <w:b/>
          <w:color w:val="auto"/>
          <w:sz w:val="60"/>
          <w:highlight w:val="none"/>
        </w:rPr>
      </w:pPr>
      <w:r>
        <w:rPr>
          <w:rFonts w:hint="eastAsia" w:asciiTheme="minorEastAsia" w:hAnsiTheme="minorEastAsia" w:eastAsiaTheme="minorEastAsia" w:cstheme="minorEastAsia"/>
          <w:b/>
          <w:color w:val="auto"/>
          <w:sz w:val="60"/>
          <w:highlight w:val="none"/>
        </w:rPr>
        <w:t>广西汇益招标咨询有限公司</w:t>
      </w:r>
    </w:p>
    <w:p>
      <w:pPr>
        <w:pStyle w:val="2"/>
        <w:rPr>
          <w:rFonts w:asciiTheme="minorEastAsia" w:hAnsiTheme="minorEastAsia" w:eastAsiaTheme="minorEastAsia" w:cstheme="minorEastAsia"/>
          <w:b/>
          <w:color w:val="auto"/>
          <w:sz w:val="79"/>
          <w:highlight w:val="none"/>
        </w:rPr>
      </w:pPr>
    </w:p>
    <w:p>
      <w:pPr>
        <w:ind w:left="150" w:right="136"/>
        <w:jc w:val="center"/>
        <w:rPr>
          <w:rFonts w:asciiTheme="minorEastAsia" w:hAnsiTheme="minorEastAsia" w:eastAsiaTheme="minorEastAsia" w:cstheme="minorEastAsia"/>
          <w:b/>
          <w:color w:val="auto"/>
          <w:sz w:val="132"/>
          <w:highlight w:val="none"/>
        </w:rPr>
      </w:pPr>
      <w:r>
        <w:rPr>
          <w:rFonts w:hint="eastAsia" w:asciiTheme="minorEastAsia" w:hAnsiTheme="minorEastAsia" w:eastAsiaTheme="minorEastAsia" w:cstheme="minorEastAsia"/>
          <w:b/>
          <w:color w:val="auto"/>
          <w:spacing w:val="93"/>
          <w:sz w:val="132"/>
          <w:highlight w:val="none"/>
        </w:rPr>
        <w:t>招标文件</w:t>
      </w:r>
    </w:p>
    <w:p>
      <w:pPr>
        <w:pStyle w:val="2"/>
        <w:spacing w:before="4"/>
        <w:jc w:val="left"/>
        <w:rPr>
          <w:rFonts w:asciiTheme="minorEastAsia" w:hAnsiTheme="minorEastAsia" w:eastAsiaTheme="minorEastAsia" w:cstheme="minorEastAsia"/>
          <w:b/>
          <w:color w:val="auto"/>
          <w:sz w:val="184"/>
          <w:highlight w:val="none"/>
        </w:rPr>
      </w:pPr>
    </w:p>
    <w:p>
      <w:pPr>
        <w:spacing w:before="242" w:line="360" w:lineRule="auto"/>
        <w:ind w:firstLine="1285" w:firstLineChars="400"/>
        <w:rPr>
          <w:color w:val="auto"/>
          <w:highlight w:val="none"/>
        </w:rPr>
      </w:pPr>
      <w:r>
        <w:rPr>
          <w:rFonts w:hint="eastAsia" w:asciiTheme="minorEastAsia" w:hAnsiTheme="minorEastAsia" w:eastAsiaTheme="minorEastAsia" w:cstheme="minorEastAsia"/>
          <w:b/>
          <w:color w:val="auto"/>
          <w:sz w:val="32"/>
          <w:szCs w:val="32"/>
          <w:highlight w:val="none"/>
        </w:rPr>
        <w:t>项 目 名 称 ：广西桂林市兴安县水系连通及农村水系综合整治试点工程（灵渠监控及预警综合自动化系统）（重</w:t>
      </w:r>
      <w:r>
        <w:rPr>
          <w:rFonts w:hint="eastAsia" w:asciiTheme="minorEastAsia" w:hAnsiTheme="minorEastAsia" w:eastAsiaTheme="minorEastAsia" w:cstheme="minorEastAsia"/>
          <w:b/>
          <w:color w:val="auto"/>
          <w:sz w:val="32"/>
          <w:szCs w:val="32"/>
          <w:highlight w:val="none"/>
          <w:lang w:val="en-US" w:eastAsia="zh-CN"/>
        </w:rPr>
        <w:t>3</w:t>
      </w:r>
      <w:r>
        <w:rPr>
          <w:rFonts w:hint="eastAsia" w:asciiTheme="minorEastAsia" w:hAnsiTheme="minorEastAsia" w:eastAsiaTheme="minorEastAsia" w:cstheme="minorEastAsia"/>
          <w:b/>
          <w:color w:val="auto"/>
          <w:sz w:val="32"/>
          <w:szCs w:val="32"/>
          <w:highlight w:val="none"/>
        </w:rPr>
        <w:t>）</w:t>
      </w:r>
    </w:p>
    <w:p>
      <w:pPr>
        <w:spacing w:before="242" w:line="360" w:lineRule="auto"/>
        <w:ind w:firstLine="1285" w:firstLineChars="400"/>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项 目 编 号 ：GLZC2020-G1-250084-GXHY-C</w:t>
      </w:r>
      <w:r>
        <w:rPr>
          <w:rFonts w:hint="eastAsia" w:asciiTheme="minorEastAsia" w:hAnsiTheme="minorEastAsia" w:eastAsiaTheme="minorEastAsia" w:cstheme="minorEastAsia"/>
          <w:b/>
          <w:color w:val="auto"/>
          <w:sz w:val="32"/>
          <w:szCs w:val="32"/>
          <w:highlight w:val="none"/>
          <w:lang w:val="en-US" w:eastAsia="zh-CN"/>
        </w:rPr>
        <w:t>3</w:t>
      </w:r>
    </w:p>
    <w:p>
      <w:pPr>
        <w:pStyle w:val="2"/>
        <w:jc w:val="left"/>
        <w:rPr>
          <w:rFonts w:asciiTheme="minorEastAsia" w:hAnsiTheme="minorEastAsia" w:eastAsiaTheme="minorEastAsia" w:cstheme="minorEastAsia"/>
          <w:b/>
          <w:color w:val="auto"/>
          <w:sz w:val="32"/>
          <w:highlight w:val="none"/>
        </w:rPr>
      </w:pPr>
    </w:p>
    <w:p>
      <w:pPr>
        <w:pStyle w:val="2"/>
        <w:rPr>
          <w:rFonts w:asciiTheme="minorEastAsia" w:hAnsiTheme="minorEastAsia" w:eastAsiaTheme="minorEastAsia" w:cstheme="minorEastAsia"/>
          <w:b/>
          <w:color w:val="auto"/>
          <w:sz w:val="32"/>
          <w:highlight w:val="none"/>
        </w:rPr>
      </w:pPr>
    </w:p>
    <w:p>
      <w:pPr>
        <w:pStyle w:val="2"/>
        <w:rPr>
          <w:rFonts w:asciiTheme="minorEastAsia" w:hAnsiTheme="minorEastAsia" w:eastAsiaTheme="minorEastAsia" w:cstheme="minorEastAsia"/>
          <w:b/>
          <w:color w:val="auto"/>
          <w:sz w:val="32"/>
          <w:highlight w:val="none"/>
        </w:rPr>
      </w:pPr>
    </w:p>
    <w:p>
      <w:pPr>
        <w:pStyle w:val="2"/>
        <w:spacing w:before="11"/>
        <w:rPr>
          <w:rFonts w:asciiTheme="minorEastAsia" w:hAnsiTheme="minorEastAsia" w:eastAsiaTheme="minorEastAsia" w:cstheme="minorEastAsia"/>
          <w:b/>
          <w:color w:val="auto"/>
          <w:sz w:val="42"/>
          <w:highlight w:val="none"/>
        </w:rPr>
      </w:pPr>
    </w:p>
    <w:p>
      <w:pPr>
        <w:spacing w:before="1" w:line="487" w:lineRule="auto"/>
        <w:ind w:right="1430" w:firstLine="611" w:firstLineChars="200"/>
        <w:jc w:val="center"/>
        <w:rPr>
          <w:rFonts w:asciiTheme="minorEastAsia" w:hAnsiTheme="minorEastAsia" w:eastAsiaTheme="minorEastAsia" w:cstheme="minorEastAsia"/>
          <w:b/>
          <w:color w:val="auto"/>
          <w:w w:val="95"/>
          <w:sz w:val="32"/>
          <w:highlight w:val="none"/>
        </w:rPr>
      </w:pPr>
      <w:r>
        <w:rPr>
          <w:rFonts w:hint="eastAsia" w:asciiTheme="minorEastAsia" w:hAnsiTheme="minorEastAsia" w:eastAsiaTheme="minorEastAsia" w:cstheme="minorEastAsia"/>
          <w:b/>
          <w:color w:val="auto"/>
          <w:w w:val="95"/>
          <w:sz w:val="32"/>
          <w:highlight w:val="none"/>
        </w:rPr>
        <w:t>采购代理机构：广西汇益招标咨询有限公司</w:t>
      </w:r>
    </w:p>
    <w:p>
      <w:pPr>
        <w:tabs>
          <w:tab w:val="left" w:pos="1540"/>
        </w:tabs>
        <w:spacing w:before="21"/>
        <w:ind w:right="380"/>
        <w:jc w:val="center"/>
        <w:rPr>
          <w:rFonts w:asciiTheme="minorEastAsia" w:hAnsiTheme="minorEastAsia" w:eastAsiaTheme="minorEastAsia" w:cstheme="minorEastAsia"/>
          <w:b/>
          <w:color w:val="auto"/>
          <w:spacing w:val="-54"/>
          <w:sz w:val="32"/>
          <w:highlight w:val="none"/>
        </w:rPr>
      </w:pPr>
      <w:r>
        <w:rPr>
          <w:rFonts w:hint="eastAsia" w:asciiTheme="minorEastAsia" w:hAnsiTheme="minorEastAsia" w:eastAsiaTheme="minorEastAsia" w:cstheme="minorEastAsia"/>
          <w:b/>
          <w:color w:val="auto"/>
          <w:sz w:val="32"/>
          <w:highlight w:val="none"/>
        </w:rPr>
        <w:t>2021</w:t>
      </w:r>
      <w:r>
        <w:rPr>
          <w:rFonts w:hint="eastAsia" w:asciiTheme="minorEastAsia" w:hAnsiTheme="minorEastAsia" w:eastAsiaTheme="minorEastAsia" w:cstheme="minorEastAsia"/>
          <w:b/>
          <w:color w:val="auto"/>
          <w:spacing w:val="-54"/>
          <w:sz w:val="32"/>
          <w:highlight w:val="none"/>
        </w:rPr>
        <w:t xml:space="preserve"> 年  </w:t>
      </w:r>
      <w:r>
        <w:rPr>
          <w:rFonts w:hint="eastAsia" w:asciiTheme="minorEastAsia" w:hAnsiTheme="minorEastAsia" w:eastAsiaTheme="minorEastAsia" w:cstheme="minorEastAsia"/>
          <w:b/>
          <w:color w:val="auto"/>
          <w:spacing w:val="-54"/>
          <w:sz w:val="32"/>
          <w:highlight w:val="none"/>
          <w:lang w:val="en-US" w:eastAsia="zh-CN"/>
        </w:rPr>
        <w:t>4</w:t>
      </w:r>
      <w:r>
        <w:rPr>
          <w:rFonts w:hint="eastAsia" w:asciiTheme="minorEastAsia" w:hAnsiTheme="minorEastAsia" w:eastAsiaTheme="minorEastAsia" w:cstheme="minorEastAsia"/>
          <w:b/>
          <w:color w:val="auto"/>
          <w:spacing w:val="-54"/>
          <w:sz w:val="32"/>
          <w:highlight w:val="none"/>
        </w:rPr>
        <w:t>月</w:t>
      </w:r>
    </w:p>
    <w:p>
      <w:pPr>
        <w:tabs>
          <w:tab w:val="left" w:pos="1540"/>
        </w:tabs>
        <w:spacing w:before="21"/>
        <w:ind w:right="380"/>
        <w:jc w:val="center"/>
        <w:rPr>
          <w:rFonts w:asciiTheme="minorEastAsia" w:hAnsiTheme="minorEastAsia" w:eastAsiaTheme="minorEastAsia" w:cstheme="minorEastAsia"/>
          <w:b/>
          <w:color w:val="auto"/>
          <w:sz w:val="32"/>
          <w:highlight w:val="none"/>
        </w:rPr>
      </w:pPr>
    </w:p>
    <w:p>
      <w:pPr>
        <w:tabs>
          <w:tab w:val="left" w:pos="1540"/>
        </w:tabs>
        <w:spacing w:before="21"/>
        <w:ind w:right="380"/>
        <w:jc w:val="center"/>
        <w:rPr>
          <w:rFonts w:asciiTheme="minorEastAsia" w:hAnsiTheme="minorEastAsia" w:eastAsiaTheme="minorEastAsia" w:cstheme="minorEastAsia"/>
          <w:b/>
          <w:color w:val="auto"/>
          <w:spacing w:val="-54"/>
          <w:sz w:val="32"/>
          <w:highlight w:val="none"/>
        </w:rPr>
      </w:pPr>
    </w:p>
    <w:p>
      <w:pPr>
        <w:tabs>
          <w:tab w:val="left" w:pos="1540"/>
        </w:tabs>
        <w:spacing w:before="21"/>
        <w:ind w:right="380"/>
        <w:jc w:val="center"/>
        <w:rPr>
          <w:rFonts w:asciiTheme="minorEastAsia" w:hAnsiTheme="minorEastAsia" w:eastAsiaTheme="minorEastAsia" w:cstheme="minorEastAsia"/>
          <w:b/>
          <w:color w:val="auto"/>
          <w:spacing w:val="-54"/>
          <w:sz w:val="32"/>
          <w:highlight w:val="none"/>
        </w:rPr>
      </w:pPr>
    </w:p>
    <w:p>
      <w:pPr>
        <w:tabs>
          <w:tab w:val="left" w:pos="1540"/>
        </w:tabs>
        <w:spacing w:before="21"/>
        <w:ind w:right="380"/>
        <w:jc w:val="center"/>
        <w:rPr>
          <w:rFonts w:asciiTheme="minorEastAsia" w:hAnsiTheme="minorEastAsia" w:eastAsiaTheme="minorEastAsia" w:cstheme="minorEastAsia"/>
          <w:b/>
          <w:color w:val="auto"/>
          <w:spacing w:val="-54"/>
          <w:sz w:val="32"/>
          <w:highlight w:val="none"/>
        </w:rPr>
        <w:sectPr>
          <w:pgSz w:w="12240" w:h="15840"/>
          <w:pgMar w:top="1400" w:right="640" w:bottom="280" w:left="1020" w:header="720" w:footer="720" w:gutter="0"/>
          <w:cols w:space="720" w:num="1"/>
        </w:sectPr>
      </w:pPr>
    </w:p>
    <w:p>
      <w:pPr>
        <w:pStyle w:val="139"/>
        <w:rPr>
          <w:rFonts w:asciiTheme="minorEastAsia" w:hAnsiTheme="minorEastAsia" w:eastAsiaTheme="minorEastAsia" w:cstheme="minorEastAsia"/>
          <w:color w:val="auto"/>
          <w:highlight w:val="none"/>
        </w:rPr>
      </w:pPr>
    </w:p>
    <w:p>
      <w:pPr>
        <w:tabs>
          <w:tab w:val="left" w:pos="1540"/>
        </w:tabs>
        <w:spacing w:before="21"/>
        <w:ind w:right="380"/>
        <w:jc w:val="center"/>
        <w:rPr>
          <w:rFonts w:asciiTheme="minorEastAsia" w:hAnsiTheme="minorEastAsia" w:eastAsiaTheme="minorEastAsia" w:cstheme="minorEastAsia"/>
          <w:b/>
          <w:color w:val="auto"/>
          <w:spacing w:val="-54"/>
          <w:sz w:val="32"/>
          <w:highlight w:val="none"/>
        </w:rPr>
      </w:pPr>
    </w:p>
    <w:p>
      <w:pPr>
        <w:tabs>
          <w:tab w:val="left" w:pos="1540"/>
        </w:tabs>
        <w:spacing w:before="21"/>
        <w:ind w:right="380"/>
        <w:jc w:val="center"/>
        <w:rPr>
          <w:rFonts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t>目</w:t>
      </w:r>
      <w:r>
        <w:rPr>
          <w:rFonts w:hint="eastAsia" w:asciiTheme="minorEastAsia" w:hAnsiTheme="minorEastAsia" w:eastAsiaTheme="minorEastAsia" w:cstheme="minorEastAsia"/>
          <w:color w:val="auto"/>
          <w:sz w:val="44"/>
          <w:highlight w:val="none"/>
        </w:rPr>
        <w:tab/>
      </w:r>
      <w:r>
        <w:rPr>
          <w:rFonts w:hint="eastAsia" w:asciiTheme="minorEastAsia" w:hAnsiTheme="minorEastAsia" w:eastAsiaTheme="minorEastAsia" w:cstheme="minorEastAsia"/>
          <w:color w:val="auto"/>
          <w:sz w:val="44"/>
          <w:highlight w:val="none"/>
        </w:rPr>
        <w:t>录</w:t>
      </w:r>
    </w:p>
    <w:sdt>
      <w:sdtPr>
        <w:rPr>
          <w:rFonts w:hint="eastAsia" w:asciiTheme="minorEastAsia" w:hAnsiTheme="minorEastAsia" w:eastAsiaTheme="minorEastAsia" w:cstheme="minorEastAsia"/>
          <w:color w:val="auto"/>
          <w:highlight w:val="none"/>
        </w:rPr>
        <w:id w:val="147480711"/>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rPr>
      </w:sdtEndPr>
      <w:sdtContent>
        <w:p>
          <w:pPr>
            <w:jc w:val="center"/>
            <w:rPr>
              <w:rFonts w:asciiTheme="minorEastAsia" w:hAnsiTheme="minorEastAsia" w:eastAsiaTheme="minorEastAsia" w:cstheme="minorEastAsia"/>
              <w:color w:val="auto"/>
              <w:highlight w:val="none"/>
            </w:rPr>
          </w:pPr>
        </w:p>
        <w:p>
          <w:pPr>
            <w:pStyle w:val="730"/>
            <w:tabs>
              <w:tab w:val="right" w:pos="2400"/>
              <w:tab w:val="right" w:leader="dot" w:pos="10580"/>
            </w:tabs>
            <w:spacing w:line="60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"_Toc21085" </w:instrText>
          </w:r>
          <w:r>
            <w:rPr>
              <w:color w:val="auto"/>
              <w:highlight w:val="none"/>
            </w:rPr>
            <w:fldChar w:fldCharType="separate"/>
          </w:r>
          <w:r>
            <w:rPr>
              <w:rFonts w:hint="eastAsia" w:asciiTheme="minorEastAsia" w:hAnsiTheme="minorEastAsia" w:eastAsiaTheme="minorEastAsia" w:cstheme="minorEastAsia"/>
              <w:color w:val="auto"/>
              <w:spacing w:val="40"/>
              <w:sz w:val="28"/>
              <w:szCs w:val="28"/>
              <w:highlight w:val="none"/>
            </w:rPr>
            <w:t>第</w:t>
          </w:r>
          <w:r>
            <w:rPr>
              <w:rFonts w:hint="eastAsia" w:asciiTheme="minorEastAsia" w:hAnsiTheme="minorEastAsia" w:eastAsiaTheme="minorEastAsia" w:cstheme="minorEastAsia"/>
              <w:color w:val="auto"/>
              <w:spacing w:val="43"/>
              <w:sz w:val="28"/>
              <w:szCs w:val="28"/>
              <w:highlight w:val="none"/>
            </w:rPr>
            <w:t>一</w:t>
          </w:r>
          <w:r>
            <w:rPr>
              <w:rFonts w:hint="eastAsia" w:asciiTheme="minorEastAsia" w:hAnsiTheme="minorEastAsia" w:eastAsiaTheme="minorEastAsia" w:cstheme="minorEastAsia"/>
              <w:color w:val="auto"/>
              <w:sz w:val="28"/>
              <w:szCs w:val="28"/>
              <w:highlight w:val="none"/>
            </w:rPr>
            <w:t>章</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40"/>
              <w:sz w:val="28"/>
              <w:szCs w:val="28"/>
              <w:highlight w:val="none"/>
            </w:rPr>
            <w:t>公</w:t>
          </w:r>
          <w:r>
            <w:rPr>
              <w:rFonts w:hint="eastAsia" w:asciiTheme="minorEastAsia" w:hAnsiTheme="minorEastAsia" w:eastAsiaTheme="minorEastAsia" w:cstheme="minorEastAsia"/>
              <w:color w:val="auto"/>
              <w:spacing w:val="43"/>
              <w:sz w:val="28"/>
              <w:szCs w:val="28"/>
              <w:highlight w:val="none"/>
            </w:rPr>
            <w:t>开</w:t>
          </w:r>
          <w:r>
            <w:rPr>
              <w:rFonts w:hint="eastAsia" w:asciiTheme="minorEastAsia" w:hAnsiTheme="minorEastAsia" w:eastAsiaTheme="minorEastAsia" w:cstheme="minorEastAsia"/>
              <w:color w:val="auto"/>
              <w:spacing w:val="40"/>
              <w:sz w:val="28"/>
              <w:szCs w:val="28"/>
              <w:highlight w:val="none"/>
            </w:rPr>
            <w:t>招标公</w:t>
          </w:r>
          <w:r>
            <w:rPr>
              <w:rFonts w:hint="eastAsia" w:asciiTheme="minorEastAsia" w:hAnsiTheme="minorEastAsia" w:eastAsiaTheme="minorEastAsia" w:cstheme="minorEastAsia"/>
              <w:color w:val="auto"/>
              <w:sz w:val="28"/>
              <w:szCs w:val="28"/>
              <w:highlight w:val="none"/>
            </w:rPr>
            <w:t>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_Toc21085 </w:instrText>
          </w:r>
          <w:r>
            <w:rPr>
              <w:rFonts w:hint="eastAsia" w:asciiTheme="minorEastAsia" w:hAnsiTheme="minorEastAsia" w:eastAsiaTheme="minorEastAsia" w:cstheme="minorEastAsia"/>
              <w:color w:val="auto"/>
              <w:sz w:val="28"/>
              <w:szCs w:val="28"/>
              <w:highlight w:val="none"/>
            </w:rPr>
            <w:fldChar w:fldCharType="separate"/>
          </w:r>
          <w:r>
            <w:rPr>
              <w:rFonts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30"/>
            <w:tabs>
              <w:tab w:val="right" w:pos="2400"/>
              <w:tab w:val="right" w:leader="dot" w:pos="1058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"_Toc7723" </w:instrText>
          </w:r>
          <w:r>
            <w:rPr>
              <w:color w:val="auto"/>
              <w:highlight w:val="none"/>
            </w:rPr>
            <w:fldChar w:fldCharType="separate"/>
          </w:r>
          <w:r>
            <w:rPr>
              <w:rFonts w:hint="eastAsia" w:asciiTheme="minorEastAsia" w:hAnsiTheme="minorEastAsia" w:eastAsiaTheme="minorEastAsia" w:cstheme="minorEastAsia"/>
              <w:color w:val="auto"/>
              <w:spacing w:val="40"/>
              <w:sz w:val="28"/>
              <w:szCs w:val="28"/>
              <w:highlight w:val="none"/>
            </w:rPr>
            <w:t>第</w:t>
          </w:r>
          <w:r>
            <w:rPr>
              <w:rFonts w:hint="eastAsia" w:asciiTheme="minorEastAsia" w:hAnsiTheme="minorEastAsia" w:eastAsiaTheme="minorEastAsia" w:cstheme="minorEastAsia"/>
              <w:color w:val="auto"/>
              <w:spacing w:val="43"/>
              <w:sz w:val="28"/>
              <w:szCs w:val="28"/>
              <w:highlight w:val="none"/>
            </w:rPr>
            <w:t>二</w:t>
          </w:r>
          <w:r>
            <w:rPr>
              <w:rFonts w:hint="eastAsia" w:asciiTheme="minorEastAsia" w:hAnsiTheme="minorEastAsia" w:eastAsiaTheme="minorEastAsia" w:cstheme="minorEastAsia"/>
              <w:color w:val="auto"/>
              <w:sz w:val="28"/>
              <w:szCs w:val="28"/>
              <w:highlight w:val="none"/>
            </w:rPr>
            <w:t>章</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40"/>
              <w:sz w:val="28"/>
              <w:szCs w:val="28"/>
              <w:highlight w:val="none"/>
            </w:rPr>
            <w:t>投</w:t>
          </w:r>
          <w:r>
            <w:rPr>
              <w:rFonts w:hint="eastAsia" w:asciiTheme="minorEastAsia" w:hAnsiTheme="minorEastAsia" w:eastAsiaTheme="minorEastAsia" w:cstheme="minorEastAsia"/>
              <w:color w:val="auto"/>
              <w:spacing w:val="43"/>
              <w:sz w:val="28"/>
              <w:szCs w:val="28"/>
              <w:highlight w:val="none"/>
            </w:rPr>
            <w:t>标</w:t>
          </w:r>
          <w:r>
            <w:rPr>
              <w:rFonts w:hint="eastAsia" w:asciiTheme="minorEastAsia" w:hAnsiTheme="minorEastAsia" w:eastAsiaTheme="minorEastAsia" w:cstheme="minorEastAsia"/>
              <w:color w:val="auto"/>
              <w:spacing w:val="40"/>
              <w:sz w:val="28"/>
              <w:szCs w:val="28"/>
              <w:highlight w:val="none"/>
            </w:rPr>
            <w:t>人须</w:t>
          </w:r>
          <w:r>
            <w:rPr>
              <w:rFonts w:hint="eastAsia" w:asciiTheme="minorEastAsia" w:hAnsiTheme="minorEastAsia" w:eastAsiaTheme="minorEastAsia" w:cstheme="minorEastAsia"/>
              <w:color w:val="auto"/>
              <w:sz w:val="28"/>
              <w:szCs w:val="28"/>
              <w:highlight w:val="none"/>
            </w:rPr>
            <w:t>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_Toc7723 </w:instrText>
          </w:r>
          <w:r>
            <w:rPr>
              <w:rFonts w:hint="eastAsia" w:asciiTheme="minorEastAsia" w:hAnsiTheme="minorEastAsia" w:eastAsiaTheme="minorEastAsia" w:cstheme="minorEastAsia"/>
              <w:color w:val="auto"/>
              <w:sz w:val="28"/>
              <w:szCs w:val="28"/>
              <w:highlight w:val="none"/>
            </w:rPr>
            <w:fldChar w:fldCharType="separate"/>
          </w:r>
          <w:r>
            <w:rPr>
              <w:rFonts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30"/>
            <w:tabs>
              <w:tab w:val="right" w:leader="dot" w:pos="1058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"_Toc2484"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 三 章      项目需求及说明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_Toc2484 </w:instrText>
          </w:r>
          <w:r>
            <w:rPr>
              <w:rFonts w:hint="eastAsia" w:asciiTheme="minorEastAsia" w:hAnsiTheme="minorEastAsia" w:eastAsiaTheme="minorEastAsia" w:cstheme="minorEastAsia"/>
              <w:color w:val="auto"/>
              <w:sz w:val="28"/>
              <w:szCs w:val="28"/>
              <w:highlight w:val="none"/>
            </w:rPr>
            <w:fldChar w:fldCharType="separate"/>
          </w:r>
          <w:r>
            <w:rPr>
              <w:rFonts w:asciiTheme="minorEastAsia" w:hAnsiTheme="minorEastAsia" w:eastAsiaTheme="minorEastAsia" w:cstheme="minorEastAsia"/>
              <w:color w:val="auto"/>
              <w:sz w:val="28"/>
              <w:szCs w:val="28"/>
              <w:highlight w:val="none"/>
            </w:rPr>
            <w:t>23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30"/>
            <w:tabs>
              <w:tab w:val="right" w:pos="2400"/>
              <w:tab w:val="right" w:leader="dot" w:pos="1058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"_Toc28849" </w:instrText>
          </w:r>
          <w:r>
            <w:rPr>
              <w:color w:val="auto"/>
              <w:highlight w:val="none"/>
            </w:rPr>
            <w:fldChar w:fldCharType="separate"/>
          </w:r>
          <w:r>
            <w:rPr>
              <w:rFonts w:hint="eastAsia" w:asciiTheme="minorEastAsia" w:hAnsiTheme="minorEastAsia" w:eastAsiaTheme="minorEastAsia" w:cstheme="minorEastAsia"/>
              <w:color w:val="auto"/>
              <w:spacing w:val="40"/>
              <w:sz w:val="28"/>
              <w:szCs w:val="28"/>
              <w:highlight w:val="none"/>
            </w:rPr>
            <w:t>第</w:t>
          </w:r>
          <w:r>
            <w:rPr>
              <w:rFonts w:hint="eastAsia" w:asciiTheme="minorEastAsia" w:hAnsiTheme="minorEastAsia" w:eastAsiaTheme="minorEastAsia" w:cstheme="minorEastAsia"/>
              <w:color w:val="auto"/>
              <w:spacing w:val="43"/>
              <w:sz w:val="28"/>
              <w:szCs w:val="28"/>
              <w:highlight w:val="none"/>
            </w:rPr>
            <w:t>四</w:t>
          </w:r>
          <w:r>
            <w:rPr>
              <w:rFonts w:hint="eastAsia" w:asciiTheme="minorEastAsia" w:hAnsiTheme="minorEastAsia" w:eastAsiaTheme="minorEastAsia" w:cstheme="minorEastAsia"/>
              <w:color w:val="auto"/>
              <w:sz w:val="28"/>
              <w:szCs w:val="28"/>
              <w:highlight w:val="none"/>
            </w:rPr>
            <w:t xml:space="preserve">章       </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pacing w:val="40"/>
              <w:sz w:val="28"/>
              <w:szCs w:val="28"/>
              <w:highlight w:val="none"/>
            </w:rPr>
            <w:t>评</w:t>
          </w:r>
          <w:r>
            <w:rPr>
              <w:rFonts w:hint="eastAsia" w:asciiTheme="minorEastAsia" w:hAnsiTheme="minorEastAsia" w:eastAsiaTheme="minorEastAsia" w:cstheme="minorEastAsia"/>
              <w:color w:val="auto"/>
              <w:spacing w:val="43"/>
              <w:sz w:val="28"/>
              <w:szCs w:val="28"/>
              <w:highlight w:val="none"/>
            </w:rPr>
            <w:t>标</w:t>
          </w:r>
          <w:r>
            <w:rPr>
              <w:rFonts w:hint="eastAsia" w:asciiTheme="minorEastAsia" w:hAnsiTheme="minorEastAsia" w:eastAsiaTheme="minorEastAsia" w:cstheme="minorEastAsia"/>
              <w:color w:val="auto"/>
              <w:spacing w:val="40"/>
              <w:sz w:val="28"/>
              <w:szCs w:val="28"/>
              <w:highlight w:val="none"/>
            </w:rPr>
            <w:t>办</w:t>
          </w:r>
          <w:r>
            <w:rPr>
              <w:rFonts w:hint="eastAsia" w:asciiTheme="minorEastAsia" w:hAnsiTheme="minorEastAsia" w:eastAsiaTheme="minorEastAsia" w:cstheme="minorEastAsia"/>
              <w:color w:val="auto"/>
              <w:sz w:val="28"/>
              <w:szCs w:val="28"/>
              <w:highlight w:val="none"/>
            </w:rPr>
            <w:t>法</w:t>
          </w:r>
          <w:r>
            <w:rPr>
              <w:rFonts w:hint="eastAsia" w:asciiTheme="minorEastAsia" w:hAnsiTheme="minorEastAsia" w:eastAsiaTheme="minorEastAsia" w:cstheme="minorEastAsia"/>
              <w:color w:val="auto"/>
              <w:sz w:val="28"/>
              <w:szCs w:val="28"/>
              <w:highlight w:val="none"/>
            </w:rPr>
            <w:tab/>
          </w:r>
          <w:r>
            <w:rPr>
              <w:rFonts w:asciiTheme="minorEastAsia" w:hAnsiTheme="minorEastAsia" w:eastAsiaTheme="minorEastAsia" w:cstheme="minorEastAsia"/>
              <w:color w:val="auto"/>
              <w:sz w:val="28"/>
              <w:szCs w:val="28"/>
              <w:highlight w:val="none"/>
            </w:rPr>
            <w:t>43</w:t>
          </w:r>
          <w:r>
            <w:rPr>
              <w:rFonts w:asciiTheme="minorEastAsia" w:hAnsiTheme="minorEastAsia" w:eastAsiaTheme="minorEastAsia" w:cstheme="minorEastAsia"/>
              <w:color w:val="auto"/>
              <w:sz w:val="28"/>
              <w:szCs w:val="28"/>
              <w:highlight w:val="none"/>
            </w:rPr>
            <w:fldChar w:fldCharType="end"/>
          </w:r>
        </w:p>
        <w:p>
          <w:pPr>
            <w:pStyle w:val="730"/>
            <w:tabs>
              <w:tab w:val="right" w:leader="dot" w:pos="1058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"_Toc15267"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 五 章     政府采购合同书（格式）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_Toc15267 </w:instrText>
          </w:r>
          <w:r>
            <w:rPr>
              <w:rFonts w:hint="eastAsia" w:asciiTheme="minorEastAsia" w:hAnsiTheme="minorEastAsia" w:eastAsiaTheme="minorEastAsia" w:cstheme="minorEastAsia"/>
              <w:color w:val="auto"/>
              <w:sz w:val="28"/>
              <w:szCs w:val="28"/>
              <w:highlight w:val="none"/>
            </w:rPr>
            <w:fldChar w:fldCharType="separate"/>
          </w:r>
          <w:r>
            <w:rPr>
              <w:rFonts w:asciiTheme="minorEastAsia" w:hAnsiTheme="minorEastAsia" w:eastAsiaTheme="minorEastAsia" w:cstheme="minorEastAsia"/>
              <w:color w:val="auto"/>
              <w:sz w:val="28"/>
              <w:szCs w:val="28"/>
              <w:highlight w:val="none"/>
            </w:rPr>
            <w:t>48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30"/>
            <w:tabs>
              <w:tab w:val="right" w:leader="dot" w:pos="1058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"_Toc9471"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 六 章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_Toc9471 </w:instrText>
          </w:r>
          <w:r>
            <w:rPr>
              <w:rFonts w:hint="eastAsia" w:asciiTheme="minorEastAsia" w:hAnsiTheme="minorEastAsia" w:eastAsiaTheme="minorEastAsia" w:cstheme="minorEastAsia"/>
              <w:color w:val="auto"/>
              <w:sz w:val="28"/>
              <w:szCs w:val="28"/>
              <w:highlight w:val="none"/>
            </w:rPr>
            <w:fldChar w:fldCharType="separate"/>
          </w:r>
          <w:r>
            <w:rPr>
              <w:rFonts w:asciiTheme="minorEastAsia" w:hAnsiTheme="minorEastAsia" w:eastAsiaTheme="minorEastAsia" w:cstheme="minorEastAsia"/>
              <w:color w:val="auto"/>
              <w:sz w:val="28"/>
              <w:szCs w:val="28"/>
              <w:highlight w:val="none"/>
            </w:rPr>
            <w:t>55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30"/>
            <w:tabs>
              <w:tab w:val="right" w:leader="dot" w:pos="10580"/>
            </w:tabs>
            <w:spacing w:line="600" w:lineRule="auto"/>
            <w:rPr>
              <w:rFonts w:asciiTheme="minorEastAsia" w:hAnsiTheme="minorEastAsia" w:eastAsiaTheme="minorEastAsia" w:cstheme="minorEastAsia"/>
              <w:color w:val="auto"/>
              <w:sz w:val="28"/>
              <w:szCs w:val="28"/>
              <w:highlight w:val="none"/>
            </w:rPr>
          </w:pPr>
        </w:p>
        <w:p>
          <w:pPr>
            <w:tabs>
              <w:tab w:val="left" w:pos="1595"/>
            </w:tabs>
            <w:spacing w:before="220" w:line="600" w:lineRule="auto"/>
            <w:ind w:left="39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sdtContent>
    </w:sdt>
    <w:p>
      <w:pPr>
        <w:spacing w:line="600" w:lineRule="auto"/>
        <w:rPr>
          <w:rFonts w:asciiTheme="minorEastAsia" w:hAnsiTheme="minorEastAsia" w:eastAsiaTheme="minorEastAsia" w:cstheme="minorEastAsia"/>
          <w:color w:val="auto"/>
          <w:sz w:val="28"/>
          <w:szCs w:val="28"/>
          <w:highlight w:val="none"/>
        </w:rPr>
        <w:sectPr>
          <w:footerReference r:id="rId3" w:type="default"/>
          <w:pgSz w:w="12240" w:h="15840"/>
          <w:pgMar w:top="1400" w:right="640" w:bottom="280" w:left="1020" w:header="720" w:footer="720" w:gutter="0"/>
          <w:pgNumType w:start="1"/>
          <w:cols w:space="720" w:num="1"/>
        </w:sectPr>
      </w:pPr>
    </w:p>
    <w:p>
      <w:pPr>
        <w:pStyle w:val="2"/>
        <w:spacing w:before="10"/>
        <w:rPr>
          <w:rFonts w:asciiTheme="minorEastAsia" w:hAnsiTheme="minorEastAsia" w:eastAsiaTheme="minorEastAsia" w:cstheme="minorEastAsia"/>
          <w:color w:val="auto"/>
          <w:sz w:val="12"/>
          <w:highlight w:val="none"/>
        </w:rPr>
      </w:pPr>
    </w:p>
    <w:p>
      <w:pPr>
        <w:tabs>
          <w:tab w:val="left" w:pos="1646"/>
        </w:tabs>
        <w:spacing w:before="50"/>
        <w:ind w:right="416"/>
        <w:jc w:val="center"/>
        <w:outlineLvl w:val="0"/>
        <w:rPr>
          <w:rFonts w:asciiTheme="minorEastAsia" w:hAnsiTheme="minorEastAsia" w:eastAsiaTheme="minorEastAsia" w:cstheme="minorEastAsia"/>
          <w:b/>
          <w:color w:val="auto"/>
          <w:sz w:val="36"/>
          <w:highlight w:val="none"/>
        </w:rPr>
      </w:pPr>
      <w:bookmarkStart w:id="2" w:name="第一章__公开招标公告"/>
      <w:bookmarkEnd w:id="2"/>
      <w:bookmarkStart w:id="3" w:name="_bookmark0"/>
      <w:bookmarkEnd w:id="3"/>
      <w:bookmarkStart w:id="4" w:name="_Toc21085"/>
      <w:r>
        <w:rPr>
          <w:rFonts w:hint="eastAsia" w:asciiTheme="minorEastAsia" w:hAnsiTheme="minorEastAsia" w:eastAsiaTheme="minorEastAsia" w:cstheme="minorEastAsia"/>
          <w:b/>
          <w:color w:val="auto"/>
          <w:spacing w:val="40"/>
          <w:sz w:val="36"/>
          <w:highlight w:val="none"/>
        </w:rPr>
        <w:t>第</w:t>
      </w:r>
      <w:r>
        <w:rPr>
          <w:rFonts w:hint="eastAsia" w:asciiTheme="minorEastAsia" w:hAnsiTheme="minorEastAsia" w:eastAsiaTheme="minorEastAsia" w:cstheme="minorEastAsia"/>
          <w:b/>
          <w:color w:val="auto"/>
          <w:spacing w:val="43"/>
          <w:sz w:val="36"/>
          <w:highlight w:val="none"/>
        </w:rPr>
        <w:t>一</w:t>
      </w:r>
      <w:r>
        <w:rPr>
          <w:rFonts w:hint="eastAsia" w:asciiTheme="minorEastAsia" w:hAnsiTheme="minorEastAsia" w:eastAsiaTheme="minorEastAsia" w:cstheme="minorEastAsia"/>
          <w:b/>
          <w:color w:val="auto"/>
          <w:sz w:val="36"/>
          <w:highlight w:val="none"/>
        </w:rPr>
        <w:t>章</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pacing w:val="40"/>
          <w:sz w:val="36"/>
          <w:highlight w:val="none"/>
        </w:rPr>
        <w:t>公</w:t>
      </w:r>
      <w:r>
        <w:rPr>
          <w:rFonts w:hint="eastAsia" w:asciiTheme="minorEastAsia" w:hAnsiTheme="minorEastAsia" w:eastAsiaTheme="minorEastAsia" w:cstheme="minorEastAsia"/>
          <w:b/>
          <w:color w:val="auto"/>
          <w:spacing w:val="43"/>
          <w:sz w:val="36"/>
          <w:highlight w:val="none"/>
        </w:rPr>
        <w:t>开</w:t>
      </w:r>
      <w:r>
        <w:rPr>
          <w:rFonts w:hint="eastAsia" w:asciiTheme="minorEastAsia" w:hAnsiTheme="minorEastAsia" w:eastAsiaTheme="minorEastAsia" w:cstheme="minorEastAsia"/>
          <w:b/>
          <w:color w:val="auto"/>
          <w:spacing w:val="40"/>
          <w:sz w:val="36"/>
          <w:highlight w:val="none"/>
        </w:rPr>
        <w:t>招标公</w:t>
      </w:r>
      <w:r>
        <w:rPr>
          <w:rFonts w:hint="eastAsia" w:asciiTheme="minorEastAsia" w:hAnsiTheme="minorEastAsia" w:eastAsiaTheme="minorEastAsia" w:cstheme="minorEastAsia"/>
          <w:b/>
          <w:color w:val="auto"/>
          <w:sz w:val="36"/>
          <w:highlight w:val="none"/>
        </w:rPr>
        <w:t>告</w:t>
      </w:r>
      <w:bookmarkEnd w:id="4"/>
    </w:p>
    <w:p>
      <w:pPr>
        <w:pStyle w:val="2"/>
        <w:spacing w:before="7"/>
        <w:rPr>
          <w:rFonts w:asciiTheme="minorEastAsia" w:hAnsiTheme="minorEastAsia" w:eastAsiaTheme="minorEastAsia" w:cstheme="minorEastAsia"/>
          <w:b/>
          <w:color w:val="auto"/>
          <w:sz w:val="18"/>
          <w:highlight w:val="none"/>
        </w:rPr>
      </w:pPr>
    </w:p>
    <w:tbl>
      <w:tblPr>
        <w:tblStyle w:val="50"/>
        <w:tblW w:w="9614"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5" w:hRule="atLeast"/>
        </w:trPr>
        <w:tc>
          <w:tcPr>
            <w:tcW w:w="9614" w:type="dxa"/>
          </w:tcPr>
          <w:p>
            <w:pPr>
              <w:pStyle w:val="527"/>
              <w:spacing w:before="1"/>
              <w:ind w:left="651"/>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项目概况</w:t>
            </w:r>
          </w:p>
          <w:p>
            <w:pPr>
              <w:pStyle w:val="527"/>
              <w:spacing w:before="8" w:line="460" w:lineRule="atLeast"/>
              <w:ind w:left="3" w:right="-15" w:firstLine="648"/>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zh-CN"/>
              </w:rPr>
              <w:t>广西桂林市兴安县水系连通及农村水系综合整治试点工程</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zh-CN"/>
              </w:rPr>
              <w:t>灵渠监控及预警综合自动化系统</w:t>
            </w:r>
            <w:r>
              <w:rPr>
                <w:rFonts w:hint="eastAsia" w:asciiTheme="minorEastAsia" w:hAnsiTheme="minorEastAsia" w:eastAsiaTheme="minorEastAsia" w:cstheme="minorEastAsia"/>
                <w:color w:val="auto"/>
                <w:sz w:val="21"/>
                <w:szCs w:val="21"/>
                <w:highlight w:val="none"/>
                <w:u w:val="single"/>
              </w:rPr>
              <w:t>）（重</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rPr>
              <w:t>招标项目的潜在</w:t>
            </w:r>
            <w:r>
              <w:rPr>
                <w:rFonts w:hint="eastAsia" w:asciiTheme="minorEastAsia" w:hAnsiTheme="minorEastAsia" w:eastAsiaTheme="minorEastAsia" w:cstheme="minorEastAsia"/>
                <w:color w:val="auto"/>
                <w:spacing w:val="9"/>
                <w:sz w:val="21"/>
                <w:szCs w:val="21"/>
                <w:highlight w:val="none"/>
              </w:rPr>
              <w:t>投标人应在桂林市公共资源交易中心网</w:t>
            </w:r>
            <w:r>
              <w:rPr>
                <w:rFonts w:hint="eastAsia" w:asciiTheme="minorEastAsia" w:hAnsiTheme="minorEastAsia" w:eastAsiaTheme="minorEastAsia" w:cstheme="minorEastAsia"/>
                <w:color w:val="auto"/>
                <w:sz w:val="21"/>
                <w:szCs w:val="21"/>
                <w:highlight w:val="none"/>
              </w:rPr>
              <w:t>（</w:t>
            </w:r>
            <w:r>
              <w:rPr>
                <w:color w:val="auto"/>
                <w:highlight w:val="none"/>
              </w:rPr>
              <w:fldChar w:fldCharType="begin"/>
            </w:r>
            <w:r>
              <w:rPr>
                <w:color w:val="auto"/>
                <w:highlight w:val="none"/>
              </w:rPr>
              <w:instrText xml:space="preserve"> HYPERLINK "http://glggzy.org.cn/" \h </w:instrText>
            </w:r>
            <w:r>
              <w:rPr>
                <w:color w:val="auto"/>
                <w:highlight w:val="none"/>
              </w:rPr>
              <w:fldChar w:fldCharType="separate"/>
            </w:r>
            <w:r>
              <w:rPr>
                <w:rFonts w:hint="eastAsia" w:asciiTheme="minorEastAsia" w:hAnsiTheme="minorEastAsia" w:eastAsiaTheme="minorEastAsia" w:cstheme="minorEastAsia"/>
                <w:color w:val="auto"/>
                <w:sz w:val="21"/>
                <w:szCs w:val="21"/>
                <w:highlight w:val="none"/>
              </w:rPr>
              <w:t>http://glggzy.org.cn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8"/>
                <w:sz w:val="21"/>
                <w:szCs w:val="21"/>
                <w:highlight w:val="none"/>
              </w:rPr>
              <w:t>或桂林市政府采购网</w:t>
            </w:r>
            <w:r>
              <w:rPr>
                <w:color w:val="auto"/>
                <w:highlight w:val="none"/>
              </w:rPr>
              <w:fldChar w:fldCharType="begin"/>
            </w:r>
            <w:r>
              <w:rPr>
                <w:color w:val="auto"/>
                <w:highlight w:val="none"/>
              </w:rPr>
              <w:instrText xml:space="preserve"> HYPERLINK "http://gl.zfcg.zcygov.cn/" \h </w:instrText>
            </w:r>
            <w:r>
              <w:rPr>
                <w:color w:val="auto"/>
                <w:highlight w:val="none"/>
              </w:rPr>
              <w:fldChar w:fldCharType="separate"/>
            </w:r>
            <w:r>
              <w:rPr>
                <w:rFonts w:hint="eastAsia" w:asciiTheme="minorEastAsia" w:hAnsiTheme="minorEastAsia" w:eastAsiaTheme="minorEastAsia" w:cstheme="minorEastAsia"/>
                <w:color w:val="auto"/>
                <w:sz w:val="21"/>
                <w:szCs w:val="21"/>
                <w:highlight w:val="none"/>
              </w:rPr>
              <w:t>（http://gl.zfcg.zcygov.cn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）免费获取招标文件，并于2021年0</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月2</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日9点30分（北京时间）前递交投标文件。</w:t>
            </w:r>
          </w:p>
        </w:tc>
      </w:tr>
    </w:tbl>
    <w:p>
      <w:pPr>
        <w:pStyle w:val="8"/>
        <w:spacing w:before="3" w:line="360" w:lineRule="auto"/>
        <w:ind w:left="39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一、工程基本情况</w:t>
      </w:r>
    </w:p>
    <w:p>
      <w:pPr>
        <w:pStyle w:val="2"/>
        <w:spacing w:before="5" w:line="360" w:lineRule="auto"/>
        <w:ind w:left="1044"/>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项目编号：GLZC2020-G1-250084-GXHY-C</w:t>
      </w:r>
      <w:r>
        <w:rPr>
          <w:rFonts w:hint="eastAsia" w:asciiTheme="minorEastAsia" w:hAnsiTheme="minorEastAsia" w:eastAsiaTheme="minorEastAsia" w:cstheme="minorEastAsia"/>
          <w:color w:val="auto"/>
          <w:szCs w:val="21"/>
          <w:highlight w:val="none"/>
          <w:lang w:val="en-US" w:eastAsia="zh-CN"/>
        </w:rPr>
        <w:t>3</w:t>
      </w:r>
    </w:p>
    <w:p>
      <w:pPr>
        <w:pStyle w:val="2"/>
        <w:spacing w:before="158" w:line="360" w:lineRule="auto"/>
        <w:ind w:left="2045" w:leftChars="474" w:right="1375" w:hanging="1050" w:hangingChars="5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val="zh-CN"/>
        </w:rPr>
        <w:t>广西桂林市兴安县水系连通及农村水系综合整治试点工程（灵渠监控及预警综合自动化系统）（重</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w:t>
      </w:r>
    </w:p>
    <w:p>
      <w:pPr>
        <w:pStyle w:val="2"/>
        <w:spacing w:before="158" w:line="360" w:lineRule="auto"/>
        <w:ind w:left="1044" w:right="13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项目预算金额：539.7589万元。</w:t>
      </w:r>
    </w:p>
    <w:p>
      <w:pPr>
        <w:snapToGrid w:val="0"/>
        <w:spacing w:before="120" w:beforeLines="50" w:line="480" w:lineRule="auto"/>
        <w:ind w:firstLine="1050" w:firstLineChars="5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w:t>
      </w:r>
    </w:p>
    <w:tbl>
      <w:tblPr>
        <w:tblStyle w:val="50"/>
        <w:tblW w:w="9493"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3947"/>
        <w:gridCol w:w="708"/>
        <w:gridCol w:w="775"/>
        <w:gridCol w:w="3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8" w:type="dxa"/>
          </w:tcPr>
          <w:p>
            <w:pPr>
              <w:pStyle w:val="527"/>
              <w:spacing w:before="121"/>
              <w:ind w:left="98" w:right="9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项号</w:t>
            </w:r>
          </w:p>
        </w:tc>
        <w:tc>
          <w:tcPr>
            <w:tcW w:w="3947" w:type="dxa"/>
          </w:tcPr>
          <w:p>
            <w:pPr>
              <w:pStyle w:val="527"/>
              <w:spacing w:before="121"/>
              <w:ind w:left="1410" w:right="1404"/>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名称</w:t>
            </w:r>
          </w:p>
        </w:tc>
        <w:tc>
          <w:tcPr>
            <w:tcW w:w="708" w:type="dxa"/>
          </w:tcPr>
          <w:p>
            <w:pPr>
              <w:pStyle w:val="527"/>
              <w:spacing w:before="121"/>
              <w:ind w:left="105" w:right="9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775" w:type="dxa"/>
          </w:tcPr>
          <w:p>
            <w:pPr>
              <w:pStyle w:val="527"/>
              <w:spacing w:before="121"/>
              <w:ind w:left="174" w:right="165"/>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3345" w:type="dxa"/>
          </w:tcPr>
          <w:p>
            <w:pPr>
              <w:pStyle w:val="527"/>
              <w:spacing w:before="121"/>
              <w:ind w:left="111"/>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简要规格描述或工程基本概况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18" w:type="dxa"/>
          </w:tcPr>
          <w:p>
            <w:pPr>
              <w:pStyle w:val="527"/>
              <w:spacing w:before="173"/>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947" w:type="dxa"/>
          </w:tcPr>
          <w:p>
            <w:pPr>
              <w:pStyle w:val="527"/>
              <w:spacing w:before="34"/>
              <w:ind w:left="23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广西桂林市兴安县水系连通及农村水系综合整治试点工程（灵渠监控及预警综合自动化系统）</w:t>
            </w:r>
          </w:p>
        </w:tc>
        <w:tc>
          <w:tcPr>
            <w:tcW w:w="708" w:type="dxa"/>
          </w:tcPr>
          <w:p>
            <w:pPr>
              <w:pStyle w:val="527"/>
              <w:spacing w:before="173"/>
              <w:ind w:left="6"/>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75" w:type="dxa"/>
          </w:tcPr>
          <w:p>
            <w:pPr>
              <w:pStyle w:val="527"/>
              <w:spacing w:before="173"/>
              <w:ind w:left="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3345" w:type="dxa"/>
          </w:tcPr>
          <w:p>
            <w:pPr>
              <w:pStyle w:val="527"/>
              <w:spacing w:before="187"/>
              <w:ind w:left="107"/>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详见招标文件</w:t>
            </w:r>
          </w:p>
        </w:tc>
      </w:tr>
    </w:tbl>
    <w:p>
      <w:pPr>
        <w:pStyle w:val="2"/>
        <w:spacing w:before="5"/>
        <w:rPr>
          <w:rFonts w:asciiTheme="minorEastAsia" w:hAnsiTheme="minorEastAsia" w:eastAsiaTheme="minorEastAsia" w:cstheme="minorEastAsia"/>
          <w:color w:val="auto"/>
          <w:szCs w:val="21"/>
          <w:highlight w:val="none"/>
        </w:rPr>
      </w:pPr>
    </w:p>
    <w:p>
      <w:pPr>
        <w:pStyle w:val="8"/>
        <w:spacing w:line="360" w:lineRule="auto"/>
        <w:ind w:left="39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二、申请人的资格要求：</w:t>
      </w:r>
    </w:p>
    <w:p>
      <w:pPr>
        <w:spacing w:line="360" w:lineRule="auto"/>
        <w:ind w:left="395" w:right="817"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1.符合《中华人民共和国政府采购法》第二十二条和《政府采购法实施条例》第十八条规定，具备合法资格的投标人。</w:t>
      </w:r>
    </w:p>
    <w:p>
      <w:pPr>
        <w:spacing w:line="360" w:lineRule="auto"/>
        <w:ind w:left="395" w:right="817" w:firstLine="48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2、被“信用中国”网站(www.creditchina.gov.cn)、中国政府采购网(www.ccgp.gov.cn) 列入受惩名单，包括失信被执行人、重大税收违法案件当事人名单、政府采购严重违法失信行为记录名单及其他不符合《中华人民共和国政府采购法》第二十二条规定条件的供应商，不得参与政府采购活动。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left="395" w:right="817" w:firstLine="48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3、</w:t>
      </w:r>
      <w:r>
        <w:rPr>
          <w:rFonts w:hint="eastAsia" w:asciiTheme="minorEastAsia" w:hAnsiTheme="minorEastAsia" w:eastAsiaTheme="minorEastAsia" w:cstheme="minorEastAsia"/>
          <w:color w:val="auto"/>
          <w:szCs w:val="21"/>
          <w:highlight w:val="none"/>
        </w:rPr>
        <w:t>本工程</w:t>
      </w:r>
      <w:r>
        <w:rPr>
          <w:rFonts w:hint="eastAsia" w:asciiTheme="minorEastAsia" w:hAnsiTheme="minorEastAsia" w:eastAsiaTheme="minorEastAsia" w:cstheme="minorEastAsia"/>
          <w:color w:val="auto"/>
          <w:szCs w:val="21"/>
          <w:highlight w:val="none"/>
          <w:u w:val="single"/>
        </w:rPr>
        <w:t>不接受</w:t>
      </w:r>
      <w:r>
        <w:rPr>
          <w:rFonts w:hint="eastAsia" w:asciiTheme="minorEastAsia" w:hAnsiTheme="minorEastAsia" w:eastAsiaTheme="minorEastAsia" w:cstheme="minorEastAsia"/>
          <w:color w:val="auto"/>
          <w:szCs w:val="21"/>
          <w:highlight w:val="none"/>
        </w:rPr>
        <w:t>联合体投标。</w:t>
      </w:r>
    </w:p>
    <w:p>
      <w:pPr>
        <w:pStyle w:val="8"/>
        <w:spacing w:before="118" w:line="360" w:lineRule="auto"/>
        <w:ind w:left="39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pStyle w:val="2"/>
        <w:spacing w:before="158" w:line="364" w:lineRule="auto"/>
        <w:ind w:right="585"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时间：自发布公告之时至投标截止时间止；</w:t>
      </w:r>
    </w:p>
    <w:p>
      <w:pPr>
        <w:pStyle w:val="2"/>
        <w:spacing w:before="158" w:line="364" w:lineRule="auto"/>
        <w:ind w:right="585"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地点及方式：潜在投标人请登陆桂林市公共资源交易中心网</w:t>
      </w:r>
      <w:r>
        <w:rPr>
          <w:color w:val="auto"/>
          <w:highlight w:val="none"/>
        </w:rPr>
        <w:fldChar w:fldCharType="begin"/>
      </w:r>
      <w:r>
        <w:rPr>
          <w:color w:val="auto"/>
          <w:highlight w:val="none"/>
        </w:rPr>
        <w:instrText xml:space="preserve"> HYPERLINK "http://glggzy.org.cn/" \h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（http://glggzy.org.cn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 或桂林市政府采购网（</w:t>
      </w:r>
      <w:r>
        <w:rPr>
          <w:color w:val="auto"/>
          <w:highlight w:val="none"/>
        </w:rPr>
        <w:fldChar w:fldCharType="begin"/>
      </w:r>
      <w:r>
        <w:rPr>
          <w:color w:val="auto"/>
          <w:highlight w:val="none"/>
        </w:rPr>
        <w:instrText xml:space="preserve"> HYPERLINK "http://gl.zfcg.zcygov.cn/" \h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http://gl.zfcg.zcygov.cn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）免费下载招标文件电子版，并根据招标文件规定的投标文件递交截止时间和地点直接提交投标文件参与投标。</w:t>
      </w:r>
    </w:p>
    <w:p>
      <w:pPr>
        <w:pStyle w:val="8"/>
        <w:spacing w:before="161"/>
        <w:ind w:left="39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pStyle w:val="2"/>
        <w:spacing w:before="160" w:line="360" w:lineRule="auto"/>
        <w:ind w:left="8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截止时间：2021年0</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28</w:t>
      </w:r>
      <w:r>
        <w:rPr>
          <w:rFonts w:hint="eastAsia" w:asciiTheme="minorEastAsia" w:hAnsiTheme="minorEastAsia" w:eastAsiaTheme="minorEastAsia" w:cstheme="minorEastAsia"/>
          <w:color w:val="auto"/>
          <w:szCs w:val="21"/>
          <w:highlight w:val="none"/>
        </w:rPr>
        <w:t xml:space="preserve"> 日 9 点30 分（北京时间）</w:t>
      </w:r>
    </w:p>
    <w:p>
      <w:pPr>
        <w:pStyle w:val="2"/>
        <w:spacing w:before="158" w:line="360" w:lineRule="auto"/>
        <w:ind w:left="876"/>
        <w:rPr>
          <w:rFonts w:asciiTheme="minorEastAsia" w:hAnsiTheme="minorEastAsia" w:eastAsiaTheme="minorEastAsia" w:cstheme="minorEastAsia"/>
          <w:color w:val="auto"/>
          <w:spacing w:val="-1"/>
          <w:szCs w:val="21"/>
          <w:highlight w:val="none"/>
        </w:rPr>
      </w:pPr>
      <w:r>
        <w:rPr>
          <w:rFonts w:hint="eastAsia" w:asciiTheme="minorEastAsia" w:hAnsiTheme="minorEastAsia" w:eastAsiaTheme="minorEastAsia" w:cstheme="minorEastAsia"/>
          <w:color w:val="auto"/>
          <w:spacing w:val="-7"/>
          <w:szCs w:val="21"/>
          <w:highlight w:val="none"/>
        </w:rPr>
        <w:t>地点：投标人应于</w:t>
      </w:r>
      <w:r>
        <w:rPr>
          <w:rFonts w:hint="eastAsia" w:asciiTheme="minorEastAsia" w:hAnsiTheme="minorEastAsia" w:eastAsiaTheme="minorEastAsia" w:cstheme="minorEastAsia"/>
          <w:color w:val="auto"/>
          <w:szCs w:val="21"/>
          <w:highlight w:val="none"/>
        </w:rPr>
        <w:t>2021年0</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28</w:t>
      </w:r>
      <w:r>
        <w:rPr>
          <w:rFonts w:hint="eastAsia" w:asciiTheme="minorEastAsia" w:hAnsiTheme="minorEastAsia" w:eastAsiaTheme="minorEastAsia" w:cstheme="minorEastAsia"/>
          <w:color w:val="auto"/>
          <w:szCs w:val="21"/>
          <w:highlight w:val="none"/>
        </w:rPr>
        <w:t xml:space="preserve">日 </w:t>
      </w:r>
      <w:r>
        <w:rPr>
          <w:rFonts w:hint="eastAsia" w:asciiTheme="minorEastAsia" w:hAnsiTheme="minorEastAsia" w:eastAsiaTheme="minorEastAsia" w:cstheme="minorEastAsia"/>
          <w:color w:val="auto"/>
          <w:szCs w:val="21"/>
          <w:highlight w:val="none"/>
          <w:u w:val="single"/>
        </w:rPr>
        <w:t>09</w:t>
      </w:r>
      <w:r>
        <w:rPr>
          <w:rFonts w:hint="eastAsia" w:asciiTheme="minorEastAsia" w:hAnsiTheme="minorEastAsia" w:eastAsiaTheme="minorEastAsia" w:cstheme="minorEastAsia"/>
          <w:color w:val="auto"/>
          <w:szCs w:val="21"/>
          <w:highlight w:val="none"/>
        </w:rPr>
        <w:t xml:space="preserve"> 时 </w:t>
      </w:r>
      <w:r>
        <w:rPr>
          <w:rFonts w:hint="eastAsia" w:asciiTheme="minorEastAsia" w:hAnsiTheme="minorEastAsia" w:eastAsiaTheme="minorEastAsia" w:cstheme="minorEastAsia"/>
          <w:color w:val="auto"/>
          <w:szCs w:val="21"/>
          <w:highlight w:val="none"/>
          <w:u w:val="single"/>
        </w:rPr>
        <w:t>00</w:t>
      </w:r>
      <w:r>
        <w:rPr>
          <w:rFonts w:hint="eastAsia" w:asciiTheme="minorEastAsia" w:hAnsiTheme="minorEastAsia" w:eastAsiaTheme="minorEastAsia" w:cstheme="minorEastAsia"/>
          <w:color w:val="auto"/>
          <w:szCs w:val="21"/>
          <w:highlight w:val="none"/>
        </w:rPr>
        <w:t>分至</w:t>
      </w:r>
      <w:r>
        <w:rPr>
          <w:rFonts w:hint="eastAsia" w:asciiTheme="minorEastAsia" w:hAnsiTheme="minorEastAsia" w:eastAsiaTheme="minorEastAsia" w:cstheme="minorEastAsia"/>
          <w:color w:val="auto"/>
          <w:szCs w:val="21"/>
          <w:highlight w:val="none"/>
          <w:u w:val="single"/>
        </w:rPr>
        <w:t>9</w:t>
      </w:r>
      <w:r>
        <w:rPr>
          <w:rFonts w:hint="eastAsia" w:asciiTheme="minorEastAsia" w:hAnsiTheme="minorEastAsia" w:eastAsiaTheme="minorEastAsia" w:cstheme="minorEastAsia"/>
          <w:color w:val="auto"/>
          <w:szCs w:val="21"/>
          <w:highlight w:val="none"/>
        </w:rPr>
        <w:t xml:space="preserve"> 时 </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 xml:space="preserve"> 分</w:t>
      </w:r>
      <w:r>
        <w:rPr>
          <w:rFonts w:hint="eastAsia" w:asciiTheme="minorEastAsia" w:hAnsiTheme="minorEastAsia" w:eastAsiaTheme="minorEastAsia" w:cstheme="minorEastAsia"/>
          <w:color w:val="auto"/>
          <w:spacing w:val="-8"/>
          <w:szCs w:val="21"/>
          <w:highlight w:val="none"/>
        </w:rPr>
        <w:t>，将投标文件密封提交</w:t>
      </w:r>
      <w:r>
        <w:rPr>
          <w:rFonts w:hint="eastAsia" w:asciiTheme="minorEastAsia" w:hAnsiTheme="minorEastAsia" w:eastAsiaTheme="minorEastAsia" w:cstheme="minorEastAsia"/>
          <w:color w:val="auto"/>
          <w:spacing w:val="-4"/>
          <w:szCs w:val="21"/>
          <w:highlight w:val="none"/>
        </w:rPr>
        <w:t>至桂林市公共资源交易中心</w:t>
      </w:r>
      <w:r>
        <w:rPr>
          <w:rFonts w:hint="eastAsia" w:asciiTheme="minorEastAsia" w:hAnsiTheme="minorEastAsia" w:eastAsiaTheme="minorEastAsia" w:cstheme="minorEastAsia"/>
          <w:color w:val="auto"/>
          <w:spacing w:val="-4"/>
          <w:szCs w:val="21"/>
          <w:highlight w:val="none"/>
          <w:lang w:val="en-US" w:eastAsia="zh-CN"/>
        </w:rPr>
        <w:t>2</w:t>
      </w:r>
      <w:r>
        <w:rPr>
          <w:rFonts w:hint="eastAsia" w:asciiTheme="minorEastAsia" w:hAnsiTheme="minorEastAsia" w:eastAsiaTheme="minorEastAsia" w:cstheme="minorEastAsia"/>
          <w:color w:val="auto"/>
          <w:spacing w:val="-4"/>
          <w:szCs w:val="21"/>
          <w:highlight w:val="none"/>
        </w:rPr>
        <w:t>号开标室（广西桂林市临桂区西城中路69号创业大厦西辅楼 4 楼北区）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1"/>
          <w:szCs w:val="21"/>
          <w:highlight w:val="none"/>
        </w:rPr>
        <w:t>未按要求密封或逾期送达的投标文件将予以拒收。</w:t>
      </w:r>
    </w:p>
    <w:p>
      <w:pPr>
        <w:pStyle w:val="2"/>
        <w:spacing w:before="158" w:line="364" w:lineRule="auto"/>
        <w:ind w:right="3703"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五、公告期限</w:t>
      </w:r>
    </w:p>
    <w:p>
      <w:pPr>
        <w:spacing w:before="1" w:line="362" w:lineRule="auto"/>
        <w:ind w:left="395" w:right="6103" w:firstLine="480"/>
        <w:rPr>
          <w:rFonts w:asciiTheme="minorEastAsia" w:hAnsiTheme="minorEastAsia" w:eastAsiaTheme="minorEastAsia" w:cstheme="minorEastAsia"/>
          <w:color w:val="auto"/>
          <w:spacing w:val="-13"/>
          <w:szCs w:val="21"/>
          <w:highlight w:val="none"/>
        </w:rPr>
      </w:pPr>
      <w:r>
        <w:rPr>
          <w:rFonts w:hint="eastAsia" w:asciiTheme="minorEastAsia" w:hAnsiTheme="minorEastAsia" w:eastAsiaTheme="minorEastAsia" w:cstheme="minorEastAsia"/>
          <w:color w:val="auto"/>
          <w:spacing w:val="-6"/>
          <w:szCs w:val="21"/>
          <w:highlight w:val="none"/>
        </w:rPr>
        <w:t xml:space="preserve">自本公告发布之日起 </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pacing w:val="-13"/>
          <w:szCs w:val="21"/>
          <w:highlight w:val="none"/>
        </w:rPr>
        <w:t xml:space="preserve"> 个工作日。</w:t>
      </w:r>
    </w:p>
    <w:p>
      <w:pPr>
        <w:spacing w:before="1" w:line="362" w:lineRule="auto"/>
        <w:ind w:right="6103"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六、其他补充事宜</w:t>
      </w:r>
    </w:p>
    <w:p>
      <w:pPr>
        <w:pStyle w:val="2"/>
        <w:spacing w:before="39" w:line="360" w:lineRule="auto"/>
        <w:ind w:right="823"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本工程需要落实的政府采购政策：</w:t>
      </w:r>
    </w:p>
    <w:p>
      <w:pPr>
        <w:pStyle w:val="154"/>
        <w:tabs>
          <w:tab w:val="left" w:pos="1477"/>
        </w:tabs>
        <w:spacing w:before="160" w:line="360" w:lineRule="auto"/>
        <w:ind w:left="8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1）、《政府采购促进中小企业发展管理办法》（财库[2020]46</w:t>
      </w:r>
      <w:r>
        <w:rPr>
          <w:rFonts w:hint="eastAsia" w:asciiTheme="minorEastAsia" w:hAnsiTheme="minorEastAsia" w:eastAsiaTheme="minorEastAsia" w:cstheme="minorEastAsia"/>
          <w:color w:val="auto"/>
          <w:spacing w:val="-30"/>
          <w:szCs w:val="21"/>
          <w:highlight w:val="none"/>
        </w:rPr>
        <w:t xml:space="preserve"> 号</w:t>
      </w:r>
      <w:r>
        <w:rPr>
          <w:rFonts w:hint="eastAsia" w:asciiTheme="minorEastAsia" w:hAnsiTheme="minorEastAsia" w:eastAsiaTheme="minorEastAsia" w:cstheme="minorEastAsia"/>
          <w:color w:val="auto"/>
          <w:szCs w:val="21"/>
          <w:highlight w:val="none"/>
        </w:rPr>
        <w:t>）。</w:t>
      </w:r>
    </w:p>
    <w:p>
      <w:pPr>
        <w:pStyle w:val="154"/>
        <w:tabs>
          <w:tab w:val="left" w:pos="1477"/>
        </w:tabs>
        <w:spacing w:before="158" w:line="360" w:lineRule="auto"/>
        <w:ind w:left="8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2）、《关于政府采购支持监狱企业发展有关问题的通知》（财库[20</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24</w:t>
      </w:r>
      <w:r>
        <w:rPr>
          <w:rFonts w:hint="eastAsia" w:asciiTheme="minorEastAsia" w:hAnsiTheme="minorEastAsia" w:eastAsiaTheme="minorEastAsia" w:cstheme="minorEastAsia"/>
          <w:color w:val="auto"/>
          <w:spacing w:val="-30"/>
          <w:szCs w:val="21"/>
          <w:highlight w:val="none"/>
        </w:rPr>
        <w:t xml:space="preserve"> 号</w:t>
      </w:r>
      <w:r>
        <w:rPr>
          <w:rFonts w:hint="eastAsia" w:asciiTheme="minorEastAsia" w:hAnsiTheme="minorEastAsia" w:eastAsiaTheme="minorEastAsia" w:cstheme="minorEastAsia"/>
          <w:color w:val="auto"/>
          <w:szCs w:val="21"/>
          <w:highlight w:val="none"/>
        </w:rPr>
        <w:t>）。</w:t>
      </w:r>
    </w:p>
    <w:p>
      <w:pPr>
        <w:pStyle w:val="154"/>
        <w:tabs>
          <w:tab w:val="left" w:pos="1477"/>
        </w:tabs>
        <w:spacing w:before="161" w:line="360" w:lineRule="auto"/>
        <w:ind w:left="8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3）、《关于促进残疾人就业政府采购政策的通知》（财库[2017]141</w:t>
      </w:r>
      <w:r>
        <w:rPr>
          <w:rFonts w:hint="eastAsia" w:asciiTheme="minorEastAsia" w:hAnsiTheme="minorEastAsia" w:eastAsiaTheme="minorEastAsia" w:cstheme="minorEastAsia"/>
          <w:color w:val="auto"/>
          <w:spacing w:val="-30"/>
          <w:szCs w:val="21"/>
          <w:highlight w:val="none"/>
        </w:rPr>
        <w:t xml:space="preserve"> 号</w:t>
      </w:r>
      <w:r>
        <w:rPr>
          <w:rFonts w:hint="eastAsia" w:asciiTheme="minorEastAsia" w:hAnsiTheme="minorEastAsia" w:eastAsiaTheme="minorEastAsia" w:cstheme="minorEastAsia"/>
          <w:color w:val="auto"/>
          <w:szCs w:val="21"/>
          <w:highlight w:val="none"/>
        </w:rPr>
        <w:t>）。</w:t>
      </w:r>
    </w:p>
    <w:p>
      <w:pPr>
        <w:pStyle w:val="2"/>
        <w:spacing w:before="39" w:line="360" w:lineRule="auto"/>
        <w:ind w:right="823"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信息公告发布媒体：www.ccgp.gov.cn（中国政府采购网）、zfcg.gxzf.gov.cn（广西壮族自治区政府采购网）、http://zfcg.czj.guilin.gov.cn（桂林市政府采购网）、www.glggzy.org.cn（桂林市公共资源交易中心网）。</w:t>
      </w:r>
    </w:p>
    <w:p>
      <w:pPr>
        <w:numPr>
          <w:ilvl w:val="0"/>
          <w:numId w:val="7"/>
        </w:numPr>
        <w:spacing w:before="125" w:line="362" w:lineRule="auto"/>
        <w:ind w:left="1356" w:right="5122" w:hanging="96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对本次招标提出询问，请按以下方式联系。</w:t>
      </w:r>
      <w:bookmarkStart w:id="5" w:name="1.采购人信息"/>
      <w:bookmarkEnd w:id="5"/>
    </w:p>
    <w:p>
      <w:pPr>
        <w:spacing w:before="12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pPr>
        <w:pStyle w:val="2"/>
        <w:tabs>
          <w:tab w:val="left" w:pos="2075"/>
        </w:tabs>
        <w:spacing w:before="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名称：兴安县水利工程管理站</w:t>
      </w:r>
    </w:p>
    <w:p>
      <w:pPr>
        <w:pStyle w:val="2"/>
        <w:tabs>
          <w:tab w:val="left" w:pos="2075"/>
        </w:tabs>
        <w:spacing w:before="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地址：兴安县兴桂路13号</w:t>
      </w:r>
    </w:p>
    <w:p>
      <w:pPr>
        <w:pStyle w:val="2"/>
        <w:tabs>
          <w:tab w:val="left" w:pos="3635"/>
        </w:tabs>
        <w:spacing w:before="5" w:line="360" w:lineRule="auto"/>
        <w:ind w:firstLine="420" w:firstLineChars="200"/>
        <w:rPr>
          <w:rFonts w:asciiTheme="minorEastAsia" w:hAnsiTheme="minorEastAsia" w:eastAsiaTheme="minorEastAsia" w:cstheme="minorEastAsia"/>
          <w:color w:val="auto"/>
          <w:spacing w:val="-2"/>
          <w:szCs w:val="21"/>
          <w:highlight w:val="none"/>
        </w:rPr>
      </w:pPr>
      <w:r>
        <w:rPr>
          <w:rFonts w:hint="eastAsia" w:asciiTheme="minorEastAsia" w:hAnsiTheme="minorEastAsia" w:eastAsiaTheme="minorEastAsia" w:cstheme="minorEastAsia"/>
          <w:color w:val="auto"/>
          <w:szCs w:val="21"/>
          <w:highlight w:val="none"/>
        </w:rPr>
        <w:t xml:space="preserve">联系方式：蒋工 </w:t>
      </w:r>
      <w:r>
        <w:rPr>
          <w:rFonts w:hint="eastAsia" w:asciiTheme="minorEastAsia" w:hAnsiTheme="minorEastAsia" w:eastAsiaTheme="minorEastAsia" w:cstheme="minorEastAsia"/>
          <w:color w:val="auto"/>
          <w:spacing w:val="-2"/>
          <w:szCs w:val="21"/>
          <w:highlight w:val="none"/>
        </w:rPr>
        <w:t>0773-</w:t>
      </w:r>
      <w:bookmarkStart w:id="6" w:name="____2.采购代理机构信息"/>
      <w:bookmarkEnd w:id="6"/>
      <w:r>
        <w:rPr>
          <w:rFonts w:hint="eastAsia" w:asciiTheme="minorEastAsia" w:hAnsiTheme="minorEastAsia" w:eastAsiaTheme="minorEastAsia" w:cstheme="minorEastAsia"/>
          <w:color w:val="auto"/>
          <w:spacing w:val="-2"/>
          <w:szCs w:val="21"/>
          <w:highlight w:val="none"/>
        </w:rPr>
        <w:t xml:space="preserve">6228183 </w:t>
      </w:r>
    </w:p>
    <w:p>
      <w:pPr>
        <w:pStyle w:val="2"/>
        <w:tabs>
          <w:tab w:val="left" w:pos="3635"/>
        </w:tabs>
        <w:spacing w:before="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pPr>
        <w:pStyle w:val="2"/>
        <w:tabs>
          <w:tab w:val="left" w:pos="1955"/>
        </w:tabs>
        <w:spacing w:before="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名称：广西汇益招标咨询有限公司</w:t>
      </w:r>
    </w:p>
    <w:p>
      <w:pPr>
        <w:pStyle w:val="2"/>
        <w:tabs>
          <w:tab w:val="left" w:pos="1955"/>
        </w:tabs>
        <w:spacing w:before="158"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地址：桂林市秀峰区篦子园小区1#楼2层</w:t>
      </w:r>
    </w:p>
    <w:p>
      <w:pPr>
        <w:pStyle w:val="2"/>
        <w:spacing w:before="16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联系方式： 黄工 0773-2897383 </w:t>
      </w:r>
    </w:p>
    <w:p>
      <w:pPr>
        <w:pStyle w:val="2"/>
        <w:spacing w:before="16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pPr>
        <w:pStyle w:val="2"/>
        <w:tabs>
          <w:tab w:val="left" w:pos="3755"/>
        </w:tabs>
        <w:spacing w:before="5"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项目联系人：黄工，电话：0773-2897383</w:t>
      </w:r>
    </w:p>
    <w:p>
      <w:pPr>
        <w:pStyle w:val="2"/>
        <w:spacing w:before="161"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4、政府采购监督管理机构：兴安县人民政府采购监督管理办公室</w:t>
      </w:r>
    </w:p>
    <w:p>
      <w:pPr>
        <w:pStyle w:val="2"/>
        <w:spacing w:before="161"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联系电话：0773-6220651  </w:t>
      </w:r>
    </w:p>
    <w:p>
      <w:pPr>
        <w:pStyle w:val="2"/>
        <w:rPr>
          <w:rFonts w:asciiTheme="minorEastAsia" w:hAnsiTheme="minorEastAsia" w:eastAsiaTheme="minorEastAsia" w:cstheme="minorEastAsia"/>
          <w:color w:val="auto"/>
          <w:szCs w:val="21"/>
          <w:highlight w:val="none"/>
        </w:rPr>
      </w:pPr>
    </w:p>
    <w:p>
      <w:pPr>
        <w:spacing w:before="158"/>
        <w:ind w:right="766"/>
        <w:jc w:val="righ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广西汇益招标咨询有限公司</w:t>
      </w:r>
    </w:p>
    <w:p>
      <w:pPr>
        <w:spacing w:before="158"/>
        <w:ind w:right="766"/>
        <w:jc w:val="righ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2021年</w:t>
      </w:r>
      <w:r>
        <w:rPr>
          <w:rFonts w:hint="eastAsia" w:asciiTheme="minorEastAsia" w:hAnsiTheme="minorEastAsia" w:eastAsiaTheme="minorEastAsia" w:cstheme="minorEastAsia"/>
          <w:b/>
          <w:color w:val="auto"/>
          <w:szCs w:val="21"/>
          <w:highlight w:val="none"/>
          <w:lang w:val="en-US" w:eastAsia="zh-CN"/>
        </w:rPr>
        <w:t>4</w:t>
      </w:r>
      <w:r>
        <w:rPr>
          <w:rFonts w:hint="eastAsia" w:asciiTheme="minorEastAsia" w:hAnsiTheme="minorEastAsia" w:eastAsiaTheme="minorEastAsia" w:cstheme="minorEastAsia"/>
          <w:b/>
          <w:color w:val="auto"/>
          <w:szCs w:val="21"/>
          <w:highlight w:val="none"/>
        </w:rPr>
        <w:t xml:space="preserve">月 </w:t>
      </w:r>
      <w:r>
        <w:rPr>
          <w:rFonts w:hint="eastAsia" w:asciiTheme="minorEastAsia" w:hAnsiTheme="minorEastAsia" w:eastAsiaTheme="minorEastAsia" w:cstheme="minorEastAsia"/>
          <w:b/>
          <w:color w:val="auto"/>
          <w:szCs w:val="21"/>
          <w:highlight w:val="none"/>
          <w:lang w:val="en-US" w:eastAsia="zh-CN"/>
        </w:rPr>
        <w:t>2</w:t>
      </w:r>
      <w:r>
        <w:rPr>
          <w:rFonts w:hint="eastAsia" w:asciiTheme="minorEastAsia" w:hAnsiTheme="minorEastAsia" w:eastAsiaTheme="minorEastAsia" w:cstheme="minorEastAsia"/>
          <w:b/>
          <w:color w:val="auto"/>
          <w:szCs w:val="21"/>
          <w:highlight w:val="none"/>
        </w:rPr>
        <w:t xml:space="preserve"> 日</w:t>
      </w:r>
    </w:p>
    <w:p>
      <w:pPr>
        <w:jc w:val="right"/>
        <w:rPr>
          <w:rFonts w:asciiTheme="minorEastAsia" w:hAnsiTheme="minorEastAsia" w:eastAsiaTheme="minorEastAsia" w:cstheme="minorEastAsia"/>
          <w:color w:val="auto"/>
          <w:sz w:val="24"/>
          <w:highlight w:val="none"/>
        </w:rPr>
        <w:sectPr>
          <w:footerReference r:id="rId4" w:type="default"/>
          <w:pgSz w:w="12240" w:h="15840"/>
          <w:pgMar w:top="1380" w:right="640" w:bottom="920" w:left="1020" w:header="0" w:footer="655" w:gutter="0"/>
          <w:cols w:space="720" w:num="1"/>
        </w:sectPr>
      </w:pPr>
    </w:p>
    <w:p>
      <w:pPr>
        <w:tabs>
          <w:tab w:val="left" w:pos="1643"/>
        </w:tabs>
        <w:spacing w:before="19"/>
        <w:ind w:right="416"/>
        <w:jc w:val="center"/>
        <w:outlineLvl w:val="0"/>
        <w:rPr>
          <w:rFonts w:asciiTheme="minorEastAsia" w:hAnsiTheme="minorEastAsia" w:eastAsiaTheme="minorEastAsia" w:cstheme="minorEastAsia"/>
          <w:b/>
          <w:color w:val="auto"/>
          <w:sz w:val="36"/>
          <w:highlight w:val="none"/>
        </w:rPr>
      </w:pPr>
      <w:bookmarkStart w:id="7" w:name="_bookmark1"/>
      <w:bookmarkEnd w:id="7"/>
      <w:bookmarkStart w:id="8" w:name="_Toc7723"/>
      <w:r>
        <w:rPr>
          <w:rFonts w:hint="eastAsia" w:asciiTheme="minorEastAsia" w:hAnsiTheme="minorEastAsia" w:eastAsiaTheme="minorEastAsia" w:cstheme="minorEastAsia"/>
          <w:b/>
          <w:color w:val="auto"/>
          <w:spacing w:val="40"/>
          <w:sz w:val="36"/>
          <w:highlight w:val="none"/>
        </w:rPr>
        <w:t>第</w:t>
      </w:r>
      <w:r>
        <w:rPr>
          <w:rFonts w:hint="eastAsia" w:asciiTheme="minorEastAsia" w:hAnsiTheme="minorEastAsia" w:eastAsiaTheme="minorEastAsia" w:cstheme="minorEastAsia"/>
          <w:b/>
          <w:color w:val="auto"/>
          <w:spacing w:val="43"/>
          <w:sz w:val="36"/>
          <w:highlight w:val="none"/>
        </w:rPr>
        <w:t>二</w:t>
      </w:r>
      <w:r>
        <w:rPr>
          <w:rFonts w:hint="eastAsia" w:asciiTheme="minorEastAsia" w:hAnsiTheme="minorEastAsia" w:eastAsiaTheme="minorEastAsia" w:cstheme="minorEastAsia"/>
          <w:b/>
          <w:color w:val="auto"/>
          <w:sz w:val="36"/>
          <w:highlight w:val="none"/>
        </w:rPr>
        <w:t>章</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pacing w:val="40"/>
          <w:sz w:val="36"/>
          <w:highlight w:val="none"/>
        </w:rPr>
        <w:t>投</w:t>
      </w:r>
      <w:r>
        <w:rPr>
          <w:rFonts w:hint="eastAsia" w:asciiTheme="minorEastAsia" w:hAnsiTheme="minorEastAsia" w:eastAsiaTheme="minorEastAsia" w:cstheme="minorEastAsia"/>
          <w:b/>
          <w:color w:val="auto"/>
          <w:spacing w:val="43"/>
          <w:sz w:val="36"/>
          <w:highlight w:val="none"/>
        </w:rPr>
        <w:t>标</w:t>
      </w:r>
      <w:r>
        <w:rPr>
          <w:rFonts w:hint="eastAsia" w:asciiTheme="minorEastAsia" w:hAnsiTheme="minorEastAsia" w:eastAsiaTheme="minorEastAsia" w:cstheme="minorEastAsia"/>
          <w:b/>
          <w:color w:val="auto"/>
          <w:spacing w:val="40"/>
          <w:sz w:val="36"/>
          <w:highlight w:val="none"/>
        </w:rPr>
        <w:t>人须</w:t>
      </w:r>
      <w:r>
        <w:rPr>
          <w:rFonts w:hint="eastAsia" w:asciiTheme="minorEastAsia" w:hAnsiTheme="minorEastAsia" w:eastAsiaTheme="minorEastAsia" w:cstheme="minorEastAsia"/>
          <w:b/>
          <w:color w:val="auto"/>
          <w:sz w:val="36"/>
          <w:highlight w:val="none"/>
        </w:rPr>
        <w:t>知</w:t>
      </w:r>
      <w:bookmarkEnd w:id="8"/>
    </w:p>
    <w:p>
      <w:pPr>
        <w:spacing w:before="134" w:after="2"/>
        <w:ind w:right="368"/>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 标 人 须 知 前 附 表</w:t>
      </w:r>
    </w:p>
    <w:tbl>
      <w:tblPr>
        <w:tblStyle w:val="50"/>
        <w:tblW w:w="1033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854"/>
        <w:gridCol w:w="1760"/>
        <w:gridCol w:w="7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691" w:type="dxa"/>
            <w:vAlign w:val="center"/>
          </w:tcPr>
          <w:p>
            <w:pPr>
              <w:pStyle w:val="527"/>
              <w:spacing w:before="133"/>
              <w:ind w:left="113" w:right="106"/>
              <w:jc w:val="center"/>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854" w:type="dxa"/>
            <w:vAlign w:val="center"/>
          </w:tcPr>
          <w:p>
            <w:pPr>
              <w:pStyle w:val="527"/>
              <w:spacing w:before="133"/>
              <w:ind w:left="91" w:right="79"/>
              <w:jc w:val="center"/>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条款号</w:t>
            </w:r>
          </w:p>
        </w:tc>
        <w:tc>
          <w:tcPr>
            <w:tcW w:w="1760" w:type="dxa"/>
          </w:tcPr>
          <w:p>
            <w:pPr>
              <w:pStyle w:val="527"/>
              <w:spacing w:before="133"/>
              <w:ind w:left="123" w:right="114"/>
              <w:jc w:val="center"/>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条款名称</w:t>
            </w:r>
          </w:p>
        </w:tc>
        <w:tc>
          <w:tcPr>
            <w:tcW w:w="7033" w:type="dxa"/>
          </w:tcPr>
          <w:p>
            <w:pPr>
              <w:pStyle w:val="527"/>
              <w:spacing w:before="133"/>
              <w:ind w:left="2967" w:right="2960"/>
              <w:jc w:val="center"/>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691" w:type="dxa"/>
            <w:vAlign w:val="center"/>
          </w:tcPr>
          <w:p>
            <w:pPr>
              <w:pStyle w:val="527"/>
              <w:rPr>
                <w:rFonts w:asciiTheme="minorEastAsia" w:hAnsiTheme="minorEastAsia" w:eastAsiaTheme="minorEastAsia" w:cstheme="minorEastAsia"/>
                <w:b/>
                <w:color w:val="auto"/>
                <w:sz w:val="21"/>
                <w:szCs w:val="21"/>
                <w:highlight w:val="none"/>
              </w:rPr>
            </w:pPr>
          </w:p>
          <w:p>
            <w:pPr>
              <w:pStyle w:val="527"/>
              <w:spacing w:before="9"/>
              <w:rPr>
                <w:rFonts w:asciiTheme="minorEastAsia" w:hAnsiTheme="minorEastAsia" w:eastAsiaTheme="minorEastAsia" w:cstheme="minorEastAsia"/>
                <w:b/>
                <w:color w:val="auto"/>
                <w:sz w:val="21"/>
                <w:szCs w:val="21"/>
                <w:highlight w:val="none"/>
              </w:rPr>
            </w:pPr>
          </w:p>
          <w:p>
            <w:pPr>
              <w:pStyle w:val="527"/>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1</w:t>
            </w:r>
          </w:p>
        </w:tc>
        <w:tc>
          <w:tcPr>
            <w:tcW w:w="854" w:type="dxa"/>
            <w:vAlign w:val="center"/>
          </w:tcPr>
          <w:p>
            <w:pPr>
              <w:pStyle w:val="527"/>
              <w:rPr>
                <w:rFonts w:asciiTheme="minorEastAsia" w:hAnsiTheme="minorEastAsia" w:eastAsiaTheme="minorEastAsia" w:cstheme="minorEastAsia"/>
                <w:b/>
                <w:color w:val="auto"/>
                <w:sz w:val="21"/>
                <w:szCs w:val="21"/>
                <w:highlight w:val="none"/>
              </w:rPr>
            </w:pPr>
          </w:p>
          <w:p>
            <w:pPr>
              <w:pStyle w:val="527"/>
              <w:spacing w:before="9"/>
              <w:rPr>
                <w:rFonts w:asciiTheme="minorEastAsia" w:hAnsiTheme="minorEastAsia" w:eastAsiaTheme="minorEastAsia" w:cstheme="minorEastAsia"/>
                <w:b/>
                <w:color w:val="auto"/>
                <w:sz w:val="21"/>
                <w:szCs w:val="21"/>
                <w:highlight w:val="none"/>
              </w:rPr>
            </w:pPr>
          </w:p>
          <w:p>
            <w:pPr>
              <w:pStyle w:val="527"/>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1</w:t>
            </w:r>
          </w:p>
        </w:tc>
        <w:tc>
          <w:tcPr>
            <w:tcW w:w="1760" w:type="dxa"/>
            <w:vAlign w:val="center"/>
          </w:tcPr>
          <w:p>
            <w:pPr>
              <w:pStyle w:val="527"/>
              <w:spacing w:before="2"/>
              <w:rPr>
                <w:rFonts w:asciiTheme="minorEastAsia" w:hAnsiTheme="minorEastAsia" w:eastAsiaTheme="minorEastAsia" w:cstheme="minorEastAsia"/>
                <w:b/>
                <w:color w:val="auto"/>
                <w:sz w:val="21"/>
                <w:szCs w:val="21"/>
                <w:highlight w:val="none"/>
              </w:rPr>
            </w:pPr>
          </w:p>
          <w:p>
            <w:pPr>
              <w:pStyle w:val="527"/>
              <w:spacing w:line="355" w:lineRule="auto"/>
              <w:ind w:left="669" w:right="134" w:hanging="5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项目名称及项目编号</w:t>
            </w:r>
          </w:p>
        </w:tc>
        <w:tc>
          <w:tcPr>
            <w:tcW w:w="7033" w:type="dxa"/>
            <w:vAlign w:val="center"/>
          </w:tcPr>
          <w:p>
            <w:pPr>
              <w:pStyle w:val="527"/>
              <w:spacing w:before="108" w:line="360" w:lineRule="auto"/>
              <w:ind w:left="1151" w:leftChars="48" w:right="97" w:hanging="1050" w:hangingChars="5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zh-CN"/>
              </w:rPr>
              <w:t>广西桂林市兴安县水系连通及农村水系综合整治试点工程（灵渠监控及预警综合自动化系统）（重</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w:t>
            </w:r>
          </w:p>
          <w:p>
            <w:pPr>
              <w:pStyle w:val="527"/>
              <w:spacing w:line="360" w:lineRule="auto"/>
              <w:ind w:left="107"/>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项目编号：GLZC2020-G1-250084-GXHY-C</w:t>
            </w: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691" w:type="dxa"/>
            <w:vAlign w:val="center"/>
          </w:tcPr>
          <w:p>
            <w:pPr>
              <w:pStyle w:val="527"/>
              <w:spacing w:before="1"/>
              <w:rPr>
                <w:rFonts w:asciiTheme="minorEastAsia" w:hAnsiTheme="minorEastAsia" w:eastAsiaTheme="minorEastAsia" w:cstheme="minorEastAsia"/>
                <w:b/>
                <w:color w:val="auto"/>
                <w:sz w:val="21"/>
                <w:szCs w:val="21"/>
                <w:highlight w:val="none"/>
              </w:rPr>
            </w:pPr>
          </w:p>
          <w:p>
            <w:pPr>
              <w:pStyle w:val="527"/>
              <w:spacing w:before="1"/>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2</w:t>
            </w:r>
          </w:p>
        </w:tc>
        <w:tc>
          <w:tcPr>
            <w:tcW w:w="854" w:type="dxa"/>
            <w:vAlign w:val="center"/>
          </w:tcPr>
          <w:p>
            <w:pPr>
              <w:pStyle w:val="527"/>
              <w:rPr>
                <w:rFonts w:asciiTheme="minorEastAsia" w:hAnsiTheme="minorEastAsia" w:eastAsiaTheme="minorEastAsia" w:cstheme="minorEastAsia"/>
                <w:b/>
                <w:color w:val="auto"/>
                <w:sz w:val="21"/>
                <w:szCs w:val="21"/>
                <w:highlight w:val="none"/>
              </w:rPr>
            </w:pPr>
          </w:p>
          <w:p>
            <w:pPr>
              <w:pStyle w:val="527"/>
              <w:spacing w:before="1"/>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5</w:t>
            </w:r>
          </w:p>
        </w:tc>
        <w:tc>
          <w:tcPr>
            <w:tcW w:w="1760" w:type="dxa"/>
            <w:vAlign w:val="center"/>
          </w:tcPr>
          <w:p>
            <w:pPr>
              <w:pStyle w:val="527"/>
              <w:spacing w:before="1"/>
              <w:ind w:left="123" w:right="11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投标人资格</w:t>
            </w:r>
          </w:p>
        </w:tc>
        <w:tc>
          <w:tcPr>
            <w:tcW w:w="7033" w:type="dxa"/>
            <w:vAlign w:val="center"/>
          </w:tcPr>
          <w:p>
            <w:pPr>
              <w:pStyle w:val="527"/>
              <w:tabs>
                <w:tab w:val="left" w:pos="1069"/>
              </w:tabs>
              <w:spacing w:before="213" w:line="360" w:lineRule="auto"/>
              <w:ind w:right="193"/>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符合《中华人民共和国政府采购法》第二十二条和《政府采购法实施条例》第十八条规定，具备合法资格的投标人。</w:t>
            </w:r>
          </w:p>
          <w:p>
            <w:pPr>
              <w:pStyle w:val="527"/>
              <w:tabs>
                <w:tab w:val="left" w:pos="1069"/>
              </w:tabs>
              <w:spacing w:before="213" w:line="360" w:lineRule="auto"/>
              <w:ind w:right="193"/>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对在“信用中国”网站(www.creditchina.gov.cn)、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pPr>
              <w:pStyle w:val="527"/>
              <w:tabs>
                <w:tab w:val="left" w:pos="1069"/>
              </w:tabs>
              <w:spacing w:before="213" w:line="360" w:lineRule="auto"/>
              <w:ind w:right="193"/>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91" w:type="dxa"/>
            <w:vAlign w:val="center"/>
          </w:tcPr>
          <w:p>
            <w:pPr>
              <w:pStyle w:val="527"/>
              <w:spacing w:before="116"/>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3</w:t>
            </w:r>
          </w:p>
        </w:tc>
        <w:tc>
          <w:tcPr>
            <w:tcW w:w="854" w:type="dxa"/>
            <w:vAlign w:val="center"/>
          </w:tcPr>
          <w:p>
            <w:pPr>
              <w:pStyle w:val="527"/>
              <w:spacing w:before="116"/>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6</w:t>
            </w:r>
          </w:p>
        </w:tc>
        <w:tc>
          <w:tcPr>
            <w:tcW w:w="1760" w:type="dxa"/>
            <w:vAlign w:val="center"/>
          </w:tcPr>
          <w:p>
            <w:pPr>
              <w:pStyle w:val="527"/>
              <w:spacing w:before="116"/>
              <w:ind w:left="120"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投标费用</w:t>
            </w:r>
          </w:p>
        </w:tc>
        <w:tc>
          <w:tcPr>
            <w:tcW w:w="7033" w:type="dxa"/>
            <w:vAlign w:val="center"/>
          </w:tcPr>
          <w:p>
            <w:pPr>
              <w:pStyle w:val="527"/>
              <w:spacing w:before="116"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691" w:type="dxa"/>
            <w:vAlign w:val="center"/>
          </w:tcPr>
          <w:p>
            <w:pPr>
              <w:pStyle w:val="527"/>
              <w:spacing w:before="140"/>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4</w:t>
            </w:r>
          </w:p>
        </w:tc>
        <w:tc>
          <w:tcPr>
            <w:tcW w:w="854" w:type="dxa"/>
            <w:vAlign w:val="center"/>
          </w:tcPr>
          <w:p>
            <w:pPr>
              <w:pStyle w:val="527"/>
              <w:spacing w:before="162"/>
              <w:ind w:left="87" w:right="7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760" w:type="dxa"/>
            <w:vAlign w:val="center"/>
          </w:tcPr>
          <w:p>
            <w:pPr>
              <w:pStyle w:val="527"/>
              <w:spacing w:before="140"/>
              <w:ind w:left="120"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投标报价</w:t>
            </w:r>
          </w:p>
        </w:tc>
        <w:tc>
          <w:tcPr>
            <w:tcW w:w="7033" w:type="dxa"/>
            <w:vAlign w:val="center"/>
          </w:tcPr>
          <w:p>
            <w:pPr>
              <w:pStyle w:val="527"/>
              <w:spacing w:before="131"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15.1 本项目采购预算金额（人民币）伍佰叁拾玖万柒仟伍佰捌拾玖元整（￥5397589元），投标报价超采购预算金额的，投标文件按无效处理。</w:t>
            </w:r>
          </w:p>
          <w:p>
            <w:pPr>
              <w:pStyle w:val="527"/>
              <w:spacing w:before="131"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15.2 投标人必须就“采购需求”中的所有内容作完整唯一报价，否则，其投标将被拒绝；投标文件只允许有一个报价，有选择的或有条件的报价将不予接受。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91" w:type="dxa"/>
            <w:vAlign w:val="center"/>
          </w:tcPr>
          <w:p>
            <w:pPr>
              <w:pStyle w:val="527"/>
              <w:spacing w:before="144"/>
              <w:ind w:left="8"/>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5</w:t>
            </w:r>
          </w:p>
        </w:tc>
        <w:tc>
          <w:tcPr>
            <w:tcW w:w="854" w:type="dxa"/>
            <w:vAlign w:val="center"/>
          </w:tcPr>
          <w:p>
            <w:pPr>
              <w:pStyle w:val="527"/>
              <w:spacing w:before="144"/>
              <w:ind w:left="87" w:right="7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w:t>
            </w:r>
          </w:p>
        </w:tc>
        <w:tc>
          <w:tcPr>
            <w:tcW w:w="1760" w:type="dxa"/>
            <w:vAlign w:val="center"/>
          </w:tcPr>
          <w:p>
            <w:pPr>
              <w:pStyle w:val="527"/>
              <w:spacing w:before="144"/>
              <w:ind w:left="123" w:right="11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投标有效期</w:t>
            </w:r>
          </w:p>
        </w:tc>
        <w:tc>
          <w:tcPr>
            <w:tcW w:w="7033" w:type="dxa"/>
            <w:vAlign w:val="center"/>
          </w:tcPr>
          <w:p>
            <w:pPr>
              <w:pStyle w:val="527"/>
              <w:spacing w:before="144"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1" w:type="dxa"/>
            <w:vAlign w:val="center"/>
          </w:tcPr>
          <w:p>
            <w:pPr>
              <w:pStyle w:val="527"/>
              <w:ind w:left="29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6</w:t>
            </w:r>
          </w:p>
        </w:tc>
        <w:tc>
          <w:tcPr>
            <w:tcW w:w="854" w:type="dxa"/>
            <w:vAlign w:val="center"/>
          </w:tcPr>
          <w:p>
            <w:pPr>
              <w:pStyle w:val="527"/>
              <w:ind w:right="204"/>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17.1</w:t>
            </w:r>
          </w:p>
        </w:tc>
        <w:tc>
          <w:tcPr>
            <w:tcW w:w="1760" w:type="dxa"/>
            <w:vAlign w:val="center"/>
          </w:tcPr>
          <w:p>
            <w:pPr>
              <w:pStyle w:val="52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投标文件份数</w:t>
            </w:r>
          </w:p>
        </w:tc>
        <w:tc>
          <w:tcPr>
            <w:tcW w:w="7033" w:type="dxa"/>
            <w:vAlign w:val="center"/>
          </w:tcPr>
          <w:p>
            <w:pPr>
              <w:pStyle w:val="527"/>
              <w:spacing w:before="131"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正本壹册，副本肆册，须完整提交。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91" w:type="dxa"/>
            <w:vAlign w:val="center"/>
          </w:tcPr>
          <w:p>
            <w:pPr>
              <w:pStyle w:val="527"/>
              <w:spacing w:before="137"/>
              <w:ind w:left="29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7</w:t>
            </w:r>
          </w:p>
        </w:tc>
        <w:tc>
          <w:tcPr>
            <w:tcW w:w="854" w:type="dxa"/>
            <w:vAlign w:val="center"/>
          </w:tcPr>
          <w:p>
            <w:pPr>
              <w:pStyle w:val="527"/>
              <w:spacing w:before="13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w:t>
            </w:r>
          </w:p>
        </w:tc>
        <w:tc>
          <w:tcPr>
            <w:tcW w:w="1760" w:type="dxa"/>
            <w:vAlign w:val="center"/>
          </w:tcPr>
          <w:p>
            <w:pPr>
              <w:pStyle w:val="527"/>
              <w:spacing w:before="13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投标文件装订</w:t>
            </w:r>
          </w:p>
        </w:tc>
        <w:tc>
          <w:tcPr>
            <w:tcW w:w="7033" w:type="dxa"/>
            <w:vAlign w:val="center"/>
          </w:tcPr>
          <w:p>
            <w:pPr>
              <w:pStyle w:val="527"/>
              <w:spacing w:before="107" w:line="360" w:lineRule="auto"/>
              <w:ind w:left="107" w:right="95"/>
              <w:jc w:val="both"/>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5"/>
                <w:sz w:val="21"/>
                <w:highlight w:val="none"/>
              </w:rPr>
              <w:t xml:space="preserve">投标人应按投标人须知第 </w:t>
            </w:r>
            <w:r>
              <w:rPr>
                <w:rFonts w:hint="eastAsia" w:asciiTheme="minorEastAsia" w:hAnsiTheme="minorEastAsia" w:eastAsiaTheme="minorEastAsia" w:cstheme="minorEastAsia"/>
                <w:color w:val="auto"/>
                <w:sz w:val="21"/>
                <w:highlight w:val="none"/>
              </w:rPr>
              <w:t>13.1</w:t>
            </w:r>
            <w:r>
              <w:rPr>
                <w:rFonts w:hint="eastAsia" w:asciiTheme="minorEastAsia" w:hAnsiTheme="minorEastAsia" w:eastAsiaTheme="minorEastAsia" w:cstheme="minorEastAsia"/>
                <w:color w:val="auto"/>
                <w:spacing w:val="-9"/>
                <w:sz w:val="21"/>
                <w:highlight w:val="none"/>
              </w:rPr>
              <w:t xml:space="preserve"> 款“投标文件组成”规定的顺序自编目录及</w:t>
            </w:r>
            <w:r>
              <w:rPr>
                <w:rFonts w:hint="eastAsia" w:asciiTheme="minorEastAsia" w:hAnsiTheme="minorEastAsia" w:eastAsiaTheme="minorEastAsia" w:cstheme="minorEastAsia"/>
                <w:color w:val="auto"/>
                <w:w w:val="95"/>
                <w:sz w:val="21"/>
                <w:highlight w:val="none"/>
              </w:rPr>
              <w:t>页</w:t>
            </w:r>
            <w:r>
              <w:rPr>
                <w:rFonts w:hint="eastAsia" w:asciiTheme="minorEastAsia" w:hAnsiTheme="minorEastAsia" w:eastAsiaTheme="minorEastAsia" w:cstheme="minorEastAsia"/>
                <w:color w:val="auto"/>
                <w:spacing w:val="-9"/>
                <w:sz w:val="21"/>
                <w:highlight w:val="none"/>
              </w:rPr>
              <w:t>码，投标文件的“正本”、“副本”应当单独装订成册并标注页码，装订应牢固，不易拆散和换页（A4 标准纸装订）。封面应注明“正本”、“副本”字样，封面上写明项目名称、项目编号、采购代理机构、投标单位名</w:t>
            </w:r>
            <w:r>
              <w:rPr>
                <w:rFonts w:hint="eastAsia" w:asciiTheme="minorEastAsia" w:hAnsiTheme="minorEastAsia" w:eastAsiaTheme="minorEastAsia" w:cstheme="minorEastAsia"/>
                <w:color w:val="auto"/>
                <w:sz w:val="21"/>
                <w:highlight w:val="none"/>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691" w:type="dxa"/>
            <w:vAlign w:val="center"/>
          </w:tcPr>
          <w:p>
            <w:pPr>
              <w:pStyle w:val="527"/>
              <w:ind w:left="29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8</w:t>
            </w:r>
          </w:p>
        </w:tc>
        <w:tc>
          <w:tcPr>
            <w:tcW w:w="854" w:type="dxa"/>
            <w:vAlign w:val="center"/>
          </w:tcPr>
          <w:p>
            <w:pPr>
              <w:pStyle w:val="52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17.6</w:t>
            </w:r>
          </w:p>
        </w:tc>
        <w:tc>
          <w:tcPr>
            <w:tcW w:w="1760" w:type="dxa"/>
            <w:vAlign w:val="center"/>
          </w:tcPr>
          <w:p>
            <w:pPr>
              <w:pStyle w:val="527"/>
              <w:spacing w:before="1"/>
              <w:rPr>
                <w:rFonts w:asciiTheme="minorEastAsia" w:hAnsiTheme="minorEastAsia" w:eastAsiaTheme="minorEastAsia" w:cstheme="minorEastAsia"/>
                <w:b/>
                <w:color w:val="auto"/>
                <w:sz w:val="15"/>
                <w:highlight w:val="none"/>
              </w:rPr>
            </w:pPr>
          </w:p>
          <w:p>
            <w:pPr>
              <w:pStyle w:val="527"/>
              <w:ind w:left="123" w:right="11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投标人公章</w:t>
            </w:r>
          </w:p>
        </w:tc>
        <w:tc>
          <w:tcPr>
            <w:tcW w:w="7033" w:type="dxa"/>
            <w:vAlign w:val="center"/>
          </w:tcPr>
          <w:p>
            <w:pPr>
              <w:pStyle w:val="527"/>
              <w:spacing w:before="107" w:line="360" w:lineRule="auto"/>
              <w:ind w:left="107" w:right="95"/>
              <w:jc w:val="both"/>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9"/>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7" w:hRule="atLeast"/>
        </w:trPr>
        <w:tc>
          <w:tcPr>
            <w:tcW w:w="691" w:type="dxa"/>
            <w:vAlign w:val="center"/>
          </w:tcPr>
          <w:p>
            <w:pPr>
              <w:pStyle w:val="527"/>
              <w:ind w:left="29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9</w:t>
            </w:r>
          </w:p>
        </w:tc>
        <w:tc>
          <w:tcPr>
            <w:tcW w:w="854" w:type="dxa"/>
            <w:vAlign w:val="center"/>
          </w:tcPr>
          <w:p>
            <w:pPr>
              <w:pStyle w:val="52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17.7</w:t>
            </w:r>
          </w:p>
        </w:tc>
        <w:tc>
          <w:tcPr>
            <w:tcW w:w="1760" w:type="dxa"/>
            <w:vAlign w:val="center"/>
          </w:tcPr>
          <w:p>
            <w:pPr>
              <w:pStyle w:val="527"/>
              <w:rPr>
                <w:rFonts w:asciiTheme="minorEastAsia" w:hAnsiTheme="minorEastAsia" w:eastAsiaTheme="minorEastAsia" w:cstheme="minorEastAsia"/>
                <w:b/>
                <w:color w:val="auto"/>
                <w:highlight w:val="none"/>
              </w:rPr>
            </w:pPr>
          </w:p>
          <w:p>
            <w:pPr>
              <w:pStyle w:val="527"/>
              <w:spacing w:line="355" w:lineRule="auto"/>
              <w:ind w:left="669" w:right="134" w:hanging="526"/>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投标文件包装、密封</w:t>
            </w:r>
          </w:p>
        </w:tc>
        <w:tc>
          <w:tcPr>
            <w:tcW w:w="7033" w:type="dxa"/>
            <w:vAlign w:val="center"/>
          </w:tcPr>
          <w:p>
            <w:pPr>
              <w:pStyle w:val="527"/>
              <w:spacing w:before="106" w:line="360" w:lineRule="auto"/>
              <w:ind w:left="107" w:right="-15"/>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3"/>
                <w:sz w:val="21"/>
                <w:highlight w:val="none"/>
              </w:rPr>
              <w:t>将投标文件“正本”、“副本”一并装入并密封在一个投标文件袋（盒、箱）中，并在密封处密封签章【公章、密封章、  法定代表人或相应的授权委托代理人签字均可】。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691" w:type="dxa"/>
            <w:vAlign w:val="center"/>
          </w:tcPr>
          <w:p>
            <w:pPr>
              <w:pStyle w:val="527"/>
              <w:spacing w:before="139"/>
              <w:ind w:left="23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54" w:type="dxa"/>
            <w:vAlign w:val="center"/>
          </w:tcPr>
          <w:p>
            <w:pPr>
              <w:pStyle w:val="527"/>
              <w:spacing w:before="139"/>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17.8</w:t>
            </w:r>
          </w:p>
        </w:tc>
        <w:tc>
          <w:tcPr>
            <w:tcW w:w="1760" w:type="dxa"/>
            <w:vAlign w:val="center"/>
          </w:tcPr>
          <w:p>
            <w:pPr>
              <w:pStyle w:val="527"/>
              <w:spacing w:before="139"/>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投标文件袋（盒、箱）标记</w:t>
            </w:r>
          </w:p>
        </w:tc>
        <w:tc>
          <w:tcPr>
            <w:tcW w:w="7033" w:type="dxa"/>
            <w:vAlign w:val="center"/>
          </w:tcPr>
          <w:p>
            <w:pPr>
              <w:pStyle w:val="527"/>
              <w:spacing w:before="106" w:line="360" w:lineRule="auto"/>
              <w:ind w:left="107" w:right="5864"/>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 项目编号：</w:t>
            </w:r>
          </w:p>
          <w:p>
            <w:pPr>
              <w:pStyle w:val="527"/>
              <w:spacing w:line="360" w:lineRule="auto"/>
              <w:ind w:left="107" w:right="5444"/>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采购代理机构： 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691" w:type="dxa"/>
            <w:vAlign w:val="center"/>
          </w:tcPr>
          <w:p>
            <w:pPr>
              <w:pStyle w:val="527"/>
              <w:ind w:left="23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54" w:type="dxa"/>
            <w:vAlign w:val="center"/>
          </w:tcPr>
          <w:p>
            <w:pPr>
              <w:pStyle w:val="52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1760" w:type="dxa"/>
            <w:vAlign w:val="center"/>
          </w:tcPr>
          <w:p>
            <w:pPr>
              <w:pStyle w:val="527"/>
              <w:spacing w:before="107"/>
              <w:ind w:left="144"/>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投标文件递交起</w:t>
            </w:r>
          </w:p>
          <w:p>
            <w:pPr>
              <w:pStyle w:val="527"/>
              <w:spacing w:before="1" w:line="400" w:lineRule="atLeast"/>
              <w:ind w:left="564" w:right="134" w:hanging="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止时间及投标截止时间</w:t>
            </w:r>
          </w:p>
        </w:tc>
        <w:tc>
          <w:tcPr>
            <w:tcW w:w="7033" w:type="dxa"/>
            <w:vAlign w:val="center"/>
          </w:tcPr>
          <w:p>
            <w:pPr>
              <w:pStyle w:val="527"/>
              <w:spacing w:before="11" w:line="360" w:lineRule="auto"/>
              <w:rPr>
                <w:rFonts w:asciiTheme="minorEastAsia" w:hAnsiTheme="minorEastAsia" w:eastAsiaTheme="minorEastAsia" w:cstheme="minorEastAsia"/>
                <w:b/>
                <w:color w:val="auto"/>
                <w:sz w:val="23"/>
                <w:highlight w:val="none"/>
              </w:rPr>
            </w:pPr>
          </w:p>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投标文件递交起止时间：</w:t>
            </w:r>
            <w:r>
              <w:rPr>
                <w:rFonts w:hint="eastAsia" w:asciiTheme="minorEastAsia" w:hAnsiTheme="minorEastAsia" w:eastAsiaTheme="minorEastAsia" w:cstheme="minorEastAsia"/>
                <w:color w:val="auto"/>
                <w:spacing w:val="-3"/>
                <w:sz w:val="21"/>
                <w:highlight w:val="none"/>
              </w:rPr>
              <w:t>2021年0</w:t>
            </w:r>
            <w:r>
              <w:rPr>
                <w:rFonts w:hint="eastAsia" w:asciiTheme="minorEastAsia" w:hAnsiTheme="minorEastAsia" w:eastAsiaTheme="minorEastAsia" w:cstheme="minorEastAsia"/>
                <w:color w:val="auto"/>
                <w:spacing w:val="-3"/>
                <w:sz w:val="21"/>
                <w:highlight w:val="none"/>
                <w:lang w:val="en-US" w:eastAsia="zh-CN"/>
              </w:rPr>
              <w:t>4</w:t>
            </w:r>
            <w:r>
              <w:rPr>
                <w:rFonts w:hint="eastAsia" w:asciiTheme="minorEastAsia" w:hAnsiTheme="minorEastAsia" w:eastAsiaTheme="minorEastAsia" w:cstheme="minorEastAsia"/>
                <w:color w:val="auto"/>
                <w:spacing w:val="-3"/>
                <w:sz w:val="21"/>
                <w:highlight w:val="none"/>
              </w:rPr>
              <w:t>月2</w:t>
            </w:r>
            <w:r>
              <w:rPr>
                <w:rFonts w:hint="eastAsia" w:asciiTheme="minorEastAsia" w:hAnsiTheme="minorEastAsia" w:eastAsiaTheme="minorEastAsia" w:cstheme="minorEastAsia"/>
                <w:color w:val="auto"/>
                <w:spacing w:val="-3"/>
                <w:sz w:val="21"/>
                <w:highlight w:val="none"/>
                <w:lang w:val="en-US" w:eastAsia="zh-CN"/>
              </w:rPr>
              <w:t>8</w:t>
            </w:r>
            <w:r>
              <w:rPr>
                <w:rFonts w:hint="eastAsia" w:asciiTheme="minorEastAsia" w:hAnsiTheme="minorEastAsia" w:eastAsiaTheme="minorEastAsia" w:cstheme="minorEastAsia"/>
                <w:color w:val="auto"/>
                <w:spacing w:val="-3"/>
                <w:sz w:val="21"/>
                <w:highlight w:val="none"/>
              </w:rPr>
              <w:t>日9时00分至9时30分止；</w:t>
            </w:r>
          </w:p>
          <w:p>
            <w:pPr>
              <w:pStyle w:val="527"/>
              <w:spacing w:before="132"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投标截止时间：</w:t>
            </w:r>
            <w:r>
              <w:rPr>
                <w:rFonts w:hint="eastAsia" w:asciiTheme="minorEastAsia" w:hAnsiTheme="minorEastAsia" w:eastAsiaTheme="minorEastAsia" w:cstheme="minorEastAsia"/>
                <w:color w:val="auto"/>
                <w:sz w:val="21"/>
                <w:highlight w:val="none"/>
              </w:rPr>
              <w:t>2021年0</w:t>
            </w:r>
            <w:r>
              <w:rPr>
                <w:rFonts w:hint="eastAsia" w:asciiTheme="minorEastAsia" w:hAnsiTheme="minorEastAsia" w:eastAsiaTheme="minorEastAsia" w:cstheme="minorEastAsia"/>
                <w:color w:val="auto"/>
                <w:sz w:val="21"/>
                <w:highlight w:val="none"/>
                <w:lang w:val="en-US" w:eastAsia="zh-CN"/>
              </w:rPr>
              <w:t>4</w:t>
            </w:r>
            <w:r>
              <w:rPr>
                <w:rFonts w:hint="eastAsia" w:asciiTheme="minorEastAsia" w:hAnsiTheme="minorEastAsia" w:eastAsiaTheme="minorEastAsia" w:cstheme="minorEastAsia"/>
                <w:color w:val="auto"/>
                <w:sz w:val="21"/>
                <w:highlight w:val="none"/>
              </w:rPr>
              <w:t>月2</w:t>
            </w:r>
            <w:r>
              <w:rPr>
                <w:rFonts w:hint="eastAsia" w:asciiTheme="minorEastAsia" w:hAnsiTheme="minorEastAsia" w:eastAsiaTheme="minorEastAsia" w:cstheme="minorEastAsia"/>
                <w:color w:val="auto"/>
                <w:sz w:val="21"/>
                <w:highlight w:val="none"/>
                <w:lang w:val="en-US" w:eastAsia="zh-CN"/>
              </w:rPr>
              <w:t>8</w:t>
            </w:r>
            <w:r>
              <w:rPr>
                <w:rFonts w:hint="eastAsia" w:asciiTheme="minorEastAsia" w:hAnsiTheme="minorEastAsia" w:eastAsiaTheme="minorEastAsia" w:cstheme="minorEastAsia"/>
                <w:color w:val="auto"/>
                <w:sz w:val="21"/>
                <w:highlight w:val="none"/>
              </w:rPr>
              <w:t>日9时30分。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691" w:type="dxa"/>
            <w:vAlign w:val="center"/>
          </w:tcPr>
          <w:p>
            <w:pPr>
              <w:pStyle w:val="527"/>
              <w:spacing w:before="137"/>
              <w:ind w:left="23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54" w:type="dxa"/>
            <w:vAlign w:val="center"/>
          </w:tcPr>
          <w:p>
            <w:pPr>
              <w:pStyle w:val="527"/>
              <w:spacing w:before="13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w:t>
            </w:r>
          </w:p>
        </w:tc>
        <w:tc>
          <w:tcPr>
            <w:tcW w:w="1760" w:type="dxa"/>
            <w:vAlign w:val="center"/>
          </w:tcPr>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spacing w:before="2"/>
              <w:rPr>
                <w:rFonts w:asciiTheme="minorEastAsia" w:hAnsiTheme="minorEastAsia" w:eastAsiaTheme="minorEastAsia" w:cstheme="minorEastAsia"/>
                <w:b/>
                <w:color w:val="auto"/>
                <w:sz w:val="15"/>
                <w:highlight w:val="none"/>
              </w:rPr>
            </w:pPr>
          </w:p>
          <w:p>
            <w:pPr>
              <w:pStyle w:val="527"/>
              <w:spacing w:line="357" w:lineRule="auto"/>
              <w:ind w:left="775" w:right="134" w:hanging="63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投标文件递交地点</w:t>
            </w:r>
          </w:p>
        </w:tc>
        <w:tc>
          <w:tcPr>
            <w:tcW w:w="7033" w:type="dxa"/>
            <w:vAlign w:val="center"/>
          </w:tcPr>
          <w:p>
            <w:pPr>
              <w:pStyle w:val="527"/>
              <w:spacing w:line="360" w:lineRule="auto"/>
              <w:ind w:left="107"/>
              <w:jc w:val="both"/>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4"/>
                <w:sz w:val="21"/>
                <w:highlight w:val="none"/>
              </w:rPr>
              <w:t>由投标人的法定代表人或授权委托代理人</w:t>
            </w:r>
            <w:r>
              <w:rPr>
                <w:rFonts w:hint="eastAsia" w:asciiTheme="minorEastAsia" w:hAnsiTheme="minorEastAsia" w:eastAsiaTheme="minorEastAsia" w:cstheme="minorEastAsia"/>
                <w:b/>
                <w:bCs/>
                <w:color w:val="auto"/>
                <w:spacing w:val="-4"/>
                <w:sz w:val="21"/>
                <w:highlight w:val="none"/>
              </w:rPr>
              <w:t>携带本人身份证原件及复印件（复印件加盖公章）、授权委托书原件（授权委托时提供）</w:t>
            </w:r>
            <w:r>
              <w:rPr>
                <w:rFonts w:hint="eastAsia" w:asciiTheme="minorEastAsia" w:hAnsiTheme="minorEastAsia" w:eastAsiaTheme="minorEastAsia" w:cstheme="minorEastAsia"/>
                <w:color w:val="auto"/>
                <w:spacing w:val="-4"/>
                <w:sz w:val="21"/>
                <w:highlight w:val="none"/>
              </w:rPr>
              <w:t>将投标文件密封提交至桂林市公共资源交易中心</w:t>
            </w:r>
            <w:r>
              <w:rPr>
                <w:rFonts w:hint="eastAsia" w:asciiTheme="minorEastAsia" w:hAnsiTheme="minorEastAsia" w:eastAsiaTheme="minorEastAsia" w:cstheme="minorEastAsia"/>
                <w:color w:val="auto"/>
                <w:spacing w:val="-4"/>
                <w:sz w:val="21"/>
                <w:highlight w:val="none"/>
                <w:lang w:val="en-US" w:eastAsia="zh-CN"/>
              </w:rPr>
              <w:t>2</w:t>
            </w:r>
            <w:r>
              <w:rPr>
                <w:rFonts w:hint="eastAsia" w:asciiTheme="minorEastAsia" w:hAnsiTheme="minorEastAsia" w:eastAsiaTheme="minorEastAsia" w:cstheme="minorEastAsia"/>
                <w:color w:val="auto"/>
                <w:spacing w:val="-4"/>
                <w:sz w:val="21"/>
                <w:highlight w:val="none"/>
              </w:rPr>
              <w:t>号开标室（广西桂林市临桂区西城中路 69 号创业大厦西辅楼 4 楼北区），未携带相关材料或逾期送达的或未按照招标文件要求密封的投标文件将予以拒收。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691" w:type="dxa"/>
            <w:vAlign w:val="center"/>
          </w:tcPr>
          <w:p>
            <w:pPr>
              <w:pStyle w:val="527"/>
              <w:ind w:left="23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54" w:type="dxa"/>
            <w:vAlign w:val="center"/>
          </w:tcPr>
          <w:p>
            <w:pPr>
              <w:pStyle w:val="527"/>
              <w:ind w:right="204"/>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1760" w:type="dxa"/>
            <w:vAlign w:val="center"/>
          </w:tcPr>
          <w:p>
            <w:pPr>
              <w:pStyle w:val="527"/>
              <w:rPr>
                <w:rFonts w:asciiTheme="minorEastAsia" w:hAnsiTheme="minorEastAsia" w:eastAsiaTheme="minorEastAsia" w:cstheme="minorEastAsia"/>
                <w:b/>
                <w:color w:val="auto"/>
                <w:sz w:val="20"/>
                <w:highlight w:val="none"/>
              </w:rPr>
            </w:pPr>
          </w:p>
          <w:p>
            <w:pPr>
              <w:pStyle w:val="527"/>
              <w:spacing w:before="6"/>
              <w:rPr>
                <w:rFonts w:asciiTheme="minorEastAsia" w:hAnsiTheme="minorEastAsia" w:eastAsiaTheme="minorEastAsia" w:cstheme="minorEastAsia"/>
                <w:b/>
                <w:color w:val="auto"/>
                <w:sz w:val="19"/>
                <w:highlight w:val="none"/>
              </w:rPr>
            </w:pPr>
          </w:p>
          <w:p>
            <w:pPr>
              <w:pStyle w:val="52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开标时间及地点</w:t>
            </w:r>
          </w:p>
        </w:tc>
        <w:tc>
          <w:tcPr>
            <w:tcW w:w="7033" w:type="dxa"/>
            <w:vAlign w:val="center"/>
          </w:tcPr>
          <w:p>
            <w:pPr>
              <w:pStyle w:val="527"/>
              <w:spacing w:before="108"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开标时间：2021年</w:t>
            </w:r>
            <w:r>
              <w:rPr>
                <w:rFonts w:hint="eastAsia" w:asciiTheme="minorEastAsia" w:hAnsiTheme="minorEastAsia" w:eastAsiaTheme="minorEastAsia" w:cstheme="minorEastAsia"/>
                <w:color w:val="auto"/>
                <w:sz w:val="21"/>
                <w:highlight w:val="none"/>
                <w:lang w:val="en-US" w:eastAsia="zh-CN"/>
              </w:rPr>
              <w:t>04</w:t>
            </w:r>
            <w:r>
              <w:rPr>
                <w:rFonts w:hint="eastAsia" w:asciiTheme="minorEastAsia" w:hAnsiTheme="minorEastAsia" w:eastAsiaTheme="minorEastAsia" w:cstheme="minorEastAsia"/>
                <w:color w:val="auto"/>
                <w:sz w:val="21"/>
                <w:highlight w:val="none"/>
              </w:rPr>
              <w:t>月</w:t>
            </w:r>
            <w:r>
              <w:rPr>
                <w:rFonts w:hint="eastAsia" w:asciiTheme="minorEastAsia" w:hAnsiTheme="minorEastAsia" w:eastAsiaTheme="minorEastAsia" w:cstheme="minorEastAsia"/>
                <w:color w:val="auto"/>
                <w:sz w:val="21"/>
                <w:highlight w:val="none"/>
                <w:lang w:val="en-US" w:eastAsia="zh-CN"/>
              </w:rPr>
              <w:t>28</w:t>
            </w:r>
            <w:r>
              <w:rPr>
                <w:rFonts w:hint="eastAsia" w:asciiTheme="minorEastAsia" w:hAnsiTheme="minorEastAsia" w:eastAsiaTheme="minorEastAsia" w:cstheme="minorEastAsia"/>
                <w:color w:val="auto"/>
                <w:sz w:val="21"/>
                <w:highlight w:val="none"/>
              </w:rPr>
              <w:t>日9时30分；</w:t>
            </w:r>
          </w:p>
          <w:p>
            <w:pPr>
              <w:pStyle w:val="527"/>
              <w:spacing w:before="132"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
                <w:sz w:val="21"/>
                <w:highlight w:val="none"/>
              </w:rPr>
              <w:t>开标地点：桂林市公共资源交易中心</w:t>
            </w:r>
            <w:r>
              <w:rPr>
                <w:rFonts w:hint="eastAsia" w:asciiTheme="minorEastAsia" w:hAnsiTheme="minorEastAsia" w:eastAsiaTheme="minorEastAsia" w:cstheme="minorEastAsia"/>
                <w:color w:val="auto"/>
                <w:spacing w:val="-2"/>
                <w:sz w:val="21"/>
                <w:highlight w:val="none"/>
                <w:lang w:val="en-US" w:eastAsia="zh-CN"/>
              </w:rPr>
              <w:t>2</w:t>
            </w:r>
            <w:bookmarkStart w:id="48" w:name="_GoBack"/>
            <w:bookmarkEnd w:id="48"/>
            <w:r>
              <w:rPr>
                <w:rFonts w:hint="eastAsia" w:asciiTheme="minorEastAsia" w:hAnsiTheme="minorEastAsia" w:eastAsiaTheme="minorEastAsia" w:cstheme="minorEastAsia"/>
                <w:color w:val="auto"/>
                <w:spacing w:val="-2"/>
                <w:sz w:val="21"/>
                <w:highlight w:val="none"/>
              </w:rPr>
              <w:t>号开标室（广西桂林市临桂区西城中路 69 号创业大厦西辅楼 4 楼北区）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91" w:type="dxa"/>
            <w:vAlign w:val="center"/>
          </w:tcPr>
          <w:p>
            <w:pPr>
              <w:pStyle w:val="527"/>
              <w:spacing w:before="133"/>
              <w:ind w:left="113" w:right="105"/>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54" w:type="dxa"/>
            <w:vAlign w:val="center"/>
          </w:tcPr>
          <w:p>
            <w:pPr>
              <w:pStyle w:val="527"/>
              <w:spacing w:before="133"/>
              <w:ind w:left="87" w:right="7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760" w:type="dxa"/>
            <w:vAlign w:val="center"/>
          </w:tcPr>
          <w:p>
            <w:pPr>
              <w:pStyle w:val="527"/>
              <w:rPr>
                <w:rFonts w:asciiTheme="minorEastAsia" w:hAnsiTheme="minorEastAsia" w:eastAsiaTheme="minorEastAsia" w:cstheme="minorEastAsia"/>
                <w:b/>
                <w:color w:val="auto"/>
                <w:sz w:val="20"/>
                <w:highlight w:val="none"/>
              </w:rPr>
            </w:pPr>
          </w:p>
          <w:p>
            <w:pPr>
              <w:pStyle w:val="527"/>
              <w:spacing w:before="133"/>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评标委员会组成</w:t>
            </w:r>
          </w:p>
        </w:tc>
        <w:tc>
          <w:tcPr>
            <w:tcW w:w="7033" w:type="dxa"/>
            <w:vAlign w:val="center"/>
          </w:tcPr>
          <w:p>
            <w:pPr>
              <w:pStyle w:val="527"/>
              <w:spacing w:before="10" w:line="360" w:lineRule="auto"/>
              <w:rPr>
                <w:rFonts w:asciiTheme="minorEastAsia" w:hAnsiTheme="minorEastAsia" w:eastAsiaTheme="minorEastAsia" w:cstheme="minorEastAsia"/>
                <w:b/>
                <w:color w:val="auto"/>
                <w:sz w:val="14"/>
                <w:highlight w:val="none"/>
              </w:rPr>
            </w:pPr>
          </w:p>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评标委员会由采购人代表和评审专家组成，成员人数共 </w:t>
            </w:r>
            <w:r>
              <w:rPr>
                <w:rFonts w:hint="eastAsia" w:asciiTheme="minorEastAsia" w:hAnsiTheme="minorEastAsia" w:eastAsiaTheme="minorEastAsia" w:cstheme="minorEastAsia"/>
                <w:color w:val="auto"/>
                <w:sz w:val="21"/>
                <w:highlight w:val="none"/>
                <w:u w:val="single"/>
              </w:rPr>
              <w:t>5</w:t>
            </w:r>
            <w:r>
              <w:rPr>
                <w:rFonts w:hint="eastAsia" w:asciiTheme="minorEastAsia" w:hAnsiTheme="minorEastAsia" w:eastAsiaTheme="minorEastAsia" w:cstheme="minorEastAsia"/>
                <w:color w:val="auto"/>
                <w:sz w:val="21"/>
                <w:highlight w:val="none"/>
              </w:rPr>
              <w:t xml:space="preserve"> 人，其中采购人</w:t>
            </w:r>
          </w:p>
          <w:p>
            <w:pPr>
              <w:pStyle w:val="527"/>
              <w:spacing w:before="130"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代表 </w:t>
            </w:r>
            <w:r>
              <w:rPr>
                <w:rFonts w:hint="eastAsia" w:asciiTheme="minorEastAsia" w:hAnsiTheme="minorEastAsia" w:eastAsiaTheme="minorEastAsia" w:cstheme="minorEastAsia"/>
                <w:color w:val="auto"/>
                <w:sz w:val="21"/>
                <w:highlight w:val="none"/>
                <w:u w:val="single"/>
              </w:rPr>
              <w:t>1</w:t>
            </w:r>
            <w:r>
              <w:rPr>
                <w:rFonts w:hint="eastAsia" w:asciiTheme="minorEastAsia" w:hAnsiTheme="minorEastAsia" w:eastAsiaTheme="minorEastAsia" w:cstheme="minorEastAsia"/>
                <w:color w:val="auto"/>
                <w:sz w:val="21"/>
                <w:highlight w:val="none"/>
              </w:rPr>
              <w:t xml:space="preserve"> 人，评审专家 </w:t>
            </w:r>
            <w:r>
              <w:rPr>
                <w:rFonts w:hint="eastAsia" w:asciiTheme="minorEastAsia" w:hAnsiTheme="minorEastAsia" w:eastAsiaTheme="minorEastAsia" w:cstheme="minorEastAsia"/>
                <w:color w:val="auto"/>
                <w:sz w:val="21"/>
                <w:highlight w:val="none"/>
                <w:u w:val="single"/>
              </w:rPr>
              <w:t>4</w:t>
            </w:r>
            <w:r>
              <w:rPr>
                <w:rFonts w:hint="eastAsia" w:asciiTheme="minorEastAsia" w:hAnsiTheme="minorEastAsia" w:eastAsiaTheme="minorEastAsia" w:cstheme="minorEastAsia"/>
                <w:color w:val="auto"/>
                <w:sz w:val="21"/>
                <w:highlight w:val="none"/>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91" w:type="dxa"/>
            <w:vAlign w:val="center"/>
          </w:tcPr>
          <w:p>
            <w:pPr>
              <w:pStyle w:val="527"/>
              <w:spacing w:before="146"/>
              <w:ind w:left="113" w:right="105"/>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54" w:type="dxa"/>
            <w:vAlign w:val="center"/>
          </w:tcPr>
          <w:p>
            <w:pPr>
              <w:pStyle w:val="527"/>
              <w:spacing w:before="146"/>
              <w:ind w:left="87" w:right="79"/>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1760" w:type="dxa"/>
            <w:vAlign w:val="center"/>
          </w:tcPr>
          <w:p>
            <w:pPr>
              <w:pStyle w:val="527"/>
              <w:spacing w:before="146"/>
              <w:ind w:left="120"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评标办法</w:t>
            </w:r>
          </w:p>
        </w:tc>
        <w:tc>
          <w:tcPr>
            <w:tcW w:w="7033" w:type="dxa"/>
            <w:vAlign w:val="center"/>
          </w:tcPr>
          <w:p>
            <w:pPr>
              <w:pStyle w:val="527"/>
              <w:spacing w:before="146"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6" w:hRule="atLeast"/>
        </w:trPr>
        <w:tc>
          <w:tcPr>
            <w:tcW w:w="691" w:type="dxa"/>
            <w:vAlign w:val="center"/>
          </w:tcPr>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spacing w:before="9"/>
              <w:rPr>
                <w:rFonts w:asciiTheme="minorEastAsia" w:hAnsiTheme="minorEastAsia" w:eastAsiaTheme="minorEastAsia" w:cstheme="minorEastAsia"/>
                <w:b/>
                <w:color w:val="auto"/>
                <w:sz w:val="26"/>
                <w:highlight w:val="none"/>
              </w:rPr>
            </w:pPr>
          </w:p>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w:t>
            </w:r>
          </w:p>
        </w:tc>
        <w:tc>
          <w:tcPr>
            <w:tcW w:w="854" w:type="dxa"/>
            <w:vAlign w:val="center"/>
          </w:tcPr>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spacing w:before="9"/>
              <w:rPr>
                <w:rFonts w:asciiTheme="minorEastAsia" w:hAnsiTheme="minorEastAsia" w:eastAsiaTheme="minorEastAsia" w:cstheme="minorEastAsia"/>
                <w:b/>
                <w:color w:val="auto"/>
                <w:sz w:val="26"/>
                <w:highlight w:val="none"/>
              </w:rPr>
            </w:pPr>
          </w:p>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w:t>
            </w:r>
          </w:p>
        </w:tc>
        <w:tc>
          <w:tcPr>
            <w:tcW w:w="1760" w:type="dxa"/>
            <w:vAlign w:val="center"/>
          </w:tcPr>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rPr>
                <w:rFonts w:asciiTheme="minorEastAsia" w:hAnsiTheme="minorEastAsia" w:eastAsiaTheme="minorEastAsia" w:cstheme="minorEastAsia"/>
                <w:b/>
                <w:color w:val="auto"/>
                <w:sz w:val="20"/>
                <w:highlight w:val="none"/>
              </w:rPr>
            </w:pPr>
          </w:p>
          <w:p>
            <w:pPr>
              <w:pStyle w:val="527"/>
              <w:spacing w:before="4"/>
              <w:rPr>
                <w:rFonts w:asciiTheme="minorEastAsia" w:hAnsiTheme="minorEastAsia" w:eastAsiaTheme="minorEastAsia" w:cstheme="minorEastAsia"/>
                <w:b/>
                <w:color w:val="auto"/>
                <w:sz w:val="26"/>
                <w:highlight w:val="none"/>
              </w:rPr>
            </w:pPr>
          </w:p>
          <w:p>
            <w:pPr>
              <w:pStyle w:val="527"/>
              <w:ind w:left="120"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信用查询</w:t>
            </w:r>
          </w:p>
        </w:tc>
        <w:tc>
          <w:tcPr>
            <w:tcW w:w="7033" w:type="dxa"/>
            <w:vAlign w:val="center"/>
          </w:tcPr>
          <w:p>
            <w:pPr>
              <w:pStyle w:val="527"/>
              <w:numPr>
                <w:ilvl w:val="0"/>
                <w:numId w:val="8"/>
              </w:numPr>
              <w:tabs>
                <w:tab w:val="left" w:pos="632"/>
              </w:tabs>
              <w:spacing w:before="167" w:line="360" w:lineRule="auto"/>
              <w:ind w:right="-15" w:firstLine="0"/>
              <w:rPr>
                <w:rFonts w:asciiTheme="minorEastAsia" w:hAnsiTheme="minorEastAsia" w:eastAsiaTheme="minorEastAsia" w:cstheme="minorEastAsia"/>
                <w:color w:val="auto"/>
                <w:spacing w:val="-4"/>
                <w:sz w:val="21"/>
                <w:highlight w:val="none"/>
              </w:rPr>
            </w:pPr>
            <w:r>
              <w:rPr>
                <w:rFonts w:hint="eastAsia" w:asciiTheme="minorEastAsia" w:hAnsiTheme="minorEastAsia" w:eastAsiaTheme="minorEastAsia" w:cstheme="minorEastAsia"/>
                <w:color w:val="auto"/>
                <w:spacing w:val="-4"/>
                <w:sz w:val="21"/>
                <w:highlight w:val="none"/>
              </w:rPr>
              <w:t>根据《关于做好政府采购有关信用主体标识码登记及在政府采购活动中查  询使用信用记录有关问题的通知》桂财采〔2016〕37号的通知，由采购代理机构对第一中标候选人进行信用查询：</w:t>
            </w:r>
          </w:p>
          <w:p>
            <w:pPr>
              <w:pStyle w:val="527"/>
              <w:numPr>
                <w:ilvl w:val="0"/>
                <w:numId w:val="8"/>
              </w:numPr>
              <w:tabs>
                <w:tab w:val="left" w:pos="632"/>
              </w:tabs>
              <w:spacing w:before="167" w:line="360" w:lineRule="auto"/>
              <w:ind w:right="-15" w:firstLine="0"/>
              <w:rPr>
                <w:rFonts w:asciiTheme="minorEastAsia" w:hAnsiTheme="minorEastAsia" w:eastAsiaTheme="minorEastAsia" w:cstheme="minorEastAsia"/>
                <w:color w:val="auto"/>
                <w:spacing w:val="-4"/>
                <w:sz w:val="21"/>
                <w:highlight w:val="none"/>
              </w:rPr>
            </w:pPr>
            <w:r>
              <w:rPr>
                <w:rFonts w:hint="eastAsia" w:asciiTheme="minorEastAsia" w:hAnsiTheme="minorEastAsia" w:eastAsiaTheme="minorEastAsia" w:cstheme="minorEastAsia"/>
                <w:color w:val="auto"/>
                <w:spacing w:val="-4"/>
                <w:sz w:val="21"/>
                <w:highlight w:val="none"/>
              </w:rPr>
              <w:t>查询渠道：“信用中国”网站（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Theme="minorEastAsia" w:hAnsiTheme="minorEastAsia" w:eastAsiaTheme="minorEastAsia" w:cstheme="minorEastAsia"/>
                <w:color w:val="auto"/>
                <w:spacing w:val="-4"/>
                <w:sz w:val="21"/>
                <w:highlight w:val="none"/>
              </w:rPr>
              <w:t>www.creditchina.gov.cn</w:t>
            </w:r>
            <w:r>
              <w:rPr>
                <w:rFonts w:hint="eastAsia" w:asciiTheme="minorEastAsia" w:hAnsiTheme="minorEastAsia" w:eastAsiaTheme="minorEastAsia" w:cstheme="minorEastAsia"/>
                <w:color w:val="auto"/>
                <w:spacing w:val="-4"/>
                <w:sz w:val="21"/>
                <w:highlight w:val="none"/>
              </w:rPr>
              <w:fldChar w:fldCharType="end"/>
            </w:r>
            <w:r>
              <w:rPr>
                <w:rFonts w:hint="eastAsia" w:asciiTheme="minorEastAsia" w:hAnsiTheme="minorEastAsia" w:eastAsiaTheme="minorEastAsia" w:cstheme="minorEastAsia"/>
                <w:color w:val="auto"/>
                <w:spacing w:val="-4"/>
                <w:sz w:val="21"/>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Theme="minorEastAsia" w:hAnsiTheme="minorEastAsia" w:eastAsiaTheme="minorEastAsia" w:cstheme="minorEastAsia"/>
                <w:color w:val="auto"/>
                <w:spacing w:val="-4"/>
                <w:sz w:val="21"/>
                <w:highlight w:val="none"/>
              </w:rPr>
              <w:t>www.ccgp.gov.cn</w:t>
            </w:r>
            <w:r>
              <w:rPr>
                <w:rFonts w:hint="eastAsia" w:asciiTheme="minorEastAsia" w:hAnsiTheme="minorEastAsia" w:eastAsiaTheme="minorEastAsia" w:cstheme="minorEastAsia"/>
                <w:color w:val="auto"/>
                <w:spacing w:val="-4"/>
                <w:sz w:val="21"/>
                <w:highlight w:val="none"/>
              </w:rPr>
              <w:fldChar w:fldCharType="end"/>
            </w:r>
            <w:r>
              <w:rPr>
                <w:rFonts w:hint="eastAsia" w:asciiTheme="minorEastAsia" w:hAnsiTheme="minorEastAsia" w:eastAsiaTheme="minorEastAsia" w:cstheme="minorEastAsia"/>
                <w:color w:val="auto"/>
                <w:spacing w:val="-4"/>
                <w:sz w:val="21"/>
                <w:highlight w:val="none"/>
              </w:rPr>
              <w:t>）等；</w:t>
            </w:r>
          </w:p>
          <w:p>
            <w:pPr>
              <w:pStyle w:val="527"/>
              <w:numPr>
                <w:ilvl w:val="0"/>
                <w:numId w:val="8"/>
              </w:numPr>
              <w:tabs>
                <w:tab w:val="left" w:pos="632"/>
              </w:tabs>
              <w:spacing w:line="360" w:lineRule="auto"/>
              <w:ind w:left="631"/>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查询截止时点：中标通知书发出前；</w:t>
            </w:r>
          </w:p>
          <w:p>
            <w:pPr>
              <w:pStyle w:val="527"/>
              <w:numPr>
                <w:ilvl w:val="0"/>
                <w:numId w:val="8"/>
              </w:numPr>
              <w:tabs>
                <w:tab w:val="left" w:pos="632"/>
              </w:tabs>
              <w:spacing w:before="167" w:line="360" w:lineRule="auto"/>
              <w:ind w:right="-15" w:firstLine="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4"/>
                <w:sz w:val="21"/>
                <w:highlight w:val="none"/>
              </w:rPr>
              <w:t>信用信息查询记录和证据留存方式：在查询网站中直接打印查询记录，打印材料作为采购活动资料保存；</w:t>
            </w:r>
          </w:p>
          <w:p>
            <w:pPr>
              <w:pStyle w:val="527"/>
              <w:numPr>
                <w:ilvl w:val="0"/>
                <w:numId w:val="8"/>
              </w:numPr>
              <w:tabs>
                <w:tab w:val="left" w:pos="632"/>
              </w:tabs>
              <w:spacing w:line="360" w:lineRule="auto"/>
              <w:ind w:right="-15" w:firstLine="0"/>
              <w:jc w:val="both"/>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4"/>
                <w:sz w:val="21"/>
                <w:highlight w:val="none"/>
              </w:rPr>
              <w:t>信用信息使用规则：对在“信用中国”网站（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Theme="minorEastAsia" w:hAnsiTheme="minorEastAsia" w:eastAsiaTheme="minorEastAsia" w:cstheme="minorEastAsia"/>
                <w:color w:val="auto"/>
                <w:spacing w:val="-4"/>
                <w:sz w:val="21"/>
                <w:highlight w:val="none"/>
              </w:rPr>
              <w:t>www.creditchina.gov.cn</w:t>
            </w:r>
            <w:r>
              <w:rPr>
                <w:rFonts w:hint="eastAsia" w:asciiTheme="minorEastAsia" w:hAnsiTheme="minorEastAsia" w:eastAsiaTheme="minorEastAsia" w:cstheme="minorEastAsia"/>
                <w:color w:val="auto"/>
                <w:spacing w:val="-4"/>
                <w:sz w:val="21"/>
                <w:highlight w:val="none"/>
              </w:rPr>
              <w:fldChar w:fldCharType="end"/>
            </w:r>
            <w:r>
              <w:rPr>
                <w:rFonts w:hint="eastAsia" w:asciiTheme="minorEastAsia" w:hAnsiTheme="minorEastAsia" w:eastAsiaTheme="minorEastAsia" w:cstheme="minorEastAsia"/>
                <w:color w:val="auto"/>
                <w:spacing w:val="-4"/>
                <w:sz w:val="21"/>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Theme="minorEastAsia" w:hAnsiTheme="minorEastAsia" w:eastAsiaTheme="minorEastAsia" w:cstheme="minorEastAsia"/>
                <w:color w:val="auto"/>
                <w:spacing w:val="-4"/>
                <w:sz w:val="21"/>
                <w:highlight w:val="none"/>
              </w:rPr>
              <w:t>www.ccgp.gov.cn</w:t>
            </w:r>
            <w:r>
              <w:rPr>
                <w:rFonts w:hint="eastAsia" w:asciiTheme="minorEastAsia" w:hAnsiTheme="minorEastAsia" w:eastAsiaTheme="minorEastAsia" w:cstheme="minorEastAsia"/>
                <w:color w:val="auto"/>
                <w:spacing w:val="-4"/>
                <w:sz w:val="21"/>
                <w:highlight w:val="none"/>
              </w:rPr>
              <w:fldChar w:fldCharType="end"/>
            </w:r>
            <w:r>
              <w:rPr>
                <w:rFonts w:hint="eastAsia" w:asciiTheme="minorEastAsia" w:hAnsiTheme="minorEastAsia" w:eastAsiaTheme="minorEastAsia" w:cstheme="minorEastAsia"/>
                <w:color w:val="auto"/>
                <w:spacing w:val="-4"/>
                <w:sz w:val="21"/>
                <w:highlight w:val="none"/>
              </w:rPr>
              <w:t>）等渠道列入失信被执行人、重大税收违法案件当事人名单、政府采购严重违法失信行为记录名单及其他不符合</w:t>
            </w:r>
            <w:r>
              <w:rPr>
                <w:rFonts w:hint="eastAsia" w:asciiTheme="minorEastAsia" w:hAnsiTheme="minorEastAsia" w:eastAsiaTheme="minorEastAsia" w:cstheme="minorEastAsia"/>
                <w:color w:val="auto"/>
                <w:sz w:val="21"/>
                <w:highlight w:val="none"/>
              </w:rPr>
              <w:t>《中华人民共和国政府采购法》第二十二条规定条件的供应商，取消其中标候选人资格。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2" w:hRule="atLeast"/>
        </w:trPr>
        <w:tc>
          <w:tcPr>
            <w:tcW w:w="691" w:type="dxa"/>
            <w:vAlign w:val="center"/>
          </w:tcPr>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w:t>
            </w:r>
          </w:p>
        </w:tc>
        <w:tc>
          <w:tcPr>
            <w:tcW w:w="854" w:type="dxa"/>
            <w:vAlign w:val="center"/>
          </w:tcPr>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32</w:t>
            </w:r>
          </w:p>
        </w:tc>
        <w:tc>
          <w:tcPr>
            <w:tcW w:w="1760" w:type="dxa"/>
            <w:vAlign w:val="center"/>
          </w:tcPr>
          <w:p>
            <w:pPr>
              <w:pStyle w:val="527"/>
              <w:spacing w:line="285" w:lineRule="auto"/>
              <w:ind w:left="564" w:right="134" w:hanging="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中标公告及中标通知书</w:t>
            </w:r>
          </w:p>
        </w:tc>
        <w:tc>
          <w:tcPr>
            <w:tcW w:w="7033" w:type="dxa"/>
            <w:vAlign w:val="center"/>
          </w:tcPr>
          <w:p>
            <w:pPr>
              <w:pStyle w:val="527"/>
              <w:spacing w:before="1" w:line="360" w:lineRule="auto"/>
              <w:ind w:left="107" w:right="9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32.1 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 1 个工作日。</w:t>
            </w:r>
          </w:p>
          <w:p>
            <w:pPr>
              <w:pStyle w:val="527"/>
              <w:spacing w:before="1" w:line="360" w:lineRule="auto"/>
              <w:ind w:left="107" w:right="9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32.2 中小企业在政府采购活动过程中，请根据自己的真实情况出具《中小企业声明函》。依法享受中小企业优惠政策的，采购人或采购代理机构在公告中标结果时，同时公告其《中小企业声明函》，接受社会监督。</w:t>
            </w:r>
          </w:p>
          <w:p>
            <w:pPr>
              <w:pStyle w:val="527"/>
              <w:spacing w:before="1" w:line="360" w:lineRule="auto"/>
              <w:ind w:left="107" w:right="9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32.3 中标公告发布同时，采购代理机构向中标人发出中标通知书，中标人应自接到通知之日起七个工作日内，办理中标通知书领取手续。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691" w:type="dxa"/>
            <w:vAlign w:val="center"/>
          </w:tcPr>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w:t>
            </w:r>
          </w:p>
        </w:tc>
        <w:tc>
          <w:tcPr>
            <w:tcW w:w="854" w:type="dxa"/>
            <w:vAlign w:val="center"/>
          </w:tcPr>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33.1</w:t>
            </w:r>
          </w:p>
        </w:tc>
        <w:tc>
          <w:tcPr>
            <w:tcW w:w="1760" w:type="dxa"/>
            <w:vAlign w:val="center"/>
          </w:tcPr>
          <w:p>
            <w:pPr>
              <w:pStyle w:val="527"/>
              <w:ind w:left="123" w:right="11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履约保证金</w:t>
            </w:r>
          </w:p>
        </w:tc>
        <w:tc>
          <w:tcPr>
            <w:tcW w:w="7033" w:type="dxa"/>
            <w:vAlign w:val="center"/>
          </w:tcPr>
          <w:p>
            <w:pPr>
              <w:pStyle w:val="14"/>
              <w:spacing w:line="340" w:lineRule="exact"/>
              <w:ind w:left="0" w:leftChars="0"/>
              <w:rPr>
                <w:color w:val="auto"/>
                <w:highlight w:val="none"/>
              </w:rPr>
            </w:pPr>
            <w:r>
              <w:rPr>
                <w:rFonts w:hint="eastAsia" w:asciiTheme="minorEastAsia" w:hAnsiTheme="minorEastAsia" w:eastAsiaTheme="minorEastAsia" w:cstheme="minorEastAsia"/>
                <w:color w:val="auto"/>
                <w:kern w:val="0"/>
                <w:highlight w:val="none"/>
              </w:rPr>
              <w:t>履约保证金金额按成交价的5%（人民币，四舍五入到元）提供【如成交供应商为小微企业的，则免除收取履约保证金】，由成交供应商在领取成交通知书前将履约保证金以电汇、转账、支票、汇票、本票、保函等形式缴纳方式转入采购人履约保证金专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91" w:type="dxa"/>
            <w:vAlign w:val="center"/>
          </w:tcPr>
          <w:p>
            <w:pPr>
              <w:pStyle w:val="527"/>
              <w:spacing w:before="68"/>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w:t>
            </w:r>
          </w:p>
        </w:tc>
        <w:tc>
          <w:tcPr>
            <w:tcW w:w="854" w:type="dxa"/>
            <w:vAlign w:val="center"/>
          </w:tcPr>
          <w:p>
            <w:pPr>
              <w:pStyle w:val="527"/>
              <w:spacing w:before="68"/>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34.1</w:t>
            </w:r>
          </w:p>
        </w:tc>
        <w:tc>
          <w:tcPr>
            <w:tcW w:w="1760" w:type="dxa"/>
            <w:vAlign w:val="center"/>
          </w:tcPr>
          <w:p>
            <w:pPr>
              <w:pStyle w:val="527"/>
              <w:spacing w:before="63"/>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签订合同时间</w:t>
            </w:r>
          </w:p>
        </w:tc>
        <w:tc>
          <w:tcPr>
            <w:tcW w:w="7033" w:type="dxa"/>
            <w:vAlign w:val="center"/>
          </w:tcPr>
          <w:p>
            <w:pPr>
              <w:pStyle w:val="527"/>
              <w:spacing w:before="63"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中标通知书发出之日起二十五日内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691" w:type="dxa"/>
            <w:vAlign w:val="center"/>
          </w:tcPr>
          <w:p>
            <w:pPr>
              <w:pStyle w:val="527"/>
              <w:spacing w:before="17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w:t>
            </w:r>
          </w:p>
        </w:tc>
        <w:tc>
          <w:tcPr>
            <w:tcW w:w="854" w:type="dxa"/>
            <w:vAlign w:val="center"/>
          </w:tcPr>
          <w:p>
            <w:pPr>
              <w:pStyle w:val="527"/>
              <w:spacing w:before="17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34.3</w:t>
            </w:r>
          </w:p>
        </w:tc>
        <w:tc>
          <w:tcPr>
            <w:tcW w:w="1760" w:type="dxa"/>
            <w:vAlign w:val="center"/>
          </w:tcPr>
          <w:p>
            <w:pPr>
              <w:pStyle w:val="527"/>
              <w:spacing w:before="169"/>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合同备案存档</w:t>
            </w:r>
          </w:p>
        </w:tc>
        <w:tc>
          <w:tcPr>
            <w:tcW w:w="7033" w:type="dxa"/>
            <w:vAlign w:val="center"/>
          </w:tcPr>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政府采购合同双方自签订之日起 2 个工作日内将政府采购合同在省级以上人民政府财政部门指定媒体上公告（可委托采购代理机构办理并向其提供相关合同资料），并于合同签订之日起 7 个工作日内将一份合同原件送兴安县政府采购管理办公室备案，一份由采购代理机构存档。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691" w:type="dxa"/>
            <w:vAlign w:val="center"/>
          </w:tcPr>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w:t>
            </w:r>
          </w:p>
        </w:tc>
        <w:tc>
          <w:tcPr>
            <w:tcW w:w="854" w:type="dxa"/>
            <w:vAlign w:val="center"/>
          </w:tcPr>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35</w:t>
            </w:r>
          </w:p>
        </w:tc>
        <w:tc>
          <w:tcPr>
            <w:tcW w:w="1760" w:type="dxa"/>
            <w:vAlign w:val="center"/>
          </w:tcPr>
          <w:p>
            <w:pPr>
              <w:pStyle w:val="52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招标代理服务费</w:t>
            </w:r>
          </w:p>
        </w:tc>
        <w:tc>
          <w:tcPr>
            <w:tcW w:w="7033" w:type="dxa"/>
            <w:vAlign w:val="center"/>
          </w:tcPr>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本工程代理服务费收费标准：参照计价格[2002]1980 号《招标代理服务收费管理暂行办法》收费标准中</w:t>
            </w:r>
            <w:r>
              <w:rPr>
                <w:rFonts w:hint="eastAsia" w:asciiTheme="minorEastAsia" w:hAnsiTheme="minorEastAsia" w:eastAsiaTheme="minorEastAsia" w:cstheme="minorEastAsia"/>
                <w:color w:val="auto"/>
                <w:sz w:val="21"/>
                <w:highlight w:val="none"/>
                <w:lang w:eastAsia="zh-CN"/>
              </w:rPr>
              <w:t>货物</w:t>
            </w:r>
            <w:r>
              <w:rPr>
                <w:rFonts w:hint="eastAsia" w:asciiTheme="minorEastAsia" w:hAnsiTheme="minorEastAsia" w:eastAsiaTheme="minorEastAsia" w:cstheme="minorEastAsia"/>
                <w:color w:val="auto"/>
                <w:sz w:val="21"/>
                <w:highlight w:val="none"/>
              </w:rPr>
              <w:t>类收费标准计算，由中标供应商在领取中标通知书前，向采购代理机构一次性支付代理服务费。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691" w:type="dxa"/>
            <w:vAlign w:val="center"/>
          </w:tcPr>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w:t>
            </w:r>
          </w:p>
        </w:tc>
        <w:tc>
          <w:tcPr>
            <w:tcW w:w="854" w:type="dxa"/>
            <w:vAlign w:val="center"/>
          </w:tcPr>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37</w:t>
            </w:r>
          </w:p>
        </w:tc>
        <w:tc>
          <w:tcPr>
            <w:tcW w:w="1760" w:type="dxa"/>
            <w:vAlign w:val="center"/>
          </w:tcPr>
          <w:p>
            <w:pPr>
              <w:pStyle w:val="52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解释权</w:t>
            </w:r>
          </w:p>
        </w:tc>
        <w:tc>
          <w:tcPr>
            <w:tcW w:w="7033" w:type="dxa"/>
            <w:vAlign w:val="center"/>
          </w:tcPr>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本招标文件是根据《中华人民共和国政府采购法》、《中华人民共和国政  府采购法实施条例》及财政部令第 87 号《政府采购货物和服务招标投标</w:t>
            </w:r>
          </w:p>
          <w:p>
            <w:pPr>
              <w:pStyle w:val="527"/>
              <w:spacing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管理办法》等相关规定编制，本招标文件的解释权属于采购代理机构。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91" w:type="dxa"/>
            <w:vAlign w:val="center"/>
          </w:tcPr>
          <w:p>
            <w:pPr>
              <w:pStyle w:val="527"/>
              <w:ind w:left="113" w:right="10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w:t>
            </w:r>
          </w:p>
        </w:tc>
        <w:tc>
          <w:tcPr>
            <w:tcW w:w="854" w:type="dxa"/>
            <w:vAlign w:val="center"/>
          </w:tcPr>
          <w:p>
            <w:pPr>
              <w:pStyle w:val="527"/>
              <w:ind w:left="87" w:right="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38</w:t>
            </w:r>
          </w:p>
        </w:tc>
        <w:tc>
          <w:tcPr>
            <w:tcW w:w="1760" w:type="dxa"/>
            <w:vAlign w:val="center"/>
          </w:tcPr>
          <w:p>
            <w:pPr>
              <w:pStyle w:val="527"/>
              <w:ind w:left="123" w:right="11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监督管理部门</w:t>
            </w:r>
          </w:p>
        </w:tc>
        <w:tc>
          <w:tcPr>
            <w:tcW w:w="7033" w:type="dxa"/>
            <w:vAlign w:val="center"/>
          </w:tcPr>
          <w:p>
            <w:pPr>
              <w:pStyle w:val="527"/>
              <w:tabs>
                <w:tab w:val="left" w:pos="3467"/>
              </w:tabs>
              <w:spacing w:before="1" w:line="360" w:lineRule="auto"/>
              <w:ind w:left="107"/>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兴安县人民政府采购监督管理办公室</w:t>
            </w:r>
            <w:r>
              <w:rPr>
                <w:rFonts w:hint="eastAsia" w:asciiTheme="minorEastAsia" w:hAnsiTheme="minorEastAsia" w:eastAsiaTheme="minorEastAsia" w:cstheme="minorEastAsia"/>
                <w:color w:val="auto"/>
                <w:sz w:val="21"/>
                <w:highlight w:val="none"/>
              </w:rPr>
              <w:tab/>
            </w:r>
            <w:r>
              <w:rPr>
                <w:rFonts w:hint="eastAsia" w:asciiTheme="minorEastAsia" w:hAnsiTheme="minorEastAsia" w:eastAsiaTheme="minorEastAsia" w:cstheme="minorEastAsia"/>
                <w:color w:val="auto"/>
                <w:sz w:val="21"/>
                <w:highlight w:val="none"/>
              </w:rPr>
              <w:t xml:space="preserve">电话：0773-6220651   </w:t>
            </w:r>
          </w:p>
        </w:tc>
      </w:tr>
    </w:tbl>
    <w:p>
      <w:pPr>
        <w:rPr>
          <w:rFonts w:asciiTheme="minorEastAsia" w:hAnsiTheme="minorEastAsia" w:eastAsiaTheme="minorEastAsia" w:cstheme="minorEastAsia"/>
          <w:color w:val="auto"/>
          <w:highlight w:val="none"/>
        </w:rPr>
        <w:sectPr>
          <w:pgSz w:w="12240" w:h="15840"/>
          <w:pgMar w:top="1420" w:right="640" w:bottom="840" w:left="1020" w:header="0" w:footer="655" w:gutter="0"/>
          <w:cols w:space="720" w:num="1"/>
        </w:sectPr>
      </w:pPr>
    </w:p>
    <w:p>
      <w:pPr>
        <w:pStyle w:val="2"/>
        <w:spacing w:line="360" w:lineRule="auto"/>
        <w:jc w:val="center"/>
        <w:outlineLvl w:val="1"/>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1"/>
          <w:highlight w:val="none"/>
        </w:rPr>
        <w:t>一、总则</w:t>
      </w:r>
    </w:p>
    <w:p>
      <w:pPr>
        <w:pStyle w:val="8"/>
        <w:numPr>
          <w:ilvl w:val="5"/>
          <w:numId w:val="0"/>
        </w:numPr>
        <w:tabs>
          <w:tab w:val="left" w:pos="1229"/>
        </w:tabs>
        <w:spacing w:before="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1.工程名称及工程编号</w:t>
      </w:r>
    </w:p>
    <w:p>
      <w:pPr>
        <w:pStyle w:val="167"/>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lang w:val="zh-CN"/>
        </w:rPr>
        <w:t>广西桂林市兴安县水系连通及农村水系综合整治试点工程</w:t>
      </w:r>
    </w:p>
    <w:p>
      <w:pPr>
        <w:pStyle w:val="167"/>
        <w:spacing w:line="360" w:lineRule="auto"/>
        <w:ind w:firstLine="1260" w:firstLineChars="6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（灵渠监控及预警综合自动化系统）（重</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w:t>
      </w:r>
    </w:p>
    <w:p>
      <w:pPr>
        <w:pStyle w:val="167"/>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工程编号：GLZC2020-G1-250084-GXHY-C</w:t>
      </w:r>
      <w:r>
        <w:rPr>
          <w:rFonts w:hint="eastAsia" w:asciiTheme="minorEastAsia" w:hAnsiTheme="minorEastAsia" w:eastAsiaTheme="minorEastAsia" w:cstheme="minorEastAsia"/>
          <w:color w:val="auto"/>
          <w:szCs w:val="21"/>
          <w:highlight w:val="none"/>
          <w:lang w:val="en-US" w:eastAsia="zh-CN"/>
        </w:rPr>
        <w:t>3</w:t>
      </w:r>
    </w:p>
    <w:p>
      <w:pPr>
        <w:pStyle w:val="8"/>
        <w:numPr>
          <w:ilvl w:val="5"/>
          <w:numId w:val="0"/>
        </w:numPr>
        <w:tabs>
          <w:tab w:val="left" w:pos="1229"/>
        </w:tabs>
        <w:spacing w:before="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2.适应范围</w:t>
      </w:r>
    </w:p>
    <w:p>
      <w:pPr>
        <w:pStyle w:val="2"/>
        <w:spacing w:before="91"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本招标文件适用本招标采购工程的招标、投标、评标、合同履约、验收、付款等行为（法律、法规另有规定的，从其规定）。</w:t>
      </w:r>
    </w:p>
    <w:p>
      <w:pPr>
        <w:pStyle w:val="8"/>
        <w:numPr>
          <w:ilvl w:val="5"/>
          <w:numId w:val="0"/>
        </w:numPr>
        <w:tabs>
          <w:tab w:val="left" w:pos="1193"/>
        </w:tabs>
        <w:spacing w:before="94"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3.定义</w:t>
      </w:r>
    </w:p>
    <w:p>
      <w:pPr>
        <w:pStyle w:val="154"/>
        <w:tabs>
          <w:tab w:val="left" w:pos="1194"/>
        </w:tabs>
        <w:spacing w:before="91"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3.1“招标采购单位”是指组织本次招标的采购人和采购代理机构。</w:t>
      </w:r>
    </w:p>
    <w:p>
      <w:pPr>
        <w:pStyle w:val="154"/>
        <w:tabs>
          <w:tab w:val="left" w:pos="1194"/>
        </w:tabs>
        <w:spacing w:before="93"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3.2“投标人”是指向招标方提交投标文件的供应商。</w:t>
      </w:r>
    </w:p>
    <w:p>
      <w:pPr>
        <w:pStyle w:val="154"/>
        <w:tabs>
          <w:tab w:val="left" w:pos="1194"/>
        </w:tabs>
        <w:spacing w:before="93" w:line="360" w:lineRule="auto"/>
        <w:ind w:left="420" w:leftChars="200" w:right="745"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3.3“货物”系指按招标文件规定，投标人须向采购人提供的一切设备、保险、税金、</w:t>
      </w:r>
      <w:r>
        <w:rPr>
          <w:rFonts w:hint="eastAsia" w:asciiTheme="minorEastAsia" w:hAnsiTheme="minorEastAsia" w:eastAsiaTheme="minorEastAsia" w:cstheme="minorEastAsia"/>
          <w:color w:val="auto"/>
          <w:szCs w:val="21"/>
          <w:highlight w:val="none"/>
        </w:rPr>
        <w:t>备品备件、工具、手册及其它有关技术资料和材料。</w:t>
      </w:r>
    </w:p>
    <w:p>
      <w:pPr>
        <w:pStyle w:val="154"/>
        <w:tabs>
          <w:tab w:val="left" w:pos="1194"/>
        </w:tabs>
        <w:spacing w:line="360" w:lineRule="auto"/>
        <w:ind w:left="420" w:leftChars="200" w:right="649"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1"/>
          <w:szCs w:val="21"/>
          <w:highlight w:val="none"/>
        </w:rPr>
        <w:t xml:space="preserve">3.4“服务”系指招标文件规定，投标人须承担的安装、调试、技术协助、校准、培训 </w:t>
      </w:r>
      <w:r>
        <w:rPr>
          <w:rFonts w:hint="eastAsia" w:asciiTheme="minorEastAsia" w:hAnsiTheme="minorEastAsia" w:eastAsiaTheme="minorEastAsia" w:cstheme="minorEastAsia"/>
          <w:color w:val="auto"/>
          <w:spacing w:val="-3"/>
          <w:szCs w:val="21"/>
          <w:highlight w:val="none"/>
        </w:rPr>
        <w:t>、技术指导以及其他类似的义务。</w:t>
      </w:r>
    </w:p>
    <w:p>
      <w:pPr>
        <w:pStyle w:val="154"/>
        <w:tabs>
          <w:tab w:val="left" w:pos="1194"/>
        </w:tabs>
        <w:spacing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3.5“工程”系指投标人按招标文件规定向采购人提供的货物和服务。</w:t>
      </w:r>
    </w:p>
    <w:p>
      <w:pPr>
        <w:pStyle w:val="154"/>
        <w:tabs>
          <w:tab w:val="left" w:pos="1194"/>
        </w:tabs>
        <w:spacing w:before="93"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3.6“书面形式”包括信函、传真、电报。</w:t>
      </w:r>
    </w:p>
    <w:p>
      <w:pPr>
        <w:pStyle w:val="8"/>
        <w:numPr>
          <w:ilvl w:val="5"/>
          <w:numId w:val="0"/>
        </w:numPr>
        <w:tabs>
          <w:tab w:val="left" w:pos="1193"/>
        </w:tabs>
        <w:spacing w:before="94"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4.招标方式、评分办法</w:t>
      </w:r>
    </w:p>
    <w:p>
      <w:pPr>
        <w:pStyle w:val="154"/>
        <w:tabs>
          <w:tab w:val="left" w:pos="1193"/>
        </w:tabs>
        <w:spacing w:before="91" w:line="360" w:lineRule="auto"/>
        <w:ind w:right="7218" w:firstLine="630" w:firstLine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公开招标、综合评分法</w:t>
      </w:r>
    </w:p>
    <w:p>
      <w:pPr>
        <w:pStyle w:val="8"/>
        <w:numPr>
          <w:ilvl w:val="5"/>
          <w:numId w:val="0"/>
        </w:numPr>
        <w:tabs>
          <w:tab w:val="left" w:pos="1193"/>
        </w:tabs>
        <w:spacing w:before="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5.投标人资格</w:t>
      </w:r>
    </w:p>
    <w:p>
      <w:pPr>
        <w:pStyle w:val="154"/>
        <w:tabs>
          <w:tab w:val="left" w:pos="1117"/>
        </w:tabs>
        <w:spacing w:before="160"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符合《中华人民共和国政府采购法》第二十二条和《政府采购法实施条例》第十八条规定，具备合法</w:t>
      </w:r>
    </w:p>
    <w:p>
      <w:pPr>
        <w:pStyle w:val="154"/>
        <w:tabs>
          <w:tab w:val="left" w:pos="1117"/>
        </w:tabs>
        <w:spacing w:before="160"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资格的投标人。</w:t>
      </w:r>
    </w:p>
    <w:p>
      <w:pPr>
        <w:pStyle w:val="154"/>
        <w:tabs>
          <w:tab w:val="left" w:pos="1117"/>
        </w:tabs>
        <w:spacing w:before="160"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2、被“信用中国”网站(www.creditchina.gov.cn)、中国政府采购网(www.ccgp.gov.cn) 列入受惩名单，包括失信被执行人、重大税收违法案件当事人名单、政府采购严重违法失信行为记录名单及其他不符合《中华人民共和国政府采购法》第二十二条规定条件的供应商，不得参与政府采购活动。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right="817"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3、</w:t>
      </w:r>
      <w:r>
        <w:rPr>
          <w:rFonts w:hint="eastAsia" w:asciiTheme="minorEastAsia" w:hAnsiTheme="minorEastAsia" w:eastAsiaTheme="minorEastAsia" w:cstheme="minorEastAsia"/>
          <w:color w:val="auto"/>
          <w:szCs w:val="21"/>
          <w:highlight w:val="none"/>
        </w:rPr>
        <w:t>本工程</w:t>
      </w:r>
      <w:r>
        <w:rPr>
          <w:rFonts w:hint="eastAsia" w:asciiTheme="minorEastAsia" w:hAnsiTheme="minorEastAsia" w:eastAsiaTheme="minorEastAsia" w:cstheme="minorEastAsia"/>
          <w:color w:val="auto"/>
          <w:szCs w:val="21"/>
          <w:highlight w:val="none"/>
          <w:u w:val="single"/>
        </w:rPr>
        <w:t>不接受</w:t>
      </w:r>
      <w:r>
        <w:rPr>
          <w:rFonts w:hint="eastAsia" w:asciiTheme="minorEastAsia" w:hAnsiTheme="minorEastAsia" w:eastAsiaTheme="minorEastAsia" w:cstheme="minorEastAsia"/>
          <w:color w:val="auto"/>
          <w:szCs w:val="21"/>
          <w:highlight w:val="none"/>
        </w:rPr>
        <w:t>联合体投标。</w:t>
      </w:r>
    </w:p>
    <w:p>
      <w:pPr>
        <w:pStyle w:val="8"/>
        <w:numPr>
          <w:ilvl w:val="5"/>
          <w:numId w:val="0"/>
        </w:numPr>
        <w:tabs>
          <w:tab w:val="left" w:pos="1193"/>
        </w:tabs>
        <w:spacing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6.投标费用</w:t>
      </w:r>
    </w:p>
    <w:p>
      <w:pPr>
        <w:pStyle w:val="2"/>
        <w:spacing w:before="94"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w:t>
      </w:r>
    </w:p>
    <w:p>
      <w:pPr>
        <w:pStyle w:val="8"/>
        <w:numPr>
          <w:ilvl w:val="5"/>
          <w:numId w:val="0"/>
        </w:numPr>
        <w:tabs>
          <w:tab w:val="left" w:pos="1193"/>
        </w:tabs>
        <w:spacing w:before="90"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7.联合体投标要求</w:t>
      </w:r>
    </w:p>
    <w:p>
      <w:pPr>
        <w:pStyle w:val="2"/>
        <w:spacing w:before="94"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本工程不接受联合体投标。</w:t>
      </w:r>
    </w:p>
    <w:p>
      <w:pPr>
        <w:pStyle w:val="8"/>
        <w:numPr>
          <w:ilvl w:val="5"/>
          <w:numId w:val="0"/>
        </w:numPr>
        <w:tabs>
          <w:tab w:val="left" w:pos="1193"/>
        </w:tabs>
        <w:spacing w:before="93" w:line="360" w:lineRule="auto"/>
        <w:ind w:firstLine="40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5"/>
          <w:sz w:val="21"/>
          <w:szCs w:val="21"/>
          <w:highlight w:val="none"/>
        </w:rPr>
        <w:t>8.转包与分包</w:t>
      </w:r>
    </w:p>
    <w:p>
      <w:pPr>
        <w:pStyle w:val="154"/>
        <w:tabs>
          <w:tab w:val="left" w:pos="1253"/>
        </w:tabs>
        <w:spacing w:before="9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8.1本工程不允许转包。</w:t>
      </w:r>
    </w:p>
    <w:p>
      <w:pPr>
        <w:pStyle w:val="154"/>
        <w:tabs>
          <w:tab w:val="left" w:pos="1253"/>
        </w:tabs>
        <w:spacing w:before="9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8.2本工程不可以分包。</w:t>
      </w:r>
    </w:p>
    <w:p>
      <w:pPr>
        <w:pStyle w:val="8"/>
        <w:numPr>
          <w:ilvl w:val="5"/>
          <w:numId w:val="0"/>
        </w:numPr>
        <w:tabs>
          <w:tab w:val="left" w:pos="1193"/>
        </w:tabs>
        <w:spacing w:before="94"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9.特别说明</w:t>
      </w:r>
    </w:p>
    <w:p>
      <w:pPr>
        <w:pStyle w:val="154"/>
        <w:tabs>
          <w:tab w:val="left" w:pos="1253"/>
        </w:tabs>
        <w:spacing w:before="90"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9.1关联供应商不得参加同一合同项下政府采购活动，否则投标文件将被视为无效：</w:t>
      </w:r>
    </w:p>
    <w:p>
      <w:pPr>
        <w:pStyle w:val="154"/>
        <w:tabs>
          <w:tab w:val="left" w:pos="1477"/>
        </w:tabs>
        <w:spacing w:before="94" w:line="360" w:lineRule="auto"/>
        <w:ind w:right="775"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（1）单位负责人为同一人或者存在直接控股、管理关系的，不得参加同一合同项下</w:t>
      </w:r>
      <w:r>
        <w:rPr>
          <w:rFonts w:hint="eastAsia" w:asciiTheme="minorEastAsia" w:hAnsiTheme="minorEastAsia" w:eastAsiaTheme="minorEastAsia" w:cstheme="minorEastAsia"/>
          <w:color w:val="auto"/>
          <w:spacing w:val="-5"/>
          <w:szCs w:val="21"/>
          <w:highlight w:val="none"/>
        </w:rPr>
        <w:t>的政府采购活动。</w:t>
      </w:r>
    </w:p>
    <w:p>
      <w:pPr>
        <w:pStyle w:val="154"/>
        <w:tabs>
          <w:tab w:val="left" w:pos="1434"/>
        </w:tabs>
        <w:spacing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（2）为本采购工程提供整体设计、规范编制或者工程管理、监理、检测等服务的供应</w:t>
      </w:r>
      <w:r>
        <w:rPr>
          <w:rFonts w:hint="eastAsia" w:asciiTheme="minorEastAsia" w:hAnsiTheme="minorEastAsia" w:eastAsiaTheme="minorEastAsia" w:cstheme="minorEastAsia"/>
          <w:color w:val="auto"/>
          <w:szCs w:val="21"/>
          <w:highlight w:val="none"/>
        </w:rPr>
        <w:t>商，不得再参加本次采购活动。</w:t>
      </w:r>
    </w:p>
    <w:p>
      <w:pPr>
        <w:pStyle w:val="154"/>
        <w:tabs>
          <w:tab w:val="left" w:pos="1253"/>
        </w:tabs>
        <w:spacing w:before="2" w:line="360" w:lineRule="auto"/>
        <w:ind w:right="775" w:firstLine="38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9.2投标人投标所使用的资格、信誉、荣誉、业绩与企业认证必须为本法人所拥有，投</w:t>
      </w:r>
      <w:r>
        <w:rPr>
          <w:rFonts w:hint="eastAsia" w:asciiTheme="minorEastAsia" w:hAnsiTheme="minorEastAsia" w:eastAsiaTheme="minorEastAsia" w:cstheme="minorEastAsia"/>
          <w:color w:val="auto"/>
          <w:szCs w:val="21"/>
          <w:highlight w:val="none"/>
        </w:rPr>
        <w:t>标人投标所使用的采购工程实施人员必须为投标人员工。</w:t>
      </w:r>
    </w:p>
    <w:p>
      <w:pPr>
        <w:pStyle w:val="154"/>
        <w:tabs>
          <w:tab w:val="left" w:pos="1253"/>
        </w:tabs>
        <w:spacing w:line="360" w:lineRule="auto"/>
        <w:ind w:right="775" w:firstLine="39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9.3投标人应仔细阅读招标文件的所有内容，按照招标文件的要求提交投标文件，并对</w:t>
      </w:r>
      <w:r>
        <w:rPr>
          <w:rFonts w:hint="eastAsia" w:asciiTheme="minorEastAsia" w:hAnsiTheme="minorEastAsia" w:eastAsiaTheme="minorEastAsia" w:cstheme="minorEastAsia"/>
          <w:color w:val="auto"/>
          <w:szCs w:val="21"/>
          <w:highlight w:val="none"/>
        </w:rPr>
        <w:t>所提供的全部资料的真实性承担法律责任。</w:t>
      </w:r>
    </w:p>
    <w:p>
      <w:pPr>
        <w:pStyle w:val="154"/>
        <w:tabs>
          <w:tab w:val="left" w:pos="1253"/>
        </w:tabs>
        <w:spacing w:line="360" w:lineRule="auto"/>
        <w:ind w:right="775" w:firstLine="39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9.4投标人在投标活动中提供任何虚假材料，其投标无效，并报监管部门查处；中标后</w:t>
      </w:r>
      <w:r>
        <w:rPr>
          <w:rFonts w:hint="eastAsia" w:asciiTheme="minorEastAsia" w:hAnsiTheme="minorEastAsia" w:eastAsiaTheme="minorEastAsia" w:cstheme="minorEastAsia"/>
          <w:color w:val="auto"/>
          <w:spacing w:val="-10"/>
          <w:szCs w:val="21"/>
          <w:highlight w:val="none"/>
        </w:rPr>
        <w:t xml:space="preserve">发现的，中标人须依照《中华人民共和国消费者权益保护法》第 </w:t>
      </w:r>
      <w:r>
        <w:rPr>
          <w:rFonts w:hint="eastAsia" w:asciiTheme="minorEastAsia" w:hAnsiTheme="minorEastAsia" w:eastAsiaTheme="minorEastAsia" w:cstheme="minorEastAsia"/>
          <w:color w:val="auto"/>
          <w:szCs w:val="21"/>
          <w:highlight w:val="none"/>
        </w:rPr>
        <w:t>49</w:t>
      </w:r>
      <w:r>
        <w:rPr>
          <w:rFonts w:hint="eastAsia" w:asciiTheme="minorEastAsia" w:hAnsiTheme="minorEastAsia" w:eastAsiaTheme="minorEastAsia" w:cstheme="minorEastAsia"/>
          <w:color w:val="auto"/>
          <w:spacing w:val="-9"/>
          <w:szCs w:val="21"/>
          <w:highlight w:val="none"/>
        </w:rPr>
        <w:t xml:space="preserve"> 条之规定双倍赔偿采购</w:t>
      </w:r>
      <w:r>
        <w:rPr>
          <w:rFonts w:hint="eastAsia" w:asciiTheme="minorEastAsia" w:hAnsiTheme="minorEastAsia" w:eastAsiaTheme="minorEastAsia" w:cstheme="minorEastAsia"/>
          <w:color w:val="auto"/>
          <w:szCs w:val="21"/>
          <w:highlight w:val="none"/>
        </w:rPr>
        <w:t>人，且民事赔偿并不免除违法投标人的行政与刑事责任。</w:t>
      </w:r>
    </w:p>
    <w:p>
      <w:pPr>
        <w:pStyle w:val="8"/>
        <w:numPr>
          <w:ilvl w:val="5"/>
          <w:numId w:val="0"/>
        </w:numPr>
        <w:tabs>
          <w:tab w:val="left" w:pos="1349"/>
        </w:tabs>
        <w:spacing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10.质疑和投诉</w:t>
      </w:r>
    </w:p>
    <w:p>
      <w:pPr>
        <w:pStyle w:val="154"/>
        <w:tabs>
          <w:tab w:val="left" w:pos="1373"/>
        </w:tabs>
        <w:spacing w:before="76" w:line="360" w:lineRule="auto"/>
        <w:ind w:right="7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10.1投标人认为招标文件使自己的合法权益受到损害的，应当在招标公告期限届满之</w:t>
      </w:r>
      <w:r>
        <w:rPr>
          <w:rFonts w:hint="eastAsia" w:asciiTheme="minorEastAsia" w:hAnsiTheme="minorEastAsia" w:eastAsiaTheme="minorEastAsia" w:cstheme="minorEastAsia"/>
          <w:color w:val="auto"/>
          <w:spacing w:val="-15"/>
          <w:szCs w:val="21"/>
          <w:highlight w:val="none"/>
        </w:rPr>
        <w:t xml:space="preserve">日起 </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pacing w:val="-7"/>
          <w:szCs w:val="21"/>
          <w:highlight w:val="none"/>
        </w:rPr>
        <w:t xml:space="preserve"> 个工作日内以书面形式向采购代理机构提出质疑。</w:t>
      </w:r>
    </w:p>
    <w:p>
      <w:pPr>
        <w:pStyle w:val="154"/>
        <w:tabs>
          <w:tab w:val="left" w:pos="1373"/>
        </w:tabs>
        <w:spacing w:before="76" w:line="360" w:lineRule="auto"/>
        <w:ind w:right="769" w:firstLine="39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10.2投标人认为招标过程或中标结果使自己的合法权益受到损害的，应当在采购程序环节结束之日或中标公告期限届满之日起七个工作日内，以书面形式向采购代理机构提出质疑。采购代理机构应认真做好质疑处理</w:t>
      </w:r>
      <w:r>
        <w:rPr>
          <w:rFonts w:hint="eastAsia" w:asciiTheme="minorEastAsia" w:hAnsiTheme="minorEastAsia" w:eastAsiaTheme="minorEastAsia" w:cstheme="minorEastAsia"/>
          <w:color w:val="auto"/>
          <w:spacing w:val="-8"/>
          <w:szCs w:val="21"/>
          <w:highlight w:val="none"/>
        </w:rPr>
        <w:t>工作。投标人在法定质疑期内应一次性提出与工程相关的质疑，投标人在提出与工程相关的</w:t>
      </w:r>
      <w:r>
        <w:rPr>
          <w:rFonts w:hint="eastAsia" w:asciiTheme="minorEastAsia" w:hAnsiTheme="minorEastAsia" w:eastAsiaTheme="minorEastAsia" w:cstheme="minorEastAsia"/>
          <w:color w:val="auto"/>
          <w:spacing w:val="-5"/>
          <w:szCs w:val="21"/>
          <w:highlight w:val="none"/>
        </w:rPr>
        <w:t>质疑前应当做好全面且详细的工作，代理机构不再受理投标人针对同一采购程序环节的再次质疑。</w:t>
      </w:r>
    </w:p>
    <w:p>
      <w:pPr>
        <w:pStyle w:val="154"/>
        <w:tabs>
          <w:tab w:val="left" w:pos="1373"/>
        </w:tabs>
        <w:spacing w:line="360" w:lineRule="auto"/>
        <w:ind w:right="77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10.3投标人对采购代理机构的答复不满意或者采购代理机构未在规定的时间内作出答</w:t>
      </w:r>
      <w:r>
        <w:rPr>
          <w:rFonts w:hint="eastAsia" w:asciiTheme="minorEastAsia" w:hAnsiTheme="minorEastAsia" w:eastAsiaTheme="minorEastAsia" w:cstheme="minorEastAsia"/>
          <w:color w:val="auto"/>
          <w:szCs w:val="21"/>
          <w:highlight w:val="none"/>
        </w:rPr>
        <w:t>复的，可以在答复期满后十五个工作日内向兴安县政府采购管理办公室投诉。</w:t>
      </w:r>
    </w:p>
    <w:p>
      <w:pPr>
        <w:pStyle w:val="2"/>
        <w:spacing w:before="42" w:line="360" w:lineRule="auto"/>
        <w:ind w:right="776"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10.4质疑、投诉应当采用书面形式，质疑书、投诉书实行实名制，均应明确阐述招标文件、招标过程或中标结果中使自己合法权益受到损害的实质性内容，并提供必要的证明材料。</w:t>
      </w:r>
    </w:p>
    <w:p>
      <w:pPr>
        <w:pStyle w:val="2"/>
        <w:spacing w:before="42" w:line="360" w:lineRule="auto"/>
        <w:ind w:right="776" w:firstLine="416"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投标人提出质疑应当提交质疑函和必要的证明材料，针对同一采购程序环节的质</w:t>
      </w:r>
      <w:r>
        <w:rPr>
          <w:rFonts w:hint="eastAsia" w:asciiTheme="minorEastAsia" w:hAnsiTheme="minorEastAsia" w:eastAsiaTheme="minorEastAsia" w:cstheme="minorEastAsia"/>
          <w:color w:val="auto"/>
          <w:szCs w:val="21"/>
          <w:highlight w:val="none"/>
        </w:rPr>
        <w:t>疑必须在法定质疑期内一次性提出。质疑函应当包括下列内容：</w:t>
      </w:r>
    </w:p>
    <w:p>
      <w:pPr>
        <w:pStyle w:val="154"/>
        <w:tabs>
          <w:tab w:val="left" w:pos="1653"/>
          <w:tab w:val="left" w:pos="1654"/>
        </w:tabs>
        <w:spacing w:line="360" w:lineRule="auto"/>
        <w:ind w:firstLine="38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1）、供应商的姓名或者名称、地址、邮编、联系人及联系电话；</w:t>
      </w:r>
    </w:p>
    <w:p>
      <w:pPr>
        <w:pStyle w:val="154"/>
        <w:tabs>
          <w:tab w:val="left" w:pos="1653"/>
          <w:tab w:val="left" w:pos="1654"/>
        </w:tabs>
        <w:spacing w:line="360" w:lineRule="auto"/>
        <w:ind w:firstLine="38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2）、质疑工程的名称、编号；</w:t>
      </w:r>
    </w:p>
    <w:p>
      <w:pPr>
        <w:pStyle w:val="154"/>
        <w:tabs>
          <w:tab w:val="left" w:pos="1653"/>
          <w:tab w:val="left" w:pos="1654"/>
        </w:tabs>
        <w:spacing w:line="360" w:lineRule="auto"/>
        <w:ind w:firstLine="38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3）、具体、明确的质疑事项和与质疑事项相关的请求；</w:t>
      </w:r>
    </w:p>
    <w:p>
      <w:pPr>
        <w:pStyle w:val="154"/>
        <w:tabs>
          <w:tab w:val="left" w:pos="1653"/>
          <w:tab w:val="left" w:pos="1654"/>
        </w:tabs>
        <w:spacing w:line="360" w:lineRule="auto"/>
        <w:ind w:firstLine="39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4）、事实依据；</w:t>
      </w:r>
    </w:p>
    <w:p>
      <w:pPr>
        <w:pStyle w:val="154"/>
        <w:tabs>
          <w:tab w:val="left" w:pos="1653"/>
          <w:tab w:val="left" w:pos="1654"/>
        </w:tabs>
        <w:spacing w:line="360" w:lineRule="auto"/>
        <w:ind w:firstLine="39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5）、必要的法律依据；</w:t>
      </w:r>
    </w:p>
    <w:p>
      <w:pPr>
        <w:pStyle w:val="154"/>
        <w:tabs>
          <w:tab w:val="left" w:pos="1653"/>
          <w:tab w:val="left" w:pos="1654"/>
        </w:tabs>
        <w:spacing w:line="360" w:lineRule="auto"/>
        <w:ind w:firstLine="39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7"/>
          <w:szCs w:val="21"/>
          <w:highlight w:val="none"/>
        </w:rPr>
        <w:t>6）、提出质疑的日期。</w:t>
      </w:r>
    </w:p>
    <w:p>
      <w:pPr>
        <w:pStyle w:val="2"/>
        <w:spacing w:before="93" w:line="360" w:lineRule="auto"/>
        <w:ind w:right="1033" w:firstLine="388"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供应商为自然人的，应当由本人签字；供应商为法人或者其他组织的，应当由法定代表人、主要负责人，或者其授权代表签字或者盖章，并加盖公章。</w:t>
      </w:r>
    </w:p>
    <w:p>
      <w:pPr>
        <w:pStyle w:val="2"/>
        <w:spacing w:before="123"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接收质疑函方式：以书面形式</w:t>
      </w:r>
    </w:p>
    <w:p>
      <w:pPr>
        <w:pStyle w:val="2"/>
        <w:spacing w:before="194" w:line="360" w:lineRule="auto"/>
        <w:ind w:right="769" w:firstLine="400" w:firstLineChars="200"/>
        <w:rPr>
          <w:rFonts w:asciiTheme="minorEastAsia" w:hAnsiTheme="minorEastAsia" w:eastAsiaTheme="minorEastAsia" w:cstheme="minorEastAsia"/>
          <w:color w:val="auto"/>
          <w:spacing w:val="-5"/>
          <w:szCs w:val="21"/>
          <w:highlight w:val="none"/>
        </w:rPr>
      </w:pPr>
      <w:r>
        <w:rPr>
          <w:rFonts w:hint="eastAsia" w:asciiTheme="minorEastAsia" w:hAnsiTheme="minorEastAsia" w:eastAsiaTheme="minorEastAsia" w:cstheme="minorEastAsia"/>
          <w:color w:val="auto"/>
          <w:spacing w:val="-5"/>
          <w:szCs w:val="21"/>
          <w:highlight w:val="none"/>
        </w:rPr>
        <w:t>质疑联系部门及联系方式：广西汇益招标咨询有限公司，</w:t>
      </w:r>
    </w:p>
    <w:p>
      <w:pPr>
        <w:pStyle w:val="2"/>
        <w:spacing w:before="194" w:line="360" w:lineRule="auto"/>
        <w:ind w:right="769" w:firstLine="400" w:firstLineChars="200"/>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5"/>
          <w:szCs w:val="21"/>
          <w:highlight w:val="none"/>
        </w:rPr>
        <w:t xml:space="preserve">联系人：黄工，联系电话： </w:t>
      </w:r>
      <w:r>
        <w:rPr>
          <w:rFonts w:hint="eastAsia" w:asciiTheme="minorEastAsia" w:hAnsiTheme="minorEastAsia" w:eastAsiaTheme="minorEastAsia" w:cstheme="minorEastAsia"/>
          <w:color w:val="auto"/>
          <w:spacing w:val="-4"/>
          <w:szCs w:val="21"/>
          <w:highlight w:val="none"/>
        </w:rPr>
        <w:t>0773-2897383</w:t>
      </w:r>
      <w:r>
        <w:rPr>
          <w:rFonts w:hint="eastAsia" w:asciiTheme="minorEastAsia" w:hAnsiTheme="minorEastAsia" w:eastAsiaTheme="minorEastAsia" w:cstheme="minorEastAsia"/>
          <w:color w:val="auto"/>
          <w:spacing w:val="-11"/>
          <w:szCs w:val="21"/>
          <w:highlight w:val="none"/>
        </w:rPr>
        <w:t>。</w:t>
      </w:r>
    </w:p>
    <w:p>
      <w:pPr>
        <w:pStyle w:val="2"/>
        <w:spacing w:before="194" w:line="360" w:lineRule="auto"/>
        <w:ind w:right="769" w:firstLine="376" w:firstLineChars="200"/>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通讯地址：桂林市秀峰区篦子园小区1#楼2层</w:t>
      </w:r>
    </w:p>
    <w:p>
      <w:pPr>
        <w:pStyle w:val="2"/>
        <w:spacing w:before="194" w:line="360" w:lineRule="auto"/>
        <w:ind w:right="769" w:firstLine="336"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1"/>
          <w:szCs w:val="21"/>
          <w:highlight w:val="none"/>
        </w:rPr>
        <w:t>监督管理机构：</w:t>
      </w:r>
      <w:r>
        <w:rPr>
          <w:rFonts w:hint="eastAsia" w:asciiTheme="minorEastAsia" w:hAnsiTheme="minorEastAsia" w:eastAsiaTheme="minorEastAsia" w:cstheme="minorEastAsia"/>
          <w:color w:val="auto"/>
          <w:szCs w:val="21"/>
          <w:highlight w:val="none"/>
        </w:rPr>
        <w:t>兴安县政府采购管理办公室</w:t>
      </w:r>
      <w:r>
        <w:rPr>
          <w:rFonts w:hint="eastAsia" w:asciiTheme="minorEastAsia" w:hAnsiTheme="minorEastAsia" w:eastAsiaTheme="minorEastAsia" w:cstheme="minorEastAsia"/>
          <w:color w:val="auto"/>
          <w:spacing w:val="-21"/>
          <w:szCs w:val="21"/>
          <w:highlight w:val="none"/>
        </w:rPr>
        <w:t xml:space="preserve"> 电话：0773- 6220651</w:t>
      </w: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二、招标文件</w:t>
      </w:r>
    </w:p>
    <w:p>
      <w:pPr>
        <w:pStyle w:val="8"/>
        <w:numPr>
          <w:ilvl w:val="5"/>
          <w:numId w:val="0"/>
        </w:numPr>
        <w:tabs>
          <w:tab w:val="left" w:pos="1318"/>
        </w:tabs>
        <w:spacing w:before="8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11.招标文件的构成</w:t>
      </w:r>
    </w:p>
    <w:p>
      <w:pPr>
        <w:pStyle w:val="154"/>
        <w:tabs>
          <w:tab w:val="left" w:pos="1434"/>
        </w:tabs>
        <w:spacing w:before="9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（1）招标公告；</w:t>
      </w:r>
    </w:p>
    <w:p>
      <w:pPr>
        <w:pStyle w:val="154"/>
        <w:tabs>
          <w:tab w:val="left" w:pos="1434"/>
        </w:tabs>
        <w:spacing w:before="93"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（2）投标人须知；</w:t>
      </w:r>
    </w:p>
    <w:p>
      <w:pPr>
        <w:pStyle w:val="154"/>
        <w:tabs>
          <w:tab w:val="left" w:pos="1434"/>
        </w:tabs>
        <w:spacing w:before="94"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（3）采购需求；</w:t>
      </w:r>
    </w:p>
    <w:p>
      <w:pPr>
        <w:pStyle w:val="154"/>
        <w:tabs>
          <w:tab w:val="left" w:pos="1434"/>
        </w:tabs>
        <w:spacing w:before="90"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（4）评标办法；</w:t>
      </w:r>
    </w:p>
    <w:p>
      <w:pPr>
        <w:pStyle w:val="154"/>
        <w:tabs>
          <w:tab w:val="left" w:pos="1434"/>
        </w:tabs>
        <w:spacing w:before="94"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（5）采购合同（合同主要条款及格式）；</w:t>
      </w:r>
    </w:p>
    <w:p>
      <w:pPr>
        <w:pStyle w:val="154"/>
        <w:tabs>
          <w:tab w:val="left" w:pos="1434"/>
        </w:tabs>
        <w:spacing w:before="93" w:line="360" w:lineRule="auto"/>
        <w:ind w:left="420" w:leftChars="200" w:firstLine="0"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w:t>
      </w:r>
    </w:p>
    <w:p>
      <w:pPr>
        <w:pStyle w:val="8"/>
        <w:numPr>
          <w:ilvl w:val="5"/>
          <w:numId w:val="0"/>
        </w:numPr>
        <w:tabs>
          <w:tab w:val="left" w:pos="1318"/>
        </w:tabs>
        <w:spacing w:before="91" w:line="360" w:lineRule="auto"/>
        <w:ind w:left="831"/>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12.招标文件的澄清与修改</w:t>
      </w:r>
    </w:p>
    <w:p>
      <w:pPr>
        <w:spacing w:line="360" w:lineRule="auto"/>
        <w:ind w:firstLine="840" w:firstLineChars="400"/>
        <w:rPr>
          <w:color w:val="auto"/>
          <w:highlight w:val="none"/>
        </w:rPr>
      </w:pPr>
      <w:r>
        <w:rPr>
          <w:rFonts w:hint="eastAsia"/>
          <w:color w:val="auto"/>
          <w:highlight w:val="none"/>
        </w:rPr>
        <w:t>12.1 投标人必须认真阅读招标文件，发现其中有误或有不合理要求的，投标人必须在在本项目公告期限届满之日起七个工作日内以书面形式要求采购代理机构澄清。</w:t>
      </w:r>
    </w:p>
    <w:p>
      <w:pPr>
        <w:spacing w:line="360" w:lineRule="auto"/>
        <w:ind w:firstLine="840" w:firstLineChars="400"/>
        <w:rPr>
          <w:color w:val="auto"/>
          <w:highlight w:val="none"/>
        </w:rPr>
      </w:pPr>
      <w:r>
        <w:rPr>
          <w:rFonts w:hint="eastAsia"/>
          <w:color w:val="auto"/>
          <w:highlight w:val="none"/>
        </w:rPr>
        <w:t>12.2 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 15 日前在本招标项目招标公告发布的同一媒体上发布更正公告；不足 15 日的，采购代理机构应当顺延提交投标文件的截止时间。</w:t>
      </w:r>
    </w:p>
    <w:p>
      <w:pPr>
        <w:spacing w:line="360" w:lineRule="auto"/>
        <w:ind w:firstLine="840" w:firstLineChars="400"/>
        <w:rPr>
          <w:color w:val="auto"/>
          <w:highlight w:val="none"/>
        </w:rPr>
      </w:pPr>
      <w:r>
        <w:rPr>
          <w:rFonts w:hint="eastAsia"/>
          <w:color w:val="auto"/>
          <w:highlight w:val="none"/>
        </w:rPr>
        <w:t>12.3 投标人应实时关注本项目公告相关网站了解澄清、修改等与项目有关的内容，如因投标人未及时登录本项目公告相关网站了解澄清、修改等与项目有关的内容，从而导致投标无效的，由投标人自行承担责任。</w:t>
      </w:r>
    </w:p>
    <w:p>
      <w:pPr>
        <w:spacing w:line="360" w:lineRule="auto"/>
        <w:ind w:firstLine="840" w:firstLineChars="400"/>
        <w:rPr>
          <w:color w:val="auto"/>
          <w:highlight w:val="none"/>
        </w:rPr>
      </w:pPr>
      <w:r>
        <w:rPr>
          <w:rFonts w:hint="eastAsia"/>
          <w:color w:val="auto"/>
          <w:highlight w:val="none"/>
        </w:rPr>
        <w:t>12.4 必要的澄清、修改的内容为招标文件的组成部分。当澄清、修改通知就同一内容的表述不一致时，以最后发出的书面文件为准。</w:t>
      </w:r>
    </w:p>
    <w:p>
      <w:pPr>
        <w:spacing w:line="360" w:lineRule="auto"/>
        <w:ind w:firstLine="840" w:firstLineChars="400"/>
        <w:rPr>
          <w:color w:val="auto"/>
          <w:highlight w:val="none"/>
        </w:rPr>
      </w:pPr>
      <w:r>
        <w:rPr>
          <w:rFonts w:hint="eastAsia"/>
          <w:color w:val="auto"/>
          <w:highlight w:val="none"/>
        </w:rPr>
        <w:t>12.5 招标文件的澄清、修改都应该通过采购代理机构以法定形式发布，采购人非通过本机构，不得擅自澄清、修改招标文件。</w:t>
      </w:r>
    </w:p>
    <w:p>
      <w:pPr>
        <w:spacing w:line="360" w:lineRule="auto"/>
        <w:ind w:firstLine="840" w:firstLineChars="400"/>
        <w:rPr>
          <w:color w:val="auto"/>
          <w:highlight w:val="none"/>
        </w:rPr>
      </w:pPr>
      <w:r>
        <w:rPr>
          <w:rFonts w:hint="eastAsia"/>
          <w:color w:val="auto"/>
          <w:highlight w:val="none"/>
        </w:rPr>
        <w:t>12.6 采购人或者采购代理机构可以视采购具体情况，延长投标截止时间和开标时间，并在本项目招标公告发布的同一媒体上发布变更公告。</w:t>
      </w: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三、投标文件的编制</w:t>
      </w:r>
    </w:p>
    <w:p>
      <w:pPr>
        <w:pStyle w:val="154"/>
        <w:tabs>
          <w:tab w:val="left" w:pos="1361"/>
        </w:tabs>
        <w:spacing w:before="93"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13.投标文件的组成及要求</w:t>
      </w:r>
    </w:p>
    <w:p>
      <w:pPr>
        <w:pStyle w:val="154"/>
        <w:tabs>
          <w:tab w:val="left" w:pos="1376"/>
        </w:tabs>
        <w:spacing w:before="91"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13.1投标文件的组成【格式见第六章“投标文件格式”】</w:t>
      </w:r>
    </w:p>
    <w:p>
      <w:pPr>
        <w:pStyle w:val="154"/>
        <w:tabs>
          <w:tab w:val="left" w:pos="1618"/>
        </w:tabs>
        <w:spacing w:before="94"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13.1.1投标报价函（格式见附件）</w:t>
      </w:r>
    </w:p>
    <w:p>
      <w:pPr>
        <w:pStyle w:val="154"/>
        <w:tabs>
          <w:tab w:val="left" w:pos="1618"/>
        </w:tabs>
        <w:spacing w:before="93"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13.1.2资格性响应证明材料：</w:t>
      </w:r>
    </w:p>
    <w:p>
      <w:pPr>
        <w:pStyle w:val="154"/>
        <w:tabs>
          <w:tab w:val="left" w:pos="1477"/>
        </w:tabs>
        <w:spacing w:before="91"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（1）投标人相应的法定代表人、负责人、自然人身份证正反面复印件（</w:t>
      </w:r>
      <w:r>
        <w:rPr>
          <w:rFonts w:hint="eastAsia" w:asciiTheme="minorEastAsia" w:hAnsiTheme="minorEastAsia" w:eastAsiaTheme="minorEastAsia" w:cstheme="minorEastAsia"/>
          <w:b/>
          <w:color w:val="auto"/>
          <w:szCs w:val="21"/>
          <w:highlight w:val="none"/>
        </w:rPr>
        <w:t>必须提供</w:t>
      </w:r>
      <w:r>
        <w:rPr>
          <w:rFonts w:hint="eastAsia" w:asciiTheme="minorEastAsia" w:hAnsiTheme="minorEastAsia" w:eastAsiaTheme="minorEastAsia" w:cstheme="minorEastAsia"/>
          <w:color w:val="auto"/>
          <w:szCs w:val="21"/>
          <w:highlight w:val="none"/>
        </w:rPr>
        <w:t>）；</w:t>
      </w:r>
    </w:p>
    <w:p>
      <w:pPr>
        <w:pStyle w:val="154"/>
        <w:tabs>
          <w:tab w:val="left" w:pos="1477"/>
        </w:tabs>
        <w:spacing w:before="93" w:line="360" w:lineRule="auto"/>
        <w:ind w:right="775" w:firstLine="408"/>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3"/>
          <w:szCs w:val="21"/>
          <w:highlight w:val="none"/>
        </w:rPr>
        <w:t>（2）投标人的授权委托书原件、委托代理人身份证正反面复印件以及由县级以上</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7"/>
          <w:szCs w:val="21"/>
          <w:highlight w:val="none"/>
        </w:rPr>
        <w:t>含县级</w:t>
      </w:r>
      <w:r>
        <w:rPr>
          <w:rFonts w:hint="eastAsia" w:asciiTheme="minorEastAsia" w:hAnsiTheme="minorEastAsia" w:eastAsiaTheme="minorEastAsia" w:cstheme="minorEastAsia"/>
          <w:color w:val="auto"/>
          <w:szCs w:val="21"/>
          <w:highlight w:val="none"/>
        </w:rPr>
        <w:t>）社会养老保险经办机构出具的投标人为委托代理人交纳的社保证明复印件（投标截止之日止前近半年连续三个月）</w:t>
      </w:r>
      <w:r>
        <w:rPr>
          <w:rFonts w:hint="eastAsia" w:asciiTheme="minorEastAsia" w:hAnsiTheme="minorEastAsia" w:eastAsiaTheme="minorEastAsia" w:cstheme="minorEastAsia"/>
          <w:b/>
          <w:color w:val="auto"/>
          <w:szCs w:val="21"/>
          <w:highlight w:val="none"/>
        </w:rPr>
        <w:t>（委托代理时必须提供）；</w:t>
      </w:r>
    </w:p>
    <w:p>
      <w:pPr>
        <w:pStyle w:val="154"/>
        <w:tabs>
          <w:tab w:val="left" w:pos="1477"/>
        </w:tabs>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（3）投标人的法人或者其他组织营业执照等证明文件复印件</w:t>
      </w:r>
      <w:r>
        <w:rPr>
          <w:rFonts w:hint="eastAsia" w:asciiTheme="minorEastAsia" w:hAnsiTheme="minorEastAsia" w:eastAsiaTheme="minorEastAsia" w:cstheme="minorEastAsia"/>
          <w:b/>
          <w:color w:val="auto"/>
          <w:szCs w:val="21"/>
          <w:highlight w:val="none"/>
        </w:rPr>
        <w:t>（必须提供）</w:t>
      </w:r>
      <w:r>
        <w:rPr>
          <w:rFonts w:hint="eastAsia" w:asciiTheme="minorEastAsia" w:hAnsiTheme="minorEastAsia" w:eastAsiaTheme="minorEastAsia" w:cstheme="minorEastAsia"/>
          <w:color w:val="auto"/>
          <w:szCs w:val="21"/>
          <w:highlight w:val="none"/>
        </w:rPr>
        <w:t>；</w:t>
      </w:r>
    </w:p>
    <w:p>
      <w:pPr>
        <w:widowControl/>
        <w:spacing w:line="360" w:lineRule="auto"/>
        <w:ind w:right="840" w:rightChars="40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①法人包括企业法人、机关法人、事业单位法人和社会团体法人；其他组织主要包括合伙企业、非企业专业服务机构、个体工商户、农村承包经营户。②如投标人企业（包括合伙企业），应提供工商部门注册的有效“企业法人营业执照”或“营业执照复印件；投标人为事业单位，应提供有效的“事业单位法人证书”复印件；投标人为非企业专业服务机构的，应提供执业许可证复印件等证明文件；投标人为个体工商户，应提供有效的“个体工商户营业执照”复印件；</w:t>
      </w:r>
    </w:p>
    <w:p>
      <w:pPr>
        <w:widowControl/>
        <w:spacing w:line="360" w:lineRule="auto"/>
        <w:ind w:right="619" w:rightChars="295" w:firstLine="420" w:firstLineChars="200"/>
        <w:jc w:val="left"/>
        <w:rPr>
          <w:rFonts w:asciiTheme="minorEastAsia" w:hAnsiTheme="minorEastAsia" w:eastAsiaTheme="minorEastAsia" w:cstheme="minorEastAsia"/>
          <w:color w:val="auto"/>
          <w:szCs w:val="21"/>
          <w:highlight w:val="none"/>
          <w:lang w:val="zh-CN" w:bidi="zh-CN"/>
        </w:rPr>
      </w:pPr>
      <w:r>
        <w:rPr>
          <w:rFonts w:hint="eastAsia" w:asciiTheme="minorEastAsia" w:hAnsiTheme="minorEastAsia" w:eastAsiaTheme="minorEastAsia" w:cstheme="minorEastAsia"/>
          <w:color w:val="auto"/>
          <w:szCs w:val="21"/>
          <w:highlight w:val="none"/>
          <w:lang w:bidi="zh-CN"/>
        </w:rPr>
        <w:t>（4）投标人 2019 年度经中介机构审计的有效的财务审计报告复印件或能反映财务状况的报表；（如有，请提供）</w:t>
      </w:r>
    </w:p>
    <w:p>
      <w:pPr>
        <w:pStyle w:val="154"/>
        <w:tabs>
          <w:tab w:val="left" w:pos="1237"/>
        </w:tabs>
        <w:spacing w:before="118" w:line="360" w:lineRule="auto"/>
        <w:ind w:right="775" w:firstLine="4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 xml:space="preserve">（5）投标人参加政府采购活动前 </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pacing w:val="-8"/>
          <w:szCs w:val="21"/>
          <w:highlight w:val="none"/>
        </w:rPr>
        <w:t xml:space="preserve"> 年内在经营活动中没有重大违法记录及有关信用信</w:t>
      </w:r>
      <w:r>
        <w:rPr>
          <w:rFonts w:hint="eastAsia" w:asciiTheme="minorEastAsia" w:hAnsiTheme="minorEastAsia" w:eastAsiaTheme="minorEastAsia" w:cstheme="minorEastAsia"/>
          <w:color w:val="auto"/>
          <w:spacing w:val="-5"/>
          <w:szCs w:val="21"/>
          <w:highlight w:val="none"/>
        </w:rPr>
        <w:t>息的书面声明</w:t>
      </w:r>
      <w:r>
        <w:rPr>
          <w:rFonts w:hint="eastAsia" w:asciiTheme="minorEastAsia" w:hAnsiTheme="minorEastAsia" w:eastAsiaTheme="minorEastAsia" w:cstheme="minorEastAsia"/>
          <w:b/>
          <w:color w:val="auto"/>
          <w:szCs w:val="21"/>
          <w:highlight w:val="none"/>
        </w:rPr>
        <w:t>（必须提供）</w:t>
      </w:r>
      <w:r>
        <w:rPr>
          <w:rFonts w:hint="eastAsia" w:asciiTheme="minorEastAsia" w:hAnsiTheme="minorEastAsia" w:eastAsiaTheme="minorEastAsia" w:cstheme="minorEastAsia"/>
          <w:color w:val="auto"/>
          <w:szCs w:val="21"/>
          <w:highlight w:val="none"/>
        </w:rPr>
        <w:t>；</w:t>
      </w:r>
    </w:p>
    <w:p>
      <w:pPr>
        <w:pStyle w:val="154"/>
        <w:tabs>
          <w:tab w:val="left" w:pos="1618"/>
        </w:tabs>
        <w:spacing w:before="93"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13.1.3商务、技术性响应及其他证明材料：</w:t>
      </w:r>
    </w:p>
    <w:p>
      <w:pPr>
        <w:widowControl/>
        <w:spacing w:line="36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（1）拟投入本项目的设备清单</w:t>
      </w:r>
      <w:r>
        <w:rPr>
          <w:rFonts w:hint="eastAsia" w:asciiTheme="minorEastAsia" w:hAnsiTheme="minorEastAsia" w:eastAsiaTheme="minorEastAsia" w:cstheme="minorEastAsia"/>
          <w:b/>
          <w:bCs/>
          <w:color w:val="auto"/>
          <w:spacing w:val="-6"/>
          <w:szCs w:val="21"/>
          <w:highlight w:val="none"/>
          <w:lang w:bidi="zh-CN"/>
        </w:rPr>
        <w:t>（必须提供）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36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（2）采购需求响应表</w:t>
      </w:r>
      <w:r>
        <w:rPr>
          <w:rFonts w:hint="eastAsia" w:asciiTheme="minorEastAsia" w:hAnsiTheme="minorEastAsia" w:eastAsiaTheme="minorEastAsia" w:cstheme="minorEastAsia"/>
          <w:b/>
          <w:bCs/>
          <w:color w:val="auto"/>
          <w:spacing w:val="-6"/>
          <w:szCs w:val="21"/>
          <w:highlight w:val="none"/>
          <w:lang w:bidi="zh-CN"/>
        </w:rPr>
        <w:t>（必须提供）</w:t>
      </w:r>
      <w:r>
        <w:rPr>
          <w:rFonts w:hint="eastAsia" w:asciiTheme="minorEastAsia" w:hAnsiTheme="minorEastAsia" w:eastAsiaTheme="minorEastAsia" w:cstheme="minorEastAsia"/>
          <w:color w:val="auto"/>
          <w:spacing w:val="-6"/>
          <w:szCs w:val="21"/>
          <w:highlight w:val="none"/>
          <w:lang w:bidi="zh-CN"/>
        </w:rPr>
        <w:t>；</w:t>
      </w:r>
    </w:p>
    <w:p>
      <w:pPr>
        <w:widowControl/>
        <w:spacing w:line="36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（3）总体设计方案</w:t>
      </w:r>
      <w:r>
        <w:rPr>
          <w:rFonts w:hint="eastAsia" w:asciiTheme="minorEastAsia" w:hAnsiTheme="minorEastAsia" w:eastAsiaTheme="minorEastAsia" w:cstheme="minorEastAsia"/>
          <w:b/>
          <w:bCs/>
          <w:color w:val="auto"/>
          <w:spacing w:val="-6"/>
          <w:szCs w:val="21"/>
          <w:highlight w:val="none"/>
          <w:lang w:bidi="zh-CN"/>
        </w:rPr>
        <w:t>（格式自拟，必须提供）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36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（4）项目实施方案</w:t>
      </w:r>
      <w:r>
        <w:rPr>
          <w:rFonts w:hint="eastAsia" w:asciiTheme="minorEastAsia" w:hAnsiTheme="minorEastAsia" w:eastAsiaTheme="minorEastAsia" w:cstheme="minorEastAsia"/>
          <w:b/>
          <w:bCs/>
          <w:color w:val="auto"/>
          <w:spacing w:val="-6"/>
          <w:szCs w:val="21"/>
          <w:highlight w:val="none"/>
          <w:lang w:bidi="zh-CN"/>
        </w:rPr>
        <w:t>（格式自拟，必须提供）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36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（5）售后服务方案</w:t>
      </w:r>
      <w:r>
        <w:rPr>
          <w:rFonts w:hint="eastAsia" w:asciiTheme="minorEastAsia" w:hAnsiTheme="minorEastAsia" w:eastAsiaTheme="minorEastAsia" w:cstheme="minorEastAsia"/>
          <w:b/>
          <w:bCs/>
          <w:color w:val="auto"/>
          <w:spacing w:val="-6"/>
          <w:szCs w:val="21"/>
          <w:highlight w:val="none"/>
          <w:lang w:bidi="zh-CN"/>
        </w:rPr>
        <w:t>（格式自拟。必须提供）；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（6）拟投入本项目实施人员一览表 （附人员身份证及其他相关证书、证件复印件及投标人为其购买</w:t>
      </w:r>
      <w:r>
        <w:rPr>
          <w:rFonts w:hint="eastAsia" w:asciiTheme="minorEastAsia" w:hAnsiTheme="minorEastAsia" w:eastAsiaTheme="minorEastAsia" w:cstheme="minorEastAsia"/>
          <w:color w:val="auto"/>
          <w:spacing w:val="-8"/>
          <w:szCs w:val="21"/>
          <w:highlight w:val="none"/>
        </w:rPr>
        <w:t>投标截止之日止前近半年连续三个月</w:t>
      </w:r>
      <w:r>
        <w:rPr>
          <w:rFonts w:hint="eastAsia" w:asciiTheme="minorEastAsia" w:hAnsiTheme="minorEastAsia" w:eastAsiaTheme="minorEastAsia" w:cstheme="minorEastAsia"/>
          <w:color w:val="auto"/>
          <w:szCs w:val="21"/>
          <w:highlight w:val="none"/>
        </w:rPr>
        <w:t>，必须提供 ）；</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（7）“采购需求”中要求必须提供的相关有效证明文件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（8）节能方面的证书复印件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（9）环保方面的证书复印件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（10）投标人201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年1月1日以来完成过</w:t>
      </w:r>
      <w:r>
        <w:rPr>
          <w:rFonts w:hint="eastAsia" w:asciiTheme="minorEastAsia" w:hAnsiTheme="minorEastAsia" w:eastAsiaTheme="minorEastAsia" w:cstheme="minorEastAsia"/>
          <w:color w:val="auto"/>
          <w:szCs w:val="21"/>
          <w:highlight w:val="none"/>
          <w:lang w:eastAsia="zh-CN"/>
        </w:rPr>
        <w:t>符合本项目招标内容的类似</w:t>
      </w:r>
      <w:r>
        <w:rPr>
          <w:rFonts w:hint="eastAsia" w:asciiTheme="minorEastAsia" w:hAnsiTheme="minorEastAsia" w:eastAsiaTheme="minorEastAsia" w:cstheme="minorEastAsia"/>
          <w:color w:val="auto"/>
          <w:szCs w:val="21"/>
          <w:highlight w:val="none"/>
        </w:rPr>
        <w:t>业绩。需同时中标通知书（或成交通知书）和合同协议书的相关证明材料；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（11）投标人相关获奖证书、认证证书、著作权证书等复印件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（12）投标人属于小型、微型企业的，应提供《中小企业声明函》；属于监狱企业的，应当提供由省级以上监狱管理局、戒毒管理局(含新疆生产建设兵团)出具的属于监狱企业的证明文件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（13）符合条件的残疾人福利性单位在参加政府采购活动时，应当提供《残疾人福利性单位声明函》，并对声明的真实性负责 （如有，请提供）；</w:t>
      </w:r>
    </w:p>
    <w:p>
      <w:pPr>
        <w:pStyle w:val="154"/>
        <w:tabs>
          <w:tab w:val="left" w:pos="1601"/>
        </w:tabs>
        <w:spacing w:line="360" w:lineRule="auto"/>
        <w:ind w:right="77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（14）投标人可结合本项目的评标办法视自身情况自行提交相关证明材料 （如有，请提供）。</w:t>
      </w:r>
    </w:p>
    <w:p>
      <w:pPr>
        <w:spacing w:line="360" w:lineRule="auto"/>
        <w:ind w:firstLine="422" w:firstLineChars="200"/>
        <w:rPr>
          <w:b/>
          <w:bCs/>
          <w:color w:val="auto"/>
          <w:highlight w:val="none"/>
        </w:rPr>
      </w:pPr>
      <w:r>
        <w:rPr>
          <w:rFonts w:hint="eastAsia"/>
          <w:b/>
          <w:bCs/>
          <w:color w:val="auto"/>
          <w:highlight w:val="none"/>
        </w:rPr>
        <w:t>投标人提供的以上相关证明材料应真实有效，属于“必须提供”的文件应加盖投标人公章（扫描公章无效，自然人除外），否则投标无效。</w:t>
      </w:r>
    </w:p>
    <w:p>
      <w:pPr>
        <w:pStyle w:val="154"/>
        <w:tabs>
          <w:tab w:val="left" w:pos="1356"/>
        </w:tabs>
        <w:spacing w:before="2"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13.2投标人应按招标文件第六章“投标文件（格式）”编制投标文件。</w:t>
      </w:r>
    </w:p>
    <w:p>
      <w:pPr>
        <w:pStyle w:val="154"/>
        <w:tabs>
          <w:tab w:val="left" w:pos="1356"/>
        </w:tabs>
        <w:spacing w:before="9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13.3投标文件应当对招标文件提出的要求和条件作出明确响应。</w:t>
      </w:r>
    </w:p>
    <w:p>
      <w:pPr>
        <w:pStyle w:val="8"/>
        <w:numPr>
          <w:ilvl w:val="5"/>
          <w:numId w:val="0"/>
        </w:numPr>
        <w:tabs>
          <w:tab w:val="left" w:pos="1361"/>
        </w:tabs>
        <w:spacing w:before="93"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14.投标文件的语言及计量</w:t>
      </w:r>
    </w:p>
    <w:p>
      <w:pPr>
        <w:pStyle w:val="154"/>
        <w:tabs>
          <w:tab w:val="left" w:pos="1416"/>
        </w:tabs>
        <w:spacing w:before="94"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14.1投标文件以及投标人与招标采购单位就有关投标事宜的所有来往函电，均应以中</w:t>
      </w:r>
      <w:r>
        <w:rPr>
          <w:rFonts w:hint="eastAsia" w:asciiTheme="minorEastAsia" w:hAnsiTheme="minorEastAsia" w:eastAsiaTheme="minorEastAsia" w:cstheme="minorEastAsia"/>
          <w:color w:val="auto"/>
          <w:szCs w:val="21"/>
          <w:highlight w:val="none"/>
        </w:rPr>
        <w:t>文汉语书写。投标人提交的支持文件和印刷的文献可以使用别的语言，但其相应内容必须附有中文翻译文本，在解释投标文件时以中文翻译文本为主。</w:t>
      </w:r>
    </w:p>
    <w:p>
      <w:pPr>
        <w:pStyle w:val="154"/>
        <w:tabs>
          <w:tab w:val="left" w:pos="1416"/>
        </w:tabs>
        <w:spacing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14.2投标计量单位，招标文件已有明确规定的，使用招标文件规定的计量单位；招标</w:t>
      </w:r>
      <w:r>
        <w:rPr>
          <w:rFonts w:hint="eastAsia" w:asciiTheme="minorEastAsia" w:hAnsiTheme="minorEastAsia" w:eastAsiaTheme="minorEastAsia" w:cstheme="minorEastAsia"/>
          <w:color w:val="auto"/>
          <w:szCs w:val="21"/>
          <w:highlight w:val="none"/>
        </w:rPr>
        <w:t>文件没有规定的，应采用中华人民共和国法定计量单位（货币单位：人民币元），否则视同未响应。</w:t>
      </w:r>
    </w:p>
    <w:p>
      <w:pPr>
        <w:pStyle w:val="8"/>
        <w:numPr>
          <w:ilvl w:val="5"/>
          <w:numId w:val="0"/>
        </w:numPr>
        <w:tabs>
          <w:tab w:val="left" w:pos="1361"/>
        </w:tabs>
        <w:spacing w:before="1"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15.投标报价</w:t>
      </w:r>
    </w:p>
    <w:p>
      <w:pPr>
        <w:pStyle w:val="154"/>
        <w:tabs>
          <w:tab w:val="left" w:pos="1416"/>
        </w:tabs>
        <w:spacing w:before="91" w:line="360" w:lineRule="auto"/>
        <w:ind w:right="759" w:firstLine="41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pacing w:val="-1"/>
          <w:szCs w:val="21"/>
          <w:highlight w:val="none"/>
        </w:rPr>
        <w:t>15.1投标报价应按招标文件中第六章</w:t>
      </w:r>
      <w:r>
        <w:rPr>
          <w:rFonts w:hint="eastAsia" w:asciiTheme="minorEastAsia" w:hAnsiTheme="minorEastAsia" w:eastAsiaTheme="minorEastAsia" w:cstheme="minorEastAsia"/>
          <w:color w:val="auto"/>
          <w:spacing w:val="-4"/>
          <w:szCs w:val="21"/>
          <w:highlight w:val="none"/>
        </w:rPr>
        <w:t>“投标文件格式”填写，投标报价超过采购预算</w:t>
      </w:r>
      <w:r>
        <w:rPr>
          <w:rFonts w:hint="eastAsia" w:asciiTheme="minorEastAsia" w:hAnsiTheme="minorEastAsia" w:eastAsiaTheme="minorEastAsia" w:cstheme="minorEastAsia"/>
          <w:color w:val="auto"/>
          <w:szCs w:val="21"/>
          <w:highlight w:val="none"/>
        </w:rPr>
        <w:t>金额的，投标文件按无效处理。</w:t>
      </w:r>
    </w:p>
    <w:p>
      <w:pPr>
        <w:pStyle w:val="154"/>
        <w:tabs>
          <w:tab w:val="left" w:pos="1416"/>
        </w:tabs>
        <w:spacing w:before="2" w:line="360" w:lineRule="auto"/>
        <w:ind w:right="775"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5"/>
          <w:szCs w:val="21"/>
          <w:highlight w:val="none"/>
        </w:rPr>
        <w:t>15.2投标人必须就“采购需求”中所有内容作完整唯一报价，否则，其投标将被</w:t>
      </w:r>
      <w:r>
        <w:rPr>
          <w:rFonts w:hint="eastAsia" w:asciiTheme="minorEastAsia" w:hAnsiTheme="minorEastAsia" w:eastAsiaTheme="minorEastAsia" w:cstheme="minorEastAsia"/>
          <w:color w:val="auto"/>
          <w:szCs w:val="21"/>
          <w:highlight w:val="none"/>
        </w:rPr>
        <w:t>拒绝。投标文件只允许有一个报价，有选择的或有条件的报价将不予接受。</w:t>
      </w:r>
    </w:p>
    <w:p>
      <w:pPr>
        <w:pStyle w:val="154"/>
        <w:tabs>
          <w:tab w:val="left" w:pos="1416"/>
        </w:tabs>
        <w:spacing w:before="2" w:line="360" w:lineRule="auto"/>
        <w:ind w:right="7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 投标报价应包括本次招标采购范围内货物价款、货物随配标准附件、包装、运输、装卸、保险、税金、货到位以及安装、安装所需辅材、调试、检验、售后服务、培训、保修及其他所有成本费用的总和；投标人综合考虑在报价中。</w:t>
      </w:r>
    </w:p>
    <w:p>
      <w:pPr>
        <w:pStyle w:val="8"/>
        <w:numPr>
          <w:ilvl w:val="5"/>
          <w:numId w:val="0"/>
        </w:numPr>
        <w:tabs>
          <w:tab w:val="left" w:pos="1361"/>
        </w:tabs>
        <w:spacing w:before="91"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16.投标有效期</w:t>
      </w:r>
    </w:p>
    <w:p>
      <w:pPr>
        <w:pStyle w:val="154"/>
        <w:tabs>
          <w:tab w:val="left" w:pos="1416"/>
        </w:tabs>
        <w:spacing w:before="94" w:line="360" w:lineRule="auto"/>
        <w:ind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 xml:space="preserve">16.1投标有效期：投标截止时间之日起 </w:t>
      </w:r>
      <w:r>
        <w:rPr>
          <w:rFonts w:hint="eastAsia" w:asciiTheme="minorEastAsia" w:hAnsiTheme="minorEastAsia" w:eastAsiaTheme="minorEastAsia" w:cstheme="minorEastAsia"/>
          <w:color w:val="auto"/>
          <w:szCs w:val="21"/>
          <w:highlight w:val="none"/>
        </w:rPr>
        <w:t>90</w:t>
      </w:r>
      <w:r>
        <w:rPr>
          <w:rFonts w:hint="eastAsia" w:asciiTheme="minorEastAsia" w:hAnsiTheme="minorEastAsia" w:eastAsiaTheme="minorEastAsia" w:cstheme="minorEastAsia"/>
          <w:color w:val="auto"/>
          <w:spacing w:val="-20"/>
          <w:szCs w:val="21"/>
          <w:highlight w:val="none"/>
        </w:rPr>
        <w:t xml:space="preserve"> 天。</w:t>
      </w:r>
    </w:p>
    <w:p>
      <w:pPr>
        <w:pStyle w:val="154"/>
        <w:tabs>
          <w:tab w:val="left" w:pos="1416"/>
        </w:tabs>
        <w:spacing w:before="93" w:line="360" w:lineRule="auto"/>
        <w:ind w:right="655"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16.2出现特殊情况，需要延长投标有效期的，采购代理机构以书面形式通知投标人延</w:t>
      </w:r>
      <w:r>
        <w:rPr>
          <w:rFonts w:hint="eastAsia" w:asciiTheme="minorEastAsia" w:hAnsiTheme="minorEastAsia" w:eastAsiaTheme="minorEastAsia" w:cstheme="minorEastAsia"/>
          <w:color w:val="auto"/>
          <w:spacing w:val="-10"/>
          <w:szCs w:val="21"/>
          <w:highlight w:val="none"/>
        </w:rPr>
        <w:t>长投标有效期。投标人同意延长的，不能修改投标文件。投标人拒绝延长的，其投标无效。</w:t>
      </w:r>
    </w:p>
    <w:p>
      <w:pPr>
        <w:pStyle w:val="8"/>
        <w:numPr>
          <w:ilvl w:val="5"/>
          <w:numId w:val="0"/>
        </w:numPr>
        <w:tabs>
          <w:tab w:val="left" w:pos="1240"/>
        </w:tabs>
        <w:spacing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17.投标文件的份数、装订、签署和包装、密封</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17.1 正本壹册，副本肆册，须完整提交。</w:t>
      </w:r>
    </w:p>
    <w:p>
      <w:pPr>
        <w:spacing w:line="360" w:lineRule="auto"/>
        <w:ind w:right="619" w:rightChars="295"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 投标文件装订：投标人应按投标人须知第 13.1 条“投标文件的组成”规定的顺序自编目录及页码。投标文件的“正本”、“副本”应当单独装订成册并标注页码，装订应牢固，不易拆散和换页（A4 标准纸装订）。封面应注明“正本”、“副本”字样，封面上写明项目名称、项目编号、采购代理机构、投标单位名称。</w:t>
      </w:r>
    </w:p>
    <w:p>
      <w:pPr>
        <w:spacing w:line="360" w:lineRule="auto"/>
        <w:ind w:right="619" w:rightChars="295"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 投标文件的正本需打印或用不褪色的墨水填写，投标文件正本除本招标文件中规定的可提供复印件外均须提供原件。</w:t>
      </w:r>
    </w:p>
    <w:p>
      <w:pPr>
        <w:spacing w:line="360" w:lineRule="auto"/>
        <w:ind w:right="619" w:rightChars="295"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 投标文件须由投标人在规定位置盖投标人公章（扫描公章无效，自然人除外）并由法定代表人、负责人、自然人或相应的授权委托代理人签字，投标人应写全称，投标文件副本可以是加盖公章的正本的复印件，当正本与副本不一致时，以正本为准。</w:t>
      </w:r>
    </w:p>
    <w:p>
      <w:pPr>
        <w:spacing w:line="360" w:lineRule="auto"/>
        <w:ind w:right="420" w:rightChars="200"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17.5 投标文件不得涂改，若有修改错漏处，须加盖投标人公章（自然人除外）及法定代表人、负责人、自然人或相应的授权委托代理人签字。投标文件因字迹潦草或表达不清所引起的后果由投标人负责。</w:t>
      </w:r>
    </w:p>
    <w:p>
      <w:pPr>
        <w:spacing w:line="360" w:lineRule="auto"/>
        <w:ind w:right="420" w:righ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17.6  投标人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spacing w:line="360" w:lineRule="auto"/>
        <w:ind w:right="420" w:rightChars="20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17.7 投标文件包装、密封：投标文件“正本”、“副本”一并装入并密封在一个投标文件袋（盒、箱）中，并在密封处密封签章【公章、密封章、法定代表人、负责人、自然人或相应的授权委托代理人签字均可】。</w:t>
      </w:r>
    </w:p>
    <w:p>
      <w:pPr>
        <w:pStyle w:val="8"/>
        <w:numPr>
          <w:ilvl w:val="5"/>
          <w:numId w:val="0"/>
        </w:numPr>
        <w:tabs>
          <w:tab w:val="left" w:pos="1361"/>
        </w:tabs>
        <w:spacing w:before="90"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18.投标文件的修改和撤回</w:t>
      </w:r>
    </w:p>
    <w:p>
      <w:pPr>
        <w:pStyle w:val="2"/>
        <w:spacing w:before="94" w:line="360" w:lineRule="auto"/>
        <w:ind w:right="774"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pStyle w:val="8"/>
        <w:numPr>
          <w:ilvl w:val="5"/>
          <w:numId w:val="0"/>
        </w:numPr>
        <w:tabs>
          <w:tab w:val="left" w:pos="1240"/>
        </w:tabs>
        <w:spacing w:before="1"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19.投标文件的递交</w:t>
      </w:r>
    </w:p>
    <w:p>
      <w:pPr>
        <w:pStyle w:val="154"/>
        <w:tabs>
          <w:tab w:val="left" w:pos="1416"/>
        </w:tabs>
        <w:spacing w:before="9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19.1投标文件递交起止时间：详见“投标人须知前附表”。</w:t>
      </w:r>
    </w:p>
    <w:p>
      <w:pPr>
        <w:pStyle w:val="154"/>
        <w:tabs>
          <w:tab w:val="left" w:pos="1416"/>
        </w:tabs>
        <w:spacing w:before="9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19.2投标文件递交地点：详见“投标人须知前附表”。</w:t>
      </w:r>
    </w:p>
    <w:p>
      <w:pPr>
        <w:pStyle w:val="154"/>
        <w:tabs>
          <w:tab w:val="left" w:pos="1373"/>
        </w:tabs>
        <w:spacing w:before="9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19.3除招标文件另有规定外，投标人所递交的投标文件不予退还。</w:t>
      </w:r>
    </w:p>
    <w:p>
      <w:pPr>
        <w:pStyle w:val="154"/>
        <w:tabs>
          <w:tab w:val="left" w:pos="1373"/>
        </w:tabs>
        <w:spacing w:before="93" w:line="360" w:lineRule="auto"/>
        <w:ind w:right="77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19.4投标人应当在招标文件要求提交投标文件的截止时间前，将投标文件密封送达投</w:t>
      </w:r>
      <w:r>
        <w:rPr>
          <w:rFonts w:hint="eastAsia" w:asciiTheme="minorEastAsia" w:hAnsiTheme="minorEastAsia" w:eastAsiaTheme="minorEastAsia" w:cstheme="minorEastAsia"/>
          <w:color w:val="auto"/>
          <w:szCs w:val="21"/>
          <w:highlight w:val="none"/>
        </w:rPr>
        <w:t>标地点。采购代理机构收到投标文件后，应当如实记载投标文件的送达时间和密封情况，签收保存，并向投标人出具签收回执。任何单位和个人不得在开标前开启投标文件。</w:t>
      </w: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四、开标</w:t>
      </w:r>
    </w:p>
    <w:p>
      <w:pPr>
        <w:pStyle w:val="8"/>
        <w:numPr>
          <w:ilvl w:val="5"/>
          <w:numId w:val="0"/>
        </w:numPr>
        <w:tabs>
          <w:tab w:val="left" w:pos="1240"/>
        </w:tabs>
        <w:spacing w:before="8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20.开标时间及地点</w:t>
      </w:r>
    </w:p>
    <w:p>
      <w:pPr>
        <w:pStyle w:val="154"/>
        <w:tabs>
          <w:tab w:val="left" w:pos="1416"/>
        </w:tabs>
        <w:spacing w:before="77" w:line="360" w:lineRule="auto"/>
        <w:ind w:right="759" w:firstLine="41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pacing w:val="-1"/>
          <w:szCs w:val="21"/>
          <w:highlight w:val="none"/>
        </w:rPr>
        <w:t>20.1投标文件递交起止时间及投标截止时间：</w:t>
      </w:r>
      <w:r>
        <w:rPr>
          <w:rFonts w:hint="eastAsia" w:asciiTheme="minorEastAsia" w:hAnsiTheme="minorEastAsia" w:eastAsiaTheme="minorEastAsia" w:cstheme="minorEastAsia"/>
          <w:color w:val="auto"/>
          <w:spacing w:val="-3"/>
          <w:szCs w:val="21"/>
          <w:highlight w:val="none"/>
        </w:rPr>
        <w:t>见投标人须知前附表；投标人应在投标</w:t>
      </w:r>
      <w:r>
        <w:rPr>
          <w:rFonts w:hint="eastAsia" w:asciiTheme="minorEastAsia" w:hAnsiTheme="minorEastAsia" w:eastAsiaTheme="minorEastAsia" w:cstheme="minorEastAsia"/>
          <w:color w:val="auto"/>
          <w:szCs w:val="21"/>
          <w:highlight w:val="none"/>
        </w:rPr>
        <w:t>截止时间前递交投标文件。</w:t>
      </w:r>
    </w:p>
    <w:p>
      <w:pPr>
        <w:pStyle w:val="154"/>
        <w:tabs>
          <w:tab w:val="left" w:pos="1373"/>
        </w:tabs>
        <w:spacing w:before="52"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20.2投标人递交投标文件的地点：见投标人须知前附表</w:t>
      </w:r>
    </w:p>
    <w:p>
      <w:pPr>
        <w:pStyle w:val="154"/>
        <w:tabs>
          <w:tab w:val="left" w:pos="1373"/>
        </w:tabs>
        <w:spacing w:before="84"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20.3除招标文件另有规定外，投标人所递交的投标文件不予退还。</w:t>
      </w:r>
    </w:p>
    <w:p>
      <w:pPr>
        <w:pStyle w:val="154"/>
        <w:tabs>
          <w:tab w:val="left" w:pos="1373"/>
        </w:tabs>
        <w:spacing w:before="7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20.4逾期送达的或者未送达指定地点的投标文件，采购代理机构将予以拒收。</w:t>
      </w:r>
    </w:p>
    <w:p>
      <w:pPr>
        <w:pStyle w:val="154"/>
        <w:tabs>
          <w:tab w:val="left" w:pos="1373"/>
        </w:tabs>
        <w:spacing w:before="75" w:line="360" w:lineRule="auto"/>
        <w:ind w:right="77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20.5投标人应当在招标文件要求提交投标文件的截止时间前，将投标文件密封送达投</w:t>
      </w:r>
      <w:r>
        <w:rPr>
          <w:rFonts w:hint="eastAsia" w:asciiTheme="minorEastAsia" w:hAnsiTheme="minorEastAsia" w:eastAsiaTheme="minorEastAsia" w:cstheme="minorEastAsia"/>
          <w:color w:val="auto"/>
          <w:szCs w:val="21"/>
          <w:highlight w:val="none"/>
        </w:rPr>
        <w:t>标地点。采购代理机构收到投标文件后，应当如实记载投标文件的送达时间和密封情况， 签收保存。任何单位和个人不得在开标前开启投标文件。</w:t>
      </w:r>
    </w:p>
    <w:p>
      <w:pPr>
        <w:pStyle w:val="8"/>
        <w:numPr>
          <w:ilvl w:val="5"/>
          <w:numId w:val="0"/>
        </w:numPr>
        <w:tabs>
          <w:tab w:val="left" w:pos="1240"/>
        </w:tabs>
        <w:spacing w:before="19"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21.开标程序</w:t>
      </w:r>
    </w:p>
    <w:p>
      <w:pPr>
        <w:pStyle w:val="154"/>
        <w:tabs>
          <w:tab w:val="left" w:pos="1477"/>
        </w:tabs>
        <w:spacing w:before="94"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（1）主持人宣布开标会正式开始，宣布开标程序、开标纪律，介绍工程情况和到会</w:t>
      </w:r>
      <w:r>
        <w:rPr>
          <w:rFonts w:hint="eastAsia" w:asciiTheme="minorEastAsia" w:hAnsiTheme="minorEastAsia" w:eastAsiaTheme="minorEastAsia" w:cstheme="minorEastAsia"/>
          <w:color w:val="auto"/>
          <w:spacing w:val="-6"/>
          <w:szCs w:val="21"/>
          <w:highlight w:val="none"/>
        </w:rPr>
        <w:t>人员；</w:t>
      </w:r>
    </w:p>
    <w:p>
      <w:pPr>
        <w:pStyle w:val="154"/>
        <w:tabs>
          <w:tab w:val="left" w:pos="1477"/>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（2）投标人对其投标文件的密封情况进行检查并确认签字；</w:t>
      </w:r>
    </w:p>
    <w:p>
      <w:pPr>
        <w:pStyle w:val="154"/>
        <w:tabs>
          <w:tab w:val="left" w:pos="1477"/>
        </w:tabs>
        <w:spacing w:before="9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（3）按各投标人提交投标文件时间的先后顺序打开投标文件外包装；</w:t>
      </w:r>
    </w:p>
    <w:p>
      <w:pPr>
        <w:pStyle w:val="154"/>
        <w:tabs>
          <w:tab w:val="left" w:pos="1477"/>
        </w:tabs>
        <w:spacing w:before="93" w:line="360" w:lineRule="auto"/>
        <w:ind w:right="776" w:firstLine="39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（4）唱标，宣读投标截止时间前接收的所有投标文件的投标人名称，投标报价表的</w:t>
      </w:r>
      <w:r>
        <w:rPr>
          <w:rFonts w:hint="eastAsia" w:asciiTheme="minorEastAsia" w:hAnsiTheme="minorEastAsia" w:eastAsiaTheme="minorEastAsia" w:cstheme="minorEastAsia"/>
          <w:color w:val="auto"/>
          <w:spacing w:val="-4"/>
          <w:szCs w:val="21"/>
          <w:highlight w:val="none"/>
        </w:rPr>
        <w:t>投标报价、折扣；只有在开标时唱出的报价、折扣等实质性内容，评标时才予以采纳；</w:t>
      </w:r>
    </w:p>
    <w:p>
      <w:pPr>
        <w:pStyle w:val="154"/>
        <w:tabs>
          <w:tab w:val="left" w:pos="1477"/>
        </w:tabs>
        <w:spacing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（5）采购代理机构做开标记录，投标人代表对开标记录进行当场校核及勘误并签字</w:t>
      </w:r>
      <w:r>
        <w:rPr>
          <w:rFonts w:hint="eastAsia" w:asciiTheme="minorEastAsia" w:hAnsiTheme="minorEastAsia" w:eastAsiaTheme="minorEastAsia" w:cstheme="minorEastAsia"/>
          <w:color w:val="auto"/>
          <w:spacing w:val="-5"/>
          <w:szCs w:val="21"/>
          <w:highlight w:val="none"/>
        </w:rPr>
        <w:t>确认；同时由记录人、监督人</w:t>
      </w:r>
      <w:r>
        <w:rPr>
          <w:rFonts w:hint="eastAsia" w:asciiTheme="minorEastAsia" w:hAnsiTheme="minorEastAsia" w:eastAsiaTheme="minorEastAsia" w:cstheme="minorEastAsia"/>
          <w:color w:val="auto"/>
          <w:szCs w:val="21"/>
          <w:highlight w:val="none"/>
        </w:rPr>
        <w:t>（如有）当场签字确认；</w:t>
      </w:r>
    </w:p>
    <w:p>
      <w:pPr>
        <w:pStyle w:val="154"/>
        <w:tabs>
          <w:tab w:val="left" w:pos="1477"/>
        </w:tabs>
        <w:spacing w:line="360" w:lineRule="auto"/>
        <w:ind w:right="776"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（6）投标人代表对开标过程和开标记录有疑义，以及认为采购人、采购代理机构相</w:t>
      </w:r>
      <w:r>
        <w:rPr>
          <w:rFonts w:hint="eastAsia" w:asciiTheme="minorEastAsia" w:hAnsiTheme="minorEastAsia" w:eastAsiaTheme="minorEastAsia" w:cstheme="minorEastAsia"/>
          <w:color w:val="auto"/>
          <w:spacing w:val="-4"/>
          <w:szCs w:val="21"/>
          <w:highlight w:val="none"/>
        </w:rPr>
        <w:t>关工作人员有需要回避的情形的，应当场提出询问或者回避申请。采购人、采购代理机构对投标人代表提出的询问或者回避申请应当及时处理。</w:t>
      </w:r>
    </w:p>
    <w:p>
      <w:pPr>
        <w:pStyle w:val="154"/>
        <w:tabs>
          <w:tab w:val="left" w:pos="1477"/>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（7）勘误修正原则</w:t>
      </w:r>
    </w:p>
    <w:p>
      <w:pPr>
        <w:pStyle w:val="2"/>
        <w:spacing w:before="94" w:line="360" w:lineRule="auto"/>
        <w:ind w:right="82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如果出现计算或表达上的错误，修正错误的原则如下：投标文件中投标函内容与投标文件中投标报价表内容不一致的，以投标函为准；投标文件的大写金额和小写金额不一致的，以大写金额为准；总价金额与按单价汇总金额不一致的，以单价金额计算结果为准； 单价金额小数点明显错位的，应以总价为准，并修改单价；对不同文字文本投标文件的解释发生异议的，以中文文本为准。</w:t>
      </w:r>
    </w:p>
    <w:p>
      <w:pPr>
        <w:pStyle w:val="2"/>
        <w:spacing w:before="1"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按上述勘误修正原则及方法调整或修正投标文件的投标报价，投标人签字确认。</w:t>
      </w:r>
    </w:p>
    <w:p>
      <w:pPr>
        <w:pStyle w:val="2"/>
        <w:spacing w:before="38" w:line="360" w:lineRule="auto"/>
        <w:ind w:firstLine="396"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（8）宣布开标结束，采购人、投标人和有关方面代表退场，由工作人员将投标文件等</w:t>
      </w:r>
      <w:r>
        <w:rPr>
          <w:rFonts w:hint="eastAsia" w:asciiTheme="minorEastAsia" w:hAnsiTheme="minorEastAsia" w:eastAsiaTheme="minorEastAsia" w:cstheme="minorEastAsia"/>
          <w:color w:val="auto"/>
          <w:szCs w:val="21"/>
          <w:highlight w:val="none"/>
        </w:rPr>
        <w:t>材料移交评标室。</w:t>
      </w:r>
    </w:p>
    <w:p>
      <w:pPr>
        <w:pStyle w:val="154"/>
        <w:tabs>
          <w:tab w:val="left" w:pos="1477"/>
        </w:tabs>
        <w:spacing w:before="93" w:line="360" w:lineRule="auto"/>
        <w:ind w:left="876"/>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sectPr>
          <w:footerReference r:id="rId5" w:type="default"/>
          <w:pgSz w:w="12240" w:h="15840"/>
          <w:pgMar w:top="1440" w:right="1080" w:bottom="1440" w:left="1080" w:header="0" w:footer="735" w:gutter="0"/>
          <w:cols w:space="720" w:num="1"/>
        </w:sectPr>
      </w:pP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五、资格性审查</w:t>
      </w:r>
    </w:p>
    <w:p>
      <w:pPr>
        <w:pStyle w:val="154"/>
        <w:tabs>
          <w:tab w:val="left" w:pos="1416"/>
        </w:tabs>
        <w:spacing w:before="91" w:line="360" w:lineRule="auto"/>
        <w:ind w:right="775"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22.资格性审查</w:t>
      </w:r>
    </w:p>
    <w:p>
      <w:pPr>
        <w:pStyle w:val="154"/>
        <w:tabs>
          <w:tab w:val="left" w:pos="1416"/>
        </w:tabs>
        <w:spacing w:before="91"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22.1公开招标采购工程开标结束后，采购人或者采购代理机构应当依法对投标人的资</w:t>
      </w:r>
      <w:r>
        <w:rPr>
          <w:rFonts w:hint="eastAsia" w:asciiTheme="minorEastAsia" w:hAnsiTheme="minorEastAsia" w:eastAsiaTheme="minorEastAsia" w:cstheme="minorEastAsia"/>
          <w:color w:val="auto"/>
          <w:szCs w:val="21"/>
          <w:highlight w:val="none"/>
        </w:rPr>
        <w:t>格进行审查。</w:t>
      </w:r>
      <w:r>
        <w:rPr>
          <w:rFonts w:hint="eastAsia" w:asciiTheme="minorEastAsia" w:hAnsiTheme="minorEastAsia" w:eastAsiaTheme="minorEastAsia" w:cstheme="minorEastAsia"/>
          <w:color w:val="auto"/>
          <w:spacing w:val="-8"/>
          <w:szCs w:val="21"/>
          <w:highlight w:val="none"/>
        </w:rPr>
        <w:t xml:space="preserve">合格投标人不足 </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pacing w:val="-8"/>
          <w:szCs w:val="21"/>
          <w:highlight w:val="none"/>
        </w:rPr>
        <w:t xml:space="preserve"> 家的，不得评标。</w:t>
      </w:r>
    </w:p>
    <w:p>
      <w:pPr>
        <w:pStyle w:val="8"/>
        <w:numPr>
          <w:ilvl w:val="5"/>
          <w:numId w:val="0"/>
        </w:numPr>
        <w:tabs>
          <w:tab w:val="left" w:pos="1421"/>
        </w:tabs>
        <w:spacing w:before="91" w:line="360" w:lineRule="auto"/>
        <w:ind w:right="619" w:firstLine="41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22.2采购人或者采购代理机构在对投标人进行资格性审查时，将对投标人企业股东及</w:t>
      </w:r>
      <w:r>
        <w:rPr>
          <w:rFonts w:hint="eastAsia" w:asciiTheme="minorEastAsia" w:hAnsiTheme="minorEastAsia" w:eastAsiaTheme="minorEastAsia" w:cstheme="minorEastAsia"/>
          <w:color w:val="auto"/>
          <w:spacing w:val="-10"/>
          <w:sz w:val="21"/>
          <w:szCs w:val="21"/>
          <w:highlight w:val="none"/>
        </w:rPr>
        <w:t>出资等信息进行查询。根据《中华人民共和国政府采购法实施条例》第十八条第一款规定， 审查中如发现投标人存在单位负责人为同一人或者存在直接控股、管理关系的不同供应商参加同一合同项下的政府采购活动的，按投标无效处理。</w:t>
      </w:r>
    </w:p>
    <w:p>
      <w:pPr>
        <w:pStyle w:val="2"/>
        <w:widowControl/>
        <w:wordWrap w:val="0"/>
        <w:autoSpaceDE w:val="0"/>
        <w:autoSpaceDN w:val="0"/>
        <w:spacing w:before="1" w:line="360" w:lineRule="auto"/>
        <w:ind w:right="2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 xml:space="preserve"> http://www.gsxt.gov.cn/index.html</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p>
    <w:p>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审查流程：</w:t>
      </w:r>
    </w:p>
    <w:p>
      <w:pPr>
        <w:pStyle w:val="154"/>
        <w:tabs>
          <w:tab w:val="left" w:pos="1477"/>
        </w:tabs>
        <w:wordWrap w:val="0"/>
        <w:autoSpaceDE w:val="0"/>
        <w:autoSpaceDN w:val="0"/>
        <w:spacing w:before="94" w:line="360" w:lineRule="auto"/>
        <w:ind w:left="420" w:leftChars="200" w:right="68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（1）进 入 《 国 家 企 业 信 用 信 息 公 示 系 统 》 （ 网 址 ：</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 xml:space="preserve"> http://www.gsxt.gov.cn/index.html</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2"/>
          <w:szCs w:val="21"/>
          <w:highlight w:val="none"/>
        </w:rPr>
        <w:t>输入企业名称，进入企业信息主页面；</w:t>
      </w:r>
    </w:p>
    <w:p>
      <w:pPr>
        <w:pStyle w:val="154"/>
        <w:tabs>
          <w:tab w:val="left" w:pos="1477"/>
        </w:tabs>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（2）查看主页“股东及出资信息”栏，或年报中的“股东及出资信息”栏信息；</w:t>
      </w:r>
    </w:p>
    <w:p>
      <w:pPr>
        <w:pStyle w:val="154"/>
        <w:tabs>
          <w:tab w:val="left" w:pos="1477"/>
        </w:tabs>
        <w:spacing w:before="93"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（3）将各投标人的股东及出资信息进行比对，得出审查结论；</w:t>
      </w:r>
    </w:p>
    <w:p>
      <w:pPr>
        <w:pStyle w:val="2"/>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（4）将相关资料作为评审资料打印存档。</w:t>
      </w:r>
    </w:p>
    <w:p>
      <w:pPr>
        <w:pStyle w:val="2"/>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投标人情形的，关联投标人均按投标无效处理。</w:t>
      </w: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pPr>
        <w:spacing w:before="61"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23.评标委员会组成</w:t>
      </w:r>
    </w:p>
    <w:p>
      <w:pPr>
        <w:pStyle w:val="2"/>
        <w:spacing w:before="93" w:line="360" w:lineRule="auto"/>
        <w:ind w:firstLine="420" w:firstLineChars="200"/>
        <w:rPr>
          <w:rFonts w:asciiTheme="minorEastAsia" w:hAnsiTheme="minorEastAsia" w:eastAsiaTheme="minorEastAsia" w:cstheme="minorEastAsia"/>
          <w:color w:val="auto"/>
          <w:spacing w:val="-20"/>
          <w:szCs w:val="21"/>
          <w:highlight w:val="none"/>
        </w:rPr>
      </w:pPr>
      <w:r>
        <w:rPr>
          <w:rFonts w:hint="eastAsia" w:asciiTheme="minorEastAsia" w:hAnsiTheme="minorEastAsia" w:eastAsiaTheme="minorEastAsia" w:cstheme="minorEastAsia"/>
          <w:color w:val="auto"/>
          <w:szCs w:val="21"/>
          <w:highlight w:val="none"/>
        </w:rPr>
        <w:t xml:space="preserve">评标委员会由采购人代表和评审专家组成，成员人数共 5 人，其中采购人代表 </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rPr>
        <w:t xml:space="preserve"> 人，</w:t>
      </w:r>
      <w:r>
        <w:rPr>
          <w:rFonts w:hint="eastAsia" w:asciiTheme="minorEastAsia" w:hAnsiTheme="minorEastAsia" w:eastAsiaTheme="minorEastAsia" w:cstheme="minorEastAsia"/>
          <w:color w:val="auto"/>
          <w:spacing w:val="-12"/>
          <w:szCs w:val="21"/>
          <w:highlight w:val="none"/>
        </w:rPr>
        <w:t xml:space="preserve">评审专家 </w:t>
      </w:r>
      <w:r>
        <w:rPr>
          <w:rFonts w:hint="eastAsia" w:asciiTheme="minorEastAsia" w:hAnsiTheme="minorEastAsia" w:eastAsiaTheme="minorEastAsia" w:cstheme="minorEastAsia"/>
          <w:color w:val="auto"/>
          <w:szCs w:val="21"/>
          <w:highlight w:val="none"/>
          <w:u w:val="single"/>
        </w:rPr>
        <w:t>4</w:t>
      </w:r>
      <w:r>
        <w:rPr>
          <w:rFonts w:hint="eastAsia" w:asciiTheme="minorEastAsia" w:hAnsiTheme="minorEastAsia" w:eastAsiaTheme="minorEastAsia" w:cstheme="minorEastAsia"/>
          <w:color w:val="auto"/>
          <w:spacing w:val="-20"/>
          <w:szCs w:val="21"/>
          <w:highlight w:val="none"/>
        </w:rPr>
        <w:t xml:space="preserve"> 人。</w:t>
      </w:r>
    </w:p>
    <w:p>
      <w:pPr>
        <w:pStyle w:val="2"/>
        <w:spacing w:before="93" w:line="360" w:lineRule="auto"/>
        <w:ind w:firstLine="340" w:firstLineChars="200"/>
        <w:rPr>
          <w:rFonts w:asciiTheme="minorEastAsia" w:hAnsiTheme="minorEastAsia" w:eastAsiaTheme="minorEastAsia" w:cstheme="minorEastAsia"/>
          <w:color w:val="auto"/>
          <w:spacing w:val="-20"/>
          <w:szCs w:val="21"/>
          <w:highlight w:val="none"/>
        </w:rPr>
      </w:pPr>
      <w:r>
        <w:rPr>
          <w:rFonts w:hint="eastAsia" w:asciiTheme="minorEastAsia" w:hAnsiTheme="minorEastAsia" w:eastAsiaTheme="minorEastAsia" w:cstheme="minorEastAsia"/>
          <w:color w:val="auto"/>
          <w:spacing w:val="-20"/>
          <w:szCs w:val="21"/>
          <w:highlight w:val="none"/>
        </w:rPr>
        <w:t>评标专家确定方式：开标前由招标采购单位从政府采购专家库中通过电脑随机抽取。</w:t>
      </w:r>
    </w:p>
    <w:p>
      <w:pPr>
        <w:spacing w:before="94" w:line="360" w:lineRule="auto"/>
        <w:ind w:right="8494" w:firstLine="34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20"/>
          <w:szCs w:val="21"/>
          <w:highlight w:val="none"/>
        </w:rPr>
        <w:t>24、.</w:t>
      </w:r>
      <w:r>
        <w:rPr>
          <w:rFonts w:hint="eastAsia" w:asciiTheme="minorEastAsia" w:hAnsiTheme="minorEastAsia" w:eastAsiaTheme="minorEastAsia" w:cstheme="minorEastAsia"/>
          <w:b/>
          <w:color w:val="auto"/>
          <w:spacing w:val="-19"/>
          <w:szCs w:val="21"/>
          <w:highlight w:val="none"/>
        </w:rPr>
        <w:t>评标办法</w:t>
      </w:r>
    </w:p>
    <w:p>
      <w:pPr>
        <w:pStyle w:val="154"/>
        <w:tabs>
          <w:tab w:val="left" w:pos="1416"/>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24.1、评标办法：综合评分法，具体评标内容及标准详见第四章。</w:t>
      </w:r>
    </w:p>
    <w:p>
      <w:pPr>
        <w:pStyle w:val="154"/>
        <w:tabs>
          <w:tab w:val="left" w:pos="1416"/>
        </w:tabs>
        <w:spacing w:before="93" w:line="360" w:lineRule="auto"/>
        <w:ind w:right="2683" w:firstLine="41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1"/>
          <w:szCs w:val="21"/>
          <w:highlight w:val="none"/>
        </w:rPr>
        <w:t>24.2、评标委员会应按招标文件进行评标，不得擅自更改评标办法。</w:t>
      </w:r>
    </w:p>
    <w:p>
      <w:pPr>
        <w:pStyle w:val="154"/>
        <w:tabs>
          <w:tab w:val="left" w:pos="1416"/>
        </w:tabs>
        <w:spacing w:before="93" w:line="360" w:lineRule="auto"/>
        <w:ind w:right="2683"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25.评标</w:t>
      </w:r>
    </w:p>
    <w:p>
      <w:pPr>
        <w:pStyle w:val="2"/>
        <w:spacing w:before="38" w:line="360" w:lineRule="auto"/>
        <w:ind w:right="776" w:firstLine="404"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25.1采购代理机构负责评标组织工作；宣布评标工作纪律，公布投标人名单，告知评</w:t>
      </w:r>
      <w:r>
        <w:rPr>
          <w:rFonts w:hint="eastAsia" w:asciiTheme="minorEastAsia" w:hAnsiTheme="minorEastAsia" w:eastAsiaTheme="minorEastAsia" w:cstheme="minorEastAsia"/>
          <w:color w:val="auto"/>
          <w:szCs w:val="21"/>
          <w:highlight w:val="none"/>
        </w:rPr>
        <w:t>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54"/>
        <w:tabs>
          <w:tab w:val="left" w:pos="1416"/>
        </w:tabs>
        <w:spacing w:before="2" w:line="360" w:lineRule="auto"/>
        <w:ind w:right="763"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25.2评标委员会负责具体评标事务；审查、评价投标文件是否符合招标文件的商务、</w:t>
      </w:r>
      <w:r>
        <w:rPr>
          <w:rFonts w:hint="eastAsia" w:asciiTheme="minorEastAsia" w:hAnsiTheme="minorEastAsia" w:eastAsiaTheme="minorEastAsia" w:cstheme="minorEastAsia"/>
          <w:color w:val="auto"/>
          <w:szCs w:val="21"/>
          <w:highlight w:val="none"/>
        </w:rPr>
        <w:t>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54"/>
        <w:tabs>
          <w:tab w:val="left" w:pos="1416"/>
        </w:tabs>
        <w:spacing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25.3在评标过程中，评标委员会任何人不得对某个投标人发表任何倾向性意见，不得</w:t>
      </w:r>
      <w:r>
        <w:rPr>
          <w:rFonts w:hint="eastAsia" w:asciiTheme="minorEastAsia" w:hAnsiTheme="minorEastAsia" w:eastAsiaTheme="minorEastAsia" w:cstheme="minorEastAsia"/>
          <w:color w:val="auto"/>
          <w:szCs w:val="21"/>
          <w:highlight w:val="none"/>
        </w:rPr>
        <w:t>向其他专家评委明示或者暗示自己的评审意见。</w:t>
      </w:r>
    </w:p>
    <w:p>
      <w:pPr>
        <w:pStyle w:val="154"/>
        <w:tabs>
          <w:tab w:val="left" w:pos="1416"/>
        </w:tabs>
        <w:spacing w:before="1"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25.4评标委员会应当对符合资格的投标人的投标文件进行符合性审查，以确定其是否</w:t>
      </w:r>
      <w:r>
        <w:rPr>
          <w:rFonts w:hint="eastAsia" w:asciiTheme="minorEastAsia" w:hAnsiTheme="minorEastAsia" w:eastAsiaTheme="minorEastAsia" w:cstheme="minorEastAsia"/>
          <w:color w:val="auto"/>
          <w:szCs w:val="21"/>
          <w:highlight w:val="none"/>
        </w:rPr>
        <w:t>满足招标文件的实质性要求。</w:t>
      </w:r>
    </w:p>
    <w:p>
      <w:pPr>
        <w:pStyle w:val="154"/>
        <w:tabs>
          <w:tab w:val="left" w:pos="1416"/>
        </w:tabs>
        <w:spacing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25.5对于投标文件中含义不明确、同类问题表述不一致或者有明显文字和计算错误的</w:t>
      </w:r>
      <w:r>
        <w:rPr>
          <w:rFonts w:hint="eastAsia" w:asciiTheme="minorEastAsia" w:hAnsiTheme="minorEastAsia" w:eastAsiaTheme="minorEastAsia" w:cstheme="minorEastAsia"/>
          <w:color w:val="auto"/>
          <w:szCs w:val="21"/>
          <w:highlight w:val="none"/>
        </w:rPr>
        <w:t>内容，评标委员会应当以书面形式要求投标人作出必要的澄清、说明或者补正。</w:t>
      </w:r>
    </w:p>
    <w:p>
      <w:pPr>
        <w:pStyle w:val="2"/>
        <w:spacing w:line="360" w:lineRule="auto"/>
        <w:ind w:right="776"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54"/>
        <w:tabs>
          <w:tab w:val="left" w:pos="1407"/>
        </w:tabs>
        <w:spacing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25.6评标委员会应当按照招标文件中规定的评标方法和标准，对符合性审查合格的投</w:t>
      </w:r>
      <w:r>
        <w:rPr>
          <w:rFonts w:hint="eastAsia" w:asciiTheme="minorEastAsia" w:hAnsiTheme="minorEastAsia" w:eastAsiaTheme="minorEastAsia" w:cstheme="minorEastAsia"/>
          <w:color w:val="auto"/>
          <w:szCs w:val="21"/>
          <w:highlight w:val="none"/>
        </w:rPr>
        <w:t>标文件进行商务和技术评估，综合比较与评价。</w:t>
      </w:r>
    </w:p>
    <w:p>
      <w:pPr>
        <w:pStyle w:val="154"/>
        <w:tabs>
          <w:tab w:val="left" w:pos="1407"/>
        </w:tabs>
        <w:spacing w:line="360" w:lineRule="auto"/>
        <w:ind w:right="7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25.7 评标委员会成员应当独立对每个投标人的投标文件进行评价，最终汇总每个投标人的得分。各投标人的得分为所有评委的有效评分的算术平均数。</w:t>
      </w:r>
    </w:p>
    <w:p>
      <w:pPr>
        <w:pStyle w:val="154"/>
        <w:tabs>
          <w:tab w:val="left" w:pos="1416"/>
        </w:tabs>
        <w:spacing w:before="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25.8投标文件报价出现前后不一致的，除招标文件另有规定外，按照下列规定修正：</w:t>
      </w:r>
    </w:p>
    <w:p>
      <w:pPr>
        <w:pStyle w:val="154"/>
        <w:tabs>
          <w:tab w:val="left" w:pos="1413"/>
        </w:tabs>
        <w:spacing w:before="90" w:line="360" w:lineRule="auto"/>
        <w:ind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1、投标文件中投标报价表内容与投标文件中相应内容不一致的，以投标报价表为准；</w:t>
      </w:r>
    </w:p>
    <w:p>
      <w:pPr>
        <w:pStyle w:val="154"/>
        <w:tabs>
          <w:tab w:val="left" w:pos="1477"/>
        </w:tabs>
        <w:spacing w:before="94"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pStyle w:val="154"/>
        <w:tabs>
          <w:tab w:val="left" w:pos="1477"/>
        </w:tabs>
        <w:spacing w:before="93"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3、单价金额小数点或者百分比有明显错位的，以报价表的总价为准，并修改单价；</w:t>
      </w:r>
    </w:p>
    <w:p>
      <w:pPr>
        <w:pStyle w:val="154"/>
        <w:tabs>
          <w:tab w:val="left" w:pos="1477"/>
        </w:tabs>
        <w:spacing w:before="9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pStyle w:val="2"/>
        <w:spacing w:before="93" w:line="360" w:lineRule="auto"/>
        <w:ind w:right="82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pStyle w:val="2"/>
        <w:spacing w:before="38" w:line="360" w:lineRule="auto"/>
        <w:ind w:right="859" w:rightChars="409" w:firstLine="41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25.9评标委员会认为投标人的报价明显低于其他通过符合性审查投标人的报价，有可</w:t>
      </w:r>
      <w:r>
        <w:rPr>
          <w:rFonts w:hint="eastAsia" w:asciiTheme="minorEastAsia" w:hAnsiTheme="minorEastAsia" w:eastAsiaTheme="minorEastAsia" w:cstheme="minorEastAsia"/>
          <w:color w:val="auto"/>
          <w:szCs w:val="21"/>
          <w:highlight w:val="none"/>
        </w:rPr>
        <w:t>能影响服务质量或者不能诚信履约的，应当要求其在评标现场合理的时间内提供书面说明</w:t>
      </w:r>
      <w:r>
        <w:rPr>
          <w:rFonts w:hint="eastAsia" w:asciiTheme="minorEastAsia" w:hAnsiTheme="minorEastAsia" w:eastAsiaTheme="minorEastAsia" w:cstheme="minorEastAsia"/>
          <w:color w:val="auto"/>
          <w:spacing w:val="-1"/>
          <w:szCs w:val="21"/>
          <w:highlight w:val="none"/>
        </w:rPr>
        <w:t>并提交相关证明材料；投标人不能证明其报价合理性的，评标委员会应当将其作为无效投</w:t>
      </w:r>
      <w:r>
        <w:rPr>
          <w:rFonts w:hint="eastAsia" w:asciiTheme="minorEastAsia" w:hAnsiTheme="minorEastAsia" w:eastAsiaTheme="minorEastAsia" w:cstheme="minorEastAsia"/>
          <w:color w:val="auto"/>
          <w:szCs w:val="21"/>
          <w:highlight w:val="none"/>
        </w:rPr>
        <w:t>标处理。</w:t>
      </w:r>
    </w:p>
    <w:p>
      <w:pPr>
        <w:pStyle w:val="154"/>
        <w:tabs>
          <w:tab w:val="left" w:pos="440"/>
          <w:tab w:val="left" w:pos="660"/>
          <w:tab w:val="left" w:pos="1407"/>
        </w:tabs>
        <w:spacing w:before="91" w:line="360" w:lineRule="auto"/>
        <w:ind w:right="680"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25.10评标委员会成员对需要共同认定的事项存在争议的，应当按照少数服从多数的原</w:t>
      </w:r>
      <w:r>
        <w:rPr>
          <w:rFonts w:hint="eastAsia" w:asciiTheme="minorEastAsia" w:hAnsiTheme="minorEastAsia" w:eastAsiaTheme="minorEastAsia" w:cstheme="minorEastAsia"/>
          <w:color w:val="auto"/>
          <w:szCs w:val="21"/>
          <w:highlight w:val="none"/>
        </w:rPr>
        <w:t>则作出结论。持不同意见的评标委员会成员应当在评标报告上签署不同意见及理由，否则视为同意评标报告。</w:t>
      </w:r>
    </w:p>
    <w:p>
      <w:pPr>
        <w:pStyle w:val="154"/>
        <w:tabs>
          <w:tab w:val="left" w:pos="1536"/>
        </w:tabs>
        <w:spacing w:before="1"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25.11评标结果汇总完成后，除下列情形外，任何人不得修改评标结果：</w:t>
      </w:r>
    </w:p>
    <w:p>
      <w:pPr>
        <w:pStyle w:val="2"/>
        <w:spacing w:after="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（一）分值汇总计算错误的；</w:t>
      </w:r>
    </w:p>
    <w:p>
      <w:pPr>
        <w:pStyle w:val="2"/>
        <w:spacing w:after="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（二）分项评分超出评分标准范围的；</w:t>
      </w:r>
    </w:p>
    <w:p>
      <w:pPr>
        <w:pStyle w:val="2"/>
        <w:spacing w:after="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（三）评标委员会成员对客观评审因素评分不一致的；</w:t>
      </w:r>
    </w:p>
    <w:p>
      <w:pPr>
        <w:pStyle w:val="2"/>
        <w:spacing w:after="0"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（四）经评标委员会认定评分畸高、畸低的。</w:t>
      </w:r>
    </w:p>
    <w:p>
      <w:pPr>
        <w:pStyle w:val="2"/>
        <w:spacing w:before="93" w:line="360" w:lineRule="auto"/>
        <w:ind w:right="776"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spacing w:line="360" w:lineRule="auto"/>
        <w:ind w:right="776"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投标人对本条第一款情形提出质疑的，采购人或者采购代理机构可以组织原评标委员</w:t>
      </w:r>
      <w:r>
        <w:rPr>
          <w:rFonts w:hint="eastAsia" w:asciiTheme="minorEastAsia" w:hAnsiTheme="minorEastAsia" w:eastAsiaTheme="minorEastAsia" w:cstheme="minorEastAsia"/>
          <w:color w:val="auto"/>
          <w:highlight w:val="none"/>
        </w:rPr>
        <w:t>会进行重</w:t>
      </w:r>
      <w:r>
        <w:rPr>
          <w:rFonts w:hint="eastAsia" w:asciiTheme="minorEastAsia" w:hAnsiTheme="minorEastAsia" w:eastAsiaTheme="minorEastAsia" w:cstheme="minorEastAsia"/>
          <w:color w:val="auto"/>
          <w:szCs w:val="21"/>
          <w:highlight w:val="none"/>
        </w:rPr>
        <w:t>新评审，重新评审改变评标结果的，应当书面报告本级财政部门。</w:t>
      </w:r>
    </w:p>
    <w:p>
      <w:pPr>
        <w:pStyle w:val="154"/>
        <w:tabs>
          <w:tab w:val="left" w:pos="1529"/>
        </w:tabs>
        <w:spacing w:before="2" w:line="360" w:lineRule="auto"/>
        <w:ind w:right="7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25.12采购代理机构发现评标委员会有明显的违规倾向或歧视现象，或不按评标办法进行，或其他不正常行为的，应当及时制止。如制止无效，应及时向兴安县政府采购管理办公室报告。</w:t>
      </w:r>
    </w:p>
    <w:p>
      <w:pPr>
        <w:pStyle w:val="8"/>
        <w:numPr>
          <w:ilvl w:val="5"/>
          <w:numId w:val="0"/>
        </w:numPr>
        <w:tabs>
          <w:tab w:val="left" w:pos="1359"/>
        </w:tabs>
        <w:spacing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26.推荐及确定中标候选供应商原则</w:t>
      </w:r>
    </w:p>
    <w:p>
      <w:pPr>
        <w:spacing w:line="360" w:lineRule="auto"/>
        <w:ind w:firstLine="420" w:firstLineChars="200"/>
        <w:rPr>
          <w:color w:val="auto"/>
          <w:highlight w:val="none"/>
        </w:rPr>
      </w:pPr>
      <w:r>
        <w:rPr>
          <w:rFonts w:hint="eastAsia"/>
          <w:color w:val="auto"/>
          <w:highlight w:val="none"/>
        </w:rPr>
        <w:t>对投标文件中含义不明确、同类问题表述不一致或者有明显文字和计算错误的内容，评标委员会可以书面</w:t>
      </w:r>
    </w:p>
    <w:p>
      <w:pPr>
        <w:spacing w:line="360" w:lineRule="auto"/>
        <w:ind w:firstLine="420" w:firstLineChars="200"/>
        <w:rPr>
          <w:color w:val="auto"/>
          <w:highlight w:val="none"/>
        </w:rPr>
      </w:pPr>
      <w:r>
        <w:rPr>
          <w:rFonts w:hint="eastAsia"/>
          <w:color w:val="auto"/>
          <w:highlight w:val="none"/>
        </w:rPr>
        <w:t>形式要求投标人作出必要的澄清、说明或者纠正。投标人的澄清、说明或者纠正应当采用书面形式，由法定</w:t>
      </w:r>
    </w:p>
    <w:p>
      <w:pPr>
        <w:spacing w:line="360" w:lineRule="auto"/>
        <w:ind w:firstLine="420" w:firstLineChars="200"/>
        <w:rPr>
          <w:color w:val="auto"/>
          <w:highlight w:val="none"/>
        </w:rPr>
      </w:pPr>
      <w:r>
        <w:rPr>
          <w:rFonts w:hint="eastAsia"/>
          <w:color w:val="auto"/>
          <w:highlight w:val="none"/>
        </w:rPr>
        <w:t>代表人、负责人、自然人或相应的委托代理人签字或盖章确认，并不得超出投标文件的范围或者改变投标文</w:t>
      </w:r>
    </w:p>
    <w:p>
      <w:pPr>
        <w:spacing w:line="360" w:lineRule="auto"/>
        <w:ind w:firstLine="420" w:firstLineChars="200"/>
        <w:rPr>
          <w:color w:val="auto"/>
          <w:highlight w:val="none"/>
        </w:rPr>
      </w:pPr>
      <w:r>
        <w:rPr>
          <w:rFonts w:hint="eastAsia"/>
          <w:color w:val="auto"/>
          <w:highlight w:val="none"/>
        </w:rPr>
        <w:t>件实质性内容。</w:t>
      </w:r>
    </w:p>
    <w:p>
      <w:pPr>
        <w:pStyle w:val="14"/>
        <w:spacing w:line="360" w:lineRule="auto"/>
        <w:ind w:firstLine="420" w:firstLineChars="200"/>
        <w:rPr>
          <w:color w:val="auto"/>
          <w:highlight w:val="none"/>
        </w:rPr>
      </w:pPr>
    </w:p>
    <w:p>
      <w:pPr>
        <w:pStyle w:val="8"/>
        <w:numPr>
          <w:ilvl w:val="0"/>
          <w:numId w:val="9"/>
        </w:numPr>
        <w:tabs>
          <w:tab w:val="left" w:pos="1361"/>
        </w:tabs>
        <w:spacing w:before="94" w:line="360" w:lineRule="auto"/>
        <w:ind w:firstLine="422" w:firstLineChars="200"/>
        <w:rPr>
          <w:rFonts w:asciiTheme="minorEastAsia" w:hAnsiTheme="minorEastAsia" w:eastAsiaTheme="minorEastAsia" w:cstheme="minorEastAsia"/>
          <w:color w:val="auto"/>
          <w:sz w:val="21"/>
          <w:szCs w:val="21"/>
          <w:highlight w:val="none"/>
        </w:rPr>
      </w:pPr>
      <w:bookmarkStart w:id="9" w:name="27._属于下列情况之一者，投标无效："/>
      <w:bookmarkEnd w:id="9"/>
      <w:r>
        <w:rPr>
          <w:rFonts w:hint="eastAsia" w:asciiTheme="minorEastAsia" w:hAnsiTheme="minorEastAsia" w:eastAsiaTheme="minorEastAsia" w:cstheme="minorEastAsia"/>
          <w:color w:val="auto"/>
          <w:sz w:val="21"/>
          <w:szCs w:val="21"/>
          <w:highlight w:val="none"/>
        </w:rPr>
        <w:t>推荐及确定中标候选人原则</w:t>
      </w:r>
    </w:p>
    <w:p>
      <w:pPr>
        <w:spacing w:line="360" w:lineRule="auto"/>
        <w:ind w:firstLine="420" w:firstLineChars="200"/>
        <w:rPr>
          <w:color w:val="auto"/>
          <w:highlight w:val="none"/>
        </w:rPr>
      </w:pPr>
      <w:r>
        <w:rPr>
          <w:rFonts w:hint="eastAsia"/>
          <w:color w:val="auto"/>
          <w:highlight w:val="none"/>
        </w:rPr>
        <w:t>（1）评标委员会根据综合得分由高到低排列次序，若得分相同时，按投标报价由低到高顺序排列；得分相同且投标报价也相同的则按技术参数分由高到低排序，如仍相同由评标委员会按照抽签的方式决定排列次序 。</w:t>
      </w:r>
    </w:p>
    <w:p>
      <w:pPr>
        <w:spacing w:line="360" w:lineRule="auto"/>
        <w:ind w:firstLine="420" w:firstLineChars="200"/>
        <w:rPr>
          <w:color w:val="auto"/>
          <w:highlight w:val="none"/>
        </w:rPr>
      </w:pPr>
      <w:r>
        <w:rPr>
          <w:rFonts w:hint="eastAsia"/>
          <w:color w:val="auto"/>
          <w:highlight w:val="none"/>
        </w:rPr>
        <w:t>（2）评标委员会可推荐前三名为中标候选人，采购人应当确定评标委员会推荐排名第一的中标候选人为中标人。</w:t>
      </w:r>
    </w:p>
    <w:p>
      <w:pPr>
        <w:spacing w:line="360" w:lineRule="auto"/>
        <w:ind w:firstLine="420" w:firstLineChars="200"/>
        <w:rPr>
          <w:color w:val="auto"/>
          <w:highlight w:val="none"/>
        </w:rPr>
      </w:pPr>
      <w:r>
        <w:rPr>
          <w:rFonts w:hint="eastAsia"/>
          <w:color w:val="auto"/>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pStyle w:val="8"/>
        <w:numPr>
          <w:ilvl w:val="5"/>
          <w:numId w:val="0"/>
        </w:numPr>
        <w:tabs>
          <w:tab w:val="left" w:pos="1361"/>
        </w:tabs>
        <w:spacing w:before="94"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28.属于下列情况之一者，投标无效：</w:t>
      </w:r>
    </w:p>
    <w:p>
      <w:pPr>
        <w:pStyle w:val="154"/>
        <w:numPr>
          <w:ilvl w:val="0"/>
          <w:numId w:val="10"/>
        </w:numPr>
        <w:tabs>
          <w:tab w:val="left" w:pos="1468"/>
        </w:tabs>
        <w:spacing w:line="360" w:lineRule="auto"/>
        <w:ind w:left="0" w:firstLine="420"/>
        <w:rPr>
          <w:rFonts w:asciiTheme="minorEastAsia" w:hAnsiTheme="minorEastAsia" w:eastAsiaTheme="minorEastAsia" w:cstheme="minorEastAsia"/>
          <w:color w:val="auto"/>
          <w:szCs w:val="21"/>
          <w:highlight w:val="none"/>
        </w:rPr>
      </w:pPr>
      <w:bookmarkStart w:id="10" w:name="（1）未按照招标文件规定要求签字、盖章的；"/>
      <w:bookmarkEnd w:id="10"/>
      <w:r>
        <w:rPr>
          <w:rFonts w:hint="eastAsia" w:asciiTheme="minorEastAsia" w:hAnsiTheme="minorEastAsia" w:eastAsiaTheme="minorEastAsia" w:cstheme="minorEastAsia"/>
          <w:color w:val="auto"/>
          <w:szCs w:val="21"/>
          <w:highlight w:val="none"/>
        </w:rPr>
        <w:t>未按照招标文件规定要求签字、盖章的；</w:t>
      </w:r>
    </w:p>
    <w:p>
      <w:pPr>
        <w:pStyle w:val="154"/>
        <w:numPr>
          <w:ilvl w:val="0"/>
          <w:numId w:val="10"/>
        </w:numPr>
        <w:tabs>
          <w:tab w:val="left" w:pos="1477"/>
        </w:tabs>
        <w:spacing w:line="360" w:lineRule="auto"/>
        <w:ind w:left="0" w:firstLine="420"/>
        <w:rPr>
          <w:rFonts w:asciiTheme="minorEastAsia" w:hAnsiTheme="minorEastAsia" w:eastAsiaTheme="minorEastAsia" w:cstheme="minorEastAsia"/>
          <w:color w:val="auto"/>
          <w:szCs w:val="21"/>
          <w:highlight w:val="none"/>
        </w:rPr>
      </w:pPr>
      <w:bookmarkStart w:id="11" w:name="（2）报价超过招标文件中规定的预算金额的；"/>
      <w:bookmarkEnd w:id="11"/>
      <w:r>
        <w:rPr>
          <w:rFonts w:hint="eastAsia" w:asciiTheme="minorEastAsia" w:hAnsiTheme="minorEastAsia" w:eastAsiaTheme="minorEastAsia" w:cstheme="minorEastAsia"/>
          <w:color w:val="auto"/>
          <w:szCs w:val="21"/>
          <w:highlight w:val="none"/>
        </w:rPr>
        <w:t>报价超过招标文件中规定的预算金额的；</w:t>
      </w:r>
    </w:p>
    <w:p>
      <w:pPr>
        <w:pStyle w:val="154"/>
        <w:numPr>
          <w:ilvl w:val="0"/>
          <w:numId w:val="10"/>
        </w:numPr>
        <w:tabs>
          <w:tab w:val="left" w:pos="1468"/>
        </w:tabs>
        <w:spacing w:line="360" w:lineRule="auto"/>
        <w:ind w:left="0" w:firstLine="420"/>
        <w:rPr>
          <w:rFonts w:asciiTheme="minorEastAsia" w:hAnsiTheme="minorEastAsia" w:eastAsiaTheme="minorEastAsia" w:cstheme="minorEastAsia"/>
          <w:color w:val="auto"/>
          <w:szCs w:val="21"/>
          <w:highlight w:val="none"/>
        </w:rPr>
      </w:pPr>
      <w:bookmarkStart w:id="12" w:name="（3）不具备招标文件中规定的资格要求的；"/>
      <w:bookmarkEnd w:id="12"/>
      <w:r>
        <w:rPr>
          <w:rFonts w:hint="eastAsia" w:asciiTheme="minorEastAsia" w:hAnsiTheme="minorEastAsia" w:eastAsiaTheme="minorEastAsia" w:cstheme="minorEastAsia"/>
          <w:color w:val="auto"/>
          <w:szCs w:val="21"/>
          <w:highlight w:val="none"/>
        </w:rPr>
        <w:t>不具备招标文件中规定的资格要求的；</w:t>
      </w:r>
    </w:p>
    <w:p>
      <w:pPr>
        <w:pStyle w:val="154"/>
        <w:numPr>
          <w:ilvl w:val="0"/>
          <w:numId w:val="10"/>
        </w:numPr>
        <w:tabs>
          <w:tab w:val="left" w:pos="1468"/>
        </w:tabs>
        <w:spacing w:line="360" w:lineRule="auto"/>
        <w:ind w:left="0" w:firstLine="420"/>
        <w:rPr>
          <w:rFonts w:asciiTheme="minorEastAsia" w:hAnsiTheme="minorEastAsia" w:eastAsiaTheme="minorEastAsia" w:cstheme="minorEastAsia"/>
          <w:color w:val="auto"/>
          <w:szCs w:val="21"/>
          <w:highlight w:val="none"/>
        </w:rPr>
      </w:pPr>
      <w:bookmarkStart w:id="13" w:name="（4）投标文件含有采购人不能接受的附加条件的；"/>
      <w:bookmarkEnd w:id="13"/>
      <w:r>
        <w:rPr>
          <w:rFonts w:hint="eastAsia" w:asciiTheme="minorEastAsia" w:hAnsiTheme="minorEastAsia" w:eastAsiaTheme="minorEastAsia" w:cstheme="minorEastAsia"/>
          <w:color w:val="auto"/>
          <w:szCs w:val="21"/>
          <w:highlight w:val="none"/>
        </w:rPr>
        <w:t>投标文件含有采购人不能接受的附加条件的；</w:t>
      </w:r>
    </w:p>
    <w:p>
      <w:pPr>
        <w:pStyle w:val="154"/>
        <w:numPr>
          <w:ilvl w:val="0"/>
          <w:numId w:val="10"/>
        </w:numPr>
        <w:tabs>
          <w:tab w:val="left" w:pos="1468"/>
        </w:tabs>
        <w:spacing w:line="360" w:lineRule="auto"/>
        <w:ind w:left="0" w:firstLine="420"/>
        <w:rPr>
          <w:rFonts w:asciiTheme="minorEastAsia" w:hAnsiTheme="minorEastAsia" w:eastAsiaTheme="minorEastAsia" w:cstheme="minorEastAsia"/>
          <w:color w:val="auto"/>
          <w:szCs w:val="21"/>
          <w:highlight w:val="none"/>
        </w:rPr>
      </w:pPr>
      <w:bookmarkStart w:id="14" w:name="（5）投标文件未按招标文件的内容和要求编制，或提供虚假或无效材料的；"/>
      <w:bookmarkEnd w:id="14"/>
      <w:r>
        <w:rPr>
          <w:rFonts w:hint="eastAsia" w:asciiTheme="minorEastAsia" w:hAnsiTheme="minorEastAsia" w:eastAsiaTheme="minorEastAsia" w:cstheme="minorEastAsia"/>
          <w:color w:val="auto"/>
          <w:szCs w:val="21"/>
          <w:highlight w:val="none"/>
        </w:rPr>
        <w:t>投标文件未按招标文件的内容和要求编制，或提供虚假材料的；</w:t>
      </w:r>
    </w:p>
    <w:p>
      <w:pPr>
        <w:pStyle w:val="154"/>
        <w:numPr>
          <w:ilvl w:val="0"/>
          <w:numId w:val="10"/>
        </w:numPr>
        <w:tabs>
          <w:tab w:val="left" w:pos="1468"/>
        </w:tabs>
        <w:spacing w:line="360" w:lineRule="auto"/>
        <w:ind w:left="0" w:firstLine="420"/>
        <w:rPr>
          <w:rFonts w:asciiTheme="minorEastAsia" w:hAnsiTheme="minorEastAsia" w:eastAsiaTheme="minorEastAsia" w:cstheme="minorEastAsia"/>
          <w:color w:val="auto"/>
          <w:szCs w:val="21"/>
          <w:highlight w:val="none"/>
        </w:rPr>
      </w:pPr>
      <w:bookmarkStart w:id="15" w:name="（6）投标人未就“服务采购需求”中的所有内容作完整唯一报价的；"/>
      <w:bookmarkEnd w:id="15"/>
      <w:r>
        <w:rPr>
          <w:rFonts w:hint="eastAsia" w:asciiTheme="minorEastAsia" w:hAnsiTheme="minorEastAsia" w:eastAsiaTheme="minorEastAsia" w:cstheme="minorEastAsia"/>
          <w:color w:val="auto"/>
          <w:szCs w:val="21"/>
          <w:highlight w:val="none"/>
        </w:rPr>
        <w:t>投标人未就“采购需求”中的所有内容作完整唯一报价的；</w:t>
      </w:r>
    </w:p>
    <w:p>
      <w:pPr>
        <w:pStyle w:val="154"/>
        <w:numPr>
          <w:ilvl w:val="0"/>
          <w:numId w:val="10"/>
        </w:numPr>
        <w:tabs>
          <w:tab w:val="left" w:pos="1477"/>
        </w:tabs>
        <w:spacing w:line="360" w:lineRule="auto"/>
        <w:ind w:left="0" w:firstLine="420"/>
        <w:rPr>
          <w:rFonts w:asciiTheme="minorEastAsia" w:hAnsiTheme="minorEastAsia" w:eastAsiaTheme="minorEastAsia" w:cstheme="minorEastAsia"/>
          <w:color w:val="auto"/>
          <w:szCs w:val="21"/>
          <w:highlight w:val="none"/>
        </w:rPr>
      </w:pPr>
      <w:bookmarkStart w:id="16" w:name="（7）未完全响应招标文件实质性要求的；"/>
      <w:bookmarkEnd w:id="16"/>
      <w:r>
        <w:rPr>
          <w:rFonts w:hint="eastAsia" w:asciiTheme="minorEastAsia" w:hAnsiTheme="minorEastAsia" w:eastAsiaTheme="minorEastAsia" w:cstheme="minorEastAsia"/>
          <w:color w:val="auto"/>
          <w:szCs w:val="21"/>
          <w:highlight w:val="none"/>
        </w:rPr>
        <w:t>法律、法规和招标文件规定的其他无效情形。</w:t>
      </w:r>
    </w:p>
    <w:p>
      <w:pPr>
        <w:pStyle w:val="8"/>
        <w:numPr>
          <w:ilvl w:val="5"/>
          <w:numId w:val="0"/>
        </w:numPr>
        <w:tabs>
          <w:tab w:val="left" w:pos="1233"/>
        </w:tabs>
        <w:spacing w:before="93" w:line="360" w:lineRule="auto"/>
        <w:ind w:firstLine="422" w:firstLineChars="200"/>
        <w:rPr>
          <w:rFonts w:asciiTheme="minorEastAsia" w:hAnsiTheme="minorEastAsia" w:eastAsiaTheme="minorEastAsia" w:cstheme="minorEastAsia"/>
          <w:color w:val="auto"/>
          <w:sz w:val="21"/>
          <w:szCs w:val="21"/>
          <w:highlight w:val="none"/>
        </w:rPr>
      </w:pPr>
      <w:bookmarkStart w:id="17" w:name="28.投标人有下列情形之一的，视为串通投标，投标文件将被视为无效："/>
      <w:bookmarkEnd w:id="17"/>
      <w:r>
        <w:rPr>
          <w:rFonts w:hint="eastAsia" w:asciiTheme="minorEastAsia" w:hAnsiTheme="minorEastAsia" w:eastAsiaTheme="minorEastAsia" w:cstheme="minorEastAsia"/>
          <w:color w:val="auto"/>
          <w:sz w:val="21"/>
          <w:szCs w:val="21"/>
          <w:highlight w:val="none"/>
        </w:rPr>
        <w:t>投标人有下列情形之一的，视为串通投标，投标文件将被视为无效：</w:t>
      </w:r>
    </w:p>
    <w:p>
      <w:pPr>
        <w:pStyle w:val="154"/>
        <w:numPr>
          <w:ilvl w:val="0"/>
          <w:numId w:val="11"/>
        </w:numPr>
        <w:tabs>
          <w:tab w:val="left" w:pos="1470"/>
        </w:tabs>
        <w:spacing w:before="93" w:line="360" w:lineRule="auto"/>
        <w:ind w:firstLine="420"/>
        <w:rPr>
          <w:rFonts w:asciiTheme="minorEastAsia" w:hAnsiTheme="minorEastAsia" w:eastAsiaTheme="minorEastAsia" w:cstheme="minorEastAsia"/>
          <w:color w:val="auto"/>
          <w:szCs w:val="21"/>
          <w:highlight w:val="none"/>
        </w:rPr>
      </w:pPr>
      <w:bookmarkStart w:id="18" w:name="（1）不同投标人的投标文件由同一单位或者个人编制；"/>
      <w:bookmarkEnd w:id="18"/>
      <w:r>
        <w:rPr>
          <w:rFonts w:hint="eastAsia" w:asciiTheme="minorEastAsia" w:hAnsiTheme="minorEastAsia" w:eastAsiaTheme="minorEastAsia" w:cstheme="minorEastAsia"/>
          <w:color w:val="auto"/>
          <w:szCs w:val="21"/>
          <w:highlight w:val="none"/>
        </w:rPr>
        <w:t>不同投标人的投标文件由同一单位或者个人编制；</w:t>
      </w:r>
    </w:p>
    <w:p>
      <w:pPr>
        <w:pStyle w:val="154"/>
        <w:numPr>
          <w:ilvl w:val="0"/>
          <w:numId w:val="11"/>
        </w:numPr>
        <w:tabs>
          <w:tab w:val="left" w:pos="1470"/>
        </w:tabs>
        <w:spacing w:before="38" w:line="360" w:lineRule="auto"/>
        <w:ind w:firstLine="420"/>
        <w:rPr>
          <w:rFonts w:asciiTheme="minorEastAsia" w:hAnsiTheme="minorEastAsia" w:eastAsiaTheme="minorEastAsia" w:cstheme="minorEastAsia"/>
          <w:color w:val="auto"/>
          <w:sz w:val="24"/>
          <w:highlight w:val="none"/>
        </w:rPr>
      </w:pPr>
      <w:bookmarkStart w:id="19" w:name="（2）不同投标人委托同一单位或者个人办理投标事宜；"/>
      <w:bookmarkEnd w:id="19"/>
      <w:r>
        <w:rPr>
          <w:rFonts w:hint="eastAsia" w:asciiTheme="minorEastAsia" w:hAnsiTheme="minorEastAsia" w:eastAsiaTheme="minorEastAsia" w:cstheme="minorEastAsia"/>
          <w:color w:val="auto"/>
          <w:szCs w:val="21"/>
          <w:highlight w:val="none"/>
        </w:rPr>
        <w:t>不同投标人委托同一单位或者个人办理投标事宜；</w:t>
      </w:r>
      <w:bookmarkStart w:id="20" w:name="（3）不同的投标人的投标文件载明的项目管理员或者联系人员为同一个人；"/>
      <w:bookmarkEnd w:id="20"/>
    </w:p>
    <w:p>
      <w:pPr>
        <w:pStyle w:val="154"/>
        <w:numPr>
          <w:ilvl w:val="0"/>
          <w:numId w:val="11"/>
        </w:numPr>
        <w:tabs>
          <w:tab w:val="left" w:pos="1470"/>
        </w:tabs>
        <w:spacing w:before="38" w:line="360" w:lineRule="auto"/>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不同的投标人的投标文件载明的工程管理员或者联系人员为同一个人；</w:t>
      </w:r>
    </w:p>
    <w:p>
      <w:pPr>
        <w:pStyle w:val="154"/>
        <w:numPr>
          <w:ilvl w:val="0"/>
          <w:numId w:val="11"/>
        </w:numPr>
        <w:tabs>
          <w:tab w:val="left" w:pos="1470"/>
        </w:tabs>
        <w:spacing w:before="91" w:line="360" w:lineRule="auto"/>
        <w:ind w:firstLine="420"/>
        <w:rPr>
          <w:rFonts w:asciiTheme="minorEastAsia" w:hAnsiTheme="minorEastAsia" w:eastAsiaTheme="minorEastAsia" w:cstheme="minorEastAsia"/>
          <w:color w:val="auto"/>
          <w:szCs w:val="21"/>
          <w:highlight w:val="none"/>
        </w:rPr>
      </w:pPr>
      <w:bookmarkStart w:id="21" w:name="（4）不同投标人的投标文件异常一致或投标报价呈规律性差异；_"/>
      <w:bookmarkEnd w:id="21"/>
      <w:r>
        <w:rPr>
          <w:rFonts w:hint="eastAsia" w:asciiTheme="minorEastAsia" w:hAnsiTheme="minorEastAsia" w:eastAsiaTheme="minorEastAsia" w:cstheme="minorEastAsia"/>
          <w:color w:val="auto"/>
          <w:szCs w:val="21"/>
          <w:highlight w:val="none"/>
        </w:rPr>
        <w:t>不同投标人的投标文件异常一致或投标报价呈规律性差异；</w:t>
      </w:r>
    </w:p>
    <w:p>
      <w:pPr>
        <w:pStyle w:val="154"/>
        <w:tabs>
          <w:tab w:val="left" w:pos="1470"/>
        </w:tabs>
        <w:spacing w:before="94" w:line="360" w:lineRule="auto"/>
        <w:ind w:right="5509" w:firstLine="1854" w:firstLineChars="900"/>
        <w:rPr>
          <w:rFonts w:asciiTheme="minorEastAsia" w:hAnsiTheme="minorEastAsia" w:eastAsiaTheme="minorEastAsia" w:cstheme="minorEastAsia"/>
          <w:b/>
          <w:color w:val="auto"/>
          <w:szCs w:val="21"/>
          <w:highlight w:val="none"/>
        </w:rPr>
      </w:pPr>
      <w:bookmarkStart w:id="22" w:name="（5）不同投标人的投标文件相互混装；"/>
      <w:bookmarkEnd w:id="22"/>
      <w:r>
        <w:rPr>
          <w:rFonts w:hint="eastAsia" w:asciiTheme="minorEastAsia" w:hAnsiTheme="minorEastAsia" w:eastAsiaTheme="minorEastAsia" w:cstheme="minorEastAsia"/>
          <w:color w:val="auto"/>
          <w:spacing w:val="-2"/>
          <w:szCs w:val="21"/>
          <w:highlight w:val="none"/>
        </w:rPr>
        <w:t>（5）不同投标人的投标文件相互装；</w:t>
      </w:r>
      <w:bookmarkStart w:id="23" w:name="29.属于下列情形之一的，应予废标："/>
      <w:bookmarkEnd w:id="23"/>
      <w:r>
        <w:rPr>
          <w:rFonts w:hint="eastAsia" w:asciiTheme="minorEastAsia" w:hAnsiTheme="minorEastAsia" w:eastAsiaTheme="minorEastAsia" w:cstheme="minorEastAsia"/>
          <w:color w:val="auto"/>
          <w:spacing w:val="-2"/>
          <w:szCs w:val="21"/>
          <w:highlight w:val="none"/>
        </w:rPr>
        <w:t xml:space="preserve"> </w:t>
      </w:r>
    </w:p>
    <w:p>
      <w:pPr>
        <w:pStyle w:val="154"/>
        <w:tabs>
          <w:tab w:val="left" w:pos="1470"/>
        </w:tabs>
        <w:spacing w:before="94" w:line="360" w:lineRule="auto"/>
        <w:ind w:right="5509"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29.属于下列情形之一的，应予废标：</w:t>
      </w:r>
    </w:p>
    <w:p>
      <w:pPr>
        <w:pStyle w:val="154"/>
        <w:tabs>
          <w:tab w:val="left" w:pos="1446"/>
        </w:tabs>
        <w:spacing w:line="360" w:lineRule="auto"/>
        <w:ind w:firstLine="408"/>
        <w:rPr>
          <w:rFonts w:asciiTheme="minorEastAsia" w:hAnsiTheme="minorEastAsia" w:eastAsiaTheme="minorEastAsia" w:cstheme="minorEastAsia"/>
          <w:color w:val="auto"/>
          <w:szCs w:val="21"/>
          <w:highlight w:val="none"/>
        </w:rPr>
      </w:pPr>
      <w:bookmarkStart w:id="24" w:name="（1）符合专业条件的供应商或者对招标文件作实质响应的供应商不足3家的；"/>
      <w:bookmarkEnd w:id="24"/>
      <w:r>
        <w:rPr>
          <w:rFonts w:hint="eastAsia" w:asciiTheme="minorEastAsia" w:hAnsiTheme="minorEastAsia" w:eastAsiaTheme="minorEastAsia" w:cstheme="minorEastAsia"/>
          <w:color w:val="auto"/>
          <w:spacing w:val="-3"/>
          <w:szCs w:val="21"/>
          <w:highlight w:val="none"/>
        </w:rPr>
        <w:t xml:space="preserve">1、符合专业条件的供应商或者对招标文件作实质响应的供应商不足 </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pacing w:val="-15"/>
          <w:szCs w:val="21"/>
          <w:highlight w:val="none"/>
        </w:rPr>
        <w:t xml:space="preserve"> 家的；</w:t>
      </w:r>
    </w:p>
    <w:p>
      <w:pPr>
        <w:pStyle w:val="154"/>
        <w:tabs>
          <w:tab w:val="left" w:pos="1449"/>
        </w:tabs>
        <w:spacing w:before="93" w:line="360" w:lineRule="auto"/>
        <w:rPr>
          <w:rFonts w:asciiTheme="minorEastAsia" w:hAnsiTheme="minorEastAsia" w:eastAsiaTheme="minorEastAsia" w:cstheme="minorEastAsia"/>
          <w:color w:val="auto"/>
          <w:szCs w:val="21"/>
          <w:highlight w:val="none"/>
        </w:rPr>
      </w:pPr>
      <w:bookmarkStart w:id="25" w:name="（2）出现影响采购公正的违法、违规行为的；"/>
      <w:bookmarkEnd w:id="25"/>
      <w:r>
        <w:rPr>
          <w:rFonts w:hint="eastAsia" w:asciiTheme="minorEastAsia" w:hAnsiTheme="minorEastAsia" w:eastAsiaTheme="minorEastAsia" w:cstheme="minorEastAsia"/>
          <w:color w:val="auto"/>
          <w:szCs w:val="21"/>
          <w:highlight w:val="none"/>
        </w:rPr>
        <w:t>2、出现影响采购公正的违法、违规行为的；</w:t>
      </w:r>
    </w:p>
    <w:p>
      <w:pPr>
        <w:pStyle w:val="154"/>
        <w:tabs>
          <w:tab w:val="left" w:pos="1449"/>
        </w:tabs>
        <w:spacing w:before="93" w:line="360" w:lineRule="auto"/>
        <w:rPr>
          <w:rFonts w:asciiTheme="minorEastAsia" w:hAnsiTheme="minorEastAsia" w:eastAsiaTheme="minorEastAsia" w:cstheme="minorEastAsia"/>
          <w:color w:val="auto"/>
          <w:szCs w:val="21"/>
          <w:highlight w:val="none"/>
        </w:rPr>
      </w:pPr>
      <w:bookmarkStart w:id="26" w:name="（3）采购文件内容违反国家有关强制性规定的；"/>
      <w:bookmarkEnd w:id="26"/>
      <w:r>
        <w:rPr>
          <w:rFonts w:hint="eastAsia" w:asciiTheme="minorEastAsia" w:hAnsiTheme="minorEastAsia" w:eastAsiaTheme="minorEastAsia" w:cstheme="minorEastAsia"/>
          <w:color w:val="auto"/>
          <w:szCs w:val="21"/>
          <w:highlight w:val="none"/>
        </w:rPr>
        <w:t>3、采购文件内容违反国家有关强制性规定的；</w:t>
      </w:r>
    </w:p>
    <w:p>
      <w:pPr>
        <w:pStyle w:val="154"/>
        <w:tabs>
          <w:tab w:val="left" w:pos="1449"/>
        </w:tabs>
        <w:spacing w:before="91" w:line="360" w:lineRule="auto"/>
        <w:ind w:right="5770" w:firstLine="412"/>
        <w:rPr>
          <w:rFonts w:asciiTheme="minorEastAsia" w:hAnsiTheme="minorEastAsia" w:eastAsiaTheme="minorEastAsia" w:cstheme="minorEastAsia"/>
          <w:color w:val="auto"/>
          <w:spacing w:val="-2"/>
          <w:szCs w:val="21"/>
          <w:highlight w:val="none"/>
        </w:rPr>
      </w:pPr>
      <w:bookmarkStart w:id="27" w:name="（4）因重大变故，采购任务取消的。"/>
      <w:bookmarkEnd w:id="27"/>
      <w:r>
        <w:rPr>
          <w:rFonts w:hint="eastAsia" w:asciiTheme="minorEastAsia" w:hAnsiTheme="minorEastAsia" w:eastAsiaTheme="minorEastAsia" w:cstheme="minorEastAsia"/>
          <w:color w:val="auto"/>
          <w:spacing w:val="-2"/>
          <w:szCs w:val="21"/>
          <w:highlight w:val="none"/>
        </w:rPr>
        <w:t>4、因重大变故，采购任务取消的。</w:t>
      </w:r>
    </w:p>
    <w:p>
      <w:pPr>
        <w:pStyle w:val="154"/>
        <w:tabs>
          <w:tab w:val="left" w:pos="1449"/>
        </w:tabs>
        <w:spacing w:before="91" w:line="360" w:lineRule="auto"/>
        <w:ind w:right="5770" w:firstLine="482"/>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30.开标、评标过程的监控</w:t>
      </w:r>
    </w:p>
    <w:p>
      <w:pPr>
        <w:pStyle w:val="2"/>
        <w:spacing w:before="2" w:line="360" w:lineRule="auto"/>
        <w:ind w:right="776" w:firstLine="47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本工程开标、评标过程实行全程录音、录像监控，投标人在评标过程中所进行的试图影响评标结果的不公正活动，可能导致其投标被拒绝。</w:t>
      </w:r>
    </w:p>
    <w:p>
      <w:pPr>
        <w:pStyle w:val="8"/>
        <w:numPr>
          <w:ilvl w:val="5"/>
          <w:numId w:val="0"/>
        </w:numPr>
        <w:tabs>
          <w:tab w:val="left" w:pos="1230"/>
        </w:tabs>
        <w:spacing w:line="360" w:lineRule="auto"/>
        <w:ind w:firstLine="422"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31.信用查询</w:t>
      </w:r>
    </w:p>
    <w:p>
      <w:pPr>
        <w:pStyle w:val="2"/>
        <w:spacing w:before="93" w:line="360" w:lineRule="auto"/>
        <w:ind w:right="775" w:firstLine="47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根据《关于做好政府采购有关信用主体标识码登记及在政府采购活动中查询使用信用</w:t>
      </w:r>
      <w:r>
        <w:rPr>
          <w:rFonts w:hint="eastAsia" w:asciiTheme="minorEastAsia" w:hAnsiTheme="minorEastAsia" w:eastAsiaTheme="minorEastAsia" w:cstheme="minorEastAsia"/>
          <w:color w:val="auto"/>
          <w:spacing w:val="-2"/>
          <w:szCs w:val="21"/>
          <w:highlight w:val="none"/>
        </w:rPr>
        <w:t>记录有关问题的通知》桂财采〔</w:t>
      </w:r>
      <w:r>
        <w:rPr>
          <w:rFonts w:hint="eastAsia" w:asciiTheme="minorEastAsia" w:hAnsiTheme="minorEastAsia" w:eastAsiaTheme="minorEastAsia" w:cstheme="minorEastAsia"/>
          <w:color w:val="auto"/>
          <w:szCs w:val="21"/>
          <w:highlight w:val="none"/>
        </w:rPr>
        <w:t>2016</w:t>
      </w:r>
      <w:r>
        <w:rPr>
          <w:rFonts w:hint="eastAsia" w:asciiTheme="minorEastAsia" w:hAnsiTheme="minorEastAsia" w:eastAsiaTheme="minorEastAsia" w:cstheme="minorEastAsia"/>
          <w:color w:val="auto"/>
          <w:spacing w:val="-3"/>
          <w:szCs w:val="21"/>
          <w:highlight w:val="none"/>
        </w:rPr>
        <w:t>〕</w:t>
      </w:r>
      <w:r>
        <w:rPr>
          <w:rFonts w:hint="eastAsia" w:asciiTheme="minorEastAsia" w:hAnsiTheme="minorEastAsia" w:eastAsiaTheme="minorEastAsia" w:cstheme="minorEastAsia"/>
          <w:color w:val="auto"/>
          <w:szCs w:val="21"/>
          <w:highlight w:val="none"/>
        </w:rPr>
        <w:t>37</w:t>
      </w:r>
      <w:r>
        <w:rPr>
          <w:rFonts w:hint="eastAsia" w:asciiTheme="minorEastAsia" w:hAnsiTheme="minorEastAsia" w:eastAsiaTheme="minorEastAsia" w:cstheme="minorEastAsia"/>
          <w:color w:val="auto"/>
          <w:spacing w:val="-9"/>
          <w:szCs w:val="21"/>
          <w:highlight w:val="none"/>
        </w:rPr>
        <w:t xml:space="preserve"> 号的通知，中标通知书发出前，由采购代理机构</w:t>
      </w:r>
      <w:r>
        <w:rPr>
          <w:rFonts w:hint="eastAsia" w:asciiTheme="minorEastAsia" w:hAnsiTheme="minorEastAsia" w:eastAsiaTheme="minorEastAsia" w:cstheme="minorEastAsia"/>
          <w:color w:val="auto"/>
          <w:szCs w:val="21"/>
          <w:highlight w:val="none"/>
        </w:rPr>
        <w:t>对第一中标候选供应商进行信用查询：</w:t>
      </w:r>
    </w:p>
    <w:p>
      <w:pPr>
        <w:pStyle w:val="2"/>
        <w:spacing w:before="1" w:line="360" w:lineRule="auto"/>
        <w:ind w:right="774" w:firstLine="47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⑴ 查询渠道： “ 信用中国” 网站(www.creditchina.gov.cn) 、中国政府采购网(www.ccgp.gov.cn)等；</w:t>
      </w:r>
    </w:p>
    <w:p>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⑵查询截止时间：中标通知书发出前；</w:t>
      </w:r>
    </w:p>
    <w:p>
      <w:pPr>
        <w:pStyle w:val="2"/>
        <w:spacing w:before="93" w:line="360" w:lineRule="auto"/>
        <w:ind w:right="774" w:firstLine="47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⑶信用信息查询记录和证据留存方式：在查询网站中直接打印查询记录，打印材料作为采购活动资料保存；</w:t>
      </w:r>
    </w:p>
    <w:p>
      <w:pPr>
        <w:pStyle w:val="2"/>
        <w:spacing w:line="360" w:lineRule="auto"/>
        <w:ind w:right="775" w:firstLine="47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⑷信用信息使用规则：对在“信用中国”网站(www.creditchina.gov.cn)、中国政府采购网(www.ccgp.gov.cn)</w:t>
      </w:r>
      <w:r>
        <w:rPr>
          <w:rFonts w:hint="eastAsia" w:asciiTheme="minorEastAsia" w:hAnsiTheme="minorEastAsia" w:eastAsiaTheme="minorEastAsia" w:cstheme="minorEastAsia"/>
          <w:color w:val="auto"/>
          <w:spacing w:val="-7"/>
          <w:szCs w:val="21"/>
          <w:highlight w:val="none"/>
        </w:rPr>
        <w:t>等处被列入失信被执行人、重大税收违法案件当事人名单、政府</w:t>
      </w:r>
      <w:r>
        <w:rPr>
          <w:rFonts w:hint="eastAsia" w:asciiTheme="minorEastAsia" w:hAnsiTheme="minorEastAsia" w:eastAsiaTheme="minorEastAsia" w:cstheme="minorEastAsia"/>
          <w:color w:val="auto"/>
          <w:szCs w:val="21"/>
          <w:highlight w:val="none"/>
        </w:rPr>
        <w:t>采购严重违法失信行为记录名单及其他不符合《中华人民共和国政府采购法》第二十二条规定条件的供应商，取消其中标候选供应商资格。</w:t>
      </w:r>
    </w:p>
    <w:p>
      <w:pPr>
        <w:pStyle w:val="8"/>
        <w:numPr>
          <w:ilvl w:val="5"/>
          <w:numId w:val="0"/>
        </w:numPr>
        <w:tabs>
          <w:tab w:val="left" w:pos="1349"/>
        </w:tabs>
        <w:spacing w:before="2" w:line="360" w:lineRule="auto"/>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32.中标公告及中标通知书</w:t>
      </w:r>
    </w:p>
    <w:p>
      <w:pPr>
        <w:pStyle w:val="154"/>
        <w:tabs>
          <w:tab w:val="left" w:pos="1416"/>
        </w:tabs>
        <w:spacing w:before="91" w:line="360" w:lineRule="auto"/>
        <w:ind w:right="775" w:firstLine="41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2"/>
          <w:szCs w:val="21"/>
          <w:highlight w:val="none"/>
        </w:rPr>
        <w:t>32.1采购代理机构于评标结束后两个工作日内将评标报告送交采购人，采购人应当自</w:t>
      </w:r>
      <w:r>
        <w:rPr>
          <w:rFonts w:hint="eastAsia" w:asciiTheme="minorEastAsia" w:hAnsiTheme="minorEastAsia" w:eastAsiaTheme="minorEastAsia" w:cstheme="minorEastAsia"/>
          <w:color w:val="auto"/>
          <w:szCs w:val="21"/>
          <w:highlight w:val="none"/>
        </w:rPr>
        <w:t>收到评标报告五个工作日内在评标报告推荐的中标候选供应商中按顺序确定中标供应商； 采购代理机构在中标供应商确定之日起两个工作日内在指定媒体上公告中标结果，中标公</w:t>
      </w:r>
      <w:r>
        <w:rPr>
          <w:rFonts w:hint="eastAsia" w:asciiTheme="minorEastAsia" w:hAnsiTheme="minorEastAsia" w:eastAsiaTheme="minorEastAsia" w:cstheme="minorEastAsia"/>
          <w:color w:val="auto"/>
          <w:spacing w:val="-12"/>
          <w:szCs w:val="21"/>
          <w:highlight w:val="none"/>
        </w:rPr>
        <w:t xml:space="preserve">告期限为 </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pacing w:val="-10"/>
          <w:szCs w:val="21"/>
          <w:highlight w:val="none"/>
        </w:rPr>
        <w:t xml:space="preserve"> 个工作日。</w:t>
      </w:r>
    </w:p>
    <w:p>
      <w:pPr>
        <w:pStyle w:val="154"/>
        <w:tabs>
          <w:tab w:val="left" w:pos="1359"/>
        </w:tabs>
        <w:spacing w:before="2" w:line="360" w:lineRule="auto"/>
        <w:ind w:right="77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32.2中标公告同时采购代理机构向中标供应商发出中标通知书，中标供应商应自接到</w:t>
      </w:r>
      <w:r>
        <w:rPr>
          <w:rFonts w:hint="eastAsia" w:asciiTheme="minorEastAsia" w:hAnsiTheme="minorEastAsia" w:eastAsiaTheme="minorEastAsia" w:cstheme="minorEastAsia"/>
          <w:color w:val="auto"/>
          <w:szCs w:val="21"/>
          <w:highlight w:val="none"/>
        </w:rPr>
        <w:t>通知之日起七个工作日内，办理中标通知书领取手续。</w:t>
      </w: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七、履约保证金及签订合同</w:t>
      </w:r>
    </w:p>
    <w:p>
      <w:pPr>
        <w:pStyle w:val="154"/>
        <w:tabs>
          <w:tab w:val="left" w:pos="1241"/>
        </w:tabs>
        <w:spacing w:before="91" w:line="360" w:lineRule="auto"/>
        <w:ind w:firstLine="48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33.履约保证金</w:t>
      </w:r>
    </w:p>
    <w:p>
      <w:pPr>
        <w:pStyle w:val="154"/>
        <w:tabs>
          <w:tab w:val="left" w:pos="1421"/>
        </w:tabs>
        <w:spacing w:line="360" w:lineRule="auto"/>
        <w:ind w:right="77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33.1履约保证金的收取：详见投标人须知前附表33.1款</w:t>
      </w:r>
      <w:r>
        <w:rPr>
          <w:rFonts w:hint="eastAsia" w:asciiTheme="minorEastAsia" w:hAnsiTheme="minorEastAsia" w:eastAsiaTheme="minorEastAsia" w:cstheme="minorEastAsia"/>
          <w:color w:val="auto"/>
          <w:spacing w:val="-5"/>
          <w:highlight w:val="none"/>
        </w:rPr>
        <w:t>。</w:t>
      </w:r>
    </w:p>
    <w:p>
      <w:pPr>
        <w:pStyle w:val="154"/>
        <w:tabs>
          <w:tab w:val="left" w:pos="1421"/>
        </w:tabs>
        <w:spacing w:line="360" w:lineRule="auto"/>
        <w:ind w:right="776"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 xml:space="preserve">33.2如果中标供应商没能按上述第 </w:t>
      </w:r>
      <w:r>
        <w:rPr>
          <w:rFonts w:hint="eastAsia" w:asciiTheme="minorEastAsia" w:hAnsiTheme="minorEastAsia" w:eastAsiaTheme="minorEastAsia" w:cstheme="minorEastAsia"/>
          <w:color w:val="auto"/>
          <w:szCs w:val="21"/>
          <w:highlight w:val="none"/>
        </w:rPr>
        <w:t>33.1</w:t>
      </w:r>
      <w:r>
        <w:rPr>
          <w:rFonts w:hint="eastAsia" w:asciiTheme="minorEastAsia" w:hAnsiTheme="minorEastAsia" w:eastAsiaTheme="minorEastAsia" w:cstheme="minorEastAsia"/>
          <w:color w:val="auto"/>
          <w:spacing w:val="-5"/>
          <w:szCs w:val="21"/>
          <w:highlight w:val="none"/>
        </w:rPr>
        <w:t xml:space="preserve"> 款规定执行，采购人将上报兴安县政府采购管理办公室</w:t>
      </w:r>
      <w:r>
        <w:rPr>
          <w:rFonts w:hint="eastAsia" w:asciiTheme="minorEastAsia" w:hAnsiTheme="minorEastAsia" w:eastAsiaTheme="minorEastAsia" w:cstheme="minorEastAsia"/>
          <w:color w:val="auto"/>
          <w:spacing w:val="-6"/>
          <w:szCs w:val="21"/>
          <w:highlight w:val="none"/>
        </w:rPr>
        <w:t>，取消中标资格，并有权授予第二中标候选供应商为中标供应商资格或重新</w:t>
      </w:r>
      <w:r>
        <w:rPr>
          <w:rFonts w:hint="eastAsia" w:asciiTheme="minorEastAsia" w:hAnsiTheme="minorEastAsia" w:eastAsiaTheme="minorEastAsia" w:cstheme="minorEastAsia"/>
          <w:color w:val="auto"/>
          <w:szCs w:val="21"/>
          <w:highlight w:val="none"/>
        </w:rPr>
        <w:t>组织招标。</w:t>
      </w:r>
    </w:p>
    <w:p>
      <w:pPr>
        <w:pStyle w:val="154"/>
        <w:tabs>
          <w:tab w:val="left" w:pos="1419"/>
        </w:tabs>
        <w:spacing w:line="360" w:lineRule="auto"/>
        <w:ind w:right="655" w:firstLine="39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 xml:space="preserve">33.3工程完工验收合格后 </w:t>
      </w:r>
      <w:r>
        <w:rPr>
          <w:rFonts w:hint="eastAsia" w:asciiTheme="minorEastAsia" w:hAnsiTheme="minorEastAsia" w:eastAsiaTheme="minorEastAsia" w:cstheme="minorEastAsia"/>
          <w:color w:val="auto"/>
          <w:szCs w:val="21"/>
          <w:highlight w:val="none"/>
        </w:rPr>
        <w:t>28</w:t>
      </w:r>
      <w:r>
        <w:rPr>
          <w:rFonts w:hint="eastAsia" w:asciiTheme="minorEastAsia" w:hAnsiTheme="minorEastAsia" w:eastAsiaTheme="minorEastAsia" w:cstheme="minorEastAsia"/>
          <w:color w:val="auto"/>
          <w:spacing w:val="-9"/>
          <w:szCs w:val="21"/>
          <w:highlight w:val="none"/>
        </w:rPr>
        <w:t xml:space="preserve"> 日内，采购人将履约保证金</w:t>
      </w:r>
      <w:r>
        <w:rPr>
          <w:rFonts w:hint="eastAsia" w:asciiTheme="minorEastAsia" w:hAnsiTheme="minorEastAsia" w:eastAsiaTheme="minorEastAsia" w:cstheme="minorEastAsia"/>
          <w:color w:val="auto"/>
          <w:szCs w:val="21"/>
          <w:highlight w:val="none"/>
        </w:rPr>
        <w:t>（无息</w:t>
      </w:r>
      <w:r>
        <w:rPr>
          <w:rFonts w:hint="eastAsia" w:asciiTheme="minorEastAsia" w:hAnsiTheme="minorEastAsia" w:eastAsiaTheme="minorEastAsia" w:cstheme="minorEastAsia"/>
          <w:color w:val="auto"/>
          <w:spacing w:val="-5"/>
          <w:szCs w:val="21"/>
          <w:highlight w:val="none"/>
        </w:rPr>
        <w:t>）</w:t>
      </w:r>
      <w:r>
        <w:rPr>
          <w:rFonts w:hint="eastAsia" w:asciiTheme="minorEastAsia" w:hAnsiTheme="minorEastAsia" w:eastAsiaTheme="minorEastAsia" w:cstheme="minorEastAsia"/>
          <w:color w:val="auto"/>
          <w:spacing w:val="-2"/>
          <w:szCs w:val="21"/>
          <w:highlight w:val="none"/>
        </w:rPr>
        <w:t>退还给中标供应商。</w:t>
      </w:r>
      <w:r>
        <w:rPr>
          <w:rFonts w:hint="eastAsia" w:asciiTheme="minorEastAsia" w:hAnsiTheme="minorEastAsia" w:eastAsiaTheme="minorEastAsia" w:cstheme="minorEastAsia"/>
          <w:color w:val="auto"/>
          <w:szCs w:val="21"/>
          <w:highlight w:val="none"/>
        </w:rPr>
        <w:t>如中标供应商未按双方签订的合同规定履约，则没收其全部履约保证金，履约保证金不足以赔偿损失的，按实际损失赔偿。</w:t>
      </w:r>
    </w:p>
    <w:p>
      <w:pPr>
        <w:pStyle w:val="8"/>
        <w:numPr>
          <w:ilvl w:val="5"/>
          <w:numId w:val="0"/>
        </w:numPr>
        <w:tabs>
          <w:tab w:val="left" w:pos="1240"/>
        </w:tabs>
        <w:spacing w:before="1" w:line="360" w:lineRule="auto"/>
        <w:ind w:firstLine="422"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34.签订合同</w:t>
      </w:r>
    </w:p>
    <w:p>
      <w:pPr>
        <w:pStyle w:val="154"/>
        <w:tabs>
          <w:tab w:val="left" w:pos="1416"/>
        </w:tabs>
        <w:spacing w:before="93" w:line="360" w:lineRule="auto"/>
        <w:ind w:right="775" w:firstLine="40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szCs w:val="21"/>
          <w:highlight w:val="none"/>
        </w:rPr>
        <w:t>34.1签订合同时间：中标通知书发出之日起二十五日内。中标供应商领取中标通知书</w:t>
      </w:r>
      <w:r>
        <w:rPr>
          <w:rFonts w:hint="eastAsia" w:asciiTheme="minorEastAsia" w:hAnsiTheme="minorEastAsia" w:eastAsiaTheme="minorEastAsia" w:cstheme="minorEastAsia"/>
          <w:color w:val="auto"/>
          <w:szCs w:val="21"/>
          <w:highlight w:val="none"/>
        </w:rPr>
        <w:t>后，应按规定与采购人签订合同。</w:t>
      </w:r>
    </w:p>
    <w:p>
      <w:pPr>
        <w:pStyle w:val="154"/>
        <w:tabs>
          <w:tab w:val="left" w:pos="1416"/>
        </w:tabs>
        <w:spacing w:line="360" w:lineRule="auto"/>
        <w:ind w:right="775" w:firstLine="4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34.2如中标供应商有下列情形之一的，情节严重的，由财政部门将其列入不良行为记</w:t>
      </w:r>
      <w:r>
        <w:rPr>
          <w:rFonts w:hint="eastAsia" w:asciiTheme="minorEastAsia" w:hAnsiTheme="minorEastAsia" w:eastAsiaTheme="minorEastAsia" w:cstheme="minorEastAsia"/>
          <w:color w:val="auto"/>
          <w:szCs w:val="21"/>
          <w:highlight w:val="none"/>
        </w:rPr>
        <w:t>录名单，在一至三年内禁止参加政府采购活动，并予以通报。采购人或者采购代理机构可从评标委员会推荐的中标候选供应商中按顺序重新确定中标供应商或重新组织招标。</w:t>
      </w:r>
    </w:p>
    <w:p>
      <w:pPr>
        <w:pStyle w:val="154"/>
        <w:tabs>
          <w:tab w:val="left" w:pos="1357"/>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（1）中标后不与采购人签订合同的（不可抗力除外）；</w:t>
      </w:r>
    </w:p>
    <w:p>
      <w:pPr>
        <w:pStyle w:val="154"/>
        <w:tabs>
          <w:tab w:val="left" w:pos="1374"/>
        </w:tabs>
        <w:spacing w:before="94" w:line="360" w:lineRule="auto"/>
        <w:ind w:right="774" w:firstLine="41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szCs w:val="21"/>
          <w:highlight w:val="none"/>
        </w:rPr>
        <w:t>（2）将中标工程转让给他人，或者在投标文件中未说明，且未经采购人同意，将中标</w:t>
      </w:r>
      <w:r>
        <w:rPr>
          <w:rFonts w:hint="eastAsia" w:asciiTheme="minorEastAsia" w:hAnsiTheme="minorEastAsia" w:eastAsiaTheme="minorEastAsia" w:cstheme="minorEastAsia"/>
          <w:color w:val="auto"/>
          <w:szCs w:val="21"/>
          <w:highlight w:val="none"/>
        </w:rPr>
        <w:t>工程分包给他人的；</w:t>
      </w:r>
    </w:p>
    <w:p>
      <w:pPr>
        <w:pStyle w:val="154"/>
        <w:tabs>
          <w:tab w:val="left" w:pos="1357"/>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（3）拒绝履行合同义务的。</w:t>
      </w:r>
    </w:p>
    <w:p>
      <w:pPr>
        <w:pStyle w:val="154"/>
        <w:tabs>
          <w:tab w:val="left" w:pos="1419"/>
        </w:tabs>
        <w:spacing w:before="93" w:line="360" w:lineRule="auto"/>
        <w:ind w:right="775" w:firstLine="39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 xml:space="preserve">34.3合同备案存档：政府采购合同双方自签订之日起 </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pacing w:val="-9"/>
          <w:szCs w:val="21"/>
          <w:highlight w:val="none"/>
        </w:rPr>
        <w:t xml:space="preserve"> 个工作日内将</w:t>
      </w:r>
      <w:r>
        <w:rPr>
          <w:rFonts w:hint="eastAsia" w:asciiTheme="minorEastAsia" w:hAnsiTheme="minorEastAsia" w:eastAsiaTheme="minorEastAsia" w:cstheme="minorEastAsia"/>
          <w:color w:val="auto"/>
          <w:szCs w:val="21"/>
          <w:highlight w:val="none"/>
        </w:rPr>
        <w:t>政府采购合同在省级以上人民政府财政部门</w:t>
      </w:r>
      <w:r>
        <w:rPr>
          <w:rFonts w:hint="eastAsia" w:asciiTheme="minorEastAsia" w:hAnsiTheme="minorEastAsia" w:eastAsiaTheme="minorEastAsia" w:cstheme="minorEastAsia"/>
          <w:color w:val="auto"/>
          <w:spacing w:val="-3"/>
          <w:szCs w:val="21"/>
          <w:highlight w:val="none"/>
        </w:rPr>
        <w:t xml:space="preserve">指定媒体上公告（可委托采购代理机构办理并向其提供相关合同资料），并于合同签订之日起 </w:t>
      </w: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pacing w:val="-7"/>
          <w:szCs w:val="21"/>
          <w:highlight w:val="none"/>
        </w:rPr>
        <w:t xml:space="preserve"> 个工作日内将一份合同原件送兴安县政府采购管理办公室备案，一份由采购代理机构存档。</w:t>
      </w:r>
    </w:p>
    <w:p>
      <w:pPr>
        <w:spacing w:line="360" w:lineRule="auto"/>
        <w:rPr>
          <w:rFonts w:asciiTheme="minorEastAsia" w:hAnsiTheme="minorEastAsia" w:eastAsiaTheme="minorEastAsia" w:cstheme="minorEastAsia"/>
          <w:color w:val="auto"/>
          <w:sz w:val="24"/>
          <w:highlight w:val="none"/>
        </w:rPr>
        <w:sectPr>
          <w:pgSz w:w="12240" w:h="15840"/>
          <w:pgMar w:top="1460" w:right="640" w:bottom="920" w:left="1020" w:header="0" w:footer="735" w:gutter="0"/>
          <w:cols w:space="720" w:num="1"/>
        </w:sectPr>
      </w:pPr>
    </w:p>
    <w:p>
      <w:pPr>
        <w:spacing w:before="193" w:line="360" w:lineRule="auto"/>
        <w:ind w:left="4474"/>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八、其他事项</w:t>
      </w:r>
    </w:p>
    <w:p>
      <w:pPr>
        <w:pStyle w:val="2"/>
        <w:spacing w:line="360" w:lineRule="auto"/>
        <w:jc w:val="center"/>
        <w:rPr>
          <w:rFonts w:asciiTheme="minorEastAsia" w:hAnsiTheme="minorEastAsia" w:eastAsiaTheme="minorEastAsia" w:cstheme="minorEastAsia"/>
          <w:color w:val="auto"/>
          <w:highlight w:val="none"/>
        </w:rPr>
      </w:pPr>
    </w:p>
    <w:p>
      <w:pPr>
        <w:pStyle w:val="8"/>
        <w:numPr>
          <w:ilvl w:val="5"/>
          <w:numId w:val="0"/>
        </w:numPr>
        <w:tabs>
          <w:tab w:val="left" w:pos="1361"/>
        </w:tabs>
        <w:spacing w:before="169" w:line="360" w:lineRule="auto"/>
        <w:ind w:firstLine="482" w:firstLineChars="200"/>
        <w:jc w:val="left"/>
        <w:rPr>
          <w:rFonts w:asciiTheme="minorEastAsia" w:hAnsiTheme="minorEastAsia" w:eastAsiaTheme="minorEastAsia" w:cstheme="minorEastAsia"/>
          <w:color w:val="auto"/>
          <w:sz w:val="28"/>
          <w:highlight w:val="none"/>
        </w:rPr>
      </w:pPr>
      <w:bookmarkStart w:id="28" w:name="第三章_服务采购需求"/>
      <w:bookmarkEnd w:id="28"/>
      <w:r>
        <w:rPr>
          <w:rFonts w:hint="eastAsia" w:asciiTheme="minorEastAsia" w:hAnsiTheme="minorEastAsia" w:eastAsiaTheme="minorEastAsia" w:cstheme="minorEastAsia"/>
          <w:color w:val="auto"/>
          <w:highlight w:val="none"/>
        </w:rPr>
        <w:t>35.招标代理服务费</w:t>
      </w:r>
    </w:p>
    <w:p>
      <w:pPr>
        <w:pStyle w:val="2"/>
        <w:spacing w:after="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本工程代理服务费标准参照计价格[2002]1980</w:t>
      </w:r>
      <w:r>
        <w:rPr>
          <w:rFonts w:hint="eastAsia" w:asciiTheme="minorEastAsia" w:hAnsiTheme="minorEastAsia" w:eastAsiaTheme="minorEastAsia" w:cstheme="minorEastAsia"/>
          <w:color w:val="auto"/>
          <w:spacing w:val="-9"/>
          <w:szCs w:val="21"/>
          <w:highlight w:val="none"/>
        </w:rPr>
        <w:t xml:space="preserve"> 号《招标代理服务收费管理暂行办法》</w:t>
      </w:r>
      <w:r>
        <w:rPr>
          <w:rFonts w:hint="eastAsia" w:asciiTheme="minorEastAsia" w:hAnsiTheme="minorEastAsia" w:eastAsiaTheme="minorEastAsia" w:cstheme="minorEastAsia"/>
          <w:color w:val="auto"/>
          <w:szCs w:val="21"/>
          <w:highlight w:val="none"/>
        </w:rPr>
        <w:t>收费标准中</w:t>
      </w:r>
      <w:r>
        <w:rPr>
          <w:rFonts w:hint="eastAsia" w:asciiTheme="minorEastAsia" w:hAnsiTheme="minorEastAsia" w:eastAsiaTheme="minorEastAsia" w:cstheme="minorEastAsia"/>
          <w:color w:val="auto"/>
          <w:szCs w:val="21"/>
          <w:highlight w:val="none"/>
          <w:lang w:eastAsia="zh-CN"/>
        </w:rPr>
        <w:t>货物</w:t>
      </w:r>
      <w:r>
        <w:rPr>
          <w:rFonts w:hint="eastAsia" w:asciiTheme="minorEastAsia" w:hAnsiTheme="minorEastAsia" w:eastAsiaTheme="minorEastAsia" w:cstheme="minorEastAsia"/>
          <w:color w:val="auto"/>
          <w:szCs w:val="21"/>
          <w:highlight w:val="none"/>
        </w:rPr>
        <w:t>类收费标准计算，由中标供应商在领取中标通知书前，向广西汇益招标咨询有限公司一次性支付。</w:t>
      </w:r>
    </w:p>
    <w:p>
      <w:pPr>
        <w:pStyle w:val="2"/>
        <w:spacing w:after="0" w:line="360" w:lineRule="auto"/>
        <w:ind w:firstLine="420" w:firstLineChars="2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采购代理服务收费标准</w:t>
      </w:r>
    </w:p>
    <w:tbl>
      <w:tblPr>
        <w:tblStyle w:val="50"/>
        <w:tblpPr w:leftFromText="180" w:rightFromText="180" w:vertAnchor="text" w:horzAnchor="page" w:tblpX="1599" w:tblpY="336"/>
        <w:tblOverlap w:val="never"/>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835"/>
        <w:gridCol w:w="1987"/>
        <w:gridCol w:w="2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2872" w:type="dxa"/>
          </w:tcPr>
          <w:p>
            <w:pPr>
              <w:pStyle w:val="527"/>
              <w:tabs>
                <w:tab w:val="left" w:pos="1707"/>
              </w:tabs>
              <w:spacing w:before="109"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费率</w:t>
            </w:r>
            <w:r>
              <w:rPr>
                <w:rFonts w:hint="eastAsia" w:asciiTheme="minorEastAsia" w:hAnsiTheme="minorEastAsia" w:eastAsiaTheme="minorEastAsia" w:cstheme="minorEastAsia"/>
                <w:color w:val="auto"/>
                <w:sz w:val="21"/>
                <w:highlight w:val="none"/>
              </w:rPr>
              <w:tab/>
            </w:r>
            <w:r>
              <w:rPr>
                <w:rFonts w:hint="eastAsia" w:asciiTheme="minorEastAsia" w:hAnsiTheme="minorEastAsia" w:eastAsiaTheme="minorEastAsia" w:cstheme="minorEastAsia"/>
                <w:color w:val="auto"/>
                <w:sz w:val="21"/>
                <w:highlight w:val="none"/>
              </w:rPr>
              <w:t>服务类型</w:t>
            </w:r>
          </w:p>
          <w:p>
            <w:pPr>
              <w:pStyle w:val="527"/>
              <w:spacing w:line="360" w:lineRule="auto"/>
              <w:rPr>
                <w:rFonts w:asciiTheme="minorEastAsia" w:hAnsiTheme="minorEastAsia" w:eastAsiaTheme="minorEastAsia" w:cstheme="minorEastAsia"/>
                <w:color w:val="auto"/>
                <w:sz w:val="20"/>
                <w:highlight w:val="none"/>
              </w:rPr>
            </w:pPr>
          </w:p>
          <w:p>
            <w:pPr>
              <w:pStyle w:val="527"/>
              <w:spacing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成交金额（万元）</w:t>
            </w:r>
          </w:p>
        </w:tc>
        <w:tc>
          <w:tcPr>
            <w:tcW w:w="1835" w:type="dxa"/>
          </w:tcPr>
          <w:p>
            <w:pPr>
              <w:pStyle w:val="527"/>
              <w:spacing w:line="360" w:lineRule="auto"/>
              <w:rPr>
                <w:rFonts w:asciiTheme="minorEastAsia" w:hAnsiTheme="minorEastAsia" w:eastAsiaTheme="minorEastAsia" w:cstheme="minorEastAsia"/>
                <w:color w:val="auto"/>
                <w:sz w:val="20"/>
                <w:highlight w:val="none"/>
              </w:rPr>
            </w:pPr>
          </w:p>
          <w:p>
            <w:pPr>
              <w:pStyle w:val="527"/>
              <w:spacing w:before="10" w:line="360" w:lineRule="auto"/>
              <w:rPr>
                <w:rFonts w:asciiTheme="minorEastAsia" w:hAnsiTheme="minorEastAsia" w:eastAsiaTheme="minorEastAsia" w:cstheme="minorEastAsia"/>
                <w:color w:val="auto"/>
                <w:sz w:val="19"/>
                <w:highlight w:val="none"/>
              </w:rPr>
            </w:pPr>
          </w:p>
          <w:p>
            <w:pPr>
              <w:pStyle w:val="527"/>
              <w:spacing w:line="360" w:lineRule="auto"/>
              <w:ind w:left="489" w:right="45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货物招标</w:t>
            </w:r>
          </w:p>
        </w:tc>
        <w:tc>
          <w:tcPr>
            <w:tcW w:w="1987" w:type="dxa"/>
          </w:tcPr>
          <w:p>
            <w:pPr>
              <w:pStyle w:val="527"/>
              <w:spacing w:line="360" w:lineRule="auto"/>
              <w:rPr>
                <w:rFonts w:asciiTheme="minorEastAsia" w:hAnsiTheme="minorEastAsia" w:eastAsiaTheme="minorEastAsia" w:cstheme="minorEastAsia"/>
                <w:color w:val="auto"/>
                <w:sz w:val="20"/>
                <w:highlight w:val="none"/>
              </w:rPr>
            </w:pPr>
          </w:p>
          <w:p>
            <w:pPr>
              <w:pStyle w:val="527"/>
              <w:spacing w:before="10" w:line="360" w:lineRule="auto"/>
              <w:rPr>
                <w:rFonts w:asciiTheme="minorEastAsia" w:hAnsiTheme="minorEastAsia" w:eastAsiaTheme="minorEastAsia" w:cstheme="minorEastAsia"/>
                <w:color w:val="auto"/>
                <w:sz w:val="19"/>
                <w:highlight w:val="none"/>
              </w:rPr>
            </w:pPr>
          </w:p>
          <w:p>
            <w:pPr>
              <w:pStyle w:val="527"/>
              <w:spacing w:line="360" w:lineRule="auto"/>
              <w:ind w:left="565" w:right="532"/>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服务招标</w:t>
            </w:r>
          </w:p>
        </w:tc>
        <w:tc>
          <w:tcPr>
            <w:tcW w:w="2286" w:type="dxa"/>
          </w:tcPr>
          <w:p>
            <w:pPr>
              <w:pStyle w:val="527"/>
              <w:spacing w:line="360" w:lineRule="auto"/>
              <w:rPr>
                <w:rFonts w:asciiTheme="minorEastAsia" w:hAnsiTheme="minorEastAsia" w:eastAsiaTheme="minorEastAsia" w:cstheme="minorEastAsia"/>
                <w:color w:val="auto"/>
                <w:sz w:val="20"/>
                <w:highlight w:val="none"/>
              </w:rPr>
            </w:pPr>
          </w:p>
          <w:p>
            <w:pPr>
              <w:pStyle w:val="527"/>
              <w:spacing w:before="10" w:line="360" w:lineRule="auto"/>
              <w:rPr>
                <w:rFonts w:asciiTheme="minorEastAsia" w:hAnsiTheme="minorEastAsia" w:eastAsiaTheme="minorEastAsia" w:cstheme="minorEastAsia"/>
                <w:color w:val="auto"/>
                <w:sz w:val="19"/>
                <w:highlight w:val="none"/>
              </w:rPr>
            </w:pPr>
          </w:p>
          <w:p>
            <w:pPr>
              <w:pStyle w:val="527"/>
              <w:spacing w:line="360" w:lineRule="auto"/>
              <w:ind w:left="714" w:right="682"/>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872" w:type="dxa"/>
          </w:tcPr>
          <w:p>
            <w:pPr>
              <w:pStyle w:val="527"/>
              <w:spacing w:before="111"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100 以下</w:t>
            </w:r>
          </w:p>
        </w:tc>
        <w:tc>
          <w:tcPr>
            <w:tcW w:w="1835" w:type="dxa"/>
          </w:tcPr>
          <w:p>
            <w:pPr>
              <w:pStyle w:val="527"/>
              <w:spacing w:before="111" w:line="360" w:lineRule="auto"/>
              <w:ind w:left="489" w:right="45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w:t>
            </w:r>
          </w:p>
        </w:tc>
        <w:tc>
          <w:tcPr>
            <w:tcW w:w="1987" w:type="dxa"/>
          </w:tcPr>
          <w:p>
            <w:pPr>
              <w:pStyle w:val="527"/>
              <w:spacing w:before="111" w:line="360" w:lineRule="auto"/>
              <w:ind w:left="565" w:right="53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w:t>
            </w:r>
          </w:p>
        </w:tc>
        <w:tc>
          <w:tcPr>
            <w:tcW w:w="2286" w:type="dxa"/>
          </w:tcPr>
          <w:p>
            <w:pPr>
              <w:pStyle w:val="527"/>
              <w:spacing w:before="111" w:line="360" w:lineRule="auto"/>
              <w:ind w:left="714" w:right="68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527"/>
              <w:spacing w:before="109"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100-500</w:t>
            </w:r>
          </w:p>
        </w:tc>
        <w:tc>
          <w:tcPr>
            <w:tcW w:w="1835" w:type="dxa"/>
          </w:tcPr>
          <w:p>
            <w:pPr>
              <w:pStyle w:val="527"/>
              <w:spacing w:before="109" w:line="360" w:lineRule="auto"/>
              <w:ind w:left="489" w:right="45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w:t>
            </w:r>
          </w:p>
        </w:tc>
        <w:tc>
          <w:tcPr>
            <w:tcW w:w="1987" w:type="dxa"/>
          </w:tcPr>
          <w:p>
            <w:pPr>
              <w:pStyle w:val="527"/>
              <w:spacing w:before="109" w:line="360" w:lineRule="auto"/>
              <w:ind w:left="565" w:right="53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0.8%</w:t>
            </w:r>
          </w:p>
        </w:tc>
        <w:tc>
          <w:tcPr>
            <w:tcW w:w="2286" w:type="dxa"/>
          </w:tcPr>
          <w:p>
            <w:pPr>
              <w:pStyle w:val="527"/>
              <w:spacing w:before="109" w:line="360" w:lineRule="auto"/>
              <w:ind w:left="714" w:right="68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527"/>
              <w:spacing w:before="109"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500-1000</w:t>
            </w:r>
          </w:p>
        </w:tc>
        <w:tc>
          <w:tcPr>
            <w:tcW w:w="1835" w:type="dxa"/>
          </w:tcPr>
          <w:p>
            <w:pPr>
              <w:pStyle w:val="527"/>
              <w:spacing w:before="109" w:line="360" w:lineRule="auto"/>
              <w:ind w:left="489" w:right="45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0.8%</w:t>
            </w:r>
          </w:p>
        </w:tc>
        <w:tc>
          <w:tcPr>
            <w:tcW w:w="1987" w:type="dxa"/>
          </w:tcPr>
          <w:p>
            <w:pPr>
              <w:pStyle w:val="527"/>
              <w:spacing w:before="109" w:line="360" w:lineRule="auto"/>
              <w:ind w:left="563" w:right="532"/>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0.45%</w:t>
            </w:r>
          </w:p>
        </w:tc>
        <w:tc>
          <w:tcPr>
            <w:tcW w:w="2286" w:type="dxa"/>
          </w:tcPr>
          <w:p>
            <w:pPr>
              <w:pStyle w:val="527"/>
              <w:spacing w:before="109" w:line="360" w:lineRule="auto"/>
              <w:ind w:left="714" w:right="6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527"/>
              <w:spacing w:before="109"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1000-5000</w:t>
            </w:r>
          </w:p>
        </w:tc>
        <w:tc>
          <w:tcPr>
            <w:tcW w:w="1835" w:type="dxa"/>
          </w:tcPr>
          <w:p>
            <w:pPr>
              <w:pStyle w:val="527"/>
              <w:spacing w:before="109" w:line="360" w:lineRule="auto"/>
              <w:ind w:left="489" w:right="454"/>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0.5%</w:t>
            </w:r>
          </w:p>
        </w:tc>
        <w:tc>
          <w:tcPr>
            <w:tcW w:w="1987" w:type="dxa"/>
          </w:tcPr>
          <w:p>
            <w:pPr>
              <w:pStyle w:val="527"/>
              <w:spacing w:before="109" w:line="360" w:lineRule="auto"/>
              <w:ind w:left="563" w:right="532"/>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0.25%</w:t>
            </w:r>
          </w:p>
        </w:tc>
        <w:tc>
          <w:tcPr>
            <w:tcW w:w="2286" w:type="dxa"/>
          </w:tcPr>
          <w:p>
            <w:pPr>
              <w:pStyle w:val="527"/>
              <w:spacing w:before="109" w:line="360" w:lineRule="auto"/>
              <w:ind w:left="714" w:right="679"/>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72" w:type="dxa"/>
          </w:tcPr>
          <w:p>
            <w:pPr>
              <w:pStyle w:val="527"/>
              <w:spacing w:before="110" w:line="360" w:lineRule="auto"/>
              <w:ind w:left="133"/>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5000-10000</w:t>
            </w:r>
          </w:p>
        </w:tc>
        <w:tc>
          <w:tcPr>
            <w:tcW w:w="1835" w:type="dxa"/>
          </w:tcPr>
          <w:p>
            <w:pPr>
              <w:pStyle w:val="527"/>
              <w:spacing w:before="110" w:line="360" w:lineRule="auto"/>
              <w:ind w:left="488" w:right="455"/>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0.25%</w:t>
            </w:r>
          </w:p>
        </w:tc>
        <w:tc>
          <w:tcPr>
            <w:tcW w:w="1987" w:type="dxa"/>
          </w:tcPr>
          <w:p>
            <w:pPr>
              <w:pStyle w:val="527"/>
              <w:spacing w:before="110" w:line="360" w:lineRule="auto"/>
              <w:ind w:left="565" w:right="53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0.1%</w:t>
            </w:r>
          </w:p>
        </w:tc>
        <w:tc>
          <w:tcPr>
            <w:tcW w:w="2286" w:type="dxa"/>
          </w:tcPr>
          <w:p>
            <w:pPr>
              <w:pStyle w:val="527"/>
              <w:spacing w:before="110" w:line="360" w:lineRule="auto"/>
              <w:ind w:left="714" w:right="681"/>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0.2%</w:t>
            </w:r>
          </w:p>
        </w:tc>
      </w:tr>
    </w:tbl>
    <w:p>
      <w:pPr>
        <w:pStyle w:val="2"/>
        <w:spacing w:after="12" w:line="360" w:lineRule="auto"/>
        <w:ind w:right="37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mc:AlternateContent>
          <mc:Choice Requires="wps">
            <w:drawing>
              <wp:anchor distT="0" distB="0" distL="114300" distR="114300" simplePos="0" relativeHeight="251659264" behindDoc="1" locked="0" layoutInCell="1" allowOverlap="1">
                <wp:simplePos x="0" y="0"/>
                <wp:positionH relativeFrom="page">
                  <wp:posOffset>1012825</wp:posOffset>
                </wp:positionH>
                <wp:positionV relativeFrom="paragraph">
                  <wp:posOffset>224155</wp:posOffset>
                </wp:positionV>
                <wp:extent cx="1831340" cy="593725"/>
                <wp:effectExtent l="0" t="0" r="16510" b="15875"/>
                <wp:wrapNone/>
                <wp:docPr id="7" name="自选图形 2"/>
                <wp:cNvGraphicFramePr/>
                <a:graphic xmlns:a="http://schemas.openxmlformats.org/drawingml/2006/main">
                  <a:graphicData uri="http://schemas.microsoft.com/office/word/2010/wordprocessingShape">
                    <wps:wsp>
                      <wps:cNvSpPr/>
                      <wps:spPr>
                        <a:xfrm>
                          <a:off x="0" y="0"/>
                          <a:ext cx="1831340" cy="593725"/>
                        </a:xfrm>
                        <a:custGeom>
                          <a:avLst/>
                          <a:gdLst/>
                          <a:ahLst/>
                          <a:cxnLst/>
                          <a:rect l="0" t="0" r="0" b="0"/>
                          <a:pathLst>
                            <a:path w="2884" h="935">
                              <a:moveTo>
                                <a:pt x="2882" y="920"/>
                              </a:moveTo>
                              <a:lnTo>
                                <a:pt x="2" y="431"/>
                              </a:lnTo>
                              <a:lnTo>
                                <a:pt x="0" y="446"/>
                              </a:lnTo>
                              <a:lnTo>
                                <a:pt x="2880" y="935"/>
                              </a:lnTo>
                              <a:lnTo>
                                <a:pt x="2882" y="920"/>
                              </a:lnTo>
                              <a:moveTo>
                                <a:pt x="2883" y="835"/>
                              </a:moveTo>
                              <a:lnTo>
                                <a:pt x="444" y="0"/>
                              </a:lnTo>
                              <a:lnTo>
                                <a:pt x="440" y="14"/>
                              </a:lnTo>
                              <a:lnTo>
                                <a:pt x="2879" y="849"/>
                              </a:lnTo>
                              <a:lnTo>
                                <a:pt x="2883" y="835"/>
                              </a:lnTo>
                            </a:path>
                          </a:pathLst>
                        </a:custGeom>
                        <a:solidFill>
                          <a:srgbClr val="000000"/>
                        </a:solidFill>
                        <a:ln>
                          <a:noFill/>
                        </a:ln>
                      </wps:spPr>
                      <wps:txbx>
                        <w:txbxContent>
                          <w:p/>
                        </w:txbxContent>
                      </wps:txbx>
                      <wps:bodyPr upright="1"/>
                    </wps:wsp>
                  </a:graphicData>
                </a:graphic>
              </wp:anchor>
            </w:drawing>
          </mc:Choice>
          <mc:Fallback>
            <w:pict>
              <v:shape id="自选图形 2" o:spid="_x0000_s1026" o:spt="100" style="position:absolute;left:0pt;margin-left:79.75pt;margin-top:17.65pt;height:46.75pt;width:144.2pt;mso-position-horizontal-relative:page;z-index:-251657216;mso-width-relative:page;mso-height-relative:page;" fillcolor="#000000" filled="t" stroked="f" coordsize="2884,935" o:gfxdata="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jQ4tjZ&#10;AAAACgEAAA8AAAAAAAAAAQAgAAAAIgAAAGRycy9kb3ducmV2LnhtbFBLAQIUABQAAAAIAIdO4kBW&#10;S8SQWAIAAHQFAAAOAAAAAAAAAAEAIAAAACgBAABkcnMvZTJvRG9jLnhtbFBLBQYAAAAABgAGAFkB&#10;AADyBQAAAAA=&#10;" path="m2882,920l2,431,0,446,2880,935,2882,920m2883,835l444,0,440,14,2879,849,2883,835e">
                <v:path textboxrect="0,0,2884,935"/>
                <v:fill on="t" focussize="0,0"/>
                <v:stroke on="f"/>
                <v:imagedata o:title=""/>
                <o:lock v:ext="edit" aspectratio="f"/>
                <v:textbox>
                  <w:txbxContent>
                    <w:p/>
                  </w:txbxContent>
                </v:textbox>
              </v:shape>
            </w:pict>
          </mc:Fallback>
        </mc:AlternateContent>
      </w:r>
    </w:p>
    <w:p>
      <w:pPr>
        <w:spacing w:before="80" w:line="360" w:lineRule="auto"/>
        <w:ind w:left="876" w:right="2484" w:right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注：采购代理服务收费按差额定率累进法计算。</w:t>
      </w:r>
    </w:p>
    <w:p>
      <w:pPr>
        <w:spacing w:before="80" w:line="360" w:lineRule="auto"/>
        <w:ind w:right="4663"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36.招标代理服务费缴纳账户：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账户名称：</w:t>
      </w:r>
      <w:r>
        <w:rPr>
          <w:rFonts w:hint="eastAsia" w:asciiTheme="minorEastAsia" w:hAnsiTheme="minorEastAsia" w:eastAsiaTheme="minorEastAsia" w:cstheme="minorEastAsia"/>
          <w:color w:val="auto"/>
          <w:szCs w:val="21"/>
          <w:highlight w:val="none"/>
        </w:rPr>
        <w:t>广西汇益招标咨询有限公司</w:t>
      </w:r>
    </w:p>
    <w:p>
      <w:pPr>
        <w:pStyle w:val="154"/>
        <w:tabs>
          <w:tab w:val="left" w:pos="1361"/>
        </w:tabs>
        <w:spacing w:before="15" w:line="360" w:lineRule="auto"/>
        <w:ind w:right="76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开户银行：桂林银行叠彩支行  </w:t>
      </w:r>
    </w:p>
    <w:p>
      <w:pPr>
        <w:pStyle w:val="154"/>
        <w:tabs>
          <w:tab w:val="left" w:pos="1361"/>
        </w:tabs>
        <w:spacing w:before="15" w:line="360" w:lineRule="auto"/>
        <w:ind w:right="76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银行账号： </w:t>
      </w:r>
      <w:r>
        <w:rPr>
          <w:rFonts w:hint="eastAsia" w:asciiTheme="minorEastAsia" w:hAnsiTheme="minorEastAsia" w:eastAsiaTheme="minorEastAsia" w:cstheme="minorEastAsia"/>
          <w:color w:val="auto"/>
          <w:szCs w:val="21"/>
          <w:highlight w:val="none"/>
        </w:rPr>
        <w:t xml:space="preserve">6600 1001 0008 1000 20 </w:t>
      </w:r>
    </w:p>
    <w:p>
      <w:pPr>
        <w:pStyle w:val="2"/>
        <w:spacing w:after="0"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37.解释权</w:t>
      </w:r>
      <w:r>
        <w:rPr>
          <w:rFonts w:hint="eastAsia" w:asciiTheme="minorEastAsia" w:hAnsiTheme="minorEastAsia" w:eastAsiaTheme="minorEastAsia" w:cstheme="minorEastAsia"/>
          <w:color w:val="auto"/>
          <w:szCs w:val="21"/>
          <w:highlight w:val="none"/>
        </w:rPr>
        <w:t>：本招标文件是根据《中华人民共和国政府采购法》、《中华人民共和国政府采购法实施条例》及财政部令第 87 号《政府采购货物和服务招标投标管理办法》等相关规定编制，本招标文件的解释权属于采购代理机构。</w:t>
      </w:r>
    </w:p>
    <w:p>
      <w:pPr>
        <w:pStyle w:val="154"/>
        <w:tabs>
          <w:tab w:val="left" w:pos="220"/>
        </w:tabs>
        <w:spacing w:before="1" w:line="360" w:lineRule="auto"/>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38.监督管理机构：</w:t>
      </w:r>
      <w:r>
        <w:rPr>
          <w:rFonts w:hint="eastAsia" w:asciiTheme="minorEastAsia" w:hAnsiTheme="minorEastAsia" w:eastAsiaTheme="minorEastAsia" w:cstheme="minorEastAsia"/>
          <w:color w:val="auto"/>
          <w:spacing w:val="5"/>
          <w:szCs w:val="21"/>
          <w:highlight w:val="none"/>
        </w:rPr>
        <w:t>兴安县人民政府采购监督管理办公室 电话</w:t>
      </w:r>
      <w:r>
        <w:rPr>
          <w:rFonts w:hint="eastAsia" w:asciiTheme="minorEastAsia" w:hAnsiTheme="minorEastAsia" w:eastAsiaTheme="minorEastAsia" w:cstheme="minorEastAsia"/>
          <w:color w:val="auto"/>
          <w:szCs w:val="21"/>
          <w:highlight w:val="none"/>
        </w:rPr>
        <w:t xml:space="preserve">：0773-6220651   </w:t>
      </w:r>
    </w:p>
    <w:p>
      <w:pPr>
        <w:widowControl/>
        <w:jc w:val="left"/>
        <w:rPr>
          <w:rFonts w:asciiTheme="minorEastAsia" w:hAnsiTheme="minorEastAsia" w:eastAsiaTheme="minorEastAsia" w:cstheme="minorEastAsia"/>
          <w:b/>
          <w:bCs/>
          <w:color w:val="auto"/>
          <w:sz w:val="36"/>
          <w:szCs w:val="36"/>
          <w:highlight w:val="none"/>
        </w:rPr>
      </w:pPr>
      <w:bookmarkStart w:id="29" w:name="_Toc2484"/>
      <w:r>
        <w:rPr>
          <w:rFonts w:asciiTheme="minorEastAsia" w:hAnsiTheme="minorEastAsia" w:eastAsiaTheme="minorEastAsia" w:cstheme="minorEastAsia"/>
          <w:b/>
          <w:bCs/>
          <w:color w:val="auto"/>
          <w:sz w:val="36"/>
          <w:szCs w:val="36"/>
          <w:highlight w:val="none"/>
        </w:rPr>
        <w:br w:type="page"/>
      </w:r>
    </w:p>
    <w:p>
      <w:pPr>
        <w:spacing w:line="360" w:lineRule="auto"/>
        <w:ind w:firstLine="723" w:firstLineChars="200"/>
        <w:jc w:val="center"/>
        <w:outlineLvl w:val="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第三章 项目需求及说明</w:t>
      </w:r>
      <w:bookmarkEnd w:id="0"/>
      <w:bookmarkEnd w:id="29"/>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1、本项目采购控制价：5397589元，投标人根据市场价格进行报价，且不得高于预算金额。</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2、交货期：签订合同之日起30日历天内全部设备进场，90日历天内完成安装调试。系统运行正常3个月后进行完工验收。</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3、交货地点：采购单位指定地点。</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4、质量要求：合格。</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5、中标人须自验收合格之日起，提供免费保修期1年，按国家有关规定实行“三包”。保修期内免费更换设备及材料并送货上门，免费现场安装调试至验收合格，为有关人员提供培训，培训费用由中标人承担。</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6、售后服务要求 </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①售后服务：（1）按国家有关规定实行产品“三包”，免费保修期最短不得少于 一 年（货物采购需求中另有规定的按货物采购需求执行）；（2）免费送货上门；（3）接到故障通知后30分钟内响应，2小时内到达现场，并在8小时内解决问题或提供备用机，以保证系统正常运行，并承担一切相关费用；（4）定期回访以及维修；（5）质保期内所有设备免费上门维修服务、免费更换零部件，免费提供应用软件升级；（6）提供终身维护；（7）其余按厂家承诺进行。</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②免费培训：中标供应商负责免费培训使用人员和维护人员，内容包括设备及软件系统操作、日常维护，确保熟练掌握全部功能为止。</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③安装调试：中标供应商负责本项目所有货物的安装、调试及项目整体测试、联调和开通，并在试运行结束后由中标供应商整理验收材料提交采购人验收。</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④技术支持与服务：提供每周7×24小时技术响应服务，中标供应商应负责所售产品的售后服务，并提供至少两年的免费原厂保修服务；质保期内设备发生故障，维修或更换配件所需的全部费用由中标供应商承担；维修完毕后工程师及时填写维修报告，维修报告包括故障原因、处理情况及用户意见，维修报告由双方各持一份备案。 </w:t>
      </w:r>
    </w:p>
    <w:p>
      <w:pPr>
        <w:pStyle w:val="26"/>
        <w:spacing w:line="48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7、付款方式：</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运行费用部分付款方式：全部安装调试完成后支付第一年除系统运维费外的其他运行费用；第二年支付第二年运行费用，第三年付完所有的运行费用。</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设备调试、安装部分付款方式：货物全部进场后，采购方支付到合同总金额的40%给供货方（不含运行费用）；货物安装、调试完成后能正常运行，支付合同总金额的20%给供货方（不含运行费用）；通过完工验收合格后支付合同总金额的20%给供货方（不含运行费用）。该项目审计完成后支付合同总金额的17%给供货方（不含运行费用）。项目合同余款的3%作为质量保证金（不含运行费用），待质保期满一年后15个工作日内一次性无息返还给供货方。</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8、本项目货物不接受进口产品投标。</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9、投标人须书面承诺投标人针对本项目所提供的相关证明材料真实有效、可靠，并承诺供货时提供核心设备产品生产厂商针对本项目的售后服务承诺原件及供货证明原件。</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10、其他说明：</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一一对应的技术响应偏离表；</w:t>
      </w:r>
    </w:p>
    <w:p>
      <w:pPr>
        <w:spacing w:line="48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本次采购将依据强制采购节能产品品目清单和节能产品认证证书实施政府强制采购。根据《国务院办公厅关于建立政府强制采购节能产品制度的通知》（国办发[2007]51号）和《关于印发节能产品政府采购品目清单的通知》（财库〔2019〕19 号）的规定，计算机设备（台式计算机、便携式计算机和平板式微型计算机）、输入输出设备[打印设备（激光打印机、针式打印机）、显示设备(液晶显示器）]、制冷空调设备[制冷压缩机（冷水机组、水源热泵机组、溴化锂吸收式冷水机组）、空调机组（多联式空调（热泵）机组、单元式空气调节机）]、专用制冷、空调设备（机房空调）、镇流器（管型荧光灯镇流器）、生活用电器[空调机（房间空气调节器、多联式空调（热泵）机组、单元式空气调节机）、电热水器]、照明设备（普通照明用双端荧光灯）、电视设备[普通电视设备（电视机）]、视频设备[视频监控设备（监视器）]、便器（坐便器、蹲便器、小便器）、水嘴等为政府强制采购节能产品。若采购货物中含有此类产品时，投标人的投标货物必须使用政府强制采购的节能产品，投标人应在投标文件中提供所投产品获得国家确定的认证机构出具的有效证明材料（加盖章投标人公章）。</w:t>
      </w:r>
    </w:p>
    <w:p>
      <w:pPr>
        <w:spacing w:line="48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③本项目核心产品为</w:t>
      </w:r>
      <w:r>
        <w:rPr>
          <w:rFonts w:hint="eastAsia" w:asciiTheme="minorEastAsia" w:hAnsiTheme="minorEastAsia" w:eastAsiaTheme="minorEastAsia" w:cstheme="minorEastAsia"/>
          <w:b/>
          <w:bCs/>
          <w:color w:val="auto"/>
          <w:szCs w:val="21"/>
          <w:highlight w:val="none"/>
        </w:rPr>
        <w:t>遥测终端机和雷达水位计。</w:t>
      </w:r>
    </w:p>
    <w:p>
      <w:pPr>
        <w:spacing w:line="48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④本“项目需求及说明”中带“▲”条款为满足评分条款，投标时需按要求提供相关证明材料，不按要求提供的不得分</w:t>
      </w:r>
      <w:r>
        <w:rPr>
          <w:rFonts w:hint="eastAsia" w:asciiTheme="minorEastAsia" w:hAnsiTheme="minorEastAsia" w:eastAsiaTheme="minorEastAsia" w:cstheme="minorEastAsia"/>
          <w:color w:val="auto"/>
          <w:szCs w:val="21"/>
          <w:highlight w:val="none"/>
        </w:rPr>
        <w:t>。</w:t>
      </w:r>
    </w:p>
    <w:p>
      <w:pPr>
        <w:widowControl/>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tbl>
      <w:tblPr>
        <w:tblStyle w:val="50"/>
        <w:tblW w:w="5000" w:type="pct"/>
        <w:jc w:val="center"/>
        <w:tblLayout w:type="autofit"/>
        <w:tblCellMar>
          <w:top w:w="0" w:type="dxa"/>
          <w:left w:w="108" w:type="dxa"/>
          <w:bottom w:w="0" w:type="dxa"/>
          <w:right w:w="108" w:type="dxa"/>
        </w:tblCellMar>
      </w:tblPr>
      <w:tblGrid>
        <w:gridCol w:w="928"/>
        <w:gridCol w:w="3864"/>
        <w:gridCol w:w="3788"/>
      </w:tblGrid>
      <w:tr>
        <w:tblPrEx>
          <w:tblCellMar>
            <w:top w:w="0" w:type="dxa"/>
            <w:left w:w="108" w:type="dxa"/>
            <w:bottom w:w="0" w:type="dxa"/>
            <w:right w:w="108" w:type="dxa"/>
          </w:tblCellMar>
        </w:tblPrEx>
        <w:trPr>
          <w:trHeight w:val="405" w:hRule="atLeast"/>
          <w:jc w:val="center"/>
        </w:trPr>
        <w:tc>
          <w:tcPr>
            <w:tcW w:w="5000" w:type="pct"/>
            <w:gridSpan w:val="3"/>
            <w:tcBorders>
              <w:top w:val="nil"/>
              <w:left w:val="nil"/>
              <w:bottom w:val="single" w:color="auto" w:sz="4" w:space="0"/>
              <w:right w:val="nil"/>
            </w:tcBorders>
            <w:shd w:val="clear" w:color="auto" w:fill="auto"/>
            <w:noWrap/>
            <w:vAlign w:val="center"/>
          </w:tcPr>
          <w:p>
            <w:pPr>
              <w:widowControl/>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汇总表</w:t>
            </w:r>
          </w:p>
        </w:tc>
      </w:tr>
      <w:tr>
        <w:tblPrEx>
          <w:tblCellMar>
            <w:top w:w="0" w:type="dxa"/>
            <w:left w:w="108" w:type="dxa"/>
            <w:bottom w:w="0" w:type="dxa"/>
            <w:right w:w="108" w:type="dxa"/>
          </w:tblCellMar>
        </w:tblPrEx>
        <w:trPr>
          <w:trHeight w:val="379" w:hRule="atLeast"/>
          <w:jc w:val="center"/>
        </w:trPr>
        <w:tc>
          <w:tcPr>
            <w:tcW w:w="5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2252"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2207"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单位：元</w:t>
            </w:r>
          </w:p>
        </w:tc>
      </w:tr>
      <w:tr>
        <w:tblPrEx>
          <w:tblCellMar>
            <w:top w:w="0" w:type="dxa"/>
            <w:left w:w="108" w:type="dxa"/>
            <w:bottom w:w="0" w:type="dxa"/>
            <w:right w:w="108" w:type="dxa"/>
          </w:tblCellMar>
        </w:tblPrEx>
        <w:trPr>
          <w:trHeight w:val="480"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序号</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项目或费用名称</w:t>
            </w:r>
          </w:p>
        </w:tc>
        <w:tc>
          <w:tcPr>
            <w:tcW w:w="2207"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备注</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一</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主体工程</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水雨情流量信息监测系统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洪水预报预警系统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视频监视预警系统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540"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数字灵渠3D多维可视化系统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中心站软硬件系统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asciiTheme="minorEastAsia" w:hAnsiTheme="minorEastAsia" w:eastAsiaTheme="minorEastAsia" w:cstheme="minorEastAsia"/>
                <w:color w:val="auto"/>
                <w:kern w:val="0"/>
                <w:sz w:val="20"/>
                <w:szCs w:val="20"/>
                <w:highlight w:val="none"/>
              </w:rPr>
              <w:t>6</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安装工程</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二</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运行费（3年）</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交流电三年使用费</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光纤接入及三年使用费</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37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中心站光线接入及三年使用费</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数据传输通信费</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风光互补发电系统</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405" w:hRule="atLeast"/>
          <w:jc w:val="center"/>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225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系统运维费</w:t>
            </w:r>
          </w:p>
        </w:tc>
        <w:tc>
          <w:tcPr>
            <w:tcW w:w="220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jc w:val="center"/>
        <w:tblLayout w:type="autofit"/>
        <w:tblCellMar>
          <w:top w:w="0" w:type="dxa"/>
          <w:left w:w="108" w:type="dxa"/>
          <w:bottom w:w="0" w:type="dxa"/>
          <w:right w:w="108" w:type="dxa"/>
        </w:tblCellMar>
      </w:tblPr>
      <w:tblGrid>
        <w:gridCol w:w="897"/>
        <w:gridCol w:w="4997"/>
        <w:gridCol w:w="899"/>
        <w:gridCol w:w="899"/>
        <w:gridCol w:w="888"/>
      </w:tblGrid>
      <w:tr>
        <w:tblPrEx>
          <w:tblCellMar>
            <w:top w:w="0" w:type="dxa"/>
            <w:left w:w="108" w:type="dxa"/>
            <w:bottom w:w="0" w:type="dxa"/>
            <w:right w:w="108" w:type="dxa"/>
          </w:tblCellMar>
        </w:tblPrEx>
        <w:trPr>
          <w:trHeight w:val="465"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水雨情信息监测系统</w:t>
            </w:r>
          </w:p>
        </w:tc>
      </w:tr>
      <w:tr>
        <w:tblPrEx>
          <w:tblCellMar>
            <w:top w:w="0" w:type="dxa"/>
            <w:left w:w="108" w:type="dxa"/>
            <w:bottom w:w="0" w:type="dxa"/>
            <w:right w:w="108" w:type="dxa"/>
          </w:tblCellMar>
        </w:tblPrEx>
        <w:trPr>
          <w:trHeight w:val="405"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序号</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项目</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单位</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数量</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备注</w:t>
            </w:r>
          </w:p>
        </w:tc>
      </w:tr>
      <w:tr>
        <w:tblPrEx>
          <w:tblCellMar>
            <w:top w:w="0" w:type="dxa"/>
            <w:left w:w="108" w:type="dxa"/>
            <w:bottom w:w="0" w:type="dxa"/>
            <w:right w:w="108" w:type="dxa"/>
          </w:tblCellMar>
        </w:tblPrEx>
        <w:trPr>
          <w:trHeight w:val="645"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一</w:t>
            </w:r>
          </w:p>
        </w:tc>
        <w:tc>
          <w:tcPr>
            <w:tcW w:w="291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水位、雨量、流量监测站设备清单和价格</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遥测终端机（含通讯GPRS模块）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雷达水位计</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291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固定水平声学多普勒流速仪</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291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雨量计</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291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太阳能电池板及充电控制器</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蓄电池</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只</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2912"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一体化不锈钢机箱</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个</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配套设施</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二</w:t>
            </w:r>
          </w:p>
        </w:tc>
        <w:tc>
          <w:tcPr>
            <w:tcW w:w="2912" w:type="pct"/>
            <w:tcBorders>
              <w:top w:val="nil"/>
              <w:left w:val="nil"/>
              <w:bottom w:val="single" w:color="auto" w:sz="4" w:space="0"/>
              <w:right w:val="single" w:color="auto" w:sz="4" w:space="0"/>
            </w:tcBorders>
            <w:shd w:val="clear" w:color="auto" w:fill="auto"/>
            <w:vAlign w:val="center"/>
          </w:tcPr>
          <w:p>
            <w:pPr>
              <w:widowControl/>
              <w:ind w:firstLine="1405" w:firstLineChars="700"/>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高音喇叭远程告警系统</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高音喇叭系统</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语音短信交互系统</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蓄电池</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避雷器</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一体化不锈钢机箱</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个</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jc w:val="center"/>
        </w:trPr>
        <w:tc>
          <w:tcPr>
            <w:tcW w:w="52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2912"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配套建筑安装费</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w:t>
            </w:r>
          </w:p>
        </w:tc>
        <w:tc>
          <w:tcPr>
            <w:tcW w:w="517"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tblInd w:w="0" w:type="dxa"/>
        <w:tblLayout w:type="autofit"/>
        <w:tblCellMar>
          <w:top w:w="0" w:type="dxa"/>
          <w:left w:w="108" w:type="dxa"/>
          <w:bottom w:w="0" w:type="dxa"/>
          <w:right w:w="108" w:type="dxa"/>
        </w:tblCellMar>
      </w:tblPr>
      <w:tblGrid>
        <w:gridCol w:w="1249"/>
        <w:gridCol w:w="3145"/>
        <w:gridCol w:w="1251"/>
        <w:gridCol w:w="1251"/>
        <w:gridCol w:w="1684"/>
      </w:tblGrid>
      <w:tr>
        <w:tblPrEx>
          <w:tblCellMar>
            <w:top w:w="0" w:type="dxa"/>
            <w:left w:w="108" w:type="dxa"/>
            <w:bottom w:w="0" w:type="dxa"/>
            <w:right w:w="108" w:type="dxa"/>
          </w:tblCellMar>
        </w:tblPrEx>
        <w:trPr>
          <w:trHeight w:val="4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洪水预报预警系统</w:t>
            </w:r>
          </w:p>
        </w:tc>
      </w:tr>
      <w:tr>
        <w:tblPrEx>
          <w:tblCellMar>
            <w:top w:w="0" w:type="dxa"/>
            <w:left w:w="108" w:type="dxa"/>
            <w:bottom w:w="0" w:type="dxa"/>
            <w:right w:w="108" w:type="dxa"/>
          </w:tblCellMar>
        </w:tblPrEx>
        <w:trPr>
          <w:trHeight w:val="420" w:hRule="atLeast"/>
        </w:trPr>
        <w:tc>
          <w:tcPr>
            <w:tcW w:w="7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序号</w:t>
            </w:r>
          </w:p>
        </w:tc>
        <w:tc>
          <w:tcPr>
            <w:tcW w:w="1833"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项目</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单位</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数量</w:t>
            </w:r>
          </w:p>
        </w:tc>
        <w:tc>
          <w:tcPr>
            <w:tcW w:w="98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备注</w:t>
            </w:r>
          </w:p>
        </w:tc>
      </w:tr>
      <w:tr>
        <w:tblPrEx>
          <w:tblCellMar>
            <w:top w:w="0" w:type="dxa"/>
            <w:left w:w="108" w:type="dxa"/>
            <w:bottom w:w="0" w:type="dxa"/>
            <w:right w:w="108" w:type="dxa"/>
          </w:tblCellMar>
        </w:tblPrEx>
        <w:trPr>
          <w:trHeight w:val="270" w:hRule="atLeast"/>
        </w:trPr>
        <w:tc>
          <w:tcPr>
            <w:tcW w:w="7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一</w:t>
            </w:r>
          </w:p>
        </w:tc>
        <w:tc>
          <w:tcPr>
            <w:tcW w:w="183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洪水预报方案编制</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98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7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二</w:t>
            </w:r>
          </w:p>
        </w:tc>
        <w:tc>
          <w:tcPr>
            <w:tcW w:w="183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洪水预报软件</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98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7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w:t>
            </w:r>
          </w:p>
        </w:tc>
        <w:tc>
          <w:tcPr>
            <w:tcW w:w="183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预报原始数据收集</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981"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tblInd w:w="0" w:type="dxa"/>
        <w:tblLayout w:type="autofit"/>
        <w:tblCellMar>
          <w:top w:w="0" w:type="dxa"/>
          <w:left w:w="108" w:type="dxa"/>
          <w:bottom w:w="0" w:type="dxa"/>
          <w:right w:w="108" w:type="dxa"/>
        </w:tblCellMar>
      </w:tblPr>
      <w:tblGrid>
        <w:gridCol w:w="826"/>
        <w:gridCol w:w="4115"/>
        <w:gridCol w:w="517"/>
        <w:gridCol w:w="517"/>
        <w:gridCol w:w="2605"/>
      </w:tblGrid>
      <w:tr>
        <w:tblPrEx>
          <w:tblCellMar>
            <w:top w:w="0" w:type="dxa"/>
            <w:left w:w="108" w:type="dxa"/>
            <w:bottom w:w="0" w:type="dxa"/>
            <w:right w:w="108" w:type="dxa"/>
          </w:tblCellMar>
        </w:tblPrEx>
        <w:trPr>
          <w:trHeight w:val="439" w:hRule="atLeast"/>
        </w:trPr>
        <w:tc>
          <w:tcPr>
            <w:tcW w:w="5000" w:type="pct"/>
            <w:gridSpan w:val="5"/>
            <w:tcBorders>
              <w:top w:val="single" w:color="auto" w:sz="4" w:space="0"/>
              <w:left w:val="single" w:color="auto" w:sz="4" w:space="0"/>
              <w:bottom w:val="single" w:color="auto" w:sz="4" w:space="0"/>
              <w:right w:val="nil"/>
            </w:tcBorders>
            <w:shd w:val="clear" w:color="000000" w:fill="FFFFFF"/>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视频监视预警系统</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序号</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项目</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单位</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数量</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备注</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一</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渠道监控部分（12处）</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周界监控筒型摄像机及配套支架</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日常安全监控球型摄像机及配套支架</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交换机</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室外防水机箱</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与高音喇叭站共享使用</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电源避雷器</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网络避雷器</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配套接插件</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31"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监控立杆（5米）</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在高音喇叭部分统一报价</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配套水尺</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米</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三</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全景拍摄部分（1处）</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全景拍摄球型摄像机及配套支架</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室外防水机箱</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二合一避雷器</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配套接插件</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监控立杆（10米）</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监控铁塔（15米）及围栏设施</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四</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中心站设备</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智能管理存储终端</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监控专用硬盘</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16</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智能可视化管理平台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专用服务器</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518" w:type="pct"/>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五</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供电及传输网络系统</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45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供电设施接入</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高音喇叭及网络设施统筹使用</w:t>
            </w:r>
          </w:p>
        </w:tc>
      </w:tr>
      <w:tr>
        <w:tblPrEx>
          <w:tblCellMar>
            <w:top w:w="0" w:type="dxa"/>
            <w:left w:w="108" w:type="dxa"/>
            <w:bottom w:w="0" w:type="dxa"/>
            <w:right w:w="108" w:type="dxa"/>
          </w:tblCellMar>
        </w:tblPrEx>
        <w:trPr>
          <w:trHeight w:val="450" w:hRule="atLeast"/>
        </w:trPr>
        <w:tc>
          <w:tcPr>
            <w:tcW w:w="482"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3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现场网络接入</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项</w:t>
            </w:r>
          </w:p>
        </w:tc>
        <w:tc>
          <w:tcPr>
            <w:tcW w:w="30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13</w:t>
            </w:r>
          </w:p>
        </w:tc>
        <w:tc>
          <w:tcPr>
            <w:tcW w:w="151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部分网络无法直接到达站点的延伸接入</w:t>
            </w: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tblInd w:w="0" w:type="dxa"/>
        <w:tblLayout w:type="autofit"/>
        <w:tblCellMar>
          <w:top w:w="0" w:type="dxa"/>
          <w:left w:w="108" w:type="dxa"/>
          <w:bottom w:w="0" w:type="dxa"/>
          <w:right w:w="108" w:type="dxa"/>
        </w:tblCellMar>
      </w:tblPr>
      <w:tblGrid>
        <w:gridCol w:w="1153"/>
        <w:gridCol w:w="3955"/>
        <w:gridCol w:w="1157"/>
        <w:gridCol w:w="1157"/>
        <w:gridCol w:w="1158"/>
      </w:tblGrid>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数字灵渠3D多维可视化系统</w:t>
            </w:r>
          </w:p>
        </w:tc>
      </w:tr>
      <w:tr>
        <w:tblPrEx>
          <w:tblCellMar>
            <w:top w:w="0" w:type="dxa"/>
            <w:left w:w="108" w:type="dxa"/>
            <w:bottom w:w="0" w:type="dxa"/>
            <w:right w:w="108" w:type="dxa"/>
          </w:tblCellMar>
        </w:tblPrEx>
        <w:trPr>
          <w:trHeight w:val="270" w:hRule="atLeast"/>
        </w:trPr>
        <w:tc>
          <w:tcPr>
            <w:tcW w:w="6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序号</w:t>
            </w:r>
          </w:p>
        </w:tc>
        <w:tc>
          <w:tcPr>
            <w:tcW w:w="2305"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项目</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单位</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数量</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备注</w:t>
            </w:r>
          </w:p>
        </w:tc>
      </w:tr>
      <w:tr>
        <w:tblPrEx>
          <w:tblCellMar>
            <w:top w:w="0" w:type="dxa"/>
            <w:left w:w="108" w:type="dxa"/>
            <w:bottom w:w="0" w:type="dxa"/>
            <w:right w:w="108" w:type="dxa"/>
          </w:tblCellMar>
        </w:tblPrEx>
        <w:trPr>
          <w:trHeight w:val="270" w:hRule="atLeast"/>
        </w:trPr>
        <w:tc>
          <w:tcPr>
            <w:tcW w:w="6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一</w:t>
            </w:r>
          </w:p>
        </w:tc>
        <w:tc>
          <w:tcPr>
            <w:tcW w:w="2305"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3D可视化工作站</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6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二</w:t>
            </w:r>
          </w:p>
        </w:tc>
        <w:tc>
          <w:tcPr>
            <w:tcW w:w="2305"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3D外部航拍</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单元</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34</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CellMar>
            <w:top w:w="0" w:type="dxa"/>
            <w:left w:w="108" w:type="dxa"/>
            <w:bottom w:w="0" w:type="dxa"/>
            <w:right w:w="108" w:type="dxa"/>
          </w:tblCellMar>
        </w:tblPrEx>
        <w:trPr>
          <w:trHeight w:val="270" w:hRule="atLeast"/>
        </w:trPr>
        <w:tc>
          <w:tcPr>
            <w:tcW w:w="6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三</w:t>
            </w:r>
          </w:p>
        </w:tc>
        <w:tc>
          <w:tcPr>
            <w:tcW w:w="2305"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3D内部空间扫描</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p>
        </w:tc>
      </w:tr>
      <w:tr>
        <w:tblPrEx>
          <w:tblCellMar>
            <w:top w:w="0" w:type="dxa"/>
            <w:left w:w="108" w:type="dxa"/>
            <w:bottom w:w="0" w:type="dxa"/>
            <w:right w:w="108" w:type="dxa"/>
          </w:tblCellMar>
        </w:tblPrEx>
        <w:trPr>
          <w:trHeight w:val="270" w:hRule="atLeast"/>
        </w:trPr>
        <w:tc>
          <w:tcPr>
            <w:tcW w:w="6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四</w:t>
            </w:r>
          </w:p>
        </w:tc>
        <w:tc>
          <w:tcPr>
            <w:tcW w:w="2305"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数据处理建模</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674"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p>
        </w:tc>
      </w:tr>
    </w:tbl>
    <w:p>
      <w:pPr>
        <w:spacing w:line="480" w:lineRule="auto"/>
        <w:rPr>
          <w:rFonts w:asciiTheme="minorEastAsia" w:hAnsiTheme="minorEastAsia" w:eastAsiaTheme="minorEastAsia" w:cstheme="minorEastAsia"/>
          <w:color w:val="auto"/>
          <w:szCs w:val="21"/>
          <w:highlight w:val="none"/>
        </w:rPr>
      </w:pPr>
    </w:p>
    <w:p>
      <w:pPr>
        <w:pStyle w:val="14"/>
        <w:rPr>
          <w:color w:val="auto"/>
          <w:highlight w:val="none"/>
        </w:rPr>
      </w:pPr>
      <w:r>
        <w:rPr>
          <w:color w:val="auto"/>
          <w:highlight w:val="none"/>
        </w:rPr>
        <w:br w:type="page"/>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849"/>
        <w:gridCol w:w="946"/>
        <w:gridCol w:w="946"/>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5"/>
            <w:shd w:val="clear" w:color="auto" w:fill="auto"/>
            <w:noWrap/>
            <w:vAlign w:val="center"/>
          </w:tcPr>
          <w:p>
            <w:pPr>
              <w:widowControl/>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中心站系统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noWrap/>
            <w:vAlign w:val="center"/>
          </w:tcPr>
          <w:p>
            <w:pPr>
              <w:widowControl/>
              <w:jc w:val="left"/>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序号</w:t>
            </w:r>
          </w:p>
        </w:tc>
        <w:tc>
          <w:tcPr>
            <w:tcW w:w="2243"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项目</w:t>
            </w:r>
          </w:p>
        </w:tc>
        <w:tc>
          <w:tcPr>
            <w:tcW w:w="551"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单位</w:t>
            </w:r>
          </w:p>
        </w:tc>
        <w:tc>
          <w:tcPr>
            <w:tcW w:w="551"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数量</w:t>
            </w:r>
          </w:p>
        </w:tc>
        <w:tc>
          <w:tcPr>
            <w:tcW w:w="1141" w:type="pct"/>
            <w:shd w:val="clear" w:color="auto" w:fill="auto"/>
            <w:vAlign w:val="center"/>
          </w:tcPr>
          <w:p>
            <w:pPr>
              <w:widowControl/>
              <w:jc w:val="left"/>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noWrap/>
            <w:vAlign w:val="center"/>
          </w:tcPr>
          <w:p>
            <w:pPr>
              <w:widowControl/>
              <w:jc w:val="left"/>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一</w:t>
            </w:r>
          </w:p>
        </w:tc>
        <w:tc>
          <w:tcPr>
            <w:tcW w:w="2243"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中心站硬件</w:t>
            </w:r>
          </w:p>
        </w:tc>
        <w:tc>
          <w:tcPr>
            <w:tcW w:w="551"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551"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c>
          <w:tcPr>
            <w:tcW w:w="1141" w:type="pct"/>
            <w:shd w:val="clear" w:color="auto" w:fill="auto"/>
            <w:vAlign w:val="center"/>
          </w:tcPr>
          <w:p>
            <w:pPr>
              <w:widowControl/>
              <w:jc w:val="left"/>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通信服务器</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带Moxa串口卡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数据库服务器</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图形工作站</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工作站</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服务器机柜</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台</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防火墙</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路由器</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交换机</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KVM液晶显示器鼠标系统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UPS电源系统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含16节蓄电池、电池柜全套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11</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其他相关配件、网络工具等</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二</w:t>
            </w:r>
          </w:p>
        </w:tc>
        <w:tc>
          <w:tcPr>
            <w:tcW w:w="2243" w:type="pct"/>
            <w:shd w:val="clear" w:color="auto" w:fill="auto"/>
            <w:noWrap/>
            <w:vAlign w:val="center"/>
          </w:tcPr>
          <w:p>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中心站软件系统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服务器操作系统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数据库系统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ArcGIS开发包</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网络版杀毒软件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系统安全应用及加固软件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水情遥测数据接收汇集软件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远程视频监测预警软件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一张图GIS综合展示平台</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高音喇叭远程告警软件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WEB信息发布系统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11</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灵渠三维可视化展示系统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灵渠3D渠道洪水淹没推演</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13</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监控视频接入灵渠三维地图模型</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三</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大屏幕显示系统</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户外P4全彩显示屏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户外P4全彩显示屏</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320*160mm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图像处理器</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户外钢结构及施工</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电源、避雷器等配件</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套</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p>
        </w:tc>
        <w:tc>
          <w:tcPr>
            <w:tcW w:w="2243"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控制电脑</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w:t>
            </w:r>
          </w:p>
        </w:tc>
        <w:tc>
          <w:tcPr>
            <w:tcW w:w="55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p>
        </w:tc>
        <w:tc>
          <w:tcPr>
            <w:tcW w:w="1141" w:type="pct"/>
            <w:shd w:val="clear" w:color="auto" w:fill="auto"/>
            <w:vAlign w:val="center"/>
          </w:tcPr>
          <w:p>
            <w:pPr>
              <w:widowControl/>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w:t>
            </w: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tblInd w:w="0" w:type="dxa"/>
        <w:tblLayout w:type="autofit"/>
        <w:tblCellMar>
          <w:top w:w="0" w:type="dxa"/>
          <w:left w:w="108" w:type="dxa"/>
          <w:bottom w:w="0" w:type="dxa"/>
          <w:right w:w="108" w:type="dxa"/>
        </w:tblCellMar>
      </w:tblPr>
      <w:tblGrid>
        <w:gridCol w:w="705"/>
        <w:gridCol w:w="2941"/>
        <w:gridCol w:w="705"/>
        <w:gridCol w:w="973"/>
        <w:gridCol w:w="3256"/>
      </w:tblGrid>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安装工程表</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序号</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项目</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单位</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工程量</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备注</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一</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xml:space="preserve">视频及预警系统 </w:t>
            </w:r>
          </w:p>
        </w:tc>
        <w:tc>
          <w:tcPr>
            <w:tcW w:w="411" w:type="pct"/>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567" w:type="pct"/>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898" w:type="pct"/>
            <w:tcBorders>
              <w:top w:val="nil"/>
              <w:left w:val="nil"/>
              <w:bottom w:val="single" w:color="auto" w:sz="4" w:space="0"/>
              <w:right w:val="single" w:color="auto" w:sz="4" w:space="0"/>
            </w:tcBorders>
            <w:shd w:val="clear" w:color="000000" w:fill="FFFFFF"/>
            <w:vAlign w:val="center"/>
          </w:tcPr>
          <w:p>
            <w:pPr>
              <w:widowControl/>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监控立杆建设</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包含征地费用,统筹使用</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监控铁塔基础制作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包含征地费用</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避雷接地（立杆）</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避雷接地（铁塔）</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接地电阻小于4欧姆</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围栏基础</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水尺安装设施</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视频监控点和遥测水位点</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风光互补安装支架及基础</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二</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雨量水位遥测站</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野外雨量站建设</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包含征地费，统筹使用</w:t>
            </w:r>
          </w:p>
        </w:tc>
      </w:tr>
      <w:tr>
        <w:tblPrEx>
          <w:tblCellMar>
            <w:top w:w="0" w:type="dxa"/>
            <w:left w:w="108" w:type="dxa"/>
            <w:bottom w:w="0" w:type="dxa"/>
            <w:right w:w="108" w:type="dxa"/>
          </w:tblCellMar>
        </w:tblPrEx>
        <w:trPr>
          <w:trHeight w:val="27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71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野外水位站建设</w:t>
            </w:r>
          </w:p>
        </w:tc>
        <w:tc>
          <w:tcPr>
            <w:tcW w:w="41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89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包含征地费用,统筹使用</w:t>
            </w:r>
          </w:p>
        </w:tc>
      </w:tr>
      <w:tr>
        <w:tblPrEx>
          <w:tblCellMar>
            <w:top w:w="0" w:type="dxa"/>
            <w:left w:w="108" w:type="dxa"/>
            <w:bottom w:w="0" w:type="dxa"/>
            <w:right w:w="108" w:type="dxa"/>
          </w:tblCellMar>
        </w:tblPrEx>
        <w:trPr>
          <w:trHeight w:val="51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三</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流量站配套建筑安装清单和费用</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不锈钢滑轨制作</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米</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898"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假设5米高</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不锈钢滑轨安装固定</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898" w:type="pct"/>
            <w:tcBorders>
              <w:top w:val="nil"/>
              <w:left w:val="nil"/>
              <w:bottom w:val="single" w:color="auto" w:sz="4" w:space="0"/>
              <w:right w:val="single" w:color="auto" w:sz="4" w:space="0"/>
            </w:tcBorders>
            <w:shd w:val="clear" w:color="000000" w:fill="FFFFFF"/>
            <w:vAlign w:val="center"/>
          </w:tcPr>
          <w:p>
            <w:pPr>
              <w:widowControl/>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一体化不锈钢机箱</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898" w:type="pct"/>
            <w:tcBorders>
              <w:top w:val="nil"/>
              <w:left w:val="nil"/>
              <w:bottom w:val="single" w:color="auto" w:sz="4" w:space="0"/>
              <w:right w:val="single" w:color="auto" w:sz="4" w:space="0"/>
            </w:tcBorders>
            <w:shd w:val="clear" w:color="000000" w:fill="FFFFFF"/>
            <w:vAlign w:val="center"/>
          </w:tcPr>
          <w:p>
            <w:pPr>
              <w:widowControl/>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411"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714"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配套土建</w:t>
            </w:r>
          </w:p>
        </w:tc>
        <w:tc>
          <w:tcPr>
            <w:tcW w:w="411"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567" w:type="pct"/>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898" w:type="pct"/>
            <w:tcBorders>
              <w:top w:val="nil"/>
              <w:left w:val="nil"/>
              <w:bottom w:val="single" w:color="auto" w:sz="4" w:space="0"/>
              <w:right w:val="single" w:color="auto" w:sz="4" w:space="0"/>
            </w:tcBorders>
            <w:shd w:val="clear" w:color="000000" w:fill="FFFFFF"/>
            <w:vAlign w:val="center"/>
          </w:tcPr>
          <w:p>
            <w:pPr>
              <w:widowControl/>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包含则征地费用</w:t>
            </w:r>
          </w:p>
        </w:tc>
      </w:tr>
    </w:tbl>
    <w:p>
      <w:pPr>
        <w:spacing w:line="480" w:lineRule="auto"/>
        <w:rPr>
          <w:rFonts w:asciiTheme="minorEastAsia" w:hAnsiTheme="minorEastAsia" w:eastAsiaTheme="minorEastAsia" w:cstheme="minorEastAsia"/>
          <w:color w:val="auto"/>
          <w:szCs w:val="21"/>
          <w:highlight w:val="none"/>
        </w:rPr>
      </w:pPr>
    </w:p>
    <w:tbl>
      <w:tblPr>
        <w:tblStyle w:val="50"/>
        <w:tblW w:w="5000" w:type="pct"/>
        <w:tblInd w:w="0" w:type="dxa"/>
        <w:tblLayout w:type="autofit"/>
        <w:tblCellMar>
          <w:top w:w="0" w:type="dxa"/>
          <w:left w:w="108" w:type="dxa"/>
          <w:bottom w:w="0" w:type="dxa"/>
          <w:right w:w="108" w:type="dxa"/>
        </w:tblCellMar>
      </w:tblPr>
      <w:tblGrid>
        <w:gridCol w:w="770"/>
        <w:gridCol w:w="2898"/>
        <w:gridCol w:w="774"/>
        <w:gridCol w:w="782"/>
        <w:gridCol w:w="774"/>
        <w:gridCol w:w="2582"/>
      </w:tblGrid>
      <w:tr>
        <w:tblPrEx>
          <w:tblCellMar>
            <w:top w:w="0" w:type="dxa"/>
            <w:left w:w="108" w:type="dxa"/>
            <w:bottom w:w="0" w:type="dxa"/>
            <w:right w:w="108" w:type="dxa"/>
          </w:tblCellMar>
        </w:tblPrEx>
        <w:trPr>
          <w:trHeight w:val="402" w:hRule="atLeast"/>
        </w:trPr>
        <w:tc>
          <w:tcPr>
            <w:tcW w:w="5000" w:type="pct"/>
            <w:gridSpan w:val="6"/>
            <w:tcBorders>
              <w:top w:val="nil"/>
              <w:left w:val="nil"/>
              <w:bottom w:val="single" w:color="auto" w:sz="4" w:space="0"/>
              <w:right w:val="nil"/>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运行费用清单</w:t>
            </w:r>
          </w:p>
        </w:tc>
      </w:tr>
      <w:tr>
        <w:tblPrEx>
          <w:tblCellMar>
            <w:top w:w="0" w:type="dxa"/>
            <w:left w:w="108" w:type="dxa"/>
            <w:bottom w:w="0" w:type="dxa"/>
            <w:right w:w="108" w:type="dxa"/>
          </w:tblCellMar>
        </w:tblPrEx>
        <w:trPr>
          <w:trHeight w:val="660"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序号</w:t>
            </w:r>
          </w:p>
        </w:tc>
        <w:tc>
          <w:tcPr>
            <w:tcW w:w="168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项目</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单位</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站点数量</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年数</w:t>
            </w:r>
          </w:p>
        </w:tc>
        <w:tc>
          <w:tcPr>
            <w:tcW w:w="1503"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备注</w:t>
            </w:r>
          </w:p>
        </w:tc>
      </w:tr>
      <w:tr>
        <w:tblPrEx>
          <w:tblCellMar>
            <w:top w:w="0" w:type="dxa"/>
            <w:left w:w="108" w:type="dxa"/>
            <w:bottom w:w="0" w:type="dxa"/>
            <w:right w:w="108" w:type="dxa"/>
          </w:tblCellMar>
        </w:tblPrEx>
        <w:trPr>
          <w:trHeight w:val="623"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68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交流电三年使用费</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503"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720"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689"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野外站点光纤接入及三年使用费</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503"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20M</w:t>
            </w:r>
          </w:p>
        </w:tc>
      </w:tr>
      <w:tr>
        <w:tblPrEx>
          <w:tblCellMar>
            <w:top w:w="0" w:type="dxa"/>
            <w:left w:w="108" w:type="dxa"/>
            <w:bottom w:w="0" w:type="dxa"/>
            <w:right w:w="108" w:type="dxa"/>
          </w:tblCellMar>
        </w:tblPrEx>
        <w:trPr>
          <w:trHeight w:val="510"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689"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中心站光线接入及三年使用费</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503"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rPr>
              <w:t>00M</w:t>
            </w:r>
          </w:p>
        </w:tc>
      </w:tr>
      <w:tr>
        <w:tblPrEx>
          <w:tblCellMar>
            <w:top w:w="0" w:type="dxa"/>
            <w:left w:w="108" w:type="dxa"/>
            <w:bottom w:w="0" w:type="dxa"/>
            <w:right w:w="108" w:type="dxa"/>
          </w:tblCellMar>
        </w:tblPrEx>
        <w:trPr>
          <w:trHeight w:val="499"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68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数据传输通信费</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35</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503" w:type="pct"/>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540"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68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风光互补发电系统</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503" w:type="pct"/>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r>
      <w:tr>
        <w:tblPrEx>
          <w:tblCellMar>
            <w:top w:w="0" w:type="dxa"/>
            <w:left w:w="108" w:type="dxa"/>
            <w:bottom w:w="0" w:type="dxa"/>
            <w:right w:w="108" w:type="dxa"/>
          </w:tblCellMar>
        </w:tblPrEx>
        <w:trPr>
          <w:trHeight w:val="795" w:hRule="atLeast"/>
        </w:trPr>
        <w:tc>
          <w:tcPr>
            <w:tcW w:w="4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689"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系统运维费</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套</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50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第一年保修，无需运维费</w:t>
            </w:r>
          </w:p>
        </w:tc>
      </w:tr>
    </w:tbl>
    <w:p>
      <w:pPr>
        <w:spacing w:line="480" w:lineRule="auto"/>
        <w:rPr>
          <w:rFonts w:asciiTheme="minorEastAsia" w:hAnsiTheme="minorEastAsia" w:eastAsiaTheme="minorEastAsia" w:cstheme="minorEastAsia"/>
          <w:color w:val="auto"/>
          <w:szCs w:val="21"/>
          <w:highlight w:val="none"/>
        </w:rPr>
      </w:pPr>
    </w:p>
    <w:p>
      <w:pPr>
        <w:pStyle w:val="14"/>
        <w:rPr>
          <w:color w:val="auto"/>
          <w:highlight w:val="none"/>
        </w:rPr>
      </w:pPr>
      <w:r>
        <w:rPr>
          <w:color w:val="auto"/>
          <w:highlight w:val="none"/>
        </w:rPr>
        <w:br w:type="page"/>
      </w:r>
    </w:p>
    <w:p>
      <w:pPr>
        <w:spacing w:line="480" w:lineRule="auto"/>
        <w:jc w:val="center"/>
        <w:outlineLvl w:val="1"/>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项目服务要求和相关设备技术参数表</w:t>
      </w:r>
    </w:p>
    <w:tbl>
      <w:tblPr>
        <w:tblStyle w:val="50"/>
        <w:tblW w:w="5000" w:type="pct"/>
        <w:tblInd w:w="0" w:type="dxa"/>
        <w:tblLayout w:type="autofit"/>
        <w:tblCellMar>
          <w:top w:w="0" w:type="dxa"/>
          <w:left w:w="108" w:type="dxa"/>
          <w:bottom w:w="0" w:type="dxa"/>
          <w:right w:w="108" w:type="dxa"/>
        </w:tblCellMar>
      </w:tblPr>
      <w:tblGrid>
        <w:gridCol w:w="408"/>
        <w:gridCol w:w="2902"/>
        <w:gridCol w:w="5042"/>
        <w:gridCol w:w="228"/>
      </w:tblGrid>
      <w:tr>
        <w:tblPrEx>
          <w:tblCellMar>
            <w:top w:w="0" w:type="dxa"/>
            <w:left w:w="108" w:type="dxa"/>
            <w:bottom w:w="0" w:type="dxa"/>
            <w:right w:w="108" w:type="dxa"/>
          </w:tblCellMar>
        </w:tblPrEx>
        <w:trPr>
          <w:gridAfter w:val="1"/>
          <w:wAfter w:w="133" w:type="pct"/>
          <w:tblHeader/>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项号</w:t>
            </w:r>
          </w:p>
        </w:tc>
        <w:tc>
          <w:tcPr>
            <w:tcW w:w="16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eastAsia="zh-CN"/>
              </w:rPr>
              <w:t>项目</w:t>
            </w:r>
            <w:r>
              <w:rPr>
                <w:rFonts w:hint="eastAsia" w:ascii="宋体" w:hAnsi="宋体" w:cs="宋体"/>
                <w:b/>
                <w:bCs/>
                <w:color w:val="auto"/>
                <w:kern w:val="0"/>
                <w:sz w:val="18"/>
                <w:szCs w:val="18"/>
                <w:highlight w:val="none"/>
              </w:rPr>
              <w:t>名称</w:t>
            </w:r>
          </w:p>
        </w:tc>
        <w:tc>
          <w:tcPr>
            <w:tcW w:w="29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服务要求及技术参数</w:t>
            </w:r>
          </w:p>
        </w:tc>
      </w:tr>
      <w:tr>
        <w:tblPrEx>
          <w:tblCellMar>
            <w:top w:w="0" w:type="dxa"/>
            <w:left w:w="108" w:type="dxa"/>
            <w:bottom w:w="0" w:type="dxa"/>
            <w:right w:w="108" w:type="dxa"/>
          </w:tblCellMar>
        </w:tblPrEx>
        <w:trPr>
          <w:gridAfter w:val="1"/>
          <w:wAfter w:w="133" w:type="pct"/>
        </w:trPr>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一.水雨情信息监测系统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水位、雨量、流量监测站设备清单和价格</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遥测终端机（含通讯GPRS模块）</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工业级设计：宽温设计，耐高低温，耐强电磁干扰。适用于各种恶劣的现场。采用完备的系统保护机制和防掉线机制，保证终端永远在线。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接口丰富、标准易用：提供1个翻斗式雨量计接口、1个12位格雷码接口、2个 RS232接口、2个RS485接口、1个SDI-12 接口、8路模拟量输入接口（16位AD、支持 4-20mA 电流或 0-5V 电压信号）、4路开关量输入接口、4路开关量输出接口（其中2路为继电器驱动）。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可外接增量式（翻斗式）雨量传感器、水位传感器；实现GPRS、GSM、CDMA、ZIGBEE、LORA 卫星 NB-IOT等多种方式的发送和接收传输功能，支持端口自定义功能，雨量传感器、水位传感器在任一输入端口可用。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▲大容量数据存储空间：提供32MB的内部FLASH和外部TF卡数据存储空间，可存储10年以上的采集数据。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至少可接受4个中心管理，与分中心实现双向通信;支持远程诊断、远程设置、远程维护等。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低功耗设计：支持多种工作模式（包括自报式、查询式、兼容式等），最大限度降低功耗。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本地配置方式：支持液晶/键盘配置方式和串口配置方式。</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远程管理功能：支持远程参数配置（同时支持平台配置方式和短信配方式）、远程程序升级。提供功能强大的中心管理软件，方便设备管理（可选）。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图片定时抓拍功能，远程修改总体参数、传感器参数、通信参数（同时支持平台配置方式和短信配置方式）；具备LCD液晶显示屏以及多功能输入键盘，用于现场参数设置、人工置数、安装调试、状态显示等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GPRS模块与RTU一体化集成设计。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《国家水资源监控能力建设项目标准水资源监测设备技术要求》。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▲具有通过了盐雾试验的检验报告。</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雷达水位计</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量    程：30米 </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▲精  度：±3MM</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工作温度：-40～+80度</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工作电压：四线制DC 6-28V，推荐12V DC ；两线制4-20mA,供电</w:t>
            </w:r>
            <w:r>
              <w:rPr>
                <w:rFonts w:ascii="宋体" w:hAnsi="宋体" w:cs="宋体"/>
                <w:color w:val="auto"/>
                <w:kern w:val="0"/>
                <w:sz w:val="18"/>
                <w:szCs w:val="18"/>
                <w:highlight w:val="none"/>
              </w:rPr>
              <w:t>18</w:t>
            </w:r>
            <w:r>
              <w:rPr>
                <w:rFonts w:hint="eastAsia" w:ascii="宋体" w:hAnsi="宋体" w:cs="宋体"/>
                <w:color w:val="auto"/>
                <w:kern w:val="0"/>
                <w:sz w:val="18"/>
                <w:szCs w:val="18"/>
                <w:highlight w:val="none"/>
              </w:rPr>
              <w:t>-28V</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DC</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接    线：两芯或四芯屏蔽电缆，防水锁线码 M12*1.5功    耗：最大功耗0.15W </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输出信号：RS485 标准MODBUS RTU协议；或4-20mA电流信号</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天    线：平面天线，口径90MM</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固定水平声学多普勒流速仪</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频率：300k/600k/1200kHz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最大测量剖面宽度： 300m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单元数量：128</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流速量程（米/秒）：±20（最大值）</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流速测量精度：水流速的±0.5%，±0.2厘米/秒</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流速分辨率（厘米/秒）：0.1</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流量测量误差：＜5%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数据通信接口：RS232, RS422, RS485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串联波特率：300、115、200bps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材质：聚氨脂外壳，钛合金紧固件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电源：9-18V直流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4MB内部记录容量</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雨量计</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（1）承雨口径：</w:t>
            </w:r>
            <w:r>
              <w:rPr>
                <w:rFonts w:ascii="Calibri" w:hAnsi="Calibri" w:cs="Calibri"/>
                <w:color w:val="auto"/>
                <w:kern w:val="0"/>
                <w:sz w:val="18"/>
                <w:szCs w:val="18"/>
                <w:highlight w:val="none"/>
              </w:rPr>
              <w:t>φ</w:t>
            </w:r>
            <w:r>
              <w:rPr>
                <w:rFonts w:hint="eastAsia" w:ascii="宋体" w:hAnsi="宋体" w:cs="宋体"/>
                <w:color w:val="auto"/>
                <w:kern w:val="0"/>
                <w:sz w:val="18"/>
                <w:szCs w:val="18"/>
                <w:highlight w:val="none"/>
              </w:rPr>
              <w:t>20000.60mm；刃口锐角：40°～45°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（2）分辨力：0.5mm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（3）雨强范围：0.01mm～4mm/min（允许通过最大雨强8mm/min）</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（4）准确度等级：分辨率：0.5mm  国家标准 I 级≤±3%</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（5）发讯方式：干簧管通、断信号输出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（6）工作环境：环境温度：-10℃～50℃，相对湿度: &lt;95%(40℃)</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太阳能电池板及充电控制器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型号：30W/12V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电池片：采用多晶硅片太阳电池(尺寸125x125mm或103x103mm)。电池的减反射膜为增强等离子化学气相沉积的氮化硅膜，呈深蓝色。电池的平均转换效率在13.5%以上。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钢化玻璃：组件的表面玻璃采用了澳大利亚Pilkington公司的低铁(含铁 量低于0.02%)钢化玻璃，其厚度为3mm，其大部分光波段的透光率大于92%。</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封装材料：组件由国外进口的抗老化EVA(乙烯-醋酸乙烯聚物)和耐候性好的优质TPT(复合氟塑料膜)材料层压而成。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接线盒：组件的接线盒是根据目前国际市场并网发电的要求进行设计和制造的，采用了优质PP材料作为接线盒外壳和内绝缘材料，镀银铜质电极材料作为接线柱，并配置了防反冲隔离二极管。接线盒具有很好的密封和防水性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主要规格和技术参数：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封装形式：高透钢化玻璃层压；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开路电压：21V；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最佳工作电压：16.8V；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短路电流：2A；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最佳工作电流：1A；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使用环境温度：-40℃- +90℃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使用寿命≥20年，衰减≤20%</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蓄电池</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安全性能：正常使用下无电解液漏出，无电池膨胀及破裂；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放电性能：放电电压平稳，放电平台平缓；</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耐震动性：安全充电状态的电池完全固定，以3mm的振幅，16.7Hz的频率震动一小时，无漏液，无电池膨胀及破裂，开路电压正常；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耐冲击性：完全充电状态的电池从20cm 高处自然落至1cm厚的硬木板上3次无漏液，无电池膨胀及破裂，开路电压正常；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耐过放电性：25摄氏度，完全充电状态的电池进行定电阻放电3星期，恢复容量在75%以上；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耐充电性：25摄氏度，完全充电状态的电池0.1CA充电48小时，无漏液，无电池膨胀及破裂，开路电压正常，容量维持率在95%以上；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耐大电流性：完全充电状态的电池2AC充电5分钟或10AC放电5秒钟。无导电部分熔断，无外观变形；</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不同温度下的放电容量：40℃时102%，25℃时100%，0℃时85%，-15℃时65%。</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配套设施</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配套设施</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高音喇叭远程告警系统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高音喇叭系统</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远程预警系统，主要负责洪水预警时远程告警和闯禁区视频监控触发远程告警。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当水情遥测洪水预报系统监测到洪水可能威胁到河边村庄的安全或者视频监控系统监测到有人闯入监控电子围栏中时，系统会自动触发高音喇叭远程预警程序：自动告警软件通过GRPS传输系统，将生产的预警信息，以文字信息发送到现场的高音喇叭接收装置中，高音喇叭告警系统具备将传送过来的文字转换音频功能，直接通过高功率高音喇叭，向村庄或者闯入禁区的人员播报告警信息；同时，通过手机短信系统，自动向预先设置的当地联系人（如村长等），发送短信预警信息，双管齐下，提高预警效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高音喇叭远程预警系统功能：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（1）采用GSM/GPRS 公网通讯技术实现即时远程电话语音广播扩音、短信转语音广播扩音。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（2）配置语音短信交互系统（单机板）实现多级信息互通管理广播播出。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（3）具备双电话语音程控功能，移动公网电话语音通讯广播和电信固话网通讯语音广播。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（4）适用使用 12V 和 220V 双供电系统，具备 12v/150AH 蓄电池和 220V供电，且耐宽电源电压 270V 高压自恢复用电保护。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（5）电源防雷击功能，要求耐冲击电流 10KA 保护水平 1500V 带自恢复，配接高增益天线。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（6）采用数字频率合成技术，载频频率 PLL 同步锁相，LED 数字显示。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（7）高音喇叭采用交流电供电，并配置带浮充蓄电池，以便临时停电时，高音喇叭远程告警系统还能正常工作。</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中心站通过GSM短信模块，可自动编辑发送预警信息文字，高音喇叭接收系统受到中心站特定号码的短信后，能将文字信息，变成语音，通过高音喇叭系统播报出去。实施时，也可考虑利用兴安县水利局山洪灾害系统的云MAS发布报警信息。</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语音短信交互系统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高音喇叭系统配套</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蓄电池</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安全性能：正常使用下无电解液漏出，无电池膨胀及破裂；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放电性能：放电电压平稳，放电平台平缓；</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耐震动性：安全充电状态的电池完全固定，以3mm的振幅，16.7Hz的频率震动一小时，无漏液，无电池膨胀及破裂，开路电压正常；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耐冲击性：完全充电状态的电池从20cm 高处自然落至1cm厚的硬木板上3次无漏液，无电池膨胀及破裂，开路电压正常；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耐过放电性：25摄氏度，完全充电状态的电池进行定电阻放电3星期，恢复容量在75%以上；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耐充电性：25摄氏度，完全充电状态的电池0.1CA充电48小时，无漏液，无电池膨胀及破裂，开路电压正常，容量维持率在95%以上；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耐大电流性：完全充电状态的电池2AC充电5分钟或10AC放电5秒钟。无导电部分熔断，无外观变形；</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不同温度下的放电容量：40℃时102%，25℃时100%，0℃时85%，-15℃时65%。</w:t>
            </w:r>
          </w:p>
        </w:tc>
      </w:tr>
      <w:tr>
        <w:tblPrEx>
          <w:tblCellMar>
            <w:top w:w="0" w:type="dxa"/>
            <w:left w:w="108" w:type="dxa"/>
            <w:bottom w:w="0" w:type="dxa"/>
            <w:right w:w="108" w:type="dxa"/>
          </w:tblCellMar>
        </w:tblPrEx>
        <w:trPr>
          <w:gridAfter w:val="1"/>
          <w:wAfter w:w="133" w:type="pc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避雷器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标称工作电压 220/380V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最大持续工作电压 385V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标称放电电流 20KA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最大通流容量 40KA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保护水平 1800V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响应时间 ≤25ns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保护模式 L/N-PE</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保护等级 IP20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工作环境 温度：-40℃--+85℃；湿度：≤95%</w:t>
            </w:r>
          </w:p>
        </w:tc>
      </w:tr>
      <w:tr>
        <w:tblPrEx>
          <w:tblCellMar>
            <w:top w:w="0" w:type="dxa"/>
            <w:left w:w="108" w:type="dxa"/>
            <w:bottom w:w="0" w:type="dxa"/>
            <w:right w:w="108" w:type="dxa"/>
          </w:tblCellMar>
        </w:tblPrEx>
        <w:trPr>
          <w:gridAfter w:val="1"/>
          <w:wAfter w:w="133" w:type="pct"/>
          <w:trHeight w:val="426"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r>
      <w:tr>
        <w:tblPrEx>
          <w:tblCellMar>
            <w:top w:w="0" w:type="dxa"/>
            <w:left w:w="108" w:type="dxa"/>
            <w:bottom w:w="0" w:type="dxa"/>
            <w:right w:w="108" w:type="dxa"/>
          </w:tblCellMar>
        </w:tblPrEx>
        <w:trPr>
          <w:gridAfter w:val="1"/>
          <w:wAfter w:w="133" w:type="pct"/>
          <w:trHeight w:val="418"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配套建筑安装费</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配套建筑安装费</w:t>
            </w:r>
          </w:p>
        </w:tc>
      </w:tr>
      <w:tr>
        <w:tblPrEx>
          <w:tblCellMar>
            <w:top w:w="0" w:type="dxa"/>
            <w:left w:w="108" w:type="dxa"/>
            <w:bottom w:w="0" w:type="dxa"/>
            <w:right w:w="108" w:type="dxa"/>
          </w:tblCellMar>
        </w:tblPrEx>
        <w:trPr>
          <w:gridAfter w:val="1"/>
          <w:wAfter w:w="133" w:type="pct"/>
          <w:trHeight w:val="373" w:hRule="atLeast"/>
        </w:trPr>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二.洪水预报预警系统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133" w:type="pct"/>
          <w:trHeight w:val="517"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洪水预报方案编制</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洪水预报方案编制</w:t>
            </w:r>
          </w:p>
        </w:tc>
      </w:tr>
      <w:tr>
        <w:tblPrEx>
          <w:tblCellMar>
            <w:top w:w="0" w:type="dxa"/>
            <w:left w:w="108" w:type="dxa"/>
            <w:bottom w:w="0" w:type="dxa"/>
            <w:right w:w="108" w:type="dxa"/>
          </w:tblCellMar>
        </w:tblPrEx>
        <w:trPr>
          <w:gridAfter w:val="1"/>
          <w:wAfter w:w="133" w:type="pct"/>
          <w:trHeight w:val="241" w:hRule="atLeast"/>
        </w:trPr>
        <w:tc>
          <w:tcPr>
            <w:tcW w:w="238" w:type="pct"/>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1691"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洪水预报软件</w:t>
            </w:r>
          </w:p>
        </w:tc>
        <w:tc>
          <w:tcPr>
            <w:tcW w:w="2938" w:type="pct"/>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洪水自动预报,是根据从水文遥测系统采集水位、流量数据，从桂林水文局采集的长洲流域雨量、水位数据和蒸发资料等，每过一个时段间隔，由系统管理软件调用水文预报软件，自动作出入库流量过程、上游区间入流过程、支流来水过程、设定断面水位过程等的预报。系统的时段间隔一般为一小时，每到准点时刻，洪水预报系统自行启动，执引预报任务，执行完毕后，所有结果自动存入数据库。</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洪水自动预报主要开发内容有：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1）水文资料系列摘录与分析整理；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2）模型结构选择；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3）模型参数率定；</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4）洪水预报实时修正；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5）模型参数修正；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6）模型状态变量初值估计等。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人机交互洪水预报系统主要功能：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1、人工干预预报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2、历史洪水模拟、实时洪水模拟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3、洪水预报信息管理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4、水文业务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5、模型修复</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6、参数修正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模型参数采用人工试错和自动优选相结合的参数率定结构，方便、快速、高效地完成多模型、多参数的率定工作。基于建立的预报模型，选用一定时期的连续资料进行模拟计算，根据计算结果与实测结果进行比较，求出误差。再调整参数值，比较其结果和误差，直到最后误差为最小，即率定出参数的最优值，完成模型参数率定。模型参数率定方法有人工试错法和自动优选法两种。人工试错法是根据人的分析判断来修改参数，最后使目标函数为最小。自动优选法采用数学优化方法，自动求解参数的最优值。</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系统具有确定性系数和水量平衡两种目标函数可供选择，可设定计算目标函数的域值，可设定任何连续或间断历史水文资料系列用于率定，可根据预报方案属性自动从专用数据库中获取并生成用于模型率定的历史数据文件。模型率定完成后，所保存的参数率定结果即可用于实时作业预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水文预报模型中，有一些随时间变化的递推计算状态变量，这些状态变量常受模型输入等实时洪水预报误差因素影响，会破坏洪水预报模型环境。水文预报模型修复，就是对破坏了的洪水预报模型环境如模型中间变量作出估计，并修改保存在数据库中，进而修复洪水预报模型环境。</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洪水预报信息查询与管理主要包含以下功能：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（1）洪水预报结果查询；</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（2）洪水预报软件运行信息管理；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（3）洪水预报模型评判与选择。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洪水预报软件运行信息管理的作用，就是把系统软件在运行过程中，外部环境如雨量资料、蒸发、水位等资料的误差导致洪水预报结果不合理时自动记载的信息供用户事后分析原因。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灵渠洪水预报系统中，数据库管理子系统提供雨、水、工情实时信息。同时数据库管理子系统为洪水预报子系统提供实时信息，洪水预报系统把预报成果提供给航道防洪调度系统、航道会商系统、航道汛情监视及信息服务系统等。</w:t>
            </w:r>
          </w:p>
        </w:tc>
      </w:tr>
      <w:tr>
        <w:tblPrEx>
          <w:tblCellMar>
            <w:top w:w="0" w:type="dxa"/>
            <w:left w:w="108" w:type="dxa"/>
            <w:bottom w:w="0" w:type="dxa"/>
            <w:right w:w="108" w:type="dxa"/>
          </w:tblCellMar>
        </w:tblPrEx>
        <w:tc>
          <w:tcPr>
            <w:tcW w:w="23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18"/>
                <w:szCs w:val="18"/>
                <w:highlight w:val="none"/>
              </w:rPr>
            </w:pPr>
          </w:p>
        </w:tc>
        <w:tc>
          <w:tcPr>
            <w:tcW w:w="1691"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18"/>
                <w:szCs w:val="18"/>
                <w:highlight w:val="none"/>
              </w:rPr>
            </w:pPr>
          </w:p>
        </w:tc>
        <w:tc>
          <w:tcPr>
            <w:tcW w:w="2938" w:type="pct"/>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18"/>
                <w:szCs w:val="18"/>
                <w:highlight w:val="none"/>
              </w:rPr>
            </w:pPr>
          </w:p>
        </w:tc>
        <w:tc>
          <w:tcPr>
            <w:tcW w:w="133" w:type="pct"/>
            <w:tcBorders>
              <w:top w:val="nil"/>
              <w:left w:val="nil"/>
              <w:bottom w:val="nil"/>
              <w:right w:val="nil"/>
            </w:tcBorders>
            <w:shd w:val="clear" w:color="auto" w:fill="auto"/>
            <w:noWrap/>
            <w:vAlign w:val="bottom"/>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w:t>
            </w:r>
          </w:p>
        </w:tc>
        <w:tc>
          <w:tcPr>
            <w:tcW w:w="16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预报原始数据收集</w:t>
            </w:r>
          </w:p>
        </w:tc>
        <w:tc>
          <w:tcPr>
            <w:tcW w:w="293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预报原始数据收集</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三.视频监视预警系统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渠道监控部分（12处）</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周界监控筒型摄像机及配套支架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200万星光级1/2.7"CMOS智能筒型网络摄像机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智能侦测:采用深度学习硬件及算法,提供精准的人车分类侦测,支持越界侦测,区域入侵侦测,进入/离开区域侦测。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支持联动白光报警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支持联动声音报警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最小照度:0.002Lux @(F1.2,AGC ON) ,0 Lux with IR</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镜头:4mm, 水平视场角81.9°[6mm(50.8°),8mm(38.7°),12mm(24.2°)可选]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宽动态范围:120dB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音频接口:内置麦克风和扬声器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音频接口:1对音频输入(Line in)/输出（Line out）外部接口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报警输入:1路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支持声音报警功能，报警声音类型不小于10种，报警声级及报警次数可设置。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需具备智能分析抗干扰功能，当篮球、小狗、树叶等非人或车辆目标经过检测区域时，不会触发报警。</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日常安全监控球型摄像机及配套支架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200万像素7寸红外智能球机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支持深度学习算法，提供精准的人车分类侦测、报警、联动跟踪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支持声光警戒：报警联动白光闪烁报警和声音报警，声音内容可选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支持区域入侵侦测、越界侦测、进入区域侦测和离开区域侦等智能侦测并联动跟踪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支持切换为人脸抓拍模式，最大同时抓拍5张人脸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内置扬声器：功率5w；30m不低于60dB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采用高效补光阵列，低功耗，红外补光150m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内置加热玻璃，有效除雾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传感器类型: 1/2.8＂ progressive scan CMOS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最低照度: 彩色：0.005Lux @ (F1.6，AGC ON)；黑白：0.001Lux @(F1.6，AGC ON) ；0 Lux with IR</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宽动态: 120dB超宽动态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焦距: 4.8-110mm, 23倍光学变倍</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支持人脸抓拍设置，具有最佳抓拍和快速抓拍两种模式设置选项</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需具备智能分析抗干扰功能，当篮球、小狗、树叶等非人或车辆目标经过检测区域时，不会触发报警。</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支持快捷配置功能，可在预览画面开启/关闭“快捷配置”页面，对曝光参数、OSD、智能资源分配模式等参数进行配置，并可一键恢复为默认设置。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支持像素显示功能，可实时显示监控画面上选定区域的水平像素大小和垂直像素大小。</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交换机</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传输速率：10/100/1000Mbps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端口数量：5个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端口描述：5个10/100/1000Mbps RJ45 端口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接口介质：10BASE-T：3、4、5类非屏蔽双绞线（≤100米）</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100BASE-TX：5类及以上非屏蔽双绞线（≤100米）</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1000BASE-T：5类及以上非屏蔽/屏蔽双绞线（≤100米）</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传输模式：全双工/半双工自适应</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状态指示灯：每台设备具有1个Power指示灯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每端口具有1个Link/Ack指示灯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电源电压：DC 48V，1.25A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工作温度：0-40℃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工作湿度：10%-90%RH（不凝结）</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存储温度：-40-70℃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存储湿度：5%-90%RH（不凝结）</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室外防水机箱</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尺寸：300×400×500mm；（可以根据实际情况定制）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进线：侧部；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安装要求：固定于立杆上；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防水：满足IP66标准；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设备：可内置光端机、交换机、防盗探头等。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防护：此外在箱体内部四周，隔热棉装于内层隔板与内胆之间，防止有沙土和蚊虫进入。</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电源避雷器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标称工作电压 220/380V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最大持续工作电压 385V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标称放电电流 20KA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最大通流容量 40KA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保护水平 1800V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响应时间 ≤25ns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保护模式 L/N-PE</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保护等级 IP20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工作环境 温度：-40℃--+85℃；湿度：≤95%</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网络避雷器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SPD端口 两端口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SPD类别 组合型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接口类型 RJ45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额定电压  Un 5V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持续运行电压  Uc 8V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额定负载电流  IL 0.5A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总标称放电电流   In(8/20μs) 8kA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每线标称放电电流  In(8/20μs) 2kA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每线**放电电流   Imax(8/20μs) 3kA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总**放电电流  Imax(8/20μs) 12kA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保护水平   Upx-x(1.2/50μs) &lt;15V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保护线路 1,2,3,6</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传输特性 155Mbps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插入损耗 &lt;0.5dB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失效指示 线路对地短路或断开</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安装方式 搭配FCS-02可35mm标准导轨安装</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连接方式入/出 RJ45/RJ45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接地方式 1.5mm2软线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工作环境温度 -40/85℃</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配套接插件</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配套接插件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监控立杆（5米）</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立杆高度5米（与高音喇叭预警系统共用），其中，部分视频+监控站点与水位站在一起，它们共用立杆。如上图所示。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焊接要求符合国标GBJ205-83规程，所有焊缝要求平整、表面光洁、美观。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杆体加工后进行热镀锌处理，杆体表面喷涂户外耐候涂料。</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达到足够的机械强度，满足抗风10级、摆动幅度不超过15mm、抗阵风12级、防震。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设计风阻：35m/s。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杆体均需接地，接地电阻不大于4欧姆，且设置避雷针。</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配套水尺</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配套水尺</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全景拍摄部分（1处）</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全景拍摄球型摄像机及配套支架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2400万星光级全景网络高清智能球机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采用一体化设计，单产品即可同时提供全景与特写画面，兼顾全景与细节。其中全景画面由6个传感器拼接而成，实现270度的全景监控；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全景摄像机: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传感器类型: 1/1.8＂ Progressive Scan CMOS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视场角: 水平270°，垂直85°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分辨率及帧率: 主码流：50Hz: 25fps ( 8160×2400)；60Hz: 30fps ( 8160×2400)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细节跟踪摄像机: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图像传感器: 1/1.8＂ Progressive Scan CMOS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最低照度: 彩色：0.0005Lux @ (F1.2，AGC ON)；黑白：0.0001Lux @(F1.2，AGC ON) ；0 Lux with IR</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红外功能: 红外照射距离250m；红外灯亮度、角度根据场景智能调整</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焦距: 6.0-240mm，40倍光学变倍</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自带镜头，另配6个图像采集模块，可输出1路主视频图像和6路辅视频图像。可将辅视频图像进行无缝拼接，拼接后的辅视频图像：水平视场角为270°，垂直视场角为80°。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内置3个GPU芯片。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主视频支持不小于40倍光学变倍，支持检测当前镜头指向方向与地平面夹角，并可根据夹角变化自动调整倍率。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在全景通道中，可对距离样机至少700米处的不大于1.7米x0.5米的移动目标进行检测并联动细节通道进行跟踪。</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室外防水机箱</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尺寸：300×400×500mm；（可以根据实际情况定制）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进线：侧部；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安装要求：固定于立杆上；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防水：满足IP66标准；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设备：可内置光端机、交换机、防盗探头等。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防护：此外在箱体内部四周，隔热棉装于内层隔板与内胆之间，防止有沙土和蚊虫进入。</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二合一避雷器</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二合一避雷器</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配套接插件</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配套接插件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监控立杆（10米）</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监控立杆（10米）</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监控铁塔（15米）及围栏设施</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四角钢结构设计，主框架采用角钢设计，在顶部设置操作维修平台，维修平台采用圆形结构，四周采用扁钢组成护栏，平台一侧设置一根避雷针，避雷针通过25mm2的扁钢连接到地下接地体。可抵御12级风，表面防锈处理后镀锌。整体造型美观，设置外置的爬梯，爬梯宽度不低于500mm，爬梯配置保护圈装置，爬梯与顶部工作平台间设立带锁防护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（2）监控塔配置一套走线保护管，确保从基础引来的电源线不暴露在室外。</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（3）铁塔所有材质采用Q235B碳素钢，钢材采用热镀锌，镀锌厚度不低于86um，镀锌工艺执行GB/T13912-2012标准；防腐年限大于30年。</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（4）铁塔架构制作执行GB50205-2001标准。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（5）四角监控塔设计为云台顶载模式，侧面设置避雷针，避雷针直径42*3管。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（6）铁塔设计整体承重不低于2000kg，抗风等级大于12级，覆冰厚度8mm以上，抗震设防烈度8。</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（7）铁塔各个构件采用工厂加工组装，现场标准件连接。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铁塔基础采用水泥混凝土和基础锚栓组成，基础深度不低于2.5米，基础采用筏板式，基础柱之间增加连梁。基础混凝土为C30，钢筋为HRB300、HRB400。地脚螺栓规格不小于M36。基础四周设计接地网，接地极采用L50角钢，接地扁钢为-4*40扁钢，接地电阻不大于10欧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（9）在铁塔周边范围内安装2米高的围栏防护设施，不锈钢材质，需保证外观造型的美观。</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四</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中心站设备</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智能管理存储终端</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硬件规格：</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3U标准机架式</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2个HDMI，2个VGA,HDMI+VGA组内同源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16盘位，可满配8T、10T硬盘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2个千兆网口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2个USB2.0接口、1个USB3.0接口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1个eSATA接口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报警IO：16进8出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支持RAID0、1、5、10，支持全局热备盘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软件性能：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输入带宽：320M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32路H.264、H.265混合接入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最大支持16×1080P解码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支持H.265、H.264解码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Smart 2.0/整机热备/ANR/智能检索/智能回放/车牌检索/人脸检索/热度图/客流量统计/分时段回放/超高倍速回放/双系统备份</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监控专用硬盘</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监控专用硬盘</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智能可视化管理平台</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1、支持最大安保区域数量：2万；最大区域层级：10级；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2、支持最大组织数量：5万；最大组织层级：10级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3、支持最大用户数量：20万；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4、支持最大同时在线用户数量：5000；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5、支持最大角色数量：1万；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6、支持最大人员数量：30万；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7、支持最大卡片数量：30万。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8、紧急报警设备接入数量：500。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9、违停球接入数量：1000</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专用服务器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2U双路标准机架式服务器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CPU：1颗intel至强系列处理器，核数≥10核，主频≥2.2GHz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内存：16G*2 DDR4，16根内存插槽，最大支持扩展至2TB内存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硬盘：2块1.2T 10K 2.5寸 SAS硬盘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阵列卡：SAS_HBA卡, 支持RAID 0/1/10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PCIE扩展：最大可支持6个PCIE扩展插槽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网口：2个千兆电口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其他接口：1个RJ45管理接口，后置2个USB 3.0接口，前置2个USB2.0接口，1个VGA接口</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电源：标配550W（1+1）高效铂金CRPS冗余电源</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五</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供电及传输网络系统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供电设施接入</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监测站点可选择市电220V供电、风光互补供电等多种方式。</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根据站点实际情况，全景摄像机采用风光互补的供电方式，其他监控点采用就近取电，220V供电的方式。</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一、市电供电</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在摄像机前端设备的安装位置附近接取电源。适用于较分散的前端视频图像采集点供电，以及无法提供集中供电条件的现场安装环境。承建单位需协调供电所、交通、公路、环保、城管等相关部门，根据各个视频图像采集点的实际情况，就近从相关部门的市政供电、路灯用电、交通供电、环保供电等线路中，提供各视频图像采集点的电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二、风光互补供电</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风光互补智慧监控系统，系统利用风光电转化原理，为偏远或无电区域的监控设备，提供电力供应的智能化集成系统，广泛应用于河湖视频监控等领域。</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当地取电困难，供电不稳定，采用新能源方式解决；要求无风、光发电3日异常能保证负载设备供电的持续性。本系统采用风光互补方式供电，由小型风力发电机、太阳能板构成电力来源，由电池组构成储能系统，通过风光互补控制器将发电能量、储存能量转化为前端用电负载电压需求，供前端负载设备使用。</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现场网络接入</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本项目中的所有监控点，均采用租用电信或移动的光纤的方式，根据监控点的配置情况，目前按照每个点20M的带宽，3年的运行使用费用计算。</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四、数字灵渠3D多维可视化系统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3D可视化工作站</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采用国产X86架构CPU</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CPU频率3.0GHz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最高睿频 3.7GHz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CPU数量2颗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CPU核心8核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CPU线程数16线程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内存：64GB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硬盘接口类型 SATA/SSD</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硬盘容量 512GB+4TB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硬盘描述 4TB 7200RPM SATA 3.5 + 512G 2.5 SATA 6G R SSD</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显卡描述∶NV Quadro RTX 4000 8GB E3x16 160W 单宽 显卡</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3D外部航拍</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用航拍扫描快速建立灵渠和灵渠主体工程建筑物的外景；通过空间扫描设备来采集灵渠主体工程建筑物内景模型。基于扫描后得回来的数据模型，通过建模平台实现3D建模，最终生成灵渠水系和主体工程建筑物的外部三维建模沙盘。</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3D内部空间扫描</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运用3D魔方扫描快速建立灵渠主体工程建筑物的内景结构、建筑物布局、重点设备设施；基于扫描后得回来的数据模型，通过建模平台进行3D建模，最终生成内景的三维建模沙盘。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三维数字模型将依托后台水利大数据做模型支撑，各种传感器的数据图层，视屏融合三维场景实现灵渠建筑物内部全视角实景三维的无人巡视监控。</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四</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数据处理建模</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沙盘能够兼容所有类型的三维空间数据，将这些空间数据放入数字沙盘进行立体展示，并提供所有的前端感知设备雨水情实时监测数据、工情实时监测数据、设备运行实时监测数据、视频实时监测数据、实时告警、数据趋势演进等功能构成数字沙盘。实现数字全息大堤表观展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灵渠沿线和水工建筑物三维实景数字沙盘将通过大屏幕电脑展示。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数据叠加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模型建设完成后，通过中心站系统将业务信息数据、物联网感知数据以及其他相关部门数据进行数据叠加。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沙盘浏览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沙盘模型建立后，通过触摸屏等互动先生设备进行显示。可实现对灵渠整体环境进行浏览分析、工程运行情况查询等展示功能。可通过VR头显查看景点虚拟沙盘，呈现出总平面图沙盘三维模型效果。沙盘有移动，旋转，缩放等功能。</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五、中心站系统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中心站硬件</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通信服务器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CPU HYGON 5131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CPU频率2.3GHz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动态加速频率 2.8GHz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CPU数量2颗 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CPU核心8核（Haswell）</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CPU线程数16线程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内存类型DDR4  2933</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内存容量16GB*2根</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硬盘接口类型600G 2.5吋10K 12Gb SAS *3块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磁盘控制器1个2GB SAS 12Gb 8口RAID 阵列控制器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RAID模式RAID 0，1，5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网络控制器 四端口千兆网卡</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数据库服务器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CPU HYGON 5131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CPU频率2.3GHz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动态加速频率 2.8GHz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CPU数量2颗 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CPU核心8核（Haswell）</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CPU线程数16线程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内存类型DDR4  2933</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内存容量16GB*2根</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硬盘接口类型600G 2.5吋10K 12Gb SAS *3块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磁盘控制器1个2GB SAS 12Gb 8口RAID 阵列控制器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RAID模式RAID 0，1，5</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网络控制器 四端口千兆网卡</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图形工作站</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三维显示视频图形工作站具体配置如下：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采用国产X86架构CPU</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CPU型号HYGON 3185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CPU频率3.0GHz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最高睿频 3.7GHz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CPU数量2颗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CPU核心8核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CPU线程数16线程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内存：64GB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硬盘接口类型 SATA/SSD</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硬盘容量 512GB+4TB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硬盘描述 4TB 7200RPM SATA 3.5 + 512G 2.5 SATA 6G R SSD</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显卡描述∶NV Quadro RTX 4000 8GB E3x16 160W 单宽 显卡</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工作站</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CPU系列英特尔 酷睿i7 9代系列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CPU型号Intel 酷睿i7- 9700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CPU频率3.0GHz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最高睿频4.7GHz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总线规格DMI3  8 GT/s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缓存L3 12MB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核心架构Skylake</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核心/线程数八核心/八线程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商用技术Intel 博锐技术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内存容量8GB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无线网卡支持802.11a/b/g/n无线协议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有线网卡1000Mbps以太网卡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蓝牙支持，蓝牙4.0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显示器 ：23.8寸显示器</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服务器机柜</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容量  42U</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标准  符合ANSI/EIA RS-310-D, IEC297-2, DIN41491; PART1, DIN41494; PART7, GB/T3047.2- 92标准; 兼容ETSI标准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高度(mm) 2055mm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尺寸 0.6(宽)×1(深)×2.055(高)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宽度(mm) 600mm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深度(mm) 1000mm</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防火墙</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网络端口 2×10GE(SFP+),8×GE Combo,2xGE WAN</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控制端口 1×USB2.0,1×USB3.0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▲应用识别与管控：识别6000+应用，访问控制精度到应用功能。应用识别与入侵检测、防病毒、内容过滤相结合，提高检测性能和准确率。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带宽：在识别业务应用的基础上，可管理每用户/IP使用的带宽, 确保关键业务和关键用户的网络体验。管控方式包括：限制最大带宽或保障最小带宽、应用的策略路由、修改应用转发优先级等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云管理:设备自行向云管理平台发起认证注册，实现即插即用，简化网络创建和开局</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远程业务配置管理、设备监控故障管理，实现海量设备的云端管理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安全标准 一体化：集传统防火墙、VPN、入侵防御、防病毒、数据防泄漏、带宽管理、Anti-DDoS、URL过滤、反垃圾邮件等多种功能于一身，全局配置视图和一体化策略管理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入侵：第一时间获取最新威胁信息，准确检测并防御针对漏洞的攻击。可防护各种针对web的攻击，包括SQL注入攻击和跨站脚本攻击等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APT：与本地/云端沙箱联动，对恶意文件进行检测和阻断</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加密流量无需解密，联动大数据分析平台CIS，实现对加密流量威胁检测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主动响应恶意扫描行为，并通过联动大数据分析平台CIS进行行为分析，快速发现，记录恶意行为，实现对企业威胁的实时防护</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云管理：可对企业云应用进行精细化和差异化的控制，满足企业对用户使用云应用的管控需求。</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路由器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路由器类型 企业级路由器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传输速率 10/100/1000Mbps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广域网接口 4个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局域网接口 5个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包转发率 9-25Mpps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功能参数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防火墙 内置防火墙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Qos支持 支持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VPN支持 支持</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交换机</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产品类型： 千兆以太网交换机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应用层级：三层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传输速率： 10/100/1000Mbps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交换方式： 存储-转发</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▲交换容量 ：336Gbps/3.36Tbps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包转发率： 96Mpps/126Mpps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MAC地址表：支持MAC地址自动学习和老化</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端口参数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端口结构：非模块化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端口数量：28个</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端口描述：24个10/100/1000Base-T，4个千兆SFP</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传输模式：全双工/半双工自适应</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KVM液晶显示器鼠标系统</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液晶显示屏：可视面积 17"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最佳分辨率 1280*1024@60Hz；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亮度 250cd/m2；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对比度 1000:01:00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色彩显示 16.7M；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像素间隔（mm) 0.264（H)*0.264(W)</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键盘：按键设计 99键（82键主键盘+17键数字键盘）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接口 PS/2或者USB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使用寿命MTBF &gt;10,000,000次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鼠标： X/Y分辨率 &gt;1000点/英寸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硬件接口 PS/2或者USB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       使用寿命MTBF &gt;10,000,000次</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UPS电源系统</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基本参数 • UPS类型在线式Castle系列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额定功率10KVA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整机效率达到90%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输入输出参数 • 输入配线单项二线+地线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输入电压范围：120-275Vac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输入频率范围：40-70Hz；50/60Hz自适应Hz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输入功因&gt;0.99</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输出电压范围AC 220V（±1%）V</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电池模式：50（±0.2）Hz/60（±0.2）Hz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输出功因＞0.9</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输出谐波失真 ＜2% THD线性负载;；＜4% THD非线性负载;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输出波形：纯净正弦输出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通信和管理 • 过载能力Load＜105%，长期运行</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105%＜Load≤125% ＞1min</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125%＜Load≤150% ＞30sec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&gt;150%  0.5SEC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外配电池 免维护16*12V100AH电池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电池柜 • C-16专用电池柜</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其他相关配件、网络工具等</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其他相关配件、网络工具等</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中心站软件系统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服务器操作系统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Windows Server 2019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数据库系统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SQL Server 2019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ArcGIS开发包</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ArcGIS开发包</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网络版杀毒软件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网络版杀毒软件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系统安全应用及加固软件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系统安全应用及加固软件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水情遥测数据接收汇集软件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水情遥测数据接收汇集软件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远程视频监测预警软件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远程视频监测预警软件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一张图GIS综合展示平台</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一张图GIS综合展示平台</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高音喇叭远程告警软件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高音喇叭远程告警软件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WEB信息发布系统</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WEB信息发布系统</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灵渠三维可视化展示系统</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基于GIS定制开发</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灵渠3D渠道洪水淹没推演</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基于GIS定制开发</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监控视频接入灵渠三维地图模型</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基于GIS定制开发</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大屏幕显示系统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户外P4全彩显示屏</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像素间距：4mm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模组尺寸:256（W）×128（H）</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大屏尺寸:3.072M(W)*2.048M(H)</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单元模组采用高强度阻燃塑胶套件，产品轻巧安装精度高，模组套件、PCB电路板、控制驱动IC与显示屏为同一品牌生产商制造；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对比度≥8000:1，刷新频率≥3840HZ，色温:2000k~12000k可调，亮度均匀性(校正后):≥98%；</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图像处理器</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1、支持逐点亮色度校正：可以对每个灯点的亮度和色度进行校正,有效消除色差,使整屏的亮度和色度达到高度均匀一致,提高显示屏的画质。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2、快速亮暗线调节：在调试软件上进行快速亮暗调节线调节,快速解决因箱体及模组拼接造成的显示屏亮暗线,调节过程中即时生效,简单易用，提供权威机构出具的检测报告。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3D功能：配合支持3D功能的独立主控,在软件或独立主控的操作面板上开启3D功能,并设置3D参数,使画面显示3D效果。预存画面和最后一帧设置：可以将指定图片设置为显示屏的开机、网线断开或无视源信号时的画面或者最后一帧画面。</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4、亮暗线调节：通过软件调节,可以解决箱体或灯板之间,因拼接导致的亮暗线问题。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5、与LED显示屏为同一品牌。</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户外钢结构及施工</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户外钢结构及施工</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电源、避雷器等配件</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电源、避雷器等配件</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控制电脑</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CPU系列英特尔 酷睿i7 9代系列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CPU型号Intel 酷睿i7- 9700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CPU频率3.0GHz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最高睿频4.7GHz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总线规格DMI3  8 GT/s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缓存L3 12MB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核心架构Skylake</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核心/线程数八核心/八线程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制程工艺14nm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商用技术Intel 博锐技术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内存容量8GB</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无线网卡支持802.11a/b/g/n无线协议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有线网卡1000Mbps以太网卡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蓝牙支持，蓝牙4.0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显示器 ：23.8寸显示器</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六、安装工程表</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视频及预警系统 </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监控立杆建设</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监控立杆建设</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监控铁塔基础制作</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监控铁塔基础制作</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避雷接地（立杆）</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避雷接地（立杆）</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避雷接地（铁塔）</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避雷接地（铁塔）</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围栏基础</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围栏基础</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水尺安装设施</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水尺安装设施</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风光互补安装支架及基础</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风光互补安装支架及基础</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雨量水位遥测站</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野外雨量站建设</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野外雨量站建设</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野外水位站建设</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野外水位站建设</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流量站配套建筑安装清单和费用</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不锈钢滑轨制作</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不锈钢滑轨制作</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不锈钢滑轨安装固定</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不锈钢滑轨安装固定</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一体化不锈钢机箱</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配套土建</w:t>
            </w:r>
          </w:p>
        </w:tc>
        <w:tc>
          <w:tcPr>
            <w:tcW w:w="293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配套土建</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192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运行费用清单</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交流电三年使用费</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3年交流电三年使用费</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野外站点光纤接入及三年使用费</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3年野外站点光纤接入及三年使用费（20M）</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6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中心站光线接入及三年使用费</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3年中心站光线接入及三年使用费（</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00M）</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数据传输通信费</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3年数据传输通信费</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风光互补发电系统</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3年风光互补发电系统</w:t>
            </w:r>
          </w:p>
        </w:tc>
        <w:tc>
          <w:tcPr>
            <w:tcW w:w="133" w:type="pct"/>
            <w:vAlign w:val="center"/>
          </w:tcPr>
          <w:p>
            <w:pPr>
              <w:widowControl/>
              <w:jc w:val="left"/>
              <w:rPr>
                <w:rFonts w:eastAsia="Times New Roman"/>
                <w:color w:val="auto"/>
                <w:kern w:val="0"/>
                <w:sz w:val="18"/>
                <w:szCs w:val="18"/>
                <w:highlight w:val="none"/>
              </w:rPr>
            </w:pPr>
          </w:p>
        </w:tc>
      </w:tr>
      <w:tr>
        <w:tblPrEx>
          <w:tblCellMar>
            <w:top w:w="0" w:type="dxa"/>
            <w:left w:w="108" w:type="dxa"/>
            <w:bottom w:w="0" w:type="dxa"/>
            <w:right w:w="108" w:type="dxa"/>
          </w:tblCellMar>
        </w:tblPrEx>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6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系统运维费</w:t>
            </w:r>
          </w:p>
        </w:tc>
        <w:tc>
          <w:tcPr>
            <w:tcW w:w="29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2年系统运维费（第一年保修，无需运维费）</w:t>
            </w:r>
          </w:p>
        </w:tc>
        <w:tc>
          <w:tcPr>
            <w:tcW w:w="133" w:type="pct"/>
            <w:vAlign w:val="center"/>
          </w:tcPr>
          <w:p>
            <w:pPr>
              <w:widowControl/>
              <w:jc w:val="left"/>
              <w:rPr>
                <w:rFonts w:eastAsia="Times New Roman"/>
                <w:color w:val="auto"/>
                <w:kern w:val="0"/>
                <w:sz w:val="18"/>
                <w:szCs w:val="18"/>
                <w:highlight w:val="none"/>
              </w:rPr>
            </w:pPr>
          </w:p>
        </w:tc>
      </w:tr>
    </w:tbl>
    <w:p>
      <w:pPr>
        <w:pStyle w:val="14"/>
        <w:ind w:left="0" w:leftChars="0"/>
        <w:rPr>
          <w:color w:val="auto"/>
          <w:highlight w:val="none"/>
        </w:rPr>
      </w:pPr>
    </w:p>
    <w:bookmarkEnd w:id="1"/>
    <w:p>
      <w:pPr>
        <w:widowControl/>
        <w:jc w:val="left"/>
        <w:rPr>
          <w:rFonts w:asciiTheme="minorEastAsia" w:hAnsiTheme="minorEastAsia" w:eastAsiaTheme="minorEastAsia" w:cstheme="minorEastAsia"/>
          <w:color w:val="auto"/>
          <w:sz w:val="24"/>
          <w:szCs w:val="16"/>
          <w:highlight w:val="none"/>
        </w:rPr>
      </w:pPr>
      <w:bookmarkStart w:id="30" w:name="_Toc506131554"/>
      <w:r>
        <w:rPr>
          <w:rFonts w:hint="eastAsia" w:asciiTheme="minorEastAsia" w:hAnsiTheme="minorEastAsia" w:eastAsiaTheme="minorEastAsia" w:cstheme="minorEastAsia"/>
          <w:color w:val="auto"/>
          <w:sz w:val="24"/>
          <w:szCs w:val="16"/>
          <w:highlight w:val="none"/>
        </w:rPr>
        <w:br w:type="page"/>
      </w:r>
    </w:p>
    <w:p>
      <w:pPr>
        <w:pStyle w:val="3"/>
        <w:tabs>
          <w:tab w:val="left" w:pos="1646"/>
        </w:tabs>
        <w:spacing w:before="49"/>
        <w:ind w:left="210" w:right="210"/>
        <w:rPr>
          <w:rFonts w:asciiTheme="minorEastAsia" w:hAnsiTheme="minorEastAsia" w:eastAsiaTheme="minorEastAsia" w:cstheme="minorEastAsia"/>
          <w:color w:val="auto"/>
          <w:highlight w:val="none"/>
        </w:rPr>
      </w:pPr>
      <w:bookmarkStart w:id="31" w:name="_Toc28849"/>
      <w:r>
        <w:rPr>
          <w:rFonts w:hint="eastAsia" w:asciiTheme="minorEastAsia" w:hAnsiTheme="minorEastAsia" w:eastAsiaTheme="minorEastAsia" w:cstheme="minorEastAsia"/>
          <w:color w:val="auto"/>
          <w:spacing w:val="40"/>
          <w:highlight w:val="none"/>
        </w:rPr>
        <w:t>第</w:t>
      </w:r>
      <w:r>
        <w:rPr>
          <w:rFonts w:hint="eastAsia" w:asciiTheme="minorEastAsia" w:hAnsiTheme="minorEastAsia" w:eastAsiaTheme="minorEastAsia" w:cstheme="minorEastAsia"/>
          <w:color w:val="auto"/>
          <w:spacing w:val="43"/>
          <w:highlight w:val="none"/>
        </w:rPr>
        <w:t>四</w:t>
      </w:r>
      <w:r>
        <w:rPr>
          <w:rFonts w:hint="eastAsia" w:asciiTheme="minorEastAsia" w:hAnsiTheme="minorEastAsia" w:eastAsiaTheme="minorEastAsia" w:cstheme="minorEastAsia"/>
          <w:color w:val="auto"/>
          <w:highlight w:val="none"/>
        </w:rPr>
        <w:t>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spacing w:val="40"/>
          <w:highlight w:val="none"/>
        </w:rPr>
        <w:t>评</w:t>
      </w:r>
      <w:r>
        <w:rPr>
          <w:rFonts w:hint="eastAsia" w:asciiTheme="minorEastAsia" w:hAnsiTheme="minorEastAsia" w:eastAsiaTheme="minorEastAsia" w:cstheme="minorEastAsia"/>
          <w:color w:val="auto"/>
          <w:spacing w:val="43"/>
          <w:highlight w:val="none"/>
        </w:rPr>
        <w:t>标</w:t>
      </w:r>
      <w:r>
        <w:rPr>
          <w:rFonts w:hint="eastAsia" w:asciiTheme="minorEastAsia" w:hAnsiTheme="minorEastAsia" w:eastAsiaTheme="minorEastAsia" w:cstheme="minorEastAsia"/>
          <w:color w:val="auto"/>
          <w:spacing w:val="40"/>
          <w:highlight w:val="none"/>
        </w:rPr>
        <w:t>办</w:t>
      </w:r>
      <w:r>
        <w:rPr>
          <w:rFonts w:hint="eastAsia" w:asciiTheme="minorEastAsia" w:hAnsiTheme="minorEastAsia" w:eastAsiaTheme="minorEastAsia" w:cstheme="minorEastAsia"/>
          <w:color w:val="auto"/>
          <w:highlight w:val="none"/>
        </w:rPr>
        <w:t>法</w:t>
      </w:r>
      <w:bookmarkEnd w:id="31"/>
    </w:p>
    <w:p>
      <w:pPr>
        <w:pStyle w:val="26"/>
        <w:spacing w:line="480" w:lineRule="auto"/>
        <w:ind w:firstLine="42" w:firstLineChars="20"/>
        <w:rPr>
          <w:rFonts w:asciiTheme="minorEastAsia" w:hAnsiTheme="minorEastAsia" w:eastAsiaTheme="minorEastAsia" w:cstheme="minorEastAsia"/>
          <w:b/>
          <w:color w:val="auto"/>
          <w:sz w:val="21"/>
          <w:highlight w:val="none"/>
          <w:shd w:val="clear" w:color="auto" w:fill="FFFFFF"/>
        </w:rPr>
      </w:pPr>
      <w:r>
        <w:rPr>
          <w:rFonts w:hint="eastAsia" w:asciiTheme="minorEastAsia" w:hAnsiTheme="minorEastAsia" w:eastAsiaTheme="minorEastAsia" w:cstheme="minorEastAsia"/>
          <w:b/>
          <w:color w:val="auto"/>
          <w:sz w:val="21"/>
          <w:highlight w:val="none"/>
          <w:shd w:val="clear" w:color="auto" w:fill="FFFFFF"/>
        </w:rPr>
        <w:t>一、评标依据及方式</w:t>
      </w:r>
    </w:p>
    <w:p>
      <w:pPr>
        <w:pStyle w:val="26"/>
        <w:spacing w:line="480" w:lineRule="auto"/>
        <w:rPr>
          <w:rFonts w:asciiTheme="minorEastAsia" w:hAnsiTheme="minorEastAsia" w:eastAsiaTheme="minorEastAsia" w:cstheme="minorEastAsia"/>
          <w:bCs/>
          <w:color w:val="auto"/>
          <w:sz w:val="21"/>
          <w:highlight w:val="none"/>
          <w:shd w:val="clear" w:color="auto" w:fill="FFFFFF"/>
        </w:rPr>
      </w:pPr>
      <w:bookmarkStart w:id="32" w:name="_Toc506131571"/>
      <w:r>
        <w:rPr>
          <w:rFonts w:hint="eastAsia" w:asciiTheme="minorEastAsia" w:hAnsiTheme="minorEastAsia" w:eastAsiaTheme="minorEastAsia" w:cstheme="minorEastAsia"/>
          <w:bCs/>
          <w:color w:val="auto"/>
          <w:sz w:val="21"/>
          <w:highlight w:val="none"/>
          <w:shd w:val="clear" w:color="auto" w:fill="FFFFFF"/>
        </w:rPr>
        <w:t>1. 评标依据：评标委员会以招标文件和投标文件为评标依据，对投标人的投标报价、技术、项目实施方案、服务承诺、履约能力等方面内容按百分制打分。</w:t>
      </w:r>
    </w:p>
    <w:p>
      <w:pPr>
        <w:pStyle w:val="26"/>
        <w:spacing w:line="480" w:lineRule="auto"/>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Cs/>
          <w:color w:val="auto"/>
          <w:sz w:val="21"/>
          <w:highlight w:val="none"/>
          <w:shd w:val="clear" w:color="auto" w:fill="FFFFFF"/>
        </w:rPr>
        <w:t>2. 评标方式：以封闭方式进行评标。</w:t>
      </w:r>
    </w:p>
    <w:p>
      <w:pPr>
        <w:pStyle w:val="26"/>
        <w:spacing w:line="480" w:lineRule="auto"/>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Cs/>
          <w:color w:val="auto"/>
          <w:sz w:val="21"/>
          <w:highlight w:val="none"/>
          <w:shd w:val="clear" w:color="auto" w:fill="FFFFFF"/>
        </w:rPr>
        <w:t>3. 根据财库〔2012〕69 号文规定，采购人和采购代理机构、评标委员会成员要严格遵守政府采购相关法律制度，依法履行各自职责，公正、客观、审慎地组织和参与评审工作。</w:t>
      </w:r>
    </w:p>
    <w:p>
      <w:pPr>
        <w:pStyle w:val="26"/>
        <w:spacing w:line="480" w:lineRule="auto"/>
        <w:rPr>
          <w:rFonts w:asciiTheme="minorEastAsia" w:hAnsiTheme="minorEastAsia" w:eastAsiaTheme="minorEastAsia" w:cstheme="minorEastAsia"/>
          <w:b/>
          <w:color w:val="auto"/>
          <w:sz w:val="21"/>
          <w:highlight w:val="none"/>
          <w:shd w:val="clear" w:color="auto" w:fill="FFFFFF"/>
        </w:rPr>
      </w:pPr>
      <w:r>
        <w:rPr>
          <w:rFonts w:hint="eastAsia" w:asciiTheme="minorEastAsia" w:hAnsiTheme="minorEastAsia" w:eastAsiaTheme="minorEastAsia" w:cstheme="minorEastAsia"/>
          <w:b/>
          <w:color w:val="auto"/>
          <w:sz w:val="21"/>
          <w:highlight w:val="none"/>
          <w:shd w:val="clear" w:color="auto" w:fill="FFFFFF"/>
        </w:rPr>
        <w:t>二、评定方法</w:t>
      </w:r>
      <w:bookmarkEnd w:id="32"/>
    </w:p>
    <w:p>
      <w:pPr>
        <w:spacing w:line="480" w:lineRule="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（一）对进入详评的，采用综合评分法。</w:t>
      </w:r>
    </w:p>
    <w:p>
      <w:pPr>
        <w:spacing w:line="480" w:lineRule="auto"/>
        <w:rPr>
          <w:rFonts w:asciiTheme="minorEastAsia" w:hAnsiTheme="minorEastAsia" w:eastAsiaTheme="minorEastAsia" w:cstheme="minorEastAsia"/>
          <w:color w:val="auto"/>
          <w:kern w:val="0"/>
          <w:szCs w:val="21"/>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（二）计分办法（按四舍五入取至小数点后二位）</w:t>
      </w:r>
    </w:p>
    <w:p>
      <w:pPr>
        <w:numPr>
          <w:ilvl w:val="0"/>
          <w:numId w:val="12"/>
        </w:numPr>
        <w:spacing w:line="480" w:lineRule="auto"/>
        <w:rPr>
          <w:rFonts w:asciiTheme="minorEastAsia" w:hAnsiTheme="minorEastAsia" w:eastAsiaTheme="minorEastAsia" w:cstheme="minorEastAsia"/>
          <w:b/>
          <w:color w:val="auto"/>
          <w:szCs w:val="21"/>
          <w:highlight w:val="none"/>
        </w:rPr>
      </w:pPr>
      <w:bookmarkStart w:id="33" w:name="_Toc506131576"/>
      <w:r>
        <w:rPr>
          <w:rFonts w:hint="eastAsia" w:asciiTheme="minorEastAsia" w:hAnsiTheme="minorEastAsia" w:eastAsiaTheme="minorEastAsia" w:cstheme="minorEastAsia"/>
          <w:b/>
          <w:color w:val="auto"/>
          <w:szCs w:val="21"/>
          <w:highlight w:val="none"/>
        </w:rPr>
        <w:t>价格分……………………………………………………………………………</w:t>
      </w: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5</w:t>
      </w:r>
      <w:r>
        <w:rPr>
          <w:rFonts w:hint="eastAsia" w:asciiTheme="minorEastAsia" w:hAnsiTheme="minorEastAsia" w:eastAsiaTheme="minorEastAsia" w:cstheme="minorEastAsia"/>
          <w:b/>
          <w:color w:val="auto"/>
          <w:szCs w:val="21"/>
          <w:highlight w:val="none"/>
        </w:rPr>
        <w:t>0分</w:t>
      </w:r>
    </w:p>
    <w:p>
      <w:pPr>
        <w:pStyle w:val="26"/>
        <w:spacing w:line="500" w:lineRule="exact"/>
        <w:ind w:firstLine="420"/>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w:t>（1）以进入评标的最低的有效评标报价为</w:t>
      </w:r>
      <w:r>
        <w:rPr>
          <w:rFonts w:hint="eastAsia" w:asciiTheme="minorEastAsia" w:hAnsiTheme="minorEastAsia" w:eastAsiaTheme="minorEastAsia" w:cstheme="minorEastAsia"/>
          <w:color w:val="auto"/>
          <w:sz w:val="21"/>
          <w:highlight w:val="none"/>
          <w:shd w:val="clear" w:color="auto" w:fill="FFFFFF"/>
          <w:lang w:val="en-US" w:eastAsia="zh-CN"/>
        </w:rPr>
        <w:t>5</w:t>
      </w:r>
      <w:r>
        <w:rPr>
          <w:rFonts w:hint="eastAsia" w:asciiTheme="minorEastAsia" w:hAnsiTheme="minorEastAsia" w:eastAsiaTheme="minorEastAsia" w:cstheme="minorEastAsia"/>
          <w:color w:val="auto"/>
          <w:sz w:val="21"/>
          <w:highlight w:val="none"/>
          <w:shd w:val="clear" w:color="auto" w:fill="FFFFFF"/>
        </w:rPr>
        <w:t>0分，按照《政府采购促进中小企业发展管理办法》（财库[2020]46号），对小型和微型企业的（以投标文件提供的符合规定的有关证明材料为准）投标价给予10%的扣除，扣除后的价格为评标报价，即评标报价=投标报价×（1-10%）；大中型企业与小型、微型企业组成联合体投标，其中小型、微型企业产品的协议合同金额占到联合体协议合同总金额30%以上的，联合体投标价给予2%的扣除，扣除后的价格为评标报价，即评标报价=投标报价×（1-2%）；除上述情况外，评标报价=投标报价。</w:t>
      </w:r>
    </w:p>
    <w:p>
      <w:pPr>
        <w:pStyle w:val="26"/>
        <w:spacing w:line="500" w:lineRule="exact"/>
        <w:ind w:firstLine="210" w:firstLineChars="100"/>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w:t>（2）根据财政部、司法部关于政府采购支持监狱企业发展有关问题的通知（财库[2014]68号），监狱企业视同小型、微型企业，享受小型、微型企业评审中价格扣除的政府采购政策。</w:t>
      </w:r>
    </w:p>
    <w:p>
      <w:pPr>
        <w:pStyle w:val="26"/>
        <w:ind w:firstLine="210" w:firstLineChars="100"/>
        <w:rPr>
          <w:rFonts w:asciiTheme="minorEastAsia" w:hAnsiTheme="minorEastAsia" w:eastAsiaTheme="minorEastAsia" w:cstheme="minorEastAsia"/>
          <w:color w:val="auto"/>
          <w:sz w:val="21"/>
          <w:highlight w:val="none"/>
          <w:shd w:val="clear" w:color="auto" w:fill="FFFFFF"/>
        </w:rPr>
      </w:pPr>
    </w:p>
    <w:p>
      <w:pPr>
        <w:pStyle w:val="26"/>
        <w:spacing w:line="400" w:lineRule="exact"/>
        <w:ind w:firstLine="3087" w:firstLineChars="1470"/>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w:t xml:space="preserve">最低投标人评标报价金额          </w:t>
      </w:r>
    </w:p>
    <w:p>
      <w:pPr>
        <w:pStyle w:val="26"/>
        <w:spacing w:line="400" w:lineRule="exact"/>
        <w:ind w:firstLine="420"/>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4pt;margin-top:15.5pt;height:0pt;width:173.25pt;z-index:251662336;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UK&#10;pDrXAAAACQEAAA8AAAAAAAAAAQAgAAAAIgAAAGRycy9kb3ducmV2LnhtbFBLAQIUABQAAAAIAIdO&#10;4kAg+yEd6wEAANgDAAAOAAAAAAAAAAEAIAAAACYBAABkcnMvZTJvRG9jLnhtbFBLBQYAAAAABgAG&#10;AFkBAACD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1"/>
          <w:highlight w:val="none"/>
          <w:shd w:val="clear" w:color="auto" w:fill="FFFFFF"/>
        </w:rPr>
        <w:t>（3）投标人价格分 =                                    　×</w:t>
      </w:r>
      <w:r>
        <w:rPr>
          <w:rFonts w:hint="eastAsia" w:asciiTheme="minorEastAsia" w:hAnsiTheme="minorEastAsia" w:eastAsiaTheme="minorEastAsia" w:cstheme="minorEastAsia"/>
          <w:color w:val="auto"/>
          <w:sz w:val="21"/>
          <w:highlight w:val="none"/>
          <w:shd w:val="clear" w:color="auto" w:fill="FFFFFF"/>
          <w:lang w:val="en-US" w:eastAsia="zh-CN"/>
        </w:rPr>
        <w:t>5</w:t>
      </w:r>
      <w:r>
        <w:rPr>
          <w:rFonts w:hint="eastAsia" w:asciiTheme="minorEastAsia" w:hAnsiTheme="minorEastAsia" w:eastAsiaTheme="minorEastAsia" w:cstheme="minorEastAsia"/>
          <w:color w:val="auto"/>
          <w:sz w:val="21"/>
          <w:highlight w:val="none"/>
          <w:shd w:val="clear" w:color="auto" w:fill="FFFFFF"/>
        </w:rPr>
        <w:t>0分</w:t>
      </w:r>
    </w:p>
    <w:p>
      <w:pPr>
        <w:pStyle w:val="26"/>
        <w:spacing w:line="400" w:lineRule="exact"/>
        <w:ind w:firstLine="420" w:firstLineChars="200"/>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w:t xml:space="preserve">                           投标人评标报价金额  </w:t>
      </w:r>
    </w:p>
    <w:p>
      <w:pPr>
        <w:pStyle w:val="26"/>
        <w:numPr>
          <w:ilvl w:val="0"/>
          <w:numId w:val="12"/>
        </w:numPr>
        <w:spacing w:line="480" w:lineRule="auto"/>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bCs/>
          <w:color w:val="auto"/>
          <w:sz w:val="21"/>
          <w:highlight w:val="none"/>
          <w:shd w:val="clear" w:color="auto" w:fill="FFFFFF"/>
        </w:rPr>
        <w:t>项目投入人员配备分</w:t>
      </w:r>
      <w:r>
        <w:rPr>
          <w:rFonts w:hint="eastAsia" w:asciiTheme="minorEastAsia" w:hAnsiTheme="minorEastAsia" w:eastAsiaTheme="minorEastAsia" w:cstheme="minorEastAsia"/>
          <w:b/>
          <w:color w:val="auto"/>
          <w:sz w:val="21"/>
          <w:highlight w:val="none"/>
        </w:rPr>
        <w:t>……………………………………………………………满分3分</w:t>
      </w:r>
    </w:p>
    <w:p>
      <w:pPr>
        <w:pStyle w:val="26"/>
        <w:spacing w:line="360" w:lineRule="auto"/>
        <w:ind w:firstLine="420" w:firstLineChars="200"/>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Cs/>
          <w:color w:val="auto"/>
          <w:sz w:val="21"/>
          <w:highlight w:val="none"/>
          <w:shd w:val="clear" w:color="auto" w:fill="FFFFFF"/>
        </w:rPr>
        <w:t>（1）拟派驻本项目的项目负责人具有信息系统或系统集成项目管理师（高级）职业资格证书得1.5分，具有信息系统或系统集成项目管理工程师（中级）职业资格证书的得0.5分，同时具备以上条件的以最高计分为准。</w:t>
      </w:r>
      <w:bookmarkStart w:id="34" w:name="_Hlk65489664"/>
      <w:r>
        <w:rPr>
          <w:rFonts w:hint="eastAsia" w:asciiTheme="minorEastAsia" w:hAnsiTheme="minorEastAsia" w:eastAsiaTheme="minorEastAsia" w:cstheme="minorEastAsia"/>
          <w:bCs/>
          <w:color w:val="auto"/>
          <w:sz w:val="21"/>
          <w:highlight w:val="none"/>
          <w:shd w:val="clear" w:color="auto" w:fill="FFFFFF"/>
        </w:rPr>
        <w:t>（提供证书复印件及人员在本单位</w:t>
      </w:r>
      <w:r>
        <w:rPr>
          <w:rFonts w:hint="eastAsia" w:asciiTheme="minorEastAsia" w:hAnsiTheme="minorEastAsia" w:eastAsiaTheme="minorEastAsia" w:cstheme="minorEastAsia"/>
          <w:color w:val="auto"/>
          <w:highlight w:val="none"/>
        </w:rPr>
        <w:t>投标截止之日止前近半年连续三个月</w:t>
      </w:r>
      <w:r>
        <w:rPr>
          <w:rFonts w:hint="eastAsia" w:asciiTheme="minorEastAsia" w:hAnsiTheme="minorEastAsia" w:eastAsiaTheme="minorEastAsia" w:cstheme="minorEastAsia"/>
          <w:bCs/>
          <w:color w:val="auto"/>
          <w:sz w:val="21"/>
          <w:highlight w:val="none"/>
          <w:shd w:val="clear" w:color="auto" w:fill="FFFFFF"/>
        </w:rPr>
        <w:t>社保证明材料，否则该项不得分）</w:t>
      </w:r>
      <w:bookmarkEnd w:id="34"/>
    </w:p>
    <w:p>
      <w:pPr>
        <w:pStyle w:val="26"/>
        <w:spacing w:line="360" w:lineRule="auto"/>
        <w:ind w:firstLine="420" w:firstLineChars="200"/>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Cs/>
          <w:color w:val="auto"/>
          <w:sz w:val="21"/>
          <w:highlight w:val="none"/>
          <w:shd w:val="clear" w:color="auto" w:fill="FFFFFF"/>
        </w:rPr>
        <w:t>（2）拟派驻本项目的技术负责人具有水利水电类或信息类高级技术职称证书得1.5分，具有水利或信息类中级技术职称证书得0.5分，同时具备以上条件的以最高计分为准。（提供证书复印件及人员在本单位投标截止之日止前近半年连续三个月社保证明材料，否则该项不得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以上材料需提供复印件并加盖投标人公章且在有效期内。</w:t>
      </w:r>
    </w:p>
    <w:p>
      <w:pPr>
        <w:pStyle w:val="21"/>
        <w:numPr>
          <w:ilvl w:val="0"/>
          <w:numId w:val="12"/>
        </w:numPr>
        <w:spacing w:line="480" w:lineRule="auto"/>
        <w:ind w:firstLine="0" w:firstLineChars="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企业信誉实力分……………………………………………………………………</w:t>
      </w:r>
      <w:r>
        <w:rPr>
          <w:rFonts w:hint="eastAsia" w:asciiTheme="minorEastAsia" w:hAnsiTheme="minorEastAsia" w:eastAsiaTheme="minorEastAsia" w:cstheme="minorEastAsia"/>
          <w:b/>
          <w:color w:val="auto"/>
          <w:sz w:val="21"/>
          <w:highlight w:val="none"/>
        </w:rPr>
        <w:t>满分</w:t>
      </w:r>
      <w:r>
        <w:rPr>
          <w:rFonts w:hint="eastAsia" w:asciiTheme="minorEastAsia" w:hAnsiTheme="minorEastAsia" w:eastAsiaTheme="minorEastAsia" w:cstheme="minorEastAsia"/>
          <w:b/>
          <w:color w:val="auto"/>
          <w:sz w:val="21"/>
          <w:szCs w:val="21"/>
          <w:highlight w:val="none"/>
          <w:lang w:val="en-US" w:eastAsia="zh-CN"/>
        </w:rPr>
        <w:t>9</w:t>
      </w:r>
      <w:r>
        <w:rPr>
          <w:rFonts w:hint="eastAsia" w:asciiTheme="minorEastAsia" w:hAnsiTheme="minorEastAsia" w:eastAsiaTheme="minorEastAsia" w:cstheme="minorEastAsia"/>
          <w:b/>
          <w:color w:val="auto"/>
          <w:sz w:val="21"/>
          <w:szCs w:val="21"/>
          <w:highlight w:val="none"/>
        </w:rPr>
        <w:t>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（1）投标人具有电子与智能化工程专业承包贰级资质及以上（含贰级）资质，且在有效期内得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（2）投标人具有建筑机电安装工程专业承包叁级（含叁级）资质，且在有效期内的得1分。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（3）投标人具有软件企业证书和软件产品证书，且在有效期内得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具有自主研发的水雨情自动测报系统计算机软件著作权登记证书、GPRS通讯接口软件计算机软件著作权登记证书、用水计量信息管理系统计算机软件著作权登记证书、雨水情信息综合管理系统计算机软件著作权登记证书、移动综合管理系统计算机软件著作权登记证书、水资源管理系统计算机软件著作权登记证书，每个得1分，最多得6分。</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以上材料需提供复印件并加盖投标人公章且在有效期内。</w:t>
      </w:r>
    </w:p>
    <w:p>
      <w:pPr>
        <w:pStyle w:val="21"/>
        <w:numPr>
          <w:ilvl w:val="0"/>
          <w:numId w:val="12"/>
        </w:numPr>
        <w:spacing w:line="480" w:lineRule="auto"/>
        <w:ind w:firstLine="0" w:firstLineChars="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总体设计方案分………………………………………………………………</w:t>
      </w:r>
      <w:r>
        <w:rPr>
          <w:rFonts w:hint="eastAsia" w:asciiTheme="minorEastAsia" w:hAnsiTheme="minorEastAsia" w:eastAsiaTheme="minorEastAsia" w:cstheme="minorEastAsia"/>
          <w:b/>
          <w:color w:val="auto"/>
          <w:sz w:val="21"/>
          <w:szCs w:val="21"/>
          <w:highlight w:val="none"/>
        </w:rPr>
        <w:t>满分</w:t>
      </w:r>
      <w:r>
        <w:rPr>
          <w:rFonts w:hint="eastAsia" w:asciiTheme="minorEastAsia" w:hAnsiTheme="minorEastAsia" w:eastAsiaTheme="minorEastAsia" w:cstheme="minorEastAsia"/>
          <w:b/>
          <w:color w:val="auto"/>
          <w:sz w:val="21"/>
          <w:szCs w:val="21"/>
          <w:highlight w:val="none"/>
          <w:lang w:val="en-US" w:eastAsia="zh-CN"/>
        </w:rPr>
        <w:t>15</w:t>
      </w:r>
      <w:r>
        <w:rPr>
          <w:rFonts w:hint="eastAsia" w:asciiTheme="minorEastAsia" w:hAnsiTheme="minorEastAsia" w:eastAsiaTheme="minorEastAsia" w:cstheme="minorEastAsia"/>
          <w:b/>
          <w:color w:val="auto"/>
          <w:sz w:val="21"/>
          <w:szCs w:val="21"/>
          <w:highlight w:val="none"/>
        </w:rPr>
        <w:t>分</w:t>
      </w:r>
    </w:p>
    <w:p>
      <w:pPr>
        <w:pStyle w:val="21"/>
        <w:spacing w:line="48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评委在打分前根据投标文件中主要施工方法、拟投入的主要物资计划、拟投入的主要施工机械设备计划、劳动力安排计划、确保工程质量的技术组织措施、确保安全生产的技术组织措施、确保文明施工的技术组织措施、工程施工的重点和难点及保证措施等内容进行评分。（由全体评委集体讨论所属档次，独立打分）</w:t>
      </w:r>
    </w:p>
    <w:p>
      <w:pPr>
        <w:pStyle w:val="21"/>
        <w:spacing w:line="480" w:lineRule="auto"/>
        <w:ind w:firstLine="420" w:firstLineChars="20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一档（1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投标人针对该项目成立专业的五大员管理班子（材料员、质检员、安全员、施工员、资料员）；施工方法符合项目实际，有详尽的施工技术方案，工艺先进、方法科学合理、可行，能指导具体施工并确保安全；施工材料、机械、设备、机具有详细的组织计划且计划周密，数量、选型配置、进场时间安排合理；施工工序及劳动力有详细周密的安排计划，劳动力投入合理；有质量技术保证措施和手段，能有效保证技术质量，达到承诺的质量标准；现场防火、应急救援、社会治安安全措施得力；针对本工程项目特点各项措施周全、具体、有效，有具体实现现场文明施工目标的承诺；针对本工程的特点，阐述本工程的重点和难点，解决重点和难点问题的方法合理。</w:t>
      </w:r>
    </w:p>
    <w:p>
      <w:pPr>
        <w:pStyle w:val="21"/>
        <w:spacing w:line="48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投标人针对该项目成立专业的五大员管理班子（材料员、质检员、安全员、施工员、资料员）；施工方法符合项目实际，有施工技术方案，工艺先进、方法科学合理、可行，能指导具体施工并确保安全；施工材料、机械、设备、机具有组织计划，数量、选型配置、进场时间安排合理；施工工序及劳动力有安排计划，劳动力投入合理；有质量技术保证措施和手段，自控体系完整，能保证技术质量，达到承诺的质量标准；现场防火、应急救援、社会治安安全措施得力；针对本工程项目特点各项措施具体、有效；针对本工程的特点，阐述本工程的重点和难点，解决重点和难点问题的方法合理。</w:t>
      </w:r>
    </w:p>
    <w:p>
      <w:pPr>
        <w:pStyle w:val="21"/>
        <w:spacing w:line="48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投标人针对该项目成立专业的五大员管理班子（材料员、质检员、安全员、施工员、资料员）；施工方法基本符合项目实际，有施工技术方案；施工材料、机械、设备、机具有组织计划，数量、选型配置、进场时间安排可行；施工工序及劳动力有安排计划，劳动力投入基本符合要求；有质量技术管理班子和制度；基本能保证技术质量，达到承诺的质量标准。</w:t>
      </w:r>
    </w:p>
    <w:p>
      <w:pPr>
        <w:pStyle w:val="21"/>
        <w:spacing w:line="48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注：以上拟投入人员需提供培训合格证或岗位证。</w:t>
      </w:r>
    </w:p>
    <w:p>
      <w:pPr>
        <w:pStyle w:val="21"/>
        <w:numPr>
          <w:ilvl w:val="0"/>
          <w:numId w:val="12"/>
        </w:numPr>
        <w:spacing w:line="480" w:lineRule="auto"/>
        <w:ind w:firstLine="0" w:firstLineChars="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产品配置及技术参数……………………………………………………………满分</w:t>
      </w:r>
      <w:r>
        <w:rPr>
          <w:rFonts w:hint="eastAsia" w:asciiTheme="minorEastAsia" w:hAnsiTheme="minorEastAsia" w:eastAsiaTheme="minorEastAsia" w:cstheme="minorEastAsia"/>
          <w:b/>
          <w:color w:val="auto"/>
          <w:sz w:val="21"/>
          <w:szCs w:val="21"/>
          <w:highlight w:val="none"/>
          <w:lang w:val="en-US" w:eastAsia="zh-CN"/>
        </w:rPr>
        <w:t>15</w:t>
      </w:r>
      <w:r>
        <w:rPr>
          <w:rFonts w:hint="eastAsia" w:asciiTheme="minorEastAsia" w:hAnsiTheme="minorEastAsia" w:eastAsiaTheme="minorEastAsia" w:cstheme="minorEastAsia"/>
          <w:b/>
          <w:color w:val="auto"/>
          <w:sz w:val="21"/>
          <w:szCs w:val="21"/>
          <w:highlight w:val="none"/>
        </w:rPr>
        <w:t>分</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（1）根据投标设备清单和建设内容的描述，评标委员会对投标人的投标文件中技术实施方案内容的响应程度和切实符合性，综合评定其档次并在相应等级内独立打分（满分5分）。</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档（3.1--5分）：对整个系统有详细完善的结构方案，系统架构明晰、各子系统有详细具体的文字方案描述，功能完善及系统组成详细、图文并茂搭配合理，并有完善的系统集成方案，符合本次采购实际清单，能够完全满足信息化需求；</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二档（1.1-3.0分）：对整个系统有基本完善的结构方案，各子系统有具体的方案，有较详细图片和文字描述，基本符合采购清单实际，基本能够完全满足信息化需求；</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三档（0-1.0分）：整个系统结构方案不明晰，各子系统没有具体的方案，无完善的系统集成方案的，不太符合采购清单实际，不能够完全满足信息化需求。</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（2）所投产品配置符合招标文件要求的，计</w:t>
      </w:r>
      <w:r>
        <w:rPr>
          <w:rFonts w:hint="eastAsia" w:asciiTheme="minorEastAsia" w:hAnsiTheme="minorEastAsia" w:eastAsiaTheme="minorEastAsia" w:cstheme="minorEastAsia"/>
          <w:color w:val="auto"/>
          <w:sz w:val="21"/>
          <w:highlight w:val="none"/>
          <w:lang w:val="en-US" w:eastAsia="zh-CN"/>
        </w:rPr>
        <w:t>5</w:t>
      </w:r>
      <w:r>
        <w:rPr>
          <w:rFonts w:hint="eastAsia" w:asciiTheme="minorEastAsia" w:hAnsiTheme="minorEastAsia" w:eastAsiaTheme="minorEastAsia" w:cstheme="minorEastAsia"/>
          <w:color w:val="auto"/>
          <w:sz w:val="21"/>
          <w:highlight w:val="none"/>
        </w:rPr>
        <w:t>分。“▲”条款需提供相关产品彩页或检测报告等证明材料。未提供视为不满足，每项扣</w:t>
      </w:r>
      <w:r>
        <w:rPr>
          <w:rFonts w:hint="eastAsia" w:asciiTheme="minorEastAsia" w:hAnsiTheme="minorEastAsia" w:eastAsiaTheme="minorEastAsia" w:cstheme="minorEastAsia"/>
          <w:color w:val="auto"/>
          <w:sz w:val="21"/>
          <w:highlight w:val="none"/>
          <w:lang w:val="en-US" w:eastAsia="zh-CN"/>
        </w:rPr>
        <w:t>1</w:t>
      </w:r>
      <w:r>
        <w:rPr>
          <w:rFonts w:hint="eastAsia" w:asciiTheme="minorEastAsia" w:hAnsiTheme="minorEastAsia" w:eastAsiaTheme="minorEastAsia" w:cstheme="minorEastAsia"/>
          <w:color w:val="auto"/>
          <w:sz w:val="21"/>
          <w:highlight w:val="none"/>
        </w:rPr>
        <w:t>分，扣完为止。</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w:t>
      </w:r>
      <w:r>
        <w:rPr>
          <w:rFonts w:hint="eastAsia" w:asciiTheme="minorEastAsia" w:hAnsiTheme="minorEastAsia" w:eastAsiaTheme="minorEastAsia" w:cstheme="minorEastAsia"/>
          <w:b/>
          <w:bCs/>
          <w:color w:val="auto"/>
          <w:sz w:val="21"/>
          <w:highlight w:val="none"/>
        </w:rPr>
        <w:t>核心产品遥测终端机（RTU）</w:t>
      </w:r>
      <w:r>
        <w:rPr>
          <w:rFonts w:hint="eastAsia" w:asciiTheme="minorEastAsia" w:hAnsiTheme="minorEastAsia" w:eastAsiaTheme="minorEastAsia" w:cstheme="minorEastAsia"/>
          <w:color w:val="auto"/>
          <w:sz w:val="21"/>
          <w:highlight w:val="none"/>
        </w:rPr>
        <w:t>设备通过《水文监测数据通信规约》SL651-2014测试的计</w:t>
      </w:r>
      <w:r>
        <w:rPr>
          <w:rFonts w:hint="eastAsia" w:asciiTheme="minorEastAsia" w:hAnsiTheme="minorEastAsia" w:eastAsiaTheme="minorEastAsia" w:cstheme="minorEastAsia"/>
          <w:color w:val="auto"/>
          <w:sz w:val="21"/>
          <w:highlight w:val="none"/>
          <w:lang w:val="en-US" w:eastAsia="zh-CN"/>
        </w:rPr>
        <w:t>2.5</w:t>
      </w:r>
      <w:r>
        <w:rPr>
          <w:rFonts w:hint="eastAsia" w:asciiTheme="minorEastAsia" w:hAnsiTheme="minorEastAsia" w:eastAsiaTheme="minorEastAsia" w:cstheme="minorEastAsia"/>
          <w:color w:val="auto"/>
          <w:sz w:val="21"/>
          <w:highlight w:val="none"/>
        </w:rPr>
        <w:t>分（需提供水利部水文仪器及岩土工程仪器质量监督检验测试中心出具的检测报告的复印件，否则不计分）。</w:t>
      </w:r>
    </w:p>
    <w:p>
      <w:pPr>
        <w:pStyle w:val="26"/>
        <w:spacing w:line="480" w:lineRule="auto"/>
        <w:ind w:firstLine="630" w:firstLineChars="300"/>
        <w:jc w:val="lef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rPr>
        <w:t>4</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b/>
          <w:bCs/>
          <w:color w:val="auto"/>
          <w:sz w:val="21"/>
          <w:highlight w:val="none"/>
        </w:rPr>
        <w:t>核心产品雷达水位计</w:t>
      </w:r>
      <w:r>
        <w:rPr>
          <w:rFonts w:hint="eastAsia" w:asciiTheme="minorEastAsia" w:hAnsiTheme="minorEastAsia" w:eastAsiaTheme="minorEastAsia" w:cstheme="minorEastAsia"/>
          <w:color w:val="auto"/>
          <w:sz w:val="21"/>
          <w:highlight w:val="none"/>
        </w:rPr>
        <w:t>具有通过水利部水文仪器及岩土工程仪器质量监督检验测试报告的计</w:t>
      </w:r>
      <w:r>
        <w:rPr>
          <w:rFonts w:hint="eastAsia" w:asciiTheme="minorEastAsia" w:hAnsiTheme="minorEastAsia" w:eastAsiaTheme="minorEastAsia" w:cstheme="minorEastAsia"/>
          <w:color w:val="auto"/>
          <w:sz w:val="21"/>
          <w:highlight w:val="none"/>
          <w:lang w:val="en-US" w:eastAsia="zh-CN"/>
        </w:rPr>
        <w:t>2.5</w:t>
      </w:r>
      <w:r>
        <w:rPr>
          <w:rFonts w:hint="eastAsia" w:asciiTheme="minorEastAsia" w:hAnsiTheme="minorEastAsia" w:eastAsiaTheme="minorEastAsia" w:cstheme="minorEastAsia"/>
          <w:color w:val="auto"/>
          <w:sz w:val="21"/>
          <w:highlight w:val="none"/>
        </w:rPr>
        <w:t>分（需提供水利部水文仪器及岩土工程仪器质量监督检验测试中心出具的检测报告的复印件，否则不计分）。</w:t>
      </w:r>
    </w:p>
    <w:p>
      <w:pPr>
        <w:pStyle w:val="21"/>
        <w:numPr>
          <w:ilvl w:val="0"/>
          <w:numId w:val="12"/>
        </w:numPr>
        <w:spacing w:line="480" w:lineRule="auto"/>
        <w:ind w:firstLine="0" w:firstLineChars="0"/>
        <w:rPr>
          <w:rFonts w:asciiTheme="minorEastAsia" w:hAnsiTheme="minorEastAsia" w:eastAsiaTheme="minorEastAsia" w:cstheme="minorEastAsia"/>
          <w:b/>
          <w:color w:val="auto"/>
          <w:sz w:val="21"/>
          <w:szCs w:val="21"/>
          <w:highlight w:val="none"/>
        </w:rPr>
      </w:pPr>
      <w:bookmarkStart w:id="35" w:name="_Toc506131575"/>
      <w:r>
        <w:rPr>
          <w:rFonts w:hint="eastAsia" w:asciiTheme="minorEastAsia" w:hAnsiTheme="minorEastAsia" w:eastAsiaTheme="minorEastAsia" w:cstheme="minorEastAsia"/>
          <w:b/>
          <w:color w:val="auto"/>
          <w:sz w:val="21"/>
          <w:szCs w:val="21"/>
          <w:highlight w:val="none"/>
        </w:rPr>
        <w:t>业绩分……………………………………………………………………………………</w:t>
      </w: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rPr>
        <w:t>分</w:t>
      </w:r>
    </w:p>
    <w:p>
      <w:pPr>
        <w:wordWrap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投标人20</w:t>
      </w:r>
      <w:r>
        <w:rPr>
          <w:rFonts w:hint="eastAsia" w:asciiTheme="minorEastAsia" w:hAnsiTheme="minorEastAsia" w:eastAsiaTheme="minorEastAsia" w:cstheme="minorEastAsia"/>
          <w:bCs/>
          <w:color w:val="auto"/>
          <w:szCs w:val="21"/>
          <w:highlight w:val="none"/>
          <w:lang w:val="en-US" w:eastAsia="zh-CN"/>
        </w:rPr>
        <w:t>17</w:t>
      </w:r>
      <w:r>
        <w:rPr>
          <w:rFonts w:hint="eastAsia" w:asciiTheme="minorEastAsia" w:hAnsiTheme="minorEastAsia" w:eastAsiaTheme="minorEastAsia" w:cstheme="minorEastAsia"/>
          <w:bCs/>
          <w:color w:val="auto"/>
          <w:szCs w:val="21"/>
          <w:highlight w:val="none"/>
        </w:rPr>
        <w:t>年1月1日以来完成过</w:t>
      </w:r>
      <w:r>
        <w:rPr>
          <w:rFonts w:hint="eastAsia" w:asciiTheme="minorEastAsia" w:hAnsiTheme="minorEastAsia" w:eastAsiaTheme="minorEastAsia" w:cstheme="minorEastAsia"/>
          <w:bCs/>
          <w:color w:val="auto"/>
          <w:szCs w:val="21"/>
          <w:highlight w:val="none"/>
          <w:lang w:eastAsia="zh-CN"/>
        </w:rPr>
        <w:t>符合本项目招标内容的类似</w:t>
      </w:r>
      <w:r>
        <w:rPr>
          <w:rFonts w:hint="eastAsia" w:asciiTheme="minorEastAsia" w:hAnsiTheme="minorEastAsia" w:eastAsiaTheme="minorEastAsia" w:cstheme="minorEastAsia"/>
          <w:bCs/>
          <w:color w:val="auto"/>
          <w:szCs w:val="21"/>
          <w:highlight w:val="none"/>
        </w:rPr>
        <w:t>业绩。需同时中标通知书（或成交通知书）和合同协议书。</w:t>
      </w:r>
      <w:r>
        <w:rPr>
          <w:rFonts w:hint="eastAsia" w:asciiTheme="minorEastAsia" w:hAnsiTheme="minorEastAsia" w:eastAsiaTheme="minorEastAsia" w:cstheme="minorEastAsia"/>
          <w:color w:val="auto"/>
          <w:highlight w:val="none"/>
        </w:rPr>
        <w:t>同一个编号的项目有两个或两个以上的分标中标的只算一个项目，每个项目得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snapToGrid w:val="0"/>
          <w:color w:val="auto"/>
          <w:kern w:val="0"/>
          <w:szCs w:val="21"/>
          <w:highlight w:val="none"/>
        </w:rPr>
        <w:t>（需提供相关证明材料复印件，加盖投标人公章）</w:t>
      </w:r>
      <w:r>
        <w:rPr>
          <w:rFonts w:hint="eastAsia" w:asciiTheme="minorEastAsia" w:hAnsiTheme="minorEastAsia" w:eastAsiaTheme="minorEastAsia" w:cstheme="minorEastAsia"/>
          <w:color w:val="auto"/>
          <w:highlight w:val="none"/>
        </w:rPr>
        <w:t>，满分</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p>
      <w:pPr>
        <w:pStyle w:val="21"/>
        <w:numPr>
          <w:ilvl w:val="0"/>
          <w:numId w:val="12"/>
        </w:numPr>
        <w:spacing w:line="480" w:lineRule="auto"/>
        <w:ind w:firstLine="0" w:firstLineChars="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售后服务方案分…………………………………………………………………………6分</w:t>
      </w:r>
    </w:p>
    <w:p>
      <w:pPr>
        <w:pStyle w:val="26"/>
        <w:tabs>
          <w:tab w:val="left" w:pos="4214"/>
        </w:tabs>
        <w:wordWrap w:val="0"/>
        <w:spacing w:line="360" w:lineRule="auto"/>
        <w:ind w:firstLine="420" w:firstLineChars="200"/>
        <w:rPr>
          <w:rFonts w:asciiTheme="minorEastAsia" w:hAnsiTheme="minorEastAsia" w:eastAsiaTheme="minorEastAsia" w:cstheme="minorEastAsia"/>
          <w:iCs/>
          <w:color w:val="auto"/>
          <w:sz w:val="21"/>
          <w:highlight w:val="none"/>
        </w:rPr>
      </w:pPr>
      <w:r>
        <w:rPr>
          <w:rFonts w:hint="eastAsia" w:asciiTheme="minorEastAsia" w:hAnsiTheme="minorEastAsia" w:eastAsiaTheme="minorEastAsia" w:cstheme="minorEastAsia"/>
          <w:iCs/>
          <w:color w:val="auto"/>
          <w:sz w:val="21"/>
          <w:highlight w:val="none"/>
        </w:rPr>
        <w:t>评标委员会对投标人的投标文件中售后服务承诺书内容的响应程度和切实有效性，</w:t>
      </w:r>
      <w:r>
        <w:rPr>
          <w:rFonts w:hint="eastAsia" w:asciiTheme="minorEastAsia" w:hAnsiTheme="minorEastAsia" w:eastAsiaTheme="minorEastAsia" w:cstheme="minorEastAsia"/>
          <w:color w:val="auto"/>
          <w:sz w:val="21"/>
          <w:highlight w:val="none"/>
        </w:rPr>
        <w:t>综合评定其档次并在相应等级内独立打分。</w:t>
      </w:r>
    </w:p>
    <w:p>
      <w:pPr>
        <w:pStyle w:val="26"/>
        <w:tabs>
          <w:tab w:val="left" w:pos="4214"/>
        </w:tabs>
        <w:wordWrap w:val="0"/>
        <w:spacing w:line="360" w:lineRule="auto"/>
        <w:ind w:firstLine="420" w:firstLineChars="200"/>
        <w:rPr>
          <w:rFonts w:asciiTheme="minorEastAsia" w:hAnsiTheme="minorEastAsia" w:eastAsiaTheme="minorEastAsia" w:cstheme="minorEastAsia"/>
          <w:iCs/>
          <w:color w:val="auto"/>
          <w:sz w:val="21"/>
          <w:highlight w:val="none"/>
        </w:rPr>
      </w:pPr>
      <w:r>
        <w:rPr>
          <w:rFonts w:hint="eastAsia" w:asciiTheme="minorEastAsia" w:hAnsiTheme="minorEastAsia" w:eastAsiaTheme="minorEastAsia" w:cstheme="minorEastAsia"/>
          <w:iCs/>
          <w:color w:val="auto"/>
          <w:sz w:val="21"/>
          <w:highlight w:val="none"/>
        </w:rPr>
        <w:t>一档（4-6分）：能提供本土化服务的本地企业或是外地公司在广西有分公司的，项目负责人具有高级项目经理及信息系统或系统集成项目管理师证书；配备专业维修人员，提供全天24小时技术服务电话，售后服务人员到达现场时间、修复故障时间评标委员会认可，提供技术支持、替代部件、回访、增值服务的。</w:t>
      </w:r>
    </w:p>
    <w:p>
      <w:pPr>
        <w:pStyle w:val="26"/>
        <w:tabs>
          <w:tab w:val="left" w:pos="4214"/>
        </w:tabs>
        <w:wordWrap w:val="0"/>
        <w:spacing w:line="360" w:lineRule="auto"/>
        <w:ind w:firstLine="420" w:firstLineChars="200"/>
        <w:rPr>
          <w:rFonts w:asciiTheme="minorEastAsia" w:hAnsiTheme="minorEastAsia" w:eastAsiaTheme="minorEastAsia" w:cstheme="minorEastAsia"/>
          <w:iCs/>
          <w:color w:val="auto"/>
          <w:sz w:val="21"/>
          <w:highlight w:val="none"/>
        </w:rPr>
      </w:pPr>
      <w:r>
        <w:rPr>
          <w:rFonts w:hint="eastAsia" w:asciiTheme="minorEastAsia" w:hAnsiTheme="minorEastAsia" w:eastAsiaTheme="minorEastAsia" w:cstheme="minorEastAsia"/>
          <w:iCs/>
          <w:color w:val="auto"/>
          <w:sz w:val="21"/>
          <w:highlight w:val="none"/>
        </w:rPr>
        <w:t>二档（2-3分）：配备专业维修人员，提供全天24小时技术服务电话，售后服务人员的到达现场时间、修复故障时间评标委员会认可，提供技术支持、替代部件、回访、增值服务的。</w:t>
      </w:r>
    </w:p>
    <w:p>
      <w:pPr>
        <w:pStyle w:val="26"/>
        <w:tabs>
          <w:tab w:val="left" w:pos="4214"/>
        </w:tabs>
        <w:wordWrap w:val="0"/>
        <w:spacing w:line="360" w:lineRule="auto"/>
        <w:ind w:firstLine="420" w:firstLineChars="200"/>
        <w:rPr>
          <w:rFonts w:asciiTheme="minorEastAsia" w:hAnsiTheme="minorEastAsia" w:eastAsiaTheme="minorEastAsia" w:cstheme="minorEastAsia"/>
          <w:iCs/>
          <w:color w:val="auto"/>
          <w:sz w:val="21"/>
          <w:highlight w:val="none"/>
        </w:rPr>
      </w:pPr>
      <w:r>
        <w:rPr>
          <w:rFonts w:hint="eastAsia" w:asciiTheme="minorEastAsia" w:hAnsiTheme="minorEastAsia" w:eastAsiaTheme="minorEastAsia" w:cstheme="minorEastAsia"/>
          <w:iCs/>
          <w:color w:val="auto"/>
          <w:sz w:val="21"/>
          <w:highlight w:val="none"/>
        </w:rPr>
        <w:t>三档（0-1分）：售后服务方案响应程度一般符合招标文件要求。</w:t>
      </w:r>
    </w:p>
    <w:p>
      <w:pPr>
        <w:rPr>
          <w:rFonts w:asciiTheme="minorEastAsia" w:hAnsiTheme="minorEastAsia" w:eastAsiaTheme="minorEastAsia" w:cstheme="minorEastAsia"/>
          <w:color w:val="auto"/>
          <w:highlight w:val="none"/>
        </w:rPr>
      </w:pPr>
    </w:p>
    <w:p>
      <w:pPr>
        <w:pStyle w:val="26"/>
        <w:spacing w:line="480" w:lineRule="auto"/>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总得分 =1 + 2 + 3 + 4 + 5+ 6+ 7。</w:t>
      </w:r>
      <w:bookmarkEnd w:id="35"/>
    </w:p>
    <w:p>
      <w:pPr>
        <w:pStyle w:val="26"/>
        <w:spacing w:line="480" w:lineRule="auto"/>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三、中标候选人推荐原则</w:t>
      </w:r>
      <w:bookmarkEnd w:id="33"/>
    </w:p>
    <w:p>
      <w:pPr>
        <w:spacing w:line="480" w:lineRule="auto"/>
        <w:ind w:firstLine="420" w:firstLineChars="200"/>
        <w:rPr>
          <w:rFonts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评标委员会将根据总得分由高到低排列次序（总得分相同时，以投标报价由低到高顺序排列；总得分相同且投标报价相同的，按技术指标优劣顺序排列）并推荐三名中标候选供应商。招标采购单位应当确定评审委员会推荐排名第一的中标候选人为中标服务商。排名第一的中标候选人放弃中标、因不可抗力提出不能履行合同，或者招标文件规定应当提交履约保证金而在规定的期限内未能提交的，招标采购单位可以确定排名第二的中标候选人为中标服务商。排名第二的中标候选人因前款规定的同样原因不能签订合同的，招标采购单位可以确定排名第三的中标候选人为中标服务商。招标采购单位将组织有关人员对其进行实地考察，如某中标候选人投标时所提供的资料与实际情况不符的，采购人有权向财政监管部门举报或投诉。</w:t>
      </w:r>
    </w:p>
    <w:p>
      <w:pPr>
        <w:spacing w:line="480" w:lineRule="auto"/>
        <w:ind w:firstLine="420" w:firstLineChars="200"/>
        <w:rPr>
          <w:rFonts w:asciiTheme="minorEastAsia" w:hAnsiTheme="minorEastAsia" w:eastAsiaTheme="minorEastAsia" w:cstheme="minorEastAsia"/>
          <w:color w:val="auto"/>
          <w:szCs w:val="21"/>
          <w:highlight w:val="none"/>
          <w:shd w:val="clear" w:color="auto" w:fill="FFFFFF"/>
        </w:rPr>
      </w:pPr>
      <w:r>
        <w:rPr>
          <w:rFonts w:hint="eastAsia" w:asciiTheme="minorEastAsia" w:hAnsiTheme="minorEastAsia" w:eastAsiaTheme="minorEastAsia" w:cstheme="minorEastAsia"/>
          <w:color w:val="auto"/>
          <w:szCs w:val="21"/>
          <w:highlight w:val="none"/>
          <w:shd w:val="clear" w:color="auto" w:fill="FFFFFF"/>
        </w:rPr>
        <w:t>注：投标人符合中小企业划型标准的，按《政府采购促进中小企业发展管理办法》（财库〔2020〕46号）要求，须递交《中小企业声明函》。</w:t>
      </w:r>
    </w:p>
    <w:p>
      <w:pPr>
        <w:pStyle w:val="14"/>
        <w:spacing w:line="360" w:lineRule="auto"/>
        <w:ind w:left="0" w:leftChars="0" w:firstLine="420" w:firstLineChars="200"/>
        <w:rPr>
          <w:rFonts w:eastAsiaTheme="minorEastAsia"/>
          <w:color w:val="auto"/>
          <w:highlight w:val="none"/>
        </w:rPr>
      </w:pPr>
    </w:p>
    <w:p>
      <w:pPr>
        <w:pStyle w:val="14"/>
        <w:spacing w:line="360" w:lineRule="auto"/>
        <w:rPr>
          <w:color w:val="auto"/>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pStyle w:val="2"/>
        <w:rPr>
          <w:rFonts w:asciiTheme="minorEastAsia" w:hAnsiTheme="minorEastAsia" w:eastAsiaTheme="minorEastAsia" w:cstheme="minorEastAsia"/>
          <w:color w:val="auto"/>
          <w:sz w:val="24"/>
          <w:szCs w:val="16"/>
          <w:highlight w:val="none"/>
        </w:rPr>
      </w:pPr>
    </w:p>
    <w:p>
      <w:pPr>
        <w:widowControl/>
        <w:jc w:val="left"/>
        <w:rPr>
          <w:rFonts w:asciiTheme="minorEastAsia" w:hAnsiTheme="minorEastAsia" w:eastAsiaTheme="minorEastAsia" w:cstheme="minorEastAsia"/>
          <w:color w:val="auto"/>
          <w:sz w:val="24"/>
          <w:szCs w:val="16"/>
          <w:highlight w:val="none"/>
        </w:rPr>
      </w:pPr>
      <w:r>
        <w:rPr>
          <w:rFonts w:asciiTheme="minorEastAsia" w:hAnsiTheme="minorEastAsia" w:eastAsiaTheme="minorEastAsia" w:cstheme="minorEastAsia"/>
          <w:color w:val="auto"/>
          <w:sz w:val="24"/>
          <w:szCs w:val="16"/>
          <w:highlight w:val="none"/>
        </w:rPr>
        <w:br w:type="page"/>
      </w:r>
    </w:p>
    <w:p>
      <w:pPr>
        <w:spacing w:line="360" w:lineRule="auto"/>
        <w:jc w:val="center"/>
        <w:outlineLvl w:val="0"/>
        <w:rPr>
          <w:rFonts w:asciiTheme="minorEastAsia" w:hAnsiTheme="minorEastAsia" w:eastAsiaTheme="minorEastAsia" w:cstheme="minorEastAsia"/>
          <w:b/>
          <w:color w:val="auto"/>
          <w:sz w:val="44"/>
          <w:szCs w:val="44"/>
          <w:highlight w:val="none"/>
        </w:rPr>
      </w:pPr>
      <w:bookmarkStart w:id="36" w:name="_Toc15267"/>
      <w:bookmarkStart w:id="37" w:name="_Toc9004572"/>
      <w:r>
        <w:rPr>
          <w:rFonts w:hint="eastAsia" w:asciiTheme="minorEastAsia" w:hAnsiTheme="minorEastAsia" w:eastAsiaTheme="minorEastAsia" w:cstheme="minorEastAsia"/>
          <w:b/>
          <w:color w:val="auto"/>
          <w:sz w:val="44"/>
          <w:szCs w:val="44"/>
          <w:highlight w:val="none"/>
        </w:rPr>
        <w:t>第五章 政府采购合同书（格式）</w:t>
      </w:r>
      <w:bookmarkEnd w:id="30"/>
      <w:bookmarkEnd w:id="36"/>
      <w:bookmarkEnd w:id="37"/>
    </w:p>
    <w:p>
      <w:pPr>
        <w:spacing w:line="360" w:lineRule="auto"/>
        <w:jc w:val="center"/>
        <w:rPr>
          <w:rFonts w:asciiTheme="minorEastAsia" w:hAnsiTheme="minorEastAsia" w:eastAsiaTheme="minorEastAsia" w:cstheme="minorEastAsia"/>
          <w:b/>
          <w:color w:val="auto"/>
          <w:sz w:val="32"/>
          <w:highlight w:val="none"/>
        </w:rPr>
      </w:pPr>
    </w:p>
    <w:p>
      <w:pPr>
        <w:pStyle w:val="26"/>
        <w:spacing w:line="360" w:lineRule="auto"/>
        <w:rPr>
          <w:rFonts w:asciiTheme="minorEastAsia" w:hAnsiTheme="minorEastAsia" w:eastAsiaTheme="minorEastAsia" w:cstheme="minorEastAsia"/>
          <w:color w:val="auto"/>
          <w:sz w:val="44"/>
          <w:szCs w:val="44"/>
          <w:highlight w:val="none"/>
        </w:rPr>
      </w:pPr>
    </w:p>
    <w:p>
      <w:pPr>
        <w:pStyle w:val="26"/>
        <w:spacing w:line="360"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政府采购合同书</w:t>
      </w:r>
    </w:p>
    <w:p>
      <w:pPr>
        <w:pStyle w:val="26"/>
        <w:spacing w:line="360" w:lineRule="auto"/>
        <w:jc w:val="center"/>
        <w:rPr>
          <w:rFonts w:asciiTheme="minorEastAsia" w:hAnsiTheme="minorEastAsia" w:eastAsiaTheme="minorEastAsia" w:cstheme="minorEastAsia"/>
          <w:b/>
          <w:color w:val="auto"/>
          <w:sz w:val="32"/>
          <w:highlight w:val="none"/>
        </w:rPr>
      </w:pPr>
    </w:p>
    <w:p>
      <w:pPr>
        <w:pStyle w:val="26"/>
        <w:spacing w:line="360" w:lineRule="auto"/>
        <w:jc w:val="center"/>
        <w:rPr>
          <w:rFonts w:asciiTheme="minorEastAsia" w:hAnsiTheme="minorEastAsia" w:eastAsiaTheme="minorEastAsia" w:cstheme="minorEastAsia"/>
          <w:b/>
          <w:color w:val="auto"/>
          <w:sz w:val="32"/>
          <w:highlight w:val="none"/>
        </w:rPr>
      </w:pPr>
    </w:p>
    <w:p>
      <w:pPr>
        <w:pStyle w:val="26"/>
        <w:spacing w:line="360" w:lineRule="auto"/>
        <w:jc w:val="center"/>
        <w:rPr>
          <w:rFonts w:asciiTheme="minorEastAsia" w:hAnsiTheme="minorEastAsia" w:eastAsiaTheme="minorEastAsia" w:cstheme="minorEastAsia"/>
          <w:b/>
          <w:color w:val="auto"/>
          <w:sz w:val="32"/>
          <w:highlight w:val="none"/>
        </w:rPr>
      </w:pPr>
    </w:p>
    <w:p>
      <w:pPr>
        <w:pStyle w:val="26"/>
        <w:spacing w:line="360" w:lineRule="auto"/>
        <w:jc w:val="center"/>
        <w:rPr>
          <w:rFonts w:asciiTheme="minorEastAsia" w:hAnsiTheme="minorEastAsia" w:eastAsiaTheme="minorEastAsia" w:cstheme="minorEastAsia"/>
          <w:b/>
          <w:color w:val="auto"/>
          <w:sz w:val="32"/>
          <w:highlight w:val="none"/>
        </w:rPr>
      </w:pPr>
    </w:p>
    <w:p>
      <w:pPr>
        <w:spacing w:line="360" w:lineRule="auto"/>
        <w:ind w:left="2678" w:leftChars="1275"/>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pPr>
        <w:spacing w:line="360" w:lineRule="auto"/>
        <w:ind w:left="2678" w:leftChars="1275"/>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pPr>
        <w:spacing w:line="360" w:lineRule="auto"/>
        <w:ind w:left="2678" w:leftChars="1275"/>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spacing w:line="360" w:lineRule="auto"/>
        <w:ind w:left="2678" w:leftChars="1275"/>
        <w:jc w:val="left"/>
        <w:rPr>
          <w:rFonts w:asciiTheme="minorEastAsia" w:hAnsiTheme="minorEastAsia" w:eastAsiaTheme="minorEastAsia" w:cstheme="minorEastAsia"/>
          <w:color w:val="auto"/>
          <w:sz w:val="28"/>
          <w:szCs w:val="28"/>
          <w:highlight w:val="none"/>
        </w:rPr>
      </w:pPr>
    </w:p>
    <w:p>
      <w:pPr>
        <w:spacing w:line="360" w:lineRule="auto"/>
        <w:ind w:left="2678" w:leftChars="1275"/>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签订合同地点：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pPr>
        <w:spacing w:line="360" w:lineRule="auto"/>
        <w:ind w:left="2678" w:leftChars="1275"/>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签订合同时间：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pPr>
        <w:pStyle w:val="26"/>
        <w:spacing w:line="360" w:lineRule="auto"/>
        <w:jc w:val="center"/>
        <w:rPr>
          <w:rFonts w:asciiTheme="minorEastAsia" w:hAnsiTheme="minorEastAsia" w:eastAsiaTheme="minorEastAsia" w:cstheme="minorEastAsia"/>
          <w:b/>
          <w:color w:val="auto"/>
          <w:sz w:val="24"/>
          <w:szCs w:val="24"/>
          <w:highlight w:val="none"/>
        </w:rPr>
      </w:pPr>
    </w:p>
    <w:p>
      <w:pPr>
        <w:pStyle w:val="26"/>
        <w:spacing w:line="360" w:lineRule="auto"/>
        <w:jc w:val="center"/>
        <w:rPr>
          <w:rFonts w:asciiTheme="minorEastAsia" w:hAnsiTheme="minorEastAsia" w:eastAsiaTheme="minorEastAsia" w:cstheme="minorEastAsia"/>
          <w:b/>
          <w:color w:val="auto"/>
          <w:sz w:val="32"/>
          <w:highlight w:val="none"/>
        </w:rPr>
      </w:pPr>
    </w:p>
    <w:p>
      <w:pPr>
        <w:pStyle w:val="26"/>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合同使用说明：签订的政府采购合同必须与本《政府采购合同书》内容一致。</w:t>
      </w:r>
    </w:p>
    <w:p>
      <w:pPr>
        <w:pStyle w:val="26"/>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2"/>
          <w:highlight w:val="none"/>
        </w:rPr>
        <w:br w:type="page"/>
      </w:r>
      <w:bookmarkStart w:id="38" w:name="_Toc506131555"/>
      <w:bookmarkStart w:id="39" w:name="_Toc418507386"/>
      <w:r>
        <w:rPr>
          <w:rFonts w:hint="eastAsia" w:asciiTheme="minorEastAsia" w:hAnsiTheme="minorEastAsia" w:eastAsiaTheme="minorEastAsia" w:cstheme="minorEastAsia"/>
          <w:b/>
          <w:color w:val="auto"/>
          <w:sz w:val="36"/>
          <w:szCs w:val="36"/>
          <w:highlight w:val="none"/>
        </w:rPr>
        <w:t>合同书（格式）</w:t>
      </w:r>
      <w:bookmarkEnd w:id="38"/>
      <w:bookmarkEnd w:id="39"/>
    </w:p>
    <w:p>
      <w:pPr>
        <w:pStyle w:val="26"/>
        <w:spacing w:line="360" w:lineRule="auto"/>
        <w:ind w:firstLine="420"/>
        <w:rPr>
          <w:rFonts w:asciiTheme="minorEastAsia" w:hAnsiTheme="minorEastAsia" w:eastAsiaTheme="minorEastAsia" w:cstheme="minorEastAsia"/>
          <w:color w:val="auto"/>
          <w:sz w:val="21"/>
          <w:highlight w:val="none"/>
        </w:rPr>
      </w:pPr>
    </w:p>
    <w:p>
      <w:pPr>
        <w:pStyle w:val="26"/>
        <w:spacing w:line="360" w:lineRule="auto"/>
        <w:ind w:firstLine="420"/>
        <w:rPr>
          <w:rFonts w:asciiTheme="minorEastAsia" w:hAnsiTheme="minorEastAsia" w:eastAsiaTheme="minorEastAsia" w:cstheme="minorEastAsia"/>
          <w:b/>
          <w:color w:val="auto"/>
          <w:sz w:val="21"/>
          <w:highlight w:val="none"/>
          <w:u w:val="single"/>
        </w:rPr>
      </w:pPr>
      <w:r>
        <w:rPr>
          <w:rFonts w:hint="eastAsia" w:asciiTheme="minorEastAsia" w:hAnsiTheme="minorEastAsia" w:eastAsiaTheme="minorEastAsia" w:cstheme="minorEastAsia"/>
          <w:b/>
          <w:color w:val="auto"/>
          <w:sz w:val="21"/>
          <w:highlight w:val="none"/>
        </w:rPr>
        <w:t>合同名称：</w:t>
      </w:r>
      <w:r>
        <w:rPr>
          <w:rFonts w:hint="eastAsia" w:asciiTheme="minorEastAsia" w:hAnsiTheme="minorEastAsia" w:eastAsiaTheme="minorEastAsia" w:cstheme="minorEastAsia"/>
          <w:b/>
          <w:color w:val="auto"/>
          <w:sz w:val="21"/>
          <w:highlight w:val="none"/>
          <w:u w:val="single"/>
        </w:rPr>
        <w:t xml:space="preserve">                                    </w:t>
      </w:r>
    </w:p>
    <w:p>
      <w:pPr>
        <w:pStyle w:val="26"/>
        <w:spacing w:line="36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项目编号：</w:t>
      </w:r>
      <w:r>
        <w:rPr>
          <w:rFonts w:hint="eastAsia" w:asciiTheme="minorEastAsia" w:hAnsiTheme="minorEastAsia" w:eastAsiaTheme="minorEastAsia" w:cstheme="minorEastAsia"/>
          <w:b/>
          <w:color w:val="auto"/>
          <w:sz w:val="21"/>
          <w:highlight w:val="none"/>
          <w:u w:val="single"/>
        </w:rPr>
        <w:t xml:space="preserve">                                    </w:t>
      </w:r>
    </w:p>
    <w:p>
      <w:pPr>
        <w:pStyle w:val="26"/>
        <w:spacing w:line="360" w:lineRule="auto"/>
        <w:ind w:firstLine="420"/>
        <w:rPr>
          <w:rFonts w:asciiTheme="minorEastAsia" w:hAnsiTheme="minorEastAsia" w:eastAsiaTheme="minorEastAsia" w:cstheme="minorEastAsia"/>
          <w:color w:val="auto"/>
          <w:sz w:val="21"/>
          <w:highlight w:val="none"/>
        </w:rPr>
      </w:pPr>
    </w:p>
    <w:p>
      <w:pPr>
        <w:pStyle w:val="26"/>
        <w:spacing w:line="36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甲方：                            （采购人）</w:t>
      </w:r>
    </w:p>
    <w:p>
      <w:pPr>
        <w:pStyle w:val="26"/>
        <w:spacing w:line="36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乙方：                            （中标供应商）</w:t>
      </w:r>
    </w:p>
    <w:p>
      <w:pPr>
        <w:pStyle w:val="26"/>
        <w:spacing w:line="360" w:lineRule="auto"/>
        <w:ind w:firstLine="420"/>
        <w:rPr>
          <w:rFonts w:asciiTheme="minorEastAsia" w:hAnsiTheme="minorEastAsia" w:eastAsiaTheme="minorEastAsia" w:cstheme="minorEastAsia"/>
          <w:color w:val="auto"/>
          <w:sz w:val="21"/>
          <w:highlight w:val="none"/>
        </w:rPr>
      </w:pP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甲乙双方同意按下述条款和条件签署本合同书（以下简称合同）：</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1、合同文件</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本合同所附下列文件是构成本合同不可分割的部分：</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⑴ 合同基本条款；</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⑵ 投标人提交的投标函、投标报价表和售后服务承诺等全部投标文件；</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⑶ 技术要求和规范说明；</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⑷ 中标通知书；</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⑸ 甲、乙双方商定经桂林市政府采购管理办公室确认后的补充协议。</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2、合同范围和条件</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本合同的范围和条件应与上述合同文件的规定相一致。</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3、货物采购和服务内容</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本合同所涉及的乙方应提供的货物和服务内容详见《项目需求和说明》中所列内容和“合同基本条款”。</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4、合同金额</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根据中标通知书的中标内容，合同的总金额为（大写）：</w:t>
      </w:r>
      <w:r>
        <w:rPr>
          <w:rFonts w:hint="eastAsia" w:asciiTheme="minorEastAsia" w:hAnsiTheme="minorEastAsia" w:eastAsiaTheme="minorEastAsia" w:cstheme="minorEastAsia"/>
          <w:color w:val="auto"/>
          <w:sz w:val="21"/>
          <w:highlight w:val="none"/>
          <w:u w:val="single"/>
        </w:rPr>
        <w:t>　　　　　　 （￥　　　）</w:t>
      </w:r>
      <w:r>
        <w:rPr>
          <w:rFonts w:hint="eastAsia" w:asciiTheme="minorEastAsia" w:hAnsiTheme="minorEastAsia" w:eastAsiaTheme="minorEastAsia" w:cstheme="minorEastAsia"/>
          <w:color w:val="auto"/>
          <w:sz w:val="21"/>
          <w:highlight w:val="none"/>
        </w:rPr>
        <w:t>人民币。本合同的总金额在合同实施期间不因市场价格变化因素而变动，在任何情况下不再作调整。</w:t>
      </w:r>
    </w:p>
    <w:p>
      <w:pPr>
        <w:pStyle w:val="26"/>
        <w:numPr>
          <w:ilvl w:val="0"/>
          <w:numId w:val="13"/>
        </w:numPr>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付款方式</w:t>
      </w:r>
    </w:p>
    <w:p>
      <w:pPr>
        <w:pStyle w:val="27"/>
        <w:ind w:left="0" w:leftChars="0" w:firstLine="420" w:firstLineChars="200"/>
        <w:rPr>
          <w:color w:val="auto"/>
          <w:highlight w:val="none"/>
        </w:rPr>
      </w:pPr>
      <w:r>
        <w:rPr>
          <w:rFonts w:hint="eastAsia"/>
          <w:color w:val="auto"/>
          <w:highlight w:val="none"/>
        </w:rPr>
        <w:t>运行维护三年费用实行包干制。</w:t>
      </w:r>
    </w:p>
    <w:p>
      <w:pPr>
        <w:rPr>
          <w:color w:val="auto"/>
          <w:highlight w:val="none"/>
        </w:rPr>
      </w:pP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运行费用部分付款方式：全部安装调试完成后支付第一年除系统运维费外的其他运行费用；第二个支付第二年运行费用，第三年付完所有的运行费用。</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设备调试、安装部分付款方式：货物全部进场后，采购方支付到合同总金额的40%给供货方（不含运行费用）；货物安装、调试完成后能正常运行，支付合同总金额的20%给供货方（不含运行费用）；通过完工验收合格后支付合同总金额的20%给供货方（不含运行费用）。该项目审计完成后支付合同总金额的17%给供货方（不含运行费用）。项目合同余款的3%作为质量保证金（不含运行费用），待质保期满一年后15个工作日内一次性无息返还给供货方。</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6、安装交付时间</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本合同项目交付时间在合同的基本条款中有明确规定，即</w:t>
      </w:r>
      <w:r>
        <w:rPr>
          <w:rFonts w:hint="eastAsia" w:asciiTheme="minorEastAsia" w:hAnsiTheme="minorEastAsia" w:eastAsiaTheme="minorEastAsia" w:cstheme="minorEastAsia"/>
          <w:color w:val="auto"/>
          <w:sz w:val="21"/>
          <w:highlight w:val="none"/>
          <w:u w:val="single"/>
        </w:rPr>
        <w:t>　　年　　月　　</w:t>
      </w:r>
      <w:r>
        <w:rPr>
          <w:rFonts w:hint="eastAsia" w:asciiTheme="minorEastAsia" w:hAnsiTheme="minorEastAsia" w:eastAsiaTheme="minorEastAsia" w:cstheme="minorEastAsia"/>
          <w:color w:val="auto"/>
          <w:sz w:val="21"/>
          <w:highlight w:val="none"/>
        </w:rPr>
        <w:t>日前交清。</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7、验收办法</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本合同验收办法在合同的基本条款中有明确规定。</w:t>
      </w:r>
    </w:p>
    <w:p>
      <w:pPr>
        <w:pStyle w:val="26"/>
        <w:spacing w:line="480" w:lineRule="auto"/>
        <w:ind w:firstLine="42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8、交货地点及数量</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，共</w:t>
      </w:r>
      <w:r>
        <w:rPr>
          <w:rFonts w:hint="eastAsia" w:asciiTheme="minorEastAsia" w:hAnsiTheme="minorEastAsia" w:eastAsiaTheme="minorEastAsia" w:cstheme="minorEastAsia"/>
          <w:color w:val="auto"/>
          <w:sz w:val="21"/>
          <w:highlight w:val="none"/>
          <w:u w:val="single"/>
        </w:rPr>
        <w:t xml:space="preserve">  　（台/套）</w:t>
      </w:r>
      <w:r>
        <w:rPr>
          <w:rFonts w:hint="eastAsia" w:asciiTheme="minorEastAsia" w:hAnsiTheme="minorEastAsia" w:eastAsiaTheme="minorEastAsia" w:cstheme="minorEastAsia"/>
          <w:color w:val="auto"/>
          <w:sz w:val="21"/>
          <w:highlight w:val="none"/>
        </w:rPr>
        <w:t>一次交清。</w:t>
      </w:r>
    </w:p>
    <w:p>
      <w:pPr>
        <w:pStyle w:val="26"/>
        <w:spacing w:line="480" w:lineRule="auto"/>
        <w:ind w:firstLine="422" w:firstLineChars="20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9、合同生效及其它</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本合同一式六份，经甲乙双方法定代表人或委托代理人签字并加盖公章后生效。甲乙双方各执二份，采购代理机构执一份，桂林市政府采购管理办公室执一份。合同签订起七日内送上述单位备案。</w:t>
      </w:r>
    </w:p>
    <w:p>
      <w:pPr>
        <w:pStyle w:val="26"/>
        <w:spacing w:line="480" w:lineRule="auto"/>
        <w:ind w:firstLine="420"/>
        <w:rPr>
          <w:rFonts w:asciiTheme="minorEastAsia" w:hAnsiTheme="minorEastAsia" w:eastAsiaTheme="minorEastAsia" w:cstheme="minorEastAsia"/>
          <w:color w:val="auto"/>
          <w:sz w:val="21"/>
          <w:highlight w:val="none"/>
        </w:rPr>
      </w:pP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甲方名称及公章：                        乙方名称及公章：</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法定代表人                              法定代表人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或委托代理人：                          或委托代理人：</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项目负责人：</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经办人：</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邮政编码：                              邮政编码：</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    址：                              地    址：</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联系电话：                              联系电话：</w:t>
      </w:r>
    </w:p>
    <w:p>
      <w:pPr>
        <w:pStyle w:val="26"/>
        <w:spacing w:line="480" w:lineRule="auto"/>
        <w:ind w:firstLine="1470" w:firstLineChars="7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开户名称：</w:t>
      </w:r>
    </w:p>
    <w:p>
      <w:pPr>
        <w:pStyle w:val="26"/>
        <w:spacing w:line="480" w:lineRule="auto"/>
        <w:ind w:firstLine="1470" w:firstLineChars="7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开户银行：</w:t>
      </w:r>
    </w:p>
    <w:p>
      <w:pPr>
        <w:pStyle w:val="26"/>
        <w:spacing w:line="480" w:lineRule="auto"/>
        <w:ind w:firstLine="1470" w:firstLineChars="7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银行帐号：</w:t>
      </w:r>
    </w:p>
    <w:p>
      <w:pPr>
        <w:pStyle w:val="26"/>
        <w:spacing w:line="480" w:lineRule="auto"/>
        <w:ind w:firstLine="420"/>
        <w:rPr>
          <w:rFonts w:asciiTheme="minorEastAsia" w:hAnsiTheme="minorEastAsia" w:eastAsiaTheme="minorEastAsia" w:cstheme="minorEastAsia"/>
          <w:color w:val="auto"/>
          <w:sz w:val="21"/>
          <w:highlight w:val="none"/>
        </w:rPr>
      </w:pP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合同签订时间：</w:t>
      </w:r>
    </w:p>
    <w:p>
      <w:pPr>
        <w:pStyle w:val="26"/>
        <w:spacing w:line="48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合同签订地点：</w:t>
      </w:r>
    </w:p>
    <w:p>
      <w:pPr>
        <w:pStyle w:val="26"/>
        <w:spacing w:line="480" w:lineRule="auto"/>
        <w:ind w:firstLine="420"/>
        <w:rPr>
          <w:rFonts w:asciiTheme="minorEastAsia" w:hAnsiTheme="minorEastAsia" w:eastAsiaTheme="minorEastAsia" w:cstheme="minorEastAsia"/>
          <w:color w:val="auto"/>
          <w:sz w:val="24"/>
          <w:szCs w:val="24"/>
          <w:highlight w:val="none"/>
        </w:rPr>
      </w:pPr>
    </w:p>
    <w:p>
      <w:pPr>
        <w:pStyle w:val="26"/>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44"/>
          <w:highlight w:val="none"/>
        </w:rPr>
        <w:br w:type="page"/>
      </w:r>
      <w:bookmarkStart w:id="40" w:name="_Toc418507387"/>
      <w:bookmarkStart w:id="41" w:name="_Toc506131556"/>
      <w:r>
        <w:rPr>
          <w:rFonts w:hint="eastAsia" w:asciiTheme="minorEastAsia" w:hAnsiTheme="minorEastAsia" w:eastAsiaTheme="minorEastAsia" w:cstheme="minorEastAsia"/>
          <w:b/>
          <w:color w:val="auto"/>
          <w:sz w:val="36"/>
          <w:szCs w:val="36"/>
          <w:highlight w:val="none"/>
        </w:rPr>
        <w:t>合同基本条款</w:t>
      </w:r>
      <w:bookmarkEnd w:id="40"/>
      <w:bookmarkEnd w:id="41"/>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（一）说明</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1.1合同基本条款是指采购人（以下简称甲方）和中标供应商（以下简称乙方）应共同遵守的基本原则，并做为双方签约的依据。对于合同的其他条款，双方应本着互谅互让的精神，在谈判中协商解决。</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1.2制订《合同基本条款》的依据是：《中华人民共和国合同法》。</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1.3政府采购合同以书面方式签订。</w:t>
      </w:r>
    </w:p>
    <w:p>
      <w:pPr>
        <w:spacing w:line="360" w:lineRule="auto"/>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（二）货物条款</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2.1甲、乙双方应将招标文件、投标文件及评标小组确认的货物名称、项目特征描述、数量、交货安装竣工日期和售后服务内容等作为本条款的基础。</w:t>
      </w:r>
    </w:p>
    <w:p>
      <w:pPr>
        <w:spacing w:line="360" w:lineRule="auto"/>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（三）货物质量要求及乙方对质量负责条件和期限</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3.1乙方应按招标文件规定的时间向甲方提供安装使用货物配套件所属装置等有关技术文件资料。</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3.2乙方提供的货物应有符合国家标准以及本产品的出厂标准的质量检验证明。</w:t>
      </w:r>
    </w:p>
    <w:p>
      <w:pPr>
        <w:spacing w:line="360" w:lineRule="auto"/>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（四）质量保证</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4.1乙方应按招标文件及投标文件的货物性能、技术要求、质量标准向甲方提供未经使用的全新产品。</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乙方提供货物的质量保证期按交货验收合格之日起计（期限见《项目需求和说明》中要求）。在保证期内因货物本身的质量问题发生故障，乙方应负责免费修理和更换零部件。对达不到技术要求者，根据实际情况，经双方协商，可按以下办法处理：</w:t>
      </w:r>
    </w:p>
    <w:p>
      <w:pPr>
        <w:numPr>
          <w:ilvl w:val="0"/>
          <w:numId w:val="14"/>
        </w:num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更换：由乙方承担所发生的全部费用。</w:t>
      </w:r>
    </w:p>
    <w:p>
      <w:pPr>
        <w:numPr>
          <w:ilvl w:val="0"/>
          <w:numId w:val="14"/>
        </w:num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贬值处理：由甲乙双方合议定价。</w:t>
      </w:r>
    </w:p>
    <w:p>
      <w:pPr>
        <w:numPr>
          <w:ilvl w:val="0"/>
          <w:numId w:val="14"/>
        </w:num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退货处理：乙方应退还甲方支付的货物款，同时应承担该货物的直接费用(运输、保险、检验、货款利息及银行手续费等)。</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4.3如在使用过程中发生质量问题，乙方在接到甲方通知后在《项目需求和说明》要求的时间内到达甲方现场。</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4.4在质保期内，乙方应对货物出现的质量及安全问题负责处理解决。</w:t>
      </w:r>
    </w:p>
    <w:p>
      <w:pPr>
        <w:pStyle w:val="26"/>
        <w:spacing w:line="360" w:lineRule="auto"/>
        <w:ind w:firstLine="420"/>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（五）验收</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5.1乙方交货前应对产品作出全面检查和对验收文件进行整理列出清单，作为甲方收货验收和使用的技术条件依据，检验的结果应随货物交甲方。</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5.2甲方对乙方所交货物依照招标文件上的技术规格要求和国家（设备制造国）有关标准进行现场验收，性能达到技术要求的，给予签收。验收不合格的不予签收，后果由乙方负责。</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5.3甲方应在货到指定地点之日起5个工作日内验收完毕，并作出验收结果报告。验收时乙方或乙方委托代理方必须在现场。</w:t>
      </w:r>
    </w:p>
    <w:p>
      <w:pPr>
        <w:pStyle w:val="26"/>
        <w:spacing w:line="360" w:lineRule="auto"/>
        <w:jc w:val="cente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（六）货物包装、发送及运输</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6.1乙方应在货物发运前对其进行满足于运输距离、防潮、防震、防锈和防破损装卸要求的包装，以保证货物安全运输到达甲方指定地点。</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6.2使用说明书、质量检验证明书、随配附件和工具以及清单等一并附于货物内。</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6.3乙方负责将货物安全运送到甲方指定地点，不另收任何费用。</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6.4货物在交货前发生的不可预见的风险均由乙方负责。</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6.5货物在发运手续办理完毕后24小时内或货到甲方前48小时通知甲方，以准备接货。</w:t>
      </w:r>
    </w:p>
    <w:p>
      <w:pPr>
        <w:pStyle w:val="26"/>
        <w:spacing w:line="360" w:lineRule="auto"/>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（七）交货期及交货方式</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7.1交货时间：按《项目需求和说明》规定时间。</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7.2交货方式：现场免费安装调试验收。</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7.3交货地点：采购人指定地点。</w:t>
      </w: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（八）付款方式</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8.1本合同以人民币付款。</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8.2付款方式：</w:t>
      </w:r>
      <w:r>
        <w:rPr>
          <w:rFonts w:hint="eastAsia" w:asciiTheme="minorEastAsia" w:hAnsiTheme="minorEastAsia" w:eastAsiaTheme="minorEastAsia" w:cstheme="minorEastAsia"/>
          <w:color w:val="auto"/>
          <w:szCs w:val="21"/>
          <w:highlight w:val="none"/>
        </w:rPr>
        <w:t>签订合同之日起7个工作日内，采购方支付中标方30%的预付款；货物全部进场后，采购方7个工作日内支付合同总金额的50%给中标方；设备投运正常验收合格后支付合同额的17%，合同余款的3%作为质保金，待质保期满后15个工作日内一次性无息返还</w:t>
      </w:r>
    </w:p>
    <w:p>
      <w:pPr>
        <w:pStyle w:val="26"/>
        <w:spacing w:line="360" w:lineRule="auto"/>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（九）违约责任</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9.1逾期交货或无正当理由拒收的，每天按合同额的1‰支付违约金。</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9.2逾期超过10天仍不能交货的，甲方可解除双方的供货合同，造成甲方损失的，由乙方负责赔偿。</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9.3其它未尽事宜，双方签订合同时按《中华人民共和国合同法》议定。</w:t>
      </w:r>
    </w:p>
    <w:p>
      <w:pPr>
        <w:pStyle w:val="26"/>
        <w:spacing w:line="360" w:lineRule="auto"/>
        <w:jc w:val="center"/>
        <w:rPr>
          <w:rFonts w:asciiTheme="minorEastAsia" w:hAnsiTheme="minorEastAsia" w:eastAsiaTheme="minorEastAsia" w:cstheme="minorEastAsia"/>
          <w:bCs/>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（十）不可抗力事件处理</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10.2不可抗力事件发生后，应立即通知对方，并寄送有关权威机构出具的证明。</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10.3不可抗力事件延续120天以上，双方应通过友好协商，确定是否继续履行合同。</w:t>
      </w: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（十一）仲裁</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11.1双方在履行合同中所发生的一切争议，应通过协商解决。如协商不成，按合同事先约定的条款，向桂林市仲裁委员会申请仲裁或向桂林市中级人民法院起诉。</w:t>
      </w: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（十二）合同生效及其他</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12.1合同经双方法定代表人或委托代理人签字并加盖单位公章后生效。</w:t>
      </w:r>
    </w:p>
    <w:p>
      <w:pPr>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12.2合同履行中，如需修改或补充合同内容，由双方协商另签署书面修改或补充协议并经桂林市政府采购管理办公室确认后作为主合同不可分割的一部分。</w:t>
      </w:r>
    </w:p>
    <w:p>
      <w:pPr>
        <w:pStyle w:val="2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42" w:name="_Toc506131557"/>
    </w:p>
    <w:p>
      <w:pPr>
        <w:pStyle w:val="26"/>
        <w:numPr>
          <w:ilvl w:val="0"/>
          <w:numId w:val="15"/>
        </w:numPr>
        <w:spacing w:line="360" w:lineRule="auto"/>
        <w:jc w:val="center"/>
        <w:outlineLvl w:val="0"/>
        <w:rPr>
          <w:rFonts w:asciiTheme="minorEastAsia" w:hAnsiTheme="minorEastAsia" w:eastAsiaTheme="minorEastAsia" w:cstheme="minorEastAsia"/>
          <w:b/>
          <w:color w:val="auto"/>
          <w:sz w:val="44"/>
          <w:szCs w:val="44"/>
          <w:highlight w:val="none"/>
        </w:rPr>
      </w:pPr>
      <w:bookmarkStart w:id="43" w:name="_Toc9004573"/>
      <w:r>
        <w:rPr>
          <w:rFonts w:hint="eastAsia" w:asciiTheme="minorEastAsia" w:hAnsiTheme="minorEastAsia" w:eastAsiaTheme="minorEastAsia" w:cstheme="minorEastAsia"/>
          <w:b/>
          <w:color w:val="auto"/>
          <w:sz w:val="44"/>
          <w:szCs w:val="44"/>
          <w:highlight w:val="none"/>
        </w:rPr>
        <w:t xml:space="preserve"> </w:t>
      </w:r>
      <w:bookmarkStart w:id="44" w:name="_Toc9471"/>
      <w:r>
        <w:rPr>
          <w:rFonts w:hint="eastAsia" w:asciiTheme="minorEastAsia" w:hAnsiTheme="minorEastAsia" w:eastAsiaTheme="minorEastAsia" w:cstheme="minorEastAsia"/>
          <w:b/>
          <w:color w:val="auto"/>
          <w:sz w:val="44"/>
          <w:szCs w:val="44"/>
          <w:highlight w:val="none"/>
        </w:rPr>
        <w:t>投标文件（格式）</w:t>
      </w:r>
      <w:bookmarkEnd w:id="42"/>
      <w:bookmarkEnd w:id="43"/>
      <w:bookmarkEnd w:id="44"/>
    </w:p>
    <w:p>
      <w:pPr>
        <w:pStyle w:val="27"/>
        <w:ind w:left="0" w:left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投标文件目录</w:t>
      </w:r>
    </w:p>
    <w:p>
      <w:pPr>
        <w:pStyle w:val="154"/>
        <w:tabs>
          <w:tab w:val="left" w:pos="1618"/>
        </w:tabs>
        <w:spacing w:before="94"/>
        <w:ind w:left="420" w:leftChars="200" w:firstLine="0" w:firstLineChars="0"/>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一、投标报价函</w:t>
      </w:r>
    </w:p>
    <w:p>
      <w:pPr>
        <w:pStyle w:val="154"/>
        <w:tabs>
          <w:tab w:val="left" w:pos="1618"/>
        </w:tabs>
        <w:spacing w:before="93"/>
        <w:ind w:left="420" w:leftChars="200" w:firstLine="0" w:firstLineChars="0"/>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二、资格性响应证明材料：</w:t>
      </w:r>
    </w:p>
    <w:p>
      <w:pPr>
        <w:pStyle w:val="154"/>
        <w:tabs>
          <w:tab w:val="left" w:pos="1477"/>
        </w:tabs>
        <w:spacing w:before="91" w:line="360" w:lineRule="auto"/>
        <w:ind w:left="420" w:leftChars="200"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1.投标人相应的法定代表人、负责人、自然人身份证正反面复印件 （</w:t>
      </w:r>
      <w:r>
        <w:rPr>
          <w:rFonts w:hint="eastAsia" w:asciiTheme="minorEastAsia" w:hAnsiTheme="minorEastAsia" w:eastAsiaTheme="minorEastAsia" w:cstheme="minorEastAsia"/>
          <w:b/>
          <w:color w:val="auto"/>
          <w:szCs w:val="21"/>
          <w:highlight w:val="none"/>
        </w:rPr>
        <w:t>必须提供</w:t>
      </w:r>
      <w:r>
        <w:rPr>
          <w:rFonts w:hint="eastAsia" w:asciiTheme="minorEastAsia" w:hAnsiTheme="minorEastAsia" w:eastAsiaTheme="minorEastAsia" w:cstheme="minorEastAsia"/>
          <w:color w:val="auto"/>
          <w:szCs w:val="21"/>
          <w:highlight w:val="none"/>
        </w:rPr>
        <w:t>）；</w:t>
      </w:r>
    </w:p>
    <w:p>
      <w:pPr>
        <w:pStyle w:val="154"/>
        <w:tabs>
          <w:tab w:val="left" w:pos="1477"/>
        </w:tabs>
        <w:spacing w:before="93" w:line="360" w:lineRule="auto"/>
        <w:ind w:right="-36" w:firstLine="408"/>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3"/>
          <w:szCs w:val="21"/>
          <w:highlight w:val="none"/>
        </w:rPr>
        <w:t>2.投标人的授权委托书原件、委托代理人身份证正反面复印件以及由县级以上</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7"/>
          <w:szCs w:val="21"/>
          <w:highlight w:val="none"/>
        </w:rPr>
        <w:t>含县级</w:t>
      </w:r>
      <w:r>
        <w:rPr>
          <w:rFonts w:hint="eastAsia" w:asciiTheme="minorEastAsia" w:hAnsiTheme="minorEastAsia" w:eastAsiaTheme="minorEastAsia" w:cstheme="minorEastAsia"/>
          <w:color w:val="auto"/>
          <w:szCs w:val="21"/>
          <w:highlight w:val="none"/>
        </w:rPr>
        <w:t>）社会养老保险经办机构出具的投标人为委托代理人交纳的社保证明复印件（投标截止之日止前近半年连续三个月）</w:t>
      </w:r>
      <w:r>
        <w:rPr>
          <w:rFonts w:hint="eastAsia" w:asciiTheme="minorEastAsia" w:hAnsiTheme="minorEastAsia" w:eastAsiaTheme="minorEastAsia" w:cstheme="minorEastAsia"/>
          <w:b/>
          <w:color w:val="auto"/>
          <w:szCs w:val="21"/>
          <w:highlight w:val="none"/>
        </w:rPr>
        <w:t>（委托代理时必须提供）；</w:t>
      </w:r>
    </w:p>
    <w:p>
      <w:pPr>
        <w:pStyle w:val="154"/>
        <w:tabs>
          <w:tab w:val="left" w:pos="1477"/>
        </w:tabs>
        <w:spacing w:line="360" w:lineRule="auto"/>
        <w:ind w:left="420" w:leftChars="200"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3.投标人的法人或者其他组织营业执照等证明文件复印件</w:t>
      </w:r>
      <w:r>
        <w:rPr>
          <w:rFonts w:hint="eastAsia" w:asciiTheme="minorEastAsia" w:hAnsiTheme="minorEastAsia" w:eastAsiaTheme="minorEastAsia" w:cstheme="minorEastAsia"/>
          <w:b/>
          <w:color w:val="auto"/>
          <w:szCs w:val="21"/>
          <w:highlight w:val="none"/>
        </w:rPr>
        <w:t>（必须提供）</w:t>
      </w:r>
      <w:r>
        <w:rPr>
          <w:rFonts w:hint="eastAsia" w:asciiTheme="minorEastAsia" w:hAnsiTheme="minorEastAsia" w:eastAsiaTheme="minorEastAsia" w:cstheme="minorEastAsia"/>
          <w:color w:val="auto"/>
          <w:szCs w:val="21"/>
          <w:highlight w:val="none"/>
        </w:rPr>
        <w:t>；</w:t>
      </w:r>
    </w:p>
    <w:p>
      <w:pPr>
        <w:widowControl/>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①法人包括企业法人、机关法人、事业单位法人和社会团体法人；其他组织主要包括合伙企业、非企业专业服务机构、个体工商户、农村承包经营户。②如投标人企业（包括合伙企业），应提供工商部门注册的有效“企业法人营业执照”或“营业执照复印件；投标人为事业单位，应提供有效的“事业单位法人证书”复印件；投标人为非企业专业服务机构的，应提供执业许可证复印件等证明文件；投标人为个体工商户，应提供有效的“个体工商户营业执照”复印件；</w:t>
      </w:r>
    </w:p>
    <w:p>
      <w:pPr>
        <w:widowControl/>
        <w:spacing w:line="360" w:lineRule="auto"/>
        <w:ind w:firstLine="420" w:firstLineChars="200"/>
        <w:jc w:val="left"/>
        <w:rPr>
          <w:rFonts w:asciiTheme="minorEastAsia" w:hAnsiTheme="minorEastAsia" w:eastAsiaTheme="minorEastAsia" w:cstheme="minorEastAsia"/>
          <w:color w:val="auto"/>
          <w:szCs w:val="21"/>
          <w:highlight w:val="none"/>
          <w:lang w:val="zh-CN" w:bidi="zh-CN"/>
        </w:rPr>
      </w:pPr>
      <w:r>
        <w:rPr>
          <w:rFonts w:hint="eastAsia" w:asciiTheme="minorEastAsia" w:hAnsiTheme="minorEastAsia" w:eastAsiaTheme="minorEastAsia" w:cstheme="minorEastAsia"/>
          <w:color w:val="auto"/>
          <w:szCs w:val="21"/>
          <w:highlight w:val="none"/>
          <w:lang w:bidi="zh-CN"/>
        </w:rPr>
        <w:t>4.投标人 2019 年度经中介机构审计的有效的财务审计报告复印件或能反映财务状况的报表；（如有，请提供）</w:t>
      </w:r>
    </w:p>
    <w:p>
      <w:pPr>
        <w:widowControl/>
        <w:spacing w:line="360" w:lineRule="auto"/>
        <w:ind w:firstLine="420" w:firstLineChars="200"/>
        <w:jc w:val="left"/>
        <w:rPr>
          <w:rFonts w:asciiTheme="minorEastAsia" w:hAnsiTheme="minorEastAsia" w:eastAsiaTheme="minorEastAsia" w:cstheme="minorEastAsia"/>
          <w:color w:val="auto"/>
          <w:szCs w:val="21"/>
          <w:highlight w:val="none"/>
          <w:lang w:bidi="zh-CN"/>
        </w:rPr>
      </w:pPr>
      <w:r>
        <w:rPr>
          <w:rFonts w:hint="eastAsia" w:asciiTheme="minorEastAsia" w:hAnsiTheme="minorEastAsia" w:eastAsiaTheme="minorEastAsia" w:cstheme="minorEastAsia"/>
          <w:color w:val="auto"/>
          <w:szCs w:val="21"/>
          <w:highlight w:val="none"/>
          <w:lang w:bidi="zh-CN"/>
        </w:rPr>
        <w:t>5.投标人参加政府采购活动前 3 年内在经营活动中没有重大违法记录及有关信用信息的书面声明</w:t>
      </w:r>
      <w:r>
        <w:rPr>
          <w:rFonts w:hint="eastAsia" w:asciiTheme="minorEastAsia" w:hAnsiTheme="minorEastAsia" w:eastAsiaTheme="minorEastAsia" w:cstheme="minorEastAsia"/>
          <w:b/>
          <w:bCs/>
          <w:color w:val="auto"/>
          <w:szCs w:val="21"/>
          <w:highlight w:val="none"/>
          <w:lang w:bidi="zh-CN"/>
        </w:rPr>
        <w:t>（必须提供）</w:t>
      </w:r>
      <w:r>
        <w:rPr>
          <w:rFonts w:hint="eastAsia" w:asciiTheme="minorEastAsia" w:hAnsiTheme="minorEastAsia" w:eastAsiaTheme="minorEastAsia" w:cstheme="minorEastAsia"/>
          <w:color w:val="auto"/>
          <w:szCs w:val="21"/>
          <w:highlight w:val="none"/>
          <w:lang w:bidi="zh-CN"/>
        </w:rPr>
        <w:t>；</w:t>
      </w:r>
    </w:p>
    <w:p>
      <w:pPr>
        <w:pStyle w:val="8"/>
        <w:numPr>
          <w:ilvl w:val="5"/>
          <w:numId w:val="0"/>
        </w:numPr>
        <w:tabs>
          <w:tab w:val="left" w:pos="1601"/>
        </w:tabs>
        <w:spacing w:before="2"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三、商务、技术性响应及其他证明材料：</w:t>
      </w:r>
    </w:p>
    <w:p>
      <w:pPr>
        <w:widowControl/>
        <w:spacing w:line="48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（1）拟投入本项目的设备清单</w:t>
      </w:r>
      <w:r>
        <w:rPr>
          <w:rFonts w:hint="eastAsia" w:asciiTheme="minorEastAsia" w:hAnsiTheme="minorEastAsia" w:eastAsiaTheme="minorEastAsia" w:cstheme="minorEastAsia"/>
          <w:b/>
          <w:bCs/>
          <w:color w:val="auto"/>
          <w:spacing w:val="-6"/>
          <w:szCs w:val="21"/>
          <w:highlight w:val="none"/>
          <w:lang w:bidi="zh-CN"/>
        </w:rPr>
        <w:t>（必须提供）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48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（2）采购需求响应表</w:t>
      </w:r>
      <w:r>
        <w:rPr>
          <w:rFonts w:hint="eastAsia" w:asciiTheme="minorEastAsia" w:hAnsiTheme="minorEastAsia" w:eastAsiaTheme="minorEastAsia" w:cstheme="minorEastAsia"/>
          <w:b/>
          <w:bCs/>
          <w:color w:val="auto"/>
          <w:spacing w:val="-6"/>
          <w:szCs w:val="21"/>
          <w:highlight w:val="none"/>
          <w:lang w:bidi="zh-CN"/>
        </w:rPr>
        <w:t>（必须提供）</w:t>
      </w:r>
      <w:r>
        <w:rPr>
          <w:rFonts w:hint="eastAsia" w:asciiTheme="minorEastAsia" w:hAnsiTheme="minorEastAsia" w:eastAsiaTheme="minorEastAsia" w:cstheme="minorEastAsia"/>
          <w:color w:val="auto"/>
          <w:spacing w:val="-6"/>
          <w:szCs w:val="21"/>
          <w:highlight w:val="none"/>
          <w:lang w:bidi="zh-CN"/>
        </w:rPr>
        <w:t>；</w:t>
      </w:r>
    </w:p>
    <w:p>
      <w:pPr>
        <w:widowControl/>
        <w:spacing w:line="48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（3）总体设计方案</w:t>
      </w:r>
      <w:r>
        <w:rPr>
          <w:rFonts w:hint="eastAsia" w:asciiTheme="minorEastAsia" w:hAnsiTheme="minorEastAsia" w:eastAsiaTheme="minorEastAsia" w:cstheme="minorEastAsia"/>
          <w:b/>
          <w:bCs/>
          <w:color w:val="auto"/>
          <w:spacing w:val="-6"/>
          <w:szCs w:val="21"/>
          <w:highlight w:val="none"/>
          <w:lang w:bidi="zh-CN"/>
        </w:rPr>
        <w:t>（格式自拟，必须提供）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48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（4）项目实施方案</w:t>
      </w:r>
      <w:r>
        <w:rPr>
          <w:rFonts w:hint="eastAsia" w:asciiTheme="minorEastAsia" w:hAnsiTheme="minorEastAsia" w:eastAsiaTheme="minorEastAsia" w:cstheme="minorEastAsia"/>
          <w:b/>
          <w:bCs/>
          <w:color w:val="auto"/>
          <w:spacing w:val="-6"/>
          <w:szCs w:val="21"/>
          <w:highlight w:val="none"/>
          <w:lang w:bidi="zh-CN"/>
        </w:rPr>
        <w:t>（格式自拟，必须提供）</w:t>
      </w:r>
      <w:r>
        <w:rPr>
          <w:rFonts w:hint="eastAsia" w:asciiTheme="minorEastAsia" w:hAnsiTheme="minorEastAsia" w:eastAsiaTheme="minorEastAsia" w:cstheme="minorEastAsia"/>
          <w:color w:val="auto"/>
          <w:spacing w:val="-6"/>
          <w:szCs w:val="21"/>
          <w:highlight w:val="none"/>
          <w:lang w:bidi="zh-CN"/>
        </w:rPr>
        <w:t xml:space="preserve"> ；</w:t>
      </w:r>
    </w:p>
    <w:p>
      <w:pPr>
        <w:widowControl/>
        <w:spacing w:line="480" w:lineRule="auto"/>
        <w:ind w:firstLine="396" w:firstLineChars="200"/>
        <w:jc w:val="left"/>
        <w:rPr>
          <w:rFonts w:asciiTheme="minorEastAsia" w:hAnsiTheme="minorEastAsia" w:eastAsiaTheme="minorEastAsia" w:cstheme="minorEastAsia"/>
          <w:color w:val="auto"/>
          <w:spacing w:val="-6"/>
          <w:szCs w:val="21"/>
          <w:highlight w:val="none"/>
          <w:lang w:val="zh-CN" w:bidi="zh-CN"/>
        </w:rPr>
      </w:pPr>
      <w:r>
        <w:rPr>
          <w:rFonts w:hint="eastAsia" w:asciiTheme="minorEastAsia" w:hAnsiTheme="minorEastAsia" w:eastAsiaTheme="minorEastAsia" w:cstheme="minorEastAsia"/>
          <w:color w:val="auto"/>
          <w:spacing w:val="-6"/>
          <w:szCs w:val="21"/>
          <w:highlight w:val="none"/>
          <w:lang w:bidi="zh-CN"/>
        </w:rPr>
        <w:t>（5）售后服务方案</w:t>
      </w:r>
      <w:r>
        <w:rPr>
          <w:rFonts w:hint="eastAsia" w:asciiTheme="minorEastAsia" w:hAnsiTheme="minorEastAsia" w:eastAsiaTheme="minorEastAsia" w:cstheme="minorEastAsia"/>
          <w:b/>
          <w:bCs/>
          <w:color w:val="auto"/>
          <w:spacing w:val="-6"/>
          <w:szCs w:val="21"/>
          <w:highlight w:val="none"/>
          <w:lang w:bidi="zh-CN"/>
        </w:rPr>
        <w:t>（格式自拟。必须提供）；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（6）拟投入本项目实施人员一览表 （附人员身份证及其他相关证书、证件复印件及投标人为其购买投标截止之日止前近半年连续三个月</w:t>
      </w:r>
      <w:r>
        <w:rPr>
          <w:rFonts w:hint="eastAsia" w:asciiTheme="minorEastAsia" w:hAnsiTheme="minorEastAsia" w:eastAsiaTheme="minorEastAsia" w:cstheme="minorEastAsia"/>
          <w:color w:val="auto"/>
          <w:spacing w:val="-8"/>
          <w:szCs w:val="21"/>
          <w:highlight w:val="none"/>
        </w:rPr>
        <w:t>社保证明</w:t>
      </w:r>
      <w:r>
        <w:rPr>
          <w:rFonts w:hint="eastAsia" w:asciiTheme="minorEastAsia" w:hAnsiTheme="minorEastAsia" w:eastAsiaTheme="minorEastAsia" w:cstheme="minorEastAsia"/>
          <w:color w:val="auto"/>
          <w:szCs w:val="21"/>
          <w:highlight w:val="none"/>
        </w:rPr>
        <w:t>，必须提供 ）；</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（7）“采购需求”中要求必须提供的相关有效证明文件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（8）节能方面的证书复印件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（9）环保方面的证书复印件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（10）投标人201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年1月1日以来完成过</w:t>
      </w:r>
      <w:r>
        <w:rPr>
          <w:rFonts w:hint="eastAsia" w:asciiTheme="minorEastAsia" w:hAnsiTheme="minorEastAsia" w:eastAsiaTheme="minorEastAsia" w:cstheme="minorEastAsia"/>
          <w:color w:val="auto"/>
          <w:szCs w:val="21"/>
          <w:highlight w:val="none"/>
          <w:lang w:eastAsia="zh-CN"/>
        </w:rPr>
        <w:t>符合本项目招标内容的类似</w:t>
      </w:r>
      <w:r>
        <w:rPr>
          <w:rFonts w:hint="eastAsia" w:asciiTheme="minorEastAsia" w:hAnsiTheme="minorEastAsia" w:eastAsiaTheme="minorEastAsia" w:cstheme="minorEastAsia"/>
          <w:color w:val="auto"/>
          <w:szCs w:val="21"/>
          <w:highlight w:val="none"/>
        </w:rPr>
        <w:t>业绩。需同时中标通知书（或成交通知书）和合同协议书的相关证明材料；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（11）投标人相关获奖证书、认证证书、著作权证书等复印件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（12）投标人属于小型、微型企业的，应提供《中小企业声明函》；属于监狱企业的，应当提供由省级以上监狱管理局、戒毒管理局(含新疆生产建设兵团)出具的属于监狱企业的证明文件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（13）符合条件的残疾人福利性单位在参加政府采购活动时，应当提供《残疾人福利性单位声明函》，并对声明的真实性负责 （如有，请提供）；</w:t>
      </w:r>
    </w:p>
    <w:p>
      <w:pPr>
        <w:pStyle w:val="154"/>
        <w:tabs>
          <w:tab w:val="left" w:pos="1601"/>
        </w:tabs>
        <w:spacing w:line="48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（14）投标人可结合本项目的评标办法视自身情况自行提交相关证明材料 （如有，请提供）。</w:t>
      </w:r>
    </w:p>
    <w:p>
      <w:pPr>
        <w:pStyle w:val="26"/>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pStyle w:val="26"/>
        <w:numPr>
          <w:ilvl w:val="0"/>
          <w:numId w:val="16"/>
        </w:numPr>
        <w:spacing w:line="360" w:lineRule="auto"/>
        <w:jc w:val="left"/>
        <w:rPr>
          <w:rFonts w:asciiTheme="minorEastAsia" w:hAnsiTheme="minorEastAsia" w:eastAsiaTheme="minorEastAsia" w:cstheme="minorEastAsia"/>
          <w:b/>
          <w:color w:val="auto"/>
          <w:sz w:val="32"/>
          <w:szCs w:val="32"/>
          <w:highlight w:val="none"/>
        </w:rPr>
      </w:pPr>
      <w:bookmarkStart w:id="45" w:name="_Toc506131559"/>
      <w:bookmarkStart w:id="46" w:name="_Toc418507390"/>
      <w:r>
        <w:rPr>
          <w:rFonts w:hint="eastAsia" w:asciiTheme="minorEastAsia" w:hAnsiTheme="minorEastAsia" w:eastAsiaTheme="minorEastAsia" w:cstheme="minorEastAsia"/>
          <w:b/>
          <w:color w:val="auto"/>
          <w:sz w:val="32"/>
          <w:szCs w:val="32"/>
          <w:highlight w:val="none"/>
        </w:rPr>
        <w:t>投标报价函（必须提供）</w:t>
      </w:r>
    </w:p>
    <w:p>
      <w:pPr>
        <w:pStyle w:val="26"/>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28"/>
          <w:szCs w:val="28"/>
          <w:highlight w:val="none"/>
        </w:rPr>
        <w:t>投标函（格式）</w:t>
      </w:r>
      <w:bookmarkEnd w:id="45"/>
      <w:bookmarkEnd w:id="46"/>
    </w:p>
    <w:p>
      <w:pPr>
        <w:pStyle w:val="26"/>
        <w:spacing w:line="480" w:lineRule="auto"/>
        <w:rPr>
          <w:rFonts w:asciiTheme="minorEastAsia" w:hAnsiTheme="minorEastAsia" w:eastAsiaTheme="minorEastAsia" w:cstheme="minorEastAsia"/>
          <w:color w:val="auto"/>
          <w:sz w:val="21"/>
          <w:highlight w:val="none"/>
          <w:u w:val="single"/>
        </w:rPr>
      </w:pPr>
      <w:r>
        <w:rPr>
          <w:rFonts w:hint="eastAsia" w:asciiTheme="minorEastAsia" w:hAnsiTheme="minorEastAsia" w:eastAsiaTheme="minorEastAsia" w:cstheme="minorEastAsia"/>
          <w:color w:val="auto"/>
          <w:sz w:val="21"/>
          <w:highlight w:val="none"/>
        </w:rPr>
        <w:t>致：</w:t>
      </w:r>
      <w:r>
        <w:rPr>
          <w:rFonts w:hint="eastAsia" w:asciiTheme="minorEastAsia" w:hAnsiTheme="minorEastAsia" w:eastAsiaTheme="minorEastAsia" w:cstheme="minorEastAsia"/>
          <w:color w:val="auto"/>
          <w:sz w:val="21"/>
          <w:highlight w:val="none"/>
          <w:u w:val="single"/>
        </w:rPr>
        <w:t>　广西汇益招标咨询有限公司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根据贵方</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项目招标文件，项目编号</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，正式授权下述签字人</w:t>
      </w:r>
      <w:r>
        <w:rPr>
          <w:rFonts w:hint="eastAsia" w:asciiTheme="minorEastAsia" w:hAnsiTheme="minorEastAsia" w:eastAsiaTheme="minorEastAsia" w:cstheme="minorEastAsia"/>
          <w:color w:val="auto"/>
          <w:sz w:val="21"/>
          <w:highlight w:val="none"/>
          <w:u w:val="single"/>
        </w:rPr>
        <w:t xml:space="preserve">       （姓名和职务）</w:t>
      </w:r>
      <w:r>
        <w:rPr>
          <w:rFonts w:hint="eastAsia" w:asciiTheme="minorEastAsia" w:hAnsiTheme="minorEastAsia" w:eastAsiaTheme="minorEastAsia" w:cstheme="minorEastAsia"/>
          <w:color w:val="auto"/>
          <w:sz w:val="21"/>
          <w:highlight w:val="none"/>
        </w:rPr>
        <w:t xml:space="preserve">代表投标人 </w:t>
      </w:r>
      <w:r>
        <w:rPr>
          <w:rFonts w:hint="eastAsia" w:asciiTheme="minorEastAsia" w:hAnsiTheme="minorEastAsia" w:eastAsiaTheme="minorEastAsia" w:cstheme="minorEastAsia"/>
          <w:color w:val="auto"/>
          <w:sz w:val="21"/>
          <w:highlight w:val="none"/>
          <w:u w:val="single"/>
        </w:rPr>
        <w:t xml:space="preserve">         （投标单位名称）      </w:t>
      </w:r>
      <w:r>
        <w:rPr>
          <w:rFonts w:hint="eastAsia" w:asciiTheme="minorEastAsia" w:hAnsiTheme="minorEastAsia" w:eastAsiaTheme="minorEastAsia" w:cstheme="minorEastAsia"/>
          <w:color w:val="auto"/>
          <w:sz w:val="21"/>
          <w:highlight w:val="none"/>
        </w:rPr>
        <w:t>，提交下述文件正本一份，副本四份。</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据此函，签字代表宣布同意如下：</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按招标文件采购需求和投标报价函：</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投标总报价为人民币￥         元（大写：      ）。</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我方承诺已具备招标文件规定的投标人资格条件。</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3.我方已详细审核招标文件，包括修改文件（如有的话）和有关附件，将自行承担因对全部招标文件理解不正确或误解而产生的相应后果。</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4.本项目投标有效期为投标截止时间之日起 90 天。</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5.如我方中标：</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（1）我方承诺在收到中标通知书后，在中标通知书规定的期限内与采购人签订政府采购合同。</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（2）我方承诺按照招标文件规定递交履约保证金。</w:t>
      </w:r>
    </w:p>
    <w:p>
      <w:pPr>
        <w:pStyle w:val="27"/>
        <w:spacing w:line="360" w:lineRule="auto"/>
        <w:ind w:left="0"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（3）我方承诺本投标文件至本项目合同履行完毕止均保持有效，按招标文件及政府采购法律、法规的规定履行合同责任和义务。</w:t>
      </w:r>
    </w:p>
    <w:p>
      <w:pPr>
        <w:pStyle w:val="26"/>
        <w:spacing w:line="36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与本项目投标有关的正式通讯地址为：</w:t>
      </w:r>
    </w:p>
    <w:p>
      <w:pPr>
        <w:pStyle w:val="26"/>
        <w:spacing w:line="480" w:lineRule="auto"/>
        <w:ind w:firstLine="420"/>
        <w:rPr>
          <w:rFonts w:asciiTheme="minorEastAsia" w:hAnsiTheme="minorEastAsia" w:eastAsiaTheme="minorEastAsia" w:cstheme="minorEastAsia"/>
          <w:color w:val="auto"/>
          <w:sz w:val="21"/>
          <w:highlight w:val="none"/>
          <w:u w:val="single"/>
        </w:rPr>
      </w:pPr>
      <w:r>
        <w:rPr>
          <w:rFonts w:hint="eastAsia" w:asciiTheme="minorEastAsia" w:hAnsiTheme="minorEastAsia" w:eastAsiaTheme="minorEastAsia" w:cstheme="minorEastAsia"/>
          <w:color w:val="auto"/>
          <w:sz w:val="21"/>
          <w:highlight w:val="none"/>
        </w:rPr>
        <w:t>地址：</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邮政编码：</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电话或传真：</w:t>
      </w:r>
      <w:r>
        <w:rPr>
          <w:rFonts w:hint="eastAsia" w:asciiTheme="minorEastAsia" w:hAnsiTheme="minorEastAsia" w:eastAsiaTheme="minorEastAsia" w:cstheme="minorEastAsia"/>
          <w:color w:val="auto"/>
          <w:sz w:val="21"/>
          <w:highlight w:val="none"/>
          <w:u w:val="single"/>
        </w:rPr>
        <w:t xml:space="preserve">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开户名称：</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w:t>
      </w:r>
      <w:r>
        <w:rPr>
          <w:rFonts w:hint="eastAsia" w:asciiTheme="minorEastAsia" w:hAnsiTheme="minorEastAsia" w:eastAsiaTheme="minorEastAsia" w:cstheme="minorEastAsia"/>
          <w:color w:val="auto"/>
          <w:sz w:val="21"/>
          <w:highlight w:val="none"/>
          <w:u w:val="single"/>
        </w:rPr>
        <w:t xml:space="preserve">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帐号：</w:t>
      </w:r>
      <w:r>
        <w:rPr>
          <w:rFonts w:hint="eastAsia" w:asciiTheme="minorEastAsia" w:hAnsiTheme="minorEastAsia" w:eastAsiaTheme="minorEastAsia" w:cstheme="minorEastAsia"/>
          <w:color w:val="auto"/>
          <w:sz w:val="21"/>
          <w:highlight w:val="none"/>
          <w:u w:val="single"/>
        </w:rPr>
        <w:t xml:space="preserve">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投标人（公章，自然人除外）：</w:t>
      </w:r>
      <w:r>
        <w:rPr>
          <w:rFonts w:hint="eastAsia" w:asciiTheme="minorEastAsia" w:hAnsiTheme="minorEastAsia" w:eastAsiaTheme="minorEastAsia" w:cstheme="minorEastAsia"/>
          <w:color w:val="auto"/>
          <w:sz w:val="21"/>
          <w:highlight w:val="none"/>
          <w:u w:val="single"/>
        </w:rPr>
        <w:t xml:space="preserve">                                  </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法定代表人、负责人、自然人或相应的委托代理人签字（或盖章）</w:t>
      </w:r>
    </w:p>
    <w:p>
      <w:pPr>
        <w:pStyle w:val="26"/>
        <w:spacing w:line="480" w:lineRule="auto"/>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（属自然人的应在签名处加盖大拇指指印）：</w:t>
      </w:r>
      <w:r>
        <w:rPr>
          <w:rFonts w:hint="eastAsia" w:asciiTheme="minorEastAsia" w:hAnsiTheme="minorEastAsia" w:eastAsiaTheme="minorEastAsia" w:cstheme="minorEastAsia"/>
          <w:color w:val="auto"/>
          <w:sz w:val="21"/>
          <w:highlight w:val="none"/>
          <w:u w:val="single"/>
        </w:rPr>
        <w:t xml:space="preserve">                                                </w:t>
      </w:r>
    </w:p>
    <w:p>
      <w:pPr>
        <w:pStyle w:val="26"/>
        <w:spacing w:line="480" w:lineRule="auto"/>
        <w:ind w:firstLine="420" w:firstLineChars="200"/>
        <w:rPr>
          <w:rFonts w:asciiTheme="minorEastAsia" w:hAnsiTheme="minorEastAsia" w:eastAsiaTheme="minorEastAsia" w:cstheme="minorEastAsia"/>
          <w:color w:val="auto"/>
          <w:sz w:val="21"/>
          <w:highlight w:val="none"/>
          <w:u w:val="single"/>
        </w:rPr>
      </w:pPr>
      <w:r>
        <w:rPr>
          <w:rFonts w:hint="eastAsia" w:asciiTheme="minorEastAsia" w:hAnsiTheme="minorEastAsia" w:eastAsiaTheme="minorEastAsia" w:cstheme="minorEastAsia"/>
          <w:color w:val="auto"/>
          <w:sz w:val="21"/>
          <w:highlight w:val="none"/>
        </w:rPr>
        <w:t>投标日期：</w:t>
      </w:r>
      <w:r>
        <w:rPr>
          <w:rFonts w:hint="eastAsia" w:asciiTheme="minorEastAsia" w:hAnsiTheme="minorEastAsia" w:eastAsiaTheme="minorEastAsia" w:cstheme="minorEastAsia"/>
          <w:color w:val="auto"/>
          <w:sz w:val="21"/>
          <w:highlight w:val="none"/>
          <w:u w:val="single"/>
        </w:rPr>
        <w:t xml:space="preserve">                                                    </w:t>
      </w:r>
    </w:p>
    <w:p>
      <w:pPr>
        <w:pStyle w:val="26"/>
        <w:numPr>
          <w:ilvl w:val="1"/>
          <w:numId w:val="17"/>
        </w:numPr>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p>
    <w:p>
      <w:pPr>
        <w:tabs>
          <w:tab w:val="left" w:pos="1305"/>
        </w:tabs>
        <w:spacing w:line="52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 w:val="32"/>
          <w:szCs w:val="32"/>
          <w:highlight w:val="none"/>
        </w:rPr>
        <w:t>二、资格性响应证明材料（格式）</w:t>
      </w:r>
    </w:p>
    <w:p>
      <w:pPr>
        <w:spacing w:line="30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szCs w:val="32"/>
          <w:highlight w:val="none"/>
        </w:rPr>
        <w:t>1、投标人相应的法定代表人、负责人、自然人身份证正反面（必须提供）</w:t>
      </w:r>
    </w:p>
    <w:p>
      <w:pPr>
        <w:tabs>
          <w:tab w:val="left" w:pos="1305"/>
        </w:tabs>
        <w:spacing w:line="400" w:lineRule="exact"/>
        <w:rPr>
          <w:rFonts w:asciiTheme="minorEastAsia" w:hAnsiTheme="minorEastAsia" w:eastAsiaTheme="minorEastAsia" w:cstheme="minorEastAsia"/>
          <w:color w:val="auto"/>
          <w:sz w:val="24"/>
          <w:highlight w:val="none"/>
        </w:rPr>
      </w:pPr>
    </w:p>
    <w:p>
      <w:pPr>
        <w:pStyle w:val="14"/>
        <w:ind w:left="0" w:leftChars="0"/>
        <w:rPr>
          <w:rFonts w:asciiTheme="minorEastAsia" w:hAnsiTheme="minorEastAsia" w:eastAsiaTheme="minorEastAsia" w:cstheme="minorEastAsia"/>
          <w:color w:val="auto"/>
          <w:highlight w:val="none"/>
        </w:rPr>
      </w:pPr>
    </w:p>
    <w:p>
      <w:pPr>
        <w:tabs>
          <w:tab w:val="left" w:pos="1305"/>
        </w:tabs>
        <w:spacing w:line="400" w:lineRule="exact"/>
        <w:ind w:firstLine="643" w:firstLineChars="200"/>
        <w:rPr>
          <w:rFonts w:asciiTheme="minorEastAsia" w:hAnsiTheme="minorEastAsia" w:eastAsiaTheme="minorEastAsia" w:cstheme="minorEastAsia"/>
          <w:b/>
          <w:color w:val="auto"/>
          <w:sz w:val="32"/>
          <w:szCs w:val="32"/>
          <w:highlight w:val="none"/>
        </w:rPr>
      </w:pPr>
    </w:p>
    <w:p>
      <w:pPr>
        <w:tabs>
          <w:tab w:val="left" w:pos="1305"/>
        </w:tabs>
        <w:spacing w:line="400" w:lineRule="exac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2、投标人的授权委托书原件、委托代理人身份证正反面复印件以及由县级以上（ 含县级）社会养老保险经办机构出具的投标人为委托代理人交纳的社保证明复印件（投标截止之日止前近半年连续三个月）（委托代理时必须提供）；</w:t>
      </w:r>
    </w:p>
    <w:p>
      <w:pPr>
        <w:pStyle w:val="26"/>
        <w:spacing w:line="400" w:lineRule="exact"/>
        <w:ind w:left="420" w:leftChars="200" w:firstLine="157" w:firstLineChars="49"/>
        <w:rPr>
          <w:rFonts w:asciiTheme="minorEastAsia" w:hAnsiTheme="minorEastAsia" w:eastAsiaTheme="minorEastAsia" w:cstheme="minorEastAsia"/>
          <w:b/>
          <w:color w:val="auto"/>
          <w:sz w:val="32"/>
          <w:szCs w:val="32"/>
          <w:highlight w:val="none"/>
        </w:rPr>
      </w:pP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szCs w:val="32"/>
          <w:highlight w:val="none"/>
        </w:rPr>
        <w:t>授 权 委 托 书</w:t>
      </w:r>
    </w:p>
    <w:p>
      <w:pPr>
        <w:snapToGrid w:val="0"/>
        <w:spacing w:line="400" w:lineRule="exact"/>
        <w:outlineLvl w:val="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广西汇益招标咨询有限公司</w:t>
      </w:r>
    </w:p>
    <w:p>
      <w:pPr>
        <w:snapToGrid w:val="0"/>
        <w:spacing w:line="400" w:lineRule="exact"/>
        <w:rPr>
          <w:rFonts w:asciiTheme="minorEastAsia" w:hAnsiTheme="minorEastAsia" w:eastAsiaTheme="minorEastAsia" w:cstheme="minorEastAsia"/>
          <w:color w:val="auto"/>
          <w:szCs w:val="21"/>
          <w:highlight w:val="none"/>
          <w:u w:val="single"/>
        </w:rPr>
      </w:pPr>
    </w:p>
    <w:p>
      <w:pPr>
        <w:pStyle w:val="26"/>
        <w:spacing w:line="400" w:lineRule="exact"/>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（投标人名称）的法定代表人，现授权委托本单位在职职工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 名）以我公司名义参加</w:t>
      </w:r>
      <w:r>
        <w:rPr>
          <w:rFonts w:hint="eastAsia" w:asciiTheme="minorEastAsia" w:hAnsiTheme="minorEastAsia" w:eastAsiaTheme="minorEastAsia" w:cstheme="minorEastAsia"/>
          <w:color w:val="auto"/>
          <w:highlight w:val="none"/>
          <w:u w:val="single"/>
        </w:rPr>
        <w:t xml:space="preserve">      （项目名称及项目编号）        </w:t>
      </w:r>
      <w:r>
        <w:rPr>
          <w:rFonts w:hint="eastAsia" w:asciiTheme="minorEastAsia" w:hAnsiTheme="minorEastAsia" w:eastAsiaTheme="minorEastAsia" w:cstheme="minorEastAsia"/>
          <w:color w:val="auto"/>
          <w:highlight w:val="none"/>
        </w:rPr>
        <w:t>项目的投标活动，并代表我方全权办理针对上述项目的投标、开标、评标、签约等具体事务和签署相关文件。</w:t>
      </w:r>
    </w:p>
    <w:p>
      <w:pPr>
        <w:pStyle w:val="26"/>
        <w:spacing w:line="400" w:lineRule="exact"/>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我方对被授权人的签名事项负全部责任。</w:t>
      </w:r>
    </w:p>
    <w:p>
      <w:pPr>
        <w:pStyle w:val="26"/>
        <w:spacing w:line="400" w:lineRule="exact"/>
        <w:ind w:firstLine="40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授权委托代理期限：自即日起至该项目政府采购活动结束。</w:t>
      </w:r>
    </w:p>
    <w:p>
      <w:pPr>
        <w:pStyle w:val="26"/>
        <w:spacing w:line="400" w:lineRule="exac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p>
    <w:p>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代理人无转委托权,特此委托。 </w:t>
      </w:r>
    </w:p>
    <w:p>
      <w:pPr>
        <w:snapToGrid w:val="0"/>
        <w:spacing w:line="400" w:lineRule="exact"/>
        <w:ind w:firstLine="525"/>
        <w:rPr>
          <w:rFonts w:asciiTheme="minorEastAsia" w:hAnsiTheme="minorEastAsia" w:eastAsiaTheme="minorEastAsia" w:cstheme="minorEastAsia"/>
          <w:color w:val="auto"/>
          <w:szCs w:val="21"/>
          <w:highlight w:val="none"/>
        </w:rPr>
      </w:pPr>
    </w:p>
    <w:p>
      <w:pPr>
        <w:snapToGrid w:val="0"/>
        <w:spacing w:line="400" w:lineRule="exact"/>
        <w:ind w:firstLine="420"/>
        <w:outlineLvl w:val="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我已在下面签字，以资证明。</w:t>
      </w:r>
    </w:p>
    <w:p>
      <w:pPr>
        <w:snapToGrid w:val="0"/>
        <w:spacing w:line="400" w:lineRule="exact"/>
        <w:ind w:firstLine="420"/>
        <w:rPr>
          <w:rFonts w:asciiTheme="minorEastAsia" w:hAnsiTheme="minorEastAsia" w:eastAsiaTheme="minorEastAsia" w:cstheme="minorEastAsia"/>
          <w:color w:val="auto"/>
          <w:szCs w:val="21"/>
          <w:highlight w:val="none"/>
        </w:rPr>
      </w:pPr>
    </w:p>
    <w:p>
      <w:pPr>
        <w:snapToGrid w:val="0"/>
        <w:spacing w:line="400" w:lineRule="exact"/>
        <w:ind w:firstLine="420"/>
        <w:rPr>
          <w:rFonts w:asciiTheme="minorEastAsia" w:hAnsiTheme="minorEastAsia" w:eastAsiaTheme="minorEastAsia" w:cstheme="minorEastAsia"/>
          <w:color w:val="auto"/>
          <w:szCs w:val="21"/>
          <w:highlight w:val="none"/>
        </w:rPr>
      </w:pPr>
    </w:p>
    <w:p>
      <w:pPr>
        <w:snapToGrid w:val="0"/>
        <w:spacing w:line="400" w:lineRule="exact"/>
        <w:ind w:firstLine="420"/>
        <w:outlineLvl w:val="4"/>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投标人（公章）：</w:t>
      </w:r>
      <w:r>
        <w:rPr>
          <w:rFonts w:hint="eastAsia" w:asciiTheme="minorEastAsia" w:hAnsiTheme="minorEastAsia" w:eastAsiaTheme="minorEastAsia" w:cstheme="minorEastAsia"/>
          <w:color w:val="auto"/>
          <w:szCs w:val="21"/>
          <w:highlight w:val="none"/>
          <w:u w:val="single"/>
        </w:rPr>
        <w:t xml:space="preserve">                                   </w:t>
      </w:r>
    </w:p>
    <w:p>
      <w:pPr>
        <w:snapToGrid w:val="0"/>
        <w:spacing w:line="400" w:lineRule="exact"/>
        <w:ind w:firstLine="420"/>
        <w:rPr>
          <w:rFonts w:asciiTheme="minorEastAsia" w:hAnsiTheme="minorEastAsia" w:eastAsiaTheme="minorEastAsia" w:cstheme="minorEastAsia"/>
          <w:color w:val="auto"/>
          <w:szCs w:val="21"/>
          <w:highlight w:val="none"/>
        </w:rPr>
      </w:pPr>
    </w:p>
    <w:p>
      <w:pPr>
        <w:snapToGrid w:val="0"/>
        <w:spacing w:line="400" w:lineRule="exact"/>
        <w:ind w:firstLine="420"/>
        <w:outlineLvl w:val="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napToGrid w:val="0"/>
        <w:spacing w:line="400" w:lineRule="exact"/>
        <w:rPr>
          <w:rFonts w:asciiTheme="minorEastAsia" w:hAnsiTheme="minorEastAsia" w:eastAsiaTheme="minorEastAsia" w:cstheme="minorEastAsia"/>
          <w:color w:val="auto"/>
          <w:szCs w:val="21"/>
          <w:highlight w:val="none"/>
        </w:rPr>
      </w:pPr>
    </w:p>
    <w:p>
      <w:pPr>
        <w:pStyle w:val="26"/>
        <w:spacing w:line="400" w:lineRule="exact"/>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附：委托代理人身份证正反面复印件以及由县级以上（含县级）社会养老保险经办机构出具的投标人为委托代理人交纳投标截止之日止前近半年连续三个月</w:t>
      </w:r>
      <w:r>
        <w:rPr>
          <w:rFonts w:hint="eastAsia" w:asciiTheme="minorEastAsia" w:hAnsiTheme="minorEastAsia" w:eastAsiaTheme="minorEastAsia" w:cstheme="minorEastAsia"/>
          <w:color w:val="auto"/>
          <w:sz w:val="24"/>
          <w:highlight w:val="none"/>
        </w:rPr>
        <w:t>（委托代理时必须提供）</w:t>
      </w:r>
    </w:p>
    <w:p>
      <w:pPr>
        <w:widowControl/>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pPr>
        <w:pStyle w:val="26"/>
        <w:spacing w:line="400" w:lineRule="exac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3、投标人的法人或者其他组织营业执照等证明文件复印件（必须提供）</w:t>
      </w:r>
    </w:p>
    <w:p>
      <w:pPr>
        <w:tabs>
          <w:tab w:val="left" w:pos="1305"/>
        </w:tabs>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26"/>
        <w:spacing w:line="400" w:lineRule="exact"/>
        <w:rPr>
          <w:rFonts w:asciiTheme="minorEastAsia" w:hAnsiTheme="minorEastAsia" w:eastAsiaTheme="minorEastAsia" w:cstheme="minorEastAsia"/>
          <w:b/>
          <w:color w:val="auto"/>
          <w:sz w:val="32"/>
          <w:szCs w:val="32"/>
          <w:highlight w:val="none"/>
        </w:rPr>
      </w:pPr>
    </w:p>
    <w:p>
      <w:pPr>
        <w:numPr>
          <w:ilvl w:val="0"/>
          <w:numId w:val="18"/>
        </w:num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 2019 年度经中介机构审计的有效的财务审计报告复印件或能反映财务状况的报表（如有，请提供）；</w:t>
      </w:r>
    </w:p>
    <w:p>
      <w:pPr>
        <w:pStyle w:val="14"/>
        <w:ind w:left="0" w:leftChars="0"/>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6"/>
        <w:spacing w:line="400" w:lineRule="exac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5、投标人参加政府采购活动前3年内在经营活动中没有重大违法记录及有关信用信息的书面声明（必须提供）</w:t>
      </w:r>
    </w:p>
    <w:p>
      <w:pPr>
        <w:pStyle w:val="26"/>
        <w:spacing w:line="400" w:lineRule="exact"/>
        <w:ind w:left="420" w:leftChars="200" w:firstLine="157" w:firstLineChars="49"/>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w:t>
      </w:r>
    </w:p>
    <w:p>
      <w:pPr>
        <w:pStyle w:val="26"/>
        <w:spacing w:line="400" w:lineRule="exact"/>
        <w:jc w:val="center"/>
        <w:rPr>
          <w:rFonts w:asciiTheme="minorEastAsia" w:hAnsiTheme="minorEastAsia" w:eastAsiaTheme="minorEastAsia" w:cstheme="minorEastAsia"/>
          <w:b/>
          <w:color w:val="auto"/>
          <w:sz w:val="32"/>
          <w:szCs w:val="32"/>
          <w:highlight w:val="none"/>
        </w:rPr>
      </w:pPr>
    </w:p>
    <w:p>
      <w:pPr>
        <w:pStyle w:val="26"/>
        <w:spacing w:line="40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声   明</w:t>
      </w:r>
    </w:p>
    <w:p>
      <w:pPr>
        <w:snapToGrid w:val="0"/>
        <w:spacing w:line="400" w:lineRule="exact"/>
        <w:outlineLvl w:val="4"/>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color w:val="auto"/>
          <w:szCs w:val="21"/>
          <w:highlight w:val="none"/>
        </w:rPr>
        <w:t>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广西汇益招标咨询有限公司</w:t>
      </w:r>
    </w:p>
    <w:p>
      <w:pPr>
        <w:pStyle w:val="26"/>
        <w:spacing w:line="380" w:lineRule="exact"/>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Theme="minorEastAsia" w:hAnsiTheme="minorEastAsia" w:eastAsiaTheme="minorEastAsia" w:cstheme="minorEastAsia"/>
          <w:color w:val="auto"/>
          <w:szCs w:val="21"/>
          <w:highlight w:val="none"/>
        </w:rPr>
      </w:pPr>
    </w:p>
    <w:p>
      <w:pPr>
        <w:snapToGrid w:val="0"/>
        <w:spacing w:line="400" w:lineRule="exact"/>
        <w:ind w:firstLine="1890" w:firstLineChars="900"/>
        <w:outlineLvl w:val="4"/>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投标人（盖章）：</w:t>
      </w:r>
      <w:r>
        <w:rPr>
          <w:rFonts w:hint="eastAsia" w:asciiTheme="minorEastAsia" w:hAnsiTheme="minorEastAsia" w:eastAsiaTheme="minorEastAsia" w:cstheme="minorEastAsia"/>
          <w:color w:val="auto"/>
          <w:szCs w:val="21"/>
          <w:highlight w:val="none"/>
          <w:u w:val="single"/>
        </w:rPr>
        <w:t xml:space="preserve">                                         </w:t>
      </w:r>
    </w:p>
    <w:p>
      <w:pPr>
        <w:spacing w:line="340" w:lineRule="exact"/>
        <w:ind w:firstLine="1890" w:firstLineChars="9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法定代表人或委托代理人（签字或盖章）：</w:t>
      </w:r>
      <w:r>
        <w:rPr>
          <w:rFonts w:hint="eastAsia" w:asciiTheme="minorEastAsia" w:hAnsiTheme="minorEastAsia" w:eastAsiaTheme="minorEastAsia" w:cstheme="minorEastAsia"/>
          <w:color w:val="auto"/>
          <w:szCs w:val="21"/>
          <w:highlight w:val="none"/>
          <w:u w:val="single"/>
        </w:rPr>
        <w:t xml:space="preserve">                              </w:t>
      </w:r>
    </w:p>
    <w:p>
      <w:pPr>
        <w:spacing w:line="340" w:lineRule="exact"/>
        <w:ind w:firstLine="1890" w:firstLineChars="9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p>
      <w:pPr>
        <w:pStyle w:val="26"/>
        <w:spacing w:line="400" w:lineRule="exact"/>
        <w:rPr>
          <w:rFonts w:asciiTheme="minorEastAsia" w:hAnsiTheme="minorEastAsia" w:eastAsiaTheme="minorEastAsia" w:cstheme="minorEastAsia"/>
          <w:color w:val="auto"/>
          <w:sz w:val="32"/>
          <w:szCs w:val="32"/>
          <w:highlight w:val="none"/>
        </w:rPr>
      </w:pPr>
    </w:p>
    <w:p>
      <w:pPr>
        <w:numPr>
          <w:ilvl w:val="0"/>
          <w:numId w:val="19"/>
        </w:numPr>
        <w:spacing w:line="400" w:lineRule="exac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商务、技术性响应及其他有效证明材料（格式）</w:t>
      </w:r>
    </w:p>
    <w:p>
      <w:pPr>
        <w:pStyle w:val="14"/>
        <w:rPr>
          <w:rFonts w:asciiTheme="minorEastAsia" w:hAnsiTheme="minorEastAsia" w:eastAsiaTheme="minorEastAsia" w:cstheme="minorEastAsia"/>
          <w:color w:val="auto"/>
          <w:highlight w:val="none"/>
        </w:rPr>
      </w:pPr>
    </w:p>
    <w:p>
      <w:pPr>
        <w:pStyle w:val="14"/>
        <w:numPr>
          <w:ilvl w:val="0"/>
          <w:numId w:val="20"/>
        </w:numPr>
        <w:rPr>
          <w:rFonts w:asciiTheme="minorEastAsia" w:hAnsiTheme="minorEastAsia" w:eastAsiaTheme="minorEastAsia" w:cstheme="minorEastAsia"/>
          <w:b/>
          <w:bCs/>
          <w:color w:val="auto"/>
          <w:sz w:val="32"/>
          <w:szCs w:val="40"/>
          <w:highlight w:val="none"/>
        </w:rPr>
      </w:pPr>
      <w:r>
        <w:rPr>
          <w:rFonts w:hint="eastAsia" w:asciiTheme="minorEastAsia" w:hAnsiTheme="minorEastAsia" w:eastAsiaTheme="minorEastAsia" w:cstheme="minorEastAsia"/>
          <w:b/>
          <w:bCs/>
          <w:color w:val="auto"/>
          <w:sz w:val="32"/>
          <w:szCs w:val="40"/>
          <w:highlight w:val="none"/>
        </w:rPr>
        <w:t>拟投入本项目设备清单（必须提供）</w:t>
      </w:r>
    </w:p>
    <w:p>
      <w:pPr>
        <w:rPr>
          <w:rFonts w:asciiTheme="minorEastAsia" w:hAnsiTheme="minorEastAsia" w:eastAsiaTheme="minorEastAsia" w:cstheme="minorEastAsia"/>
          <w:color w:val="auto"/>
          <w:highlight w:val="none"/>
        </w:rPr>
      </w:pPr>
    </w:p>
    <w:p>
      <w:pPr>
        <w:pStyle w:val="14"/>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4"/>
        <w:jc w:val="center"/>
        <w:rPr>
          <w:rFonts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rPr>
        <w:t>拟投入本项目设备清单（格式）</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470"/>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7"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序号</w:t>
            </w:r>
          </w:p>
        </w:tc>
        <w:tc>
          <w:tcPr>
            <w:tcW w:w="2500"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eastAsia="zh-CN"/>
              </w:rPr>
              <w:t>货物</w:t>
            </w:r>
            <w:r>
              <w:rPr>
                <w:rFonts w:hint="eastAsia" w:asciiTheme="minorEastAsia" w:hAnsiTheme="minorEastAsia" w:eastAsiaTheme="minorEastAsia" w:cstheme="minorEastAsia"/>
                <w:b/>
                <w:bCs/>
                <w:color w:val="auto"/>
                <w:sz w:val="24"/>
                <w:szCs w:val="32"/>
                <w:highlight w:val="none"/>
              </w:rPr>
              <w:t>名称</w:t>
            </w:r>
          </w:p>
        </w:tc>
        <w:tc>
          <w:tcPr>
            <w:tcW w:w="4743"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拟投入设备（含生产厂家、规格、型号等）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7" w:type="dxa"/>
            <w:vAlign w:val="center"/>
          </w:tcPr>
          <w:p>
            <w:pPr>
              <w:jc w:val="center"/>
              <w:rPr>
                <w:rFonts w:asciiTheme="minorEastAsia" w:hAnsiTheme="minorEastAsia" w:eastAsiaTheme="minorEastAsia" w:cstheme="minorEastAsia"/>
                <w:b/>
                <w:bCs/>
                <w:color w:val="auto"/>
                <w:sz w:val="24"/>
                <w:szCs w:val="32"/>
                <w:highlight w:val="none"/>
              </w:rPr>
            </w:pPr>
          </w:p>
        </w:tc>
        <w:tc>
          <w:tcPr>
            <w:tcW w:w="2500" w:type="dxa"/>
            <w:vAlign w:val="center"/>
          </w:tcPr>
          <w:p>
            <w:pPr>
              <w:jc w:val="center"/>
              <w:rPr>
                <w:rFonts w:asciiTheme="minorEastAsia" w:hAnsiTheme="minorEastAsia" w:eastAsiaTheme="minorEastAsia" w:cstheme="minorEastAsia"/>
                <w:b/>
                <w:bCs/>
                <w:color w:val="auto"/>
                <w:sz w:val="24"/>
                <w:szCs w:val="32"/>
                <w:highlight w:val="none"/>
              </w:rPr>
            </w:pPr>
          </w:p>
        </w:tc>
        <w:tc>
          <w:tcPr>
            <w:tcW w:w="4743"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7" w:type="dxa"/>
            <w:vAlign w:val="center"/>
          </w:tcPr>
          <w:p>
            <w:pPr>
              <w:jc w:val="center"/>
              <w:rPr>
                <w:rFonts w:asciiTheme="minorEastAsia" w:hAnsiTheme="minorEastAsia" w:eastAsiaTheme="minorEastAsia" w:cstheme="minorEastAsia"/>
                <w:b/>
                <w:bCs/>
                <w:color w:val="auto"/>
                <w:sz w:val="24"/>
                <w:szCs w:val="32"/>
                <w:highlight w:val="none"/>
              </w:rPr>
            </w:pPr>
          </w:p>
        </w:tc>
        <w:tc>
          <w:tcPr>
            <w:tcW w:w="2500" w:type="dxa"/>
            <w:vAlign w:val="center"/>
          </w:tcPr>
          <w:p>
            <w:pPr>
              <w:jc w:val="center"/>
              <w:rPr>
                <w:rFonts w:asciiTheme="minorEastAsia" w:hAnsiTheme="minorEastAsia" w:eastAsiaTheme="minorEastAsia" w:cstheme="minorEastAsia"/>
                <w:b/>
                <w:bCs/>
                <w:color w:val="auto"/>
                <w:sz w:val="24"/>
                <w:szCs w:val="32"/>
                <w:highlight w:val="none"/>
              </w:rPr>
            </w:pPr>
          </w:p>
        </w:tc>
        <w:tc>
          <w:tcPr>
            <w:tcW w:w="4743"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7" w:type="dxa"/>
            <w:vAlign w:val="center"/>
          </w:tcPr>
          <w:p>
            <w:pPr>
              <w:jc w:val="center"/>
              <w:rPr>
                <w:rFonts w:asciiTheme="minorEastAsia" w:hAnsiTheme="minorEastAsia" w:eastAsiaTheme="minorEastAsia" w:cstheme="minorEastAsia"/>
                <w:b/>
                <w:bCs/>
                <w:color w:val="auto"/>
                <w:sz w:val="24"/>
                <w:szCs w:val="32"/>
                <w:highlight w:val="none"/>
              </w:rPr>
            </w:pPr>
          </w:p>
        </w:tc>
        <w:tc>
          <w:tcPr>
            <w:tcW w:w="2500" w:type="dxa"/>
            <w:vAlign w:val="center"/>
          </w:tcPr>
          <w:p>
            <w:pPr>
              <w:jc w:val="center"/>
              <w:rPr>
                <w:rFonts w:asciiTheme="minorEastAsia" w:hAnsiTheme="minorEastAsia" w:eastAsiaTheme="minorEastAsia" w:cstheme="minorEastAsia"/>
                <w:b/>
                <w:bCs/>
                <w:color w:val="auto"/>
                <w:sz w:val="24"/>
                <w:szCs w:val="32"/>
                <w:highlight w:val="none"/>
              </w:rPr>
            </w:pPr>
          </w:p>
        </w:tc>
        <w:tc>
          <w:tcPr>
            <w:tcW w:w="4743"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7"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w:t>
            </w:r>
          </w:p>
        </w:tc>
        <w:tc>
          <w:tcPr>
            <w:tcW w:w="2500" w:type="dxa"/>
            <w:vAlign w:val="center"/>
          </w:tcPr>
          <w:p>
            <w:pPr>
              <w:jc w:val="center"/>
              <w:rPr>
                <w:rFonts w:asciiTheme="minorEastAsia" w:hAnsiTheme="minorEastAsia" w:eastAsiaTheme="minorEastAsia" w:cstheme="minorEastAsia"/>
                <w:b/>
                <w:bCs/>
                <w:color w:val="auto"/>
                <w:sz w:val="24"/>
                <w:szCs w:val="32"/>
                <w:highlight w:val="none"/>
              </w:rPr>
            </w:pPr>
          </w:p>
        </w:tc>
        <w:tc>
          <w:tcPr>
            <w:tcW w:w="4743" w:type="dxa"/>
            <w:vAlign w:val="center"/>
          </w:tcPr>
          <w:p>
            <w:pPr>
              <w:jc w:val="center"/>
              <w:rPr>
                <w:rFonts w:asciiTheme="minorEastAsia" w:hAnsiTheme="minorEastAsia" w:eastAsiaTheme="minorEastAsia" w:cstheme="minorEastAsia"/>
                <w:b/>
                <w:bCs/>
                <w:color w:val="auto"/>
                <w:sz w:val="24"/>
                <w:szCs w:val="32"/>
                <w:highlight w:val="none"/>
              </w:rPr>
            </w:pPr>
          </w:p>
        </w:tc>
      </w:tr>
    </w:tbl>
    <w:p>
      <w:pPr>
        <w:jc w:val="center"/>
        <w:rPr>
          <w:rFonts w:asciiTheme="minorEastAsia" w:hAnsiTheme="minorEastAsia" w:eastAsiaTheme="minorEastAsia" w:cstheme="minorEastAsia"/>
          <w:color w:val="auto"/>
          <w:sz w:val="24"/>
          <w:szCs w:val="32"/>
          <w:highlight w:val="none"/>
        </w:rPr>
      </w:pPr>
    </w:p>
    <w:p>
      <w:pPr>
        <w:pStyle w:val="14"/>
        <w:rPr>
          <w:rFonts w:asciiTheme="minorEastAsia" w:hAnsiTheme="minorEastAsia" w:eastAsiaTheme="minorEastAsia" w:cstheme="minorEastAsia"/>
          <w:color w:val="auto"/>
          <w:sz w:val="24"/>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2. 采购需求响应表（必须提供）</w:t>
      </w:r>
    </w:p>
    <w:p>
      <w:pPr>
        <w:pStyle w:val="14"/>
        <w:rPr>
          <w:rFonts w:asciiTheme="minorEastAsia" w:hAnsiTheme="minorEastAsia" w:eastAsiaTheme="minorEastAsia" w:cstheme="minorEastAsia"/>
          <w:b/>
          <w:bCs/>
          <w:color w:val="auto"/>
          <w:sz w:val="32"/>
          <w:szCs w:val="32"/>
          <w:highlight w:val="none"/>
        </w:rPr>
      </w:pPr>
    </w:p>
    <w:p>
      <w:pPr>
        <w:jc w:val="center"/>
        <w:rPr>
          <w:rFonts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32"/>
          <w:szCs w:val="32"/>
          <w:highlight w:val="none"/>
        </w:rPr>
        <w:t>采购需求响应表</w:t>
      </w:r>
      <w:r>
        <w:rPr>
          <w:rFonts w:hint="eastAsia" w:asciiTheme="minorEastAsia" w:hAnsiTheme="minorEastAsia" w:eastAsiaTheme="minorEastAsia" w:cstheme="minorEastAsia"/>
          <w:b/>
          <w:bCs/>
          <w:color w:val="auto"/>
          <w:sz w:val="28"/>
          <w:szCs w:val="36"/>
          <w:highlight w:val="none"/>
        </w:rPr>
        <w:t>（格式）</w:t>
      </w:r>
    </w:p>
    <w:tbl>
      <w:tblPr>
        <w:tblStyle w:val="51"/>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50"/>
        <w:gridCol w:w="2517"/>
        <w:gridCol w:w="1693"/>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项号</w:t>
            </w:r>
          </w:p>
        </w:tc>
        <w:tc>
          <w:tcPr>
            <w:tcW w:w="1550"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eastAsia="zh-CN"/>
              </w:rPr>
              <w:t>货物</w:t>
            </w:r>
            <w:r>
              <w:rPr>
                <w:rFonts w:hint="eastAsia" w:asciiTheme="minorEastAsia" w:hAnsiTheme="minorEastAsia" w:eastAsiaTheme="minorEastAsia" w:cstheme="minorEastAsia"/>
                <w:b/>
                <w:bCs/>
                <w:color w:val="auto"/>
                <w:sz w:val="24"/>
                <w:szCs w:val="32"/>
                <w:highlight w:val="none"/>
              </w:rPr>
              <w:t>名称</w:t>
            </w:r>
          </w:p>
        </w:tc>
        <w:tc>
          <w:tcPr>
            <w:tcW w:w="2517"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要求及技术参数</w:t>
            </w:r>
          </w:p>
        </w:tc>
        <w:tc>
          <w:tcPr>
            <w:tcW w:w="1693"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投标文件的响</w:t>
            </w:r>
          </w:p>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应情况</w:t>
            </w:r>
          </w:p>
        </w:tc>
        <w:tc>
          <w:tcPr>
            <w:tcW w:w="2178"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vAlign w:val="center"/>
          </w:tcPr>
          <w:p>
            <w:pPr>
              <w:jc w:val="center"/>
              <w:rPr>
                <w:rFonts w:asciiTheme="minorEastAsia" w:hAnsiTheme="minorEastAsia" w:eastAsiaTheme="minorEastAsia" w:cstheme="minorEastAsia"/>
                <w:b/>
                <w:bCs/>
                <w:color w:val="auto"/>
                <w:sz w:val="24"/>
                <w:szCs w:val="32"/>
                <w:highlight w:val="none"/>
              </w:rPr>
            </w:pPr>
          </w:p>
        </w:tc>
        <w:tc>
          <w:tcPr>
            <w:tcW w:w="1550" w:type="dxa"/>
            <w:vAlign w:val="center"/>
          </w:tcPr>
          <w:p>
            <w:pPr>
              <w:jc w:val="center"/>
              <w:rPr>
                <w:rFonts w:asciiTheme="minorEastAsia" w:hAnsiTheme="minorEastAsia" w:eastAsiaTheme="minorEastAsia" w:cstheme="minorEastAsia"/>
                <w:b/>
                <w:bCs/>
                <w:color w:val="auto"/>
                <w:sz w:val="24"/>
                <w:szCs w:val="32"/>
                <w:highlight w:val="none"/>
              </w:rPr>
            </w:pPr>
          </w:p>
        </w:tc>
        <w:tc>
          <w:tcPr>
            <w:tcW w:w="2517" w:type="dxa"/>
            <w:vAlign w:val="center"/>
          </w:tcPr>
          <w:p>
            <w:pPr>
              <w:jc w:val="center"/>
              <w:rPr>
                <w:rFonts w:asciiTheme="minorEastAsia" w:hAnsiTheme="minorEastAsia" w:eastAsiaTheme="minorEastAsia" w:cstheme="minorEastAsia"/>
                <w:b/>
                <w:bCs/>
                <w:color w:val="auto"/>
                <w:sz w:val="24"/>
                <w:szCs w:val="32"/>
                <w:highlight w:val="none"/>
              </w:rPr>
            </w:pPr>
          </w:p>
        </w:tc>
        <w:tc>
          <w:tcPr>
            <w:tcW w:w="1693" w:type="dxa"/>
            <w:vAlign w:val="center"/>
          </w:tcPr>
          <w:p>
            <w:pPr>
              <w:jc w:val="center"/>
              <w:rPr>
                <w:rFonts w:asciiTheme="minorEastAsia" w:hAnsiTheme="minorEastAsia" w:eastAsiaTheme="minorEastAsia" w:cstheme="minorEastAsia"/>
                <w:b/>
                <w:bCs/>
                <w:color w:val="auto"/>
                <w:sz w:val="24"/>
                <w:szCs w:val="32"/>
                <w:highlight w:val="none"/>
              </w:rPr>
            </w:pPr>
          </w:p>
        </w:tc>
        <w:tc>
          <w:tcPr>
            <w:tcW w:w="2178"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vAlign w:val="center"/>
          </w:tcPr>
          <w:p>
            <w:pPr>
              <w:jc w:val="center"/>
              <w:rPr>
                <w:rFonts w:asciiTheme="minorEastAsia" w:hAnsiTheme="minorEastAsia" w:eastAsiaTheme="minorEastAsia" w:cstheme="minorEastAsia"/>
                <w:b/>
                <w:bCs/>
                <w:color w:val="auto"/>
                <w:sz w:val="24"/>
                <w:szCs w:val="32"/>
                <w:highlight w:val="none"/>
              </w:rPr>
            </w:pPr>
          </w:p>
        </w:tc>
        <w:tc>
          <w:tcPr>
            <w:tcW w:w="1550" w:type="dxa"/>
            <w:vAlign w:val="center"/>
          </w:tcPr>
          <w:p>
            <w:pPr>
              <w:jc w:val="center"/>
              <w:rPr>
                <w:rFonts w:asciiTheme="minorEastAsia" w:hAnsiTheme="minorEastAsia" w:eastAsiaTheme="minorEastAsia" w:cstheme="minorEastAsia"/>
                <w:b/>
                <w:bCs/>
                <w:color w:val="auto"/>
                <w:sz w:val="24"/>
                <w:szCs w:val="32"/>
                <w:highlight w:val="none"/>
              </w:rPr>
            </w:pPr>
          </w:p>
        </w:tc>
        <w:tc>
          <w:tcPr>
            <w:tcW w:w="2517" w:type="dxa"/>
            <w:vAlign w:val="center"/>
          </w:tcPr>
          <w:p>
            <w:pPr>
              <w:jc w:val="center"/>
              <w:rPr>
                <w:rFonts w:asciiTheme="minorEastAsia" w:hAnsiTheme="minorEastAsia" w:eastAsiaTheme="minorEastAsia" w:cstheme="minorEastAsia"/>
                <w:b/>
                <w:bCs/>
                <w:color w:val="auto"/>
                <w:sz w:val="24"/>
                <w:szCs w:val="32"/>
                <w:highlight w:val="none"/>
              </w:rPr>
            </w:pPr>
          </w:p>
        </w:tc>
        <w:tc>
          <w:tcPr>
            <w:tcW w:w="1693" w:type="dxa"/>
            <w:vAlign w:val="center"/>
          </w:tcPr>
          <w:p>
            <w:pPr>
              <w:jc w:val="center"/>
              <w:rPr>
                <w:rFonts w:asciiTheme="minorEastAsia" w:hAnsiTheme="minorEastAsia" w:eastAsiaTheme="minorEastAsia" w:cstheme="minorEastAsia"/>
                <w:b/>
                <w:bCs/>
                <w:color w:val="auto"/>
                <w:sz w:val="24"/>
                <w:szCs w:val="32"/>
                <w:highlight w:val="none"/>
              </w:rPr>
            </w:pPr>
          </w:p>
        </w:tc>
        <w:tc>
          <w:tcPr>
            <w:tcW w:w="2178"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vAlign w:val="center"/>
          </w:tcPr>
          <w:p>
            <w:pPr>
              <w:jc w:val="center"/>
              <w:rPr>
                <w:rFonts w:asciiTheme="minorEastAsia" w:hAnsiTheme="minorEastAsia" w:eastAsiaTheme="minorEastAsia" w:cstheme="minorEastAsia"/>
                <w:b/>
                <w:bCs/>
                <w:color w:val="auto"/>
                <w:sz w:val="24"/>
                <w:szCs w:val="32"/>
                <w:highlight w:val="none"/>
              </w:rPr>
            </w:pPr>
          </w:p>
        </w:tc>
        <w:tc>
          <w:tcPr>
            <w:tcW w:w="1550" w:type="dxa"/>
            <w:vAlign w:val="center"/>
          </w:tcPr>
          <w:p>
            <w:pPr>
              <w:jc w:val="center"/>
              <w:rPr>
                <w:rFonts w:asciiTheme="minorEastAsia" w:hAnsiTheme="minorEastAsia" w:eastAsiaTheme="minorEastAsia" w:cstheme="minorEastAsia"/>
                <w:b/>
                <w:bCs/>
                <w:color w:val="auto"/>
                <w:sz w:val="24"/>
                <w:szCs w:val="32"/>
                <w:highlight w:val="none"/>
              </w:rPr>
            </w:pPr>
          </w:p>
        </w:tc>
        <w:tc>
          <w:tcPr>
            <w:tcW w:w="2517" w:type="dxa"/>
            <w:vAlign w:val="center"/>
          </w:tcPr>
          <w:p>
            <w:pPr>
              <w:jc w:val="center"/>
              <w:rPr>
                <w:rFonts w:asciiTheme="minorEastAsia" w:hAnsiTheme="minorEastAsia" w:eastAsiaTheme="minorEastAsia" w:cstheme="minorEastAsia"/>
                <w:b/>
                <w:bCs/>
                <w:color w:val="auto"/>
                <w:sz w:val="24"/>
                <w:szCs w:val="32"/>
                <w:highlight w:val="none"/>
              </w:rPr>
            </w:pPr>
          </w:p>
        </w:tc>
        <w:tc>
          <w:tcPr>
            <w:tcW w:w="1693" w:type="dxa"/>
            <w:vAlign w:val="center"/>
          </w:tcPr>
          <w:p>
            <w:pPr>
              <w:jc w:val="center"/>
              <w:rPr>
                <w:rFonts w:asciiTheme="minorEastAsia" w:hAnsiTheme="minorEastAsia" w:eastAsiaTheme="minorEastAsia" w:cstheme="minorEastAsia"/>
                <w:b/>
                <w:bCs/>
                <w:color w:val="auto"/>
                <w:sz w:val="24"/>
                <w:szCs w:val="32"/>
                <w:highlight w:val="none"/>
              </w:rPr>
            </w:pPr>
          </w:p>
        </w:tc>
        <w:tc>
          <w:tcPr>
            <w:tcW w:w="2178" w:type="dxa"/>
            <w:vAlign w:val="center"/>
          </w:tcPr>
          <w:p>
            <w:pPr>
              <w:jc w:val="center"/>
              <w:rPr>
                <w:rFonts w:asciiTheme="minorEastAsia" w:hAnsiTheme="minorEastAsia" w:eastAsiaTheme="minorEastAsia" w:cstheme="minorEastAsia"/>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0" w:type="dxa"/>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w:t>
            </w:r>
          </w:p>
        </w:tc>
        <w:tc>
          <w:tcPr>
            <w:tcW w:w="1550" w:type="dxa"/>
            <w:vAlign w:val="center"/>
          </w:tcPr>
          <w:p>
            <w:pPr>
              <w:jc w:val="center"/>
              <w:rPr>
                <w:rFonts w:asciiTheme="minorEastAsia" w:hAnsiTheme="minorEastAsia" w:eastAsiaTheme="minorEastAsia" w:cstheme="minorEastAsia"/>
                <w:b/>
                <w:bCs/>
                <w:color w:val="auto"/>
                <w:sz w:val="24"/>
                <w:szCs w:val="32"/>
                <w:highlight w:val="none"/>
              </w:rPr>
            </w:pPr>
          </w:p>
        </w:tc>
        <w:tc>
          <w:tcPr>
            <w:tcW w:w="2517" w:type="dxa"/>
            <w:vAlign w:val="center"/>
          </w:tcPr>
          <w:p>
            <w:pPr>
              <w:jc w:val="center"/>
              <w:rPr>
                <w:rFonts w:asciiTheme="minorEastAsia" w:hAnsiTheme="minorEastAsia" w:eastAsiaTheme="minorEastAsia" w:cstheme="minorEastAsia"/>
                <w:b/>
                <w:bCs/>
                <w:color w:val="auto"/>
                <w:sz w:val="24"/>
                <w:szCs w:val="32"/>
                <w:highlight w:val="none"/>
              </w:rPr>
            </w:pPr>
          </w:p>
        </w:tc>
        <w:tc>
          <w:tcPr>
            <w:tcW w:w="1693" w:type="dxa"/>
            <w:vAlign w:val="center"/>
          </w:tcPr>
          <w:p>
            <w:pPr>
              <w:jc w:val="center"/>
              <w:rPr>
                <w:rFonts w:asciiTheme="minorEastAsia" w:hAnsiTheme="minorEastAsia" w:eastAsiaTheme="minorEastAsia" w:cstheme="minorEastAsia"/>
                <w:b/>
                <w:bCs/>
                <w:color w:val="auto"/>
                <w:sz w:val="24"/>
                <w:szCs w:val="32"/>
                <w:highlight w:val="none"/>
              </w:rPr>
            </w:pPr>
          </w:p>
        </w:tc>
        <w:tc>
          <w:tcPr>
            <w:tcW w:w="2178" w:type="dxa"/>
            <w:vAlign w:val="center"/>
          </w:tcPr>
          <w:p>
            <w:pPr>
              <w:jc w:val="center"/>
              <w:rPr>
                <w:rFonts w:asciiTheme="minorEastAsia" w:hAnsiTheme="minorEastAsia" w:eastAsiaTheme="minorEastAsia" w:cstheme="minorEastAsia"/>
                <w:b/>
                <w:bCs/>
                <w:color w:val="auto"/>
                <w:sz w:val="24"/>
                <w:szCs w:val="32"/>
                <w:highlight w:val="none"/>
              </w:rPr>
            </w:pPr>
          </w:p>
        </w:tc>
      </w:tr>
    </w:tbl>
    <w:p>
      <w:pPr>
        <w:pStyle w:val="26"/>
        <w:spacing w:line="360" w:lineRule="auto"/>
        <w:ind w:firstLine="2100" w:firstLineChars="1000"/>
        <w:rPr>
          <w:rFonts w:asciiTheme="minorEastAsia" w:hAnsiTheme="minorEastAsia" w:eastAsiaTheme="minorEastAsia" w:cstheme="minorEastAsia"/>
          <w:color w:val="auto"/>
          <w:sz w:val="21"/>
          <w:highlight w:val="none"/>
        </w:rPr>
      </w:pPr>
    </w:p>
    <w:p>
      <w:pPr>
        <w:pStyle w:val="26"/>
        <w:spacing w:line="360" w:lineRule="auto"/>
        <w:ind w:firstLine="2100" w:firstLineChars="10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投标人（公章，自然人除外）：</w:t>
      </w:r>
      <w:r>
        <w:rPr>
          <w:rFonts w:hint="eastAsia" w:asciiTheme="minorEastAsia" w:hAnsiTheme="minorEastAsia" w:eastAsiaTheme="minorEastAsia" w:cstheme="minorEastAsia"/>
          <w:color w:val="auto"/>
          <w:sz w:val="21"/>
          <w:highlight w:val="none"/>
          <w:u w:val="single"/>
        </w:rPr>
        <w:t xml:space="preserve">                                  </w:t>
      </w:r>
    </w:p>
    <w:p>
      <w:pPr>
        <w:pStyle w:val="26"/>
        <w:spacing w:line="360" w:lineRule="auto"/>
        <w:ind w:firstLine="2100" w:firstLineChars="10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法定代表人、负责人、自然人或相应的委托代理人签字（或盖章）</w:t>
      </w:r>
    </w:p>
    <w:p>
      <w:pPr>
        <w:pStyle w:val="26"/>
        <w:spacing w:line="360" w:lineRule="auto"/>
        <w:ind w:firstLine="2100" w:firstLineChars="100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（属自然人的应在签名处加盖大拇指指印）：</w:t>
      </w:r>
      <w:r>
        <w:rPr>
          <w:rFonts w:hint="eastAsia" w:asciiTheme="minorEastAsia" w:hAnsiTheme="minorEastAsia" w:eastAsiaTheme="minorEastAsia" w:cstheme="minorEastAsia"/>
          <w:color w:val="auto"/>
          <w:sz w:val="21"/>
          <w:highlight w:val="none"/>
          <w:u w:val="single"/>
        </w:rPr>
        <w:t xml:space="preserve">                                                </w:t>
      </w:r>
    </w:p>
    <w:p>
      <w:pPr>
        <w:pStyle w:val="26"/>
        <w:spacing w:line="360" w:lineRule="auto"/>
        <w:ind w:firstLine="420" w:firstLineChars="200"/>
        <w:rPr>
          <w:rFonts w:asciiTheme="minorEastAsia" w:hAnsiTheme="minorEastAsia" w:eastAsiaTheme="minorEastAsia" w:cstheme="minorEastAsia"/>
          <w:color w:val="auto"/>
          <w:sz w:val="21"/>
          <w:highlight w:val="none"/>
          <w:u w:val="single"/>
        </w:rPr>
      </w:pPr>
      <w:r>
        <w:rPr>
          <w:rFonts w:hint="eastAsia" w:asciiTheme="minorEastAsia" w:hAnsiTheme="minorEastAsia" w:eastAsiaTheme="minorEastAsia" w:cstheme="minorEastAsia"/>
          <w:color w:val="auto"/>
          <w:sz w:val="21"/>
          <w:highlight w:val="none"/>
        </w:rPr>
        <w:t xml:space="preserve">                 日      期：</w:t>
      </w:r>
      <w:r>
        <w:rPr>
          <w:rFonts w:hint="eastAsia" w:asciiTheme="minorEastAsia" w:hAnsiTheme="minorEastAsia" w:eastAsiaTheme="minorEastAsia" w:cstheme="minorEastAsia"/>
          <w:color w:val="auto"/>
          <w:sz w:val="21"/>
          <w:highlight w:val="none"/>
          <w:u w:val="single"/>
        </w:rPr>
        <w:t xml:space="preserve">                                                    </w:t>
      </w:r>
    </w:p>
    <w:p>
      <w:pPr>
        <w:pStyle w:val="1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注：1.投标人应对照“采购需求”注明所响应情况及偏离情况（无偏离、正偏离、负偏离），当出现“正偏离”或“负偏离”情况时应对应填写偏离情况说明及提供相应有效的证明材料。</w:t>
      </w:r>
    </w:p>
    <w:p>
      <w:pPr>
        <w:pStyle w:val="14"/>
        <w:tabs>
          <w:tab w:val="left" w:pos="312"/>
        </w:tabs>
        <w:ind w:left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此表须由法定代表人、负责人、自然人或相应的委托代理人签字或盖章（属自然人的应在签名处加盖食指指印）并加盖投标人公章（自然人除外）。当本表由多页构成时，需逐页加盖投标人公章（属自然人的须逐页签字）。</w:t>
      </w:r>
    </w:p>
    <w:p>
      <w:pPr>
        <w:pStyle w:val="14"/>
        <w:rPr>
          <w:color w:val="auto"/>
          <w:highlight w:val="none"/>
        </w:rPr>
      </w:pPr>
      <w:r>
        <w:rPr>
          <w:color w:val="auto"/>
          <w:highlight w:val="none"/>
        </w:rPr>
        <w:br w:type="page"/>
      </w:r>
    </w:p>
    <w:p>
      <w:pPr>
        <w:pStyle w:val="14"/>
        <w:ind w:left="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3 、总体设计方案（格式自拟，必须提供）</w:t>
      </w:r>
    </w:p>
    <w:p>
      <w:pPr>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color w:val="auto"/>
          <w:highlight w:val="none"/>
          <w:u w:val="single"/>
        </w:rPr>
      </w:pP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4 、项目实施方案（格式自拟，必须提供）</w:t>
      </w: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color w:val="auto"/>
          <w:highlight w:val="none"/>
        </w:rPr>
      </w:pPr>
    </w:p>
    <w:p>
      <w:pPr>
        <w:pStyle w:val="14"/>
        <w:rPr>
          <w:rFonts w:asciiTheme="minorEastAsia" w:hAnsiTheme="minorEastAsia" w:eastAsiaTheme="minorEastAsia" w:cstheme="minorEastAsia"/>
          <w:b/>
          <w:bCs/>
          <w:color w:val="auto"/>
          <w:sz w:val="32"/>
          <w:szCs w:val="32"/>
          <w:highlight w:val="none"/>
        </w:rPr>
      </w:pPr>
    </w:p>
    <w:p>
      <w:pPr>
        <w:pStyle w:val="14"/>
        <w:ind w:left="0" w:leftChars="0"/>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color w:val="auto"/>
          <w:highlight w:val="none"/>
        </w:rPr>
      </w:pPr>
    </w:p>
    <w:p>
      <w:pPr>
        <w:pStyle w:val="14"/>
        <w:ind w:left="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5 、售后服务方案（格式自拟，必须提供）</w:t>
      </w:r>
    </w:p>
    <w:p>
      <w:pPr>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widowControl/>
        <w:jc w:val="left"/>
        <w:rPr>
          <w:rFonts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br w:type="page"/>
      </w:r>
    </w:p>
    <w:p>
      <w:pPr>
        <w:pStyle w:val="154"/>
        <w:tabs>
          <w:tab w:val="left" w:pos="1601"/>
        </w:tabs>
        <w:spacing w:line="360" w:lineRule="auto"/>
        <w:ind w:right="164" w:firstLine="0" w:firstLineChars="0"/>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6 、拟投入本项目实施人员一览表 （附人员身份证及其他相关证书、证件复印件及投标人为其购买投标截止之日止前近半年连续三个月</w:t>
      </w:r>
      <w:r>
        <w:rPr>
          <w:rFonts w:hint="eastAsia" w:asciiTheme="minorEastAsia" w:hAnsiTheme="minorEastAsia" w:eastAsiaTheme="minorEastAsia" w:cstheme="minorEastAsia"/>
          <w:b/>
          <w:bCs/>
          <w:color w:val="auto"/>
          <w:spacing w:val="-8"/>
          <w:sz w:val="32"/>
          <w:szCs w:val="32"/>
          <w:highlight w:val="none"/>
        </w:rPr>
        <w:t>社保证明</w:t>
      </w:r>
      <w:r>
        <w:rPr>
          <w:rFonts w:hint="eastAsia" w:asciiTheme="minorEastAsia" w:hAnsiTheme="minorEastAsia" w:eastAsiaTheme="minorEastAsia" w:cstheme="minorEastAsia"/>
          <w:b/>
          <w:bCs/>
          <w:color w:val="auto"/>
          <w:sz w:val="32"/>
          <w:szCs w:val="32"/>
          <w:highlight w:val="none"/>
        </w:rPr>
        <w:t>，必须提供）</w:t>
      </w:r>
    </w:p>
    <w:p>
      <w:pPr>
        <w:rPr>
          <w:rFonts w:asciiTheme="minorEastAsia" w:hAnsiTheme="minorEastAsia" w:eastAsiaTheme="minorEastAsia" w:cstheme="minorEastAsia"/>
          <w:color w:val="auto"/>
          <w:highlight w:val="none"/>
        </w:rPr>
      </w:pPr>
    </w:p>
    <w:p>
      <w:pPr>
        <w:pStyle w:val="14"/>
        <w:jc w:val="center"/>
        <w:rPr>
          <w:rFonts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rPr>
        <w:t>项目实施人员一览表（格式）</w:t>
      </w:r>
    </w:p>
    <w:tbl>
      <w:tblPr>
        <w:tblStyle w:val="5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71"/>
        <w:gridCol w:w="1661"/>
        <w:gridCol w:w="2081"/>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371"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w:t>
            </w:r>
          </w:p>
        </w:tc>
        <w:tc>
          <w:tcPr>
            <w:tcW w:w="1661"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专业技术资格</w:t>
            </w:r>
          </w:p>
        </w:tc>
        <w:tc>
          <w:tcPr>
            <w:tcW w:w="2081"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证书编号</w:t>
            </w:r>
          </w:p>
        </w:tc>
        <w:tc>
          <w:tcPr>
            <w:tcW w:w="2903"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dxa"/>
          </w:tcPr>
          <w:p>
            <w:pPr>
              <w:rPr>
                <w:rFonts w:asciiTheme="minorEastAsia" w:hAnsiTheme="minorEastAsia" w:eastAsiaTheme="minorEastAsia" w:cstheme="minorEastAsia"/>
                <w:color w:val="auto"/>
                <w:highlight w:val="none"/>
              </w:rPr>
            </w:pPr>
          </w:p>
        </w:tc>
        <w:tc>
          <w:tcPr>
            <w:tcW w:w="1371" w:type="dxa"/>
          </w:tcPr>
          <w:p>
            <w:pPr>
              <w:rPr>
                <w:rFonts w:asciiTheme="minorEastAsia" w:hAnsiTheme="minorEastAsia" w:eastAsiaTheme="minorEastAsia" w:cstheme="minorEastAsia"/>
                <w:color w:val="auto"/>
                <w:highlight w:val="none"/>
              </w:rPr>
            </w:pPr>
          </w:p>
        </w:tc>
        <w:tc>
          <w:tcPr>
            <w:tcW w:w="1661" w:type="dxa"/>
          </w:tcPr>
          <w:p>
            <w:pPr>
              <w:rPr>
                <w:rFonts w:asciiTheme="minorEastAsia" w:hAnsiTheme="minorEastAsia" w:eastAsiaTheme="minorEastAsia" w:cstheme="minorEastAsia"/>
                <w:color w:val="auto"/>
                <w:highlight w:val="none"/>
              </w:rPr>
            </w:pPr>
          </w:p>
        </w:tc>
        <w:tc>
          <w:tcPr>
            <w:tcW w:w="2081" w:type="dxa"/>
          </w:tcPr>
          <w:p>
            <w:pPr>
              <w:rPr>
                <w:rFonts w:asciiTheme="minorEastAsia" w:hAnsiTheme="minorEastAsia" w:eastAsiaTheme="minorEastAsia" w:cstheme="minorEastAsia"/>
                <w:color w:val="auto"/>
                <w:highlight w:val="none"/>
              </w:rPr>
            </w:pPr>
          </w:p>
        </w:tc>
        <w:tc>
          <w:tcPr>
            <w:tcW w:w="2903"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dxa"/>
          </w:tcPr>
          <w:p>
            <w:pPr>
              <w:rPr>
                <w:rFonts w:asciiTheme="minorEastAsia" w:hAnsiTheme="minorEastAsia" w:eastAsiaTheme="minorEastAsia" w:cstheme="minorEastAsia"/>
                <w:color w:val="auto"/>
                <w:highlight w:val="none"/>
              </w:rPr>
            </w:pPr>
          </w:p>
        </w:tc>
        <w:tc>
          <w:tcPr>
            <w:tcW w:w="1371" w:type="dxa"/>
          </w:tcPr>
          <w:p>
            <w:pPr>
              <w:rPr>
                <w:rFonts w:asciiTheme="minorEastAsia" w:hAnsiTheme="minorEastAsia" w:eastAsiaTheme="minorEastAsia" w:cstheme="minorEastAsia"/>
                <w:color w:val="auto"/>
                <w:highlight w:val="none"/>
              </w:rPr>
            </w:pPr>
          </w:p>
        </w:tc>
        <w:tc>
          <w:tcPr>
            <w:tcW w:w="1661" w:type="dxa"/>
          </w:tcPr>
          <w:p>
            <w:pPr>
              <w:rPr>
                <w:rFonts w:asciiTheme="minorEastAsia" w:hAnsiTheme="minorEastAsia" w:eastAsiaTheme="minorEastAsia" w:cstheme="minorEastAsia"/>
                <w:color w:val="auto"/>
                <w:highlight w:val="none"/>
              </w:rPr>
            </w:pPr>
          </w:p>
        </w:tc>
        <w:tc>
          <w:tcPr>
            <w:tcW w:w="2081" w:type="dxa"/>
          </w:tcPr>
          <w:p>
            <w:pPr>
              <w:rPr>
                <w:rFonts w:asciiTheme="minorEastAsia" w:hAnsiTheme="minorEastAsia" w:eastAsiaTheme="minorEastAsia" w:cstheme="minorEastAsia"/>
                <w:color w:val="auto"/>
                <w:highlight w:val="none"/>
              </w:rPr>
            </w:pPr>
          </w:p>
        </w:tc>
        <w:tc>
          <w:tcPr>
            <w:tcW w:w="2903"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dxa"/>
          </w:tcPr>
          <w:p>
            <w:pPr>
              <w:rPr>
                <w:rFonts w:asciiTheme="minorEastAsia" w:hAnsiTheme="minorEastAsia" w:eastAsiaTheme="minorEastAsia" w:cstheme="minorEastAsia"/>
                <w:color w:val="auto"/>
                <w:highlight w:val="none"/>
              </w:rPr>
            </w:pPr>
          </w:p>
        </w:tc>
        <w:tc>
          <w:tcPr>
            <w:tcW w:w="1371" w:type="dxa"/>
          </w:tcPr>
          <w:p>
            <w:pPr>
              <w:rPr>
                <w:rFonts w:asciiTheme="minorEastAsia" w:hAnsiTheme="minorEastAsia" w:eastAsiaTheme="minorEastAsia" w:cstheme="minorEastAsia"/>
                <w:color w:val="auto"/>
                <w:highlight w:val="none"/>
              </w:rPr>
            </w:pPr>
          </w:p>
        </w:tc>
        <w:tc>
          <w:tcPr>
            <w:tcW w:w="1661" w:type="dxa"/>
          </w:tcPr>
          <w:p>
            <w:pPr>
              <w:rPr>
                <w:rFonts w:asciiTheme="minorEastAsia" w:hAnsiTheme="minorEastAsia" w:eastAsiaTheme="minorEastAsia" w:cstheme="minorEastAsia"/>
                <w:color w:val="auto"/>
                <w:highlight w:val="none"/>
              </w:rPr>
            </w:pPr>
          </w:p>
        </w:tc>
        <w:tc>
          <w:tcPr>
            <w:tcW w:w="2081" w:type="dxa"/>
          </w:tcPr>
          <w:p>
            <w:pPr>
              <w:rPr>
                <w:rFonts w:asciiTheme="minorEastAsia" w:hAnsiTheme="minorEastAsia" w:eastAsiaTheme="minorEastAsia" w:cstheme="minorEastAsia"/>
                <w:color w:val="auto"/>
                <w:highlight w:val="none"/>
              </w:rPr>
            </w:pPr>
          </w:p>
        </w:tc>
        <w:tc>
          <w:tcPr>
            <w:tcW w:w="2903" w:type="dxa"/>
          </w:tcPr>
          <w:p>
            <w:pPr>
              <w:rPr>
                <w:rFonts w:asciiTheme="minorEastAsia" w:hAnsiTheme="minorEastAsia" w:eastAsiaTheme="minorEastAsia" w:cstheme="minorEastAsia"/>
                <w:color w:val="auto"/>
                <w:highlight w:val="none"/>
              </w:rPr>
            </w:pPr>
          </w:p>
        </w:tc>
      </w:tr>
    </w:tbl>
    <w:p>
      <w:pPr>
        <w:rPr>
          <w:rFonts w:asciiTheme="minorEastAsia" w:hAnsiTheme="minorEastAsia" w:eastAsiaTheme="minorEastAsia" w:cstheme="minorEastAsia"/>
          <w:color w:val="auto"/>
          <w:highlight w:val="none"/>
        </w:rPr>
      </w:pPr>
    </w:p>
    <w:p>
      <w:pPr>
        <w:pStyle w:val="14"/>
        <w:ind w:left="0" w:leftChars="0"/>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pStyle w:val="14"/>
        <w:ind w:left="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7、“ 采购需求 ” 中要求需提供的相关有效证明文件（如有，请提供）</w:t>
      </w:r>
    </w:p>
    <w:p>
      <w:pPr>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8、节能方面的证书复印件（如有，请提供）</w:t>
      </w:r>
    </w:p>
    <w:p>
      <w:pPr>
        <w:pStyle w:val="14"/>
        <w:ind w:left="0" w:leftChars="0"/>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pStyle w:val="14"/>
        <w:ind w:left="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9、环保方面的证书复印件（如有，请提供）</w:t>
      </w:r>
    </w:p>
    <w:p>
      <w:pPr>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p>
    <w:p>
      <w:pPr>
        <w:pStyle w:val="154"/>
        <w:tabs>
          <w:tab w:val="left" w:pos="1601"/>
        </w:tabs>
        <w:spacing w:line="360" w:lineRule="auto"/>
        <w:ind w:right="164" w:firstLine="0" w:firstLineChars="0"/>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10、投标人201</w:t>
      </w:r>
      <w:r>
        <w:rPr>
          <w:rFonts w:hint="eastAsia" w:asciiTheme="minorEastAsia" w:hAnsiTheme="minorEastAsia" w:eastAsiaTheme="minorEastAsia" w:cstheme="minorEastAsia"/>
          <w:b/>
          <w:bCs/>
          <w:color w:val="auto"/>
          <w:sz w:val="32"/>
          <w:szCs w:val="32"/>
          <w:highlight w:val="none"/>
          <w:lang w:val="en-US" w:eastAsia="zh-CN"/>
        </w:rPr>
        <w:t>7</w:t>
      </w:r>
      <w:r>
        <w:rPr>
          <w:rFonts w:hint="eastAsia" w:asciiTheme="minorEastAsia" w:hAnsiTheme="minorEastAsia" w:eastAsiaTheme="minorEastAsia" w:cstheme="minorEastAsia"/>
          <w:b/>
          <w:bCs/>
          <w:color w:val="auto"/>
          <w:sz w:val="32"/>
          <w:szCs w:val="32"/>
          <w:highlight w:val="none"/>
        </w:rPr>
        <w:t>年1月1日以来完成过</w:t>
      </w:r>
      <w:r>
        <w:rPr>
          <w:rFonts w:hint="eastAsia" w:asciiTheme="minorEastAsia" w:hAnsiTheme="minorEastAsia" w:eastAsiaTheme="minorEastAsia" w:cstheme="minorEastAsia"/>
          <w:b/>
          <w:bCs/>
          <w:color w:val="auto"/>
          <w:sz w:val="32"/>
          <w:szCs w:val="32"/>
          <w:highlight w:val="none"/>
          <w:lang w:eastAsia="zh-CN"/>
        </w:rPr>
        <w:t>符合本项目招标内容的类似</w:t>
      </w:r>
      <w:r>
        <w:rPr>
          <w:rFonts w:hint="eastAsia" w:asciiTheme="minorEastAsia" w:hAnsiTheme="minorEastAsia" w:eastAsiaTheme="minorEastAsia" w:cstheme="minorEastAsia"/>
          <w:b/>
          <w:bCs/>
          <w:color w:val="auto"/>
          <w:sz w:val="32"/>
          <w:szCs w:val="32"/>
          <w:highlight w:val="none"/>
        </w:rPr>
        <w:t>业绩。需同时中标通知书（或成交通知书）和合同协议书的相关证明材料（如有，请提供）</w:t>
      </w:r>
    </w:p>
    <w:p>
      <w:pPr>
        <w:pStyle w:val="154"/>
        <w:tabs>
          <w:tab w:val="left" w:pos="1601"/>
        </w:tabs>
        <w:spacing w:line="360" w:lineRule="auto"/>
        <w:ind w:right="771" w:firstLine="0" w:firstLineChars="0"/>
        <w:jc w:val="left"/>
        <w:rPr>
          <w:rFonts w:asciiTheme="minorEastAsia" w:hAnsiTheme="minorEastAsia" w:eastAsiaTheme="minorEastAsia" w:cstheme="minorEastAsia"/>
          <w:b/>
          <w:bCs/>
          <w:color w:val="auto"/>
          <w:sz w:val="32"/>
          <w:szCs w:val="32"/>
          <w:highlight w:val="none"/>
        </w:rPr>
      </w:pPr>
    </w:p>
    <w:p>
      <w:pPr>
        <w:widowControl/>
        <w:jc w:val="left"/>
        <w:rPr>
          <w:rFonts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br w:type="page"/>
      </w:r>
    </w:p>
    <w:p>
      <w:pPr>
        <w:pStyle w:val="154"/>
        <w:numPr>
          <w:ilvl w:val="0"/>
          <w:numId w:val="21"/>
        </w:numPr>
        <w:tabs>
          <w:tab w:val="left" w:pos="1601"/>
        </w:tabs>
        <w:spacing w:line="360" w:lineRule="auto"/>
        <w:ind w:right="-36" w:firstLine="643"/>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投标人相关获奖证书、认证证书、著作权证书等复印件（如有，请提供）</w:t>
      </w:r>
    </w:p>
    <w:p>
      <w:pPr>
        <w:rPr>
          <w:rFonts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br w:type="page"/>
      </w:r>
    </w:p>
    <w:p>
      <w:pPr>
        <w:pStyle w:val="154"/>
        <w:numPr>
          <w:ilvl w:val="0"/>
          <w:numId w:val="21"/>
        </w:numPr>
        <w:tabs>
          <w:tab w:val="left" w:pos="1601"/>
        </w:tabs>
        <w:spacing w:line="360" w:lineRule="auto"/>
        <w:ind w:right="-36" w:firstLine="643"/>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投标人属于小型、微型企业的，应提供《中小企业声明函》；属于监狱企业的，应当提供由省级以上监狱管理局、戒毒管理局(含新疆生产建设兵团)出具的属于监狱企业的证明文件（如有，请提供）</w:t>
      </w:r>
    </w:p>
    <w:p>
      <w:pPr>
        <w:pStyle w:val="154"/>
        <w:tabs>
          <w:tab w:val="left" w:pos="1601"/>
        </w:tabs>
        <w:spacing w:line="360" w:lineRule="auto"/>
        <w:ind w:right="771" w:firstLine="0" w:firstLineChars="0"/>
        <w:jc w:val="left"/>
        <w:rPr>
          <w:rFonts w:asciiTheme="minorEastAsia" w:hAnsiTheme="minorEastAsia" w:eastAsiaTheme="minorEastAsia" w:cstheme="minorEastAsia"/>
          <w:b/>
          <w:bCs/>
          <w:color w:val="auto"/>
          <w:sz w:val="32"/>
          <w:szCs w:val="32"/>
          <w:highlight w:val="none"/>
        </w:rPr>
      </w:pPr>
    </w:p>
    <w:p>
      <w:pPr>
        <w:tabs>
          <w:tab w:val="left" w:pos="1305"/>
        </w:tabs>
        <w:spacing w:line="380" w:lineRule="exact"/>
        <w:ind w:firstLine="422" w:firstLineChars="200"/>
        <w:rPr>
          <w:rFonts w:asciiTheme="minorEastAsia" w:hAnsiTheme="minorEastAsia" w:eastAsiaTheme="minorEastAsia" w:cstheme="minorEastAsia"/>
          <w:b/>
          <w:bCs/>
          <w:color w:val="auto"/>
          <w:szCs w:val="20"/>
          <w:highlight w:val="none"/>
        </w:rPr>
      </w:pPr>
    </w:p>
    <w:p>
      <w:pPr>
        <w:snapToGrid w:val="0"/>
        <w:spacing w:before="156" w:beforeLines="50" w:after="50" w:line="320" w:lineRule="exact"/>
        <w:jc w:val="center"/>
        <w:rPr>
          <w:rFonts w:ascii="仿宋_GB2312" w:eastAsia="仿宋_GB2312"/>
          <w:b/>
          <w:color w:val="auto"/>
          <w:kern w:val="0"/>
          <w:sz w:val="30"/>
          <w:szCs w:val="30"/>
          <w:highlight w:val="none"/>
        </w:rPr>
      </w:pPr>
      <w:r>
        <w:rPr>
          <w:rFonts w:hint="eastAsia" w:ascii="宋体" w:hAnsi="宋体"/>
          <w:b/>
          <w:color w:val="auto"/>
          <w:kern w:val="0"/>
          <w:sz w:val="32"/>
          <w:szCs w:val="32"/>
          <w:highlight w:val="none"/>
        </w:rPr>
        <w:t>中小企业声明函（格式）</w:t>
      </w:r>
    </w:p>
    <w:p>
      <w:pPr>
        <w:ind w:firstLine="480" w:firstLineChars="200"/>
        <w:rPr>
          <w:rFonts w:ascii="仿宋_GB2312" w:eastAsia="仿宋_GB2312"/>
          <w:color w:val="auto"/>
          <w:kern w:val="0"/>
          <w:sz w:val="24"/>
          <w:highlight w:val="none"/>
        </w:rPr>
      </w:pPr>
    </w:p>
    <w:p>
      <w:pPr>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本公司郑重声明，根据《政府采购促进中小 企业发展管理办法》（财库﹝2020﹞46 号）的规定，本公司参加</w:t>
      </w:r>
      <w:r>
        <w:rPr>
          <w:rFonts w:hint="eastAsia" w:ascii="宋体" w:hAnsi="宋体" w:eastAsia="宋体" w:cs="宋体"/>
          <w:b w:val="0"/>
          <w:bCs w:val="0"/>
          <w:color w:val="auto"/>
          <w:kern w:val="0"/>
          <w:sz w:val="24"/>
          <w:highlight w:val="none"/>
          <w:u w:val="single"/>
        </w:rPr>
        <w:t>（单位名称）</w:t>
      </w:r>
      <w:r>
        <w:rPr>
          <w:rFonts w:hint="eastAsia" w:ascii="宋体" w:hAnsi="宋体" w:eastAsia="宋体" w:cs="宋体"/>
          <w:b w:val="0"/>
          <w:bCs w:val="0"/>
          <w:color w:val="auto"/>
          <w:kern w:val="0"/>
          <w:sz w:val="24"/>
          <w:highlight w:val="none"/>
        </w:rPr>
        <w:t>的</w:t>
      </w:r>
      <w:r>
        <w:rPr>
          <w:rFonts w:hint="eastAsia" w:ascii="宋体" w:hAnsi="宋体" w:eastAsia="宋体" w:cs="宋体"/>
          <w:b w:val="0"/>
          <w:bCs w:val="0"/>
          <w:color w:val="auto"/>
          <w:kern w:val="0"/>
          <w:sz w:val="24"/>
          <w:highlight w:val="none"/>
          <w:u w:val="single"/>
        </w:rPr>
        <w:t>（项目名称）</w:t>
      </w:r>
      <w:r>
        <w:rPr>
          <w:rFonts w:hint="eastAsia" w:ascii="宋体" w:hAnsi="宋体" w:eastAsia="宋体" w:cs="宋体"/>
          <w:b w:val="0"/>
          <w:bCs w:val="0"/>
          <w:color w:val="auto"/>
          <w:kern w:val="0"/>
          <w:sz w:val="24"/>
          <w:highlight w:val="none"/>
        </w:rPr>
        <w:t>采购活动，服务全部由符合政策要求的中小企业承接）。相关企业的具体情况如下：</w:t>
      </w:r>
    </w:p>
    <w:p>
      <w:pPr>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u w:val="none"/>
          <w:lang w:val="en-US" w:eastAsia="zh-CN"/>
        </w:rPr>
        <w:t>1.</w:t>
      </w:r>
      <w:r>
        <w:rPr>
          <w:rFonts w:hint="eastAsia" w:ascii="宋体" w:hAnsi="宋体" w:eastAsia="宋体" w:cs="宋体"/>
          <w:b w:val="0"/>
          <w:bCs w:val="0"/>
          <w:color w:val="auto"/>
          <w:kern w:val="0"/>
          <w:sz w:val="24"/>
          <w:highlight w:val="none"/>
          <w:u w:val="single"/>
        </w:rPr>
        <w:t>（标的名称）</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 xml:space="preserve"> 行业；承接企业为</w:t>
      </w:r>
      <w:r>
        <w:rPr>
          <w:rFonts w:hint="eastAsia" w:ascii="宋体" w:hAnsi="宋体" w:eastAsia="宋体" w:cs="宋体"/>
          <w:b w:val="0"/>
          <w:bCs w:val="0"/>
          <w:color w:val="auto"/>
          <w:kern w:val="0"/>
          <w:sz w:val="24"/>
          <w:highlight w:val="none"/>
          <w:u w:val="single"/>
        </w:rPr>
        <w:t>（企业名称）</w:t>
      </w:r>
      <w:r>
        <w:rPr>
          <w:rFonts w:hint="eastAsia" w:ascii="宋体" w:hAnsi="宋体" w:eastAsia="宋体" w:cs="宋体"/>
          <w:b w:val="0"/>
          <w:bCs w:val="0"/>
          <w:color w:val="auto"/>
          <w:kern w:val="0"/>
          <w:sz w:val="24"/>
          <w:highlight w:val="none"/>
        </w:rPr>
        <w:t>，从业人员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人，营业收入为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万元，资产总额为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万元，属于</w:t>
      </w:r>
      <w:r>
        <w:rPr>
          <w:rFonts w:hint="eastAsia" w:ascii="宋体" w:hAnsi="宋体" w:eastAsia="宋体" w:cs="宋体"/>
          <w:b w:val="0"/>
          <w:bCs w:val="0"/>
          <w:color w:val="auto"/>
          <w:kern w:val="0"/>
          <w:sz w:val="24"/>
          <w:highlight w:val="none"/>
          <w:u w:val="single"/>
        </w:rPr>
        <w:t>（中型企业、小型企业、微型企业）</w:t>
      </w:r>
      <w:r>
        <w:rPr>
          <w:rFonts w:hint="eastAsia" w:ascii="宋体" w:hAnsi="宋体" w:eastAsia="宋体" w:cs="宋体"/>
          <w:b w:val="0"/>
          <w:bCs w:val="0"/>
          <w:color w:val="auto"/>
          <w:kern w:val="0"/>
          <w:sz w:val="24"/>
          <w:highlight w:val="none"/>
        </w:rPr>
        <w:t>；</w:t>
      </w:r>
    </w:p>
    <w:p>
      <w:pPr>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u w:val="none"/>
          <w:lang w:val="en-US" w:eastAsia="zh-CN"/>
        </w:rPr>
        <w:t>2.</w:t>
      </w:r>
      <w:r>
        <w:rPr>
          <w:rFonts w:hint="eastAsia" w:ascii="宋体" w:hAnsi="宋体" w:eastAsia="宋体" w:cs="宋体"/>
          <w:b w:val="0"/>
          <w:bCs w:val="0"/>
          <w:color w:val="auto"/>
          <w:kern w:val="0"/>
          <w:sz w:val="24"/>
          <w:highlight w:val="none"/>
          <w:u w:val="single"/>
        </w:rPr>
        <w:t>（标的名称）</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 xml:space="preserve"> 行业；承接企业为</w:t>
      </w:r>
      <w:r>
        <w:rPr>
          <w:rFonts w:hint="eastAsia" w:ascii="宋体" w:hAnsi="宋体" w:eastAsia="宋体" w:cs="宋体"/>
          <w:b w:val="0"/>
          <w:bCs w:val="0"/>
          <w:color w:val="auto"/>
          <w:kern w:val="0"/>
          <w:sz w:val="24"/>
          <w:highlight w:val="none"/>
          <w:u w:val="single"/>
        </w:rPr>
        <w:t>（企业名称）</w:t>
      </w:r>
      <w:r>
        <w:rPr>
          <w:rFonts w:hint="eastAsia" w:ascii="宋体" w:hAnsi="宋体" w:eastAsia="宋体" w:cs="宋体"/>
          <w:b w:val="0"/>
          <w:bCs w:val="0"/>
          <w:color w:val="auto"/>
          <w:kern w:val="0"/>
          <w:sz w:val="24"/>
          <w:highlight w:val="none"/>
        </w:rPr>
        <w:t>，从业人员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人，营业收入为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万元，资产总额为</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万元，属于</w:t>
      </w:r>
      <w:r>
        <w:rPr>
          <w:rFonts w:hint="eastAsia" w:ascii="宋体" w:hAnsi="宋体" w:eastAsia="宋体" w:cs="宋体"/>
          <w:b w:val="0"/>
          <w:bCs w:val="0"/>
          <w:color w:val="auto"/>
          <w:kern w:val="0"/>
          <w:sz w:val="24"/>
          <w:highlight w:val="none"/>
          <w:u w:val="single"/>
        </w:rPr>
        <w:t>（中型企业、小型企业、微型企业）</w:t>
      </w:r>
      <w:r>
        <w:rPr>
          <w:rFonts w:hint="eastAsia" w:ascii="宋体" w:hAnsi="宋体" w:eastAsia="宋体" w:cs="宋体"/>
          <w:b w:val="0"/>
          <w:bCs w:val="0"/>
          <w:color w:val="auto"/>
          <w:kern w:val="0"/>
          <w:sz w:val="24"/>
          <w:highlight w:val="none"/>
        </w:rPr>
        <w:t>；</w:t>
      </w:r>
    </w:p>
    <w:p>
      <w:pPr>
        <w:pStyle w:val="2"/>
        <w:rPr>
          <w:rFonts w:hint="eastAsia"/>
          <w:color w:val="auto"/>
          <w:highlight w:val="none"/>
        </w:rPr>
      </w:pPr>
    </w:p>
    <w:p>
      <w:pPr>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本企业对上述声明内容的真实性负责。如有虚假，将依法承担相应责任。</w:t>
      </w:r>
    </w:p>
    <w:p>
      <w:pPr>
        <w:snapToGrid w:val="0"/>
        <w:spacing w:before="50" w:line="400" w:lineRule="exact"/>
        <w:jc w:val="left"/>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4"/>
          <w:highlight w:val="none"/>
        </w:rPr>
        <w:t xml:space="preserve">              </w:t>
      </w:r>
      <w:r>
        <w:rPr>
          <w:rFonts w:hint="eastAsia" w:ascii="宋体" w:hAnsi="宋体" w:eastAsia="宋体" w:cs="宋体"/>
          <w:color w:val="auto"/>
          <w:sz w:val="28"/>
          <w:szCs w:val="28"/>
          <w:highlight w:val="none"/>
        </w:rPr>
        <w:t>　</w:t>
      </w:r>
    </w:p>
    <w:p>
      <w:pPr>
        <w:snapToGrid w:val="0"/>
        <w:spacing w:before="50" w:line="400" w:lineRule="exact"/>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napToGrid w:val="0"/>
        <w:spacing w:before="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before="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日期：年   月   日</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注：1.从业人员、营业收入、资产总额填报上一年度数据，无上一年度数据的新成立企业可不填报。</w:t>
      </w:r>
    </w:p>
    <w:p>
      <w:pPr>
        <w:tabs>
          <w:tab w:val="left" w:pos="1305"/>
        </w:tabs>
        <w:spacing w:line="380" w:lineRule="exact"/>
        <w:jc w:val="both"/>
        <w:rPr>
          <w:rFonts w:asciiTheme="minorEastAsia" w:hAnsiTheme="minorEastAsia" w:eastAsiaTheme="minorEastAsia" w:cstheme="minorEastAsia"/>
          <w:color w:val="auto"/>
          <w:szCs w:val="20"/>
          <w:highlight w:val="none"/>
        </w:rPr>
      </w:pPr>
      <w:r>
        <w:rPr>
          <w:rFonts w:hint="eastAsia" w:ascii="宋体" w:hAnsi="宋体" w:eastAsia="宋体" w:cs="宋体"/>
          <w:b/>
          <w:bCs/>
          <w:color w:val="auto"/>
          <w:kern w:val="0"/>
          <w:sz w:val="24"/>
          <w:highlight w:val="none"/>
        </w:rPr>
        <w:t>2.中小企业在政府采购活动过程中，请根据自己的真实情况出具本声明函。依法享受中小企业优惠政策的，采购人或采购代理机构在公告成交结果时，同时公告其《中小企业声明函》，接受社会监督</w:t>
      </w:r>
      <w:r>
        <w:rPr>
          <w:rFonts w:hint="eastAsia" w:ascii="宋体" w:hAnsi="宋体" w:eastAsia="宋体" w:cs="宋体"/>
          <w:b w:val="0"/>
          <w:bCs w:val="0"/>
          <w:color w:val="auto"/>
          <w:kern w:val="0"/>
          <w:sz w:val="24"/>
          <w:highlight w:val="none"/>
        </w:rPr>
        <w:t>。</w:t>
      </w:r>
      <w:r>
        <w:rPr>
          <w:rFonts w:hint="eastAsia" w:asciiTheme="minorEastAsia" w:hAnsiTheme="minorEastAsia" w:eastAsiaTheme="minorEastAsia" w:cstheme="minorEastAsia"/>
          <w:color w:val="auto"/>
          <w:szCs w:val="20"/>
          <w:highlight w:val="none"/>
        </w:rPr>
        <w:t xml:space="preserve"> </w:t>
      </w:r>
    </w:p>
    <w:p>
      <w:pPr>
        <w:pStyle w:val="154"/>
        <w:tabs>
          <w:tab w:val="left" w:pos="1601"/>
        </w:tabs>
        <w:spacing w:line="360" w:lineRule="auto"/>
        <w:ind w:right="771" w:firstLine="0" w:firstLineChars="0"/>
        <w:jc w:val="left"/>
        <w:rPr>
          <w:rFonts w:asciiTheme="minorEastAsia" w:hAnsiTheme="minorEastAsia" w:eastAsiaTheme="minorEastAsia" w:cstheme="minorEastAsia"/>
          <w:b/>
          <w:bCs/>
          <w:color w:val="auto"/>
          <w:sz w:val="32"/>
          <w:szCs w:val="32"/>
          <w:highlight w:val="none"/>
        </w:rPr>
      </w:pPr>
    </w:p>
    <w:p>
      <w:pPr>
        <w:pStyle w:val="154"/>
        <w:numPr>
          <w:ilvl w:val="0"/>
          <w:numId w:val="21"/>
        </w:numPr>
        <w:tabs>
          <w:tab w:val="left" w:pos="1601"/>
        </w:tabs>
        <w:spacing w:line="360" w:lineRule="auto"/>
        <w:ind w:right="-36" w:firstLine="643"/>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符合条件的残疾人福利性单位在参加政府采购活动时，应当提供《残疾人福利性单位声明函》，并对声明的真实性负责（如有，请提供）</w:t>
      </w:r>
    </w:p>
    <w:p>
      <w:pPr>
        <w:spacing w:line="588" w:lineRule="exact"/>
        <w:jc w:val="center"/>
        <w:outlineLvl w:val="0"/>
        <w:rPr>
          <w:rFonts w:asciiTheme="minorEastAsia" w:hAnsiTheme="minorEastAsia" w:eastAsiaTheme="minorEastAsia" w:cstheme="minorEastAsia"/>
          <w:b/>
          <w:color w:val="auto"/>
          <w:kern w:val="0"/>
          <w:sz w:val="32"/>
          <w:szCs w:val="32"/>
          <w:highlight w:val="none"/>
        </w:rPr>
      </w:pPr>
      <w:bookmarkStart w:id="47" w:name="_Toc17414"/>
      <w:r>
        <w:rPr>
          <w:rFonts w:hint="eastAsia" w:asciiTheme="minorEastAsia" w:hAnsiTheme="minorEastAsia" w:eastAsiaTheme="minorEastAsia" w:cstheme="minorEastAsia"/>
          <w:b/>
          <w:color w:val="auto"/>
          <w:kern w:val="0"/>
          <w:sz w:val="28"/>
          <w:szCs w:val="28"/>
          <w:highlight w:val="none"/>
        </w:rPr>
        <w:t>残疾人福利性单位声明函</w:t>
      </w:r>
      <w:bookmarkEnd w:id="47"/>
    </w:p>
    <w:p>
      <w:pPr>
        <w:spacing w:line="588" w:lineRule="exact"/>
        <w:ind w:firstLine="420" w:firstLineChars="200"/>
        <w:rPr>
          <w:rFonts w:asciiTheme="minorEastAsia" w:hAnsiTheme="minorEastAsia" w:eastAsiaTheme="minorEastAsia" w:cstheme="minorEastAsia"/>
          <w:color w:val="auto"/>
          <w:kern w:val="0"/>
          <w:szCs w:val="21"/>
          <w:highlight w:val="none"/>
        </w:rPr>
      </w:pPr>
    </w:p>
    <w:p>
      <w:pPr>
        <w:spacing w:line="588"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Cs w:val="21"/>
          <w:highlight w:val="none"/>
        </w:rPr>
        <w:t>本单位对上述声明的真实性负责。如有虚假，将依法承担相应责任。</w:t>
      </w:r>
    </w:p>
    <w:p>
      <w:pPr>
        <w:spacing w:line="588" w:lineRule="exact"/>
        <w:ind w:firstLine="600" w:firstLineChars="200"/>
        <w:rPr>
          <w:rFonts w:asciiTheme="minorEastAsia" w:hAnsiTheme="minorEastAsia" w:eastAsiaTheme="minorEastAsia" w:cstheme="minorEastAsia"/>
          <w:color w:val="auto"/>
          <w:kern w:val="0"/>
          <w:sz w:val="30"/>
          <w:szCs w:val="30"/>
          <w:highlight w:val="none"/>
        </w:rPr>
      </w:pPr>
    </w:p>
    <w:p>
      <w:pPr>
        <w:spacing w:line="588" w:lineRule="exact"/>
        <w:ind w:firstLine="600" w:firstLineChars="200"/>
        <w:rPr>
          <w:rFonts w:asciiTheme="minorEastAsia" w:hAnsiTheme="minorEastAsia" w:eastAsiaTheme="minorEastAsia" w:cstheme="minorEastAsia"/>
          <w:color w:val="auto"/>
          <w:kern w:val="0"/>
          <w:sz w:val="30"/>
          <w:szCs w:val="30"/>
          <w:highlight w:val="none"/>
        </w:rPr>
      </w:pPr>
    </w:p>
    <w:p>
      <w:pPr>
        <w:tabs>
          <w:tab w:val="left" w:pos="4860"/>
        </w:tabs>
        <w:spacing w:line="588" w:lineRule="exact"/>
        <w:ind w:right="1560" w:firstLine="420" w:firstLineChars="200"/>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单位名称（盖章）：</w:t>
      </w:r>
    </w:p>
    <w:p>
      <w:pPr>
        <w:tabs>
          <w:tab w:val="left" w:pos="4860"/>
        </w:tabs>
        <w:spacing w:line="588" w:lineRule="exact"/>
        <w:ind w:right="1560" w:firstLine="420" w:firstLineChars="200"/>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日  期：</w:t>
      </w:r>
    </w:p>
    <w:p>
      <w:pPr>
        <w:pStyle w:val="154"/>
        <w:tabs>
          <w:tab w:val="left" w:pos="1601"/>
        </w:tabs>
        <w:spacing w:line="360" w:lineRule="auto"/>
        <w:ind w:right="771" w:firstLine="0" w:firstLineChars="0"/>
        <w:jc w:val="left"/>
        <w:rPr>
          <w:rFonts w:asciiTheme="minorEastAsia" w:hAnsiTheme="minorEastAsia" w:eastAsiaTheme="minorEastAsia" w:cstheme="minorEastAsia"/>
          <w:b/>
          <w:bCs/>
          <w:color w:val="auto"/>
          <w:sz w:val="32"/>
          <w:szCs w:val="32"/>
          <w:highlight w:val="none"/>
        </w:rPr>
      </w:pPr>
    </w:p>
    <w:p>
      <w:pPr>
        <w:pStyle w:val="154"/>
        <w:tabs>
          <w:tab w:val="left" w:pos="1601"/>
        </w:tabs>
        <w:spacing w:line="360" w:lineRule="auto"/>
        <w:ind w:right="771" w:firstLine="0" w:firstLineChars="0"/>
        <w:jc w:val="left"/>
        <w:rPr>
          <w:rFonts w:asciiTheme="minorEastAsia" w:hAnsiTheme="minorEastAsia" w:eastAsiaTheme="minorEastAsia" w:cstheme="minorEastAsia"/>
          <w:b/>
          <w:bCs/>
          <w:color w:val="auto"/>
          <w:sz w:val="32"/>
          <w:szCs w:val="32"/>
          <w:highlight w:val="none"/>
        </w:rPr>
      </w:pPr>
    </w:p>
    <w:p>
      <w:pPr>
        <w:pStyle w:val="154"/>
        <w:tabs>
          <w:tab w:val="left" w:pos="1601"/>
        </w:tabs>
        <w:spacing w:line="360" w:lineRule="auto"/>
        <w:ind w:right="-36" w:firstLine="0" w:firstLineChars="0"/>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14、投标人可结合本项目的评标办法视自身情况自行提交相关证明材料（如有，请提供）</w:t>
      </w:r>
    </w:p>
    <w:p>
      <w:pPr>
        <w:pStyle w:val="26"/>
        <w:spacing w:line="360" w:lineRule="auto"/>
        <w:jc w:val="left"/>
        <w:rPr>
          <w:rFonts w:asciiTheme="minorEastAsia" w:hAnsiTheme="minorEastAsia" w:eastAsiaTheme="minorEastAsia" w:cstheme="minorEastAsia"/>
          <w:b/>
          <w:bCs/>
          <w:color w:val="auto"/>
          <w:sz w:val="32"/>
          <w:szCs w:val="32"/>
          <w:highlight w:val="none"/>
        </w:rPr>
      </w:pPr>
    </w:p>
    <w:p>
      <w:pPr>
        <w:pStyle w:val="14"/>
        <w:rPr>
          <w:rFonts w:asciiTheme="minorEastAsia" w:hAnsiTheme="minorEastAsia" w:eastAsiaTheme="minorEastAsia" w:cstheme="minorEastAsia"/>
          <w:color w:val="auto"/>
          <w:highlight w:val="none"/>
        </w:rPr>
      </w:pPr>
    </w:p>
    <w:sectPr>
      <w:footerReference r:id="rId8" w:type="first"/>
      <w:headerReference r:id="rId6" w:type="default"/>
      <w:footerReference r:id="rId7" w:type="default"/>
      <w:pgSz w:w="11906" w:h="16838"/>
      <w:pgMar w:top="1418" w:right="1841" w:bottom="1247" w:left="1701" w:header="567"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9451975</wp:posOffset>
              </wp:positionV>
              <wp:extent cx="215900"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a:effectLst/>
                    </wps:spPr>
                    <wps:txbx>
                      <w:txbxContent>
                        <w:p>
                          <w:pPr>
                            <w:spacing w:before="12"/>
                            <w:ind w:left="20"/>
                            <w:rPr>
                              <w:sz w:val="18"/>
                            </w:rPr>
                          </w:pPr>
                          <w:r>
                            <w:rPr>
                              <w:sz w:val="18"/>
                            </w:rPr>
                            <w:t xml:space="preserve">- </w:t>
                          </w:r>
                          <w:r>
                            <w:fldChar w:fldCharType="begin"/>
                          </w:r>
                          <w:r>
                            <w:rPr>
                              <w:sz w:val="18"/>
                            </w:rPr>
                            <w:instrText xml:space="preserve"> PAGE </w:instrText>
                          </w:r>
                          <w:r>
                            <w:fldChar w:fldCharType="separate"/>
                          </w:r>
                          <w:r>
                            <w:rPr>
                              <w:sz w:val="18"/>
                            </w:rPr>
                            <w:t>7</w:t>
                          </w:r>
                          <w:r>
                            <w:fldChar w:fldCharType="end"/>
                          </w:r>
                          <w:r>
                            <w:rPr>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top:744.25pt;height:12pt;width:17pt;mso-position-horizontal:center;mso-position-horizontal-relative:margin;mso-position-vertical-relative:page;z-index:251659264;mso-width-relative:page;mso-height-relative:page;" filled="f" stroked="f" coordsize="21600,21600" o:gfxdata="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1kH1dcAAAAJAQAADwAAAAAAAAABACAAAAAiAAAAZHJzL2Rvd25yZXYueG1sUEsB&#10;AhQAFAAAAAgAh07iQP+eLom9AQAAfwMAAA4AAAAAAAAAAQAgAAAAJgEAAGRycy9lMm9Eb2MueG1s&#10;UEsFBgAAAAAGAAYAWQEAAFUFAAAAAA==&#10;">
              <v:fill on="f" focussize="0,0"/>
              <v:stroke on="f"/>
              <v:imagedata o:title=""/>
              <o:lock v:ext="edit" aspectratio="f"/>
              <v:textbox inset="0mm,0mm,0mm,0mm">
                <w:txbxContent>
                  <w:p>
                    <w:pPr>
                      <w:spacing w:before="12"/>
                      <w:ind w:left="20"/>
                      <w:rPr>
                        <w:sz w:val="18"/>
                      </w:rPr>
                    </w:pPr>
                    <w:r>
                      <w:rPr>
                        <w:sz w:val="18"/>
                      </w:rPr>
                      <w:t xml:space="preserve">- </w:t>
                    </w:r>
                    <w:r>
                      <w:fldChar w:fldCharType="begin"/>
                    </w:r>
                    <w:r>
                      <w:rPr>
                        <w:sz w:val="18"/>
                      </w:rPr>
                      <w:instrText xml:space="preserve"> PAGE </w:instrText>
                    </w:r>
                    <w:r>
                      <w:fldChar w:fldCharType="separate"/>
                    </w:r>
                    <w:r>
                      <w:rPr>
                        <w:sz w:val="18"/>
                      </w:rPr>
                      <w:t>7</w:t>
                    </w:r>
                    <w:r>
                      <w:fldChar w:fldCharType="end"/>
                    </w:r>
                    <w:r>
                      <w:rPr>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9451975</wp:posOffset>
              </wp:positionV>
              <wp:extent cx="272415"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a:effectLst/>
                    </wps:spPr>
                    <wps:txbx>
                      <w:txbxContent>
                        <w:p>
                          <w:pPr>
                            <w:spacing w:before="12"/>
                            <w:ind w:left="20"/>
                            <w:rPr>
                              <w:sz w:val="18"/>
                            </w:rPr>
                          </w:pPr>
                          <w:r>
                            <w:rPr>
                              <w:sz w:val="18"/>
                            </w:rPr>
                            <w:t xml:space="preserve">- </w:t>
                          </w:r>
                          <w:r>
                            <w:fldChar w:fldCharType="begin"/>
                          </w:r>
                          <w:r>
                            <w:rPr>
                              <w:sz w:val="18"/>
                            </w:rPr>
                            <w:instrText xml:space="preserve"> PAGE </w:instrText>
                          </w:r>
                          <w:r>
                            <w:fldChar w:fldCharType="separate"/>
                          </w:r>
                          <w:r>
                            <w:rPr>
                              <w:sz w:val="18"/>
                            </w:rPr>
                            <w:t>22</w:t>
                          </w:r>
                          <w:r>
                            <w:fldChar w:fldCharType="end"/>
                          </w:r>
                          <w:r>
                            <w:rPr>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top:744.25pt;height:12pt;width:21.45pt;mso-position-horizontal:center;mso-position-horizontal-relative:margin;mso-position-vertical-relative:page;z-index:251660288;mso-width-relative:page;mso-height-relative:page;" filled="f" stroked="f" coordsize="21600,21600" o:gfxdata="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pUpudgAAAAJAQAADwAAAAAAAAABACAAAAAiAAAAZHJzL2Rvd25yZXYueG1s&#10;UEsBAhQAFAAAAAgAh07iQJfVLsm/AQAAfwMAAA4AAAAAAAAAAQAgAAAAJwEAAGRycy9lMm9Eb2Mu&#10;eG1sUEsFBgAAAAAGAAYAWQEAAFgFAAAAAA==&#10;">
              <v:fill on="f" focussize="0,0"/>
              <v:stroke on="f"/>
              <v:imagedata o:title=""/>
              <o:lock v:ext="edit" aspectratio="f"/>
              <v:textbox inset="0mm,0mm,0mm,0mm">
                <w:txbxContent>
                  <w:p>
                    <w:pPr>
                      <w:spacing w:before="12"/>
                      <w:ind w:left="20"/>
                      <w:rPr>
                        <w:sz w:val="18"/>
                      </w:rPr>
                    </w:pPr>
                    <w:r>
                      <w:rPr>
                        <w:sz w:val="18"/>
                      </w:rPr>
                      <w:t xml:space="preserve">- </w:t>
                    </w:r>
                    <w:r>
                      <w:fldChar w:fldCharType="begin"/>
                    </w:r>
                    <w:r>
                      <w:rPr>
                        <w:sz w:val="18"/>
                      </w:rPr>
                      <w:instrText xml:space="preserve"> PAGE </w:instrText>
                    </w:r>
                    <w:r>
                      <w:fldChar w:fldCharType="separate"/>
                    </w:r>
                    <w:r>
                      <w:rPr>
                        <w:sz w:val="18"/>
                      </w:rPr>
                      <w:t>22</w:t>
                    </w:r>
                    <w:r>
                      <w:fldChar w:fldCharType="end"/>
                    </w:r>
                    <w:r>
                      <w:rPr>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Style w:val="54"/>
                            </w:rPr>
                          </w:pPr>
                          <w:r>
                            <w:fldChar w:fldCharType="begin"/>
                          </w:r>
                          <w:r>
                            <w:rPr>
                              <w:rStyle w:val="54"/>
                            </w:rPr>
                            <w:instrText xml:space="preserve">PAGE  </w:instrText>
                          </w:r>
                          <w:r>
                            <w:fldChar w:fldCharType="separate"/>
                          </w:r>
                          <w:r>
                            <w:rPr>
                              <w:rStyle w:val="54"/>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rPr>
                        <w:rStyle w:val="54"/>
                      </w:rPr>
                    </w:pPr>
                    <w:r>
                      <w:fldChar w:fldCharType="begin"/>
                    </w:r>
                    <w:r>
                      <w:rPr>
                        <w:rStyle w:val="54"/>
                      </w:rPr>
                      <w:instrText xml:space="preserve">PAGE  </w:instrText>
                    </w:r>
                    <w:r>
                      <w:fldChar w:fldCharType="separate"/>
                    </w:r>
                    <w:r>
                      <w:rPr>
                        <w:rStyle w:val="54"/>
                      </w:rP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C91C4"/>
    <w:multiLevelType w:val="singleLevel"/>
    <w:tmpl w:val="85CC91C4"/>
    <w:lvl w:ilvl="0" w:tentative="0">
      <w:start w:val="27"/>
      <w:numFmt w:val="decimal"/>
      <w:suff w:val="space"/>
      <w:lvlText w:val="%1."/>
      <w:lvlJc w:val="left"/>
    </w:lvl>
  </w:abstractNum>
  <w:abstractNum w:abstractNumId="1">
    <w:nsid w:val="AE900E6E"/>
    <w:multiLevelType w:val="singleLevel"/>
    <w:tmpl w:val="AE900E6E"/>
    <w:lvl w:ilvl="0" w:tentative="0">
      <w:start w:val="1"/>
      <w:numFmt w:val="chineseCounting"/>
      <w:suff w:val="nothing"/>
      <w:lvlText w:val="%1、"/>
      <w:lvlJc w:val="left"/>
      <w:rPr>
        <w:rFonts w:hint="eastAsia"/>
      </w:rPr>
    </w:lvl>
  </w:abstractNum>
  <w:abstractNum w:abstractNumId="2">
    <w:nsid w:val="B23A94A9"/>
    <w:multiLevelType w:val="multilevel"/>
    <w:tmpl w:val="B23A94A9"/>
    <w:lvl w:ilvl="0" w:tentative="0">
      <w:start w:val="1"/>
      <w:numFmt w:val="decimal"/>
      <w:lvlText w:val="（%1）"/>
      <w:lvlJc w:val="left"/>
      <w:pPr>
        <w:ind w:left="146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72" w:hanging="601"/>
      </w:pPr>
      <w:rPr>
        <w:rFonts w:hint="default"/>
        <w:lang w:val="zh-CN" w:eastAsia="zh-CN" w:bidi="zh-CN"/>
      </w:rPr>
    </w:lvl>
    <w:lvl w:ilvl="2" w:tentative="0">
      <w:start w:val="0"/>
      <w:numFmt w:val="bullet"/>
      <w:lvlText w:val="•"/>
      <w:lvlJc w:val="left"/>
      <w:pPr>
        <w:ind w:left="3284" w:hanging="601"/>
      </w:pPr>
      <w:rPr>
        <w:rFonts w:hint="default"/>
        <w:lang w:val="zh-CN" w:eastAsia="zh-CN" w:bidi="zh-CN"/>
      </w:rPr>
    </w:lvl>
    <w:lvl w:ilvl="3" w:tentative="0">
      <w:start w:val="0"/>
      <w:numFmt w:val="bullet"/>
      <w:lvlText w:val="•"/>
      <w:lvlJc w:val="left"/>
      <w:pPr>
        <w:ind w:left="4196" w:hanging="601"/>
      </w:pPr>
      <w:rPr>
        <w:rFonts w:hint="default"/>
        <w:lang w:val="zh-CN" w:eastAsia="zh-CN" w:bidi="zh-CN"/>
      </w:rPr>
    </w:lvl>
    <w:lvl w:ilvl="4" w:tentative="0">
      <w:start w:val="0"/>
      <w:numFmt w:val="bullet"/>
      <w:lvlText w:val="•"/>
      <w:lvlJc w:val="left"/>
      <w:pPr>
        <w:ind w:left="5108" w:hanging="601"/>
      </w:pPr>
      <w:rPr>
        <w:rFonts w:hint="default"/>
        <w:lang w:val="zh-CN" w:eastAsia="zh-CN" w:bidi="zh-CN"/>
      </w:rPr>
    </w:lvl>
    <w:lvl w:ilvl="5" w:tentative="0">
      <w:start w:val="0"/>
      <w:numFmt w:val="bullet"/>
      <w:lvlText w:val="•"/>
      <w:lvlJc w:val="left"/>
      <w:pPr>
        <w:ind w:left="6020" w:hanging="601"/>
      </w:pPr>
      <w:rPr>
        <w:rFonts w:hint="default"/>
        <w:lang w:val="zh-CN" w:eastAsia="zh-CN" w:bidi="zh-CN"/>
      </w:rPr>
    </w:lvl>
    <w:lvl w:ilvl="6" w:tentative="0">
      <w:start w:val="0"/>
      <w:numFmt w:val="bullet"/>
      <w:lvlText w:val="•"/>
      <w:lvlJc w:val="left"/>
      <w:pPr>
        <w:ind w:left="6932" w:hanging="601"/>
      </w:pPr>
      <w:rPr>
        <w:rFonts w:hint="default"/>
        <w:lang w:val="zh-CN" w:eastAsia="zh-CN" w:bidi="zh-CN"/>
      </w:rPr>
    </w:lvl>
    <w:lvl w:ilvl="7" w:tentative="0">
      <w:start w:val="0"/>
      <w:numFmt w:val="bullet"/>
      <w:lvlText w:val="•"/>
      <w:lvlJc w:val="left"/>
      <w:pPr>
        <w:ind w:left="7844" w:hanging="601"/>
      </w:pPr>
      <w:rPr>
        <w:rFonts w:hint="default"/>
        <w:lang w:val="zh-CN" w:eastAsia="zh-CN" w:bidi="zh-CN"/>
      </w:rPr>
    </w:lvl>
    <w:lvl w:ilvl="8" w:tentative="0">
      <w:start w:val="0"/>
      <w:numFmt w:val="bullet"/>
      <w:lvlText w:val="•"/>
      <w:lvlJc w:val="left"/>
      <w:pPr>
        <w:ind w:left="8756" w:hanging="601"/>
      </w:pPr>
      <w:rPr>
        <w:rFonts w:hint="default"/>
        <w:lang w:val="zh-CN" w:eastAsia="zh-CN" w:bidi="zh-CN"/>
      </w:rPr>
    </w:lvl>
  </w:abstractNum>
  <w:abstractNum w:abstractNumId="3">
    <w:nsid w:val="D0DAF806"/>
    <w:multiLevelType w:val="singleLevel"/>
    <w:tmpl w:val="D0DAF806"/>
    <w:lvl w:ilvl="0" w:tentative="0">
      <w:start w:val="4"/>
      <w:numFmt w:val="decimal"/>
      <w:suff w:val="nothing"/>
      <w:lvlText w:val="%1、"/>
      <w:lvlJc w:val="left"/>
    </w:lvl>
  </w:abstractNum>
  <w:abstractNum w:abstractNumId="4">
    <w:nsid w:val="DC7135C0"/>
    <w:multiLevelType w:val="singleLevel"/>
    <w:tmpl w:val="DC7135C0"/>
    <w:lvl w:ilvl="0" w:tentative="0">
      <w:start w:val="1"/>
      <w:numFmt w:val="decimal"/>
      <w:suff w:val="nothing"/>
      <w:lvlText w:val="%1、"/>
      <w:lvlJc w:val="left"/>
    </w:lvl>
  </w:abstractNum>
  <w:abstractNum w:abstractNumId="5">
    <w:nsid w:val="ED23805B"/>
    <w:multiLevelType w:val="singleLevel"/>
    <w:tmpl w:val="ED23805B"/>
    <w:lvl w:ilvl="0" w:tentative="0">
      <w:start w:val="11"/>
      <w:numFmt w:val="decimal"/>
      <w:suff w:val="nothing"/>
      <w:lvlText w:val="%1、"/>
      <w:lvlJc w:val="left"/>
    </w:lvl>
  </w:abstractNum>
  <w:abstractNum w:abstractNumId="6">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D"/>
    <w:multiLevelType w:val="multilevel"/>
    <w:tmpl w:val="0000001D"/>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A58D49"/>
    <w:multiLevelType w:val="singleLevel"/>
    <w:tmpl w:val="01A58D49"/>
    <w:lvl w:ilvl="0" w:tentative="0">
      <w:start w:val="7"/>
      <w:numFmt w:val="chineseCounting"/>
      <w:suff w:val="nothing"/>
      <w:lvlText w:val="%1、"/>
      <w:lvlJc w:val="left"/>
      <w:rPr>
        <w:rFonts w:hint="eastAsia"/>
      </w:rPr>
    </w:lvl>
  </w:abstractNum>
  <w:abstractNum w:abstractNumId="9">
    <w:nsid w:val="0A760F1C"/>
    <w:multiLevelType w:val="multilevel"/>
    <w:tmpl w:val="0A760F1C"/>
    <w:lvl w:ilvl="0" w:tentative="0">
      <w:start w:val="1"/>
      <w:numFmt w:val="decimal"/>
      <w:pStyle w:val="693"/>
      <w:suff w:val="space"/>
      <w:lvlText w:val="第%1章"/>
      <w:lvlJc w:val="center"/>
      <w:pPr>
        <w:ind w:left="0" w:firstLine="288"/>
      </w:pPr>
      <w:rPr>
        <w:rFonts w:hint="eastAsia" w:ascii="黑体" w:hAnsi="黑体" w:eastAsia="黑体"/>
        <w:sz w:val="36"/>
      </w:rPr>
    </w:lvl>
    <w:lvl w:ilvl="1" w:tentative="0">
      <w:start w:val="1"/>
      <w:numFmt w:val="decimal"/>
      <w:pStyle w:val="694"/>
      <w:suff w:val="space"/>
      <w:lvlText w:val="%1.%2"/>
      <w:lvlJc w:val="left"/>
      <w:pPr>
        <w:ind w:left="0" w:firstLine="0"/>
      </w:pPr>
      <w:rPr>
        <w:rFonts w:hint="eastAsia" w:ascii="黑体" w:hAnsi="黑体" w:eastAsia="黑体"/>
        <w:sz w:val="30"/>
      </w:rPr>
    </w:lvl>
    <w:lvl w:ilvl="2" w:tentative="0">
      <w:start w:val="1"/>
      <w:numFmt w:val="decimal"/>
      <w:pStyle w:val="695"/>
      <w:suff w:val="space"/>
      <w:lvlText w:val="%1.%2.%3"/>
      <w:lvlJc w:val="left"/>
      <w:pPr>
        <w:ind w:left="426" w:firstLine="0"/>
      </w:pPr>
      <w:rPr>
        <w:rFonts w:hint="eastAsia" w:ascii="黑体" w:hAnsi="黑体" w:eastAsia="黑体"/>
        <w:sz w:val="28"/>
      </w:rPr>
    </w:lvl>
    <w:lvl w:ilvl="3" w:tentative="0">
      <w:start w:val="1"/>
      <w:numFmt w:val="decimal"/>
      <w:pStyle w:val="696"/>
      <w:suff w:val="space"/>
      <w:lvlText w:val="%1.%2.%3.%4"/>
      <w:lvlJc w:val="left"/>
      <w:pPr>
        <w:ind w:left="142" w:firstLine="0"/>
      </w:pPr>
      <w:rPr>
        <w:rFonts w:hint="eastAsia" w:ascii="黑体" w:hAnsi="黑体" w:eastAsia="黑体"/>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12EADF99"/>
    <w:multiLevelType w:val="multilevel"/>
    <w:tmpl w:val="12EADF99"/>
    <w:lvl w:ilvl="0" w:tentative="0">
      <w:start w:val="1"/>
      <w:numFmt w:val="decimal"/>
      <w:lvlText w:val="（%1）"/>
      <w:lvlJc w:val="left"/>
      <w:pPr>
        <w:ind w:left="1467"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72" w:hanging="601"/>
      </w:pPr>
      <w:rPr>
        <w:rFonts w:hint="default"/>
        <w:lang w:val="zh-CN" w:eastAsia="zh-CN" w:bidi="zh-CN"/>
      </w:rPr>
    </w:lvl>
    <w:lvl w:ilvl="2" w:tentative="0">
      <w:start w:val="0"/>
      <w:numFmt w:val="bullet"/>
      <w:lvlText w:val="•"/>
      <w:lvlJc w:val="left"/>
      <w:pPr>
        <w:ind w:left="3284" w:hanging="601"/>
      </w:pPr>
      <w:rPr>
        <w:rFonts w:hint="default"/>
        <w:lang w:val="zh-CN" w:eastAsia="zh-CN" w:bidi="zh-CN"/>
      </w:rPr>
    </w:lvl>
    <w:lvl w:ilvl="3" w:tentative="0">
      <w:start w:val="0"/>
      <w:numFmt w:val="bullet"/>
      <w:lvlText w:val="•"/>
      <w:lvlJc w:val="left"/>
      <w:pPr>
        <w:ind w:left="4196" w:hanging="601"/>
      </w:pPr>
      <w:rPr>
        <w:rFonts w:hint="default"/>
        <w:lang w:val="zh-CN" w:eastAsia="zh-CN" w:bidi="zh-CN"/>
      </w:rPr>
    </w:lvl>
    <w:lvl w:ilvl="4" w:tentative="0">
      <w:start w:val="0"/>
      <w:numFmt w:val="bullet"/>
      <w:lvlText w:val="•"/>
      <w:lvlJc w:val="left"/>
      <w:pPr>
        <w:ind w:left="5108" w:hanging="601"/>
      </w:pPr>
      <w:rPr>
        <w:rFonts w:hint="default"/>
        <w:lang w:val="zh-CN" w:eastAsia="zh-CN" w:bidi="zh-CN"/>
      </w:rPr>
    </w:lvl>
    <w:lvl w:ilvl="5" w:tentative="0">
      <w:start w:val="0"/>
      <w:numFmt w:val="bullet"/>
      <w:lvlText w:val="•"/>
      <w:lvlJc w:val="left"/>
      <w:pPr>
        <w:ind w:left="6020" w:hanging="601"/>
      </w:pPr>
      <w:rPr>
        <w:rFonts w:hint="default"/>
        <w:lang w:val="zh-CN" w:eastAsia="zh-CN" w:bidi="zh-CN"/>
      </w:rPr>
    </w:lvl>
    <w:lvl w:ilvl="6" w:tentative="0">
      <w:start w:val="0"/>
      <w:numFmt w:val="bullet"/>
      <w:lvlText w:val="•"/>
      <w:lvlJc w:val="left"/>
      <w:pPr>
        <w:ind w:left="6932" w:hanging="601"/>
      </w:pPr>
      <w:rPr>
        <w:rFonts w:hint="default"/>
        <w:lang w:val="zh-CN" w:eastAsia="zh-CN" w:bidi="zh-CN"/>
      </w:rPr>
    </w:lvl>
    <w:lvl w:ilvl="7" w:tentative="0">
      <w:start w:val="0"/>
      <w:numFmt w:val="bullet"/>
      <w:lvlText w:val="•"/>
      <w:lvlJc w:val="left"/>
      <w:pPr>
        <w:ind w:left="7844" w:hanging="601"/>
      </w:pPr>
      <w:rPr>
        <w:rFonts w:hint="default"/>
        <w:lang w:val="zh-CN" w:eastAsia="zh-CN" w:bidi="zh-CN"/>
      </w:rPr>
    </w:lvl>
    <w:lvl w:ilvl="8" w:tentative="0">
      <w:start w:val="0"/>
      <w:numFmt w:val="bullet"/>
      <w:lvlText w:val="•"/>
      <w:lvlJc w:val="left"/>
      <w:pPr>
        <w:ind w:left="8756" w:hanging="601"/>
      </w:pPr>
      <w:rPr>
        <w:rFonts w:hint="default"/>
        <w:lang w:val="zh-CN" w:eastAsia="zh-CN" w:bidi="zh-CN"/>
      </w:rPr>
    </w:lvl>
  </w:abstractNum>
  <w:abstractNum w:abstractNumId="11">
    <w:nsid w:val="17627A3E"/>
    <w:multiLevelType w:val="singleLevel"/>
    <w:tmpl w:val="17627A3E"/>
    <w:lvl w:ilvl="0" w:tentative="0">
      <w:start w:val="1"/>
      <w:numFmt w:val="decimal"/>
      <w:lvlText w:val="%1."/>
      <w:lvlJc w:val="left"/>
      <w:pPr>
        <w:tabs>
          <w:tab w:val="left" w:pos="312"/>
        </w:tabs>
      </w:pPr>
    </w:lvl>
  </w:abstractNum>
  <w:abstractNum w:abstractNumId="12">
    <w:nsid w:val="2067B73F"/>
    <w:multiLevelType w:val="singleLevel"/>
    <w:tmpl w:val="2067B73F"/>
    <w:lvl w:ilvl="0" w:tentative="0">
      <w:start w:val="5"/>
      <w:numFmt w:val="decimal"/>
      <w:suff w:val="nothing"/>
      <w:lvlText w:val="%1、"/>
      <w:lvlJc w:val="left"/>
    </w:lvl>
  </w:abstractNum>
  <w:abstractNum w:abstractNumId="13">
    <w:nsid w:val="21741FD8"/>
    <w:multiLevelType w:val="multilevel"/>
    <w:tmpl w:val="21741FD8"/>
    <w:lvl w:ilvl="0" w:tentative="0">
      <w:start w:val="1"/>
      <w:numFmt w:val="bullet"/>
      <w:pStyle w:val="697"/>
      <w:lvlText w:val=""/>
      <w:lvlJc w:val="left"/>
      <w:pPr>
        <w:tabs>
          <w:tab w:val="left" w:pos="420"/>
        </w:tabs>
        <w:ind w:left="839" w:hanging="419"/>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4EB7E2C"/>
    <w:multiLevelType w:val="multilevel"/>
    <w:tmpl w:val="24EB7E2C"/>
    <w:lvl w:ilvl="0" w:tentative="0">
      <w:start w:val="1"/>
      <w:numFmt w:val="decimal"/>
      <w:pStyle w:val="692"/>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6">
    <w:nsid w:val="44DD23F9"/>
    <w:multiLevelType w:val="multilevel"/>
    <w:tmpl w:val="44DD23F9"/>
    <w:lvl w:ilvl="0" w:tentative="0">
      <w:start w:val="1"/>
      <w:numFmt w:val="bullet"/>
      <w:pStyle w:val="668"/>
      <w:lvlText w:val=""/>
      <w:lvlJc w:val="left"/>
      <w:pPr>
        <w:ind w:left="902"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C3D7A74"/>
    <w:multiLevelType w:val="multilevel"/>
    <w:tmpl w:val="4C3D7A74"/>
    <w:lvl w:ilvl="0" w:tentative="0">
      <w:start w:val="1"/>
      <w:numFmt w:val="decimal"/>
      <w:lvlText w:val="（%1）"/>
      <w:lvlJc w:val="left"/>
      <w:pPr>
        <w:ind w:left="107" w:hanging="525"/>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92" w:hanging="525"/>
      </w:pPr>
      <w:rPr>
        <w:rFonts w:hint="default"/>
        <w:lang w:val="zh-CN" w:eastAsia="zh-CN" w:bidi="zh-CN"/>
      </w:rPr>
    </w:lvl>
    <w:lvl w:ilvl="2" w:tentative="0">
      <w:start w:val="0"/>
      <w:numFmt w:val="bullet"/>
      <w:lvlText w:val="•"/>
      <w:lvlJc w:val="left"/>
      <w:pPr>
        <w:ind w:left="1484" w:hanging="525"/>
      </w:pPr>
      <w:rPr>
        <w:rFonts w:hint="default"/>
        <w:lang w:val="zh-CN" w:eastAsia="zh-CN" w:bidi="zh-CN"/>
      </w:rPr>
    </w:lvl>
    <w:lvl w:ilvl="3" w:tentative="0">
      <w:start w:val="0"/>
      <w:numFmt w:val="bullet"/>
      <w:lvlText w:val="•"/>
      <w:lvlJc w:val="left"/>
      <w:pPr>
        <w:ind w:left="2176" w:hanging="525"/>
      </w:pPr>
      <w:rPr>
        <w:rFonts w:hint="default"/>
        <w:lang w:val="zh-CN" w:eastAsia="zh-CN" w:bidi="zh-CN"/>
      </w:rPr>
    </w:lvl>
    <w:lvl w:ilvl="4" w:tentative="0">
      <w:start w:val="0"/>
      <w:numFmt w:val="bullet"/>
      <w:lvlText w:val="•"/>
      <w:lvlJc w:val="left"/>
      <w:pPr>
        <w:ind w:left="2869" w:hanging="525"/>
      </w:pPr>
      <w:rPr>
        <w:rFonts w:hint="default"/>
        <w:lang w:val="zh-CN" w:eastAsia="zh-CN" w:bidi="zh-CN"/>
      </w:rPr>
    </w:lvl>
    <w:lvl w:ilvl="5" w:tentative="0">
      <w:start w:val="0"/>
      <w:numFmt w:val="bullet"/>
      <w:lvlText w:val="•"/>
      <w:lvlJc w:val="left"/>
      <w:pPr>
        <w:ind w:left="3561" w:hanging="525"/>
      </w:pPr>
      <w:rPr>
        <w:rFonts w:hint="default"/>
        <w:lang w:val="zh-CN" w:eastAsia="zh-CN" w:bidi="zh-CN"/>
      </w:rPr>
    </w:lvl>
    <w:lvl w:ilvl="6" w:tentative="0">
      <w:start w:val="0"/>
      <w:numFmt w:val="bullet"/>
      <w:lvlText w:val="•"/>
      <w:lvlJc w:val="left"/>
      <w:pPr>
        <w:ind w:left="4253" w:hanging="525"/>
      </w:pPr>
      <w:rPr>
        <w:rFonts w:hint="default"/>
        <w:lang w:val="zh-CN" w:eastAsia="zh-CN" w:bidi="zh-CN"/>
      </w:rPr>
    </w:lvl>
    <w:lvl w:ilvl="7" w:tentative="0">
      <w:start w:val="0"/>
      <w:numFmt w:val="bullet"/>
      <w:lvlText w:val="•"/>
      <w:lvlJc w:val="left"/>
      <w:pPr>
        <w:ind w:left="4946" w:hanging="525"/>
      </w:pPr>
      <w:rPr>
        <w:rFonts w:hint="default"/>
        <w:lang w:val="zh-CN" w:eastAsia="zh-CN" w:bidi="zh-CN"/>
      </w:rPr>
    </w:lvl>
    <w:lvl w:ilvl="8" w:tentative="0">
      <w:start w:val="0"/>
      <w:numFmt w:val="bullet"/>
      <w:lvlText w:val="•"/>
      <w:lvlJc w:val="left"/>
      <w:pPr>
        <w:ind w:left="5638" w:hanging="525"/>
      </w:pPr>
      <w:rPr>
        <w:rFonts w:hint="default"/>
        <w:lang w:val="zh-CN" w:eastAsia="zh-CN" w:bidi="zh-CN"/>
      </w:rPr>
    </w:lvl>
  </w:abstractNum>
  <w:abstractNum w:abstractNumId="18">
    <w:nsid w:val="52170D45"/>
    <w:multiLevelType w:val="multilevel"/>
    <w:tmpl w:val="52170D45"/>
    <w:lvl w:ilvl="0" w:tentative="0">
      <w:start w:val="1"/>
      <w:numFmt w:val="decimal"/>
      <w:pStyle w:val="690"/>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5219AEB8"/>
    <w:multiLevelType w:val="singleLevel"/>
    <w:tmpl w:val="5219AEB8"/>
    <w:lvl w:ilvl="0" w:tentative="0">
      <w:start w:val="6"/>
      <w:numFmt w:val="chineseCounting"/>
      <w:suff w:val="space"/>
      <w:lvlText w:val="第%1章"/>
      <w:lvlJc w:val="left"/>
      <w:rPr>
        <w:rFonts w:hint="eastAsia"/>
      </w:rPr>
    </w:lvl>
  </w:abstractNum>
  <w:abstractNum w:abstractNumId="20">
    <w:nsid w:val="5D918C70"/>
    <w:multiLevelType w:val="singleLevel"/>
    <w:tmpl w:val="5D918C70"/>
    <w:lvl w:ilvl="0" w:tentative="0">
      <w:start w:val="3"/>
      <w:numFmt w:val="chineseCounting"/>
      <w:suff w:val="nothing"/>
      <w:lvlText w:val="%1、"/>
      <w:lvlJc w:val="left"/>
    </w:lvl>
  </w:abstractNum>
  <w:num w:numId="1">
    <w:abstractNumId w:val="15"/>
  </w:num>
  <w:num w:numId="2">
    <w:abstractNumId w:val="16"/>
  </w:num>
  <w:num w:numId="3">
    <w:abstractNumId w:val="18"/>
  </w:num>
  <w:num w:numId="4">
    <w:abstractNumId w:val="14"/>
  </w:num>
  <w:num w:numId="5">
    <w:abstractNumId w:val="9"/>
  </w:num>
  <w:num w:numId="6">
    <w:abstractNumId w:val="13"/>
  </w:num>
  <w:num w:numId="7">
    <w:abstractNumId w:val="8"/>
  </w:num>
  <w:num w:numId="8">
    <w:abstractNumId w:val="17"/>
  </w:num>
  <w:num w:numId="9">
    <w:abstractNumId w:val="0"/>
  </w:num>
  <w:num w:numId="10">
    <w:abstractNumId w:val="10"/>
  </w:num>
  <w:num w:numId="11">
    <w:abstractNumId w:val="2"/>
  </w:num>
  <w:num w:numId="12">
    <w:abstractNumId w:val="4"/>
  </w:num>
  <w:num w:numId="13">
    <w:abstractNumId w:val="12"/>
  </w:num>
  <w:num w:numId="14">
    <w:abstractNumId w:val="6"/>
  </w:num>
  <w:num w:numId="15">
    <w:abstractNumId w:val="19"/>
  </w:num>
  <w:num w:numId="16">
    <w:abstractNumId w:val="1"/>
  </w:num>
  <w:num w:numId="17">
    <w:abstractNumId w:val="7"/>
  </w:num>
  <w:num w:numId="18">
    <w:abstractNumId w:val="3"/>
  </w:num>
  <w:num w:numId="19">
    <w:abstractNumId w:val="2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A3"/>
    <w:rsid w:val="0001150B"/>
    <w:rsid w:val="00013D8A"/>
    <w:rsid w:val="00014CD2"/>
    <w:rsid w:val="00016384"/>
    <w:rsid w:val="000207D9"/>
    <w:rsid w:val="00021036"/>
    <w:rsid w:val="000228E1"/>
    <w:rsid w:val="000244D3"/>
    <w:rsid w:val="00027F27"/>
    <w:rsid w:val="00031716"/>
    <w:rsid w:val="00034F27"/>
    <w:rsid w:val="00041C1E"/>
    <w:rsid w:val="00043392"/>
    <w:rsid w:val="00045AE8"/>
    <w:rsid w:val="00047306"/>
    <w:rsid w:val="00047C59"/>
    <w:rsid w:val="0005029E"/>
    <w:rsid w:val="000504AA"/>
    <w:rsid w:val="00054880"/>
    <w:rsid w:val="0006155C"/>
    <w:rsid w:val="0006255B"/>
    <w:rsid w:val="00067116"/>
    <w:rsid w:val="000673C1"/>
    <w:rsid w:val="00073D31"/>
    <w:rsid w:val="00075B3C"/>
    <w:rsid w:val="0008339D"/>
    <w:rsid w:val="00090830"/>
    <w:rsid w:val="00091B62"/>
    <w:rsid w:val="00091E62"/>
    <w:rsid w:val="000A7B70"/>
    <w:rsid w:val="000B0C39"/>
    <w:rsid w:val="000B35A3"/>
    <w:rsid w:val="000C1C9B"/>
    <w:rsid w:val="000C2862"/>
    <w:rsid w:val="000C3778"/>
    <w:rsid w:val="000C4555"/>
    <w:rsid w:val="000D453C"/>
    <w:rsid w:val="000E2127"/>
    <w:rsid w:val="000E448D"/>
    <w:rsid w:val="000E69AB"/>
    <w:rsid w:val="000F0477"/>
    <w:rsid w:val="000F19C6"/>
    <w:rsid w:val="000F2955"/>
    <w:rsid w:val="000F5EAF"/>
    <w:rsid w:val="001100A2"/>
    <w:rsid w:val="001116DE"/>
    <w:rsid w:val="00114235"/>
    <w:rsid w:val="00117ADF"/>
    <w:rsid w:val="00120685"/>
    <w:rsid w:val="00123D96"/>
    <w:rsid w:val="001259B3"/>
    <w:rsid w:val="001264E9"/>
    <w:rsid w:val="00130BD0"/>
    <w:rsid w:val="00147F52"/>
    <w:rsid w:val="00155F59"/>
    <w:rsid w:val="00162B32"/>
    <w:rsid w:val="00175F67"/>
    <w:rsid w:val="001910F8"/>
    <w:rsid w:val="00193AAE"/>
    <w:rsid w:val="00193DA6"/>
    <w:rsid w:val="0019426E"/>
    <w:rsid w:val="001A0990"/>
    <w:rsid w:val="001A4263"/>
    <w:rsid w:val="001B21DD"/>
    <w:rsid w:val="001B4124"/>
    <w:rsid w:val="001C05BA"/>
    <w:rsid w:val="001C68FD"/>
    <w:rsid w:val="001C71F7"/>
    <w:rsid w:val="001D5971"/>
    <w:rsid w:val="001E22CF"/>
    <w:rsid w:val="001E3553"/>
    <w:rsid w:val="001E68AB"/>
    <w:rsid w:val="001E6E76"/>
    <w:rsid w:val="001E7BCA"/>
    <w:rsid w:val="001F4317"/>
    <w:rsid w:val="002002E6"/>
    <w:rsid w:val="00201CF8"/>
    <w:rsid w:val="00201EA5"/>
    <w:rsid w:val="00203F4C"/>
    <w:rsid w:val="002126C3"/>
    <w:rsid w:val="00217B82"/>
    <w:rsid w:val="00220AB4"/>
    <w:rsid w:val="00222F31"/>
    <w:rsid w:val="002257A8"/>
    <w:rsid w:val="002274D2"/>
    <w:rsid w:val="00237A07"/>
    <w:rsid w:val="0024050A"/>
    <w:rsid w:val="002553D8"/>
    <w:rsid w:val="00255D30"/>
    <w:rsid w:val="00264673"/>
    <w:rsid w:val="00272245"/>
    <w:rsid w:val="002724E5"/>
    <w:rsid w:val="00272FCA"/>
    <w:rsid w:val="0028461F"/>
    <w:rsid w:val="002875A5"/>
    <w:rsid w:val="00293419"/>
    <w:rsid w:val="002A30F8"/>
    <w:rsid w:val="002A6965"/>
    <w:rsid w:val="002B7D02"/>
    <w:rsid w:val="002C5428"/>
    <w:rsid w:val="002C5AB6"/>
    <w:rsid w:val="002C66EE"/>
    <w:rsid w:val="002C76F3"/>
    <w:rsid w:val="002D14BE"/>
    <w:rsid w:val="002D3D66"/>
    <w:rsid w:val="002E1A2C"/>
    <w:rsid w:val="002E7259"/>
    <w:rsid w:val="002E7409"/>
    <w:rsid w:val="002F5DB5"/>
    <w:rsid w:val="002F6DC4"/>
    <w:rsid w:val="00301771"/>
    <w:rsid w:val="00303CBA"/>
    <w:rsid w:val="00304A2E"/>
    <w:rsid w:val="0031047A"/>
    <w:rsid w:val="003141A6"/>
    <w:rsid w:val="00321537"/>
    <w:rsid w:val="00321B56"/>
    <w:rsid w:val="003233B3"/>
    <w:rsid w:val="003248EF"/>
    <w:rsid w:val="00324BFA"/>
    <w:rsid w:val="003253E6"/>
    <w:rsid w:val="0032681D"/>
    <w:rsid w:val="00330F28"/>
    <w:rsid w:val="00333A47"/>
    <w:rsid w:val="00337A7B"/>
    <w:rsid w:val="003401B3"/>
    <w:rsid w:val="003425AE"/>
    <w:rsid w:val="00344FA3"/>
    <w:rsid w:val="003501F5"/>
    <w:rsid w:val="0035515D"/>
    <w:rsid w:val="00355DCC"/>
    <w:rsid w:val="00361917"/>
    <w:rsid w:val="003647C5"/>
    <w:rsid w:val="00364CBF"/>
    <w:rsid w:val="00366ABF"/>
    <w:rsid w:val="003678CE"/>
    <w:rsid w:val="00370B9A"/>
    <w:rsid w:val="00372B8D"/>
    <w:rsid w:val="00375B27"/>
    <w:rsid w:val="003816E5"/>
    <w:rsid w:val="0038304F"/>
    <w:rsid w:val="0039178C"/>
    <w:rsid w:val="0039230E"/>
    <w:rsid w:val="003950AC"/>
    <w:rsid w:val="003A174E"/>
    <w:rsid w:val="003A3025"/>
    <w:rsid w:val="003A3653"/>
    <w:rsid w:val="003A4DEB"/>
    <w:rsid w:val="003A530F"/>
    <w:rsid w:val="003A5E6C"/>
    <w:rsid w:val="003A6164"/>
    <w:rsid w:val="003B0740"/>
    <w:rsid w:val="003B4E2E"/>
    <w:rsid w:val="003B5FF2"/>
    <w:rsid w:val="003B69C5"/>
    <w:rsid w:val="003C1F1D"/>
    <w:rsid w:val="003C2DFF"/>
    <w:rsid w:val="003C3CCA"/>
    <w:rsid w:val="003E1584"/>
    <w:rsid w:val="003E1E29"/>
    <w:rsid w:val="003E58B3"/>
    <w:rsid w:val="003F114F"/>
    <w:rsid w:val="003F3ABB"/>
    <w:rsid w:val="003F5C85"/>
    <w:rsid w:val="003F7105"/>
    <w:rsid w:val="00405472"/>
    <w:rsid w:val="004169F6"/>
    <w:rsid w:val="004205DB"/>
    <w:rsid w:val="0042388E"/>
    <w:rsid w:val="004276E1"/>
    <w:rsid w:val="00431494"/>
    <w:rsid w:val="004452D2"/>
    <w:rsid w:val="00451987"/>
    <w:rsid w:val="00452D9A"/>
    <w:rsid w:val="004531F9"/>
    <w:rsid w:val="00462F5C"/>
    <w:rsid w:val="004644D6"/>
    <w:rsid w:val="00464824"/>
    <w:rsid w:val="00466428"/>
    <w:rsid w:val="004744AB"/>
    <w:rsid w:val="004823CE"/>
    <w:rsid w:val="00483716"/>
    <w:rsid w:val="0048451C"/>
    <w:rsid w:val="00484743"/>
    <w:rsid w:val="0048645E"/>
    <w:rsid w:val="004939D9"/>
    <w:rsid w:val="004C1711"/>
    <w:rsid w:val="004C6BEE"/>
    <w:rsid w:val="004C7323"/>
    <w:rsid w:val="004D149C"/>
    <w:rsid w:val="004D3161"/>
    <w:rsid w:val="004D32A9"/>
    <w:rsid w:val="004D4942"/>
    <w:rsid w:val="004D74FE"/>
    <w:rsid w:val="004D7F6F"/>
    <w:rsid w:val="004F450B"/>
    <w:rsid w:val="004F52AC"/>
    <w:rsid w:val="00500F5A"/>
    <w:rsid w:val="00511B04"/>
    <w:rsid w:val="00525C26"/>
    <w:rsid w:val="00526FC8"/>
    <w:rsid w:val="00527920"/>
    <w:rsid w:val="005322E6"/>
    <w:rsid w:val="0053284D"/>
    <w:rsid w:val="00533BD2"/>
    <w:rsid w:val="0053593D"/>
    <w:rsid w:val="00540450"/>
    <w:rsid w:val="00551291"/>
    <w:rsid w:val="00552287"/>
    <w:rsid w:val="00552979"/>
    <w:rsid w:val="00555ACF"/>
    <w:rsid w:val="0057236F"/>
    <w:rsid w:val="005772A3"/>
    <w:rsid w:val="005811D9"/>
    <w:rsid w:val="005825B5"/>
    <w:rsid w:val="00585E9B"/>
    <w:rsid w:val="00587C8F"/>
    <w:rsid w:val="00587D6D"/>
    <w:rsid w:val="005900CE"/>
    <w:rsid w:val="005905CB"/>
    <w:rsid w:val="005955A7"/>
    <w:rsid w:val="00597AAC"/>
    <w:rsid w:val="005A784E"/>
    <w:rsid w:val="005B13AE"/>
    <w:rsid w:val="005B6BC8"/>
    <w:rsid w:val="005B7B46"/>
    <w:rsid w:val="005C32F5"/>
    <w:rsid w:val="005C7EA9"/>
    <w:rsid w:val="005D09D1"/>
    <w:rsid w:val="005E3F66"/>
    <w:rsid w:val="005F3972"/>
    <w:rsid w:val="005F6777"/>
    <w:rsid w:val="00601089"/>
    <w:rsid w:val="00606C3B"/>
    <w:rsid w:val="00607301"/>
    <w:rsid w:val="00615A74"/>
    <w:rsid w:val="00621B94"/>
    <w:rsid w:val="00622E13"/>
    <w:rsid w:val="00630991"/>
    <w:rsid w:val="00630DC0"/>
    <w:rsid w:val="006311FB"/>
    <w:rsid w:val="00632E08"/>
    <w:rsid w:val="0063574E"/>
    <w:rsid w:val="00642F47"/>
    <w:rsid w:val="0065239E"/>
    <w:rsid w:val="006666A8"/>
    <w:rsid w:val="00674368"/>
    <w:rsid w:val="006747B0"/>
    <w:rsid w:val="006961E4"/>
    <w:rsid w:val="006967B1"/>
    <w:rsid w:val="006A550B"/>
    <w:rsid w:val="006A6657"/>
    <w:rsid w:val="006A7314"/>
    <w:rsid w:val="006C0977"/>
    <w:rsid w:val="006D32B8"/>
    <w:rsid w:val="006D568E"/>
    <w:rsid w:val="006E1B13"/>
    <w:rsid w:val="006E21BB"/>
    <w:rsid w:val="006E2F33"/>
    <w:rsid w:val="006E30C3"/>
    <w:rsid w:val="006E51E0"/>
    <w:rsid w:val="006E72E1"/>
    <w:rsid w:val="006F4FDA"/>
    <w:rsid w:val="006F588C"/>
    <w:rsid w:val="006F6D8E"/>
    <w:rsid w:val="006F7855"/>
    <w:rsid w:val="00700151"/>
    <w:rsid w:val="007058FA"/>
    <w:rsid w:val="00705985"/>
    <w:rsid w:val="00713293"/>
    <w:rsid w:val="00716AF4"/>
    <w:rsid w:val="00717D51"/>
    <w:rsid w:val="00720015"/>
    <w:rsid w:val="007241CC"/>
    <w:rsid w:val="007308C6"/>
    <w:rsid w:val="00732408"/>
    <w:rsid w:val="00735552"/>
    <w:rsid w:val="00735F7F"/>
    <w:rsid w:val="007509A0"/>
    <w:rsid w:val="007509A8"/>
    <w:rsid w:val="00752877"/>
    <w:rsid w:val="00752A06"/>
    <w:rsid w:val="00756722"/>
    <w:rsid w:val="00760C8F"/>
    <w:rsid w:val="00765E6E"/>
    <w:rsid w:val="00772DCF"/>
    <w:rsid w:val="00776960"/>
    <w:rsid w:val="00777563"/>
    <w:rsid w:val="00780BC4"/>
    <w:rsid w:val="007825DE"/>
    <w:rsid w:val="00782844"/>
    <w:rsid w:val="00784D0A"/>
    <w:rsid w:val="007966A7"/>
    <w:rsid w:val="007A0272"/>
    <w:rsid w:val="007A5ED9"/>
    <w:rsid w:val="007A6055"/>
    <w:rsid w:val="007B124E"/>
    <w:rsid w:val="007B1A38"/>
    <w:rsid w:val="007B2648"/>
    <w:rsid w:val="007B2D35"/>
    <w:rsid w:val="007C4EFE"/>
    <w:rsid w:val="007D1B22"/>
    <w:rsid w:val="007D2C98"/>
    <w:rsid w:val="007D55FC"/>
    <w:rsid w:val="007D5862"/>
    <w:rsid w:val="007D7942"/>
    <w:rsid w:val="007E22C9"/>
    <w:rsid w:val="007E56EB"/>
    <w:rsid w:val="007E6D42"/>
    <w:rsid w:val="007F0F96"/>
    <w:rsid w:val="007F1546"/>
    <w:rsid w:val="007F3352"/>
    <w:rsid w:val="007F3672"/>
    <w:rsid w:val="007F7C78"/>
    <w:rsid w:val="008100B7"/>
    <w:rsid w:val="008121BA"/>
    <w:rsid w:val="00823889"/>
    <w:rsid w:val="0082441A"/>
    <w:rsid w:val="00827C15"/>
    <w:rsid w:val="00833856"/>
    <w:rsid w:val="00840339"/>
    <w:rsid w:val="00840C82"/>
    <w:rsid w:val="00841A01"/>
    <w:rsid w:val="00841B70"/>
    <w:rsid w:val="008431F4"/>
    <w:rsid w:val="0084405C"/>
    <w:rsid w:val="0084491F"/>
    <w:rsid w:val="00844B04"/>
    <w:rsid w:val="0085238E"/>
    <w:rsid w:val="00854388"/>
    <w:rsid w:val="00861B73"/>
    <w:rsid w:val="00870A48"/>
    <w:rsid w:val="008731D6"/>
    <w:rsid w:val="00881B7A"/>
    <w:rsid w:val="00881F82"/>
    <w:rsid w:val="00883395"/>
    <w:rsid w:val="008902D0"/>
    <w:rsid w:val="0089377D"/>
    <w:rsid w:val="008945FF"/>
    <w:rsid w:val="00894725"/>
    <w:rsid w:val="00896F7A"/>
    <w:rsid w:val="008A3BF1"/>
    <w:rsid w:val="008A481F"/>
    <w:rsid w:val="008A77BA"/>
    <w:rsid w:val="008B1798"/>
    <w:rsid w:val="008B3BA6"/>
    <w:rsid w:val="008C21F7"/>
    <w:rsid w:val="008C3F41"/>
    <w:rsid w:val="008C42BF"/>
    <w:rsid w:val="008D238F"/>
    <w:rsid w:val="008D2AEC"/>
    <w:rsid w:val="008D494B"/>
    <w:rsid w:val="008E1DB4"/>
    <w:rsid w:val="008E3918"/>
    <w:rsid w:val="008E5141"/>
    <w:rsid w:val="008F4EE7"/>
    <w:rsid w:val="008F67B2"/>
    <w:rsid w:val="00904F76"/>
    <w:rsid w:val="0091284B"/>
    <w:rsid w:val="00914CAF"/>
    <w:rsid w:val="0092041E"/>
    <w:rsid w:val="00920FFA"/>
    <w:rsid w:val="00921D88"/>
    <w:rsid w:val="0092402C"/>
    <w:rsid w:val="00924DBD"/>
    <w:rsid w:val="00927E1D"/>
    <w:rsid w:val="00930940"/>
    <w:rsid w:val="009322AA"/>
    <w:rsid w:val="0093586C"/>
    <w:rsid w:val="009360E0"/>
    <w:rsid w:val="00941F94"/>
    <w:rsid w:val="00942B1A"/>
    <w:rsid w:val="00951C7C"/>
    <w:rsid w:val="00952515"/>
    <w:rsid w:val="009542EE"/>
    <w:rsid w:val="00957C5F"/>
    <w:rsid w:val="009604C9"/>
    <w:rsid w:val="00962BBB"/>
    <w:rsid w:val="00963795"/>
    <w:rsid w:val="00965A81"/>
    <w:rsid w:val="0096777D"/>
    <w:rsid w:val="00970494"/>
    <w:rsid w:val="00974202"/>
    <w:rsid w:val="00974ED2"/>
    <w:rsid w:val="009777CC"/>
    <w:rsid w:val="00990B33"/>
    <w:rsid w:val="009933D1"/>
    <w:rsid w:val="009957A6"/>
    <w:rsid w:val="009957DE"/>
    <w:rsid w:val="00996FCB"/>
    <w:rsid w:val="009A384C"/>
    <w:rsid w:val="009B17BE"/>
    <w:rsid w:val="009B362F"/>
    <w:rsid w:val="009C1D14"/>
    <w:rsid w:val="009C3FCE"/>
    <w:rsid w:val="009D04EC"/>
    <w:rsid w:val="009D6E5E"/>
    <w:rsid w:val="009E08EA"/>
    <w:rsid w:val="009E1823"/>
    <w:rsid w:val="009E3DB6"/>
    <w:rsid w:val="009E4134"/>
    <w:rsid w:val="009F1EF6"/>
    <w:rsid w:val="009F5E86"/>
    <w:rsid w:val="009F7171"/>
    <w:rsid w:val="00A03B0B"/>
    <w:rsid w:val="00A1003F"/>
    <w:rsid w:val="00A12A94"/>
    <w:rsid w:val="00A13FE6"/>
    <w:rsid w:val="00A20020"/>
    <w:rsid w:val="00A210E5"/>
    <w:rsid w:val="00A21544"/>
    <w:rsid w:val="00A2427D"/>
    <w:rsid w:val="00A30237"/>
    <w:rsid w:val="00A31A68"/>
    <w:rsid w:val="00A322C6"/>
    <w:rsid w:val="00A370EF"/>
    <w:rsid w:val="00A37880"/>
    <w:rsid w:val="00A408C7"/>
    <w:rsid w:val="00A415DE"/>
    <w:rsid w:val="00A44F0B"/>
    <w:rsid w:val="00A45D2C"/>
    <w:rsid w:val="00A56C24"/>
    <w:rsid w:val="00A5771F"/>
    <w:rsid w:val="00A83BFD"/>
    <w:rsid w:val="00A85AA2"/>
    <w:rsid w:val="00A91D50"/>
    <w:rsid w:val="00A92453"/>
    <w:rsid w:val="00A92869"/>
    <w:rsid w:val="00AA1719"/>
    <w:rsid w:val="00AA77D9"/>
    <w:rsid w:val="00AB137D"/>
    <w:rsid w:val="00AB336B"/>
    <w:rsid w:val="00AB46C7"/>
    <w:rsid w:val="00AB6105"/>
    <w:rsid w:val="00AB75BA"/>
    <w:rsid w:val="00AB768D"/>
    <w:rsid w:val="00AC1264"/>
    <w:rsid w:val="00AC25F0"/>
    <w:rsid w:val="00AC384B"/>
    <w:rsid w:val="00AC49E4"/>
    <w:rsid w:val="00AC6244"/>
    <w:rsid w:val="00AC7637"/>
    <w:rsid w:val="00AD07F6"/>
    <w:rsid w:val="00AD3B28"/>
    <w:rsid w:val="00AD60EF"/>
    <w:rsid w:val="00AD79A3"/>
    <w:rsid w:val="00AE1CF5"/>
    <w:rsid w:val="00AE35A5"/>
    <w:rsid w:val="00AE4804"/>
    <w:rsid w:val="00AE4E14"/>
    <w:rsid w:val="00AE5DE3"/>
    <w:rsid w:val="00AE64B7"/>
    <w:rsid w:val="00AF2C2F"/>
    <w:rsid w:val="00AF459A"/>
    <w:rsid w:val="00AF5172"/>
    <w:rsid w:val="00B04CE6"/>
    <w:rsid w:val="00B06571"/>
    <w:rsid w:val="00B1045C"/>
    <w:rsid w:val="00B10BE7"/>
    <w:rsid w:val="00B1121C"/>
    <w:rsid w:val="00B14142"/>
    <w:rsid w:val="00B225C9"/>
    <w:rsid w:val="00B23EBD"/>
    <w:rsid w:val="00B24E3F"/>
    <w:rsid w:val="00B272F4"/>
    <w:rsid w:val="00B347CE"/>
    <w:rsid w:val="00B35ACD"/>
    <w:rsid w:val="00B36AC6"/>
    <w:rsid w:val="00B40F81"/>
    <w:rsid w:val="00B4109A"/>
    <w:rsid w:val="00B4548E"/>
    <w:rsid w:val="00B52A6A"/>
    <w:rsid w:val="00B53434"/>
    <w:rsid w:val="00B5590F"/>
    <w:rsid w:val="00B564BF"/>
    <w:rsid w:val="00B564D2"/>
    <w:rsid w:val="00B60629"/>
    <w:rsid w:val="00B65506"/>
    <w:rsid w:val="00B71D9C"/>
    <w:rsid w:val="00B77EBB"/>
    <w:rsid w:val="00B8217C"/>
    <w:rsid w:val="00B84D6C"/>
    <w:rsid w:val="00B94E3B"/>
    <w:rsid w:val="00B9525E"/>
    <w:rsid w:val="00BA2725"/>
    <w:rsid w:val="00BA798B"/>
    <w:rsid w:val="00BB2BBD"/>
    <w:rsid w:val="00BB3D5C"/>
    <w:rsid w:val="00BB44DE"/>
    <w:rsid w:val="00BB4ABD"/>
    <w:rsid w:val="00BB671C"/>
    <w:rsid w:val="00BC063C"/>
    <w:rsid w:val="00BC4CD4"/>
    <w:rsid w:val="00BD4001"/>
    <w:rsid w:val="00BD4164"/>
    <w:rsid w:val="00BE085A"/>
    <w:rsid w:val="00BE425C"/>
    <w:rsid w:val="00BE6949"/>
    <w:rsid w:val="00BF07B7"/>
    <w:rsid w:val="00C0361D"/>
    <w:rsid w:val="00C07973"/>
    <w:rsid w:val="00C16959"/>
    <w:rsid w:val="00C2517A"/>
    <w:rsid w:val="00C25D87"/>
    <w:rsid w:val="00C269AC"/>
    <w:rsid w:val="00C32F5D"/>
    <w:rsid w:val="00C33FA1"/>
    <w:rsid w:val="00C34270"/>
    <w:rsid w:val="00C404A5"/>
    <w:rsid w:val="00C40AF1"/>
    <w:rsid w:val="00C432BE"/>
    <w:rsid w:val="00C50DAC"/>
    <w:rsid w:val="00C50ECD"/>
    <w:rsid w:val="00C51EF9"/>
    <w:rsid w:val="00C64115"/>
    <w:rsid w:val="00C76A2F"/>
    <w:rsid w:val="00C82C19"/>
    <w:rsid w:val="00C86D32"/>
    <w:rsid w:val="00C92046"/>
    <w:rsid w:val="00C939A5"/>
    <w:rsid w:val="00CA1768"/>
    <w:rsid w:val="00CA2E16"/>
    <w:rsid w:val="00CA403A"/>
    <w:rsid w:val="00CB5273"/>
    <w:rsid w:val="00CC4380"/>
    <w:rsid w:val="00CC452D"/>
    <w:rsid w:val="00CD08B7"/>
    <w:rsid w:val="00CD361D"/>
    <w:rsid w:val="00CD6512"/>
    <w:rsid w:val="00CD7FBB"/>
    <w:rsid w:val="00CE166C"/>
    <w:rsid w:val="00CE189B"/>
    <w:rsid w:val="00CE589C"/>
    <w:rsid w:val="00CE6273"/>
    <w:rsid w:val="00CE6B4C"/>
    <w:rsid w:val="00CF0405"/>
    <w:rsid w:val="00CF07C7"/>
    <w:rsid w:val="00D024FA"/>
    <w:rsid w:val="00D15F10"/>
    <w:rsid w:val="00D22949"/>
    <w:rsid w:val="00D244B5"/>
    <w:rsid w:val="00D30E17"/>
    <w:rsid w:val="00D32375"/>
    <w:rsid w:val="00D32629"/>
    <w:rsid w:val="00D33077"/>
    <w:rsid w:val="00D34803"/>
    <w:rsid w:val="00D35AC6"/>
    <w:rsid w:val="00D45770"/>
    <w:rsid w:val="00D46F7F"/>
    <w:rsid w:val="00D47A4E"/>
    <w:rsid w:val="00D47AC4"/>
    <w:rsid w:val="00D53BF4"/>
    <w:rsid w:val="00D541D5"/>
    <w:rsid w:val="00D57034"/>
    <w:rsid w:val="00D57489"/>
    <w:rsid w:val="00D6051A"/>
    <w:rsid w:val="00D609FE"/>
    <w:rsid w:val="00D60CAF"/>
    <w:rsid w:val="00D652C2"/>
    <w:rsid w:val="00D66633"/>
    <w:rsid w:val="00D6724C"/>
    <w:rsid w:val="00D726C9"/>
    <w:rsid w:val="00D75D75"/>
    <w:rsid w:val="00D8058A"/>
    <w:rsid w:val="00D816C1"/>
    <w:rsid w:val="00D84484"/>
    <w:rsid w:val="00D847FB"/>
    <w:rsid w:val="00D86242"/>
    <w:rsid w:val="00D86B00"/>
    <w:rsid w:val="00D8761C"/>
    <w:rsid w:val="00D87E15"/>
    <w:rsid w:val="00D91AE0"/>
    <w:rsid w:val="00D92880"/>
    <w:rsid w:val="00DA31F6"/>
    <w:rsid w:val="00DA534D"/>
    <w:rsid w:val="00DA6811"/>
    <w:rsid w:val="00DA6CE2"/>
    <w:rsid w:val="00DB18EA"/>
    <w:rsid w:val="00DB3E91"/>
    <w:rsid w:val="00DC4C25"/>
    <w:rsid w:val="00DC5ED1"/>
    <w:rsid w:val="00DD1167"/>
    <w:rsid w:val="00DD1667"/>
    <w:rsid w:val="00DD2499"/>
    <w:rsid w:val="00DD7975"/>
    <w:rsid w:val="00DD7A93"/>
    <w:rsid w:val="00DD7FCE"/>
    <w:rsid w:val="00DE75B0"/>
    <w:rsid w:val="00DF14D9"/>
    <w:rsid w:val="00DF359C"/>
    <w:rsid w:val="00E050A3"/>
    <w:rsid w:val="00E05B7C"/>
    <w:rsid w:val="00E10943"/>
    <w:rsid w:val="00E16277"/>
    <w:rsid w:val="00E16719"/>
    <w:rsid w:val="00E20632"/>
    <w:rsid w:val="00E240A1"/>
    <w:rsid w:val="00E27239"/>
    <w:rsid w:val="00E279E5"/>
    <w:rsid w:val="00E30C59"/>
    <w:rsid w:val="00E333ED"/>
    <w:rsid w:val="00E370D4"/>
    <w:rsid w:val="00E377A3"/>
    <w:rsid w:val="00E4066C"/>
    <w:rsid w:val="00E410BD"/>
    <w:rsid w:val="00E42E47"/>
    <w:rsid w:val="00E45A93"/>
    <w:rsid w:val="00E45D5B"/>
    <w:rsid w:val="00E4739E"/>
    <w:rsid w:val="00E50B0F"/>
    <w:rsid w:val="00E53377"/>
    <w:rsid w:val="00E559B4"/>
    <w:rsid w:val="00E65FD2"/>
    <w:rsid w:val="00E74037"/>
    <w:rsid w:val="00E80A72"/>
    <w:rsid w:val="00E835A0"/>
    <w:rsid w:val="00EA48C0"/>
    <w:rsid w:val="00EA6B39"/>
    <w:rsid w:val="00EB0B54"/>
    <w:rsid w:val="00EB2C94"/>
    <w:rsid w:val="00EB3865"/>
    <w:rsid w:val="00EB3A36"/>
    <w:rsid w:val="00EB3E1B"/>
    <w:rsid w:val="00EB5732"/>
    <w:rsid w:val="00EB5BCC"/>
    <w:rsid w:val="00EC181C"/>
    <w:rsid w:val="00EC1F59"/>
    <w:rsid w:val="00EC3DED"/>
    <w:rsid w:val="00EC6EA0"/>
    <w:rsid w:val="00ED2CF1"/>
    <w:rsid w:val="00ED4113"/>
    <w:rsid w:val="00ED4FDC"/>
    <w:rsid w:val="00EE0EF1"/>
    <w:rsid w:val="00EE1DF3"/>
    <w:rsid w:val="00EE295A"/>
    <w:rsid w:val="00EF242B"/>
    <w:rsid w:val="00F052B1"/>
    <w:rsid w:val="00F05799"/>
    <w:rsid w:val="00F10BC9"/>
    <w:rsid w:val="00F124AF"/>
    <w:rsid w:val="00F22A6E"/>
    <w:rsid w:val="00F22E7B"/>
    <w:rsid w:val="00F23968"/>
    <w:rsid w:val="00F27771"/>
    <w:rsid w:val="00F342CC"/>
    <w:rsid w:val="00F36FDF"/>
    <w:rsid w:val="00F3741B"/>
    <w:rsid w:val="00F37B05"/>
    <w:rsid w:val="00F45851"/>
    <w:rsid w:val="00F535ED"/>
    <w:rsid w:val="00F5409B"/>
    <w:rsid w:val="00F638E7"/>
    <w:rsid w:val="00F65673"/>
    <w:rsid w:val="00F66554"/>
    <w:rsid w:val="00F705B7"/>
    <w:rsid w:val="00F76F32"/>
    <w:rsid w:val="00F76F86"/>
    <w:rsid w:val="00F77652"/>
    <w:rsid w:val="00F831E6"/>
    <w:rsid w:val="00F8411C"/>
    <w:rsid w:val="00F94964"/>
    <w:rsid w:val="00F95320"/>
    <w:rsid w:val="00F95D48"/>
    <w:rsid w:val="00FA2EFB"/>
    <w:rsid w:val="00FA60A4"/>
    <w:rsid w:val="00FA667C"/>
    <w:rsid w:val="00FA756F"/>
    <w:rsid w:val="00FA7E52"/>
    <w:rsid w:val="00FB0609"/>
    <w:rsid w:val="00FB686B"/>
    <w:rsid w:val="00FB72D1"/>
    <w:rsid w:val="00FB7539"/>
    <w:rsid w:val="00FD524A"/>
    <w:rsid w:val="00FE6B0E"/>
    <w:rsid w:val="00FF2CD9"/>
    <w:rsid w:val="00FF5025"/>
    <w:rsid w:val="00FF5F70"/>
    <w:rsid w:val="00FF7CB4"/>
    <w:rsid w:val="011D3798"/>
    <w:rsid w:val="01C02CC2"/>
    <w:rsid w:val="01D76801"/>
    <w:rsid w:val="02542582"/>
    <w:rsid w:val="02931024"/>
    <w:rsid w:val="029D2B97"/>
    <w:rsid w:val="03534BE6"/>
    <w:rsid w:val="03710B6A"/>
    <w:rsid w:val="03F90402"/>
    <w:rsid w:val="047444ED"/>
    <w:rsid w:val="04CE785F"/>
    <w:rsid w:val="04D47091"/>
    <w:rsid w:val="050B13BE"/>
    <w:rsid w:val="05767FE5"/>
    <w:rsid w:val="05B101F2"/>
    <w:rsid w:val="065A3E97"/>
    <w:rsid w:val="0685645D"/>
    <w:rsid w:val="06A1556B"/>
    <w:rsid w:val="06CA44E9"/>
    <w:rsid w:val="06E14453"/>
    <w:rsid w:val="070322BC"/>
    <w:rsid w:val="07EE60C0"/>
    <w:rsid w:val="09A06CA9"/>
    <w:rsid w:val="0B016D79"/>
    <w:rsid w:val="0B690D19"/>
    <w:rsid w:val="0BE462F8"/>
    <w:rsid w:val="0CF37BF8"/>
    <w:rsid w:val="0E080224"/>
    <w:rsid w:val="0E59403D"/>
    <w:rsid w:val="0EA352CF"/>
    <w:rsid w:val="0F76113A"/>
    <w:rsid w:val="0F960C6E"/>
    <w:rsid w:val="10157FAD"/>
    <w:rsid w:val="101C795A"/>
    <w:rsid w:val="10EA1DED"/>
    <w:rsid w:val="10EE5296"/>
    <w:rsid w:val="112919FA"/>
    <w:rsid w:val="11B74948"/>
    <w:rsid w:val="11BA2F5E"/>
    <w:rsid w:val="11FF0BC3"/>
    <w:rsid w:val="11FF630D"/>
    <w:rsid w:val="120803A7"/>
    <w:rsid w:val="121F4152"/>
    <w:rsid w:val="12366A76"/>
    <w:rsid w:val="127B6116"/>
    <w:rsid w:val="128E409D"/>
    <w:rsid w:val="12D47FCE"/>
    <w:rsid w:val="1317102E"/>
    <w:rsid w:val="132B1EEB"/>
    <w:rsid w:val="13552F73"/>
    <w:rsid w:val="13A73960"/>
    <w:rsid w:val="13FD0C51"/>
    <w:rsid w:val="14531235"/>
    <w:rsid w:val="158F296B"/>
    <w:rsid w:val="169E5FF6"/>
    <w:rsid w:val="1703240B"/>
    <w:rsid w:val="172D402C"/>
    <w:rsid w:val="17AC3CFF"/>
    <w:rsid w:val="184470D9"/>
    <w:rsid w:val="188602DE"/>
    <w:rsid w:val="189803BE"/>
    <w:rsid w:val="18E17A71"/>
    <w:rsid w:val="19361EF2"/>
    <w:rsid w:val="19C32FD7"/>
    <w:rsid w:val="19F441A8"/>
    <w:rsid w:val="1AAC7C9C"/>
    <w:rsid w:val="1AE7232B"/>
    <w:rsid w:val="1B931E17"/>
    <w:rsid w:val="1C2C5B06"/>
    <w:rsid w:val="1D00579E"/>
    <w:rsid w:val="1D856B72"/>
    <w:rsid w:val="1DE43386"/>
    <w:rsid w:val="1E60719D"/>
    <w:rsid w:val="1E8106EE"/>
    <w:rsid w:val="1F087B73"/>
    <w:rsid w:val="1FA25B50"/>
    <w:rsid w:val="1FCA5CB3"/>
    <w:rsid w:val="20586E04"/>
    <w:rsid w:val="20634EFC"/>
    <w:rsid w:val="21246CF7"/>
    <w:rsid w:val="225721F1"/>
    <w:rsid w:val="2281018A"/>
    <w:rsid w:val="23053B70"/>
    <w:rsid w:val="231A0E65"/>
    <w:rsid w:val="24911419"/>
    <w:rsid w:val="257B63DF"/>
    <w:rsid w:val="25A053AB"/>
    <w:rsid w:val="26CF01CE"/>
    <w:rsid w:val="26FD0212"/>
    <w:rsid w:val="271C380B"/>
    <w:rsid w:val="274A0B2C"/>
    <w:rsid w:val="276E2FBE"/>
    <w:rsid w:val="28D863A4"/>
    <w:rsid w:val="2A241DF0"/>
    <w:rsid w:val="2A746552"/>
    <w:rsid w:val="2AB13115"/>
    <w:rsid w:val="2C397F00"/>
    <w:rsid w:val="2C8C103D"/>
    <w:rsid w:val="2D553E6C"/>
    <w:rsid w:val="2D6F6E8E"/>
    <w:rsid w:val="2EED61DE"/>
    <w:rsid w:val="2EFB1AC5"/>
    <w:rsid w:val="2FFA3451"/>
    <w:rsid w:val="304E4117"/>
    <w:rsid w:val="30523FF6"/>
    <w:rsid w:val="30575692"/>
    <w:rsid w:val="30B001DF"/>
    <w:rsid w:val="30DC7076"/>
    <w:rsid w:val="31CF2E0D"/>
    <w:rsid w:val="33085DCA"/>
    <w:rsid w:val="33721AC2"/>
    <w:rsid w:val="34206848"/>
    <w:rsid w:val="349B7C5B"/>
    <w:rsid w:val="379009FF"/>
    <w:rsid w:val="381A00C6"/>
    <w:rsid w:val="387069A9"/>
    <w:rsid w:val="39B86D8B"/>
    <w:rsid w:val="3B9929C6"/>
    <w:rsid w:val="3CB57E02"/>
    <w:rsid w:val="3CE01B4C"/>
    <w:rsid w:val="3DB10A27"/>
    <w:rsid w:val="3DFC0D3C"/>
    <w:rsid w:val="3E59255F"/>
    <w:rsid w:val="3E66303D"/>
    <w:rsid w:val="3F8F307E"/>
    <w:rsid w:val="3FD53216"/>
    <w:rsid w:val="405665AA"/>
    <w:rsid w:val="41585952"/>
    <w:rsid w:val="42757C4E"/>
    <w:rsid w:val="42A75CDA"/>
    <w:rsid w:val="437C7FBA"/>
    <w:rsid w:val="450C5920"/>
    <w:rsid w:val="45A747B7"/>
    <w:rsid w:val="47BB79BB"/>
    <w:rsid w:val="4A271742"/>
    <w:rsid w:val="4A954EC4"/>
    <w:rsid w:val="4AA84724"/>
    <w:rsid w:val="4AE43FD2"/>
    <w:rsid w:val="4B8B02A4"/>
    <w:rsid w:val="4CA56A10"/>
    <w:rsid w:val="4D5E32A4"/>
    <w:rsid w:val="4D805ACC"/>
    <w:rsid w:val="4EC35FFE"/>
    <w:rsid w:val="4F6B3D90"/>
    <w:rsid w:val="502170C1"/>
    <w:rsid w:val="50AB47CD"/>
    <w:rsid w:val="50BA7556"/>
    <w:rsid w:val="5172228D"/>
    <w:rsid w:val="528113AC"/>
    <w:rsid w:val="52C4710C"/>
    <w:rsid w:val="52F860CC"/>
    <w:rsid w:val="53620D22"/>
    <w:rsid w:val="53760220"/>
    <w:rsid w:val="53A74F12"/>
    <w:rsid w:val="546B2F91"/>
    <w:rsid w:val="54AD0293"/>
    <w:rsid w:val="5637761B"/>
    <w:rsid w:val="567442E9"/>
    <w:rsid w:val="56BE4B18"/>
    <w:rsid w:val="56FE64F3"/>
    <w:rsid w:val="574860EF"/>
    <w:rsid w:val="5A465DD8"/>
    <w:rsid w:val="5B1D5CBC"/>
    <w:rsid w:val="5B244269"/>
    <w:rsid w:val="5C337AC6"/>
    <w:rsid w:val="5C6227D4"/>
    <w:rsid w:val="5C6E2A22"/>
    <w:rsid w:val="5CF21E57"/>
    <w:rsid w:val="5D6022F9"/>
    <w:rsid w:val="5D847DA6"/>
    <w:rsid w:val="5DBA624A"/>
    <w:rsid w:val="5E572DFB"/>
    <w:rsid w:val="5E6E6667"/>
    <w:rsid w:val="5EA01A04"/>
    <w:rsid w:val="5EE822E1"/>
    <w:rsid w:val="5F415C64"/>
    <w:rsid w:val="5FAD0584"/>
    <w:rsid w:val="5FAF49B1"/>
    <w:rsid w:val="60304428"/>
    <w:rsid w:val="606939F7"/>
    <w:rsid w:val="606F04D1"/>
    <w:rsid w:val="60921C98"/>
    <w:rsid w:val="613C30D1"/>
    <w:rsid w:val="625C62EF"/>
    <w:rsid w:val="634D662A"/>
    <w:rsid w:val="646D1E0E"/>
    <w:rsid w:val="64B35BE4"/>
    <w:rsid w:val="65742079"/>
    <w:rsid w:val="67EC25BD"/>
    <w:rsid w:val="6A687B14"/>
    <w:rsid w:val="6ABE4120"/>
    <w:rsid w:val="6AFC756F"/>
    <w:rsid w:val="6B5174C4"/>
    <w:rsid w:val="6E7B6148"/>
    <w:rsid w:val="6F122545"/>
    <w:rsid w:val="6F9655BB"/>
    <w:rsid w:val="6FA12E8C"/>
    <w:rsid w:val="6FB664E4"/>
    <w:rsid w:val="6FBD666A"/>
    <w:rsid w:val="6FEB0B65"/>
    <w:rsid w:val="701E7C36"/>
    <w:rsid w:val="704A4B3F"/>
    <w:rsid w:val="705B4695"/>
    <w:rsid w:val="705F46A9"/>
    <w:rsid w:val="70D1040C"/>
    <w:rsid w:val="716206ED"/>
    <w:rsid w:val="716B3775"/>
    <w:rsid w:val="71A144DC"/>
    <w:rsid w:val="71EB72C5"/>
    <w:rsid w:val="72824092"/>
    <w:rsid w:val="72FB60F8"/>
    <w:rsid w:val="749E0363"/>
    <w:rsid w:val="764073FD"/>
    <w:rsid w:val="76496028"/>
    <w:rsid w:val="76774FF1"/>
    <w:rsid w:val="76E670AD"/>
    <w:rsid w:val="77176FB7"/>
    <w:rsid w:val="774C2C49"/>
    <w:rsid w:val="77902462"/>
    <w:rsid w:val="77E2042C"/>
    <w:rsid w:val="7912760D"/>
    <w:rsid w:val="795E2F71"/>
    <w:rsid w:val="7AE84DA2"/>
    <w:rsid w:val="7B341AFF"/>
    <w:rsid w:val="7B345E1C"/>
    <w:rsid w:val="7B3A5E91"/>
    <w:rsid w:val="7BA71459"/>
    <w:rsid w:val="7C1742E9"/>
    <w:rsid w:val="7C94235A"/>
    <w:rsid w:val="7CD2461A"/>
    <w:rsid w:val="7E82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0" w:semiHidden="0" w:name="HTML Acronym"/>
    <w:lsdException w:uiPriority="99" w:name="HTML Address"/>
    <w:lsdException w:qFormat="1" w:uiPriority="0" w:semiHidden="0" w:name="HTML Cite"/>
    <w:lsdException w:qFormat="1" w:unhideWhenUsed="0"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line="480" w:lineRule="auto"/>
      <w:ind w:left="100" w:leftChars="100" w:right="100" w:rightChars="100"/>
      <w:jc w:val="center"/>
      <w:outlineLvl w:val="0"/>
    </w:pPr>
    <w:rPr>
      <w:b/>
      <w:bCs/>
      <w:kern w:val="44"/>
      <w:sz w:val="32"/>
      <w:szCs w:val="44"/>
    </w:rPr>
  </w:style>
  <w:style w:type="paragraph" w:styleId="4">
    <w:name w:val="heading 2"/>
    <w:basedOn w:val="1"/>
    <w:next w:val="1"/>
    <w:link w:val="7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1"/>
    <w:qFormat/>
    <w:uiPriority w:val="0"/>
    <w:pPr>
      <w:keepNext/>
      <w:keepLines/>
      <w:spacing w:before="260" w:after="260" w:line="416" w:lineRule="auto"/>
      <w:outlineLvl w:val="2"/>
    </w:pPr>
    <w:rPr>
      <w:b/>
      <w:bCs/>
      <w:sz w:val="32"/>
      <w:szCs w:val="32"/>
    </w:rPr>
  </w:style>
  <w:style w:type="paragraph" w:styleId="6">
    <w:name w:val="heading 4"/>
    <w:basedOn w:val="1"/>
    <w:next w:val="1"/>
    <w:link w:val="7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73"/>
    <w:qFormat/>
    <w:uiPriority w:val="0"/>
    <w:pPr>
      <w:keepNext/>
      <w:keepLines/>
      <w:numPr>
        <w:ilvl w:val="4"/>
        <w:numId w:val="1"/>
      </w:numPr>
      <w:spacing w:before="280" w:after="290" w:line="376" w:lineRule="auto"/>
      <w:outlineLvl w:val="4"/>
    </w:pPr>
    <w:rPr>
      <w:b/>
      <w:sz w:val="28"/>
    </w:rPr>
  </w:style>
  <w:style w:type="paragraph" w:styleId="8">
    <w:name w:val="heading 6"/>
    <w:basedOn w:val="1"/>
    <w:next w:val="1"/>
    <w:link w:val="7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0"/>
    <w:link w:val="75"/>
    <w:qFormat/>
    <w:uiPriority w:val="0"/>
    <w:pPr>
      <w:keepNext/>
      <w:keepLines/>
      <w:numPr>
        <w:ilvl w:val="6"/>
        <w:numId w:val="1"/>
      </w:numPr>
      <w:spacing w:before="240" w:after="64" w:line="320" w:lineRule="auto"/>
      <w:outlineLvl w:val="6"/>
    </w:pPr>
    <w:rPr>
      <w:b/>
      <w:sz w:val="24"/>
    </w:rPr>
  </w:style>
  <w:style w:type="paragraph" w:styleId="11">
    <w:name w:val="heading 8"/>
    <w:basedOn w:val="1"/>
    <w:next w:val="10"/>
    <w:link w:val="7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0"/>
    <w:link w:val="77"/>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0"/>
    <w:unhideWhenUsed/>
    <w:qFormat/>
    <w:uiPriority w:val="99"/>
    <w:pPr>
      <w:spacing w:after="120"/>
    </w:pPr>
  </w:style>
  <w:style w:type="paragraph" w:styleId="10">
    <w:name w:val="Normal Indent"/>
    <w:basedOn w:val="1"/>
    <w:link w:val="199"/>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able of authorities"/>
    <w:basedOn w:val="1"/>
    <w:next w:val="1"/>
    <w:qFormat/>
    <w:uiPriority w:val="0"/>
    <w:pPr>
      <w:ind w:left="420" w:leftChars="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225"/>
    <w:qFormat/>
    <w:uiPriority w:val="0"/>
    <w:pPr>
      <w:spacing w:before="152" w:after="160"/>
    </w:pPr>
    <w:rPr>
      <w:rFonts w:ascii="Arial" w:hAnsi="Arial" w:eastAsia="黑体" w:cs="Arial"/>
      <w:sz w:val="20"/>
      <w:szCs w:val="20"/>
    </w:rPr>
  </w:style>
  <w:style w:type="paragraph" w:styleId="17">
    <w:name w:val="Document Map"/>
    <w:basedOn w:val="1"/>
    <w:link w:val="82"/>
    <w:semiHidden/>
    <w:qFormat/>
    <w:uiPriority w:val="99"/>
    <w:pPr>
      <w:shd w:val="clear" w:color="auto" w:fill="000080"/>
      <w:adjustRightInd w:val="0"/>
      <w:spacing w:line="312" w:lineRule="atLeast"/>
      <w:textAlignment w:val="baseline"/>
    </w:pPr>
    <w:rPr>
      <w:kern w:val="0"/>
      <w:szCs w:val="20"/>
    </w:rPr>
  </w:style>
  <w:style w:type="paragraph" w:styleId="18">
    <w:name w:val="annotation text"/>
    <w:basedOn w:val="1"/>
    <w:link w:val="78"/>
    <w:qFormat/>
    <w:uiPriority w:val="0"/>
    <w:pPr>
      <w:jc w:val="left"/>
    </w:pPr>
    <w:rPr>
      <w:rFonts w:ascii="Calibri" w:hAnsi="Calibri"/>
      <w:kern w:val="0"/>
      <w:sz w:val="20"/>
    </w:rPr>
  </w:style>
  <w:style w:type="paragraph" w:styleId="19">
    <w:name w:val="Salutation"/>
    <w:basedOn w:val="1"/>
    <w:next w:val="1"/>
    <w:link w:val="279"/>
    <w:qFormat/>
    <w:uiPriority w:val="99"/>
    <w:pPr>
      <w:widowControl/>
    </w:pPr>
    <w:rPr>
      <w:kern w:val="0"/>
      <w:sz w:val="20"/>
      <w:szCs w:val="20"/>
    </w:rPr>
  </w:style>
  <w:style w:type="paragraph" w:styleId="20">
    <w:name w:val="Body Text 3"/>
    <w:basedOn w:val="1"/>
    <w:link w:val="83"/>
    <w:qFormat/>
    <w:uiPriority w:val="0"/>
    <w:pPr>
      <w:spacing w:after="120"/>
    </w:pPr>
    <w:rPr>
      <w:sz w:val="16"/>
      <w:szCs w:val="16"/>
    </w:rPr>
  </w:style>
  <w:style w:type="paragraph" w:styleId="21">
    <w:name w:val="Body Text Indent"/>
    <w:basedOn w:val="1"/>
    <w:link w:val="8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3"/>
    <w:basedOn w:val="1"/>
    <w:next w:val="1"/>
    <w:qFormat/>
    <w:uiPriority w:val="39"/>
    <w:pPr>
      <w:spacing w:line="380" w:lineRule="exact"/>
      <w:ind w:left="400" w:leftChars="400"/>
    </w:pPr>
    <w:rPr>
      <w:rFonts w:eastAsia="黑体"/>
    </w:rPr>
  </w:style>
  <w:style w:type="paragraph" w:styleId="26">
    <w:name w:val="Plain Text"/>
    <w:basedOn w:val="1"/>
    <w:next w:val="27"/>
    <w:link w:val="85"/>
    <w:qFormat/>
    <w:uiPriority w:val="0"/>
    <w:rPr>
      <w:rFonts w:ascii="宋体" w:hAnsi="Courier New"/>
      <w:kern w:val="0"/>
      <w:sz w:val="20"/>
      <w:szCs w:val="21"/>
    </w:rPr>
  </w:style>
  <w:style w:type="paragraph" w:styleId="27">
    <w:name w:val="Date"/>
    <w:basedOn w:val="1"/>
    <w:next w:val="1"/>
    <w:link w:val="86"/>
    <w:qFormat/>
    <w:uiPriority w:val="99"/>
    <w:pPr>
      <w:ind w:left="100" w:leftChars="2500"/>
    </w:pPr>
    <w:rPr>
      <w:rFonts w:ascii="宋体" w:hAnsi="Courier New" w:cs="Courier New"/>
      <w:szCs w:val="21"/>
    </w:rPr>
  </w:style>
  <w:style w:type="paragraph" w:styleId="28">
    <w:name w:val="Body Text Indent 2"/>
    <w:basedOn w:val="1"/>
    <w:link w:val="87"/>
    <w:qFormat/>
    <w:uiPriority w:val="0"/>
    <w:pPr>
      <w:ind w:firstLine="630"/>
    </w:pPr>
    <w:rPr>
      <w:sz w:val="32"/>
      <w:szCs w:val="20"/>
    </w:rPr>
  </w:style>
  <w:style w:type="paragraph" w:styleId="29">
    <w:name w:val="Balloon Text"/>
    <w:basedOn w:val="1"/>
    <w:link w:val="88"/>
    <w:qFormat/>
    <w:uiPriority w:val="99"/>
    <w:rPr>
      <w:rFonts w:ascii="Calibri" w:hAnsi="Calibri"/>
      <w:kern w:val="0"/>
      <w:sz w:val="18"/>
      <w:szCs w:val="18"/>
    </w:rPr>
  </w:style>
  <w:style w:type="paragraph" w:styleId="30">
    <w:name w:val="footer"/>
    <w:basedOn w:val="1"/>
    <w:link w:val="89"/>
    <w:unhideWhenUsed/>
    <w:qFormat/>
    <w:uiPriority w:val="99"/>
    <w:pPr>
      <w:tabs>
        <w:tab w:val="center" w:pos="4153"/>
        <w:tab w:val="right" w:pos="8306"/>
      </w:tabs>
      <w:snapToGrid w:val="0"/>
      <w:jc w:val="left"/>
    </w:pPr>
    <w:rPr>
      <w:sz w:val="18"/>
      <w:szCs w:val="18"/>
    </w:rPr>
  </w:style>
  <w:style w:type="paragraph" w:styleId="31">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Subtitle"/>
    <w:basedOn w:val="1"/>
    <w:next w:val="1"/>
    <w:link w:val="302"/>
    <w:qFormat/>
    <w:uiPriority w:val="0"/>
    <w:pPr>
      <w:widowControl/>
      <w:spacing w:before="240" w:after="60"/>
      <w:ind w:left="420" w:hanging="420"/>
      <w:jc w:val="center"/>
      <w:outlineLvl w:val="1"/>
    </w:pPr>
    <w:rPr>
      <w:rFonts w:ascii="Cambria" w:hAnsi="Cambria"/>
      <w:kern w:val="0"/>
      <w:sz w:val="24"/>
      <w:lang w:eastAsia="en-US" w:bidi="en-US"/>
    </w:rPr>
  </w:style>
  <w:style w:type="paragraph" w:styleId="34">
    <w:name w:val="List"/>
    <w:basedOn w:val="1"/>
    <w:qFormat/>
    <w:uiPriority w:val="0"/>
    <w:pPr>
      <w:ind w:left="200" w:hanging="200" w:hangingChars="200"/>
    </w:pPr>
  </w:style>
  <w:style w:type="paragraph" w:styleId="35">
    <w:name w:val="footnote text"/>
    <w:basedOn w:val="1"/>
    <w:link w:val="259"/>
    <w:qFormat/>
    <w:uiPriority w:val="99"/>
    <w:pPr>
      <w:snapToGrid w:val="0"/>
      <w:jc w:val="left"/>
    </w:pPr>
    <w:rPr>
      <w:sz w:val="18"/>
      <w:szCs w:val="18"/>
    </w:rPr>
  </w:style>
  <w:style w:type="paragraph" w:styleId="36">
    <w:name w:val="List 5"/>
    <w:basedOn w:val="1"/>
    <w:qFormat/>
    <w:uiPriority w:val="0"/>
    <w:pPr>
      <w:ind w:left="2100" w:hanging="420"/>
    </w:pPr>
    <w:rPr>
      <w:szCs w:val="20"/>
    </w:rPr>
  </w:style>
  <w:style w:type="paragraph" w:styleId="37">
    <w:name w:val="Body Text Indent 3"/>
    <w:basedOn w:val="1"/>
    <w:link w:val="92"/>
    <w:qFormat/>
    <w:uiPriority w:val="99"/>
    <w:pPr>
      <w:spacing w:after="120"/>
      <w:ind w:left="420" w:leftChars="200"/>
    </w:pPr>
    <w:rPr>
      <w:sz w:val="16"/>
      <w:szCs w:val="16"/>
    </w:rPr>
  </w:style>
  <w:style w:type="paragraph" w:styleId="38">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9">
    <w:name w:val="Body Text 2"/>
    <w:basedOn w:val="1"/>
    <w:link w:val="93"/>
    <w:qFormat/>
    <w:uiPriority w:val="0"/>
    <w:pPr>
      <w:spacing w:after="120" w:line="480" w:lineRule="auto"/>
    </w:pPr>
  </w:style>
  <w:style w:type="paragraph" w:styleId="40">
    <w:name w:val="List 4"/>
    <w:basedOn w:val="1"/>
    <w:qFormat/>
    <w:uiPriority w:val="0"/>
    <w:pPr>
      <w:ind w:left="100" w:leftChars="600" w:hanging="200" w:hangingChars="200"/>
    </w:pPr>
  </w:style>
  <w:style w:type="paragraph" w:styleId="41">
    <w:name w:val="List Continue 2"/>
    <w:basedOn w:val="1"/>
    <w:qFormat/>
    <w:uiPriority w:val="0"/>
    <w:pPr>
      <w:spacing w:after="120"/>
      <w:ind w:left="840" w:leftChars="400"/>
    </w:pPr>
  </w:style>
  <w:style w:type="paragraph" w:styleId="42">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index 2"/>
    <w:basedOn w:val="1"/>
    <w:next w:val="1"/>
    <w:qFormat/>
    <w:uiPriority w:val="0"/>
    <w:pPr>
      <w:ind w:left="200" w:leftChars="200"/>
    </w:pPr>
  </w:style>
  <w:style w:type="paragraph" w:styleId="46">
    <w:name w:val="Title"/>
    <w:basedOn w:val="1"/>
    <w:link w:val="95"/>
    <w:qFormat/>
    <w:uiPriority w:val="10"/>
    <w:pPr>
      <w:jc w:val="center"/>
    </w:pPr>
    <w:rPr>
      <w:sz w:val="30"/>
    </w:rPr>
  </w:style>
  <w:style w:type="paragraph" w:styleId="47">
    <w:name w:val="annotation subject"/>
    <w:basedOn w:val="18"/>
    <w:next w:val="18"/>
    <w:link w:val="79"/>
    <w:qFormat/>
    <w:uiPriority w:val="99"/>
    <w:rPr>
      <w:b/>
      <w:bCs/>
    </w:rPr>
  </w:style>
  <w:style w:type="paragraph" w:styleId="48">
    <w:name w:val="Body Text First Indent"/>
    <w:basedOn w:val="2"/>
    <w:link w:val="81"/>
    <w:qFormat/>
    <w:uiPriority w:val="99"/>
    <w:pPr>
      <w:ind w:firstLine="420" w:firstLineChars="100"/>
    </w:pPr>
  </w:style>
  <w:style w:type="paragraph" w:styleId="49">
    <w:name w:val="Body Text First Indent 2"/>
    <w:basedOn w:val="21"/>
    <w:link w:val="90"/>
    <w:qFormat/>
    <w:uiPriority w:val="99"/>
    <w:pPr>
      <w:spacing w:after="120"/>
      <w:ind w:left="420" w:leftChars="200" w:firstLine="420" w:firstLineChars="200"/>
    </w:pPr>
    <w:rPr>
      <w:rFonts w:ascii="Times New Roman" w:eastAsia="宋体"/>
      <w:sz w:val="21"/>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rPr>
      <w:rFonts w:ascii="Tahoma" w:hAnsi="Tahoma"/>
      <w:sz w:val="24"/>
      <w:szCs w:val="20"/>
    </w:rPr>
  </w:style>
  <w:style w:type="character" w:styleId="55">
    <w:name w:val="FollowedHyperlink"/>
    <w:qFormat/>
    <w:uiPriority w:val="99"/>
    <w:rPr>
      <w:color w:val="800080"/>
      <w:u w:val="single"/>
    </w:rPr>
  </w:style>
  <w:style w:type="character" w:styleId="56">
    <w:name w:val="Emphasis"/>
    <w:qFormat/>
    <w:uiPriority w:val="0"/>
    <w:rPr>
      <w:color w:val="CC0033"/>
    </w:rPr>
  </w:style>
  <w:style w:type="character" w:styleId="57">
    <w:name w:val="line number"/>
    <w:qFormat/>
    <w:uiPriority w:val="0"/>
  </w:style>
  <w:style w:type="character" w:styleId="58">
    <w:name w:val="HTML Definition"/>
    <w:unhideWhenUsed/>
    <w:qFormat/>
    <w:uiPriority w:val="0"/>
    <w:rPr>
      <w:rFonts w:ascii="仿宋_GB2312" w:hAnsi="Times New Roman" w:eastAsia="仿宋_GB2312"/>
      <w:b/>
      <w:color w:val="auto"/>
    </w:rPr>
  </w:style>
  <w:style w:type="character" w:styleId="59">
    <w:name w:val="HTML Typewriter"/>
    <w:unhideWhenUsed/>
    <w:qFormat/>
    <w:uiPriority w:val="0"/>
    <w:rPr>
      <w:rFonts w:ascii="Courier New" w:hAnsi="Courier New" w:eastAsia="仿宋_GB2312" w:cs="Courier New"/>
      <w:b/>
      <w:color w:val="auto"/>
      <w:sz w:val="20"/>
    </w:rPr>
  </w:style>
  <w:style w:type="character" w:styleId="60">
    <w:name w:val="HTML Acronym"/>
    <w:unhideWhenUsed/>
    <w:qFormat/>
    <w:uiPriority w:val="0"/>
    <w:rPr>
      <w:rFonts w:ascii="仿宋_GB2312" w:hAnsi="Times New Roman" w:eastAsia="仿宋_GB2312"/>
      <w:b/>
      <w:color w:val="auto"/>
    </w:rPr>
  </w:style>
  <w:style w:type="character" w:styleId="61">
    <w:name w:val="HTML Variable"/>
    <w:unhideWhenUsed/>
    <w:qFormat/>
    <w:uiPriority w:val="0"/>
    <w:rPr>
      <w:rFonts w:ascii="仿宋_GB2312" w:hAnsi="Times New Roman" w:eastAsia="仿宋_GB2312"/>
      <w:b/>
      <w:color w:val="auto"/>
    </w:rPr>
  </w:style>
  <w:style w:type="character" w:styleId="62">
    <w:name w:val="Hyperlink"/>
    <w:qFormat/>
    <w:uiPriority w:val="99"/>
    <w:rPr>
      <w:color w:val="0000FF"/>
      <w:u w:val="single"/>
    </w:rPr>
  </w:style>
  <w:style w:type="character" w:styleId="63">
    <w:name w:val="HTML Code"/>
    <w:qFormat/>
    <w:uiPriority w:val="0"/>
    <w:rPr>
      <w:rFonts w:ascii="宋体" w:hAnsi="宋体" w:eastAsia="宋体" w:cs="宋体"/>
      <w:sz w:val="24"/>
      <w:szCs w:val="24"/>
    </w:rPr>
  </w:style>
  <w:style w:type="character" w:styleId="64">
    <w:name w:val="annotation reference"/>
    <w:qFormat/>
    <w:uiPriority w:val="0"/>
    <w:rPr>
      <w:sz w:val="21"/>
      <w:szCs w:val="21"/>
    </w:rPr>
  </w:style>
  <w:style w:type="character" w:styleId="65">
    <w:name w:val="HTML Cite"/>
    <w:unhideWhenUsed/>
    <w:qFormat/>
    <w:uiPriority w:val="0"/>
    <w:rPr>
      <w:rFonts w:ascii="仿宋_GB2312" w:hAnsi="Times New Roman" w:eastAsia="仿宋_GB2312"/>
      <w:b/>
      <w:color w:val="auto"/>
    </w:rPr>
  </w:style>
  <w:style w:type="character" w:styleId="66">
    <w:name w:val="footnote reference"/>
    <w:qFormat/>
    <w:uiPriority w:val="0"/>
    <w:rPr>
      <w:vertAlign w:val="superscript"/>
    </w:rPr>
  </w:style>
  <w:style w:type="character" w:styleId="67">
    <w:name w:val="HTML Keyboard"/>
    <w:unhideWhenUsed/>
    <w:qFormat/>
    <w:uiPriority w:val="0"/>
    <w:rPr>
      <w:rFonts w:ascii="Courier New" w:hAnsi="Courier New" w:eastAsia="仿宋_GB2312" w:cs="Courier New"/>
      <w:b/>
      <w:color w:val="auto"/>
      <w:sz w:val="20"/>
    </w:rPr>
  </w:style>
  <w:style w:type="character" w:styleId="68">
    <w:name w:val="HTML Sample"/>
    <w:unhideWhenUsed/>
    <w:qFormat/>
    <w:uiPriority w:val="0"/>
    <w:rPr>
      <w:rFonts w:ascii="Courier New" w:hAnsi="Courier New" w:eastAsia="仿宋_GB2312" w:cs="Courier New"/>
      <w:b/>
      <w:color w:val="auto"/>
    </w:rPr>
  </w:style>
  <w:style w:type="character" w:customStyle="1" w:styleId="69">
    <w:name w:val="标题 1 字符"/>
    <w:link w:val="3"/>
    <w:qFormat/>
    <w:uiPriority w:val="0"/>
    <w:rPr>
      <w:rFonts w:ascii="Times New Roman" w:hAnsi="Times New Roman" w:eastAsia="宋体" w:cs="Times New Roman"/>
      <w:b/>
      <w:bCs/>
      <w:kern w:val="44"/>
      <w:sz w:val="32"/>
      <w:szCs w:val="44"/>
    </w:rPr>
  </w:style>
  <w:style w:type="character" w:customStyle="1" w:styleId="70">
    <w:name w:val="标题 2 字符"/>
    <w:link w:val="4"/>
    <w:qFormat/>
    <w:uiPriority w:val="0"/>
    <w:rPr>
      <w:rFonts w:ascii="Arial" w:hAnsi="Arial" w:eastAsia="黑体" w:cs="Times New Roman"/>
      <w:b/>
      <w:bCs/>
      <w:sz w:val="32"/>
      <w:szCs w:val="32"/>
    </w:rPr>
  </w:style>
  <w:style w:type="character" w:customStyle="1" w:styleId="71">
    <w:name w:val="标题 3 字符"/>
    <w:link w:val="5"/>
    <w:qFormat/>
    <w:uiPriority w:val="0"/>
    <w:rPr>
      <w:rFonts w:ascii="Times New Roman" w:hAnsi="Times New Roman" w:eastAsia="宋体" w:cs="Times New Roman"/>
      <w:b/>
      <w:bCs/>
      <w:sz w:val="32"/>
      <w:szCs w:val="32"/>
    </w:rPr>
  </w:style>
  <w:style w:type="character" w:customStyle="1" w:styleId="72">
    <w:name w:val="标题 4 字符"/>
    <w:link w:val="6"/>
    <w:qFormat/>
    <w:uiPriority w:val="0"/>
    <w:rPr>
      <w:rFonts w:ascii="Arial" w:hAnsi="Arial" w:eastAsia="黑体" w:cs="Times New Roman"/>
      <w:kern w:val="0"/>
      <w:sz w:val="28"/>
      <w:szCs w:val="20"/>
    </w:rPr>
  </w:style>
  <w:style w:type="character" w:customStyle="1" w:styleId="73">
    <w:name w:val="标题 5 字符"/>
    <w:link w:val="7"/>
    <w:qFormat/>
    <w:uiPriority w:val="0"/>
    <w:rPr>
      <w:rFonts w:ascii="Times New Roman" w:hAnsi="Times New Roman" w:eastAsia="宋体" w:cs="Times New Roman"/>
      <w:b/>
      <w:sz w:val="28"/>
      <w:szCs w:val="24"/>
    </w:rPr>
  </w:style>
  <w:style w:type="character" w:customStyle="1" w:styleId="74">
    <w:name w:val="标题 6 字符"/>
    <w:link w:val="8"/>
    <w:qFormat/>
    <w:uiPriority w:val="0"/>
    <w:rPr>
      <w:rFonts w:ascii="Arial" w:hAnsi="Arial" w:eastAsia="黑体" w:cs="Times New Roman"/>
      <w:b/>
      <w:sz w:val="24"/>
      <w:szCs w:val="24"/>
    </w:rPr>
  </w:style>
  <w:style w:type="character" w:customStyle="1" w:styleId="75">
    <w:name w:val="标题 7 字符"/>
    <w:link w:val="9"/>
    <w:qFormat/>
    <w:uiPriority w:val="0"/>
    <w:rPr>
      <w:rFonts w:ascii="Times New Roman" w:hAnsi="Times New Roman" w:eastAsia="宋体" w:cs="Times New Roman"/>
      <w:b/>
      <w:sz w:val="24"/>
      <w:szCs w:val="24"/>
    </w:rPr>
  </w:style>
  <w:style w:type="character" w:customStyle="1" w:styleId="76">
    <w:name w:val="标题 8 字符"/>
    <w:link w:val="11"/>
    <w:qFormat/>
    <w:uiPriority w:val="0"/>
    <w:rPr>
      <w:rFonts w:ascii="Arial" w:hAnsi="Arial" w:eastAsia="黑体" w:cs="Times New Roman"/>
      <w:sz w:val="24"/>
      <w:szCs w:val="24"/>
    </w:rPr>
  </w:style>
  <w:style w:type="character" w:customStyle="1" w:styleId="77">
    <w:name w:val="标题 9 字符"/>
    <w:link w:val="12"/>
    <w:qFormat/>
    <w:uiPriority w:val="0"/>
    <w:rPr>
      <w:rFonts w:ascii="Arial" w:hAnsi="Arial" w:eastAsia="黑体" w:cs="Times New Roman"/>
      <w:szCs w:val="24"/>
    </w:rPr>
  </w:style>
  <w:style w:type="character" w:customStyle="1" w:styleId="78">
    <w:name w:val="批注文字 字符"/>
    <w:link w:val="18"/>
    <w:semiHidden/>
    <w:qFormat/>
    <w:uiPriority w:val="0"/>
    <w:rPr>
      <w:rFonts w:eastAsia="宋体"/>
      <w:szCs w:val="24"/>
    </w:rPr>
  </w:style>
  <w:style w:type="character" w:customStyle="1" w:styleId="79">
    <w:name w:val="批注主题 字符"/>
    <w:link w:val="47"/>
    <w:qFormat/>
    <w:uiPriority w:val="0"/>
    <w:rPr>
      <w:rFonts w:eastAsia="宋体"/>
      <w:b/>
      <w:bCs/>
      <w:szCs w:val="24"/>
    </w:rPr>
  </w:style>
  <w:style w:type="character" w:customStyle="1" w:styleId="80">
    <w:name w:val="正文文本 字符"/>
    <w:link w:val="2"/>
    <w:semiHidden/>
    <w:qFormat/>
    <w:uiPriority w:val="0"/>
    <w:rPr>
      <w:rFonts w:ascii="Times New Roman" w:hAnsi="Times New Roman" w:eastAsia="宋体" w:cs="Times New Roman"/>
      <w:szCs w:val="24"/>
    </w:rPr>
  </w:style>
  <w:style w:type="character" w:customStyle="1" w:styleId="81">
    <w:name w:val="正文文本首行缩进 字符"/>
    <w:basedOn w:val="80"/>
    <w:link w:val="48"/>
    <w:qFormat/>
    <w:uiPriority w:val="99"/>
    <w:rPr>
      <w:rFonts w:ascii="Times New Roman" w:hAnsi="Times New Roman" w:eastAsia="宋体" w:cs="Times New Roman"/>
      <w:szCs w:val="24"/>
    </w:rPr>
  </w:style>
  <w:style w:type="character" w:customStyle="1" w:styleId="82">
    <w:name w:val="文档结构图 字符"/>
    <w:link w:val="17"/>
    <w:semiHidden/>
    <w:qFormat/>
    <w:uiPriority w:val="0"/>
    <w:rPr>
      <w:rFonts w:ascii="Times New Roman" w:hAnsi="Times New Roman" w:eastAsia="宋体" w:cs="Times New Roman"/>
      <w:kern w:val="0"/>
      <w:szCs w:val="20"/>
      <w:shd w:val="clear" w:color="auto" w:fill="000080"/>
    </w:rPr>
  </w:style>
  <w:style w:type="character" w:customStyle="1" w:styleId="83">
    <w:name w:val="正文文本 3 字符"/>
    <w:link w:val="20"/>
    <w:qFormat/>
    <w:uiPriority w:val="0"/>
    <w:rPr>
      <w:rFonts w:ascii="Times New Roman" w:hAnsi="Times New Roman" w:eastAsia="宋体" w:cs="Times New Roman"/>
      <w:sz w:val="16"/>
      <w:szCs w:val="16"/>
    </w:rPr>
  </w:style>
  <w:style w:type="character" w:customStyle="1" w:styleId="84">
    <w:name w:val="正文文本缩进 字符"/>
    <w:link w:val="21"/>
    <w:qFormat/>
    <w:uiPriority w:val="0"/>
    <w:rPr>
      <w:rFonts w:ascii="仿宋_GB2312" w:hAnsi="Times New Roman" w:eastAsia="仿宋_GB2312" w:cs="Times New Roman"/>
      <w:sz w:val="32"/>
      <w:szCs w:val="20"/>
    </w:rPr>
  </w:style>
  <w:style w:type="character" w:customStyle="1" w:styleId="85">
    <w:name w:val="纯文本 字符"/>
    <w:link w:val="26"/>
    <w:qFormat/>
    <w:uiPriority w:val="0"/>
    <w:rPr>
      <w:rFonts w:ascii="宋体" w:hAnsi="Courier New" w:eastAsia="宋体" w:cs="Courier New"/>
      <w:szCs w:val="21"/>
    </w:rPr>
  </w:style>
  <w:style w:type="character" w:customStyle="1" w:styleId="86">
    <w:name w:val="日期 字符"/>
    <w:link w:val="27"/>
    <w:qFormat/>
    <w:uiPriority w:val="0"/>
    <w:rPr>
      <w:rFonts w:ascii="宋体" w:hAnsi="Courier New" w:eastAsia="宋体" w:cs="Courier New"/>
      <w:szCs w:val="21"/>
    </w:rPr>
  </w:style>
  <w:style w:type="character" w:customStyle="1" w:styleId="87">
    <w:name w:val="正文文本缩进 2 字符"/>
    <w:link w:val="28"/>
    <w:qFormat/>
    <w:uiPriority w:val="0"/>
    <w:rPr>
      <w:rFonts w:ascii="Times New Roman" w:hAnsi="Times New Roman" w:eastAsia="宋体" w:cs="Times New Roman"/>
      <w:sz w:val="32"/>
      <w:szCs w:val="20"/>
    </w:rPr>
  </w:style>
  <w:style w:type="character" w:customStyle="1" w:styleId="88">
    <w:name w:val="批注框文本 字符"/>
    <w:link w:val="29"/>
    <w:semiHidden/>
    <w:qFormat/>
    <w:uiPriority w:val="0"/>
    <w:rPr>
      <w:rFonts w:ascii="Times New Roman" w:hAnsi="Times New Roman" w:eastAsia="宋体" w:cs="Times New Roman"/>
      <w:sz w:val="18"/>
      <w:szCs w:val="18"/>
    </w:rPr>
  </w:style>
  <w:style w:type="character" w:customStyle="1" w:styleId="89">
    <w:name w:val="页脚 字符"/>
    <w:link w:val="30"/>
    <w:qFormat/>
    <w:uiPriority w:val="99"/>
    <w:rPr>
      <w:sz w:val="18"/>
      <w:szCs w:val="18"/>
    </w:rPr>
  </w:style>
  <w:style w:type="character" w:customStyle="1" w:styleId="90">
    <w:name w:val="正文文本首行缩进 2 字符"/>
    <w:link w:val="49"/>
    <w:qFormat/>
    <w:uiPriority w:val="99"/>
    <w:rPr>
      <w:rFonts w:ascii="Times New Roman" w:hAnsi="Times New Roman" w:eastAsia="宋体" w:cs="Times New Roman"/>
      <w:sz w:val="32"/>
      <w:szCs w:val="24"/>
    </w:rPr>
  </w:style>
  <w:style w:type="character" w:customStyle="1" w:styleId="91">
    <w:name w:val="页眉 字符"/>
    <w:link w:val="31"/>
    <w:qFormat/>
    <w:uiPriority w:val="0"/>
    <w:rPr>
      <w:sz w:val="18"/>
      <w:szCs w:val="18"/>
    </w:rPr>
  </w:style>
  <w:style w:type="character" w:customStyle="1" w:styleId="92">
    <w:name w:val="正文文本缩进 3 字符"/>
    <w:link w:val="37"/>
    <w:qFormat/>
    <w:uiPriority w:val="0"/>
    <w:rPr>
      <w:rFonts w:ascii="Times New Roman" w:hAnsi="Times New Roman" w:eastAsia="宋体" w:cs="Times New Roman"/>
      <w:sz w:val="16"/>
      <w:szCs w:val="16"/>
    </w:rPr>
  </w:style>
  <w:style w:type="character" w:customStyle="1" w:styleId="93">
    <w:name w:val="正文文本 2 字符"/>
    <w:link w:val="39"/>
    <w:qFormat/>
    <w:uiPriority w:val="0"/>
    <w:rPr>
      <w:rFonts w:ascii="Times New Roman" w:hAnsi="Times New Roman" w:eastAsia="宋体" w:cs="Times New Roman"/>
      <w:szCs w:val="24"/>
    </w:rPr>
  </w:style>
  <w:style w:type="character" w:customStyle="1" w:styleId="94">
    <w:name w:val="HTML 预设格式 字符"/>
    <w:link w:val="42"/>
    <w:qFormat/>
    <w:uiPriority w:val="99"/>
    <w:rPr>
      <w:rFonts w:ascii="黑体" w:hAnsi="Courier New" w:eastAsia="黑体" w:cs="Courier New"/>
      <w:kern w:val="0"/>
      <w:sz w:val="20"/>
      <w:szCs w:val="20"/>
    </w:rPr>
  </w:style>
  <w:style w:type="character" w:customStyle="1" w:styleId="95">
    <w:name w:val="标题 字符"/>
    <w:link w:val="46"/>
    <w:qFormat/>
    <w:uiPriority w:val="0"/>
    <w:rPr>
      <w:rFonts w:ascii="Times New Roman" w:hAnsi="Times New Roman" w:eastAsia="宋体" w:cs="Times New Roman"/>
      <w:sz w:val="30"/>
      <w:szCs w:val="24"/>
    </w:rPr>
  </w:style>
  <w:style w:type="character" w:customStyle="1" w:styleId="96">
    <w:name w:val="纯文本 Char"/>
    <w:qFormat/>
    <w:uiPriority w:val="0"/>
    <w:rPr>
      <w:rFonts w:ascii="宋体" w:hAnsi="Courier New" w:eastAsia="宋体" w:cs="Courier New"/>
      <w:szCs w:val="21"/>
    </w:rPr>
  </w:style>
  <w:style w:type="character" w:customStyle="1" w:styleId="97">
    <w:name w:val="1051"/>
    <w:qFormat/>
    <w:uiPriority w:val="0"/>
    <w:rPr>
      <w:sz w:val="21"/>
      <w:szCs w:val="21"/>
    </w:rPr>
  </w:style>
  <w:style w:type="character" w:customStyle="1" w:styleId="98">
    <w:name w:val="unnamed3"/>
    <w:qFormat/>
    <w:uiPriority w:val="0"/>
    <w:rPr>
      <w:rFonts w:ascii="Tahoma" w:hAnsi="Tahoma"/>
      <w:sz w:val="24"/>
      <w:szCs w:val="20"/>
    </w:rPr>
  </w:style>
  <w:style w:type="character" w:customStyle="1" w:styleId="99">
    <w:name w:val="text11"/>
    <w:qFormat/>
    <w:uiPriority w:val="0"/>
    <w:rPr>
      <w:rFonts w:hint="default" w:ascii="Verdana" w:hAnsi="Verdana"/>
      <w:color w:val="4E4E4E"/>
      <w:sz w:val="18"/>
      <w:szCs w:val="18"/>
    </w:rPr>
  </w:style>
  <w:style w:type="character" w:customStyle="1" w:styleId="100">
    <w:name w:val="1ji Char"/>
    <w:link w:val="101"/>
    <w:qFormat/>
    <w:uiPriority w:val="0"/>
    <w:rPr>
      <w:rFonts w:ascii="宋体" w:hAnsi="宋体" w:eastAsia="宋体"/>
      <w:b/>
      <w:bCs/>
      <w:kern w:val="44"/>
      <w:sz w:val="36"/>
      <w:szCs w:val="44"/>
    </w:rPr>
  </w:style>
  <w:style w:type="paragraph" w:customStyle="1" w:styleId="101">
    <w:name w:val="1ji"/>
    <w:basedOn w:val="3"/>
    <w:link w:val="100"/>
    <w:qFormat/>
    <w:uiPriority w:val="0"/>
    <w:pPr>
      <w:keepLines w:val="0"/>
      <w:widowControl/>
      <w:spacing w:line="240" w:lineRule="auto"/>
    </w:pPr>
    <w:rPr>
      <w:rFonts w:ascii="宋体" w:hAnsi="宋体"/>
      <w:sz w:val="36"/>
    </w:rPr>
  </w:style>
  <w:style w:type="character" w:customStyle="1" w:styleId="102">
    <w:name w:val="批注文字 Char1"/>
    <w:qFormat/>
    <w:uiPriority w:val="0"/>
    <w:rPr>
      <w:rFonts w:ascii="Times New Roman" w:hAnsi="Times New Roman" w:eastAsia="宋体" w:cs="Times New Roman"/>
      <w:szCs w:val="24"/>
    </w:rPr>
  </w:style>
  <w:style w:type="character" w:customStyle="1" w:styleId="103">
    <w:name w:val="style11"/>
    <w:qFormat/>
    <w:uiPriority w:val="0"/>
    <w:rPr>
      <w:rFonts w:hint="default" w:ascii="Arial" w:hAnsi="Arial" w:cs="Arial"/>
    </w:rPr>
  </w:style>
  <w:style w:type="character" w:customStyle="1" w:styleId="104">
    <w:name w:val="List Paragraph Char"/>
    <w:link w:val="105"/>
    <w:qFormat/>
    <w:locked/>
    <w:uiPriority w:val="0"/>
    <w:rPr>
      <w:kern w:val="2"/>
      <w:sz w:val="21"/>
      <w:szCs w:val="22"/>
    </w:rPr>
  </w:style>
  <w:style w:type="paragraph" w:customStyle="1" w:styleId="105">
    <w:name w:val="列出段落1"/>
    <w:basedOn w:val="1"/>
    <w:link w:val="104"/>
    <w:qFormat/>
    <w:uiPriority w:val="0"/>
    <w:pPr>
      <w:ind w:firstLine="420" w:firstLineChars="200"/>
    </w:pPr>
    <w:rPr>
      <w:rFonts w:ascii="Calibri" w:hAnsi="Calibri"/>
      <w:szCs w:val="22"/>
    </w:rPr>
  </w:style>
  <w:style w:type="character" w:customStyle="1" w:styleId="106">
    <w:name w:val="graytext1"/>
    <w:qFormat/>
    <w:uiPriority w:val="0"/>
    <w:rPr>
      <w:color w:val="666666"/>
    </w:rPr>
  </w:style>
  <w:style w:type="character" w:customStyle="1" w:styleId="107">
    <w:name w:val="apple-style-span"/>
    <w:qFormat/>
    <w:uiPriority w:val="0"/>
    <w:rPr>
      <w:rFonts w:ascii="Tahoma" w:hAnsi="Tahoma"/>
      <w:sz w:val="24"/>
      <w:szCs w:val="20"/>
    </w:rPr>
  </w:style>
  <w:style w:type="character" w:customStyle="1" w:styleId="108">
    <w:name w:val="批注主题 Char1"/>
    <w:semiHidden/>
    <w:qFormat/>
    <w:uiPriority w:val="0"/>
    <w:rPr>
      <w:rFonts w:ascii="Times New Roman" w:hAnsi="Times New Roman" w:eastAsia="宋体" w:cs="Times New Roman"/>
      <w:b/>
      <w:bCs/>
      <w:szCs w:val="24"/>
    </w:rPr>
  </w:style>
  <w:style w:type="character" w:customStyle="1" w:styleId="109">
    <w:name w:val="062"/>
    <w:qFormat/>
    <w:uiPriority w:val="0"/>
    <w:rPr>
      <w:rFonts w:ascii="宋体" w:hAnsi="宋体"/>
      <w:b/>
      <w:bCs/>
      <w:sz w:val="32"/>
    </w:rPr>
  </w:style>
  <w:style w:type="character" w:customStyle="1" w:styleId="110">
    <w:name w:val="case31"/>
    <w:qFormat/>
    <w:uiPriority w:val="0"/>
    <w:rPr>
      <w:rFonts w:hint="default"/>
      <w:sz w:val="21"/>
      <w:szCs w:val="21"/>
    </w:rPr>
  </w:style>
  <w:style w:type="character" w:customStyle="1" w:styleId="111">
    <w:name w:val="font21"/>
    <w:qFormat/>
    <w:uiPriority w:val="0"/>
    <w:rPr>
      <w:rFonts w:hint="eastAsia" w:ascii="宋体" w:hAnsi="宋体" w:eastAsia="宋体" w:cs="宋体"/>
      <w:color w:val="000000"/>
      <w:sz w:val="20"/>
      <w:szCs w:val="20"/>
      <w:u w:val="none"/>
    </w:rPr>
  </w:style>
  <w:style w:type="character" w:customStyle="1" w:styleId="112">
    <w:name w:val="纯文本 Char2"/>
    <w:qFormat/>
    <w:uiPriority w:val="0"/>
    <w:rPr>
      <w:rFonts w:ascii="宋体" w:hAnsi="Courier New" w:eastAsia="宋体" w:cs="Times New Roman"/>
      <w:kern w:val="2"/>
      <w:sz w:val="21"/>
      <w:lang w:val="en-US" w:eastAsia="zh-CN" w:bidi="ar-SA"/>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h Char"/>
    <w:qFormat/>
    <w:uiPriority w:val="0"/>
    <w:rPr>
      <w:rFonts w:eastAsia="宋体"/>
      <w:kern w:val="2"/>
      <w:sz w:val="18"/>
      <w:szCs w:val="18"/>
      <w:lang w:val="en-US" w:eastAsia="zh-CN" w:bidi="ar-SA"/>
    </w:rPr>
  </w:style>
  <w:style w:type="character" w:customStyle="1" w:styleId="115">
    <w:name w:val="fo Char"/>
    <w:qFormat/>
    <w:uiPriority w:val="0"/>
    <w:rPr>
      <w:rFonts w:eastAsia="宋体"/>
      <w:kern w:val="2"/>
      <w:sz w:val="18"/>
      <w:szCs w:val="18"/>
      <w:lang w:val="en-US" w:eastAsia="zh-CN" w:bidi="ar-SA"/>
    </w:rPr>
  </w:style>
  <w:style w:type="character" w:customStyle="1" w:styleId="116">
    <w:name w:val="gray12"/>
    <w:qFormat/>
    <w:uiPriority w:val="0"/>
    <w:rPr>
      <w:rFonts w:ascii="Tahoma" w:hAnsi="Tahoma"/>
      <w:sz w:val="24"/>
      <w:szCs w:val="20"/>
    </w:rPr>
  </w:style>
  <w:style w:type="character" w:customStyle="1" w:styleId="117">
    <w:name w:val="white"/>
    <w:qFormat/>
    <w:uiPriority w:val="0"/>
    <w:rPr>
      <w:rFonts w:ascii="Tahoma" w:hAnsi="Tahoma"/>
      <w:sz w:val="24"/>
      <w:szCs w:val="20"/>
    </w:rPr>
  </w:style>
  <w:style w:type="character" w:customStyle="1" w:styleId="118">
    <w:name w:val="批注框文本 Char"/>
    <w:qFormat/>
    <w:uiPriority w:val="0"/>
    <w:rPr>
      <w:sz w:val="18"/>
      <w:szCs w:val="18"/>
    </w:rPr>
  </w:style>
  <w:style w:type="character" w:customStyle="1" w:styleId="119">
    <w:name w:val="mark8"/>
    <w:qFormat/>
    <w:uiPriority w:val="0"/>
    <w:rPr>
      <w:b/>
      <w:bCs/>
      <w:sz w:val="21"/>
      <w:szCs w:val="21"/>
    </w:rPr>
  </w:style>
  <w:style w:type="character" w:customStyle="1" w:styleId="120">
    <w:name w:val="st"/>
    <w:qFormat/>
    <w:uiPriority w:val="0"/>
    <w:rPr>
      <w:rFonts w:ascii="Tahoma" w:hAnsi="Tahoma"/>
      <w:sz w:val="24"/>
      <w:szCs w:val="20"/>
    </w:rPr>
  </w:style>
  <w:style w:type="character" w:customStyle="1" w:styleId="121">
    <w:name w:val="style21"/>
    <w:qFormat/>
    <w:uiPriority w:val="0"/>
    <w:rPr>
      <w:sz w:val="17"/>
      <w:szCs w:val="17"/>
    </w:rPr>
  </w:style>
  <w:style w:type="character" w:customStyle="1" w:styleId="122">
    <w:name w:val="content2"/>
    <w:qFormat/>
    <w:uiPriority w:val="0"/>
    <w:rPr>
      <w:rFonts w:ascii="Tahoma" w:hAnsi="Tahoma"/>
      <w:sz w:val="24"/>
      <w:szCs w:val="20"/>
    </w:rPr>
  </w:style>
  <w:style w:type="character" w:customStyle="1" w:styleId="123">
    <w:name w:val="f151"/>
    <w:qFormat/>
    <w:uiPriority w:val="0"/>
    <w:rPr>
      <w:sz w:val="23"/>
      <w:szCs w:val="23"/>
    </w:rPr>
  </w:style>
  <w:style w:type="character" w:customStyle="1" w:styleId="124">
    <w:name w:val="font11"/>
    <w:qFormat/>
    <w:uiPriority w:val="0"/>
    <w:rPr>
      <w:rFonts w:hint="eastAsia" w:ascii="宋体" w:hAnsi="宋体" w:eastAsia="宋体" w:cs="宋体"/>
      <w:color w:val="000000"/>
      <w:sz w:val="20"/>
      <w:szCs w:val="20"/>
      <w:u w:val="none"/>
    </w:rPr>
  </w:style>
  <w:style w:type="character" w:customStyle="1" w:styleId="125">
    <w:name w:val="small"/>
    <w:qFormat/>
    <w:uiPriority w:val="0"/>
    <w:rPr>
      <w:rFonts w:ascii="Tahoma" w:hAnsi="Tahoma"/>
      <w:sz w:val="24"/>
      <w:szCs w:val="20"/>
    </w:rPr>
  </w:style>
  <w:style w:type="paragraph" w:customStyle="1" w:styleId="126">
    <w:name w:val="招标文件样式2"/>
    <w:basedOn w:val="1"/>
    <w:qFormat/>
    <w:uiPriority w:val="0"/>
    <w:pPr>
      <w:jc w:val="center"/>
      <w:outlineLvl w:val="0"/>
    </w:pPr>
    <w:rPr>
      <w:rFonts w:ascii="宋体" w:hAnsi="宋体"/>
      <w:b/>
      <w:sz w:val="28"/>
      <w:szCs w:val="28"/>
    </w:rPr>
  </w:style>
  <w:style w:type="paragraph" w:customStyle="1" w:styleId="127">
    <w:name w:val="F2"/>
    <w:basedOn w:val="1"/>
    <w:qFormat/>
    <w:uiPriority w:val="0"/>
    <w:pPr>
      <w:autoSpaceDE w:val="0"/>
      <w:autoSpaceDN w:val="0"/>
      <w:adjustRightInd w:val="0"/>
      <w:ind w:firstLine="601"/>
      <w:textAlignment w:val="baseline"/>
    </w:pPr>
    <w:rPr>
      <w:kern w:val="0"/>
      <w:sz w:val="24"/>
      <w:szCs w:val="20"/>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0">
    <w:name w:val="Char Char Char"/>
    <w:basedOn w:val="1"/>
    <w:qFormat/>
    <w:uiPriority w:val="0"/>
    <w:rPr>
      <w:rFonts w:ascii="Tahoma" w:hAnsi="Tahoma"/>
      <w:sz w:val="24"/>
      <w:szCs w:val="20"/>
    </w:rPr>
  </w:style>
  <w:style w:type="paragraph" w:customStyle="1" w:styleId="131">
    <w:name w:val="Char Char Char Char Char Char1 Char"/>
    <w:basedOn w:val="17"/>
    <w:qFormat/>
    <w:uiPriority w:val="0"/>
    <w:pPr>
      <w:adjustRightInd/>
      <w:spacing w:line="240" w:lineRule="auto"/>
      <w:textAlignment w:val="auto"/>
    </w:pPr>
    <w:rPr>
      <w:rFonts w:ascii="Tahoma" w:hAnsi="Tahoma"/>
      <w:kern w:val="2"/>
      <w:sz w:val="24"/>
      <w:szCs w:val="24"/>
    </w:rPr>
  </w:style>
  <w:style w:type="paragraph" w:customStyle="1" w:styleId="13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默认段落字体 Para Char Char Char Char Char Char Char Char Char Char"/>
    <w:basedOn w:val="1"/>
    <w:qFormat/>
    <w:uiPriority w:val="0"/>
    <w:rPr>
      <w:rFonts w:ascii="Tahoma" w:hAnsi="Tahoma"/>
      <w:sz w:val="24"/>
      <w:u w:val="single"/>
    </w:rPr>
  </w:style>
  <w:style w:type="paragraph" w:customStyle="1" w:styleId="135">
    <w:name w:val="正文首行缩进两字符"/>
    <w:basedOn w:val="1"/>
    <w:qFormat/>
    <w:uiPriority w:val="0"/>
    <w:pPr>
      <w:spacing w:line="360" w:lineRule="auto"/>
      <w:ind w:firstLine="200" w:firstLineChars="200"/>
    </w:pPr>
  </w:style>
  <w:style w:type="paragraph" w:customStyle="1" w:styleId="136">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1">
    <w:name w:val="444"/>
    <w:basedOn w:val="1"/>
    <w:qFormat/>
    <w:uiPriority w:val="0"/>
    <w:pPr>
      <w:adjustRightInd w:val="0"/>
      <w:spacing w:line="312" w:lineRule="atLeast"/>
      <w:jc w:val="center"/>
      <w:textAlignment w:val="baseline"/>
    </w:pPr>
    <w:rPr>
      <w:b/>
      <w:kern w:val="0"/>
      <w:sz w:val="36"/>
      <w:szCs w:val="36"/>
    </w:rPr>
  </w:style>
  <w:style w:type="paragraph" w:customStyle="1" w:styleId="14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3">
    <w:name w:val="次小点说明 Char"/>
    <w:basedOn w:val="10"/>
    <w:qFormat/>
    <w:uiPriority w:val="0"/>
    <w:pPr>
      <w:ind w:firstLine="0"/>
    </w:pPr>
    <w:rPr>
      <w:sz w:val="24"/>
      <w:szCs w:val="24"/>
    </w:rPr>
  </w:style>
  <w:style w:type="paragraph" w:customStyle="1" w:styleId="144">
    <w:name w:val="Plain Text1"/>
    <w:basedOn w:val="1"/>
    <w:qFormat/>
    <w:uiPriority w:val="0"/>
    <w:rPr>
      <w:rFonts w:ascii="宋体" w:hAnsi="Courier New" w:eastAsia="Times New Roman"/>
      <w:kern w:val="0"/>
      <w:szCs w:val="21"/>
    </w:rPr>
  </w:style>
  <w:style w:type="paragraph" w:customStyle="1" w:styleId="145">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46">
    <w:name w:val="Char1"/>
    <w:basedOn w:val="1"/>
    <w:qFormat/>
    <w:uiPriority w:val="0"/>
    <w:rPr>
      <w:szCs w:val="21"/>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9">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0">
    <w:name w:val="Char1 Char Char Char Char Char Char"/>
    <w:basedOn w:val="1"/>
    <w:qFormat/>
    <w:uiPriority w:val="0"/>
    <w:rPr>
      <w:rFonts w:ascii="Tahoma" w:hAnsi="Tahoma"/>
      <w:sz w:val="24"/>
      <w:szCs w:val="20"/>
    </w:rPr>
  </w:style>
  <w:style w:type="paragraph" w:customStyle="1" w:styleId="151">
    <w:name w:val="Char2 Char Char Char"/>
    <w:basedOn w:val="1"/>
    <w:qFormat/>
    <w:uiPriority w:val="0"/>
    <w:rPr>
      <w:rFonts w:ascii="Tahoma" w:hAnsi="Tahoma"/>
      <w:sz w:val="24"/>
      <w:szCs w:val="20"/>
    </w:rPr>
  </w:style>
  <w:style w:type="paragraph" w:customStyle="1" w:styleId="152">
    <w:name w:val="_Style 3"/>
    <w:basedOn w:val="1"/>
    <w:qFormat/>
    <w:uiPriority w:val="0"/>
    <w:rPr>
      <w:rFonts w:ascii="Tahoma" w:hAnsi="Tahoma"/>
      <w:sz w:val="24"/>
      <w:szCs w:val="20"/>
    </w:rPr>
  </w:style>
  <w:style w:type="paragraph" w:customStyle="1" w:styleId="153">
    <w:name w:val="缺省文本"/>
    <w:basedOn w:val="1"/>
    <w:qFormat/>
    <w:uiPriority w:val="0"/>
    <w:pPr>
      <w:autoSpaceDE w:val="0"/>
      <w:autoSpaceDN w:val="0"/>
      <w:adjustRightInd w:val="0"/>
      <w:spacing w:line="360" w:lineRule="auto"/>
      <w:jc w:val="left"/>
    </w:pPr>
    <w:rPr>
      <w:kern w:val="0"/>
      <w:sz w:val="24"/>
      <w:szCs w:val="20"/>
    </w:rPr>
  </w:style>
  <w:style w:type="paragraph" w:styleId="154">
    <w:name w:val="List Paragraph"/>
    <w:basedOn w:val="1"/>
    <w:qFormat/>
    <w:uiPriority w:val="34"/>
    <w:pPr>
      <w:ind w:firstLine="420" w:firstLineChars="200"/>
    </w:pPr>
    <w:rPr>
      <w:rFonts w:ascii="Calibri" w:hAnsi="Calibri"/>
      <w:szCs w:val="22"/>
    </w:rPr>
  </w:style>
  <w:style w:type="paragraph" w:customStyle="1" w:styleId="15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6">
    <w:name w:val="Char3"/>
    <w:basedOn w:val="1"/>
    <w:qFormat/>
    <w:uiPriority w:val="0"/>
    <w:pPr>
      <w:tabs>
        <w:tab w:val="left" w:pos="360"/>
      </w:tabs>
      <w:ind w:left="252" w:hanging="252" w:hangingChars="140"/>
    </w:pPr>
    <w:rPr>
      <w:rFonts w:ascii="宋体"/>
      <w:sz w:val="18"/>
      <w:szCs w:val="18"/>
    </w:rPr>
  </w:style>
  <w:style w:type="paragraph" w:customStyle="1" w:styleId="157">
    <w:name w:val="样式 首行缩进:  2 字符"/>
    <w:basedOn w:val="1"/>
    <w:qFormat/>
    <w:uiPriority w:val="0"/>
    <w:pPr>
      <w:spacing w:line="400" w:lineRule="exact"/>
      <w:ind w:firstLine="200" w:firstLineChars="200"/>
    </w:pPr>
    <w:rPr>
      <w:rFonts w:cs="宋体"/>
      <w:sz w:val="24"/>
    </w:rPr>
  </w:style>
  <w:style w:type="paragraph" w:customStyle="1" w:styleId="158">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59">
    <w:name w:val="TOC 标题1"/>
    <w:basedOn w:val="3"/>
    <w:next w:val="1"/>
    <w:qFormat/>
    <w:uiPriority w:val="0"/>
    <w:pPr>
      <w:widowControl/>
      <w:spacing w:before="480" w:line="276" w:lineRule="auto"/>
      <w:ind w:left="0" w:leftChars="0" w:right="0" w:rightChars="0"/>
      <w:jc w:val="left"/>
      <w:outlineLvl w:val="9"/>
    </w:pPr>
    <w:rPr>
      <w:rFonts w:ascii="Cambria" w:hAnsi="Cambria"/>
      <w:color w:val="365F91"/>
      <w:kern w:val="0"/>
      <w:sz w:val="28"/>
      <w:szCs w:val="28"/>
    </w:rPr>
  </w:style>
  <w:style w:type="paragraph" w:customStyle="1" w:styleId="160">
    <w:name w:val="Char Char11 Char Char Char Char"/>
    <w:basedOn w:val="17"/>
    <w:qFormat/>
    <w:uiPriority w:val="0"/>
    <w:pPr>
      <w:adjustRightInd/>
      <w:spacing w:line="240" w:lineRule="auto"/>
      <w:textAlignment w:val="auto"/>
    </w:pPr>
    <w:rPr>
      <w:rFonts w:ascii="Tahoma" w:hAnsi="Tahoma"/>
      <w:kern w:val="2"/>
      <w:sz w:val="24"/>
      <w:szCs w:val="24"/>
    </w:rPr>
  </w:style>
  <w:style w:type="paragraph" w:customStyle="1" w:styleId="16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tgt1"/>
    <w:basedOn w:val="1"/>
    <w:qFormat/>
    <w:uiPriority w:val="0"/>
    <w:pPr>
      <w:widowControl/>
      <w:spacing w:after="150"/>
      <w:jc w:val="left"/>
    </w:pPr>
    <w:rPr>
      <w:rFonts w:ascii="宋体" w:hAnsi="宋体" w:cs="宋体"/>
      <w:kern w:val="0"/>
      <w:sz w:val="24"/>
    </w:rPr>
  </w:style>
  <w:style w:type="paragraph" w:customStyle="1" w:styleId="1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4">
    <w:name w:val="1 Char"/>
    <w:basedOn w:val="1"/>
    <w:semiHidden/>
    <w:qFormat/>
    <w:uiPriority w:val="0"/>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67">
    <w:name w:val="1"/>
    <w:basedOn w:val="1"/>
    <w:next w:val="26"/>
    <w:qFormat/>
    <w:uiPriority w:val="0"/>
    <w:rPr>
      <w:rFonts w:ascii="宋体" w:hAnsi="Courier New"/>
      <w:szCs w:val="20"/>
    </w:rPr>
  </w:style>
  <w:style w:type="paragraph" w:customStyle="1" w:styleId="168">
    <w:name w:val="五号正文（标准）"/>
    <w:basedOn w:val="1"/>
    <w:qFormat/>
    <w:uiPriority w:val="0"/>
    <w:pPr>
      <w:spacing w:line="360" w:lineRule="auto"/>
      <w:ind w:right="55" w:firstLine="560" w:firstLineChars="200"/>
    </w:pPr>
    <w:rPr>
      <w:rFonts w:eastAsia="仿宋_GB2312"/>
      <w:sz w:val="28"/>
      <w:szCs w:val="20"/>
    </w:rPr>
  </w:style>
  <w:style w:type="paragraph" w:customStyle="1" w:styleId="169">
    <w:name w:val="表格"/>
    <w:basedOn w:val="1"/>
    <w:qFormat/>
    <w:uiPriority w:val="0"/>
    <w:pPr>
      <w:spacing w:line="400" w:lineRule="exact"/>
    </w:pPr>
    <w:rPr>
      <w:sz w:val="24"/>
    </w:rPr>
  </w:style>
  <w:style w:type="paragraph" w:customStyle="1" w:styleId="170">
    <w:name w:val="默认段落字体 Para Char"/>
    <w:basedOn w:val="1"/>
    <w:qFormat/>
    <w:uiPriority w:val="0"/>
    <w:pPr>
      <w:adjustRightInd w:val="0"/>
      <w:spacing w:line="360" w:lineRule="auto"/>
    </w:pPr>
    <w:rPr>
      <w:kern w:val="0"/>
      <w:sz w:val="24"/>
      <w:szCs w:val="20"/>
    </w:rPr>
  </w:style>
  <w:style w:type="paragraph" w:customStyle="1" w:styleId="171">
    <w:name w:val="Char Char Char Char Char Char Char1"/>
    <w:basedOn w:val="1"/>
    <w:qFormat/>
    <w:uiPriority w:val="0"/>
  </w:style>
  <w:style w:type="paragraph" w:customStyle="1" w:styleId="17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74">
    <w:name w:val="样式1"/>
    <w:basedOn w:val="1"/>
    <w:link w:val="357"/>
    <w:qFormat/>
    <w:uiPriority w:val="0"/>
    <w:pPr>
      <w:spacing w:before="120" w:after="120" w:line="300" w:lineRule="auto"/>
    </w:pPr>
    <w:rPr>
      <w:rFonts w:ascii="宋体" w:hAnsi="宋体"/>
      <w:b/>
      <w:sz w:val="24"/>
      <w:szCs w:val="20"/>
    </w:rPr>
  </w:style>
  <w:style w:type="paragraph" w:customStyle="1" w:styleId="175">
    <w:name w:val="正文段"/>
    <w:basedOn w:val="1"/>
    <w:qFormat/>
    <w:uiPriority w:val="0"/>
    <w:pPr>
      <w:widowControl/>
      <w:snapToGrid w:val="0"/>
      <w:spacing w:afterLines="50"/>
      <w:ind w:firstLine="200" w:firstLineChars="200"/>
    </w:pPr>
    <w:rPr>
      <w:kern w:val="0"/>
      <w:sz w:val="24"/>
      <w:szCs w:val="20"/>
    </w:rPr>
  </w:style>
  <w:style w:type="paragraph" w:customStyle="1" w:styleId="17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图"/>
    <w:basedOn w:val="1"/>
    <w:link w:val="688"/>
    <w:qFormat/>
    <w:uiPriority w:val="0"/>
    <w:pPr>
      <w:keepNext/>
      <w:adjustRightInd w:val="0"/>
      <w:snapToGrid w:val="0"/>
      <w:spacing w:before="60" w:after="60" w:line="300" w:lineRule="auto"/>
      <w:jc w:val="center"/>
    </w:pPr>
    <w:rPr>
      <w:spacing w:val="20"/>
      <w:kern w:val="0"/>
      <w:sz w:val="24"/>
      <w:szCs w:val="20"/>
    </w:rPr>
  </w:style>
  <w:style w:type="paragraph" w:customStyle="1" w:styleId="180">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1">
    <w:name w:val="Char Char Char1"/>
    <w:basedOn w:val="17"/>
    <w:qFormat/>
    <w:uiPriority w:val="0"/>
    <w:pPr>
      <w:adjustRightInd/>
      <w:spacing w:line="240" w:lineRule="auto"/>
      <w:textAlignment w:val="auto"/>
    </w:pPr>
    <w:rPr>
      <w:rFonts w:ascii="Tahoma" w:hAnsi="Tahoma"/>
      <w:kern w:val="2"/>
      <w:sz w:val="24"/>
      <w:szCs w:val="24"/>
    </w:rPr>
  </w:style>
  <w:style w:type="character" w:customStyle="1" w:styleId="182">
    <w:name w:val="font01"/>
    <w:basedOn w:val="52"/>
    <w:qFormat/>
    <w:uiPriority w:val="0"/>
    <w:rPr>
      <w:rFonts w:hint="default" w:ascii="Times New Roman" w:hAnsi="Times New Roman" w:cs="Times New Roman"/>
      <w:color w:val="000000"/>
      <w:sz w:val="22"/>
      <w:szCs w:val="22"/>
      <w:u w:val="none"/>
    </w:rPr>
  </w:style>
  <w:style w:type="character" w:customStyle="1" w:styleId="183">
    <w:name w:val="font41"/>
    <w:basedOn w:val="52"/>
    <w:qFormat/>
    <w:uiPriority w:val="0"/>
    <w:rPr>
      <w:rFonts w:hint="default" w:ascii="Times New Roman" w:hAnsi="Times New Roman" w:cs="Times New Roman"/>
      <w:color w:val="000000"/>
      <w:sz w:val="28"/>
      <w:szCs w:val="28"/>
      <w:u w:val="none"/>
    </w:rPr>
  </w:style>
  <w:style w:type="paragraph" w:customStyle="1" w:styleId="18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正文文本 (2)1"/>
    <w:basedOn w:val="1"/>
    <w:qFormat/>
    <w:uiPriority w:val="0"/>
    <w:pPr>
      <w:shd w:val="clear" w:color="auto" w:fill="FFFFFF"/>
      <w:spacing w:before="460" w:line="398" w:lineRule="exact"/>
      <w:jc w:val="left"/>
    </w:pPr>
    <w:rPr>
      <w:rFonts w:ascii="MingLiU" w:hAnsi="MingLiU" w:eastAsia="MingLiU"/>
      <w:spacing w:val="20"/>
      <w:kern w:val="0"/>
      <w:sz w:val="20"/>
    </w:rPr>
  </w:style>
  <w:style w:type="paragraph" w:customStyle="1" w:styleId="186">
    <w:name w:val="1-正文1"/>
    <w:basedOn w:val="1"/>
    <w:next w:val="1"/>
    <w:qFormat/>
    <w:uiPriority w:val="0"/>
    <w:pPr>
      <w:spacing w:line="580" w:lineRule="exact"/>
      <w:ind w:firstLine="200" w:firstLineChars="200"/>
    </w:pPr>
    <w:rPr>
      <w:sz w:val="28"/>
      <w:szCs w:val="20"/>
    </w:rPr>
  </w:style>
  <w:style w:type="character" w:customStyle="1" w:styleId="187">
    <w:name w:val="style71"/>
    <w:qFormat/>
    <w:uiPriority w:val="0"/>
    <w:rPr>
      <w:color w:val="142C17"/>
    </w:rPr>
  </w:style>
  <w:style w:type="character" w:customStyle="1" w:styleId="188">
    <w:name w:val="标题 1 Char"/>
    <w:qFormat/>
    <w:uiPriority w:val="0"/>
    <w:rPr>
      <w:rFonts w:eastAsia="宋体"/>
      <w:b/>
      <w:bCs/>
      <w:kern w:val="44"/>
      <w:sz w:val="44"/>
      <w:szCs w:val="44"/>
      <w:lang w:val="en-US" w:eastAsia="zh-CN" w:bidi="ar-SA"/>
    </w:rPr>
  </w:style>
  <w:style w:type="character" w:customStyle="1" w:styleId="189">
    <w:name w:val="标题 2 Char"/>
    <w:qFormat/>
    <w:uiPriority w:val="0"/>
    <w:rPr>
      <w:rFonts w:ascii="Arial" w:hAnsi="Arial" w:eastAsia="黑体"/>
      <w:b/>
      <w:bCs/>
      <w:kern w:val="2"/>
      <w:sz w:val="32"/>
      <w:szCs w:val="32"/>
      <w:lang w:val="en-US" w:eastAsia="zh-CN" w:bidi="ar-SA"/>
    </w:rPr>
  </w:style>
  <w:style w:type="character" w:customStyle="1" w:styleId="190">
    <w:name w:val="标题 3 Char"/>
    <w:qFormat/>
    <w:locked/>
    <w:uiPriority w:val="0"/>
    <w:rPr>
      <w:rFonts w:ascii="Calibri" w:hAnsi="Calibri" w:eastAsia="宋体"/>
      <w:b/>
      <w:kern w:val="2"/>
      <w:sz w:val="32"/>
      <w:szCs w:val="22"/>
      <w:lang w:val="en-US" w:eastAsia="zh-CN" w:bidi="ar-SA"/>
    </w:rPr>
  </w:style>
  <w:style w:type="character" w:customStyle="1" w:styleId="191">
    <w:name w:val="页脚 Char"/>
    <w:qFormat/>
    <w:uiPriority w:val="99"/>
    <w:rPr>
      <w:kern w:val="2"/>
      <w:sz w:val="18"/>
      <w:szCs w:val="18"/>
      <w:lang w:bidi="ar-SA"/>
    </w:rPr>
  </w:style>
  <w:style w:type="character" w:customStyle="1" w:styleId="192">
    <w:name w:val="样式16 Char Char1"/>
    <w:link w:val="193"/>
    <w:qFormat/>
    <w:uiPriority w:val="0"/>
    <w:rPr>
      <w:sz w:val="24"/>
      <w:szCs w:val="24"/>
    </w:rPr>
  </w:style>
  <w:style w:type="paragraph" w:customStyle="1" w:styleId="193">
    <w:name w:val="样式16 Char"/>
    <w:basedOn w:val="1"/>
    <w:link w:val="192"/>
    <w:qFormat/>
    <w:uiPriority w:val="0"/>
    <w:pPr>
      <w:overflowPunct w:val="0"/>
      <w:adjustRightInd w:val="0"/>
      <w:ind w:firstLine="200" w:firstLineChars="200"/>
    </w:pPr>
    <w:rPr>
      <w:kern w:val="0"/>
      <w:sz w:val="24"/>
    </w:rPr>
  </w:style>
  <w:style w:type="character" w:customStyle="1" w:styleId="194">
    <w:name w:val="正文文本缩进 2 Char"/>
    <w:qFormat/>
    <w:uiPriority w:val="0"/>
    <w:rPr>
      <w:rFonts w:ascii="宋体" w:hAnsi="宋体" w:eastAsia="宋体"/>
      <w:kern w:val="2"/>
      <w:sz w:val="24"/>
      <w:lang w:val="en-US" w:eastAsia="zh-CN" w:bidi="ar-SA"/>
    </w:rPr>
  </w:style>
  <w:style w:type="character" w:customStyle="1" w:styleId="195">
    <w:name w:val="正文文本 (2)_"/>
    <w:link w:val="196"/>
    <w:qFormat/>
    <w:uiPriority w:val="0"/>
    <w:rPr>
      <w:rFonts w:ascii="宋体"/>
      <w:sz w:val="33"/>
      <w:szCs w:val="33"/>
      <w:shd w:val="clear" w:color="auto" w:fill="FFFFFF"/>
    </w:rPr>
  </w:style>
  <w:style w:type="paragraph" w:customStyle="1" w:styleId="196">
    <w:name w:val="正文文本 (2)"/>
    <w:basedOn w:val="1"/>
    <w:link w:val="195"/>
    <w:qFormat/>
    <w:uiPriority w:val="0"/>
    <w:pPr>
      <w:shd w:val="clear" w:color="auto" w:fill="FFFFFF"/>
      <w:spacing w:before="600" w:after="2340" w:line="614" w:lineRule="exact"/>
      <w:ind w:hanging="540"/>
      <w:jc w:val="left"/>
    </w:pPr>
    <w:rPr>
      <w:rFonts w:ascii="宋体"/>
      <w:kern w:val="0"/>
      <w:sz w:val="33"/>
      <w:szCs w:val="33"/>
      <w:shd w:val="clear" w:color="auto" w:fill="FFFFFF"/>
    </w:rPr>
  </w:style>
  <w:style w:type="character" w:customStyle="1" w:styleId="197">
    <w:name w:val="书籍标题1"/>
    <w:qFormat/>
    <w:uiPriority w:val="0"/>
    <w:rPr>
      <w:b/>
      <w:bCs/>
      <w:smallCaps/>
      <w:spacing w:val="5"/>
    </w:rPr>
  </w:style>
  <w:style w:type="paragraph" w:customStyle="1" w:styleId="198">
    <w:name w:val="_Style 182"/>
    <w:basedOn w:val="1"/>
    <w:next w:val="154"/>
    <w:link w:val="686"/>
    <w:qFormat/>
    <w:uiPriority w:val="34"/>
    <w:pPr>
      <w:ind w:firstLine="420" w:firstLineChars="200"/>
    </w:pPr>
    <w:rPr>
      <w:sz w:val="24"/>
    </w:rPr>
  </w:style>
  <w:style w:type="character" w:customStyle="1" w:styleId="199">
    <w:name w:val="正文缩进 字符2"/>
    <w:link w:val="10"/>
    <w:qFormat/>
    <w:uiPriority w:val="0"/>
    <w:rPr>
      <w:kern w:val="2"/>
      <w:sz w:val="21"/>
    </w:rPr>
  </w:style>
  <w:style w:type="character" w:customStyle="1" w:styleId="200">
    <w:name w:val="页眉 Char"/>
    <w:qFormat/>
    <w:uiPriority w:val="0"/>
    <w:rPr>
      <w:rFonts w:eastAsia="宋体"/>
      <w:kern w:val="2"/>
      <w:sz w:val="18"/>
      <w:szCs w:val="18"/>
      <w:lang w:val="en-US" w:eastAsia="zh-CN" w:bidi="ar-SA"/>
    </w:rPr>
  </w:style>
  <w:style w:type="paragraph" w:customStyle="1" w:styleId="201">
    <w:name w:val="报告正文"/>
    <w:basedOn w:val="1"/>
    <w:qFormat/>
    <w:uiPriority w:val="0"/>
    <w:pPr>
      <w:spacing w:line="360" w:lineRule="auto"/>
      <w:ind w:firstLine="503" w:firstLineChars="200"/>
    </w:pPr>
    <w:rPr>
      <w:rFonts w:ascii="宋体"/>
      <w:b/>
      <w:sz w:val="24"/>
      <w:szCs w:val="20"/>
    </w:rPr>
  </w:style>
  <w:style w:type="paragraph" w:customStyle="1" w:styleId="202">
    <w:name w:val="纯文本11"/>
    <w:basedOn w:val="1"/>
    <w:qFormat/>
    <w:uiPriority w:val="0"/>
    <w:pPr>
      <w:widowControl/>
      <w:spacing w:line="300" w:lineRule="auto"/>
      <w:jc w:val="left"/>
    </w:pPr>
    <w:rPr>
      <w:rFonts w:ascii="宋体" w:hAnsi="Courier New" w:cs="宋体"/>
      <w:kern w:val="0"/>
      <w:sz w:val="24"/>
      <w:szCs w:val="20"/>
    </w:rPr>
  </w:style>
  <w:style w:type="paragraph" w:customStyle="1" w:styleId="203">
    <w:name w:val="正文文字0"/>
    <w:basedOn w:val="1"/>
    <w:qFormat/>
    <w:uiPriority w:val="0"/>
    <w:pPr>
      <w:autoSpaceDE w:val="0"/>
      <w:autoSpaceDN w:val="0"/>
      <w:adjustRightInd w:val="0"/>
      <w:snapToGrid w:val="0"/>
      <w:spacing w:line="460" w:lineRule="exact"/>
      <w:ind w:firstLine="480" w:firstLineChars="200"/>
    </w:pPr>
    <w:rPr>
      <w:kern w:val="0"/>
      <w:sz w:val="24"/>
    </w:rPr>
  </w:style>
  <w:style w:type="paragraph" w:customStyle="1" w:styleId="204">
    <w:name w:val="正文B"/>
    <w:basedOn w:val="1"/>
    <w:qFormat/>
    <w:uiPriority w:val="0"/>
    <w:pPr>
      <w:snapToGrid w:val="0"/>
      <w:spacing w:line="240" w:lineRule="atLeast"/>
      <w:jc w:val="center"/>
    </w:pPr>
    <w:rPr>
      <w:rFonts w:hint="eastAsia" w:ascii="仿宋_GB2312" w:eastAsia="仿宋_GB2312"/>
      <w:szCs w:val="20"/>
    </w:rPr>
  </w:style>
  <w:style w:type="paragraph" w:customStyle="1" w:styleId="205">
    <w:name w:val="正文普通文字"/>
    <w:basedOn w:val="1"/>
    <w:qFormat/>
    <w:uiPriority w:val="0"/>
    <w:pPr>
      <w:snapToGrid w:val="0"/>
      <w:spacing w:line="500" w:lineRule="atLeast"/>
      <w:ind w:firstLine="482"/>
    </w:pPr>
    <w:rPr>
      <w:rFonts w:hint="eastAsia" w:ascii="仿宋_GB2312" w:eastAsia="仿宋_GB2312"/>
      <w:sz w:val="24"/>
      <w:szCs w:val="20"/>
    </w:rPr>
  </w:style>
  <w:style w:type="paragraph" w:customStyle="1" w:styleId="206">
    <w:name w:val="样式 14 磅 行距: 1.5 倍行距"/>
    <w:basedOn w:val="1"/>
    <w:qFormat/>
    <w:uiPriority w:val="0"/>
    <w:pPr>
      <w:spacing w:line="360" w:lineRule="auto"/>
      <w:ind w:firstLine="560" w:firstLineChars="200"/>
    </w:pPr>
    <w:rPr>
      <w:rFonts w:ascii="Calibri" w:hAnsi="Calibri" w:cs="宋体"/>
      <w:sz w:val="28"/>
      <w:szCs w:val="20"/>
    </w:rPr>
  </w:style>
  <w:style w:type="paragraph" w:customStyle="1" w:styleId="207">
    <w:name w:val="标题三"/>
    <w:basedOn w:val="5"/>
    <w:link w:val="208"/>
    <w:qFormat/>
    <w:uiPriority w:val="0"/>
    <w:pPr>
      <w:keepNext w:val="0"/>
      <w:keepLines w:val="0"/>
      <w:spacing w:before="0" w:after="0" w:line="360" w:lineRule="auto"/>
      <w:jc w:val="left"/>
    </w:pPr>
    <w:rPr>
      <w:rFonts w:ascii="宋体"/>
      <w:sz w:val="24"/>
      <w:szCs w:val="28"/>
    </w:rPr>
  </w:style>
  <w:style w:type="character" w:customStyle="1" w:styleId="208">
    <w:name w:val="标题三 Char"/>
    <w:link w:val="207"/>
    <w:qFormat/>
    <w:uiPriority w:val="0"/>
    <w:rPr>
      <w:rFonts w:ascii="宋体"/>
      <w:b/>
      <w:bCs/>
      <w:kern w:val="2"/>
      <w:sz w:val="24"/>
      <w:szCs w:val="28"/>
    </w:rPr>
  </w:style>
  <w:style w:type="paragraph" w:customStyle="1" w:styleId="209">
    <w:name w:val="样式 四号 黑色 行距: 1.5 倍行距 首行缩进:  2 字符"/>
    <w:basedOn w:val="1"/>
    <w:qFormat/>
    <w:uiPriority w:val="0"/>
    <w:pPr>
      <w:spacing w:line="360" w:lineRule="auto"/>
      <w:ind w:firstLine="560" w:firstLineChars="200"/>
    </w:pPr>
    <w:rPr>
      <w:rFonts w:cs="宋体"/>
      <w:color w:val="000000"/>
      <w:sz w:val="28"/>
      <w:szCs w:val="20"/>
    </w:rPr>
  </w:style>
  <w:style w:type="character" w:customStyle="1" w:styleId="210">
    <w:name w:val="普通文字 Char2"/>
    <w:qFormat/>
    <w:uiPriority w:val="0"/>
    <w:rPr>
      <w:rFonts w:ascii="宋体" w:hAnsi="Courier New" w:eastAsia="宋体"/>
      <w:kern w:val="2"/>
      <w:sz w:val="21"/>
      <w:szCs w:val="24"/>
      <w:lang w:val="en-US" w:eastAsia="zh-CN" w:bidi="ar-SA"/>
    </w:rPr>
  </w:style>
  <w:style w:type="paragraph" w:customStyle="1" w:styleId="211">
    <w:name w:val="列表段落1"/>
    <w:basedOn w:val="1"/>
    <w:qFormat/>
    <w:uiPriority w:val="0"/>
    <w:pPr>
      <w:ind w:firstLine="420" w:firstLineChars="200"/>
    </w:pPr>
    <w:rPr>
      <w:rFonts w:ascii="Calibri" w:hAnsi="Calibri"/>
      <w:szCs w:val="22"/>
    </w:rPr>
  </w:style>
  <w:style w:type="character" w:customStyle="1" w:styleId="212">
    <w:name w:val="Char Char5"/>
    <w:qFormat/>
    <w:uiPriority w:val="0"/>
    <w:rPr>
      <w:rFonts w:eastAsia="宋体"/>
      <w:kern w:val="2"/>
      <w:sz w:val="21"/>
      <w:szCs w:val="24"/>
      <w:lang w:val="en-US" w:eastAsia="zh-CN" w:bidi="ar-SA"/>
    </w:rPr>
  </w:style>
  <w:style w:type="character" w:customStyle="1" w:styleId="213">
    <w:name w:val="图名 Char"/>
    <w:link w:val="214"/>
    <w:qFormat/>
    <w:uiPriority w:val="0"/>
    <w:rPr>
      <w:b/>
      <w:szCs w:val="24"/>
    </w:rPr>
  </w:style>
  <w:style w:type="paragraph" w:customStyle="1" w:styleId="214">
    <w:name w:val="图名"/>
    <w:basedOn w:val="1"/>
    <w:next w:val="1"/>
    <w:link w:val="213"/>
    <w:qFormat/>
    <w:uiPriority w:val="0"/>
    <w:pPr>
      <w:adjustRightInd w:val="0"/>
      <w:snapToGrid w:val="0"/>
      <w:spacing w:afterLines="50"/>
      <w:jc w:val="center"/>
      <w:textAlignment w:val="center"/>
    </w:pPr>
    <w:rPr>
      <w:b/>
      <w:kern w:val="0"/>
      <w:sz w:val="20"/>
    </w:rPr>
  </w:style>
  <w:style w:type="paragraph" w:customStyle="1" w:styleId="215">
    <w:name w:val="图格式"/>
    <w:basedOn w:val="1"/>
    <w:next w:val="16"/>
    <w:qFormat/>
    <w:uiPriority w:val="0"/>
    <w:pPr>
      <w:adjustRightInd w:val="0"/>
      <w:snapToGrid w:val="0"/>
      <w:jc w:val="center"/>
      <w:textAlignment w:val="center"/>
    </w:pPr>
  </w:style>
  <w:style w:type="character" w:customStyle="1" w:styleId="216">
    <w:name w:val="段落排版 Char"/>
    <w:link w:val="217"/>
    <w:qFormat/>
    <w:uiPriority w:val="0"/>
    <w:rPr>
      <w:rFonts w:ascii="宋体" w:hAnsi="宋体"/>
      <w:bCs/>
      <w:sz w:val="24"/>
      <w:szCs w:val="24"/>
    </w:rPr>
  </w:style>
  <w:style w:type="paragraph" w:customStyle="1" w:styleId="217">
    <w:name w:val="段落排版"/>
    <w:basedOn w:val="48"/>
    <w:link w:val="216"/>
    <w:qFormat/>
    <w:uiPriority w:val="0"/>
    <w:pPr>
      <w:tabs>
        <w:tab w:val="left" w:pos="5760"/>
      </w:tabs>
      <w:spacing w:after="0" w:line="360" w:lineRule="auto"/>
      <w:ind w:firstLine="480" w:firstLineChars="200"/>
      <w:jc w:val="left"/>
      <w:textAlignment w:val="center"/>
    </w:pPr>
    <w:rPr>
      <w:rFonts w:ascii="宋体" w:hAnsi="宋体"/>
      <w:bCs/>
      <w:kern w:val="0"/>
      <w:sz w:val="24"/>
    </w:rPr>
  </w:style>
  <w:style w:type="character" w:customStyle="1" w:styleId="218">
    <w:name w:val="标题 7 Char"/>
    <w:qFormat/>
    <w:uiPriority w:val="0"/>
    <w:rPr>
      <w:b/>
      <w:bCs/>
      <w:kern w:val="2"/>
      <w:sz w:val="24"/>
      <w:szCs w:val="24"/>
    </w:rPr>
  </w:style>
  <w:style w:type="character" w:customStyle="1" w:styleId="219">
    <w:name w:val="标题 8 Char"/>
    <w:qFormat/>
    <w:uiPriority w:val="0"/>
    <w:rPr>
      <w:rFonts w:ascii="Cambria" w:hAnsi="Cambria" w:eastAsia="宋体" w:cs="Times New Roman"/>
      <w:kern w:val="2"/>
      <w:sz w:val="24"/>
      <w:szCs w:val="24"/>
    </w:rPr>
  </w:style>
  <w:style w:type="character" w:customStyle="1" w:styleId="220">
    <w:name w:val="标题 9 Char"/>
    <w:qFormat/>
    <w:uiPriority w:val="0"/>
    <w:rPr>
      <w:rFonts w:ascii="Cambria" w:hAnsi="Cambria" w:eastAsia="宋体" w:cs="Times New Roman"/>
      <w:kern w:val="2"/>
      <w:sz w:val="21"/>
      <w:szCs w:val="21"/>
    </w:rPr>
  </w:style>
  <w:style w:type="character" w:customStyle="1" w:styleId="221">
    <w:name w:val="Char Char26"/>
    <w:qFormat/>
    <w:uiPriority w:val="0"/>
    <w:rPr>
      <w:rFonts w:ascii="Arial" w:hAnsi="Arial" w:eastAsia="宋体"/>
      <w:sz w:val="24"/>
      <w:lang w:val="en-US" w:eastAsia="zh-CN" w:bidi="ar-SA"/>
    </w:rPr>
  </w:style>
  <w:style w:type="character" w:customStyle="1" w:styleId="222">
    <w:name w:val="日期 Char2"/>
    <w:qFormat/>
    <w:uiPriority w:val="99"/>
    <w:rPr>
      <w:kern w:val="2"/>
      <w:sz w:val="21"/>
      <w:szCs w:val="24"/>
    </w:rPr>
  </w:style>
  <w:style w:type="character" w:customStyle="1" w:styleId="223">
    <w:name w:val="称呼 Char"/>
    <w:qFormat/>
    <w:uiPriority w:val="0"/>
    <w:rPr>
      <w:rFonts w:eastAsia="宋体"/>
      <w:lang w:val="en-US" w:eastAsia="zh-CN" w:bidi="ar-SA"/>
    </w:rPr>
  </w:style>
  <w:style w:type="character" w:customStyle="1" w:styleId="224">
    <w:name w:val="正文文本首行缩进 字符1"/>
    <w:semiHidden/>
    <w:qFormat/>
    <w:uiPriority w:val="99"/>
    <w:rPr>
      <w:rFonts w:eastAsia="宋体" w:cs="宋体"/>
      <w:sz w:val="24"/>
    </w:rPr>
  </w:style>
  <w:style w:type="character" w:customStyle="1" w:styleId="225">
    <w:name w:val="题注 字符2"/>
    <w:link w:val="16"/>
    <w:qFormat/>
    <w:uiPriority w:val="0"/>
    <w:rPr>
      <w:rFonts w:ascii="Arial" w:hAnsi="Arial" w:eastAsia="黑体" w:cs="Arial"/>
      <w:kern w:val="2"/>
    </w:rPr>
  </w:style>
  <w:style w:type="character" w:customStyle="1" w:styleId="226">
    <w:name w:val="正文首行缩进 2 Char2"/>
    <w:basedOn w:val="227"/>
    <w:qFormat/>
    <w:uiPriority w:val="99"/>
    <w:rPr>
      <w:rFonts w:eastAsia="宋体"/>
      <w:kern w:val="2"/>
      <w:sz w:val="21"/>
      <w:szCs w:val="24"/>
      <w:lang w:val="en-US" w:eastAsia="zh-CN" w:bidi="ar-SA"/>
    </w:rPr>
  </w:style>
  <w:style w:type="character" w:customStyle="1" w:styleId="227">
    <w:name w:val="正文文本缩进 Char2"/>
    <w:qFormat/>
    <w:uiPriority w:val="99"/>
    <w:rPr>
      <w:rFonts w:eastAsia="宋体"/>
      <w:kern w:val="2"/>
      <w:sz w:val="21"/>
      <w:szCs w:val="24"/>
      <w:lang w:val="en-US" w:eastAsia="zh-CN" w:bidi="ar-SA"/>
    </w:rPr>
  </w:style>
  <w:style w:type="character" w:customStyle="1" w:styleId="228">
    <w:name w:val="标题 5 字符1"/>
    <w:qFormat/>
    <w:uiPriority w:val="0"/>
    <w:rPr>
      <w:rFonts w:ascii="Times New Roman" w:hAnsi="Times New Roman" w:eastAsia="宋体" w:cs="Times New Roman"/>
      <w:b/>
      <w:bCs/>
      <w:sz w:val="28"/>
      <w:szCs w:val="28"/>
    </w:rPr>
  </w:style>
  <w:style w:type="character" w:customStyle="1" w:styleId="229">
    <w:name w:val="正文首行缩进 2 Char"/>
    <w:basedOn w:val="230"/>
    <w:qFormat/>
    <w:uiPriority w:val="0"/>
    <w:rPr>
      <w:rFonts w:eastAsia="宋体"/>
      <w:kern w:val="2"/>
      <w:sz w:val="21"/>
      <w:szCs w:val="24"/>
      <w:lang w:val="en-US" w:eastAsia="zh-CN" w:bidi="ar-SA"/>
    </w:rPr>
  </w:style>
  <w:style w:type="character" w:customStyle="1" w:styleId="230">
    <w:name w:val="正文文本缩进 Char"/>
    <w:qFormat/>
    <w:uiPriority w:val="0"/>
    <w:rPr>
      <w:rFonts w:eastAsia="宋体"/>
      <w:kern w:val="2"/>
      <w:sz w:val="21"/>
      <w:szCs w:val="24"/>
      <w:lang w:val="en-US" w:eastAsia="zh-CN" w:bidi="ar-SA"/>
    </w:rPr>
  </w:style>
  <w:style w:type="character" w:customStyle="1" w:styleId="231">
    <w:name w:val="标题 Char1"/>
    <w:qFormat/>
    <w:uiPriority w:val="10"/>
    <w:rPr>
      <w:rFonts w:ascii="Cambria" w:hAnsi="Cambria"/>
      <w:b/>
      <w:bCs/>
      <w:kern w:val="2"/>
      <w:sz w:val="32"/>
      <w:szCs w:val="32"/>
    </w:rPr>
  </w:style>
  <w:style w:type="character" w:customStyle="1" w:styleId="232">
    <w:name w:val="正文文本缩进 3 字符1"/>
    <w:qFormat/>
    <w:uiPriority w:val="99"/>
    <w:rPr>
      <w:sz w:val="16"/>
      <w:szCs w:val="16"/>
    </w:rPr>
  </w:style>
  <w:style w:type="character" w:customStyle="1" w:styleId="233">
    <w:name w:val="正文首行缩进 Char"/>
    <w:qFormat/>
    <w:uiPriority w:val="0"/>
    <w:rPr>
      <w:rFonts w:eastAsia="宋体" w:cs="宋体"/>
      <w:kern w:val="2"/>
      <w:sz w:val="24"/>
      <w:lang w:val="en-US" w:eastAsia="zh-CN" w:bidi="ar-SA"/>
    </w:rPr>
  </w:style>
  <w:style w:type="character" w:customStyle="1" w:styleId="234">
    <w:name w:val="可研正文 Char Char"/>
    <w:link w:val="235"/>
    <w:qFormat/>
    <w:uiPriority w:val="0"/>
    <w:rPr>
      <w:rFonts w:ascii="宋体" w:hAnsi="宋体"/>
      <w:sz w:val="24"/>
      <w:szCs w:val="24"/>
    </w:rPr>
  </w:style>
  <w:style w:type="paragraph" w:customStyle="1" w:styleId="235">
    <w:name w:val="可研正文"/>
    <w:basedOn w:val="1"/>
    <w:link w:val="234"/>
    <w:qFormat/>
    <w:uiPriority w:val="0"/>
    <w:pPr>
      <w:topLinePunct/>
      <w:spacing w:line="360" w:lineRule="auto"/>
      <w:ind w:firstLine="200" w:firstLineChars="200"/>
    </w:pPr>
    <w:rPr>
      <w:rFonts w:ascii="宋体" w:hAnsi="宋体"/>
      <w:kern w:val="0"/>
      <w:sz w:val="24"/>
    </w:rPr>
  </w:style>
  <w:style w:type="character" w:customStyle="1" w:styleId="236">
    <w:name w:val="日期 字符1"/>
    <w:qFormat/>
    <w:uiPriority w:val="99"/>
    <w:rPr>
      <w:szCs w:val="24"/>
    </w:rPr>
  </w:style>
  <w:style w:type="character" w:customStyle="1" w:styleId="237">
    <w:name w:val="批注框文本 Char1"/>
    <w:qFormat/>
    <w:uiPriority w:val="0"/>
    <w:rPr>
      <w:kern w:val="2"/>
      <w:sz w:val="18"/>
      <w:szCs w:val="18"/>
    </w:rPr>
  </w:style>
  <w:style w:type="character" w:customStyle="1" w:styleId="238">
    <w:name w:val="Char Char13"/>
    <w:qFormat/>
    <w:uiPriority w:val="0"/>
    <w:rPr>
      <w:rFonts w:ascii="Calibri" w:hAnsi="Calibri" w:eastAsia="宋体"/>
      <w:kern w:val="2"/>
      <w:sz w:val="18"/>
      <w:szCs w:val="18"/>
      <w:lang w:val="en-US" w:eastAsia="zh-CN" w:bidi="ar-SA"/>
    </w:rPr>
  </w:style>
  <w:style w:type="character" w:customStyle="1" w:styleId="239">
    <w:name w:val="Char Char261"/>
    <w:qFormat/>
    <w:uiPriority w:val="0"/>
    <w:rPr>
      <w:rFonts w:ascii="Arial" w:hAnsi="Arial" w:eastAsia="宋体"/>
      <w:sz w:val="24"/>
      <w:lang w:val="en-US" w:eastAsia="zh-CN" w:bidi="ar-SA"/>
    </w:rPr>
  </w:style>
  <w:style w:type="character" w:customStyle="1" w:styleId="240">
    <w:name w:val="标题 4 字符1"/>
    <w:qFormat/>
    <w:uiPriority w:val="0"/>
    <w:rPr>
      <w:rFonts w:ascii="Arial" w:hAnsi="Arial" w:eastAsia="宋体" w:cs="Times New Roman"/>
      <w:kern w:val="0"/>
      <w:sz w:val="24"/>
      <w:szCs w:val="20"/>
    </w:rPr>
  </w:style>
  <w:style w:type="character" w:customStyle="1" w:styleId="241">
    <w:name w:val="标题 4 Char"/>
    <w:qFormat/>
    <w:uiPriority w:val="0"/>
    <w:rPr>
      <w:rFonts w:ascii="Arial" w:hAnsi="Arial" w:eastAsia="宋体"/>
      <w:sz w:val="24"/>
      <w:lang w:val="en-US" w:eastAsia="zh-CN" w:bidi="ar-SA"/>
    </w:rPr>
  </w:style>
  <w:style w:type="character" w:customStyle="1" w:styleId="242">
    <w:name w:val="页眉 字符1"/>
    <w:qFormat/>
    <w:uiPriority w:val="0"/>
    <w:rPr>
      <w:sz w:val="18"/>
      <w:szCs w:val="18"/>
    </w:rPr>
  </w:style>
  <w:style w:type="character" w:customStyle="1" w:styleId="243">
    <w:name w:val="脚注文本 Char"/>
    <w:qFormat/>
    <w:uiPriority w:val="0"/>
    <w:rPr>
      <w:rFonts w:eastAsia="宋体"/>
      <w:kern w:val="2"/>
      <w:sz w:val="18"/>
      <w:szCs w:val="18"/>
      <w:lang w:val="en-US" w:eastAsia="zh-CN" w:bidi="ar-SA"/>
    </w:rPr>
  </w:style>
  <w:style w:type="character" w:customStyle="1" w:styleId="244">
    <w:name w:val="批注框文本 Char2"/>
    <w:qFormat/>
    <w:uiPriority w:val="99"/>
    <w:rPr>
      <w:rFonts w:eastAsia="宋体"/>
      <w:kern w:val="2"/>
      <w:sz w:val="18"/>
      <w:szCs w:val="18"/>
      <w:lang w:val="en-US" w:eastAsia="zh-CN" w:bidi="ar-SA"/>
    </w:rPr>
  </w:style>
  <w:style w:type="character" w:customStyle="1" w:styleId="245">
    <w:name w:val="Char Char1"/>
    <w:qFormat/>
    <w:uiPriority w:val="0"/>
    <w:rPr>
      <w:rFonts w:eastAsia="宋体"/>
      <w:b/>
      <w:bCs/>
      <w:kern w:val="44"/>
      <w:sz w:val="52"/>
      <w:szCs w:val="44"/>
      <w:lang w:val="en-US" w:eastAsia="zh-CN" w:bidi="ar-SA"/>
    </w:rPr>
  </w:style>
  <w:style w:type="character" w:customStyle="1" w:styleId="246">
    <w:name w:val="明显引用 字符3"/>
    <w:link w:val="247"/>
    <w:qFormat/>
    <w:uiPriority w:val="0"/>
    <w:rPr>
      <w:rFonts w:ascii="Calibri" w:hAnsi="Calibri"/>
      <w:b/>
      <w:i/>
      <w:sz w:val="24"/>
      <w:szCs w:val="22"/>
      <w:lang w:eastAsia="en-US" w:bidi="en-US"/>
    </w:rPr>
  </w:style>
  <w:style w:type="paragraph" w:styleId="247">
    <w:name w:val="Intense Quote"/>
    <w:basedOn w:val="1"/>
    <w:next w:val="1"/>
    <w:link w:val="246"/>
    <w:qFormat/>
    <w:uiPriority w:val="0"/>
    <w:pPr>
      <w:widowControl/>
      <w:spacing w:before="240"/>
      <w:ind w:left="720" w:right="720" w:hanging="420"/>
      <w:jc w:val="left"/>
    </w:pPr>
    <w:rPr>
      <w:rFonts w:ascii="Calibri" w:hAnsi="Calibri"/>
      <w:b/>
      <w:i/>
      <w:kern w:val="0"/>
      <w:sz w:val="24"/>
      <w:szCs w:val="22"/>
      <w:lang w:eastAsia="en-US" w:bidi="en-US"/>
    </w:rPr>
  </w:style>
  <w:style w:type="character" w:customStyle="1" w:styleId="248">
    <w:name w:val="样式 正文缩进 + 首行缩进:  2 字符 Char"/>
    <w:link w:val="249"/>
    <w:qFormat/>
    <w:uiPriority w:val="0"/>
    <w:rPr>
      <w:rFonts w:ascii="宋体" w:cs="宋体"/>
      <w:kern w:val="2"/>
      <w:sz w:val="24"/>
      <w:szCs w:val="24"/>
    </w:rPr>
  </w:style>
  <w:style w:type="paragraph" w:customStyle="1" w:styleId="249">
    <w:name w:val="样式 正文缩进 + 首行缩进:  2 字符"/>
    <w:basedOn w:val="10"/>
    <w:link w:val="248"/>
    <w:qFormat/>
    <w:uiPriority w:val="0"/>
    <w:pPr>
      <w:spacing w:line="460" w:lineRule="exact"/>
      <w:ind w:firstLine="200" w:firstLineChars="200"/>
    </w:pPr>
    <w:rPr>
      <w:rFonts w:ascii="宋体" w:cs="宋体"/>
      <w:sz w:val="24"/>
      <w:szCs w:val="24"/>
    </w:rPr>
  </w:style>
  <w:style w:type="character" w:customStyle="1" w:styleId="250">
    <w:name w:val="无间隔 字符"/>
    <w:qFormat/>
    <w:uiPriority w:val="0"/>
    <w:rPr>
      <w:szCs w:val="24"/>
    </w:rPr>
  </w:style>
  <w:style w:type="character" w:customStyle="1" w:styleId="251">
    <w:name w:val="font51"/>
    <w:qFormat/>
    <w:uiPriority w:val="0"/>
    <w:rPr>
      <w:rFonts w:hint="eastAsia" w:ascii="宋体" w:hAnsi="宋体" w:eastAsia="宋体"/>
      <w:color w:val="000000"/>
      <w:sz w:val="22"/>
      <w:szCs w:val="22"/>
      <w:u w:val="none"/>
    </w:rPr>
  </w:style>
  <w:style w:type="character" w:customStyle="1" w:styleId="252">
    <w:name w:val="r"/>
    <w:qFormat/>
    <w:uiPriority w:val="0"/>
    <w:rPr>
      <w:rFonts w:ascii="仿宋_GB2312" w:hAnsi="Times New Roman" w:eastAsia="仿宋_GB2312"/>
      <w:b/>
      <w:color w:val="auto"/>
    </w:rPr>
  </w:style>
  <w:style w:type="character" w:customStyle="1" w:styleId="253">
    <w:name w:val="日期 Char"/>
    <w:qFormat/>
    <w:uiPriority w:val="0"/>
    <w:rPr>
      <w:rFonts w:eastAsia="宋体"/>
      <w:kern w:val="2"/>
      <w:sz w:val="21"/>
      <w:szCs w:val="24"/>
      <w:lang w:val="en-US" w:eastAsia="zh-CN" w:bidi="ar-SA"/>
    </w:rPr>
  </w:style>
  <w:style w:type="character" w:customStyle="1" w:styleId="254">
    <w:name w:val="正文文本缩进 3 Char1"/>
    <w:qFormat/>
    <w:uiPriority w:val="0"/>
    <w:rPr>
      <w:kern w:val="2"/>
      <w:sz w:val="16"/>
      <w:szCs w:val="16"/>
    </w:rPr>
  </w:style>
  <w:style w:type="character" w:customStyle="1" w:styleId="255">
    <w:name w:val="标题3 Char"/>
    <w:link w:val="256"/>
    <w:qFormat/>
    <w:uiPriority w:val="0"/>
    <w:rPr>
      <w:rFonts w:ascii="Cambria" w:hAnsi="Cambria"/>
      <w:b/>
      <w:sz w:val="36"/>
      <w:szCs w:val="26"/>
      <w:lang w:bidi="en-US"/>
    </w:rPr>
  </w:style>
  <w:style w:type="paragraph" w:customStyle="1" w:styleId="256">
    <w:name w:val="标题3"/>
    <w:basedOn w:val="5"/>
    <w:link w:val="255"/>
    <w:qFormat/>
    <w:uiPriority w:val="0"/>
    <w:pPr>
      <w:keepLines w:val="0"/>
      <w:widowControl/>
      <w:spacing w:before="240" w:after="60" w:line="240" w:lineRule="auto"/>
      <w:ind w:left="720" w:hanging="720"/>
      <w:jc w:val="left"/>
    </w:pPr>
    <w:rPr>
      <w:rFonts w:ascii="Cambria" w:hAnsi="Cambria"/>
      <w:bCs w:val="0"/>
      <w:kern w:val="0"/>
      <w:sz w:val="36"/>
      <w:szCs w:val="26"/>
      <w:lang w:bidi="en-US"/>
    </w:rPr>
  </w:style>
  <w:style w:type="character" w:customStyle="1" w:styleId="257">
    <w:name w:val="正文文本首行缩进 2 字符1"/>
    <w:semiHidden/>
    <w:qFormat/>
    <w:uiPriority w:val="99"/>
  </w:style>
  <w:style w:type="character" w:customStyle="1" w:styleId="258">
    <w:name w:val="Char Char7"/>
    <w:qFormat/>
    <w:uiPriority w:val="0"/>
    <w:rPr>
      <w:rFonts w:ascii="Arial" w:hAnsi="Arial" w:eastAsia="黑体"/>
      <w:b/>
      <w:bCs/>
      <w:kern w:val="2"/>
      <w:sz w:val="32"/>
      <w:szCs w:val="32"/>
    </w:rPr>
  </w:style>
  <w:style w:type="character" w:customStyle="1" w:styleId="259">
    <w:name w:val="脚注文本 字符3"/>
    <w:link w:val="35"/>
    <w:qFormat/>
    <w:uiPriority w:val="99"/>
    <w:rPr>
      <w:kern w:val="2"/>
      <w:sz w:val="18"/>
      <w:szCs w:val="18"/>
    </w:rPr>
  </w:style>
  <w:style w:type="character" w:customStyle="1" w:styleId="260">
    <w:name w:val="标题 6 字符1"/>
    <w:qFormat/>
    <w:uiPriority w:val="0"/>
    <w:rPr>
      <w:rFonts w:ascii="Cambria" w:hAnsi="Cambria" w:eastAsia="宋体" w:cs="Times New Roman"/>
      <w:b/>
      <w:bCs/>
      <w:sz w:val="24"/>
      <w:szCs w:val="24"/>
    </w:rPr>
  </w:style>
  <w:style w:type="character" w:customStyle="1" w:styleId="261">
    <w:name w:val="Char Char9"/>
    <w:qFormat/>
    <w:uiPriority w:val="0"/>
    <w:rPr>
      <w:rFonts w:ascii="Cambria" w:hAnsi="Cambria"/>
      <w:iCs/>
      <w:sz w:val="18"/>
      <w:szCs w:val="22"/>
      <w:lang w:eastAsia="en-US" w:bidi="en-US"/>
    </w:rPr>
  </w:style>
  <w:style w:type="character" w:customStyle="1" w:styleId="262">
    <w:name w:val="批注主题 Char2"/>
    <w:qFormat/>
    <w:uiPriority w:val="99"/>
    <w:rPr>
      <w:b/>
      <w:bCs/>
      <w:kern w:val="2"/>
      <w:sz w:val="21"/>
      <w:szCs w:val="24"/>
    </w:rPr>
  </w:style>
  <w:style w:type="character" w:customStyle="1" w:styleId="263">
    <w:name w:val="SB-ZW Char"/>
    <w:link w:val="264"/>
    <w:qFormat/>
    <w:uiPriority w:val="0"/>
    <w:rPr>
      <w:sz w:val="24"/>
      <w:szCs w:val="24"/>
    </w:rPr>
  </w:style>
  <w:style w:type="paragraph" w:customStyle="1" w:styleId="264">
    <w:name w:val="SB-ZW"/>
    <w:basedOn w:val="1"/>
    <w:link w:val="263"/>
    <w:qFormat/>
    <w:uiPriority w:val="0"/>
    <w:pPr>
      <w:autoSpaceDE w:val="0"/>
      <w:autoSpaceDN w:val="0"/>
      <w:adjustRightInd w:val="0"/>
      <w:snapToGrid w:val="0"/>
      <w:spacing w:line="500" w:lineRule="exact"/>
      <w:ind w:firstLine="200" w:firstLineChars="200"/>
    </w:pPr>
    <w:rPr>
      <w:kern w:val="0"/>
      <w:sz w:val="24"/>
    </w:rPr>
  </w:style>
  <w:style w:type="character" w:customStyle="1" w:styleId="265">
    <w:name w:val="标题 8 字符1"/>
    <w:qFormat/>
    <w:uiPriority w:val="0"/>
    <w:rPr>
      <w:rFonts w:ascii="Arial" w:hAnsi="Arial" w:eastAsia="黑体" w:cs="Times New Roman"/>
      <w:sz w:val="24"/>
      <w:szCs w:val="20"/>
    </w:rPr>
  </w:style>
  <w:style w:type="character" w:customStyle="1" w:styleId="266">
    <w:name w:val="明显强调1"/>
    <w:qFormat/>
    <w:uiPriority w:val="0"/>
    <w:rPr>
      <w:b/>
      <w:i/>
      <w:sz w:val="24"/>
      <w:szCs w:val="24"/>
      <w:u w:val="single"/>
    </w:rPr>
  </w:style>
  <w:style w:type="character" w:customStyle="1" w:styleId="267">
    <w:name w:val="Char Char14"/>
    <w:qFormat/>
    <w:uiPriority w:val="0"/>
    <w:rPr>
      <w:rFonts w:ascii="Cambria" w:hAnsi="Cambria"/>
      <w:b/>
      <w:iCs/>
      <w:kern w:val="32"/>
      <w:sz w:val="48"/>
      <w:szCs w:val="32"/>
      <w:lang w:bidi="en-US"/>
    </w:rPr>
  </w:style>
  <w:style w:type="character" w:customStyle="1" w:styleId="268">
    <w:name w:val="HTML 预设格式 字符1"/>
    <w:qFormat/>
    <w:uiPriority w:val="99"/>
    <w:rPr>
      <w:rFonts w:ascii="宋体" w:hAnsi="宋体" w:cs="宋体"/>
      <w:sz w:val="24"/>
      <w:szCs w:val="24"/>
    </w:rPr>
  </w:style>
  <w:style w:type="character" w:customStyle="1" w:styleId="269">
    <w:name w:val="页脚 Char1"/>
    <w:qFormat/>
    <w:uiPriority w:val="99"/>
    <w:rPr>
      <w:rFonts w:eastAsia="宋体"/>
      <w:kern w:val="2"/>
      <w:sz w:val="18"/>
      <w:szCs w:val="18"/>
      <w:lang w:val="en-US" w:eastAsia="zh-CN" w:bidi="ar-SA"/>
    </w:rPr>
  </w:style>
  <w:style w:type="character" w:customStyle="1" w:styleId="270">
    <w:name w:val="标题 3 Char2"/>
    <w:qFormat/>
    <w:uiPriority w:val="0"/>
    <w:rPr>
      <w:b/>
      <w:bCs/>
      <w:kern w:val="2"/>
      <w:sz w:val="28"/>
      <w:szCs w:val="32"/>
    </w:rPr>
  </w:style>
  <w:style w:type="character" w:customStyle="1" w:styleId="271">
    <w:name w:val="文档结构图 Char1"/>
    <w:semiHidden/>
    <w:qFormat/>
    <w:uiPriority w:val="99"/>
    <w:rPr>
      <w:kern w:val="2"/>
      <w:sz w:val="21"/>
      <w:szCs w:val="24"/>
      <w:shd w:val="clear" w:color="auto" w:fill="000080"/>
    </w:rPr>
  </w:style>
  <w:style w:type="character" w:customStyle="1" w:styleId="272">
    <w:name w:val="正文文本 字符1"/>
    <w:qFormat/>
    <w:uiPriority w:val="99"/>
    <w:rPr>
      <w:szCs w:val="24"/>
    </w:rPr>
  </w:style>
  <w:style w:type="character" w:customStyle="1" w:styleId="273">
    <w:name w:val="引用 字符3"/>
    <w:link w:val="274"/>
    <w:qFormat/>
    <w:uiPriority w:val="0"/>
    <w:rPr>
      <w:rFonts w:ascii="Calibri" w:hAnsi="Calibri"/>
      <w:i/>
      <w:sz w:val="24"/>
      <w:szCs w:val="24"/>
      <w:lang w:eastAsia="en-US" w:bidi="en-US"/>
    </w:rPr>
  </w:style>
  <w:style w:type="paragraph" w:styleId="274">
    <w:name w:val="Quote"/>
    <w:basedOn w:val="1"/>
    <w:next w:val="1"/>
    <w:link w:val="273"/>
    <w:qFormat/>
    <w:uiPriority w:val="0"/>
    <w:pPr>
      <w:widowControl/>
      <w:spacing w:before="240"/>
      <w:ind w:left="420" w:hanging="420"/>
      <w:jc w:val="left"/>
    </w:pPr>
    <w:rPr>
      <w:rFonts w:ascii="Calibri" w:hAnsi="Calibri"/>
      <w:i/>
      <w:kern w:val="0"/>
      <w:sz w:val="24"/>
      <w:lang w:eastAsia="en-US" w:bidi="en-US"/>
    </w:rPr>
  </w:style>
  <w:style w:type="character" w:customStyle="1" w:styleId="275">
    <w:name w:val="huei12b"/>
    <w:basedOn w:val="52"/>
    <w:qFormat/>
    <w:uiPriority w:val="0"/>
  </w:style>
  <w:style w:type="character" w:customStyle="1" w:styleId="276">
    <w:name w:val="正文缩进 字符1"/>
    <w:qFormat/>
    <w:uiPriority w:val="0"/>
    <w:rPr>
      <w:szCs w:val="24"/>
    </w:rPr>
  </w:style>
  <w:style w:type="character" w:customStyle="1" w:styleId="277">
    <w:name w:val="样式 宋体 小四 Char"/>
    <w:link w:val="278"/>
    <w:semiHidden/>
    <w:qFormat/>
    <w:uiPriority w:val="0"/>
    <w:rPr>
      <w:rFonts w:ascii="宋体" w:hAnsi="宋体"/>
      <w:kern w:val="2"/>
      <w:sz w:val="24"/>
      <w:szCs w:val="24"/>
    </w:rPr>
  </w:style>
  <w:style w:type="paragraph" w:customStyle="1" w:styleId="278">
    <w:name w:val="样式 宋体 小四"/>
    <w:basedOn w:val="2"/>
    <w:link w:val="277"/>
    <w:semiHidden/>
    <w:qFormat/>
    <w:uiPriority w:val="0"/>
    <w:rPr>
      <w:rFonts w:ascii="宋体" w:hAnsi="宋体"/>
      <w:sz w:val="24"/>
    </w:rPr>
  </w:style>
  <w:style w:type="character" w:customStyle="1" w:styleId="279">
    <w:name w:val="称呼 字符3"/>
    <w:link w:val="19"/>
    <w:qFormat/>
    <w:uiPriority w:val="99"/>
  </w:style>
  <w:style w:type="character" w:customStyle="1" w:styleId="280">
    <w:name w:val="页眉 Char1"/>
    <w:qFormat/>
    <w:uiPriority w:val="0"/>
    <w:rPr>
      <w:rFonts w:eastAsia="宋体"/>
      <w:kern w:val="2"/>
      <w:sz w:val="18"/>
      <w:szCs w:val="18"/>
      <w:lang w:val="en-US" w:eastAsia="zh-CN" w:bidi="ar-SA"/>
    </w:rPr>
  </w:style>
  <w:style w:type="character" w:customStyle="1" w:styleId="281">
    <w:name w:val="正文文本首行缩进 字符2"/>
    <w:semiHidden/>
    <w:qFormat/>
    <w:uiPriority w:val="99"/>
    <w:rPr>
      <w:rFonts w:ascii="Times New Roman" w:hAnsi="Times New Roman" w:eastAsia="宋体" w:cs="Times New Roman"/>
      <w:kern w:val="2"/>
      <w:sz w:val="21"/>
      <w:szCs w:val="24"/>
    </w:rPr>
  </w:style>
  <w:style w:type="character" w:customStyle="1" w:styleId="282">
    <w:name w:val="正文文本缩进 字符1"/>
    <w:qFormat/>
    <w:uiPriority w:val="99"/>
    <w:rPr>
      <w:szCs w:val="24"/>
    </w:rPr>
  </w:style>
  <w:style w:type="character" w:customStyle="1" w:styleId="283">
    <w:name w:val="标题 9 Char1"/>
    <w:qFormat/>
    <w:uiPriority w:val="0"/>
    <w:rPr>
      <w:rFonts w:ascii="Arial" w:hAnsi="Arial" w:eastAsia="黑体"/>
      <w:kern w:val="2"/>
      <w:sz w:val="21"/>
    </w:rPr>
  </w:style>
  <w:style w:type="character" w:customStyle="1" w:styleId="284">
    <w:name w:val="不明显强调1"/>
    <w:qFormat/>
    <w:uiPriority w:val="0"/>
    <w:rPr>
      <w:i/>
      <w:color w:val="5A5A5A"/>
    </w:rPr>
  </w:style>
  <w:style w:type="character" w:customStyle="1" w:styleId="285">
    <w:name w:val="标题 1 字符1"/>
    <w:qFormat/>
    <w:uiPriority w:val="0"/>
    <w:rPr>
      <w:rFonts w:ascii="Times New Roman" w:hAnsi="Times New Roman" w:eastAsia="宋体" w:cs="Times New Roman"/>
      <w:b/>
      <w:bCs/>
      <w:kern w:val="44"/>
      <w:sz w:val="44"/>
      <w:szCs w:val="44"/>
    </w:rPr>
  </w:style>
  <w:style w:type="character" w:customStyle="1" w:styleId="286">
    <w:name w:val="正文文本 Char"/>
    <w:qFormat/>
    <w:uiPriority w:val="0"/>
    <w:rPr>
      <w:rFonts w:eastAsia="宋体"/>
      <w:kern w:val="2"/>
      <w:sz w:val="21"/>
      <w:szCs w:val="24"/>
      <w:lang w:val="en-US" w:eastAsia="zh-CN" w:bidi="ar-SA"/>
    </w:rPr>
  </w:style>
  <w:style w:type="character" w:customStyle="1" w:styleId="287">
    <w:name w:val="正文缩进 字符"/>
    <w:qFormat/>
    <w:uiPriority w:val="0"/>
    <w:rPr>
      <w:rFonts w:eastAsia="宋体"/>
      <w:kern w:val="2"/>
      <w:sz w:val="21"/>
      <w:szCs w:val="24"/>
      <w:lang w:val="en-US" w:eastAsia="zh-CN" w:bidi="ar-SA"/>
    </w:rPr>
  </w:style>
  <w:style w:type="character" w:customStyle="1" w:styleId="288">
    <w:name w:val="Char Char12"/>
    <w:qFormat/>
    <w:uiPriority w:val="0"/>
    <w:rPr>
      <w:rFonts w:ascii="Cambria" w:hAnsi="Cambria"/>
      <w:b/>
      <w:sz w:val="30"/>
      <w:szCs w:val="26"/>
      <w:lang w:bidi="en-US"/>
    </w:rPr>
  </w:style>
  <w:style w:type="character" w:customStyle="1" w:styleId="289">
    <w:name w:val="明显参考1"/>
    <w:qFormat/>
    <w:uiPriority w:val="0"/>
    <w:rPr>
      <w:b/>
      <w:sz w:val="24"/>
      <w:u w:val="single"/>
    </w:rPr>
  </w:style>
  <w:style w:type="character" w:customStyle="1" w:styleId="290">
    <w:name w:val="HTML 预设格式 Char"/>
    <w:qFormat/>
    <w:uiPriority w:val="99"/>
    <w:rPr>
      <w:rFonts w:ascii="宋体" w:hAnsi="宋体" w:cs="宋体"/>
      <w:sz w:val="24"/>
      <w:szCs w:val="24"/>
    </w:rPr>
  </w:style>
  <w:style w:type="character" w:customStyle="1" w:styleId="291">
    <w:name w:val="Char Char6"/>
    <w:qFormat/>
    <w:uiPriority w:val="0"/>
  </w:style>
  <w:style w:type="character" w:customStyle="1" w:styleId="292">
    <w:name w:val="无间隔 字符1"/>
    <w:link w:val="293"/>
    <w:qFormat/>
    <w:uiPriority w:val="0"/>
    <w:rPr>
      <w:kern w:val="2"/>
      <w:sz w:val="21"/>
      <w:szCs w:val="24"/>
    </w:rPr>
  </w:style>
  <w:style w:type="paragraph" w:styleId="293">
    <w:name w:val="No Spacing"/>
    <w:link w:val="29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4">
    <w:name w:val="副标题 字符"/>
    <w:qFormat/>
    <w:uiPriority w:val="0"/>
    <w:rPr>
      <w:b/>
      <w:bCs/>
      <w:kern w:val="28"/>
      <w:sz w:val="32"/>
      <w:szCs w:val="32"/>
    </w:rPr>
  </w:style>
  <w:style w:type="character" w:customStyle="1" w:styleId="295">
    <w:name w:val="Font Style230"/>
    <w:qFormat/>
    <w:uiPriority w:val="0"/>
    <w:rPr>
      <w:rFonts w:ascii="Times New Roman" w:hAnsi="Times New Roman" w:cs="Times New Roman"/>
      <w:sz w:val="22"/>
      <w:szCs w:val="22"/>
    </w:rPr>
  </w:style>
  <w:style w:type="character" w:customStyle="1" w:styleId="296">
    <w:name w:val="Char Char121"/>
    <w:qFormat/>
    <w:uiPriority w:val="0"/>
    <w:rPr>
      <w:rFonts w:ascii="Cambria" w:hAnsi="Cambria"/>
      <w:b/>
      <w:sz w:val="30"/>
      <w:szCs w:val="26"/>
      <w:lang w:bidi="en-US"/>
    </w:rPr>
  </w:style>
  <w:style w:type="character" w:customStyle="1" w:styleId="297">
    <w:name w:val="Char Char10"/>
    <w:qFormat/>
    <w:uiPriority w:val="0"/>
    <w:rPr>
      <w:rFonts w:ascii="Cambria" w:hAnsi="Cambria"/>
      <w:b/>
      <w:iCs/>
      <w:sz w:val="28"/>
      <w:szCs w:val="22"/>
      <w:lang w:eastAsia="en-US" w:bidi="en-US"/>
    </w:rPr>
  </w:style>
  <w:style w:type="character" w:customStyle="1" w:styleId="298">
    <w:name w:val="标题 7 Char1"/>
    <w:qFormat/>
    <w:uiPriority w:val="0"/>
    <w:rPr>
      <w:b/>
      <w:kern w:val="2"/>
      <w:sz w:val="24"/>
    </w:rPr>
  </w:style>
  <w:style w:type="character" w:customStyle="1" w:styleId="299">
    <w:name w:val="Char Char3"/>
    <w:semiHidden/>
    <w:qFormat/>
    <w:uiPriority w:val="0"/>
    <w:rPr>
      <w:sz w:val="18"/>
      <w:szCs w:val="18"/>
    </w:rPr>
  </w:style>
  <w:style w:type="character" w:customStyle="1" w:styleId="300">
    <w:name w:val="Char Char27"/>
    <w:qFormat/>
    <w:uiPriority w:val="0"/>
    <w:rPr>
      <w:rFonts w:eastAsia="宋体"/>
      <w:b/>
      <w:bCs/>
      <w:kern w:val="2"/>
      <w:sz w:val="32"/>
      <w:szCs w:val="32"/>
      <w:lang w:val="en-US" w:eastAsia="zh-CN" w:bidi="ar-SA"/>
    </w:rPr>
  </w:style>
  <w:style w:type="character" w:customStyle="1" w:styleId="301">
    <w:name w:val="称呼 字符"/>
    <w:semiHidden/>
    <w:qFormat/>
    <w:uiPriority w:val="0"/>
    <w:rPr>
      <w:rFonts w:ascii="Times New Roman" w:hAnsi="Times New Roman" w:eastAsia="宋体" w:cs="Times New Roman"/>
      <w:szCs w:val="24"/>
    </w:rPr>
  </w:style>
  <w:style w:type="character" w:customStyle="1" w:styleId="302">
    <w:name w:val="副标题 字符3"/>
    <w:link w:val="33"/>
    <w:qFormat/>
    <w:uiPriority w:val="0"/>
    <w:rPr>
      <w:rFonts w:ascii="Cambria" w:hAnsi="Cambria"/>
      <w:sz w:val="24"/>
      <w:szCs w:val="24"/>
      <w:lang w:eastAsia="en-US" w:bidi="en-US"/>
    </w:rPr>
  </w:style>
  <w:style w:type="character" w:customStyle="1" w:styleId="303">
    <w:name w:val="一 Char"/>
    <w:qFormat/>
    <w:uiPriority w:val="0"/>
    <w:rPr>
      <w:rFonts w:eastAsia="宋体"/>
      <w:b/>
      <w:bCs/>
      <w:kern w:val="2"/>
      <w:sz w:val="32"/>
      <w:szCs w:val="32"/>
      <w:lang w:val="en-US" w:eastAsia="zh-CN" w:bidi="ar-SA"/>
    </w:rPr>
  </w:style>
  <w:style w:type="character" w:customStyle="1" w:styleId="304">
    <w:name w:val="第*章 Char"/>
    <w:qFormat/>
    <w:uiPriority w:val="0"/>
    <w:rPr>
      <w:rFonts w:ascii="Arial" w:hAnsi="Arial" w:eastAsia="黑体"/>
      <w:b/>
      <w:bCs/>
      <w:kern w:val="2"/>
      <w:sz w:val="32"/>
      <w:szCs w:val="32"/>
      <w:lang w:val="en-US" w:eastAsia="zh-CN" w:bidi="ar-SA"/>
    </w:rPr>
  </w:style>
  <w:style w:type="character" w:customStyle="1" w:styleId="305">
    <w:name w:val="标题 9 字符1"/>
    <w:qFormat/>
    <w:uiPriority w:val="0"/>
    <w:rPr>
      <w:rFonts w:ascii="Arial" w:hAnsi="Arial" w:eastAsia="黑体" w:cs="Times New Roman"/>
      <w:szCs w:val="20"/>
    </w:rPr>
  </w:style>
  <w:style w:type="character" w:customStyle="1" w:styleId="306">
    <w:name w:val="脚注文本 字符1"/>
    <w:qFormat/>
    <w:uiPriority w:val="99"/>
    <w:rPr>
      <w:sz w:val="18"/>
      <w:szCs w:val="18"/>
    </w:rPr>
  </w:style>
  <w:style w:type="character" w:customStyle="1" w:styleId="307">
    <w:name w:val="标题 2 Char Char"/>
    <w:qFormat/>
    <w:uiPriority w:val="0"/>
    <w:rPr>
      <w:rFonts w:ascii="Arial" w:hAnsi="Arial" w:eastAsia="宋体"/>
      <w:b/>
      <w:bCs/>
      <w:kern w:val="2"/>
      <w:sz w:val="48"/>
      <w:szCs w:val="32"/>
      <w:lang w:val="en-US" w:eastAsia="zh-CN" w:bidi="ar-SA"/>
    </w:rPr>
  </w:style>
  <w:style w:type="character" w:customStyle="1" w:styleId="308">
    <w:name w:val="e1"/>
    <w:qFormat/>
    <w:uiPriority w:val="0"/>
    <w:rPr>
      <w:rFonts w:cs="Times New Roman"/>
    </w:rPr>
  </w:style>
  <w:style w:type="character" w:customStyle="1" w:styleId="309">
    <w:name w:val="标题 5 Char1"/>
    <w:qFormat/>
    <w:uiPriority w:val="0"/>
    <w:rPr>
      <w:b/>
      <w:bCs/>
      <w:kern w:val="2"/>
      <w:sz w:val="28"/>
      <w:szCs w:val="28"/>
    </w:rPr>
  </w:style>
  <w:style w:type="character" w:customStyle="1" w:styleId="310">
    <w:name w:val="标题 3 字符1"/>
    <w:qFormat/>
    <w:uiPriority w:val="0"/>
    <w:rPr>
      <w:rFonts w:ascii="Times New Roman" w:hAnsi="Times New Roman" w:eastAsia="宋体" w:cs="Times New Roman"/>
      <w:b/>
      <w:bCs/>
      <w:sz w:val="28"/>
      <w:szCs w:val="32"/>
    </w:rPr>
  </w:style>
  <w:style w:type="character" w:customStyle="1" w:styleId="311">
    <w:name w:val="子标题4 Char"/>
    <w:link w:val="312"/>
    <w:qFormat/>
    <w:uiPriority w:val="0"/>
    <w:rPr>
      <w:rFonts w:ascii="仿宋_GB2312" w:eastAsia="仿宋_GB2312"/>
      <w:sz w:val="28"/>
    </w:rPr>
  </w:style>
  <w:style w:type="paragraph" w:customStyle="1" w:styleId="312">
    <w:name w:val="子标题4"/>
    <w:basedOn w:val="1"/>
    <w:link w:val="311"/>
    <w:qFormat/>
    <w:uiPriority w:val="0"/>
    <w:pPr>
      <w:widowControl/>
      <w:spacing w:before="240"/>
      <w:ind w:left="420" w:hanging="420"/>
      <w:jc w:val="left"/>
    </w:pPr>
    <w:rPr>
      <w:rFonts w:ascii="仿宋_GB2312" w:eastAsia="仿宋_GB2312"/>
      <w:kern w:val="0"/>
      <w:sz w:val="28"/>
      <w:szCs w:val="20"/>
    </w:rPr>
  </w:style>
  <w:style w:type="character" w:customStyle="1" w:styleId="313">
    <w:name w:val="标题 3 Char1"/>
    <w:qFormat/>
    <w:uiPriority w:val="0"/>
    <w:rPr>
      <w:rFonts w:ascii="Arial Unicode MS" w:hAnsi="Arial Unicode MS"/>
      <w:b/>
      <w:bCs/>
      <w:kern w:val="2"/>
      <w:sz w:val="32"/>
      <w:szCs w:val="32"/>
    </w:rPr>
  </w:style>
  <w:style w:type="character" w:customStyle="1" w:styleId="314">
    <w:name w:val="ca-3"/>
    <w:basedOn w:val="52"/>
    <w:qFormat/>
    <w:uiPriority w:val="0"/>
  </w:style>
  <w:style w:type="character" w:customStyle="1" w:styleId="315">
    <w:name w:val="批注主题 字符1"/>
    <w:semiHidden/>
    <w:qFormat/>
    <w:uiPriority w:val="99"/>
    <w:rPr>
      <w:b/>
      <w:bCs/>
      <w:szCs w:val="24"/>
    </w:rPr>
  </w:style>
  <w:style w:type="character" w:customStyle="1" w:styleId="316">
    <w:name w:val="日期 Char1"/>
    <w:qFormat/>
    <w:uiPriority w:val="0"/>
    <w:rPr>
      <w:kern w:val="2"/>
      <w:sz w:val="21"/>
      <w:szCs w:val="24"/>
    </w:rPr>
  </w:style>
  <w:style w:type="character" w:customStyle="1" w:styleId="317">
    <w:name w:val="kleintab1"/>
    <w:qFormat/>
    <w:uiPriority w:val="0"/>
    <w:rPr>
      <w:rFonts w:cs="Times New Roman"/>
    </w:rPr>
  </w:style>
  <w:style w:type="character" w:customStyle="1" w:styleId="318">
    <w:name w:val="样式4 Char"/>
    <w:link w:val="319"/>
    <w:qFormat/>
    <w:uiPriority w:val="0"/>
    <w:rPr>
      <w:rFonts w:ascii="Arial" w:hAnsi="Arial" w:eastAsia="黑体"/>
      <w:color w:val="000000"/>
      <w:kern w:val="2"/>
      <w:sz w:val="30"/>
      <w:szCs w:val="32"/>
    </w:rPr>
  </w:style>
  <w:style w:type="paragraph" w:customStyle="1" w:styleId="319">
    <w:name w:val="样式4"/>
    <w:basedOn w:val="5"/>
    <w:link w:val="318"/>
    <w:qFormat/>
    <w:uiPriority w:val="0"/>
    <w:pPr>
      <w:tabs>
        <w:tab w:val="left" w:pos="113"/>
        <w:tab w:val="left" w:pos="140"/>
      </w:tabs>
      <w:adjustRightInd w:val="0"/>
      <w:snapToGrid w:val="0"/>
      <w:spacing w:before="156" w:beforeLines="50" w:after="156" w:afterLines="50" w:line="360" w:lineRule="auto"/>
      <w:jc w:val="left"/>
    </w:pPr>
    <w:rPr>
      <w:rFonts w:ascii="Arial" w:hAnsi="Arial" w:eastAsia="黑体"/>
      <w:b w:val="0"/>
      <w:bCs w:val="0"/>
      <w:color w:val="000000"/>
      <w:sz w:val="30"/>
    </w:rPr>
  </w:style>
  <w:style w:type="character" w:customStyle="1" w:styleId="320">
    <w:name w:val="ca-1"/>
    <w:basedOn w:val="52"/>
    <w:qFormat/>
    <w:uiPriority w:val="0"/>
  </w:style>
  <w:style w:type="character" w:customStyle="1" w:styleId="321">
    <w:name w:val="标题 1 Char1"/>
    <w:qFormat/>
    <w:uiPriority w:val="0"/>
    <w:rPr>
      <w:rFonts w:eastAsia="宋体"/>
      <w:b/>
      <w:bCs/>
      <w:kern w:val="44"/>
      <w:sz w:val="44"/>
      <w:szCs w:val="44"/>
      <w:lang w:val="en-US" w:eastAsia="zh-CN" w:bidi="ar-SA"/>
    </w:rPr>
  </w:style>
  <w:style w:type="character" w:customStyle="1" w:styleId="322">
    <w:name w:val="Char Char61"/>
    <w:basedOn w:val="52"/>
    <w:qFormat/>
    <w:uiPriority w:val="0"/>
  </w:style>
  <w:style w:type="character" w:customStyle="1" w:styleId="323">
    <w:name w:val="Char Char8"/>
    <w:qFormat/>
    <w:uiPriority w:val="0"/>
    <w:rPr>
      <w:rFonts w:ascii="Cambria" w:hAnsi="Cambria"/>
      <w:b/>
      <w:sz w:val="13"/>
      <w:szCs w:val="22"/>
      <w:lang w:eastAsia="en-US" w:bidi="en-US"/>
    </w:rPr>
  </w:style>
  <w:style w:type="character" w:customStyle="1" w:styleId="324">
    <w:name w:val="样式 正文缩进正文（首行缩进两字）正文2正文（首行缩进两字） Char Char Char Char Char Char ...1 Char"/>
    <w:link w:val="325"/>
    <w:qFormat/>
    <w:uiPriority w:val="0"/>
    <w:rPr>
      <w:rFonts w:ascii="宋体" w:hAnsi="宋体" w:cs="宋体"/>
      <w:kern w:val="2"/>
      <w:sz w:val="28"/>
    </w:rPr>
  </w:style>
  <w:style w:type="paragraph" w:customStyle="1" w:styleId="325">
    <w:name w:val="样式 正文缩进正文（首行缩进两字）正文2正文（首行缩进两字） Char Char Char Char Char Char ...1"/>
    <w:basedOn w:val="10"/>
    <w:link w:val="324"/>
    <w:qFormat/>
    <w:uiPriority w:val="0"/>
    <w:pPr>
      <w:ind w:firstLine="560" w:firstLineChars="200"/>
    </w:pPr>
    <w:rPr>
      <w:rFonts w:ascii="宋体" w:hAnsi="宋体" w:cs="宋体"/>
      <w:sz w:val="28"/>
    </w:rPr>
  </w:style>
  <w:style w:type="character" w:customStyle="1" w:styleId="326">
    <w:name w:val="样式6 Char"/>
    <w:link w:val="327"/>
    <w:qFormat/>
    <w:uiPriority w:val="0"/>
    <w:rPr>
      <w:rFonts w:ascii="Arial" w:hAnsi="Arial" w:eastAsia="黑体"/>
      <w:bCs/>
      <w:kern w:val="2"/>
      <w:sz w:val="28"/>
      <w:szCs w:val="28"/>
    </w:rPr>
  </w:style>
  <w:style w:type="paragraph" w:customStyle="1" w:styleId="327">
    <w:name w:val="样式6"/>
    <w:basedOn w:val="1"/>
    <w:link w:val="326"/>
    <w:qFormat/>
    <w:uiPriority w:val="0"/>
    <w:pPr>
      <w:keepNext/>
      <w:keepLines/>
      <w:tabs>
        <w:tab w:val="left" w:pos="700"/>
      </w:tabs>
      <w:adjustRightInd w:val="0"/>
      <w:snapToGrid w:val="0"/>
      <w:spacing w:before="156" w:beforeLines="50" w:after="156" w:afterLines="50" w:line="360" w:lineRule="auto"/>
      <w:ind w:left="700"/>
      <w:jc w:val="left"/>
      <w:outlineLvl w:val="3"/>
    </w:pPr>
    <w:rPr>
      <w:rFonts w:ascii="Arial" w:hAnsi="Arial" w:eastAsia="黑体"/>
      <w:bCs/>
      <w:sz w:val="28"/>
      <w:szCs w:val="28"/>
    </w:rPr>
  </w:style>
  <w:style w:type="character" w:customStyle="1" w:styleId="328">
    <w:name w:val="明显引用 字符"/>
    <w:qFormat/>
    <w:uiPriority w:val="0"/>
    <w:rPr>
      <w:rFonts w:ascii="Times New Roman" w:hAnsi="Times New Roman" w:eastAsia="宋体" w:cs="Times New Roman"/>
      <w:i/>
      <w:iCs/>
      <w:color w:val="4472C4"/>
      <w:szCs w:val="24"/>
    </w:rPr>
  </w:style>
  <w:style w:type="character" w:customStyle="1" w:styleId="329">
    <w:name w:val="引用 Char1"/>
    <w:qFormat/>
    <w:uiPriority w:val="29"/>
    <w:rPr>
      <w:rFonts w:ascii="Times New Roman" w:hAnsi="Times New Roman" w:eastAsia="宋体" w:cs="Times New Roman"/>
      <w:i/>
      <w:iCs/>
      <w:color w:val="000000"/>
      <w:szCs w:val="24"/>
    </w:rPr>
  </w:style>
  <w:style w:type="character" w:customStyle="1" w:styleId="330">
    <w:name w:val="l"/>
    <w:qFormat/>
    <w:uiPriority w:val="0"/>
    <w:rPr>
      <w:rFonts w:ascii="仿宋_GB2312" w:hAnsi="Times New Roman" w:eastAsia="仿宋_GB2312"/>
      <w:b/>
      <w:color w:val="auto"/>
    </w:rPr>
  </w:style>
  <w:style w:type="character" w:customStyle="1" w:styleId="331">
    <w:name w:val="正文1 字符"/>
    <w:qFormat/>
    <w:uiPriority w:val="0"/>
    <w:rPr>
      <w:rFonts w:ascii="仿宋" w:hAnsi="仿宋" w:eastAsia="仿宋" w:cs="仿宋"/>
      <w:kern w:val="2"/>
      <w:sz w:val="28"/>
      <w:szCs w:val="28"/>
    </w:rPr>
  </w:style>
  <w:style w:type="character" w:customStyle="1" w:styleId="332">
    <w:name w:val="z-窗体顶端 字符"/>
    <w:semiHidden/>
    <w:qFormat/>
    <w:uiPriority w:val="0"/>
    <w:rPr>
      <w:rFonts w:ascii="Arial" w:hAnsi="Arial" w:eastAsia="宋体" w:cs="Arial"/>
      <w:vanish/>
      <w:sz w:val="16"/>
      <w:szCs w:val="16"/>
    </w:rPr>
  </w:style>
  <w:style w:type="character" w:customStyle="1" w:styleId="333">
    <w:name w:val="批注文字 Char2"/>
    <w:semiHidden/>
    <w:qFormat/>
    <w:uiPriority w:val="99"/>
    <w:rPr>
      <w:rFonts w:eastAsia="宋体"/>
      <w:kern w:val="2"/>
      <w:sz w:val="21"/>
      <w:szCs w:val="24"/>
      <w:lang w:val="en-US" w:eastAsia="zh-CN" w:bidi="ar-SA"/>
    </w:rPr>
  </w:style>
  <w:style w:type="character" w:customStyle="1" w:styleId="334">
    <w:name w:val="批注主题 Char"/>
    <w:link w:val="335"/>
    <w:semiHidden/>
    <w:qFormat/>
    <w:uiPriority w:val="0"/>
    <w:rPr>
      <w:b/>
      <w:bCs/>
      <w:szCs w:val="24"/>
    </w:rPr>
  </w:style>
  <w:style w:type="paragraph" w:customStyle="1" w:styleId="335">
    <w:name w:val="批注主题1"/>
    <w:basedOn w:val="18"/>
    <w:next w:val="18"/>
    <w:link w:val="334"/>
    <w:semiHidden/>
    <w:qFormat/>
    <w:uiPriority w:val="0"/>
    <w:pPr>
      <w:jc w:val="both"/>
    </w:pPr>
    <w:rPr>
      <w:rFonts w:ascii="Times New Roman" w:hAnsi="Times New Roman"/>
      <w:b/>
      <w:bCs/>
    </w:rPr>
  </w:style>
  <w:style w:type="character" w:customStyle="1" w:styleId="336">
    <w:name w:val="标题 2 Char1"/>
    <w:qFormat/>
    <w:uiPriority w:val="0"/>
    <w:rPr>
      <w:rFonts w:ascii="Arial" w:hAnsi="Arial" w:eastAsia="黑体"/>
      <w:b/>
      <w:bCs/>
      <w:kern w:val="2"/>
      <w:sz w:val="32"/>
      <w:szCs w:val="32"/>
      <w:lang w:val="en-US" w:eastAsia="zh-CN" w:bidi="ar-SA"/>
    </w:rPr>
  </w:style>
  <w:style w:type="character" w:customStyle="1" w:styleId="337">
    <w:name w:val="z-窗体底端 字符3"/>
    <w:link w:val="338"/>
    <w:qFormat/>
    <w:uiPriority w:val="0"/>
    <w:rPr>
      <w:rFonts w:ascii="Arial" w:hAnsi="Arial" w:cs="Arial"/>
      <w:vanish/>
      <w:sz w:val="16"/>
      <w:szCs w:val="16"/>
    </w:rPr>
  </w:style>
  <w:style w:type="paragraph" w:customStyle="1" w:styleId="338">
    <w:name w:val="z-窗体底端1"/>
    <w:basedOn w:val="1"/>
    <w:next w:val="1"/>
    <w:link w:val="337"/>
    <w:qFormat/>
    <w:uiPriority w:val="0"/>
    <w:pPr>
      <w:widowControl/>
      <w:pBdr>
        <w:top w:val="single" w:color="auto" w:sz="6" w:space="1"/>
      </w:pBdr>
      <w:jc w:val="center"/>
    </w:pPr>
    <w:rPr>
      <w:rFonts w:ascii="Arial" w:hAnsi="Arial" w:cs="Arial"/>
      <w:vanish/>
      <w:kern w:val="0"/>
      <w:sz w:val="16"/>
      <w:szCs w:val="16"/>
    </w:rPr>
  </w:style>
  <w:style w:type="character" w:customStyle="1" w:styleId="339">
    <w:name w:val="正文1 Char"/>
    <w:link w:val="340"/>
    <w:qFormat/>
    <w:uiPriority w:val="0"/>
    <w:rPr>
      <w:rFonts w:ascii="宋体" w:hAnsi="宋体"/>
      <w:bCs/>
      <w:color w:val="000000"/>
      <w:kern w:val="2"/>
      <w:sz w:val="24"/>
      <w:szCs w:val="24"/>
    </w:rPr>
  </w:style>
  <w:style w:type="paragraph" w:customStyle="1" w:styleId="340">
    <w:name w:val="正文1"/>
    <w:basedOn w:val="1"/>
    <w:link w:val="339"/>
    <w:qFormat/>
    <w:uiPriority w:val="0"/>
    <w:pPr>
      <w:tabs>
        <w:tab w:val="left" w:pos="900"/>
      </w:tabs>
      <w:overflowPunct w:val="0"/>
      <w:spacing w:line="360" w:lineRule="auto"/>
      <w:ind w:firstLine="514" w:firstLineChars="214"/>
    </w:pPr>
    <w:rPr>
      <w:rFonts w:ascii="宋体" w:hAnsi="宋体"/>
      <w:bCs/>
      <w:color w:val="000000"/>
      <w:sz w:val="24"/>
    </w:rPr>
  </w:style>
  <w:style w:type="character" w:customStyle="1" w:styleId="341">
    <w:name w:val="Char Char31"/>
    <w:semiHidden/>
    <w:qFormat/>
    <w:uiPriority w:val="0"/>
    <w:rPr>
      <w:sz w:val="18"/>
      <w:szCs w:val="18"/>
    </w:rPr>
  </w:style>
  <w:style w:type="character" w:customStyle="1" w:styleId="342">
    <w:name w:val="不明显参考1"/>
    <w:qFormat/>
    <w:uiPriority w:val="0"/>
    <w:rPr>
      <w:sz w:val="24"/>
      <w:szCs w:val="24"/>
      <w:u w:val="single"/>
    </w:rPr>
  </w:style>
  <w:style w:type="character" w:customStyle="1" w:styleId="343">
    <w:name w:val="font81"/>
    <w:qFormat/>
    <w:uiPriority w:val="0"/>
    <w:rPr>
      <w:rFonts w:hint="eastAsia" w:ascii="宋体" w:hAnsi="宋体" w:eastAsia="宋体"/>
      <w:b/>
      <w:bCs/>
      <w:color w:val="000000"/>
      <w:sz w:val="22"/>
      <w:szCs w:val="22"/>
      <w:u w:val="none"/>
    </w:rPr>
  </w:style>
  <w:style w:type="character" w:customStyle="1" w:styleId="344">
    <w:name w:val="正文文本 2 Char"/>
    <w:qFormat/>
    <w:uiPriority w:val="0"/>
    <w:rPr>
      <w:kern w:val="2"/>
      <w:sz w:val="21"/>
    </w:rPr>
  </w:style>
  <w:style w:type="character" w:customStyle="1" w:styleId="345">
    <w:name w:val="SB-BG Char"/>
    <w:link w:val="346"/>
    <w:qFormat/>
    <w:uiPriority w:val="0"/>
    <w:rPr>
      <w:kern w:val="2"/>
      <w:sz w:val="21"/>
      <w:szCs w:val="21"/>
    </w:rPr>
  </w:style>
  <w:style w:type="paragraph" w:customStyle="1" w:styleId="346">
    <w:name w:val="SB-BG"/>
    <w:basedOn w:val="1"/>
    <w:link w:val="345"/>
    <w:qFormat/>
    <w:uiPriority w:val="0"/>
    <w:pPr>
      <w:tabs>
        <w:tab w:val="left" w:pos="1305"/>
      </w:tabs>
      <w:adjustRightInd w:val="0"/>
      <w:snapToGrid w:val="0"/>
      <w:spacing w:line="400" w:lineRule="exact"/>
      <w:jc w:val="center"/>
    </w:pPr>
    <w:rPr>
      <w:szCs w:val="21"/>
    </w:rPr>
  </w:style>
  <w:style w:type="character" w:customStyle="1" w:styleId="347">
    <w:name w:val="页脚 字符1"/>
    <w:qFormat/>
    <w:uiPriority w:val="99"/>
    <w:rPr>
      <w:sz w:val="18"/>
      <w:szCs w:val="18"/>
    </w:rPr>
  </w:style>
  <w:style w:type="character" w:customStyle="1" w:styleId="348">
    <w:name w:val="Char Char2"/>
    <w:qFormat/>
    <w:uiPriority w:val="0"/>
    <w:rPr>
      <w:sz w:val="18"/>
      <w:szCs w:val="18"/>
    </w:rPr>
  </w:style>
  <w:style w:type="character" w:customStyle="1" w:styleId="349">
    <w:name w:val="apple-converted-space"/>
    <w:basedOn w:val="52"/>
    <w:qFormat/>
    <w:uiPriority w:val="0"/>
  </w:style>
  <w:style w:type="character" w:customStyle="1" w:styleId="350">
    <w:name w:val="Char Char91"/>
    <w:qFormat/>
    <w:uiPriority w:val="0"/>
    <w:rPr>
      <w:rFonts w:ascii="Cambria" w:hAnsi="Cambria"/>
      <w:iCs/>
      <w:sz w:val="18"/>
      <w:szCs w:val="22"/>
      <w:lang w:eastAsia="en-US" w:bidi="en-US"/>
    </w:rPr>
  </w:style>
  <w:style w:type="character" w:customStyle="1" w:styleId="351">
    <w:name w:val="引用 字符1"/>
    <w:qFormat/>
    <w:uiPriority w:val="0"/>
    <w:rPr>
      <w:rFonts w:ascii="Calibri" w:hAnsi="Calibri"/>
      <w:i/>
      <w:sz w:val="24"/>
      <w:szCs w:val="24"/>
      <w:lang w:eastAsia="en-US" w:bidi="en-US"/>
    </w:rPr>
  </w:style>
  <w:style w:type="character" w:customStyle="1" w:styleId="352">
    <w:name w:val="标题 字符1"/>
    <w:qFormat/>
    <w:uiPriority w:val="10"/>
    <w:rPr>
      <w:rFonts w:ascii="Cambria" w:hAnsi="Cambria"/>
      <w:b/>
      <w:bCs/>
      <w:sz w:val="32"/>
      <w:szCs w:val="32"/>
    </w:rPr>
  </w:style>
  <w:style w:type="character" w:customStyle="1" w:styleId="353">
    <w:name w:val="heading 1 Char1"/>
    <w:qFormat/>
    <w:uiPriority w:val="0"/>
    <w:rPr>
      <w:rFonts w:ascii="Times New Roman" w:hAnsi="Times New Roman"/>
      <w:b/>
      <w:bCs/>
      <w:kern w:val="44"/>
      <w:sz w:val="44"/>
      <w:szCs w:val="44"/>
    </w:rPr>
  </w:style>
  <w:style w:type="character" w:customStyle="1" w:styleId="354">
    <w:name w:val="标题 6 Char1"/>
    <w:qFormat/>
    <w:uiPriority w:val="0"/>
    <w:rPr>
      <w:rFonts w:ascii="Cambria" w:hAnsi="Cambria"/>
      <w:b/>
      <w:bCs/>
      <w:kern w:val="2"/>
      <w:sz w:val="24"/>
      <w:szCs w:val="24"/>
    </w:rPr>
  </w:style>
  <w:style w:type="character" w:customStyle="1" w:styleId="355">
    <w:name w:val="未处理的提及1"/>
    <w:unhideWhenUsed/>
    <w:qFormat/>
    <w:uiPriority w:val="99"/>
    <w:rPr>
      <w:color w:val="605E5C"/>
      <w:shd w:val="clear" w:color="auto" w:fill="E1DFDD"/>
    </w:rPr>
  </w:style>
  <w:style w:type="character" w:customStyle="1" w:styleId="356">
    <w:name w:val="纯文本 字符1"/>
    <w:qFormat/>
    <w:uiPriority w:val="0"/>
    <w:rPr>
      <w:rFonts w:ascii="宋体" w:hAnsi="Courier New" w:cs="Courier New"/>
      <w:szCs w:val="21"/>
    </w:rPr>
  </w:style>
  <w:style w:type="character" w:customStyle="1" w:styleId="357">
    <w:name w:val="样式1 Char"/>
    <w:link w:val="174"/>
    <w:qFormat/>
    <w:uiPriority w:val="0"/>
    <w:rPr>
      <w:rFonts w:ascii="宋体" w:hAnsi="宋体"/>
      <w:b/>
      <w:kern w:val="2"/>
      <w:sz w:val="24"/>
    </w:rPr>
  </w:style>
  <w:style w:type="character" w:customStyle="1" w:styleId="358">
    <w:name w:val="正文文本缩进 3 Char2"/>
    <w:qFormat/>
    <w:uiPriority w:val="99"/>
    <w:rPr>
      <w:kern w:val="2"/>
      <w:sz w:val="16"/>
      <w:szCs w:val="16"/>
    </w:rPr>
  </w:style>
  <w:style w:type="character" w:customStyle="1" w:styleId="359">
    <w:name w:val="正文文本首行缩进 2 字符2"/>
    <w:semiHidden/>
    <w:qFormat/>
    <w:uiPriority w:val="99"/>
    <w:rPr>
      <w:rFonts w:ascii="Times New Roman" w:hAnsi="Times New Roman" w:eastAsia="宋体" w:cs="Times New Roman"/>
      <w:kern w:val="2"/>
      <w:sz w:val="21"/>
      <w:szCs w:val="24"/>
    </w:rPr>
  </w:style>
  <w:style w:type="character" w:customStyle="1" w:styleId="360">
    <w:name w:val="文档结构图 字符1"/>
    <w:semiHidden/>
    <w:qFormat/>
    <w:uiPriority w:val="99"/>
    <w:rPr>
      <w:szCs w:val="24"/>
      <w:shd w:val="clear" w:color="auto" w:fill="000080"/>
    </w:rPr>
  </w:style>
  <w:style w:type="character" w:customStyle="1" w:styleId="361">
    <w:name w:val="中文正文、 Char"/>
    <w:link w:val="362"/>
    <w:qFormat/>
    <w:uiPriority w:val="0"/>
    <w:rPr>
      <w:szCs w:val="21"/>
    </w:rPr>
  </w:style>
  <w:style w:type="paragraph" w:customStyle="1" w:styleId="362">
    <w:name w:val="中文正文、"/>
    <w:basedOn w:val="1"/>
    <w:link w:val="361"/>
    <w:qFormat/>
    <w:uiPriority w:val="0"/>
    <w:pPr>
      <w:spacing w:line="360" w:lineRule="auto"/>
      <w:ind w:firstLine="420" w:firstLineChars="200"/>
    </w:pPr>
    <w:rPr>
      <w:kern w:val="0"/>
      <w:sz w:val="20"/>
      <w:szCs w:val="21"/>
    </w:rPr>
  </w:style>
  <w:style w:type="character" w:customStyle="1" w:styleId="363">
    <w:name w:val="Char Char81"/>
    <w:qFormat/>
    <w:uiPriority w:val="0"/>
    <w:rPr>
      <w:rFonts w:ascii="Cambria" w:hAnsi="Cambria"/>
      <w:b/>
      <w:sz w:val="13"/>
      <w:szCs w:val="22"/>
      <w:lang w:eastAsia="en-US" w:bidi="en-US"/>
    </w:rPr>
  </w:style>
  <w:style w:type="character" w:customStyle="1" w:styleId="364">
    <w:name w:val="*正文 Char"/>
    <w:link w:val="365"/>
    <w:qFormat/>
    <w:uiPriority w:val="0"/>
    <w:rPr>
      <w:rFonts w:ascii="宋体" w:hAnsi="宋体" w:eastAsia="仿宋"/>
      <w:kern w:val="2"/>
      <w:sz w:val="28"/>
    </w:rPr>
  </w:style>
  <w:style w:type="paragraph" w:customStyle="1" w:styleId="365">
    <w:name w:val="*正文"/>
    <w:basedOn w:val="1"/>
    <w:link w:val="364"/>
    <w:qFormat/>
    <w:uiPriority w:val="0"/>
    <w:pPr>
      <w:spacing w:line="360" w:lineRule="auto"/>
      <w:ind w:firstLine="200" w:firstLineChars="200"/>
    </w:pPr>
    <w:rPr>
      <w:rFonts w:ascii="宋体" w:hAnsi="宋体" w:eastAsia="仿宋"/>
      <w:sz w:val="28"/>
      <w:szCs w:val="20"/>
    </w:rPr>
  </w:style>
  <w:style w:type="character" w:customStyle="1" w:styleId="366">
    <w:name w:val="表正文 Char2"/>
    <w:qFormat/>
    <w:uiPriority w:val="0"/>
    <w:rPr>
      <w:rFonts w:eastAsia="宋体"/>
      <w:kern w:val="2"/>
      <w:sz w:val="21"/>
      <w:szCs w:val="24"/>
      <w:lang w:val="en-US" w:eastAsia="zh-CN" w:bidi="ar-SA"/>
    </w:rPr>
  </w:style>
  <w:style w:type="character" w:customStyle="1" w:styleId="367">
    <w:name w:val="称呼 Char1"/>
    <w:qFormat/>
    <w:uiPriority w:val="0"/>
    <w:rPr>
      <w:kern w:val="2"/>
      <w:sz w:val="21"/>
      <w:szCs w:val="24"/>
    </w:rPr>
  </w:style>
  <w:style w:type="character" w:customStyle="1" w:styleId="368">
    <w:name w:val="标题 2 字符1"/>
    <w:qFormat/>
    <w:uiPriority w:val="0"/>
    <w:rPr>
      <w:rFonts w:ascii="Arial" w:hAnsi="Arial" w:eastAsia="黑体" w:cs="Times New Roman"/>
      <w:b/>
      <w:bCs/>
      <w:sz w:val="32"/>
      <w:szCs w:val="32"/>
    </w:rPr>
  </w:style>
  <w:style w:type="character" w:customStyle="1" w:styleId="369">
    <w:name w:val="正文首行缩进 Char1"/>
    <w:qFormat/>
    <w:uiPriority w:val="99"/>
    <w:rPr>
      <w:rFonts w:ascii="Calibri" w:hAnsi="Calibri"/>
      <w:kern w:val="2"/>
      <w:sz w:val="21"/>
      <w:szCs w:val="22"/>
    </w:rPr>
  </w:style>
  <w:style w:type="character" w:customStyle="1" w:styleId="370">
    <w:name w:val="样式2 Char"/>
    <w:link w:val="371"/>
    <w:qFormat/>
    <w:uiPriority w:val="0"/>
    <w:rPr>
      <w:rFonts w:ascii="黑体" w:hAnsi="Cambria" w:eastAsia="黑体"/>
      <w:kern w:val="10"/>
      <w:sz w:val="28"/>
      <w:szCs w:val="28"/>
    </w:rPr>
  </w:style>
  <w:style w:type="paragraph" w:customStyle="1" w:styleId="371">
    <w:name w:val="样式2"/>
    <w:basedOn w:val="7"/>
    <w:link w:val="370"/>
    <w:qFormat/>
    <w:uiPriority w:val="0"/>
    <w:pPr>
      <w:numPr>
        <w:ilvl w:val="0"/>
        <w:numId w:val="0"/>
      </w:numPr>
      <w:spacing w:line="400" w:lineRule="exact"/>
    </w:pPr>
    <w:rPr>
      <w:rFonts w:ascii="黑体" w:hAnsi="Cambria" w:eastAsia="黑体"/>
      <w:b w:val="0"/>
      <w:kern w:val="10"/>
      <w:szCs w:val="28"/>
    </w:rPr>
  </w:style>
  <w:style w:type="character" w:customStyle="1" w:styleId="372">
    <w:name w:val="Char Char4"/>
    <w:qFormat/>
    <w:uiPriority w:val="0"/>
    <w:rPr>
      <w:rFonts w:ascii="Arial" w:hAnsi="Arial" w:eastAsia="黑体" w:cs="Times New Roman"/>
      <w:b/>
      <w:bCs/>
      <w:sz w:val="36"/>
      <w:szCs w:val="32"/>
    </w:rPr>
  </w:style>
  <w:style w:type="character" w:customStyle="1" w:styleId="373">
    <w:name w:val="样式-2 Char"/>
    <w:link w:val="374"/>
    <w:qFormat/>
    <w:uiPriority w:val="0"/>
    <w:rPr>
      <w:rFonts w:ascii="Cambria" w:hAnsi="Cambria"/>
      <w:b/>
      <w:bCs/>
      <w:iCs/>
      <w:sz w:val="44"/>
      <w:szCs w:val="28"/>
      <w:lang w:bidi="en-US"/>
    </w:rPr>
  </w:style>
  <w:style w:type="paragraph" w:customStyle="1" w:styleId="374">
    <w:name w:val="样式-2"/>
    <w:basedOn w:val="4"/>
    <w:link w:val="373"/>
    <w:qFormat/>
    <w:uiPriority w:val="0"/>
    <w:pPr>
      <w:keepLines w:val="0"/>
      <w:widowControl/>
      <w:spacing w:before="240" w:after="60" w:line="240" w:lineRule="auto"/>
      <w:ind w:left="397" w:hanging="340"/>
      <w:jc w:val="left"/>
    </w:pPr>
    <w:rPr>
      <w:rFonts w:ascii="Cambria" w:hAnsi="Cambria" w:eastAsia="宋体"/>
      <w:iCs/>
      <w:kern w:val="0"/>
      <w:sz w:val="44"/>
      <w:szCs w:val="28"/>
      <w:lang w:bidi="en-US"/>
    </w:rPr>
  </w:style>
  <w:style w:type="character" w:customStyle="1" w:styleId="375">
    <w:name w:val="正文 首行缩进:2字符 Char"/>
    <w:link w:val="376"/>
    <w:semiHidden/>
    <w:qFormat/>
    <w:uiPriority w:val="0"/>
    <w:rPr>
      <w:rFonts w:ascii="宋体"/>
      <w:kern w:val="2"/>
      <w:sz w:val="24"/>
    </w:rPr>
  </w:style>
  <w:style w:type="paragraph" w:customStyle="1" w:styleId="376">
    <w:name w:val="正文 首行缩进:2字符"/>
    <w:basedOn w:val="1"/>
    <w:link w:val="375"/>
    <w:semiHidden/>
    <w:qFormat/>
    <w:uiPriority w:val="0"/>
    <w:pPr>
      <w:spacing w:line="360" w:lineRule="auto"/>
      <w:ind w:firstLine="480" w:firstLineChars="200"/>
    </w:pPr>
    <w:rPr>
      <w:rFonts w:ascii="宋体"/>
      <w:sz w:val="24"/>
      <w:szCs w:val="20"/>
    </w:rPr>
  </w:style>
  <w:style w:type="character" w:customStyle="1" w:styleId="377">
    <w:name w:val="Char Char141"/>
    <w:qFormat/>
    <w:uiPriority w:val="0"/>
    <w:rPr>
      <w:rFonts w:ascii="Cambria" w:hAnsi="Cambria"/>
      <w:b/>
      <w:iCs/>
      <w:kern w:val="32"/>
      <w:sz w:val="48"/>
      <w:szCs w:val="32"/>
      <w:lang w:bidi="en-US"/>
    </w:rPr>
  </w:style>
  <w:style w:type="character" w:customStyle="1" w:styleId="378">
    <w:name w:val="标题 4 Char1"/>
    <w:qFormat/>
    <w:uiPriority w:val="0"/>
    <w:rPr>
      <w:rFonts w:eastAsia="黑体"/>
      <w:color w:val="000000"/>
      <w:sz w:val="21"/>
      <w:szCs w:val="24"/>
    </w:rPr>
  </w:style>
  <w:style w:type="character" w:customStyle="1" w:styleId="379">
    <w:name w:val="Char Char21"/>
    <w:qFormat/>
    <w:uiPriority w:val="0"/>
    <w:rPr>
      <w:sz w:val="18"/>
      <w:szCs w:val="18"/>
    </w:rPr>
  </w:style>
  <w:style w:type="character" w:customStyle="1" w:styleId="380">
    <w:name w:val="Char Char41"/>
    <w:qFormat/>
    <w:uiPriority w:val="0"/>
    <w:rPr>
      <w:rFonts w:ascii="Arial" w:hAnsi="Arial" w:eastAsia="黑体" w:cs="Times New Roman"/>
      <w:b/>
      <w:bCs/>
      <w:sz w:val="36"/>
      <w:szCs w:val="32"/>
    </w:rPr>
  </w:style>
  <w:style w:type="character" w:customStyle="1" w:styleId="381">
    <w:name w:val="文档结构图 Char"/>
    <w:semiHidden/>
    <w:qFormat/>
    <w:uiPriority w:val="0"/>
    <w:rPr>
      <w:rFonts w:eastAsia="宋体"/>
      <w:kern w:val="2"/>
      <w:sz w:val="21"/>
      <w:szCs w:val="24"/>
      <w:lang w:val="en-US" w:eastAsia="zh-CN" w:bidi="ar-SA"/>
    </w:rPr>
  </w:style>
  <w:style w:type="character" w:customStyle="1" w:styleId="382">
    <w:name w:val="题注 字符1"/>
    <w:qFormat/>
    <w:uiPriority w:val="0"/>
    <w:rPr>
      <w:rFonts w:ascii="Arial" w:hAnsi="Arial" w:eastAsia="仿宋_GB2312" w:cs="Arial"/>
      <w:sz w:val="24"/>
    </w:rPr>
  </w:style>
  <w:style w:type="character" w:customStyle="1" w:styleId="383">
    <w:name w:val="Char Char131"/>
    <w:qFormat/>
    <w:uiPriority w:val="0"/>
    <w:rPr>
      <w:rFonts w:ascii="Calibri" w:hAnsi="Calibri" w:eastAsia="宋体"/>
      <w:kern w:val="2"/>
      <w:sz w:val="18"/>
      <w:szCs w:val="18"/>
      <w:lang w:val="en-US" w:eastAsia="zh-CN" w:bidi="ar-SA"/>
    </w:rPr>
  </w:style>
  <w:style w:type="character" w:customStyle="1" w:styleId="384">
    <w:name w:val="标题 Char"/>
    <w:qFormat/>
    <w:uiPriority w:val="0"/>
    <w:rPr>
      <w:rFonts w:ascii="Cambria" w:hAnsi="Cambria" w:eastAsia="宋体"/>
      <w:b/>
      <w:bCs/>
      <w:kern w:val="2"/>
      <w:sz w:val="32"/>
      <w:szCs w:val="32"/>
      <w:lang w:val="en-US" w:eastAsia="zh-CN" w:bidi="ar-SA"/>
    </w:rPr>
  </w:style>
  <w:style w:type="character" w:customStyle="1" w:styleId="385">
    <w:name w:val="正文文本缩进 2 Char1"/>
    <w:qFormat/>
    <w:uiPriority w:val="0"/>
    <w:rPr>
      <w:kern w:val="2"/>
      <w:sz w:val="21"/>
      <w:szCs w:val="24"/>
    </w:rPr>
  </w:style>
  <w:style w:type="character" w:customStyle="1" w:styleId="386">
    <w:name w:val="正文文本缩进 3 Char"/>
    <w:qFormat/>
    <w:uiPriority w:val="0"/>
    <w:rPr>
      <w:rFonts w:eastAsia="宋体"/>
      <w:kern w:val="2"/>
      <w:sz w:val="16"/>
      <w:szCs w:val="16"/>
      <w:lang w:val="en-US" w:eastAsia="zh-CN" w:bidi="ar-SA"/>
    </w:rPr>
  </w:style>
  <w:style w:type="character" w:customStyle="1" w:styleId="387">
    <w:name w:val="标题 8 Char1"/>
    <w:qFormat/>
    <w:uiPriority w:val="0"/>
    <w:rPr>
      <w:rFonts w:ascii="Arial" w:hAnsi="Arial" w:eastAsia="黑体"/>
      <w:kern w:val="2"/>
      <w:sz w:val="24"/>
    </w:rPr>
  </w:style>
  <w:style w:type="character" w:customStyle="1" w:styleId="388">
    <w:name w:val="标题 5 Char"/>
    <w:qFormat/>
    <w:uiPriority w:val="0"/>
    <w:rPr>
      <w:rFonts w:eastAsia="宋体"/>
      <w:b/>
      <w:bCs/>
      <w:kern w:val="2"/>
      <w:sz w:val="28"/>
      <w:szCs w:val="28"/>
      <w:lang w:val="en-US" w:eastAsia="zh-CN" w:bidi="ar-SA"/>
    </w:rPr>
  </w:style>
  <w:style w:type="character" w:customStyle="1" w:styleId="389">
    <w:name w:val="Char Char11"/>
    <w:qFormat/>
    <w:uiPriority w:val="0"/>
    <w:rPr>
      <w:rFonts w:ascii="Cambria" w:hAnsi="Cambria"/>
      <w:b/>
      <w:bCs/>
      <w:iCs/>
      <w:sz w:val="28"/>
      <w:szCs w:val="22"/>
      <w:lang w:bidi="en-US"/>
    </w:rPr>
  </w:style>
  <w:style w:type="character" w:customStyle="1" w:styleId="390">
    <w:name w:val="font71"/>
    <w:qFormat/>
    <w:uiPriority w:val="0"/>
    <w:rPr>
      <w:rFonts w:hint="default" w:ascii="Times New Roman" w:hAnsi="Times New Roman" w:cs="Times New Roman"/>
      <w:color w:val="000000"/>
      <w:sz w:val="22"/>
      <w:szCs w:val="22"/>
      <w:u w:val="none"/>
    </w:rPr>
  </w:style>
  <w:style w:type="character" w:customStyle="1" w:styleId="391">
    <w:name w:val="标题 6 Char"/>
    <w:qFormat/>
    <w:uiPriority w:val="0"/>
    <w:rPr>
      <w:rFonts w:ascii="Cambria" w:hAnsi="Cambria" w:eastAsia="宋体"/>
      <w:b/>
      <w:bCs/>
      <w:kern w:val="2"/>
      <w:sz w:val="24"/>
      <w:szCs w:val="24"/>
      <w:lang w:val="en-US" w:eastAsia="zh-CN" w:bidi="ar-SA"/>
    </w:rPr>
  </w:style>
  <w:style w:type="character" w:customStyle="1" w:styleId="392">
    <w:name w:val="Char Char15"/>
    <w:qFormat/>
    <w:uiPriority w:val="0"/>
    <w:rPr>
      <w:rFonts w:ascii="Cambria" w:hAnsi="Cambria" w:eastAsia="宋体" w:cs="Times New Roman"/>
      <w:b/>
      <w:bCs/>
      <w:kern w:val="28"/>
      <w:sz w:val="32"/>
      <w:szCs w:val="32"/>
    </w:rPr>
  </w:style>
  <w:style w:type="character" w:customStyle="1" w:styleId="393">
    <w:name w:val="font101"/>
    <w:qFormat/>
    <w:uiPriority w:val="0"/>
    <w:rPr>
      <w:rFonts w:hint="eastAsia" w:ascii="宋体" w:hAnsi="宋体" w:eastAsia="宋体"/>
      <w:color w:val="000000"/>
      <w:sz w:val="22"/>
      <w:szCs w:val="22"/>
      <w:u w:val="none"/>
    </w:rPr>
  </w:style>
  <w:style w:type="character" w:customStyle="1" w:styleId="394">
    <w:name w:val="Char Char111"/>
    <w:qFormat/>
    <w:uiPriority w:val="0"/>
    <w:rPr>
      <w:rFonts w:ascii="Cambria" w:hAnsi="Cambria"/>
      <w:b/>
      <w:bCs/>
      <w:iCs/>
      <w:sz w:val="28"/>
      <w:szCs w:val="22"/>
      <w:lang w:bidi="en-US"/>
    </w:rPr>
  </w:style>
  <w:style w:type="character" w:customStyle="1" w:styleId="395">
    <w:name w:val="纯文本 Char1"/>
    <w:qFormat/>
    <w:uiPriority w:val="0"/>
    <w:rPr>
      <w:rFonts w:ascii="宋体" w:hAnsi="Courier New" w:cs="Courier New"/>
      <w:kern w:val="2"/>
      <w:sz w:val="21"/>
      <w:szCs w:val="21"/>
    </w:rPr>
  </w:style>
  <w:style w:type="character" w:customStyle="1" w:styleId="396">
    <w:name w:val="UP标题3 Char Char"/>
    <w:link w:val="397"/>
    <w:qFormat/>
    <w:locked/>
    <w:uiPriority w:val="0"/>
    <w:rPr>
      <w:rFonts w:ascii="黑体" w:eastAsia="黑体"/>
      <w:sz w:val="28"/>
      <w:szCs w:val="28"/>
    </w:rPr>
  </w:style>
  <w:style w:type="paragraph" w:customStyle="1" w:styleId="397">
    <w:name w:val="UP标题3"/>
    <w:basedOn w:val="1"/>
    <w:link w:val="396"/>
    <w:qFormat/>
    <w:uiPriority w:val="0"/>
    <w:pPr>
      <w:spacing w:line="360" w:lineRule="auto"/>
      <w:ind w:firstLine="149" w:firstLineChars="149"/>
    </w:pPr>
    <w:rPr>
      <w:rFonts w:ascii="黑体" w:eastAsia="黑体"/>
      <w:kern w:val="0"/>
      <w:sz w:val="28"/>
      <w:szCs w:val="28"/>
    </w:rPr>
  </w:style>
  <w:style w:type="character" w:customStyle="1" w:styleId="398">
    <w:name w:val="h3 Char"/>
    <w:qFormat/>
    <w:uiPriority w:val="0"/>
    <w:rPr>
      <w:rFonts w:eastAsia="宋体"/>
      <w:b/>
      <w:bCs/>
      <w:kern w:val="2"/>
      <w:sz w:val="32"/>
      <w:szCs w:val="32"/>
      <w:lang w:val="en-US" w:eastAsia="zh-CN" w:bidi="ar-SA"/>
    </w:rPr>
  </w:style>
  <w:style w:type="character" w:customStyle="1" w:styleId="399">
    <w:name w:val="UP正文 Char"/>
    <w:link w:val="400"/>
    <w:qFormat/>
    <w:locked/>
    <w:uiPriority w:val="0"/>
    <w:rPr>
      <w:rFonts w:ascii="Tahoma"/>
    </w:rPr>
  </w:style>
  <w:style w:type="paragraph" w:customStyle="1" w:styleId="400">
    <w:name w:val="UP正文"/>
    <w:basedOn w:val="1"/>
    <w:link w:val="399"/>
    <w:qFormat/>
    <w:uiPriority w:val="0"/>
    <w:pPr>
      <w:spacing w:line="360" w:lineRule="auto"/>
      <w:ind w:left="420" w:leftChars="200" w:firstLine="420" w:firstLineChars="200"/>
    </w:pPr>
    <w:rPr>
      <w:rFonts w:ascii="Tahoma"/>
      <w:kern w:val="0"/>
      <w:sz w:val="20"/>
      <w:szCs w:val="20"/>
    </w:rPr>
  </w:style>
  <w:style w:type="character" w:customStyle="1" w:styleId="401">
    <w:name w:val="明显引用 Char1"/>
    <w:qFormat/>
    <w:uiPriority w:val="30"/>
    <w:rPr>
      <w:rFonts w:ascii="Times New Roman" w:hAnsi="Times New Roman" w:eastAsia="宋体" w:cs="Times New Roman"/>
      <w:b/>
      <w:bCs/>
      <w:i/>
      <w:iCs/>
      <w:color w:val="4F81BD"/>
      <w:szCs w:val="24"/>
    </w:rPr>
  </w:style>
  <w:style w:type="character" w:customStyle="1" w:styleId="402">
    <w:name w:val="CaptionDHI Char"/>
    <w:qFormat/>
    <w:uiPriority w:val="0"/>
    <w:rPr>
      <w:rFonts w:ascii="Arial" w:hAnsi="Arial" w:eastAsia="仿宋_GB2312" w:cs="Arial"/>
      <w:kern w:val="2"/>
      <w:sz w:val="24"/>
      <w:lang w:val="en-US" w:eastAsia="zh-CN" w:bidi="ar-SA"/>
    </w:rPr>
  </w:style>
  <w:style w:type="character" w:customStyle="1" w:styleId="403">
    <w:name w:val="批注文字 Char"/>
    <w:semiHidden/>
    <w:qFormat/>
    <w:uiPriority w:val="0"/>
    <w:rPr>
      <w:rFonts w:eastAsia="宋体"/>
      <w:kern w:val="2"/>
      <w:sz w:val="21"/>
      <w:szCs w:val="24"/>
      <w:lang w:val="en-US" w:eastAsia="zh-CN" w:bidi="ar-SA"/>
    </w:rPr>
  </w:style>
  <w:style w:type="character" w:customStyle="1" w:styleId="404">
    <w:name w:val="Char Char71"/>
    <w:qFormat/>
    <w:uiPriority w:val="0"/>
    <w:rPr>
      <w:rFonts w:ascii="Arial" w:hAnsi="Arial" w:eastAsia="黑体"/>
      <w:b/>
      <w:bCs/>
      <w:kern w:val="2"/>
      <w:sz w:val="32"/>
      <w:szCs w:val="32"/>
    </w:rPr>
  </w:style>
  <w:style w:type="character" w:customStyle="1" w:styleId="405">
    <w:name w:val="正文文本 Char2"/>
    <w:qFormat/>
    <w:uiPriority w:val="99"/>
    <w:rPr>
      <w:kern w:val="2"/>
      <w:sz w:val="24"/>
      <w:szCs w:val="24"/>
    </w:rPr>
  </w:style>
  <w:style w:type="character" w:customStyle="1" w:styleId="406">
    <w:name w:val="正文文本 Char1"/>
    <w:qFormat/>
    <w:uiPriority w:val="0"/>
    <w:rPr>
      <w:kern w:val="2"/>
      <w:sz w:val="21"/>
      <w:szCs w:val="24"/>
    </w:rPr>
  </w:style>
  <w:style w:type="character" w:customStyle="1" w:styleId="407">
    <w:name w:val="表标题 Char"/>
    <w:link w:val="408"/>
    <w:qFormat/>
    <w:uiPriority w:val="0"/>
    <w:rPr>
      <w:rFonts w:ascii="仿宋_GB2312" w:eastAsia="仿宋_GB2312"/>
      <w:b/>
      <w:bCs/>
      <w:kern w:val="2"/>
      <w:sz w:val="24"/>
      <w:szCs w:val="24"/>
    </w:rPr>
  </w:style>
  <w:style w:type="paragraph" w:customStyle="1" w:styleId="408">
    <w:name w:val="表标题"/>
    <w:basedOn w:val="1"/>
    <w:link w:val="407"/>
    <w:qFormat/>
    <w:uiPriority w:val="0"/>
    <w:pPr>
      <w:adjustRightInd w:val="0"/>
      <w:snapToGrid w:val="0"/>
      <w:spacing w:before="156" w:beforeLines="50" w:after="156" w:afterLines="50"/>
      <w:ind w:firstLine="851"/>
    </w:pPr>
    <w:rPr>
      <w:rFonts w:ascii="仿宋_GB2312" w:eastAsia="仿宋_GB2312"/>
      <w:b/>
      <w:bCs/>
      <w:sz w:val="24"/>
    </w:rPr>
  </w:style>
  <w:style w:type="character" w:customStyle="1" w:styleId="409">
    <w:name w:val="正文首行缩进 2 Char1"/>
    <w:basedOn w:val="410"/>
    <w:qFormat/>
    <w:uiPriority w:val="0"/>
    <w:rPr>
      <w:kern w:val="2"/>
      <w:sz w:val="21"/>
      <w:szCs w:val="24"/>
    </w:rPr>
  </w:style>
  <w:style w:type="character" w:customStyle="1" w:styleId="410">
    <w:name w:val="正文文本缩进 Char1"/>
    <w:qFormat/>
    <w:uiPriority w:val="0"/>
    <w:rPr>
      <w:kern w:val="2"/>
      <w:sz w:val="21"/>
      <w:szCs w:val="24"/>
    </w:rPr>
  </w:style>
  <w:style w:type="character" w:customStyle="1" w:styleId="411">
    <w:name w:val="样式 标题 2 + 宋体 小三 Char"/>
    <w:link w:val="412"/>
    <w:qFormat/>
    <w:uiPriority w:val="0"/>
    <w:rPr>
      <w:rFonts w:ascii="宋体" w:hAnsi="宋体"/>
      <w:b/>
      <w:bCs/>
      <w:kern w:val="2"/>
      <w:sz w:val="28"/>
      <w:szCs w:val="32"/>
    </w:rPr>
  </w:style>
  <w:style w:type="paragraph" w:customStyle="1" w:styleId="412">
    <w:name w:val="样式 标题 2 + 宋体 小三"/>
    <w:basedOn w:val="4"/>
    <w:link w:val="411"/>
    <w:qFormat/>
    <w:uiPriority w:val="0"/>
    <w:pPr>
      <w:spacing w:line="240" w:lineRule="auto"/>
    </w:pPr>
    <w:rPr>
      <w:rFonts w:ascii="宋体" w:hAnsi="宋体" w:eastAsia="宋体"/>
      <w:sz w:val="28"/>
    </w:rPr>
  </w:style>
  <w:style w:type="character" w:customStyle="1" w:styleId="413">
    <w:name w:val="Char Char101"/>
    <w:qFormat/>
    <w:uiPriority w:val="0"/>
    <w:rPr>
      <w:rFonts w:ascii="Cambria" w:hAnsi="Cambria"/>
      <w:b/>
      <w:iCs/>
      <w:sz w:val="28"/>
      <w:szCs w:val="22"/>
      <w:lang w:eastAsia="en-US" w:bidi="en-US"/>
    </w:rPr>
  </w:style>
  <w:style w:type="character" w:customStyle="1" w:styleId="414">
    <w:name w:val="图片 Char"/>
    <w:link w:val="415"/>
    <w:qFormat/>
    <w:uiPriority w:val="0"/>
    <w:rPr>
      <w:rFonts w:eastAsia="仿宋_GB2312"/>
      <w:kern w:val="2"/>
      <w:sz w:val="28"/>
      <w:szCs w:val="24"/>
    </w:rPr>
  </w:style>
  <w:style w:type="paragraph" w:customStyle="1" w:styleId="415">
    <w:name w:val="图片"/>
    <w:basedOn w:val="1"/>
    <w:link w:val="414"/>
    <w:qFormat/>
    <w:uiPriority w:val="0"/>
    <w:pPr>
      <w:adjustRightInd w:val="0"/>
      <w:snapToGrid w:val="0"/>
      <w:spacing w:line="384" w:lineRule="auto"/>
      <w:jc w:val="center"/>
    </w:pPr>
    <w:rPr>
      <w:rFonts w:eastAsia="仿宋_GB2312"/>
      <w:sz w:val="28"/>
    </w:rPr>
  </w:style>
  <w:style w:type="character" w:customStyle="1" w:styleId="416">
    <w:name w:val="题注 字符"/>
    <w:qFormat/>
    <w:uiPriority w:val="0"/>
    <w:rPr>
      <w:rFonts w:ascii="Arial" w:hAnsi="Arial" w:eastAsia="仿宋_GB2312" w:cs="Arial"/>
      <w:kern w:val="2"/>
      <w:sz w:val="24"/>
      <w:lang w:val="en-US" w:eastAsia="zh-CN" w:bidi="ar-SA"/>
    </w:rPr>
  </w:style>
  <w:style w:type="character" w:customStyle="1" w:styleId="417">
    <w:name w:val="称呼 字符1"/>
    <w:qFormat/>
    <w:uiPriority w:val="99"/>
  </w:style>
  <w:style w:type="character" w:customStyle="1" w:styleId="418">
    <w:name w:val="ca-2"/>
    <w:basedOn w:val="52"/>
    <w:qFormat/>
    <w:uiPriority w:val="0"/>
  </w:style>
  <w:style w:type="character" w:customStyle="1" w:styleId="419">
    <w:name w:val="纯文本 Char3"/>
    <w:qFormat/>
    <w:uiPriority w:val="0"/>
    <w:rPr>
      <w:rFonts w:ascii="宋体" w:hAnsi="Courier New" w:eastAsia="宋体" w:cs="Courier New"/>
      <w:kern w:val="2"/>
      <w:sz w:val="21"/>
      <w:szCs w:val="21"/>
      <w:lang w:val="en-US" w:eastAsia="zh-CN" w:bidi="ar-SA"/>
    </w:rPr>
  </w:style>
  <w:style w:type="character" w:customStyle="1" w:styleId="420">
    <w:name w:val="标题 7 字符1"/>
    <w:qFormat/>
    <w:uiPriority w:val="0"/>
    <w:rPr>
      <w:rFonts w:ascii="Times New Roman" w:hAnsi="Times New Roman" w:eastAsia="宋体" w:cs="Times New Roman"/>
      <w:b/>
      <w:sz w:val="24"/>
      <w:szCs w:val="20"/>
    </w:rPr>
  </w:style>
  <w:style w:type="character" w:customStyle="1" w:styleId="421">
    <w:name w:val="LL-ZW Char"/>
    <w:link w:val="422"/>
    <w:qFormat/>
    <w:uiPriority w:val="0"/>
    <w:rPr>
      <w:kern w:val="2"/>
      <w:sz w:val="21"/>
      <w:szCs w:val="22"/>
    </w:rPr>
  </w:style>
  <w:style w:type="paragraph" w:customStyle="1" w:styleId="422">
    <w:name w:val="LL-ZW"/>
    <w:basedOn w:val="1"/>
    <w:link w:val="421"/>
    <w:qFormat/>
    <w:uiPriority w:val="0"/>
    <w:pPr>
      <w:widowControl/>
      <w:snapToGrid w:val="0"/>
      <w:spacing w:line="500" w:lineRule="exact"/>
      <w:ind w:firstLine="200" w:firstLineChars="200"/>
      <w:jc w:val="left"/>
    </w:pPr>
    <w:rPr>
      <w:szCs w:val="22"/>
    </w:rPr>
  </w:style>
  <w:style w:type="character" w:customStyle="1" w:styleId="423">
    <w:name w:val="G正文 Char"/>
    <w:link w:val="424"/>
    <w:qFormat/>
    <w:locked/>
    <w:uiPriority w:val="0"/>
    <w:rPr>
      <w:kern w:val="2"/>
      <w:sz w:val="24"/>
      <w:szCs w:val="24"/>
    </w:rPr>
  </w:style>
  <w:style w:type="paragraph" w:customStyle="1" w:styleId="424">
    <w:name w:val="G正文"/>
    <w:basedOn w:val="1"/>
    <w:link w:val="423"/>
    <w:qFormat/>
    <w:uiPriority w:val="0"/>
    <w:pPr>
      <w:spacing w:line="400" w:lineRule="exact"/>
      <w:ind w:firstLine="480" w:firstLineChars="200"/>
    </w:pPr>
    <w:rPr>
      <w:sz w:val="24"/>
    </w:rPr>
  </w:style>
  <w:style w:type="character" w:customStyle="1" w:styleId="425">
    <w:name w:val="批注框文本 字符1"/>
    <w:semiHidden/>
    <w:qFormat/>
    <w:uiPriority w:val="99"/>
    <w:rPr>
      <w:sz w:val="18"/>
      <w:szCs w:val="18"/>
    </w:rPr>
  </w:style>
  <w:style w:type="character" w:customStyle="1" w:styleId="426">
    <w:name w:val="top"/>
    <w:qFormat/>
    <w:uiPriority w:val="0"/>
    <w:rPr>
      <w:rFonts w:ascii="仿宋_GB2312" w:hAnsi="Times New Roman" w:eastAsia="仿宋_GB2312"/>
      <w:b/>
      <w:color w:val="auto"/>
    </w:rPr>
  </w:style>
  <w:style w:type="character" w:customStyle="1" w:styleId="427">
    <w:name w:val="题注 Char"/>
    <w:qFormat/>
    <w:uiPriority w:val="0"/>
    <w:rPr>
      <w:rFonts w:ascii="Arial" w:hAnsi="Arial" w:eastAsia="仿宋_GB2312" w:cs="Arial"/>
      <w:kern w:val="2"/>
      <w:sz w:val="24"/>
      <w:lang w:val="en-US" w:eastAsia="zh-CN" w:bidi="ar-SA"/>
    </w:rPr>
  </w:style>
  <w:style w:type="character" w:customStyle="1" w:styleId="428">
    <w:name w:val="z-窗体顶端 字符3"/>
    <w:link w:val="429"/>
    <w:qFormat/>
    <w:uiPriority w:val="0"/>
    <w:rPr>
      <w:rFonts w:ascii="Arial" w:hAnsi="Arial" w:cs="Arial"/>
      <w:vanish/>
      <w:sz w:val="16"/>
      <w:szCs w:val="16"/>
    </w:rPr>
  </w:style>
  <w:style w:type="paragraph" w:customStyle="1" w:styleId="429">
    <w:name w:val="z-窗体顶端1"/>
    <w:basedOn w:val="1"/>
    <w:next w:val="1"/>
    <w:link w:val="428"/>
    <w:qFormat/>
    <w:uiPriority w:val="0"/>
    <w:pPr>
      <w:widowControl/>
      <w:pBdr>
        <w:bottom w:val="single" w:color="auto" w:sz="6" w:space="1"/>
      </w:pBdr>
      <w:jc w:val="center"/>
    </w:pPr>
    <w:rPr>
      <w:rFonts w:ascii="Arial" w:hAnsi="Arial" w:cs="Arial"/>
      <w:vanish/>
      <w:kern w:val="0"/>
      <w:sz w:val="16"/>
      <w:szCs w:val="16"/>
    </w:rPr>
  </w:style>
  <w:style w:type="character" w:customStyle="1" w:styleId="430">
    <w:name w:val="正文文本缩进 2 Char2"/>
    <w:qFormat/>
    <w:uiPriority w:val="99"/>
    <w:rPr>
      <w:rFonts w:eastAsia="宋体"/>
      <w:kern w:val="2"/>
      <w:sz w:val="21"/>
      <w:szCs w:val="24"/>
      <w:lang w:val="en-US" w:eastAsia="zh-CN" w:bidi="ar-SA"/>
    </w:rPr>
  </w:style>
  <w:style w:type="character" w:customStyle="1" w:styleId="431">
    <w:name w:val="Char Char271"/>
    <w:qFormat/>
    <w:uiPriority w:val="0"/>
    <w:rPr>
      <w:rFonts w:eastAsia="宋体"/>
      <w:b/>
      <w:bCs/>
      <w:kern w:val="2"/>
      <w:sz w:val="32"/>
      <w:szCs w:val="32"/>
      <w:lang w:val="en-US" w:eastAsia="zh-CN" w:bidi="ar-SA"/>
    </w:rPr>
  </w:style>
  <w:style w:type="character" w:customStyle="1" w:styleId="432">
    <w:name w:val="blacktext"/>
    <w:basedOn w:val="52"/>
    <w:qFormat/>
    <w:uiPriority w:val="0"/>
  </w:style>
  <w:style w:type="character" w:customStyle="1" w:styleId="433">
    <w:name w:val="明显引用 字符1"/>
    <w:qFormat/>
    <w:uiPriority w:val="0"/>
    <w:rPr>
      <w:rFonts w:ascii="Calibri" w:hAnsi="Calibri"/>
      <w:b/>
      <w:i/>
      <w:sz w:val="24"/>
      <w:lang w:eastAsia="en-US" w:bidi="en-US"/>
    </w:rPr>
  </w:style>
  <w:style w:type="character" w:customStyle="1" w:styleId="434">
    <w:name w:val="段落强调 Char"/>
    <w:link w:val="435"/>
    <w:qFormat/>
    <w:uiPriority w:val="0"/>
    <w:rPr>
      <w:b/>
      <w:kern w:val="2"/>
      <w:sz w:val="24"/>
      <w:szCs w:val="24"/>
    </w:rPr>
  </w:style>
  <w:style w:type="paragraph" w:customStyle="1" w:styleId="435">
    <w:name w:val="段落强调"/>
    <w:basedOn w:val="1"/>
    <w:link w:val="434"/>
    <w:qFormat/>
    <w:uiPriority w:val="0"/>
    <w:pPr>
      <w:adjustRightInd w:val="0"/>
      <w:spacing w:line="360" w:lineRule="auto"/>
      <w:ind w:firstLine="420"/>
      <w:jc w:val="left"/>
    </w:pPr>
    <w:rPr>
      <w:b/>
      <w:sz w:val="24"/>
    </w:rPr>
  </w:style>
  <w:style w:type="character" w:customStyle="1" w:styleId="436">
    <w:name w:val="正文文本缩进 2 字符1"/>
    <w:qFormat/>
    <w:uiPriority w:val="99"/>
    <w:rPr>
      <w:szCs w:val="24"/>
    </w:rPr>
  </w:style>
  <w:style w:type="character" w:customStyle="1" w:styleId="437">
    <w:name w:val="脚注文本 字符"/>
    <w:semiHidden/>
    <w:qFormat/>
    <w:uiPriority w:val="0"/>
    <w:rPr>
      <w:rFonts w:ascii="Times New Roman" w:hAnsi="Times New Roman" w:eastAsia="宋体" w:cs="Times New Roman"/>
      <w:sz w:val="18"/>
      <w:szCs w:val="18"/>
    </w:rPr>
  </w:style>
  <w:style w:type="character" w:customStyle="1" w:styleId="438">
    <w:name w:val="z-窗体底端 字符"/>
    <w:semiHidden/>
    <w:qFormat/>
    <w:uiPriority w:val="0"/>
    <w:rPr>
      <w:rFonts w:ascii="Arial" w:hAnsi="Arial" w:eastAsia="宋体" w:cs="Arial"/>
      <w:vanish/>
      <w:sz w:val="16"/>
      <w:szCs w:val="16"/>
    </w:rPr>
  </w:style>
  <w:style w:type="character" w:customStyle="1" w:styleId="439">
    <w:name w:val="引用 字符"/>
    <w:qFormat/>
    <w:uiPriority w:val="0"/>
    <w:rPr>
      <w:rFonts w:ascii="Times New Roman" w:hAnsi="Times New Roman" w:eastAsia="宋体" w:cs="Times New Roman"/>
      <w:i/>
      <w:iCs/>
      <w:color w:val="404040"/>
      <w:szCs w:val="24"/>
    </w:rPr>
  </w:style>
  <w:style w:type="character" w:customStyle="1" w:styleId="440">
    <w:name w:val="正文文本 2 字符1"/>
    <w:qFormat/>
    <w:uiPriority w:val="0"/>
    <w:rPr>
      <w:rFonts w:ascii="Times New Roman" w:hAnsi="Times New Roman" w:eastAsia="宋体" w:cs="Times New Roman"/>
      <w:szCs w:val="20"/>
    </w:rPr>
  </w:style>
  <w:style w:type="character" w:customStyle="1" w:styleId="441">
    <w:name w:val="副标题 字符1"/>
    <w:qFormat/>
    <w:uiPriority w:val="0"/>
    <w:rPr>
      <w:rFonts w:ascii="Cambria" w:hAnsi="Cambria" w:eastAsia="宋体" w:cs="Times New Roman"/>
      <w:kern w:val="0"/>
      <w:sz w:val="24"/>
      <w:szCs w:val="24"/>
      <w:lang w:eastAsia="en-US" w:bidi="en-US"/>
    </w:rPr>
  </w:style>
  <w:style w:type="character" w:customStyle="1" w:styleId="442">
    <w:name w:val="z-窗体顶端 字符1"/>
    <w:qFormat/>
    <w:uiPriority w:val="0"/>
    <w:rPr>
      <w:rFonts w:ascii="Arial" w:hAnsi="Arial" w:eastAsia="宋体" w:cs="Arial"/>
      <w:vanish/>
      <w:kern w:val="0"/>
      <w:sz w:val="16"/>
      <w:szCs w:val="16"/>
    </w:rPr>
  </w:style>
  <w:style w:type="character" w:customStyle="1" w:styleId="443">
    <w:name w:val="z-窗体底端 字符1"/>
    <w:qFormat/>
    <w:uiPriority w:val="0"/>
    <w:rPr>
      <w:rFonts w:ascii="Arial" w:hAnsi="Arial" w:eastAsia="宋体" w:cs="Arial"/>
      <w:vanish/>
      <w:kern w:val="0"/>
      <w:sz w:val="16"/>
      <w:szCs w:val="16"/>
    </w:rPr>
  </w:style>
  <w:style w:type="character" w:customStyle="1" w:styleId="444">
    <w:name w:val="正文文本缩进 Char3"/>
    <w:qFormat/>
    <w:uiPriority w:val="99"/>
    <w:rPr>
      <w:rFonts w:ascii="宋体"/>
      <w:kern w:val="2"/>
      <w:sz w:val="24"/>
    </w:rPr>
  </w:style>
  <w:style w:type="character" w:customStyle="1" w:styleId="445">
    <w:name w:val="正文首行缩进 2 Char3"/>
    <w:qFormat/>
    <w:uiPriority w:val="99"/>
    <w:rPr>
      <w:rFonts w:ascii="宋体"/>
      <w:kern w:val="2"/>
      <w:sz w:val="21"/>
      <w:szCs w:val="24"/>
    </w:rPr>
  </w:style>
  <w:style w:type="character" w:customStyle="1" w:styleId="446">
    <w:name w:val="称呼 字符2"/>
    <w:basedOn w:val="52"/>
    <w:semiHidden/>
    <w:qFormat/>
    <w:uiPriority w:val="99"/>
    <w:rPr>
      <w:kern w:val="2"/>
      <w:sz w:val="21"/>
      <w:szCs w:val="24"/>
    </w:rPr>
  </w:style>
  <w:style w:type="character" w:customStyle="1" w:styleId="447">
    <w:name w:val="称呼 Char3"/>
    <w:qFormat/>
    <w:uiPriority w:val="99"/>
    <w:rPr>
      <w:kern w:val="2"/>
      <w:sz w:val="21"/>
      <w:szCs w:val="24"/>
    </w:rPr>
  </w:style>
  <w:style w:type="character" w:customStyle="1" w:styleId="448">
    <w:name w:val="HTML 预设格式 Char1"/>
    <w:qFormat/>
    <w:uiPriority w:val="99"/>
    <w:rPr>
      <w:rFonts w:ascii="Courier New" w:hAnsi="Courier New" w:cs="Courier New"/>
      <w:kern w:val="2"/>
    </w:rPr>
  </w:style>
  <w:style w:type="character" w:customStyle="1" w:styleId="449">
    <w:name w:val="正文文本 2 Char1"/>
    <w:qFormat/>
    <w:uiPriority w:val="0"/>
    <w:rPr>
      <w:kern w:val="2"/>
      <w:sz w:val="21"/>
      <w:szCs w:val="24"/>
    </w:rPr>
  </w:style>
  <w:style w:type="character" w:customStyle="1" w:styleId="450">
    <w:name w:val="脚注文本 字符2"/>
    <w:basedOn w:val="52"/>
    <w:semiHidden/>
    <w:qFormat/>
    <w:uiPriority w:val="99"/>
    <w:rPr>
      <w:kern w:val="2"/>
      <w:sz w:val="18"/>
      <w:szCs w:val="18"/>
    </w:rPr>
  </w:style>
  <w:style w:type="character" w:customStyle="1" w:styleId="451">
    <w:name w:val="脚注文本 Char2"/>
    <w:qFormat/>
    <w:uiPriority w:val="99"/>
    <w:rPr>
      <w:kern w:val="2"/>
      <w:sz w:val="18"/>
      <w:szCs w:val="18"/>
    </w:rPr>
  </w:style>
  <w:style w:type="character" w:customStyle="1" w:styleId="452">
    <w:name w:val="批注文字 Char3"/>
    <w:qFormat/>
    <w:uiPriority w:val="99"/>
    <w:rPr>
      <w:kern w:val="2"/>
      <w:sz w:val="21"/>
      <w:szCs w:val="24"/>
    </w:rPr>
  </w:style>
  <w:style w:type="character" w:customStyle="1" w:styleId="453">
    <w:name w:val="批注主题 Char3"/>
    <w:qFormat/>
    <w:uiPriority w:val="99"/>
    <w:rPr>
      <w:b/>
      <w:bCs/>
      <w:kern w:val="2"/>
      <w:sz w:val="21"/>
      <w:szCs w:val="24"/>
    </w:rPr>
  </w:style>
  <w:style w:type="character" w:customStyle="1" w:styleId="454">
    <w:name w:val="副标题 字符2"/>
    <w:basedOn w:val="52"/>
    <w:qFormat/>
    <w:uiPriority w:val="11"/>
    <w:rPr>
      <w:rFonts w:asciiTheme="minorHAnsi" w:hAnsiTheme="minorHAnsi" w:eastAsiaTheme="minorEastAsia" w:cstheme="minorBidi"/>
      <w:b/>
      <w:bCs/>
      <w:kern w:val="28"/>
      <w:sz w:val="32"/>
      <w:szCs w:val="32"/>
    </w:rPr>
  </w:style>
  <w:style w:type="character" w:customStyle="1" w:styleId="455">
    <w:name w:val="副标题 Char1"/>
    <w:qFormat/>
    <w:uiPriority w:val="0"/>
    <w:rPr>
      <w:rFonts w:ascii="Cambria" w:hAnsi="Cambria" w:cs="Times New Roman"/>
      <w:b/>
      <w:bCs/>
      <w:kern w:val="28"/>
      <w:sz w:val="32"/>
      <w:szCs w:val="32"/>
    </w:rPr>
  </w:style>
  <w:style w:type="character" w:customStyle="1" w:styleId="456">
    <w:name w:val="标题 Char2"/>
    <w:qFormat/>
    <w:uiPriority w:val="10"/>
    <w:rPr>
      <w:rFonts w:ascii="Cambria" w:hAnsi="Cambria" w:cs="Times New Roman"/>
      <w:b/>
      <w:bCs/>
      <w:kern w:val="2"/>
      <w:sz w:val="32"/>
      <w:szCs w:val="32"/>
    </w:rPr>
  </w:style>
  <w:style w:type="character" w:customStyle="1" w:styleId="457">
    <w:name w:val="正文文本缩进 3 Char3"/>
    <w:qFormat/>
    <w:uiPriority w:val="99"/>
    <w:rPr>
      <w:kern w:val="2"/>
      <w:sz w:val="16"/>
      <w:szCs w:val="16"/>
    </w:rPr>
  </w:style>
  <w:style w:type="paragraph" w:customStyle="1" w:styleId="458">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60">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461">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2">
    <w:name w:val="xl11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463">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46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65">
    <w:name w:val="Char41"/>
    <w:basedOn w:val="1"/>
    <w:qFormat/>
    <w:uiPriority w:val="0"/>
    <w:rPr>
      <w:rFonts w:ascii="Tahoma" w:hAnsi="Tahoma"/>
      <w:sz w:val="24"/>
      <w:szCs w:val="20"/>
    </w:rPr>
  </w:style>
  <w:style w:type="paragraph" w:customStyle="1" w:styleId="466">
    <w:name w:val="字母编号列项（一级）"/>
    <w:qFormat/>
    <w:uiPriority w:val="0"/>
    <w:pPr>
      <w:tabs>
        <w:tab w:val="left" w:pos="839"/>
      </w:tabs>
      <w:ind w:left="432" w:hanging="432"/>
      <w:jc w:val="both"/>
    </w:pPr>
    <w:rPr>
      <w:rFonts w:ascii="宋体" w:hAnsi="Times New Roman" w:eastAsia="宋体" w:cs="Times New Roman"/>
      <w:sz w:val="21"/>
      <w:lang w:val="en-US" w:eastAsia="zh-CN" w:bidi="ar-SA"/>
    </w:rPr>
  </w:style>
  <w:style w:type="paragraph" w:customStyle="1" w:styleId="467">
    <w:name w:val="3"/>
    <w:basedOn w:val="1"/>
    <w:qFormat/>
    <w:uiPriority w:val="0"/>
    <w:pPr>
      <w:tabs>
        <w:tab w:val="left" w:pos="420"/>
      </w:tabs>
      <w:ind w:left="420" w:hanging="420"/>
    </w:pPr>
  </w:style>
  <w:style w:type="character" w:customStyle="1" w:styleId="468">
    <w:name w:val="z-窗体底端 字符2"/>
    <w:basedOn w:val="52"/>
    <w:semiHidden/>
    <w:qFormat/>
    <w:uiPriority w:val="99"/>
    <w:rPr>
      <w:rFonts w:ascii="Arial" w:hAnsi="Arial" w:cs="Arial"/>
      <w:vanish/>
      <w:kern w:val="2"/>
      <w:sz w:val="16"/>
      <w:szCs w:val="16"/>
    </w:rPr>
  </w:style>
  <w:style w:type="character" w:customStyle="1" w:styleId="469">
    <w:name w:val="z-窗体底端 Char1"/>
    <w:qFormat/>
    <w:uiPriority w:val="0"/>
    <w:rPr>
      <w:rFonts w:ascii="Arial" w:hAnsi="Arial" w:cs="Arial"/>
      <w:vanish/>
      <w:kern w:val="2"/>
      <w:sz w:val="16"/>
      <w:szCs w:val="16"/>
    </w:rPr>
  </w:style>
  <w:style w:type="paragraph" w:customStyle="1" w:styleId="470">
    <w:name w:val="样式 样式 样式 正文文本 + 黑色 首行缩进:  1.67 字符 + 首行缩进:  1.62 字符 + 首行缩进:  2 字符3"/>
    <w:basedOn w:val="1"/>
    <w:qFormat/>
    <w:uiPriority w:val="0"/>
    <w:pPr>
      <w:spacing w:line="350" w:lineRule="exact"/>
      <w:ind w:firstLine="162" w:firstLineChars="162"/>
    </w:pPr>
    <w:rPr>
      <w:rFonts w:ascii="宋体" w:hAnsi="宋体" w:cs="宋体"/>
      <w:color w:val="000000"/>
      <w:szCs w:val="20"/>
    </w:rPr>
  </w:style>
  <w:style w:type="paragraph" w:customStyle="1" w:styleId="471">
    <w:name w:val="Char Char Char Char Char Char Char Char Char Char"/>
    <w:basedOn w:val="10"/>
    <w:qFormat/>
    <w:uiPriority w:val="0"/>
    <w:pPr>
      <w:keepLines/>
      <w:ind w:firstLine="218" w:firstLineChars="218"/>
      <w:jc w:val="left"/>
    </w:pPr>
    <w:rPr>
      <w:rFonts w:ascii="仿宋_GB2312" w:hAnsi="Calibri" w:eastAsia="仿宋_GB2312"/>
      <w:b/>
      <w:sz w:val="24"/>
    </w:rPr>
  </w:style>
  <w:style w:type="paragraph" w:customStyle="1" w:styleId="472">
    <w:name w:val="reader-word-layer reader-word-s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4">
    <w:name w:val="无间隔2"/>
    <w:qFormat/>
    <w:uiPriority w:val="0"/>
    <w:rPr>
      <w:rFonts w:ascii="Calibri" w:hAnsi="Calibri" w:eastAsia="宋体" w:cs="Times New Roman"/>
      <w:sz w:val="22"/>
      <w:szCs w:val="22"/>
      <w:lang w:val="en-US" w:eastAsia="zh-CN" w:bidi="ar-SA"/>
    </w:rPr>
  </w:style>
  <w:style w:type="paragraph" w:customStyle="1" w:styleId="475">
    <w:name w:val="_Style 111"/>
    <w:basedOn w:val="1"/>
    <w:qFormat/>
    <w:uiPriority w:val="0"/>
    <w:pPr>
      <w:tabs>
        <w:tab w:val="left" w:pos="420"/>
      </w:tabs>
      <w:ind w:left="420" w:hanging="420"/>
    </w:pPr>
  </w:style>
  <w:style w:type="paragraph" w:customStyle="1" w:styleId="476">
    <w:name w:val="Char1 Char Char Char Char Char Char Char Char Char"/>
    <w:basedOn w:val="1"/>
    <w:qFormat/>
    <w:uiPriority w:val="0"/>
  </w:style>
  <w:style w:type="paragraph" w:customStyle="1" w:styleId="477">
    <w:name w:val="文字"/>
    <w:basedOn w:val="1"/>
    <w:qFormat/>
    <w:uiPriority w:val="0"/>
    <w:pPr>
      <w:tabs>
        <w:tab w:val="left" w:pos="8520"/>
      </w:tabs>
      <w:spacing w:line="312" w:lineRule="auto"/>
      <w:ind w:right="-210" w:firstLine="556"/>
    </w:pPr>
    <w:rPr>
      <w:rFonts w:ascii="宋体"/>
      <w:sz w:val="28"/>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79">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82">
    <w:name w:val="三级条标题"/>
    <w:basedOn w:val="483"/>
    <w:next w:val="1"/>
    <w:qFormat/>
    <w:uiPriority w:val="0"/>
    <w:pPr>
      <w:ind w:left="426"/>
      <w:outlineLvl w:val="4"/>
    </w:pPr>
  </w:style>
  <w:style w:type="paragraph" w:customStyle="1" w:styleId="483">
    <w:name w:val="二级条标题"/>
    <w:basedOn w:val="484"/>
    <w:next w:val="1"/>
    <w:qFormat/>
    <w:uiPriority w:val="0"/>
    <w:pPr>
      <w:spacing w:before="50" w:after="50"/>
      <w:ind w:left="993"/>
      <w:outlineLvl w:val="3"/>
    </w:pPr>
  </w:style>
  <w:style w:type="paragraph" w:customStyle="1" w:styleId="484">
    <w:name w:val="一级条标题"/>
    <w:next w:val="1"/>
    <w:qFormat/>
    <w:uiPriority w:val="0"/>
    <w:pPr>
      <w:spacing w:beforeLines="50" w:afterLines="50"/>
      <w:ind w:left="4962"/>
      <w:outlineLvl w:val="2"/>
    </w:pPr>
    <w:rPr>
      <w:rFonts w:ascii="黑体" w:hAnsi="Times New Roman" w:eastAsia="黑体" w:cs="Times New Roman"/>
      <w:sz w:val="21"/>
      <w:szCs w:val="21"/>
      <w:lang w:val="en-US" w:eastAsia="zh-CN" w:bidi="ar-SA"/>
    </w:rPr>
  </w:style>
  <w:style w:type="paragraph" w:customStyle="1" w:styleId="48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Char Char Char Char1"/>
    <w:basedOn w:val="1"/>
    <w:semiHidden/>
    <w:qFormat/>
    <w:uiPriority w:val="0"/>
    <w:pPr>
      <w:adjustRightInd w:val="0"/>
      <w:spacing w:line="360" w:lineRule="atLeast"/>
      <w:textAlignment w:val="baseline"/>
    </w:pPr>
  </w:style>
  <w:style w:type="paragraph" w:customStyle="1" w:styleId="487">
    <w:name w:val="标题4"/>
    <w:basedOn w:val="1"/>
    <w:qFormat/>
    <w:uiPriority w:val="0"/>
    <w:pPr>
      <w:spacing w:beforeLines="100" w:afterLines="100" w:line="360" w:lineRule="auto"/>
    </w:pPr>
    <w:rPr>
      <w:sz w:val="28"/>
    </w:rPr>
  </w:style>
  <w:style w:type="paragraph" w:customStyle="1" w:styleId="48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character" w:customStyle="1" w:styleId="489">
    <w:name w:val="明显引用 字符2"/>
    <w:basedOn w:val="52"/>
    <w:qFormat/>
    <w:uiPriority w:val="30"/>
    <w:rPr>
      <w:i/>
      <w:iCs/>
      <w:color w:val="4F81BD" w:themeColor="accent1"/>
      <w:kern w:val="2"/>
      <w:sz w:val="21"/>
      <w:szCs w:val="24"/>
      <w14:textFill>
        <w14:solidFill>
          <w14:schemeClr w14:val="accent1"/>
        </w14:solidFill>
      </w14:textFill>
    </w:rPr>
  </w:style>
  <w:style w:type="character" w:customStyle="1" w:styleId="490">
    <w:name w:val="明显引用 Char2"/>
    <w:qFormat/>
    <w:uiPriority w:val="30"/>
    <w:rPr>
      <w:b/>
      <w:bCs/>
      <w:i/>
      <w:iCs/>
      <w:color w:val="4F81BD"/>
      <w:kern w:val="2"/>
      <w:sz w:val="21"/>
      <w:szCs w:val="24"/>
    </w:rPr>
  </w:style>
  <w:style w:type="paragraph" w:customStyle="1" w:styleId="491">
    <w:name w:val="catalog 3"/>
    <w:basedOn w:val="1"/>
    <w:qFormat/>
    <w:uiPriority w:val="0"/>
    <w:pPr>
      <w:spacing w:line="560" w:lineRule="exact"/>
      <w:ind w:firstLine="100" w:firstLineChars="100"/>
      <w:jc w:val="center"/>
    </w:pPr>
    <w:rPr>
      <w:rFonts w:ascii="仿宋_GB2312" w:hAnsi="宋体" w:eastAsia="仿宋_GB2312"/>
      <w:sz w:val="28"/>
      <w:szCs w:val="20"/>
    </w:rPr>
  </w:style>
  <w:style w:type="paragraph" w:customStyle="1" w:styleId="49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3">
    <w:name w:val="附件正文"/>
    <w:basedOn w:val="1"/>
    <w:qFormat/>
    <w:uiPriority w:val="0"/>
    <w:pPr>
      <w:snapToGrid w:val="0"/>
      <w:spacing w:line="440" w:lineRule="exact"/>
      <w:ind w:firstLine="540" w:firstLineChars="225"/>
    </w:pPr>
    <w:rPr>
      <w:kern w:val="0"/>
      <w:sz w:val="24"/>
    </w:rPr>
  </w:style>
  <w:style w:type="paragraph" w:customStyle="1" w:styleId="494">
    <w:name w:val="编号列项（三级）"/>
    <w:qFormat/>
    <w:uiPriority w:val="0"/>
    <w:pPr>
      <w:tabs>
        <w:tab w:val="left" w:pos="0"/>
      </w:tabs>
      <w:ind w:left="1440" w:hanging="720"/>
    </w:pPr>
    <w:rPr>
      <w:rFonts w:ascii="宋体" w:hAnsi="Times New Roman" w:eastAsia="宋体" w:cs="Times New Roman"/>
      <w:sz w:val="21"/>
      <w:lang w:val="en-US" w:eastAsia="zh-CN" w:bidi="ar-SA"/>
    </w:rPr>
  </w:style>
  <w:style w:type="paragraph" w:customStyle="1" w:styleId="495">
    <w:name w:val="样式 标题 5 + 宋体"/>
    <w:basedOn w:val="7"/>
    <w:qFormat/>
    <w:uiPriority w:val="0"/>
    <w:pPr>
      <w:numPr>
        <w:ilvl w:val="0"/>
        <w:numId w:val="0"/>
      </w:numPr>
      <w:spacing w:before="120" w:after="120" w:line="360" w:lineRule="auto"/>
    </w:pPr>
    <w:rPr>
      <w:rFonts w:ascii="宋体" w:hAnsi="宋体"/>
      <w:bCs/>
      <w:sz w:val="24"/>
      <w:szCs w:val="28"/>
    </w:rPr>
  </w:style>
  <w:style w:type="paragraph" w:customStyle="1" w:styleId="496">
    <w:name w:val="xl35"/>
    <w:basedOn w:val="1"/>
    <w:qFormat/>
    <w:uiPriority w:val="0"/>
    <w:pPr>
      <w:widowControl/>
      <w:spacing w:before="100" w:beforeAutospacing="1" w:after="100" w:afterAutospacing="1"/>
      <w:jc w:val="center"/>
    </w:pPr>
    <w:rPr>
      <w:rFonts w:ascii="宋体" w:hAnsi="宋体"/>
      <w:kern w:val="0"/>
      <w:sz w:val="24"/>
    </w:rPr>
  </w:style>
  <w:style w:type="paragraph" w:customStyle="1" w:styleId="497">
    <w:name w:val="正文一"/>
    <w:basedOn w:val="1"/>
    <w:qFormat/>
    <w:uiPriority w:val="0"/>
    <w:rPr>
      <w:sz w:val="22"/>
      <w:szCs w:val="48"/>
    </w:rPr>
  </w:style>
  <w:style w:type="paragraph" w:customStyle="1" w:styleId="498">
    <w:name w:val="Char Char Char2"/>
    <w:basedOn w:val="1"/>
    <w:qFormat/>
    <w:uiPriority w:val="0"/>
  </w:style>
  <w:style w:type="paragraph" w:customStyle="1" w:styleId="499">
    <w:name w:val="_Style 276"/>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b/>
      <w:bCs/>
      <w:kern w:val="0"/>
      <w:szCs w:val="21"/>
    </w:rPr>
  </w:style>
  <w:style w:type="paragraph" w:customStyle="1" w:styleId="501">
    <w:name w:val="正文框"/>
    <w:basedOn w:val="1"/>
    <w:qFormat/>
    <w:uiPriority w:val="0"/>
    <w:pPr>
      <w:widowControl/>
      <w:adjustRightInd w:val="0"/>
      <w:spacing w:line="312" w:lineRule="atLeast"/>
      <w:jc w:val="left"/>
      <w:textAlignment w:val="baseline"/>
    </w:pPr>
    <w:rPr>
      <w:rFonts w:ascii="宋体" w:hAnsi="宋体" w:cs="宋体"/>
      <w:kern w:val="0"/>
      <w:sz w:val="24"/>
      <w:szCs w:val="20"/>
    </w:rPr>
  </w:style>
  <w:style w:type="paragraph" w:customStyle="1" w:styleId="502">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03">
    <w:name w:val="样式 标题4 + 段前: 0.5 行 段后: 0.5 行"/>
    <w:basedOn w:val="6"/>
    <w:qFormat/>
    <w:uiPriority w:val="0"/>
    <w:pPr>
      <w:widowControl w:val="0"/>
      <w:tabs>
        <w:tab w:val="left" w:pos="864"/>
      </w:tabs>
      <w:spacing w:before="156" w:beforeLines="50" w:after="156" w:afterLines="50" w:line="376" w:lineRule="auto"/>
      <w:ind w:left="864" w:hanging="864"/>
      <w:jc w:val="both"/>
    </w:pPr>
    <w:rPr>
      <w:rFonts w:cs="宋体"/>
      <w:b/>
      <w:bCs/>
      <w:kern w:val="2"/>
    </w:rPr>
  </w:style>
  <w:style w:type="paragraph" w:customStyle="1" w:styleId="50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506">
    <w:name w:val="xl11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50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正文标题一"/>
    <w:basedOn w:val="1"/>
    <w:qFormat/>
    <w:uiPriority w:val="0"/>
    <w:pPr>
      <w:spacing w:line="300" w:lineRule="exact"/>
      <w:ind w:firstLine="200" w:firstLineChars="200"/>
    </w:pPr>
    <w:rPr>
      <w:sz w:val="24"/>
    </w:rPr>
  </w:style>
  <w:style w:type="paragraph" w:customStyle="1" w:styleId="50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10">
    <w:name w:val="图中文字1"/>
    <w:qFormat/>
    <w:uiPriority w:val="0"/>
    <w:pPr>
      <w:adjustRightInd w:val="0"/>
      <w:snapToGrid w:val="0"/>
      <w:jc w:val="center"/>
    </w:pPr>
    <w:rPr>
      <w:rFonts w:ascii="Times New Roman" w:hAnsi="Times New Roman" w:eastAsia="黑体" w:cs="Times New Roman"/>
      <w:kern w:val="2"/>
      <w:sz w:val="28"/>
      <w:szCs w:val="28"/>
      <w:lang w:val="en-US" w:eastAsia="zh-CN" w:bidi="ar-SA"/>
    </w:rPr>
  </w:style>
  <w:style w:type="paragraph" w:customStyle="1" w:styleId="511">
    <w:name w:val="样式 信安标题3 + 黑体 小四"/>
    <w:basedOn w:val="1"/>
    <w:qFormat/>
    <w:uiPriority w:val="0"/>
    <w:pPr>
      <w:keepNext/>
      <w:keepLines/>
      <w:tabs>
        <w:tab w:val="left" w:pos="0"/>
        <w:tab w:val="left" w:pos="425"/>
        <w:tab w:val="left" w:pos="1260"/>
      </w:tabs>
      <w:spacing w:before="260" w:after="260" w:line="416" w:lineRule="auto"/>
      <w:ind w:left="1260" w:hanging="420"/>
      <w:outlineLvl w:val="2"/>
    </w:pPr>
    <w:rPr>
      <w:rFonts w:ascii="黑体" w:hAnsi="黑体" w:eastAsia="黑体"/>
      <w:b/>
      <w:bCs/>
      <w:sz w:val="30"/>
      <w:szCs w:val="32"/>
    </w:rPr>
  </w:style>
  <w:style w:type="paragraph" w:customStyle="1" w:styleId="51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reader-word-layer reader-word-s2-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4">
    <w:name w:val="TOC 标题2"/>
    <w:basedOn w:val="3"/>
    <w:next w:val="1"/>
    <w:qFormat/>
    <w:uiPriority w:val="0"/>
    <w:pPr>
      <w:keepLines w:val="0"/>
      <w:widowControl/>
      <w:spacing w:before="240" w:after="60" w:line="240" w:lineRule="auto"/>
      <w:ind w:left="340" w:leftChars="0" w:right="0" w:rightChars="0" w:hanging="340"/>
      <w:jc w:val="left"/>
      <w:outlineLvl w:val="9"/>
    </w:pPr>
    <w:rPr>
      <w:rFonts w:ascii="Cambria" w:hAnsi="Cambria"/>
      <w:bCs w:val="0"/>
      <w:iCs/>
      <w:kern w:val="32"/>
      <w:sz w:val="48"/>
      <w:szCs w:val="32"/>
      <w:lang w:bidi="en-US"/>
    </w:rPr>
  </w:style>
  <w:style w:type="paragraph" w:customStyle="1" w:styleId="515">
    <w:name w:val="xl11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516">
    <w:name w:val="注"/>
    <w:basedOn w:val="1"/>
    <w:qFormat/>
    <w:uiPriority w:val="0"/>
    <w:pPr>
      <w:adjustRightInd w:val="0"/>
      <w:spacing w:line="420" w:lineRule="atLeast"/>
      <w:ind w:firstLine="340"/>
      <w:textAlignment w:val="baseline"/>
    </w:pPr>
    <w:rPr>
      <w:kern w:val="0"/>
      <w:sz w:val="18"/>
      <w:szCs w:val="20"/>
    </w:rPr>
  </w:style>
  <w:style w:type="paragraph" w:customStyle="1" w:styleId="517">
    <w:name w:val="正文 New New"/>
    <w:qFormat/>
    <w:uiPriority w:val="0"/>
    <w:pPr>
      <w:widowControl w:val="0"/>
      <w:jc w:val="both"/>
    </w:pPr>
    <w:rPr>
      <w:rFonts w:ascii="Calibri" w:hAnsi="Calibri" w:eastAsia="宋体" w:cs="Times New Roman"/>
      <w:kern w:val="2"/>
      <w:sz w:val="24"/>
      <w:lang w:val="en-US" w:eastAsia="zh-CN" w:bidi="ar-SA"/>
    </w:rPr>
  </w:style>
  <w:style w:type="paragraph" w:customStyle="1" w:styleId="518">
    <w:name w:val="正文样式 首行缩进:  2 字符"/>
    <w:qFormat/>
    <w:uiPriority w:val="0"/>
    <w:pPr>
      <w:spacing w:line="360" w:lineRule="auto"/>
      <w:ind w:firstLine="562" w:firstLineChars="200"/>
      <w:jc w:val="both"/>
    </w:pPr>
    <w:rPr>
      <w:rFonts w:ascii="Times New Roman" w:hAnsi="Times New Roman" w:eastAsia="宋体" w:cs="Times New Roman"/>
      <w:b/>
      <w:kern w:val="2"/>
      <w:sz w:val="28"/>
      <w:szCs w:val="28"/>
      <w:lang w:val="en-GB" w:eastAsia="zh-CN" w:bidi="ar-SA"/>
    </w:rPr>
  </w:style>
  <w:style w:type="paragraph" w:customStyle="1" w:styleId="519">
    <w:name w:val="xl9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20">
    <w:name w:val="正文 首行缩进 0.99 厘米 行距: 固定值 26 磅"/>
    <w:basedOn w:val="1"/>
    <w:qFormat/>
    <w:uiPriority w:val="0"/>
    <w:pPr>
      <w:widowControl/>
      <w:spacing w:before="240" w:line="520" w:lineRule="exact"/>
      <w:ind w:left="420" w:firstLine="561"/>
      <w:jc w:val="left"/>
    </w:pPr>
    <w:rPr>
      <w:rFonts w:eastAsia="仿宋_GB2312" w:cs="宋体"/>
      <w:kern w:val="0"/>
      <w:sz w:val="28"/>
      <w:szCs w:val="20"/>
      <w:lang w:eastAsia="en-US" w:bidi="en-US"/>
    </w:rPr>
  </w:style>
  <w:style w:type="paragraph" w:customStyle="1" w:styleId="521">
    <w:name w:val="列表段落11"/>
    <w:basedOn w:val="1"/>
    <w:qFormat/>
    <w:uiPriority w:val="0"/>
    <w:pPr>
      <w:ind w:firstLine="420" w:firstLineChars="200"/>
    </w:pPr>
    <w:rPr>
      <w:rFonts w:ascii="Calibri" w:hAnsi="Calibri" w:cs="宋体"/>
      <w:szCs w:val="21"/>
    </w:rPr>
  </w:style>
  <w:style w:type="paragraph" w:customStyle="1" w:styleId="522">
    <w:name w:val="表内容"/>
    <w:basedOn w:val="1"/>
    <w:qFormat/>
    <w:uiPriority w:val="0"/>
    <w:pPr>
      <w:widowControl/>
      <w:autoSpaceDE w:val="0"/>
      <w:autoSpaceDN w:val="0"/>
      <w:adjustRightInd w:val="0"/>
      <w:spacing w:before="120" w:after="60" w:line="300" w:lineRule="auto"/>
      <w:jc w:val="center"/>
      <w:textAlignment w:val="bottom"/>
    </w:pPr>
    <w:rPr>
      <w:rFonts w:ascii="仿宋_GB2312" w:hAnsi="Arial" w:eastAsia="仿宋_GB2312"/>
      <w:kern w:val="0"/>
      <w:szCs w:val="20"/>
    </w:rPr>
  </w:style>
  <w:style w:type="paragraph" w:customStyle="1" w:styleId="523">
    <w:name w:val="font9"/>
    <w:basedOn w:val="1"/>
    <w:qFormat/>
    <w:uiPriority w:val="0"/>
    <w:pPr>
      <w:widowControl/>
      <w:spacing w:before="100" w:beforeAutospacing="1" w:after="100" w:afterAutospacing="1"/>
      <w:jc w:val="left"/>
    </w:pPr>
    <w:rPr>
      <w:rFonts w:ascii="Tahoma" w:hAnsi="Tahoma" w:cs="Tahoma"/>
      <w:b/>
      <w:bCs/>
      <w:color w:val="000000"/>
      <w:kern w:val="0"/>
      <w:sz w:val="24"/>
    </w:rPr>
  </w:style>
  <w:style w:type="paragraph" w:customStyle="1" w:styleId="5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25">
    <w:name w:val="默认段落字体 Char"/>
    <w:basedOn w:val="1"/>
    <w:qFormat/>
    <w:uiPriority w:val="0"/>
  </w:style>
  <w:style w:type="paragraph" w:customStyle="1" w:styleId="52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27">
    <w:name w:val="Table Paragraph"/>
    <w:basedOn w:val="1"/>
    <w:qFormat/>
    <w:uiPriority w:val="0"/>
    <w:pPr>
      <w:autoSpaceDE w:val="0"/>
      <w:autoSpaceDN w:val="0"/>
      <w:adjustRightInd w:val="0"/>
      <w:jc w:val="left"/>
    </w:pPr>
    <w:rPr>
      <w:kern w:val="0"/>
      <w:sz w:val="24"/>
    </w:rPr>
  </w:style>
  <w:style w:type="paragraph" w:customStyle="1" w:styleId="528">
    <w:name w:val="小标题"/>
    <w:next w:val="205"/>
    <w:semiHidden/>
    <w:qFormat/>
    <w:uiPriority w:val="0"/>
    <w:pPr>
      <w:spacing w:before="120" w:after="120"/>
      <w:ind w:firstLine="200" w:firstLineChars="200"/>
    </w:pPr>
    <w:rPr>
      <w:rFonts w:ascii="Times New Roman" w:hAnsi="Times New Roman" w:eastAsia="宋体" w:cs="Times New Roman"/>
      <w:b/>
      <w:kern w:val="2"/>
      <w:sz w:val="24"/>
      <w:szCs w:val="24"/>
      <w:lang w:val="en-US" w:eastAsia="zh-CN" w:bidi="ar-SA"/>
    </w:rPr>
  </w:style>
  <w:style w:type="paragraph" w:customStyle="1" w:styleId="529">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30">
    <w:name w:val="标题1"/>
    <w:basedOn w:val="3"/>
    <w:qFormat/>
    <w:uiPriority w:val="0"/>
    <w:pPr>
      <w:spacing w:before="50" w:beforeLines="50" w:after="50" w:afterLines="50" w:line="360" w:lineRule="auto"/>
      <w:ind w:left="0" w:leftChars="0" w:right="0" w:rightChars="0"/>
      <w:jc w:val="both"/>
    </w:pPr>
    <w:rPr>
      <w:b w:val="0"/>
      <w:sz w:val="28"/>
    </w:rPr>
  </w:style>
  <w:style w:type="paragraph" w:customStyle="1" w:styleId="53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2">
    <w:name w:val="正文标题"/>
    <w:basedOn w:val="5"/>
    <w:qFormat/>
    <w:uiPriority w:val="0"/>
    <w:pPr>
      <w:keepLines w:val="0"/>
      <w:wordWrap w:val="0"/>
      <w:spacing w:before="0" w:after="0" w:line="240" w:lineRule="auto"/>
    </w:pPr>
    <w:rPr>
      <w:bCs w:val="0"/>
      <w:sz w:val="24"/>
      <w:szCs w:val="20"/>
      <w:lang w:eastAsia="ko-KR"/>
    </w:rPr>
  </w:style>
  <w:style w:type="paragraph" w:customStyle="1" w:styleId="53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Char Char Char Char Char Char Char Char Char Char1"/>
    <w:basedOn w:val="10"/>
    <w:qFormat/>
    <w:uiPriority w:val="0"/>
    <w:pPr>
      <w:keepLines/>
      <w:ind w:firstLine="218" w:firstLineChars="218"/>
      <w:jc w:val="left"/>
    </w:pPr>
    <w:rPr>
      <w:rFonts w:ascii="仿宋_GB2312" w:eastAsia="仿宋_GB2312"/>
      <w:b/>
      <w:sz w:val="24"/>
    </w:rPr>
  </w:style>
  <w:style w:type="paragraph" w:customStyle="1" w:styleId="535">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37">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8">
    <w:name w:val="页号"/>
    <w:basedOn w:val="30"/>
    <w:qFormat/>
    <w:uiPriority w:val="0"/>
    <w:pPr>
      <w:tabs>
        <w:tab w:val="center" w:pos="4320"/>
        <w:tab w:val="right" w:pos="8640"/>
        <w:tab w:val="clear" w:pos="4153"/>
        <w:tab w:val="clear" w:pos="8306"/>
      </w:tabs>
      <w:adjustRightInd w:val="0"/>
      <w:snapToGrid/>
      <w:jc w:val="center"/>
      <w:textAlignment w:val="baseline"/>
    </w:pPr>
    <w:rPr>
      <w:rFonts w:ascii="宋体" w:hAnsi="Arial"/>
      <w:spacing w:val="3"/>
      <w:kern w:val="24"/>
      <w:sz w:val="24"/>
      <w:szCs w:val="20"/>
    </w:rPr>
  </w:style>
  <w:style w:type="paragraph" w:customStyle="1" w:styleId="5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1">
    <w:name w:val="标题一、"/>
    <w:basedOn w:val="1"/>
    <w:qFormat/>
    <w:uiPriority w:val="0"/>
    <w:pPr>
      <w:spacing w:beforeLines="100" w:afterLines="100" w:line="360" w:lineRule="auto"/>
      <w:jc w:val="center"/>
      <w:outlineLvl w:val="0"/>
    </w:pPr>
    <w:rPr>
      <w:rFonts w:ascii="黑体" w:eastAsia="黑体"/>
      <w:sz w:val="32"/>
      <w:szCs w:val="32"/>
    </w:rPr>
  </w:style>
  <w:style w:type="paragraph" w:customStyle="1" w:styleId="542">
    <w:name w:val="font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5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544">
    <w:name w:val="xl9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45">
    <w:name w:val="xl12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546">
    <w:name w:val="Char11"/>
    <w:basedOn w:val="1"/>
    <w:qFormat/>
    <w:uiPriority w:val="0"/>
    <w:pPr>
      <w:widowControl/>
      <w:spacing w:after="160" w:line="240" w:lineRule="exact"/>
      <w:jc w:val="left"/>
    </w:pPr>
    <w:rPr>
      <w:szCs w:val="20"/>
    </w:rPr>
  </w:style>
  <w:style w:type="paragraph" w:customStyle="1" w:styleId="547">
    <w:name w:val="正文样式一"/>
    <w:basedOn w:val="1"/>
    <w:qFormat/>
    <w:uiPriority w:val="0"/>
    <w:rPr>
      <w:sz w:val="24"/>
    </w:rPr>
  </w:style>
  <w:style w:type="paragraph" w:customStyle="1" w:styleId="5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00000"/>
      <w:kern w:val="0"/>
      <w:sz w:val="24"/>
    </w:rPr>
  </w:style>
  <w:style w:type="paragraph" w:customStyle="1" w:styleId="5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Cs w:val="21"/>
    </w:rPr>
  </w:style>
  <w:style w:type="paragraph" w:customStyle="1" w:styleId="55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51">
    <w:name w:val="xl11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Cs w:val="21"/>
    </w:rPr>
  </w:style>
  <w:style w:type="paragraph" w:customStyle="1" w:styleId="552">
    <w:name w:val="font8"/>
    <w:basedOn w:val="1"/>
    <w:qFormat/>
    <w:uiPriority w:val="0"/>
    <w:pPr>
      <w:widowControl/>
      <w:spacing w:before="100" w:beforeAutospacing="1" w:after="100" w:afterAutospacing="1"/>
    </w:pPr>
    <w:rPr>
      <w:kern w:val="0"/>
      <w:sz w:val="24"/>
    </w:rPr>
  </w:style>
  <w:style w:type="paragraph" w:customStyle="1" w:styleId="553">
    <w:name w:val="表中"/>
    <w:basedOn w:val="1"/>
    <w:qFormat/>
    <w:uiPriority w:val="0"/>
    <w:pPr>
      <w:adjustRightInd w:val="0"/>
      <w:snapToGrid w:val="0"/>
      <w:spacing w:line="420" w:lineRule="atLeast"/>
      <w:jc w:val="center"/>
      <w:textAlignment w:val="baseline"/>
    </w:pPr>
    <w:rPr>
      <w:snapToGrid w:val="0"/>
      <w:kern w:val="0"/>
      <w:szCs w:val="20"/>
    </w:rPr>
  </w:style>
  <w:style w:type="paragraph" w:customStyle="1" w:styleId="5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55">
    <w:name w:val="font10"/>
    <w:basedOn w:val="1"/>
    <w:qFormat/>
    <w:uiPriority w:val="0"/>
    <w:pPr>
      <w:widowControl/>
      <w:spacing w:before="100" w:beforeAutospacing="1" w:after="100" w:afterAutospacing="1"/>
      <w:jc w:val="left"/>
    </w:pPr>
    <w:rPr>
      <w:color w:val="000000"/>
      <w:kern w:val="0"/>
      <w:sz w:val="24"/>
    </w:rPr>
  </w:style>
  <w:style w:type="paragraph" w:customStyle="1" w:styleId="556">
    <w:name w:val="章标题"/>
    <w:next w:val="1"/>
    <w:qFormat/>
    <w:uiPriority w:val="0"/>
    <w:pPr>
      <w:spacing w:beforeLines="100" w:afterLines="100"/>
      <w:ind w:left="4962"/>
      <w:jc w:val="both"/>
      <w:outlineLvl w:val="1"/>
    </w:pPr>
    <w:rPr>
      <w:rFonts w:ascii="黑体" w:hAnsi="Times New Roman" w:eastAsia="黑体" w:cs="Times New Roman"/>
      <w:sz w:val="21"/>
      <w:lang w:val="en-US" w:eastAsia="zh-CN" w:bidi="ar-SA"/>
    </w:rPr>
  </w:style>
  <w:style w:type="paragraph" w:customStyle="1" w:styleId="557">
    <w:name w:val="正文标题二"/>
    <w:basedOn w:val="532"/>
    <w:qFormat/>
    <w:uiPriority w:val="0"/>
    <w:rPr>
      <w:sz w:val="22"/>
      <w:lang w:eastAsia="zh-CN"/>
    </w:rPr>
  </w:style>
  <w:style w:type="paragraph" w:customStyle="1" w:styleId="55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正文样式二"/>
    <w:basedOn w:val="1"/>
    <w:qFormat/>
    <w:uiPriority w:val="0"/>
    <w:pPr>
      <w:ind w:firstLine="482"/>
    </w:pPr>
    <w:rPr>
      <w:sz w:val="24"/>
    </w:rPr>
  </w:style>
  <w:style w:type="paragraph" w:customStyle="1" w:styleId="560">
    <w:name w:val="信安标题3"/>
    <w:basedOn w:val="5"/>
    <w:next w:val="1"/>
    <w:qFormat/>
    <w:uiPriority w:val="0"/>
    <w:pPr>
      <w:tabs>
        <w:tab w:val="left" w:pos="425"/>
      </w:tabs>
    </w:pPr>
    <w:rPr>
      <w:rFonts w:eastAsia="黑体"/>
      <w:sz w:val="24"/>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63">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5">
    <w:name w:val="样式 信安标题3 + 黑体 小四 段前: 7.8 磅 段后: 7.8 磅 行距: 1.5 倍行距"/>
    <w:basedOn w:val="1"/>
    <w:qFormat/>
    <w:uiPriority w:val="0"/>
    <w:pPr>
      <w:keepNext/>
      <w:keepLines/>
      <w:tabs>
        <w:tab w:val="left" w:pos="0"/>
        <w:tab w:val="left" w:pos="425"/>
      </w:tabs>
      <w:spacing w:before="156" w:after="156" w:line="360" w:lineRule="auto"/>
      <w:ind w:left="1260" w:hanging="420"/>
      <w:outlineLvl w:val="2"/>
    </w:pPr>
    <w:rPr>
      <w:rFonts w:ascii="黑体" w:eastAsia="黑体" w:cs="宋体"/>
      <w:b/>
      <w:bCs/>
      <w:sz w:val="24"/>
      <w:szCs w:val="20"/>
    </w:rPr>
  </w:style>
  <w:style w:type="paragraph" w:customStyle="1" w:styleId="566">
    <w:name w:val="样式 样式 正文首行缩进 + 段后: 0 磅 行距: 1.5 倍行距 + 首行缩进:  2 字符"/>
    <w:basedOn w:val="1"/>
    <w:qFormat/>
    <w:uiPriority w:val="0"/>
    <w:pPr>
      <w:spacing w:line="520" w:lineRule="exact"/>
      <w:ind w:firstLine="560" w:firstLineChars="200"/>
    </w:pPr>
    <w:rPr>
      <w:rFonts w:eastAsia="仿宋_GB2312"/>
      <w:sz w:val="28"/>
      <w:szCs w:val="20"/>
    </w:rPr>
  </w:style>
  <w:style w:type="paragraph" w:customStyle="1" w:styleId="567">
    <w:name w:val="Char4"/>
    <w:basedOn w:val="1"/>
    <w:qFormat/>
    <w:uiPriority w:val="0"/>
    <w:pPr>
      <w:spacing w:line="360" w:lineRule="auto"/>
      <w:ind w:firstLine="200" w:firstLineChars="200"/>
    </w:pPr>
    <w:rPr>
      <w:rFonts w:ascii="宋体" w:hAnsi="宋体" w:cs="宋体"/>
      <w:sz w:val="24"/>
    </w:rPr>
  </w:style>
  <w:style w:type="paragraph" w:customStyle="1" w:styleId="56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69">
    <w:name w:val="xl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7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2">
    <w:name w:val="样式3"/>
    <w:basedOn w:val="26"/>
    <w:qFormat/>
    <w:uiPriority w:val="0"/>
    <w:pPr>
      <w:spacing w:line="240" w:lineRule="atLeast"/>
      <w:outlineLvl w:val="0"/>
    </w:pPr>
    <w:rPr>
      <w:sz w:val="28"/>
      <w:szCs w:val="20"/>
    </w:rPr>
  </w:style>
  <w:style w:type="paragraph" w:customStyle="1" w:styleId="573">
    <w:name w:val="xl12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574">
    <w:name w:val="Char1 Char Char Char Char Char Char Char Char Char1"/>
    <w:basedOn w:val="1"/>
    <w:qFormat/>
    <w:uiPriority w:val="0"/>
  </w:style>
  <w:style w:type="paragraph" w:customStyle="1" w:styleId="575">
    <w:name w:val="标题2"/>
    <w:basedOn w:val="4"/>
    <w:qFormat/>
    <w:uiPriority w:val="0"/>
    <w:pPr>
      <w:tabs>
        <w:tab w:val="left" w:pos="360"/>
        <w:tab w:val="left" w:pos="567"/>
      </w:tabs>
      <w:adjustRightInd w:val="0"/>
      <w:snapToGrid w:val="0"/>
      <w:spacing w:before="0" w:after="0" w:line="360" w:lineRule="auto"/>
      <w:textAlignment w:val="baseline"/>
    </w:pPr>
    <w:rPr>
      <w:rFonts w:ascii="Times New Roman" w:hAnsi="Times New Roman" w:eastAsia="宋体"/>
      <w:b w:val="0"/>
      <w:bCs w:val="0"/>
      <w:kern w:val="0"/>
      <w:sz w:val="24"/>
      <w:szCs w:val="20"/>
    </w:rPr>
  </w:style>
  <w:style w:type="paragraph" w:customStyle="1" w:styleId="576">
    <w:name w:val="TOC 标题21"/>
    <w:basedOn w:val="3"/>
    <w:next w:val="1"/>
    <w:qFormat/>
    <w:uiPriority w:val="0"/>
    <w:pPr>
      <w:widowControl/>
      <w:spacing w:before="480" w:line="276" w:lineRule="auto"/>
      <w:ind w:left="0" w:leftChars="0" w:right="0" w:rightChars="0"/>
      <w:jc w:val="left"/>
      <w:outlineLvl w:val="9"/>
    </w:pPr>
    <w:rPr>
      <w:rFonts w:ascii="Cambria" w:hAnsi="Cambria"/>
      <w:color w:val="365F91"/>
      <w:kern w:val="0"/>
      <w:sz w:val="28"/>
      <w:szCs w:val="28"/>
    </w:rPr>
  </w:style>
  <w:style w:type="paragraph" w:customStyle="1" w:styleId="577">
    <w:name w:val="标题二、"/>
    <w:basedOn w:val="1"/>
    <w:qFormat/>
    <w:uiPriority w:val="0"/>
    <w:pPr>
      <w:spacing w:line="360" w:lineRule="auto"/>
      <w:ind w:firstLine="200" w:firstLineChars="200"/>
      <w:outlineLvl w:val="2"/>
    </w:pPr>
    <w:rPr>
      <w:rFonts w:ascii="宋体" w:hAnsi="宋体"/>
      <w:b/>
      <w:sz w:val="24"/>
      <w:szCs w:val="21"/>
    </w:rPr>
  </w:style>
  <w:style w:type="paragraph" w:customStyle="1" w:styleId="578">
    <w:name w:val="font7"/>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57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8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8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586">
    <w:name w:val="五级条标题"/>
    <w:basedOn w:val="587"/>
    <w:next w:val="1"/>
    <w:qFormat/>
    <w:uiPriority w:val="0"/>
    <w:pPr>
      <w:outlineLvl w:val="6"/>
    </w:pPr>
  </w:style>
  <w:style w:type="paragraph" w:customStyle="1" w:styleId="587">
    <w:name w:val="四级条标题"/>
    <w:basedOn w:val="482"/>
    <w:next w:val="1"/>
    <w:qFormat/>
    <w:uiPriority w:val="0"/>
    <w:pPr>
      <w:ind w:left="4962"/>
      <w:outlineLvl w:val="5"/>
    </w:pPr>
  </w:style>
  <w:style w:type="paragraph" w:customStyle="1" w:styleId="588">
    <w:name w:val="5"/>
    <w:basedOn w:val="1"/>
    <w:next w:val="10"/>
    <w:qFormat/>
    <w:uiPriority w:val="0"/>
    <w:pPr>
      <w:ind w:firstLine="420"/>
    </w:pPr>
    <w:rPr>
      <w:rFonts w:eastAsia="仿宋_GB2312"/>
      <w:sz w:val="28"/>
      <w:szCs w:val="20"/>
    </w:rPr>
  </w:style>
  <w:style w:type="paragraph" w:customStyle="1" w:styleId="589">
    <w:name w:val="样式 scyzw0 + 宋体 五号 首行缩进:  2 字符"/>
    <w:basedOn w:val="1"/>
    <w:qFormat/>
    <w:uiPriority w:val="0"/>
    <w:pPr>
      <w:widowControl/>
      <w:spacing w:line="360" w:lineRule="auto"/>
      <w:ind w:firstLine="482" w:firstLineChars="200"/>
    </w:pPr>
    <w:rPr>
      <w:rFonts w:ascii="宋体" w:hAnsi="宋体" w:cs="宋体"/>
      <w:b/>
      <w:bCs/>
      <w:sz w:val="24"/>
    </w:rPr>
  </w:style>
  <w:style w:type="paragraph" w:customStyle="1" w:styleId="5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4"/>
    </w:rPr>
  </w:style>
  <w:style w:type="paragraph" w:customStyle="1" w:styleId="59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2">
    <w:name w:val="reader-word-layer reader-word-s3-0"/>
    <w:basedOn w:val="1"/>
    <w:qFormat/>
    <w:uiPriority w:val="0"/>
    <w:pPr>
      <w:widowControl/>
      <w:spacing w:before="100" w:beforeAutospacing="1" w:after="100" w:afterAutospacing="1"/>
      <w:jc w:val="left"/>
    </w:pPr>
    <w:rPr>
      <w:rFonts w:ascii="宋体" w:hAnsi="宋体" w:cs="宋体"/>
      <w:kern w:val="0"/>
      <w:sz w:val="24"/>
    </w:rPr>
  </w:style>
  <w:style w:type="paragraph" w:customStyle="1" w:styleId="593">
    <w:name w:val="无间隔1"/>
    <w:qFormat/>
    <w:uiPriority w:val="0"/>
    <w:rPr>
      <w:rFonts w:ascii="Calibri" w:hAnsi="Calibri" w:eastAsia="宋体" w:cs="Times New Roman"/>
      <w:sz w:val="22"/>
      <w:szCs w:val="22"/>
      <w:lang w:val="en-US" w:eastAsia="zh-CN" w:bidi="ar-SA"/>
    </w:rPr>
  </w:style>
  <w:style w:type="character" w:customStyle="1" w:styleId="594">
    <w:name w:val="引用 字符2"/>
    <w:basedOn w:val="5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95">
    <w:name w:val="引用 Char2"/>
    <w:qFormat/>
    <w:uiPriority w:val="29"/>
    <w:rPr>
      <w:i/>
      <w:iCs/>
      <w:color w:val="000000"/>
      <w:kern w:val="2"/>
      <w:sz w:val="21"/>
      <w:szCs w:val="24"/>
    </w:rPr>
  </w:style>
  <w:style w:type="paragraph" w:customStyle="1" w:styleId="596">
    <w:name w:val="图中文字3"/>
    <w:basedOn w:val="1"/>
    <w:qFormat/>
    <w:uiPriority w:val="0"/>
    <w:pPr>
      <w:widowControl/>
      <w:adjustRightInd w:val="0"/>
      <w:snapToGrid w:val="0"/>
      <w:jc w:val="center"/>
    </w:pPr>
    <w:rPr>
      <w:rFonts w:ascii="宋体" w:hAnsi="宋体"/>
      <w:b/>
      <w:sz w:val="24"/>
    </w:rPr>
  </w:style>
  <w:style w:type="paragraph" w:customStyle="1" w:styleId="597">
    <w:name w:val="reader-word-layer reader-word-s2-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9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01">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2">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04">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7">
    <w:name w:val="表格格式"/>
    <w:basedOn w:val="1"/>
    <w:qFormat/>
    <w:uiPriority w:val="0"/>
    <w:pPr>
      <w:adjustRightInd w:val="0"/>
      <w:snapToGrid w:val="0"/>
      <w:spacing w:line="360" w:lineRule="exact"/>
      <w:jc w:val="center"/>
    </w:pPr>
    <w:rPr>
      <w:rFonts w:ascii="仿宋_GB2312" w:eastAsia="仿宋_GB2312"/>
      <w:szCs w:val="20"/>
    </w:rPr>
  </w:style>
  <w:style w:type="paragraph" w:customStyle="1" w:styleId="60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9">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10">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11">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2">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613">
    <w:name w:val="xl12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14">
    <w:name w:val="正文 + 仿宋_GB2312"/>
    <w:basedOn w:val="1"/>
    <w:qFormat/>
    <w:uiPriority w:val="0"/>
    <w:pPr>
      <w:spacing w:before="156" w:beforeLines="50" w:line="360" w:lineRule="auto"/>
      <w:ind w:firstLine="361" w:firstLineChars="150"/>
    </w:pPr>
    <w:rPr>
      <w:rFonts w:ascii="宋体" w:hAnsi="楷体_GB2312"/>
      <w:sz w:val="24"/>
    </w:rPr>
  </w:style>
  <w:style w:type="paragraph" w:customStyle="1" w:styleId="615">
    <w:name w:val="正  文"/>
    <w:basedOn w:val="1"/>
    <w:qFormat/>
    <w:uiPriority w:val="0"/>
    <w:pPr>
      <w:spacing w:line="350" w:lineRule="exact"/>
      <w:ind w:firstLine="200" w:firstLineChars="200"/>
    </w:pPr>
    <w:rPr>
      <w:rFonts w:ascii="宋体"/>
    </w:rPr>
  </w:style>
  <w:style w:type="paragraph" w:customStyle="1" w:styleId="6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Tabelle"/>
    <w:basedOn w:val="1"/>
    <w:qFormat/>
    <w:uiPriority w:val="0"/>
    <w:pPr>
      <w:widowControl/>
      <w:spacing w:before="40" w:after="40"/>
    </w:pPr>
    <w:rPr>
      <w:rFonts w:ascii="Arial" w:hAnsi="Arial"/>
      <w:kern w:val="0"/>
      <w:sz w:val="20"/>
      <w:szCs w:val="20"/>
    </w:rPr>
  </w:style>
  <w:style w:type="paragraph" w:customStyle="1" w:styleId="618">
    <w:name w:val="BT1"/>
    <w:basedOn w:val="1"/>
    <w:qFormat/>
    <w:uiPriority w:val="0"/>
    <w:rPr>
      <w:b/>
      <w:bCs/>
      <w:sz w:val="24"/>
      <w:szCs w:val="44"/>
    </w:rPr>
  </w:style>
  <w:style w:type="paragraph" w:customStyle="1" w:styleId="619">
    <w:name w:val="xl12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620">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622">
    <w:name w:val="xl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623">
    <w:name w:val="xl12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2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8">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29">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Char5 Char Char Char Char Char Char"/>
    <w:basedOn w:val="1"/>
    <w:qFormat/>
    <w:uiPriority w:val="0"/>
    <w:pPr>
      <w:widowControl/>
      <w:spacing w:after="160" w:line="240" w:lineRule="exact"/>
      <w:jc w:val="left"/>
    </w:pPr>
  </w:style>
  <w:style w:type="paragraph" w:customStyle="1" w:styleId="63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632">
    <w:name w:val="样式 标题 2H2Heading 2 HiddenHeading 2 CCBSheading 2第一章 标题 2IS..."/>
    <w:basedOn w:val="4"/>
    <w:qFormat/>
    <w:uiPriority w:val="0"/>
    <w:pPr>
      <w:tabs>
        <w:tab w:val="left" w:pos="576"/>
      </w:tabs>
      <w:adjustRightInd w:val="0"/>
      <w:snapToGrid w:val="0"/>
      <w:spacing w:before="120" w:after="0" w:line="360" w:lineRule="auto"/>
      <w:textAlignment w:val="baseline"/>
    </w:pPr>
    <w:rPr>
      <w:rFonts w:ascii="宋体" w:hAnsi="宋体" w:eastAsia="宋体"/>
      <w:bCs w:val="0"/>
      <w:kern w:val="0"/>
      <w:sz w:val="30"/>
      <w:szCs w:val="30"/>
    </w:rPr>
  </w:style>
  <w:style w:type="paragraph" w:customStyle="1" w:styleId="633">
    <w:name w:val="_Style 19"/>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6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63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7">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3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639">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40">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1">
    <w:name w:val="_Style 291"/>
    <w:basedOn w:val="1"/>
    <w:next w:val="154"/>
    <w:qFormat/>
    <w:uiPriority w:val="0"/>
    <w:pPr>
      <w:ind w:firstLine="420" w:firstLineChars="200"/>
    </w:pPr>
    <w:rPr>
      <w:sz w:val="24"/>
    </w:rPr>
  </w:style>
  <w:style w:type="paragraph" w:customStyle="1" w:styleId="642">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43">
    <w:name w:val="样式 宋体 左 行距: 1.5 倍行距"/>
    <w:basedOn w:val="1"/>
    <w:qFormat/>
    <w:uiPriority w:val="0"/>
    <w:pPr>
      <w:spacing w:line="360" w:lineRule="auto"/>
      <w:jc w:val="left"/>
    </w:pPr>
    <w:rPr>
      <w:rFonts w:ascii="宋体" w:hAnsi="宋体" w:cs="宋体"/>
      <w:szCs w:val="20"/>
    </w:rPr>
  </w:style>
  <w:style w:type="paragraph" w:customStyle="1" w:styleId="64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645">
    <w:name w:val="2"/>
    <w:basedOn w:val="1"/>
    <w:qFormat/>
    <w:uiPriority w:val="0"/>
    <w:pPr>
      <w:tabs>
        <w:tab w:val="left" w:pos="420"/>
      </w:tabs>
      <w:ind w:left="420" w:hanging="420"/>
    </w:pPr>
  </w:style>
  <w:style w:type="paragraph" w:customStyle="1" w:styleId="646">
    <w:name w:val="Char5 Char Char Char Char Char Char1"/>
    <w:basedOn w:val="1"/>
    <w:qFormat/>
    <w:uiPriority w:val="0"/>
    <w:pPr>
      <w:widowControl/>
      <w:spacing w:after="160" w:line="240" w:lineRule="exact"/>
      <w:jc w:val="left"/>
    </w:pPr>
  </w:style>
  <w:style w:type="paragraph" w:customStyle="1" w:styleId="647">
    <w:name w:val="段落正文"/>
    <w:qFormat/>
    <w:uiPriority w:val="0"/>
    <w:pPr>
      <w:adjustRightInd w:val="0"/>
      <w:snapToGrid w:val="0"/>
      <w:spacing w:before="120" w:line="420" w:lineRule="exact"/>
      <w:ind w:firstLine="560" w:firstLineChars="200"/>
      <w:jc w:val="both"/>
    </w:pPr>
    <w:rPr>
      <w:rFonts w:ascii="仿宋_GB2312" w:hAnsi="华文仿宋" w:eastAsia="仿宋_GB2312" w:cs="宋体"/>
      <w:kern w:val="2"/>
      <w:sz w:val="28"/>
      <w:szCs w:val="28"/>
      <w:lang w:val="en-US" w:eastAsia="zh-CN" w:bidi="ar-SA"/>
    </w:rPr>
  </w:style>
  <w:style w:type="paragraph" w:customStyle="1" w:styleId="648">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9">
    <w:name w:val="信安标题2"/>
    <w:basedOn w:val="4"/>
    <w:next w:val="1"/>
    <w:qFormat/>
    <w:uiPriority w:val="0"/>
    <w:pPr>
      <w:tabs>
        <w:tab w:val="left" w:pos="425"/>
        <w:tab w:val="left" w:pos="567"/>
      </w:tabs>
      <w:ind w:left="567" w:hanging="567"/>
    </w:pPr>
  </w:style>
  <w:style w:type="paragraph" w:customStyle="1" w:styleId="6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651">
    <w:name w:val="Char Char Char Char Char Char Char Char Char Char Char Char Char Char Char Char Char Char Char"/>
    <w:basedOn w:val="1"/>
    <w:qFormat/>
    <w:uiPriority w:val="0"/>
    <w:rPr>
      <w:sz w:val="24"/>
      <w:szCs w:val="20"/>
    </w:rPr>
  </w:style>
  <w:style w:type="paragraph" w:customStyle="1" w:styleId="652">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5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654">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65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65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657">
    <w:name w:val="普通正文"/>
    <w:basedOn w:val="1"/>
    <w:qFormat/>
    <w:uiPriority w:val="0"/>
    <w:pPr>
      <w:adjustRightInd w:val="0"/>
      <w:snapToGrid w:val="0"/>
      <w:spacing w:line="500" w:lineRule="atLeast"/>
      <w:ind w:firstLine="200" w:firstLineChars="200"/>
    </w:pPr>
    <w:rPr>
      <w:rFonts w:ascii="仿宋_GB2312" w:eastAsia="仿宋_GB2312"/>
      <w:sz w:val="24"/>
      <w:szCs w:val="20"/>
    </w:rPr>
  </w:style>
  <w:style w:type="paragraph" w:customStyle="1" w:styleId="658">
    <w:name w:val="列出段落2"/>
    <w:basedOn w:val="1"/>
    <w:qFormat/>
    <w:uiPriority w:val="0"/>
    <w:pPr>
      <w:ind w:firstLine="420" w:firstLineChars="200"/>
    </w:pPr>
    <w:rPr>
      <w:rFonts w:ascii="Calibri" w:hAnsi="Calibri" w:eastAsia="等线" w:cs="宋体"/>
      <w:szCs w:val="21"/>
    </w:rPr>
  </w:style>
  <w:style w:type="character" w:customStyle="1" w:styleId="659">
    <w:name w:val="z-窗体顶端 字符2"/>
    <w:basedOn w:val="52"/>
    <w:semiHidden/>
    <w:qFormat/>
    <w:uiPriority w:val="99"/>
    <w:rPr>
      <w:rFonts w:ascii="Arial" w:hAnsi="Arial" w:cs="Arial"/>
      <w:vanish/>
      <w:kern w:val="2"/>
      <w:sz w:val="16"/>
      <w:szCs w:val="16"/>
    </w:rPr>
  </w:style>
  <w:style w:type="character" w:customStyle="1" w:styleId="660">
    <w:name w:val="z-窗体顶端 Char1"/>
    <w:qFormat/>
    <w:uiPriority w:val="0"/>
    <w:rPr>
      <w:rFonts w:ascii="Arial" w:hAnsi="Arial" w:cs="Arial"/>
      <w:vanish/>
      <w:kern w:val="2"/>
      <w:sz w:val="16"/>
      <w:szCs w:val="16"/>
    </w:rPr>
  </w:style>
  <w:style w:type="paragraph" w:customStyle="1" w:styleId="66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列表1"/>
    <w:basedOn w:val="1"/>
    <w:next w:val="37"/>
    <w:qFormat/>
    <w:uiPriority w:val="0"/>
    <w:pPr>
      <w:tabs>
        <w:tab w:val="left" w:pos="420"/>
      </w:tabs>
      <w:spacing w:line="360" w:lineRule="auto"/>
      <w:ind w:left="420" w:firstLine="120"/>
    </w:pPr>
    <w:rPr>
      <w:kern w:val="0"/>
      <w:sz w:val="24"/>
    </w:rPr>
  </w:style>
  <w:style w:type="paragraph" w:customStyle="1" w:styleId="663">
    <w:name w:val="pa-1"/>
    <w:basedOn w:val="1"/>
    <w:qFormat/>
    <w:uiPriority w:val="0"/>
    <w:pPr>
      <w:widowControl/>
      <w:spacing w:before="150" w:after="150"/>
      <w:jc w:val="left"/>
    </w:pPr>
    <w:rPr>
      <w:rFonts w:ascii="宋体" w:hAnsi="宋体" w:cs="宋体"/>
      <w:kern w:val="0"/>
      <w:sz w:val="24"/>
    </w:rPr>
  </w:style>
  <w:style w:type="paragraph" w:customStyle="1" w:styleId="664">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table" w:customStyle="1" w:styleId="665">
    <w:name w:val="网格型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网格型1"/>
    <w:basedOn w:val="5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7">
    <w:name w:val="网格型11"/>
    <w:basedOn w:val="5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68">
    <w:name w:val="标识2"/>
    <w:basedOn w:val="1"/>
    <w:qFormat/>
    <w:uiPriority w:val="0"/>
    <w:pPr>
      <w:numPr>
        <w:ilvl w:val="0"/>
        <w:numId w:val="2"/>
      </w:numPr>
      <w:spacing w:line="360" w:lineRule="auto"/>
      <w:jc w:val="left"/>
    </w:pPr>
    <w:rPr>
      <w:kern w:val="0"/>
      <w:sz w:val="24"/>
      <w:szCs w:val="22"/>
    </w:rPr>
  </w:style>
  <w:style w:type="paragraph" w:customStyle="1" w:styleId="669">
    <w:name w:val="正文首行缩进2字符"/>
    <w:basedOn w:val="1"/>
    <w:link w:val="670"/>
    <w:qFormat/>
    <w:uiPriority w:val="0"/>
    <w:pPr>
      <w:spacing w:before="60" w:after="60" w:line="360" w:lineRule="auto"/>
      <w:ind w:firstLine="482"/>
      <w:jc w:val="left"/>
    </w:pPr>
    <w:rPr>
      <w:iCs/>
      <w:kern w:val="0"/>
      <w:sz w:val="24"/>
      <w:szCs w:val="22"/>
    </w:rPr>
  </w:style>
  <w:style w:type="character" w:customStyle="1" w:styleId="670">
    <w:name w:val="正文首行缩进2字符 Char"/>
    <w:link w:val="669"/>
    <w:qFormat/>
    <w:uiPriority w:val="0"/>
    <w:rPr>
      <w:iCs/>
      <w:sz w:val="24"/>
      <w:szCs w:val="22"/>
    </w:rPr>
  </w:style>
  <w:style w:type="character" w:customStyle="1" w:styleId="671">
    <w:name w:val="文档结构图 Char2"/>
    <w:semiHidden/>
    <w:qFormat/>
    <w:uiPriority w:val="99"/>
    <w:rPr>
      <w:rFonts w:ascii="Microsoft YaHei UI" w:eastAsia="Microsoft YaHei UI"/>
      <w:sz w:val="18"/>
      <w:szCs w:val="18"/>
    </w:rPr>
  </w:style>
  <w:style w:type="character" w:customStyle="1" w:styleId="672">
    <w:name w:val="正文文本 Char3"/>
    <w:semiHidden/>
    <w:qFormat/>
    <w:uiPriority w:val="99"/>
  </w:style>
  <w:style w:type="character" w:customStyle="1" w:styleId="673">
    <w:name w:val="正文首行缩进 Char2"/>
    <w:semiHidden/>
    <w:qFormat/>
    <w:uiPriority w:val="99"/>
  </w:style>
  <w:style w:type="character" w:customStyle="1" w:styleId="674">
    <w:name w:val="纯文本 Char4"/>
    <w:semiHidden/>
    <w:qFormat/>
    <w:uiPriority w:val="99"/>
    <w:rPr>
      <w:rFonts w:ascii="宋体" w:hAnsi="Courier New" w:eastAsia="宋体" w:cs="Courier New"/>
      <w:szCs w:val="21"/>
    </w:rPr>
  </w:style>
  <w:style w:type="character" w:customStyle="1" w:styleId="675">
    <w:name w:val="页脚 Char2"/>
    <w:semiHidden/>
    <w:qFormat/>
    <w:uiPriority w:val="99"/>
    <w:rPr>
      <w:sz w:val="18"/>
      <w:szCs w:val="18"/>
    </w:rPr>
  </w:style>
  <w:style w:type="character" w:customStyle="1" w:styleId="676">
    <w:name w:val="正文文本缩进 2 Char3"/>
    <w:semiHidden/>
    <w:qFormat/>
    <w:uiPriority w:val="99"/>
  </w:style>
  <w:style w:type="character" w:customStyle="1" w:styleId="677">
    <w:name w:val="日期 Char3"/>
    <w:semiHidden/>
    <w:qFormat/>
    <w:uiPriority w:val="99"/>
  </w:style>
  <w:style w:type="character" w:customStyle="1" w:styleId="678">
    <w:name w:val="批注框文本 Char3"/>
    <w:semiHidden/>
    <w:qFormat/>
    <w:uiPriority w:val="99"/>
    <w:rPr>
      <w:sz w:val="18"/>
      <w:szCs w:val="18"/>
    </w:rPr>
  </w:style>
  <w:style w:type="character" w:customStyle="1" w:styleId="679">
    <w:name w:val="页眉 Char2"/>
    <w:semiHidden/>
    <w:qFormat/>
    <w:uiPriority w:val="99"/>
    <w:rPr>
      <w:sz w:val="18"/>
      <w:szCs w:val="18"/>
    </w:rPr>
  </w:style>
  <w:style w:type="table" w:customStyle="1" w:styleId="680">
    <w:name w:val="网格型12"/>
    <w:basedOn w:val="5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1">
    <w:name w:val="网格型3"/>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111"/>
    <w:basedOn w:val="5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3">
    <w:name w:val="网格型2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4">
    <w:name w:val="+正文 Char Char"/>
    <w:link w:val="685"/>
    <w:qFormat/>
    <w:uiPriority w:val="0"/>
    <w:rPr>
      <w:sz w:val="24"/>
      <w:szCs w:val="28"/>
    </w:rPr>
  </w:style>
  <w:style w:type="paragraph" w:customStyle="1" w:styleId="685">
    <w:name w:val="+正文"/>
    <w:basedOn w:val="1"/>
    <w:link w:val="684"/>
    <w:qFormat/>
    <w:uiPriority w:val="0"/>
    <w:pPr>
      <w:spacing w:line="360" w:lineRule="auto"/>
      <w:ind w:firstLine="200" w:firstLineChars="200"/>
    </w:pPr>
    <w:rPr>
      <w:kern w:val="0"/>
      <w:sz w:val="24"/>
      <w:szCs w:val="28"/>
    </w:rPr>
  </w:style>
  <w:style w:type="character" w:customStyle="1" w:styleId="686">
    <w:name w:val="列出段落 Char1"/>
    <w:link w:val="198"/>
    <w:qFormat/>
    <w:uiPriority w:val="34"/>
    <w:rPr>
      <w:kern w:val="2"/>
      <w:sz w:val="24"/>
      <w:szCs w:val="24"/>
    </w:rPr>
  </w:style>
  <w:style w:type="table" w:customStyle="1" w:styleId="687">
    <w:name w:val="网格型18"/>
    <w:basedOn w:val="5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8">
    <w:name w:val="图 Char1"/>
    <w:link w:val="179"/>
    <w:qFormat/>
    <w:uiPriority w:val="0"/>
    <w:rPr>
      <w:spacing w:val="20"/>
      <w:sz w:val="24"/>
    </w:rPr>
  </w:style>
  <w:style w:type="paragraph" w:customStyle="1" w:styleId="689">
    <w:name w:val="表格正文"/>
    <w:basedOn w:val="1"/>
    <w:qFormat/>
    <w:uiPriority w:val="0"/>
    <w:rPr>
      <w:rFonts w:cs="宋体"/>
      <w:kern w:val="0"/>
    </w:rPr>
  </w:style>
  <w:style w:type="paragraph" w:customStyle="1" w:styleId="690">
    <w:name w:val="编号2"/>
    <w:basedOn w:val="1"/>
    <w:qFormat/>
    <w:uiPriority w:val="0"/>
    <w:pPr>
      <w:numPr>
        <w:ilvl w:val="0"/>
        <w:numId w:val="3"/>
      </w:numPr>
      <w:spacing w:line="360" w:lineRule="auto"/>
    </w:pPr>
    <w:rPr>
      <w:rFonts w:cs="Arial"/>
      <w:kern w:val="0"/>
      <w:sz w:val="24"/>
    </w:rPr>
  </w:style>
  <w:style w:type="paragraph" w:customStyle="1" w:styleId="691">
    <w:name w:val="表格表头"/>
    <w:basedOn w:val="1"/>
    <w:qFormat/>
    <w:uiPriority w:val="0"/>
    <w:pPr>
      <w:jc w:val="center"/>
      <w:outlineLvl w:val="0"/>
    </w:pPr>
    <w:rPr>
      <w:rFonts w:ascii="宋体" w:hAnsi="宋体" w:eastAsia="黑体" w:cs="宋体"/>
      <w:kern w:val="0"/>
      <w:sz w:val="24"/>
      <w:szCs w:val="21"/>
    </w:rPr>
  </w:style>
  <w:style w:type="paragraph" w:customStyle="1" w:styleId="692">
    <w:name w:val="编号1"/>
    <w:basedOn w:val="1"/>
    <w:qFormat/>
    <w:uiPriority w:val="0"/>
    <w:pPr>
      <w:numPr>
        <w:ilvl w:val="0"/>
        <w:numId w:val="4"/>
      </w:numPr>
      <w:spacing w:before="120" w:after="120" w:line="360" w:lineRule="auto"/>
      <w:ind w:left="113" w:hanging="113"/>
    </w:pPr>
    <w:rPr>
      <w:b/>
      <w:color w:val="000000"/>
      <w:sz w:val="24"/>
      <w:szCs w:val="21"/>
    </w:rPr>
  </w:style>
  <w:style w:type="paragraph" w:customStyle="1" w:styleId="693">
    <w:name w:val="1级标题"/>
    <w:basedOn w:val="154"/>
    <w:qFormat/>
    <w:uiPriority w:val="0"/>
    <w:pPr>
      <w:keepLines/>
      <w:pageBreakBefore/>
      <w:numPr>
        <w:ilvl w:val="0"/>
        <w:numId w:val="5"/>
      </w:numPr>
      <w:spacing w:before="240" w:after="240" w:line="360" w:lineRule="auto"/>
      <w:ind w:left="840" w:firstLine="0" w:firstLineChars="0"/>
      <w:contextualSpacing/>
      <w:jc w:val="center"/>
      <w:outlineLvl w:val="0"/>
    </w:pPr>
    <w:rPr>
      <w:rFonts w:ascii="黑体" w:hAnsi="黑体" w:eastAsia="黑体"/>
      <w:kern w:val="0"/>
      <w:sz w:val="36"/>
      <w:szCs w:val="36"/>
      <w:lang w:eastAsia="en-US" w:bidi="en-US"/>
    </w:rPr>
  </w:style>
  <w:style w:type="paragraph" w:customStyle="1" w:styleId="694">
    <w:name w:val="2级标题"/>
    <w:basedOn w:val="154"/>
    <w:qFormat/>
    <w:uiPriority w:val="0"/>
    <w:pPr>
      <w:keepLines/>
      <w:numPr>
        <w:ilvl w:val="1"/>
        <w:numId w:val="5"/>
      </w:numPr>
      <w:spacing w:before="240" w:after="120" w:line="360" w:lineRule="auto"/>
      <w:ind w:left="1260" w:hanging="420" w:firstLineChars="0"/>
      <w:contextualSpacing/>
      <w:jc w:val="left"/>
      <w:outlineLvl w:val="1"/>
    </w:pPr>
    <w:rPr>
      <w:rFonts w:ascii="黑体" w:hAnsi="黑体" w:eastAsia="黑体"/>
      <w:kern w:val="0"/>
      <w:sz w:val="32"/>
      <w:szCs w:val="36"/>
      <w:lang w:eastAsia="en-US" w:bidi="en-US"/>
    </w:rPr>
  </w:style>
  <w:style w:type="paragraph" w:customStyle="1" w:styleId="695">
    <w:name w:val="3级标题"/>
    <w:basedOn w:val="154"/>
    <w:qFormat/>
    <w:uiPriority w:val="0"/>
    <w:pPr>
      <w:keepLines/>
      <w:numPr>
        <w:ilvl w:val="2"/>
        <w:numId w:val="5"/>
      </w:numPr>
      <w:spacing w:before="120" w:after="120" w:line="360" w:lineRule="auto"/>
      <w:ind w:left="1680" w:hanging="420" w:firstLineChars="0"/>
      <w:contextualSpacing/>
      <w:jc w:val="left"/>
      <w:outlineLvl w:val="2"/>
    </w:pPr>
    <w:rPr>
      <w:rFonts w:ascii="黑体" w:hAnsi="黑体" w:eastAsia="黑体"/>
      <w:kern w:val="0"/>
      <w:sz w:val="28"/>
      <w:szCs w:val="36"/>
      <w:lang w:eastAsia="en-US" w:bidi="en-US"/>
    </w:rPr>
  </w:style>
  <w:style w:type="paragraph" w:customStyle="1" w:styleId="696">
    <w:name w:val="4级标题"/>
    <w:basedOn w:val="154"/>
    <w:qFormat/>
    <w:uiPriority w:val="0"/>
    <w:pPr>
      <w:keepLines/>
      <w:numPr>
        <w:ilvl w:val="3"/>
        <w:numId w:val="5"/>
      </w:numPr>
      <w:spacing w:line="360" w:lineRule="auto"/>
      <w:ind w:left="2100" w:hanging="420" w:firstLineChars="0"/>
      <w:contextualSpacing/>
      <w:jc w:val="left"/>
      <w:outlineLvl w:val="3"/>
    </w:pPr>
    <w:rPr>
      <w:rFonts w:ascii="黑体" w:hAnsi="黑体" w:eastAsia="黑体"/>
      <w:kern w:val="0"/>
      <w:sz w:val="24"/>
      <w:szCs w:val="24"/>
      <w:lang w:eastAsia="en-US" w:bidi="en-US"/>
    </w:rPr>
  </w:style>
  <w:style w:type="paragraph" w:customStyle="1" w:styleId="697">
    <w:name w:val="标识1"/>
    <w:basedOn w:val="1"/>
    <w:qFormat/>
    <w:uiPriority w:val="0"/>
    <w:pPr>
      <w:numPr>
        <w:ilvl w:val="0"/>
        <w:numId w:val="6"/>
      </w:numPr>
      <w:spacing w:before="120" w:after="120" w:line="360" w:lineRule="auto"/>
    </w:pPr>
    <w:rPr>
      <w:rFonts w:cs="宋体"/>
      <w:b/>
      <w:kern w:val="0"/>
      <w:sz w:val="24"/>
    </w:rPr>
  </w:style>
  <w:style w:type="table" w:customStyle="1" w:styleId="698">
    <w:name w:val="网格型13"/>
    <w:basedOn w:val="5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9">
    <w:name w:val="Char Char Char Char Char Char Char Char Char Char Char Char Char Char Char Char Char Char Char1"/>
    <w:basedOn w:val="1"/>
    <w:qFormat/>
    <w:uiPriority w:val="0"/>
    <w:pPr>
      <w:spacing w:line="360" w:lineRule="auto"/>
      <w:ind w:firstLine="560" w:firstLineChars="200"/>
    </w:pPr>
    <w:rPr>
      <w:kern w:val="0"/>
      <w:sz w:val="28"/>
      <w:szCs w:val="28"/>
    </w:rPr>
  </w:style>
  <w:style w:type="paragraph" w:customStyle="1" w:styleId="700">
    <w:name w:val="文章正文"/>
    <w:basedOn w:val="1"/>
    <w:next w:val="1"/>
    <w:qFormat/>
    <w:uiPriority w:val="0"/>
    <w:pPr>
      <w:spacing w:before="156" w:beforeLines="50" w:after="156" w:afterLines="50" w:line="360" w:lineRule="auto"/>
      <w:ind w:firstLine="480" w:firstLineChars="200"/>
    </w:pPr>
    <w:rPr>
      <w:rFonts w:ascii="宋体" w:hAnsi="宋体"/>
      <w:sz w:val="24"/>
    </w:rPr>
  </w:style>
  <w:style w:type="character" w:customStyle="1" w:styleId="701">
    <w:name w:val="标题 1 字符2"/>
    <w:qFormat/>
    <w:uiPriority w:val="0"/>
    <w:rPr>
      <w:rFonts w:ascii="Times New Roman" w:hAnsi="Times New Roman" w:eastAsia="宋体" w:cs="Times New Roman"/>
      <w:b/>
      <w:bCs/>
      <w:kern w:val="44"/>
      <w:sz w:val="44"/>
      <w:szCs w:val="44"/>
    </w:rPr>
  </w:style>
  <w:style w:type="character" w:customStyle="1" w:styleId="702">
    <w:name w:val="标题 2 字符2"/>
    <w:qFormat/>
    <w:uiPriority w:val="0"/>
    <w:rPr>
      <w:rFonts w:ascii="Arial" w:hAnsi="Arial" w:eastAsia="黑体" w:cs="Times New Roman"/>
      <w:b/>
      <w:bCs/>
      <w:sz w:val="32"/>
      <w:szCs w:val="32"/>
    </w:rPr>
  </w:style>
  <w:style w:type="character" w:customStyle="1" w:styleId="703">
    <w:name w:val="标题 3 字符2"/>
    <w:qFormat/>
    <w:locked/>
    <w:uiPriority w:val="0"/>
    <w:rPr>
      <w:rFonts w:ascii="Calibri" w:hAnsi="Calibri" w:eastAsia="宋体" w:cs="Times New Roman"/>
      <w:b/>
      <w:sz w:val="32"/>
    </w:rPr>
  </w:style>
  <w:style w:type="character" w:customStyle="1" w:styleId="704">
    <w:name w:val="正文文本缩进 2 字符2"/>
    <w:qFormat/>
    <w:uiPriority w:val="0"/>
    <w:rPr>
      <w:rFonts w:ascii="宋体" w:hAnsi="宋体" w:eastAsia="宋体"/>
      <w:sz w:val="24"/>
    </w:rPr>
  </w:style>
  <w:style w:type="character" w:customStyle="1" w:styleId="705">
    <w:name w:val="批注框文本 字符2"/>
    <w:semiHidden/>
    <w:qFormat/>
    <w:uiPriority w:val="99"/>
    <w:rPr>
      <w:rFonts w:ascii="Times New Roman" w:hAnsi="Times New Roman" w:eastAsia="宋体" w:cs="Times New Roman"/>
      <w:sz w:val="18"/>
      <w:szCs w:val="18"/>
    </w:rPr>
  </w:style>
  <w:style w:type="character" w:customStyle="1" w:styleId="706">
    <w:name w:val="日期 字符2"/>
    <w:qFormat/>
    <w:uiPriority w:val="99"/>
    <w:rPr>
      <w:rFonts w:ascii="Times New Roman" w:hAnsi="Times New Roman" w:eastAsia="宋体" w:cs="Times New Roman"/>
      <w:szCs w:val="24"/>
    </w:rPr>
  </w:style>
  <w:style w:type="character" w:customStyle="1" w:styleId="707">
    <w:name w:val="正文文本首行缩进 2 字符4"/>
    <w:basedOn w:val="227"/>
    <w:qFormat/>
    <w:uiPriority w:val="99"/>
    <w:rPr>
      <w:rFonts w:eastAsia="宋体"/>
      <w:kern w:val="2"/>
      <w:sz w:val="21"/>
      <w:szCs w:val="24"/>
      <w:lang w:val="en-US" w:eastAsia="zh-CN" w:bidi="ar-SA"/>
    </w:rPr>
  </w:style>
  <w:style w:type="character" w:customStyle="1" w:styleId="708">
    <w:name w:val="标题 字符3"/>
    <w:qFormat/>
    <w:uiPriority w:val="10"/>
    <w:rPr>
      <w:rFonts w:ascii="Cambria" w:hAnsi="Cambria"/>
      <w:b/>
      <w:bCs/>
      <w:sz w:val="32"/>
      <w:szCs w:val="32"/>
    </w:rPr>
  </w:style>
  <w:style w:type="character" w:customStyle="1" w:styleId="709">
    <w:name w:val="批注主题 字符3"/>
    <w:qFormat/>
    <w:uiPriority w:val="99"/>
    <w:rPr>
      <w:b/>
      <w:bCs/>
      <w:szCs w:val="24"/>
    </w:rPr>
  </w:style>
  <w:style w:type="character" w:customStyle="1" w:styleId="710">
    <w:name w:val="文档结构图 字符2"/>
    <w:semiHidden/>
    <w:qFormat/>
    <w:uiPriority w:val="99"/>
    <w:rPr>
      <w:rFonts w:ascii="Times New Roman" w:hAnsi="Times New Roman" w:eastAsia="宋体" w:cs="Times New Roman"/>
      <w:szCs w:val="24"/>
      <w:shd w:val="clear" w:color="auto" w:fill="000080"/>
    </w:rPr>
  </w:style>
  <w:style w:type="character" w:customStyle="1" w:styleId="711">
    <w:name w:val="标题 9 字符2"/>
    <w:qFormat/>
    <w:uiPriority w:val="0"/>
    <w:rPr>
      <w:rFonts w:ascii="Arial" w:hAnsi="Arial" w:eastAsia="黑体" w:cs="Times New Roman"/>
      <w:szCs w:val="20"/>
    </w:rPr>
  </w:style>
  <w:style w:type="character" w:customStyle="1" w:styleId="712">
    <w:name w:val="HTML 预设格式 字符3"/>
    <w:qFormat/>
    <w:uiPriority w:val="99"/>
    <w:rPr>
      <w:rFonts w:ascii="宋体" w:hAnsi="宋体" w:cs="宋体"/>
      <w:sz w:val="24"/>
      <w:szCs w:val="24"/>
    </w:rPr>
  </w:style>
  <w:style w:type="character" w:customStyle="1" w:styleId="713">
    <w:name w:val="标题 7 字符2"/>
    <w:qFormat/>
    <w:uiPriority w:val="0"/>
    <w:rPr>
      <w:rFonts w:ascii="Times New Roman" w:hAnsi="Times New Roman" w:eastAsia="宋体" w:cs="Times New Roman"/>
      <w:b/>
      <w:sz w:val="24"/>
      <w:szCs w:val="20"/>
    </w:rPr>
  </w:style>
  <w:style w:type="character" w:customStyle="1" w:styleId="714">
    <w:name w:val="标题 5 字符2"/>
    <w:qFormat/>
    <w:uiPriority w:val="0"/>
    <w:rPr>
      <w:rFonts w:ascii="Times New Roman" w:hAnsi="Times New Roman" w:eastAsia="宋体" w:cs="Times New Roman"/>
      <w:b/>
      <w:bCs/>
      <w:sz w:val="28"/>
      <w:szCs w:val="28"/>
    </w:rPr>
  </w:style>
  <w:style w:type="character" w:customStyle="1" w:styleId="715">
    <w:name w:val="正文文本 2 字符3"/>
    <w:qFormat/>
    <w:uiPriority w:val="0"/>
  </w:style>
  <w:style w:type="character" w:customStyle="1" w:styleId="716">
    <w:name w:val="标题 6 字符2"/>
    <w:qFormat/>
    <w:uiPriority w:val="0"/>
    <w:rPr>
      <w:rFonts w:ascii="Cambria" w:hAnsi="Cambria" w:eastAsia="宋体" w:cs="Times New Roman"/>
      <w:b/>
      <w:bCs/>
      <w:sz w:val="24"/>
      <w:szCs w:val="24"/>
    </w:rPr>
  </w:style>
  <w:style w:type="character" w:customStyle="1" w:styleId="717">
    <w:name w:val="正文文本缩进 3 字符3"/>
    <w:qFormat/>
    <w:uiPriority w:val="99"/>
    <w:rPr>
      <w:sz w:val="16"/>
      <w:szCs w:val="16"/>
    </w:rPr>
  </w:style>
  <w:style w:type="character" w:customStyle="1" w:styleId="718">
    <w:name w:val="标题 4 字符2"/>
    <w:qFormat/>
    <w:uiPriority w:val="0"/>
    <w:rPr>
      <w:rFonts w:ascii="Times New Roman" w:hAnsi="Times New Roman" w:eastAsia="黑体" w:cs="Times New Roman"/>
      <w:color w:val="000000"/>
      <w:kern w:val="0"/>
      <w:szCs w:val="24"/>
    </w:rPr>
  </w:style>
  <w:style w:type="character" w:customStyle="1" w:styleId="719">
    <w:name w:val="标题 8 字符2"/>
    <w:qFormat/>
    <w:uiPriority w:val="0"/>
    <w:rPr>
      <w:rFonts w:ascii="Arial" w:hAnsi="Arial" w:eastAsia="黑体" w:cs="Times New Roman"/>
      <w:sz w:val="24"/>
      <w:szCs w:val="20"/>
    </w:rPr>
  </w:style>
  <w:style w:type="character" w:customStyle="1" w:styleId="720">
    <w:name w:val="正文文本 字符2"/>
    <w:qFormat/>
    <w:uiPriority w:val="99"/>
    <w:rPr>
      <w:rFonts w:ascii="Times New Roman" w:hAnsi="Times New Roman" w:eastAsia="宋体" w:cs="Times New Roman"/>
      <w:sz w:val="24"/>
      <w:szCs w:val="24"/>
    </w:rPr>
  </w:style>
  <w:style w:type="character" w:customStyle="1" w:styleId="721">
    <w:name w:val="正文文本缩进 字符2"/>
    <w:qFormat/>
    <w:uiPriority w:val="99"/>
    <w:rPr>
      <w:rFonts w:ascii="宋体" w:hAnsi="Times New Roman" w:eastAsia="宋体" w:cs="Times New Roman"/>
      <w:sz w:val="24"/>
      <w:szCs w:val="20"/>
    </w:rPr>
  </w:style>
  <w:style w:type="character" w:customStyle="1" w:styleId="722">
    <w:name w:val="HTML 预设格式 字符2"/>
    <w:basedOn w:val="52"/>
    <w:semiHidden/>
    <w:qFormat/>
    <w:uiPriority w:val="99"/>
    <w:rPr>
      <w:rFonts w:ascii="Courier New" w:hAnsi="Courier New" w:eastAsia="宋体" w:cs="Courier New"/>
      <w:sz w:val="20"/>
      <w:szCs w:val="20"/>
    </w:rPr>
  </w:style>
  <w:style w:type="character" w:customStyle="1" w:styleId="723">
    <w:name w:val="正文文本 2 字符2"/>
    <w:basedOn w:val="52"/>
    <w:semiHidden/>
    <w:qFormat/>
    <w:uiPriority w:val="99"/>
    <w:rPr>
      <w:rFonts w:ascii="Times New Roman" w:hAnsi="Times New Roman" w:eastAsia="宋体" w:cs="Times New Roman"/>
      <w:szCs w:val="24"/>
    </w:rPr>
  </w:style>
  <w:style w:type="character" w:customStyle="1" w:styleId="724">
    <w:name w:val="批注主题 字符2"/>
    <w:basedOn w:val="78"/>
    <w:semiHidden/>
    <w:qFormat/>
    <w:uiPriority w:val="99"/>
    <w:rPr>
      <w:rFonts w:ascii="Times New Roman" w:hAnsi="Times New Roman" w:eastAsia="宋体" w:cs="Times New Roman"/>
      <w:b/>
      <w:bCs/>
      <w:szCs w:val="24"/>
    </w:rPr>
  </w:style>
  <w:style w:type="character" w:customStyle="1" w:styleId="725">
    <w:name w:val="批注文字 字符1"/>
    <w:qFormat/>
    <w:uiPriority w:val="0"/>
    <w:rPr>
      <w:rFonts w:ascii="Times New Roman" w:hAnsi="Times New Roman" w:eastAsia="宋体" w:cs="Times New Roman"/>
      <w:szCs w:val="24"/>
    </w:rPr>
  </w:style>
  <w:style w:type="character" w:customStyle="1" w:styleId="726">
    <w:name w:val="标题 字符2"/>
    <w:basedOn w:val="52"/>
    <w:qFormat/>
    <w:uiPriority w:val="10"/>
    <w:rPr>
      <w:rFonts w:asciiTheme="majorHAnsi" w:hAnsiTheme="majorHAnsi" w:eastAsiaTheme="majorEastAsia" w:cstheme="majorBidi"/>
      <w:b/>
      <w:bCs/>
      <w:sz w:val="32"/>
      <w:szCs w:val="32"/>
    </w:rPr>
  </w:style>
  <w:style w:type="character" w:customStyle="1" w:styleId="727">
    <w:name w:val="正文文本缩进 3 字符2"/>
    <w:basedOn w:val="52"/>
    <w:semiHidden/>
    <w:qFormat/>
    <w:uiPriority w:val="99"/>
    <w:rPr>
      <w:rFonts w:ascii="Times New Roman" w:hAnsi="Times New Roman" w:eastAsia="宋体" w:cs="Times New Roman"/>
      <w:sz w:val="16"/>
      <w:szCs w:val="16"/>
    </w:rPr>
  </w:style>
  <w:style w:type="character" w:customStyle="1" w:styleId="728">
    <w:name w:val="正文文本首行缩进 字符3"/>
    <w:basedOn w:val="720"/>
    <w:semiHidden/>
    <w:qFormat/>
    <w:uiPriority w:val="99"/>
    <w:rPr>
      <w:rFonts w:ascii="Times New Roman" w:hAnsi="Times New Roman" w:eastAsia="宋体" w:cs="Times New Roman"/>
      <w:sz w:val="24"/>
      <w:szCs w:val="24"/>
    </w:rPr>
  </w:style>
  <w:style w:type="character" w:customStyle="1" w:styleId="729">
    <w:name w:val="正文文本首行缩进 2 字符3"/>
    <w:basedOn w:val="721"/>
    <w:semiHidden/>
    <w:qFormat/>
    <w:uiPriority w:val="99"/>
    <w:rPr>
      <w:rFonts w:ascii="Times New Roman" w:hAnsi="Times New Roman" w:eastAsia="宋体" w:cs="Times New Roman"/>
      <w:sz w:val="24"/>
      <w:szCs w:val="24"/>
    </w:rPr>
  </w:style>
  <w:style w:type="paragraph" w:customStyle="1" w:styleId="730">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D7911-5A60-4313-A56C-700F7114BBC2}">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65</Pages>
  <Words>7330</Words>
  <Characters>41783</Characters>
  <Lines>348</Lines>
  <Paragraphs>98</Paragraphs>
  <TotalTime>106</TotalTime>
  <ScaleCrop>false</ScaleCrop>
  <LinksUpToDate>false</LinksUpToDate>
  <CharactersWithSpaces>49015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2021-02-03T02:15:00Z</dcterms:created>
  <dc:creator>Administrator</dc:creator>
  <cp:lastModifiedBy>怀念什么</cp:lastModifiedBy>
  <cp:lastPrinted>2021-02-03T02:35:00Z</cp:lastPrinted>
  <dcterms:modified xsi:type="dcterms:W3CDTF">2021-04-02T07:35:00Z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75DAAF65D1464A62A86E32B70836B0DB</vt:lpwstr>
  </property>
</Properties>
</file>