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color w:val="auto"/>
          <w:highlight w:val="none"/>
        </w:rPr>
      </w:pPr>
    </w:p>
    <w:p>
      <w:pPr>
        <w:jc w:val="center"/>
        <w:rPr>
          <w:color w:val="auto"/>
          <w:highlight w:val="none"/>
        </w:rPr>
      </w:pPr>
    </w:p>
    <w:p>
      <w:pPr>
        <w:jc w:val="center"/>
        <w:rPr>
          <w:color w:val="auto"/>
          <w:highlight w:val="none"/>
        </w:rPr>
      </w:pPr>
    </w:p>
    <w:p>
      <w:pPr>
        <w:spacing w:line="600" w:lineRule="exact"/>
        <w:jc w:val="distribute"/>
        <w:rPr>
          <w:rFonts w:hint="eastAsia" w:eastAsia="华文新魏"/>
          <w:b/>
          <w:color w:val="auto"/>
          <w:sz w:val="52"/>
          <w:szCs w:val="52"/>
          <w:highlight w:val="none"/>
          <w:lang w:eastAsia="zh-CN"/>
        </w:rPr>
      </w:pPr>
      <w:r>
        <w:rPr>
          <w:rFonts w:hint="eastAsia" w:eastAsia="华文新魏"/>
          <w:b/>
          <w:color w:val="auto"/>
          <w:sz w:val="52"/>
          <w:szCs w:val="52"/>
          <w:highlight w:val="none"/>
          <w:lang w:eastAsia="zh-CN"/>
        </w:rPr>
        <w:t>广西汇益招标咨询有限公司</w:t>
      </w:r>
    </w:p>
    <w:p>
      <w:pPr>
        <w:spacing w:line="720" w:lineRule="exact"/>
        <w:jc w:val="center"/>
        <w:rPr>
          <w:color w:val="auto"/>
          <w:sz w:val="52"/>
          <w:highlight w:val="none"/>
        </w:rPr>
      </w:pPr>
    </w:p>
    <w:p>
      <w:pPr>
        <w:spacing w:line="800" w:lineRule="exact"/>
        <w:jc w:val="center"/>
        <w:rPr>
          <w:color w:val="auto"/>
          <w:sz w:val="52"/>
          <w:highlight w:val="none"/>
        </w:rPr>
      </w:pPr>
    </w:p>
    <w:p>
      <w:pPr>
        <w:spacing w:line="1000" w:lineRule="exact"/>
        <w:jc w:val="center"/>
        <w:rPr>
          <w:b/>
          <w:color w:val="auto"/>
          <w:sz w:val="84"/>
          <w:szCs w:val="84"/>
          <w:highlight w:val="none"/>
        </w:rPr>
      </w:pPr>
    </w:p>
    <w:p>
      <w:pPr>
        <w:spacing w:line="1000" w:lineRule="exact"/>
        <w:jc w:val="center"/>
        <w:rPr>
          <w:b/>
          <w:color w:val="auto"/>
          <w:sz w:val="84"/>
          <w:szCs w:val="84"/>
          <w:highlight w:val="none"/>
        </w:rPr>
      </w:pPr>
    </w:p>
    <w:p>
      <w:pPr>
        <w:spacing w:line="1000" w:lineRule="exact"/>
        <w:jc w:val="center"/>
        <w:rPr>
          <w:b/>
          <w:color w:val="auto"/>
          <w:sz w:val="84"/>
          <w:szCs w:val="84"/>
          <w:highlight w:val="none"/>
        </w:rPr>
      </w:pPr>
      <w:r>
        <w:rPr>
          <w:b/>
          <w:color w:val="auto"/>
          <w:sz w:val="84"/>
          <w:szCs w:val="84"/>
          <w:highlight w:val="none"/>
        </w:rPr>
        <w:t>竞争性磋商文件</w:t>
      </w:r>
      <w:r>
        <w:rPr>
          <w:b/>
          <w:color w:val="auto"/>
          <w:sz w:val="84"/>
          <w:szCs w:val="84"/>
          <w:highlight w:val="none"/>
        </w:rPr>
        <w:cr/>
      </w:r>
      <w:r>
        <w:rPr>
          <w:b/>
          <w:color w:val="auto"/>
          <w:sz w:val="84"/>
          <w:szCs w:val="84"/>
          <w:highlight w:val="none"/>
        </w:rPr>
        <w:cr/>
      </w:r>
    </w:p>
    <w:p>
      <w:pPr>
        <w:pStyle w:val="23"/>
        <w:rPr>
          <w:rFonts w:ascii="Times New Roman" w:hAnsi="Times New Roman"/>
          <w:color w:val="auto"/>
          <w:highlight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ind w:firstLine="1960" w:firstLineChars="700"/>
        <w:jc w:val="left"/>
        <w:rPr>
          <w:rFonts w:hint="default" w:ascii="Monospaced Number" w:hAnsi="Monospaced Number" w:eastAsia="Monospaced Number" w:cs="Monospaced Number"/>
          <w:color w:val="auto"/>
          <w:sz w:val="21"/>
          <w:szCs w:val="21"/>
          <w:highlight w:val="none"/>
        </w:rPr>
      </w:pPr>
      <w:r>
        <w:rPr>
          <w:b/>
          <w:bCs/>
          <w:color w:val="auto"/>
          <w:kern w:val="0"/>
          <w:sz w:val="28"/>
          <w:szCs w:val="28"/>
          <w:highlight w:val="none"/>
        </w:rPr>
        <w:t>项目名称：</w:t>
      </w:r>
      <w:r>
        <w:rPr>
          <w:rFonts w:hint="default"/>
          <w:b/>
          <w:bCs/>
          <w:color w:val="auto"/>
          <w:kern w:val="0"/>
          <w:sz w:val="28"/>
          <w:szCs w:val="28"/>
          <w:highlight w:val="none"/>
          <w:lang w:val="en-US" w:eastAsia="zh-CN"/>
        </w:rPr>
        <w:fldChar w:fldCharType="begin"/>
      </w:r>
      <w:r>
        <w:rPr>
          <w:rFonts w:hint="default"/>
          <w:b/>
          <w:bCs/>
          <w:color w:val="auto"/>
          <w:kern w:val="0"/>
          <w:sz w:val="28"/>
          <w:szCs w:val="28"/>
          <w:highlight w:val="none"/>
          <w:lang w:val="en-US" w:eastAsia="zh-CN"/>
        </w:rPr>
        <w:instrText xml:space="preserve"> HYPERLINK "https://bidding.zcygov.cn/xmgl/projectQuery/queryDetail?projectUuid=5d1d783f1c1bf753&amp;utm=bidding-entrust-front.62f570f9.0.0.96d1b940f30e11ea8a31c3b08aaeacc2" \t "https://www.zcygov.cn/bidding-entrust/_blank" </w:instrText>
      </w:r>
      <w:r>
        <w:rPr>
          <w:rFonts w:hint="default"/>
          <w:b/>
          <w:bCs/>
          <w:color w:val="auto"/>
          <w:kern w:val="0"/>
          <w:sz w:val="28"/>
          <w:szCs w:val="28"/>
          <w:highlight w:val="none"/>
          <w:lang w:val="en-US" w:eastAsia="zh-CN"/>
        </w:rPr>
        <w:fldChar w:fldCharType="separate"/>
      </w:r>
      <w:r>
        <w:rPr>
          <w:rFonts w:hint="default"/>
          <w:b/>
          <w:bCs/>
          <w:color w:val="auto"/>
          <w:kern w:val="0"/>
          <w:sz w:val="28"/>
          <w:szCs w:val="28"/>
          <w:highlight w:val="none"/>
        </w:rPr>
        <w:t>桂林市水利局桂林市水安全保障“十四五”规划项目</w:t>
      </w:r>
      <w:r>
        <w:rPr>
          <w:rFonts w:hint="default"/>
          <w:b/>
          <w:bCs/>
          <w:color w:val="auto"/>
          <w:kern w:val="0"/>
          <w:sz w:val="28"/>
          <w:szCs w:val="28"/>
          <w:highlight w:val="none"/>
          <w:lang w:val="en-US" w:eastAsia="zh-CN"/>
        </w:rPr>
        <w:fldChar w:fldCharType="end"/>
      </w:r>
    </w:p>
    <w:p>
      <w:pPr>
        <w:ind w:firstLine="1960" w:firstLineChars="700"/>
        <w:jc w:val="both"/>
        <w:rPr>
          <w:color w:val="auto"/>
          <w:highlight w:val="none"/>
        </w:rPr>
      </w:pPr>
      <w:r>
        <w:rPr>
          <w:b/>
          <w:bCs/>
          <w:color w:val="auto"/>
          <w:kern w:val="0"/>
          <w:sz w:val="28"/>
          <w:szCs w:val="28"/>
          <w:highlight w:val="none"/>
        </w:rPr>
        <w:t>项目编号：</w:t>
      </w:r>
      <w:r>
        <w:rPr>
          <w:rFonts w:hint="eastAsia"/>
          <w:b/>
          <w:bCs/>
          <w:color w:val="auto"/>
          <w:kern w:val="0"/>
          <w:sz w:val="28"/>
          <w:szCs w:val="28"/>
          <w:highlight w:val="none"/>
          <w:lang w:val="en-US" w:eastAsia="zh-CN"/>
        </w:rPr>
        <w:t xml:space="preserve">GLZC2020-C3-990201-GXHY </w:t>
      </w:r>
      <w:r>
        <w:rPr>
          <w:color w:val="auto"/>
          <w:highlight w:val="none"/>
        </w:rPr>
        <w:cr/>
      </w:r>
    </w:p>
    <w:p>
      <w:pPr>
        <w:rPr>
          <w:color w:val="auto"/>
          <w:sz w:val="32"/>
          <w:szCs w:val="32"/>
          <w:highlight w:val="none"/>
        </w:rPr>
      </w:pPr>
    </w:p>
    <w:p>
      <w:pPr>
        <w:ind w:firstLine="1050" w:firstLineChars="500"/>
        <w:rPr>
          <w:color w:val="auto"/>
          <w:highlight w:val="none"/>
        </w:rPr>
      </w:pPr>
    </w:p>
    <w:p>
      <w:pPr>
        <w:ind w:firstLine="1050" w:firstLineChars="500"/>
        <w:rPr>
          <w:color w:val="auto"/>
          <w:highlight w:val="none"/>
        </w:rPr>
      </w:pPr>
    </w:p>
    <w:p>
      <w:pPr>
        <w:ind w:firstLine="1050" w:firstLineChars="500"/>
        <w:rPr>
          <w:color w:val="auto"/>
          <w:highlight w:val="none"/>
        </w:rPr>
      </w:pPr>
    </w:p>
    <w:p>
      <w:pPr>
        <w:jc w:val="center"/>
        <w:rPr>
          <w:b/>
          <w:bCs/>
          <w:color w:val="auto"/>
          <w:sz w:val="28"/>
          <w:szCs w:val="28"/>
          <w:highlight w:val="none"/>
        </w:rPr>
      </w:pPr>
    </w:p>
    <w:p>
      <w:pPr>
        <w:jc w:val="center"/>
        <w:rPr>
          <w:b/>
          <w:bCs/>
          <w:color w:val="auto"/>
          <w:sz w:val="28"/>
          <w:szCs w:val="28"/>
          <w:highlight w:val="none"/>
        </w:rPr>
      </w:pPr>
    </w:p>
    <w:p>
      <w:pPr>
        <w:jc w:val="center"/>
        <w:rPr>
          <w:rFonts w:hint="eastAsia" w:eastAsia="宋体"/>
          <w:b/>
          <w:bCs/>
          <w:color w:val="auto"/>
          <w:sz w:val="28"/>
          <w:szCs w:val="28"/>
          <w:highlight w:val="none"/>
          <w:lang w:eastAsia="zh-CN"/>
        </w:rPr>
      </w:pPr>
      <w:r>
        <w:rPr>
          <w:b/>
          <w:bCs/>
          <w:color w:val="auto"/>
          <w:sz w:val="28"/>
          <w:szCs w:val="28"/>
          <w:highlight w:val="none"/>
        </w:rPr>
        <w:t>采购代理机构：</w:t>
      </w:r>
      <w:r>
        <w:rPr>
          <w:rFonts w:hint="eastAsia"/>
          <w:b/>
          <w:bCs/>
          <w:color w:val="auto"/>
          <w:sz w:val="28"/>
          <w:szCs w:val="28"/>
          <w:highlight w:val="none"/>
          <w:lang w:eastAsia="zh-CN"/>
        </w:rPr>
        <w:t>广西汇益招标咨询有限公司</w:t>
      </w:r>
    </w:p>
    <w:p>
      <w:pPr>
        <w:jc w:val="center"/>
        <w:rPr>
          <w:color w:val="auto"/>
          <w:sz w:val="28"/>
          <w:szCs w:val="28"/>
          <w:highlight w:val="none"/>
        </w:rPr>
      </w:pPr>
      <w:r>
        <w:rPr>
          <w:b/>
          <w:color w:val="auto"/>
          <w:sz w:val="28"/>
          <w:szCs w:val="28"/>
          <w:highlight w:val="none"/>
        </w:rPr>
        <w:t>20</w:t>
      </w:r>
      <w:r>
        <w:rPr>
          <w:rFonts w:hint="eastAsia"/>
          <w:b/>
          <w:color w:val="auto"/>
          <w:sz w:val="28"/>
          <w:szCs w:val="28"/>
          <w:highlight w:val="none"/>
        </w:rPr>
        <w:t>20</w:t>
      </w:r>
      <w:r>
        <w:rPr>
          <w:b/>
          <w:bCs/>
          <w:color w:val="auto"/>
          <w:sz w:val="28"/>
          <w:szCs w:val="28"/>
          <w:highlight w:val="none"/>
        </w:rPr>
        <w:t>年</w:t>
      </w:r>
      <w:r>
        <w:rPr>
          <w:rFonts w:hint="eastAsia"/>
          <w:b/>
          <w:bCs/>
          <w:color w:val="auto"/>
          <w:sz w:val="28"/>
          <w:szCs w:val="28"/>
          <w:highlight w:val="none"/>
          <w:lang w:val="en-US" w:eastAsia="zh-CN"/>
        </w:rPr>
        <w:t>9</w:t>
      </w:r>
      <w:r>
        <w:rPr>
          <w:b/>
          <w:color w:val="auto"/>
          <w:sz w:val="28"/>
          <w:szCs w:val="28"/>
          <w:highlight w:val="none"/>
        </w:rPr>
        <w:t>月</w:t>
      </w:r>
    </w:p>
    <w:p>
      <w:pPr>
        <w:rPr>
          <w:color w:val="auto"/>
          <w:highlight w:val="none"/>
        </w:rPr>
      </w:pPr>
    </w:p>
    <w:p>
      <w:pPr>
        <w:pStyle w:val="23"/>
        <w:spacing w:line="420" w:lineRule="exact"/>
        <w:jc w:val="center"/>
        <w:rPr>
          <w:rFonts w:ascii="Times New Roman" w:hAnsi="Times New Roman"/>
          <w:color w:val="auto"/>
          <w:sz w:val="44"/>
          <w:highlight w:val="none"/>
        </w:rPr>
      </w:pPr>
      <w:r>
        <w:rPr>
          <w:rFonts w:ascii="Times New Roman" w:hAnsi="Times New Roman"/>
          <w:color w:val="auto"/>
          <w:sz w:val="44"/>
          <w:highlight w:val="none"/>
        </w:rPr>
        <w:t>目     录</w:t>
      </w:r>
    </w:p>
    <w:p>
      <w:pPr>
        <w:pStyle w:val="162"/>
        <w:rPr>
          <w:rFonts w:ascii="Times New Roman" w:hAnsi="Times New Roman"/>
          <w:color w:val="auto"/>
          <w:highlight w:val="none"/>
        </w:rPr>
      </w:pPr>
    </w:p>
    <w:p>
      <w:pPr>
        <w:pStyle w:val="34"/>
        <w:tabs>
          <w:tab w:val="right" w:leader="dot" w:pos="10192"/>
        </w:tabs>
        <w:spacing w:line="480" w:lineRule="auto"/>
        <w:rPr>
          <w:color w:val="auto"/>
          <w:sz w:val="30"/>
          <w:szCs w:val="30"/>
          <w:highlight w:val="none"/>
        </w:rPr>
      </w:pPr>
      <w:r>
        <w:rPr>
          <w:color w:val="auto"/>
          <w:sz w:val="28"/>
          <w:szCs w:val="28"/>
          <w:highlight w:val="none"/>
        </w:rPr>
        <w:fldChar w:fldCharType="begin"/>
      </w:r>
      <w:r>
        <w:rPr>
          <w:color w:val="auto"/>
          <w:sz w:val="28"/>
          <w:szCs w:val="28"/>
          <w:highlight w:val="none"/>
        </w:rPr>
        <w:instrText xml:space="preserve"> TOC \o "1-3" \h \z \u </w:instrText>
      </w:r>
      <w:r>
        <w:rPr>
          <w:color w:val="auto"/>
          <w:sz w:val="28"/>
          <w:szCs w:val="28"/>
          <w:highlight w:val="none"/>
        </w:rPr>
        <w:fldChar w:fldCharType="separate"/>
      </w:r>
      <w:r>
        <w:rPr>
          <w:color w:val="auto"/>
          <w:highlight w:val="none"/>
        </w:rPr>
        <w:fldChar w:fldCharType="begin"/>
      </w:r>
      <w:r>
        <w:rPr>
          <w:color w:val="auto"/>
          <w:highlight w:val="none"/>
        </w:rPr>
        <w:instrText xml:space="preserve"> HYPERLINK \l "_Toc15567" </w:instrText>
      </w:r>
      <w:r>
        <w:rPr>
          <w:color w:val="auto"/>
          <w:highlight w:val="none"/>
        </w:rPr>
        <w:fldChar w:fldCharType="separate"/>
      </w:r>
      <w:r>
        <w:rPr>
          <w:color w:val="auto"/>
          <w:sz w:val="30"/>
          <w:szCs w:val="30"/>
          <w:highlight w:val="none"/>
        </w:rPr>
        <w:t>第一章、竞争性磋商公告</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_Toc15567 </w:instrText>
      </w:r>
      <w:r>
        <w:rPr>
          <w:color w:val="auto"/>
          <w:sz w:val="30"/>
          <w:szCs w:val="30"/>
          <w:highlight w:val="none"/>
        </w:rPr>
        <w:fldChar w:fldCharType="separate"/>
      </w:r>
      <w:r>
        <w:rPr>
          <w:color w:val="auto"/>
          <w:sz w:val="30"/>
          <w:szCs w:val="30"/>
          <w:highlight w:val="none"/>
        </w:rPr>
        <w:t>3</w:t>
      </w:r>
      <w:r>
        <w:rPr>
          <w:color w:val="auto"/>
          <w:sz w:val="30"/>
          <w:szCs w:val="30"/>
          <w:highlight w:val="none"/>
        </w:rPr>
        <w:fldChar w:fldCharType="end"/>
      </w:r>
      <w:r>
        <w:rPr>
          <w:color w:val="auto"/>
          <w:sz w:val="30"/>
          <w:szCs w:val="30"/>
          <w:highlight w:val="none"/>
        </w:rPr>
        <w:fldChar w:fldCharType="end"/>
      </w:r>
    </w:p>
    <w:p>
      <w:pPr>
        <w:pStyle w:val="34"/>
        <w:tabs>
          <w:tab w:val="right" w:leader="dot" w:pos="10192"/>
        </w:tabs>
        <w:spacing w:line="480" w:lineRule="auto"/>
        <w:rPr>
          <w:rFonts w:hint="eastAsia" w:eastAsia="宋体"/>
          <w:color w:val="auto"/>
          <w:sz w:val="30"/>
          <w:szCs w:val="30"/>
          <w:highlight w:val="none"/>
          <w:lang w:val="en-US" w:eastAsia="zh-CN"/>
        </w:rPr>
      </w:pPr>
      <w:r>
        <w:rPr>
          <w:color w:val="auto"/>
          <w:highlight w:val="none"/>
        </w:rPr>
        <w:fldChar w:fldCharType="begin"/>
      </w:r>
      <w:r>
        <w:rPr>
          <w:color w:val="auto"/>
          <w:highlight w:val="none"/>
        </w:rPr>
        <w:instrText xml:space="preserve"> HYPERLINK \l "_Toc16760" </w:instrText>
      </w:r>
      <w:r>
        <w:rPr>
          <w:color w:val="auto"/>
          <w:highlight w:val="none"/>
        </w:rPr>
        <w:fldChar w:fldCharType="separate"/>
      </w:r>
      <w:r>
        <w:rPr>
          <w:color w:val="auto"/>
          <w:sz w:val="30"/>
          <w:szCs w:val="30"/>
          <w:highlight w:val="none"/>
        </w:rPr>
        <w:t>第二章、磋商供应商须知</w:t>
      </w:r>
      <w:r>
        <w:rPr>
          <w:color w:val="auto"/>
          <w:sz w:val="30"/>
          <w:szCs w:val="30"/>
          <w:highlight w:val="none"/>
        </w:rPr>
        <w:tab/>
      </w:r>
      <w:r>
        <w:rPr>
          <w:color w:val="auto"/>
          <w:sz w:val="30"/>
          <w:szCs w:val="30"/>
          <w:highlight w:val="none"/>
        </w:rPr>
        <w:fldChar w:fldCharType="end"/>
      </w:r>
      <w:r>
        <w:rPr>
          <w:rFonts w:hint="eastAsia"/>
          <w:color w:val="auto"/>
          <w:sz w:val="30"/>
          <w:szCs w:val="30"/>
          <w:highlight w:val="none"/>
          <w:lang w:val="en-US" w:eastAsia="zh-CN"/>
        </w:rPr>
        <w:t>6</w:t>
      </w:r>
    </w:p>
    <w:p>
      <w:pPr>
        <w:pStyle w:val="34"/>
        <w:tabs>
          <w:tab w:val="right" w:leader="dot" w:pos="10192"/>
        </w:tabs>
        <w:spacing w:line="480" w:lineRule="auto"/>
        <w:rPr>
          <w:rFonts w:hint="default" w:eastAsia="宋体"/>
          <w:color w:val="auto"/>
          <w:sz w:val="30"/>
          <w:szCs w:val="30"/>
          <w:highlight w:val="none"/>
          <w:lang w:val="en-US" w:eastAsia="zh-CN"/>
        </w:rPr>
      </w:pPr>
      <w:r>
        <w:rPr>
          <w:color w:val="auto"/>
          <w:highlight w:val="none"/>
        </w:rPr>
        <w:fldChar w:fldCharType="begin"/>
      </w:r>
      <w:r>
        <w:rPr>
          <w:color w:val="auto"/>
          <w:highlight w:val="none"/>
        </w:rPr>
        <w:instrText xml:space="preserve"> HYPERLINK \l "_Toc686" </w:instrText>
      </w:r>
      <w:r>
        <w:rPr>
          <w:color w:val="auto"/>
          <w:highlight w:val="none"/>
        </w:rPr>
        <w:fldChar w:fldCharType="separate"/>
      </w:r>
      <w:r>
        <w:rPr>
          <w:color w:val="auto"/>
          <w:sz w:val="30"/>
          <w:szCs w:val="30"/>
          <w:highlight w:val="none"/>
        </w:rPr>
        <w:t>第三章、服务需求</w:t>
      </w:r>
      <w:r>
        <w:rPr>
          <w:color w:val="auto"/>
          <w:sz w:val="30"/>
          <w:szCs w:val="30"/>
          <w:highlight w:val="none"/>
        </w:rPr>
        <w:tab/>
      </w:r>
      <w:r>
        <w:rPr>
          <w:color w:val="auto"/>
          <w:sz w:val="30"/>
          <w:szCs w:val="30"/>
          <w:highlight w:val="none"/>
        </w:rPr>
        <w:fldChar w:fldCharType="end"/>
      </w:r>
      <w:r>
        <w:rPr>
          <w:rFonts w:hint="eastAsia"/>
          <w:color w:val="auto"/>
          <w:sz w:val="30"/>
          <w:szCs w:val="30"/>
          <w:highlight w:val="none"/>
          <w:lang w:val="en-US" w:eastAsia="zh-CN"/>
        </w:rPr>
        <w:t>20</w:t>
      </w:r>
    </w:p>
    <w:p>
      <w:pPr>
        <w:pStyle w:val="34"/>
        <w:tabs>
          <w:tab w:val="right" w:leader="dot" w:pos="10192"/>
        </w:tabs>
        <w:spacing w:line="480" w:lineRule="auto"/>
        <w:rPr>
          <w:rFonts w:hint="eastAsia" w:eastAsia="宋体"/>
          <w:color w:val="auto"/>
          <w:sz w:val="30"/>
          <w:szCs w:val="30"/>
          <w:highlight w:val="none"/>
          <w:lang w:val="en-US" w:eastAsia="zh-CN"/>
        </w:rPr>
      </w:pPr>
      <w:r>
        <w:rPr>
          <w:color w:val="auto"/>
          <w:highlight w:val="none"/>
        </w:rPr>
        <w:fldChar w:fldCharType="begin"/>
      </w:r>
      <w:r>
        <w:rPr>
          <w:color w:val="auto"/>
          <w:highlight w:val="none"/>
        </w:rPr>
        <w:instrText xml:space="preserve"> HYPERLINK \l "_Toc31914" </w:instrText>
      </w:r>
      <w:r>
        <w:rPr>
          <w:color w:val="auto"/>
          <w:highlight w:val="none"/>
        </w:rPr>
        <w:fldChar w:fldCharType="separate"/>
      </w:r>
      <w:r>
        <w:rPr>
          <w:color w:val="auto"/>
          <w:sz w:val="30"/>
          <w:szCs w:val="30"/>
          <w:highlight w:val="none"/>
        </w:rPr>
        <w:t>第四章、评审办法</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_Toc31914 </w:instrText>
      </w:r>
      <w:r>
        <w:rPr>
          <w:color w:val="auto"/>
          <w:sz w:val="30"/>
          <w:szCs w:val="30"/>
          <w:highlight w:val="none"/>
        </w:rPr>
        <w:fldChar w:fldCharType="separate"/>
      </w:r>
      <w:r>
        <w:rPr>
          <w:color w:val="auto"/>
          <w:sz w:val="30"/>
          <w:szCs w:val="30"/>
          <w:highlight w:val="none"/>
        </w:rPr>
        <w:t>21</w:t>
      </w:r>
      <w:r>
        <w:rPr>
          <w:color w:val="auto"/>
          <w:sz w:val="30"/>
          <w:szCs w:val="30"/>
          <w:highlight w:val="none"/>
        </w:rPr>
        <w:fldChar w:fldCharType="end"/>
      </w:r>
      <w:r>
        <w:rPr>
          <w:color w:val="auto"/>
          <w:sz w:val="30"/>
          <w:szCs w:val="30"/>
          <w:highlight w:val="none"/>
        </w:rPr>
        <w:fldChar w:fldCharType="end"/>
      </w:r>
    </w:p>
    <w:p>
      <w:pPr>
        <w:pStyle w:val="34"/>
        <w:tabs>
          <w:tab w:val="right" w:leader="dot" w:pos="10192"/>
        </w:tabs>
        <w:spacing w:line="480" w:lineRule="auto"/>
        <w:rPr>
          <w:rFonts w:hint="eastAsia" w:eastAsia="宋体"/>
          <w:color w:val="auto"/>
          <w:sz w:val="30"/>
          <w:szCs w:val="30"/>
          <w:highlight w:val="none"/>
          <w:lang w:val="en-US" w:eastAsia="zh-CN"/>
        </w:rPr>
      </w:pPr>
      <w:r>
        <w:rPr>
          <w:color w:val="auto"/>
          <w:highlight w:val="none"/>
        </w:rPr>
        <w:fldChar w:fldCharType="begin"/>
      </w:r>
      <w:r>
        <w:rPr>
          <w:color w:val="auto"/>
          <w:highlight w:val="none"/>
        </w:rPr>
        <w:instrText xml:space="preserve"> HYPERLINK \l "_Toc5200" </w:instrText>
      </w:r>
      <w:r>
        <w:rPr>
          <w:color w:val="auto"/>
          <w:highlight w:val="none"/>
        </w:rPr>
        <w:fldChar w:fldCharType="separate"/>
      </w:r>
      <w:r>
        <w:rPr>
          <w:color w:val="auto"/>
          <w:sz w:val="30"/>
          <w:szCs w:val="30"/>
          <w:highlight w:val="none"/>
        </w:rPr>
        <w:t>第五章、采购合同（合同主要条款及格式）</w:t>
      </w:r>
      <w:r>
        <w:rPr>
          <w:color w:val="auto"/>
          <w:sz w:val="30"/>
          <w:szCs w:val="30"/>
          <w:highlight w:val="none"/>
        </w:rPr>
        <w:tab/>
      </w:r>
      <w:bookmarkStart w:id="59" w:name="_GoBack"/>
      <w:bookmarkEnd w:id="59"/>
      <w:r>
        <w:rPr>
          <w:color w:val="auto"/>
          <w:sz w:val="30"/>
          <w:szCs w:val="30"/>
          <w:highlight w:val="none"/>
        </w:rPr>
        <w:fldChar w:fldCharType="begin"/>
      </w:r>
      <w:r>
        <w:rPr>
          <w:color w:val="auto"/>
          <w:sz w:val="30"/>
          <w:szCs w:val="30"/>
          <w:highlight w:val="none"/>
        </w:rPr>
        <w:instrText xml:space="preserve"> PAGEREF _Toc5200 </w:instrText>
      </w:r>
      <w:r>
        <w:rPr>
          <w:color w:val="auto"/>
          <w:sz w:val="30"/>
          <w:szCs w:val="30"/>
          <w:highlight w:val="none"/>
        </w:rPr>
        <w:fldChar w:fldCharType="separate"/>
      </w:r>
      <w:r>
        <w:rPr>
          <w:color w:val="auto"/>
          <w:sz w:val="30"/>
          <w:szCs w:val="30"/>
          <w:highlight w:val="none"/>
        </w:rPr>
        <w:t>2</w:t>
      </w:r>
      <w:r>
        <w:rPr>
          <w:rFonts w:hint="eastAsia"/>
          <w:color w:val="auto"/>
          <w:sz w:val="30"/>
          <w:szCs w:val="30"/>
          <w:highlight w:val="none"/>
          <w:lang w:val="en-US" w:eastAsia="zh-CN"/>
        </w:rPr>
        <w:t>4</w:t>
      </w:r>
      <w:r>
        <w:rPr>
          <w:color w:val="auto"/>
          <w:sz w:val="30"/>
          <w:szCs w:val="30"/>
          <w:highlight w:val="none"/>
        </w:rPr>
        <w:fldChar w:fldCharType="end"/>
      </w:r>
      <w:r>
        <w:rPr>
          <w:color w:val="auto"/>
          <w:sz w:val="30"/>
          <w:szCs w:val="30"/>
          <w:highlight w:val="none"/>
        </w:rPr>
        <w:fldChar w:fldCharType="end"/>
      </w:r>
    </w:p>
    <w:p>
      <w:pPr>
        <w:pStyle w:val="34"/>
        <w:tabs>
          <w:tab w:val="right" w:leader="dot" w:pos="10192"/>
        </w:tabs>
        <w:spacing w:line="480" w:lineRule="auto"/>
        <w:rPr>
          <w:rFonts w:hint="eastAsia" w:eastAsia="宋体"/>
          <w:color w:val="auto"/>
          <w:sz w:val="30"/>
          <w:szCs w:val="30"/>
          <w:highlight w:val="none"/>
          <w:lang w:val="en-US" w:eastAsia="zh-CN"/>
        </w:rPr>
      </w:pPr>
      <w:r>
        <w:rPr>
          <w:color w:val="auto"/>
          <w:highlight w:val="none"/>
        </w:rPr>
        <w:fldChar w:fldCharType="begin"/>
      </w:r>
      <w:r>
        <w:rPr>
          <w:color w:val="auto"/>
          <w:highlight w:val="none"/>
        </w:rPr>
        <w:instrText xml:space="preserve"> HYPERLINK \l "_Toc16706" </w:instrText>
      </w:r>
      <w:r>
        <w:rPr>
          <w:color w:val="auto"/>
          <w:highlight w:val="none"/>
        </w:rPr>
        <w:fldChar w:fldCharType="separate"/>
      </w:r>
      <w:r>
        <w:rPr>
          <w:color w:val="auto"/>
          <w:sz w:val="30"/>
          <w:szCs w:val="30"/>
          <w:highlight w:val="none"/>
        </w:rPr>
        <w:t>第六章、响应文件格式</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_Toc16706 </w:instrText>
      </w:r>
      <w:r>
        <w:rPr>
          <w:color w:val="auto"/>
          <w:sz w:val="30"/>
          <w:szCs w:val="30"/>
          <w:highlight w:val="none"/>
        </w:rPr>
        <w:fldChar w:fldCharType="separate"/>
      </w:r>
      <w:r>
        <w:rPr>
          <w:color w:val="auto"/>
          <w:sz w:val="30"/>
          <w:szCs w:val="30"/>
          <w:highlight w:val="none"/>
        </w:rPr>
        <w:t>2</w:t>
      </w:r>
      <w:r>
        <w:rPr>
          <w:rFonts w:hint="eastAsia"/>
          <w:color w:val="auto"/>
          <w:sz w:val="30"/>
          <w:szCs w:val="30"/>
          <w:highlight w:val="none"/>
          <w:lang w:val="en-US" w:eastAsia="zh-CN"/>
        </w:rPr>
        <w:t>7</w:t>
      </w:r>
      <w:r>
        <w:rPr>
          <w:color w:val="auto"/>
          <w:sz w:val="30"/>
          <w:szCs w:val="30"/>
          <w:highlight w:val="none"/>
        </w:rPr>
        <w:fldChar w:fldCharType="end"/>
      </w:r>
      <w:r>
        <w:rPr>
          <w:color w:val="auto"/>
          <w:sz w:val="30"/>
          <w:szCs w:val="30"/>
          <w:highlight w:val="none"/>
        </w:rPr>
        <w:fldChar w:fldCharType="end"/>
      </w:r>
    </w:p>
    <w:p>
      <w:pPr>
        <w:tabs>
          <w:tab w:val="right" w:leader="dot" w:pos="10192"/>
        </w:tabs>
        <w:spacing w:line="480" w:lineRule="auto"/>
        <w:rPr>
          <w:color w:val="auto"/>
          <w:sz w:val="28"/>
          <w:szCs w:val="28"/>
          <w:highlight w:val="none"/>
        </w:rPr>
      </w:pPr>
      <w:r>
        <w:rPr>
          <w:bCs/>
          <w:color w:val="auto"/>
          <w:sz w:val="28"/>
          <w:szCs w:val="28"/>
          <w:highlight w:val="none"/>
          <w:lang w:val="zh-CN"/>
        </w:rPr>
        <w:fldChar w:fldCharType="end"/>
      </w:r>
    </w:p>
    <w:p>
      <w:pPr>
        <w:pStyle w:val="23"/>
        <w:tabs>
          <w:tab w:val="left" w:pos="8860"/>
          <w:tab w:val="left" w:pos="9140"/>
        </w:tabs>
        <w:rPr>
          <w:rFonts w:ascii="Times New Roman" w:hAnsi="Times New Roman"/>
          <w:color w:val="auto"/>
          <w:sz w:val="32"/>
          <w:highlight w:val="none"/>
        </w:rPr>
      </w:pPr>
    </w:p>
    <w:p>
      <w:pPr>
        <w:pStyle w:val="4"/>
        <w:spacing w:line="0" w:lineRule="atLeast"/>
        <w:jc w:val="center"/>
        <w:rPr>
          <w:rFonts w:ascii="Times New Roman" w:hAnsi="Times New Roman"/>
          <w:color w:val="auto"/>
          <w:highlight w:val="none"/>
        </w:rPr>
        <w:sectPr>
          <w:headerReference r:id="rId4" w:type="first"/>
          <w:headerReference r:id="rId3" w:type="default"/>
          <w:pgSz w:w="11906" w:h="16838"/>
          <w:pgMar w:top="1440" w:right="935" w:bottom="1440" w:left="779" w:header="851" w:footer="992" w:gutter="0"/>
          <w:pgNumType w:start="1"/>
          <w:cols w:space="720" w:num="1"/>
          <w:titlePg/>
          <w:docGrid w:type="linesAndChars" w:linePitch="312" w:charSpace="0"/>
        </w:sectPr>
      </w:pPr>
    </w:p>
    <w:p>
      <w:pPr>
        <w:pStyle w:val="4"/>
        <w:spacing w:line="0" w:lineRule="atLeast"/>
        <w:jc w:val="center"/>
        <w:rPr>
          <w:rFonts w:ascii="Times New Roman" w:hAnsi="Times New Roman"/>
          <w:color w:val="auto"/>
          <w:highlight w:val="none"/>
        </w:rPr>
      </w:pPr>
      <w:bookmarkStart w:id="0" w:name="_Toc9150"/>
      <w:bookmarkStart w:id="1" w:name="_Toc15567"/>
      <w:r>
        <w:rPr>
          <w:rFonts w:ascii="Times New Roman" w:hAnsi="Times New Roman"/>
          <w:color w:val="auto"/>
          <w:highlight w:val="none"/>
        </w:rPr>
        <w:t>第一章、竞争性磋商</w:t>
      </w:r>
      <w:bookmarkEnd w:id="0"/>
      <w:bookmarkEnd w:id="1"/>
      <w:r>
        <w:rPr>
          <w:rFonts w:ascii="Times New Roman" w:hAnsi="Times New Roman"/>
          <w:color w:val="auto"/>
          <w:highlight w:val="none"/>
        </w:rPr>
        <w:t>公告</w:t>
      </w:r>
    </w:p>
    <w:p>
      <w:pPr>
        <w:rPr>
          <w:color w:val="auto"/>
          <w:highlight w:val="none"/>
        </w:rPr>
      </w:pPr>
      <w:bookmarkStart w:id="2" w:name="OLE_LINK3"/>
      <w:bookmarkStart w:id="3" w:name="OLE_LINK9"/>
    </w:p>
    <w:p>
      <w:pPr>
        <w:pBdr>
          <w:top w:val="single" w:color="auto" w:sz="4" w:space="1"/>
          <w:left w:val="single" w:color="auto" w:sz="4" w:space="4"/>
          <w:bottom w:val="single" w:color="auto" w:sz="4" w:space="1"/>
          <w:right w:val="single" w:color="auto" w:sz="4" w:space="4"/>
        </w:pBd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480" w:lineRule="auto"/>
        <w:ind w:firstLine="420" w:firstLineChars="200"/>
        <w:rPr>
          <w:rFonts w:ascii="宋体" w:hAnsi="宋体" w:cs="宋体"/>
          <w:color w:val="auto"/>
          <w:szCs w:val="21"/>
          <w:highlight w:val="none"/>
        </w:rPr>
      </w:pPr>
      <w:r>
        <w:rPr>
          <w:rFonts w:hint="default" w:ascii="宋体" w:hAnsi="宋体" w:cs="宋体"/>
          <w:color w:val="auto"/>
          <w:szCs w:val="21"/>
          <w:highlight w:val="none"/>
          <w:u w:val="single"/>
          <w:lang w:val="en-US" w:eastAsia="zh-CN"/>
        </w:rPr>
        <w:fldChar w:fldCharType="begin"/>
      </w:r>
      <w:r>
        <w:rPr>
          <w:rFonts w:hint="default" w:ascii="宋体" w:hAnsi="宋体" w:cs="宋体"/>
          <w:color w:val="auto"/>
          <w:szCs w:val="21"/>
          <w:highlight w:val="none"/>
          <w:u w:val="single"/>
          <w:lang w:val="en-US" w:eastAsia="zh-CN"/>
        </w:rPr>
        <w:instrText xml:space="preserve"> HYPERLINK "https://bidding.zcygov.cn/xmgl/projectQuery/queryDetail?projectUuid=5d1d783f1c1bf753&amp;utm=bidding-entrust-front.62f570f9.0.0.96d1b940f30e11ea8a31c3b08aaeacc2" \t "https://www.zcygov.cn/bidding-entrust/_blank" </w:instrText>
      </w:r>
      <w:r>
        <w:rPr>
          <w:rFonts w:hint="default" w:ascii="宋体" w:hAnsi="宋体" w:cs="宋体"/>
          <w:color w:val="auto"/>
          <w:szCs w:val="21"/>
          <w:highlight w:val="none"/>
          <w:u w:val="single"/>
          <w:lang w:val="en-US" w:eastAsia="zh-CN"/>
        </w:rPr>
        <w:fldChar w:fldCharType="separate"/>
      </w:r>
      <w:r>
        <w:rPr>
          <w:rFonts w:hint="default" w:ascii="宋体" w:hAnsi="宋体" w:cs="宋体"/>
          <w:color w:val="auto"/>
          <w:szCs w:val="21"/>
          <w:highlight w:val="none"/>
          <w:u w:val="single"/>
        </w:rPr>
        <w:t>桂林市水利局桂林市水安全保障“十四五”规划项目</w:t>
      </w:r>
      <w:r>
        <w:rPr>
          <w:rFonts w:hint="default" w:ascii="宋体" w:hAnsi="宋体" w:cs="宋体"/>
          <w:color w:val="auto"/>
          <w:szCs w:val="21"/>
          <w:highlight w:val="none"/>
          <w:u w:val="single"/>
          <w:lang w:val="en-US" w:eastAsia="zh-CN"/>
        </w:rPr>
        <w:fldChar w:fldCharType="end"/>
      </w:r>
      <w:r>
        <w:rPr>
          <w:rFonts w:hint="eastAsia" w:ascii="宋体" w:hAnsi="宋体" w:cs="宋体"/>
          <w:color w:val="auto"/>
          <w:szCs w:val="21"/>
          <w:highlight w:val="none"/>
        </w:rPr>
        <w:t>采购项目的潜在供应商应在</w:t>
      </w:r>
      <w:r>
        <w:rPr>
          <w:rFonts w:hint="eastAsia" w:ascii="宋体" w:hAnsi="宋体" w:cs="宋体"/>
          <w:color w:val="auto"/>
          <w:szCs w:val="21"/>
          <w:highlight w:val="none"/>
          <w:u w:val="single"/>
        </w:rPr>
        <w:t>桂林市公共资源交易中心网（http://glggzy.org.cn）或桂林市政府采购网（</w:t>
      </w:r>
      <w:r>
        <w:rPr>
          <w:rFonts w:hint="eastAsia" w:ascii="宋体" w:hAnsi="宋体"/>
          <w:color w:val="auto"/>
          <w:szCs w:val="21"/>
          <w:highlight w:val="none"/>
          <w:u w:val="single"/>
        </w:rPr>
        <w:t>http://gl.zfcg.zcygov.cn/</w:t>
      </w:r>
      <w:r>
        <w:rPr>
          <w:rFonts w:hint="eastAsia" w:ascii="宋体" w:hAnsi="宋体" w:cs="宋体"/>
          <w:color w:val="auto"/>
          <w:szCs w:val="21"/>
          <w:highlight w:val="none"/>
          <w:u w:val="single"/>
        </w:rPr>
        <w:t>）</w:t>
      </w:r>
      <w:r>
        <w:rPr>
          <w:rFonts w:hint="eastAsia" w:ascii="宋体" w:hAnsi="宋体" w:cs="宋体"/>
          <w:color w:val="auto"/>
          <w:szCs w:val="21"/>
          <w:highlight w:val="none"/>
        </w:rPr>
        <w:t>获取采购文件，并于</w:t>
      </w:r>
      <w:r>
        <w:rPr>
          <w:rFonts w:hint="eastAsia" w:ascii="宋体" w:hAnsi="宋体" w:cs="宋体"/>
          <w:color w:val="auto"/>
          <w:szCs w:val="21"/>
          <w:highlight w:val="none"/>
          <w:u w:val="single"/>
          <w:lang w:val="en-US" w:eastAsia="zh-CN"/>
        </w:rPr>
        <w:t>2020</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9</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28</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10</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30</w:t>
      </w:r>
      <w:r>
        <w:rPr>
          <w:rFonts w:hint="eastAsia" w:ascii="宋体" w:hAnsi="宋体" w:cs="宋体"/>
          <w:bCs/>
          <w:color w:val="auto"/>
          <w:szCs w:val="21"/>
          <w:highlight w:val="none"/>
          <w:u w:val="single"/>
        </w:rPr>
        <w:t>分</w:t>
      </w:r>
      <w:r>
        <w:rPr>
          <w:rFonts w:hint="eastAsia" w:ascii="宋体" w:hAnsi="宋体" w:cs="宋体"/>
          <w:bCs/>
          <w:color w:val="auto"/>
          <w:szCs w:val="21"/>
          <w:highlight w:val="none"/>
        </w:rPr>
        <w:t>（北京时间）前提交响应文件</w:t>
      </w:r>
      <w:r>
        <w:rPr>
          <w:rFonts w:hint="eastAsia" w:ascii="宋体" w:hAnsi="宋体" w:cs="宋体"/>
          <w:color w:val="auto"/>
          <w:szCs w:val="21"/>
          <w:highlight w:val="none"/>
        </w:rPr>
        <w:t>。</w:t>
      </w:r>
    </w:p>
    <w:p>
      <w:pPr>
        <w:rPr>
          <w:color w:val="auto"/>
          <w:highlight w:val="none"/>
        </w:rPr>
      </w:pPr>
    </w:p>
    <w:p>
      <w:pPr>
        <w:spacing w:line="360" w:lineRule="auto"/>
        <w:ind w:firstLine="420" w:firstLineChars="200"/>
        <w:rPr>
          <w:rFonts w:ascii="宋体" w:hAnsi="宋体" w:cs="宋体"/>
          <w:b/>
          <w:bCs/>
          <w:color w:val="auto"/>
          <w:highlight w:val="none"/>
        </w:rPr>
      </w:pPr>
      <w:bookmarkStart w:id="4" w:name="_Toc35393629"/>
      <w:bookmarkStart w:id="5" w:name="_Toc28359089"/>
      <w:bookmarkStart w:id="6" w:name="_Toc35393798"/>
      <w:bookmarkStart w:id="7" w:name="_Toc28359012"/>
      <w:r>
        <w:rPr>
          <w:rFonts w:hint="eastAsia" w:ascii="宋体" w:hAnsi="宋体" w:cs="宋体"/>
          <w:b/>
          <w:bCs/>
          <w:color w:val="auto"/>
          <w:highlight w:val="none"/>
        </w:rPr>
        <w:t>一、项目基本情况</w:t>
      </w:r>
      <w:bookmarkEnd w:id="4"/>
      <w:bookmarkEnd w:id="5"/>
      <w:bookmarkEnd w:id="6"/>
      <w:bookmarkEnd w:id="7"/>
    </w:p>
    <w:p>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项目编号：</w:t>
      </w:r>
      <w:r>
        <w:rPr>
          <w:rFonts w:hint="default" w:ascii="宋体" w:hAnsi="宋体" w:cs="宋体"/>
          <w:color w:val="auto"/>
          <w:szCs w:val="21"/>
          <w:highlight w:val="none"/>
          <w:u w:val="single"/>
          <w:lang w:val="en-US" w:eastAsia="zh-CN"/>
        </w:rPr>
        <w:fldChar w:fldCharType="begin"/>
      </w:r>
      <w:r>
        <w:rPr>
          <w:rFonts w:hint="default" w:ascii="宋体" w:hAnsi="宋体" w:cs="宋体"/>
          <w:color w:val="auto"/>
          <w:szCs w:val="21"/>
          <w:highlight w:val="none"/>
          <w:u w:val="single"/>
          <w:lang w:val="en-US" w:eastAsia="zh-CN"/>
        </w:rPr>
        <w:instrText xml:space="preserve"> HYPERLINK "https://bidding.zcygov.cn/xmgl/projectQuery/queryDetail?projectUuid=5d1d783f1c1bf753&amp;utm=bidding-entrust-front.62f570f9.0.0.96d1b940f30e11ea8a31c3b08aaeacc2" \t "https://www.zcygov.cn/bidding-entrust/_blank" </w:instrText>
      </w:r>
      <w:r>
        <w:rPr>
          <w:rFonts w:hint="default" w:ascii="宋体" w:hAnsi="宋体" w:cs="宋体"/>
          <w:color w:val="auto"/>
          <w:szCs w:val="21"/>
          <w:highlight w:val="none"/>
          <w:u w:val="single"/>
          <w:lang w:val="en-US" w:eastAsia="zh-CN"/>
        </w:rPr>
        <w:fldChar w:fldCharType="separate"/>
      </w:r>
      <w:r>
        <w:rPr>
          <w:rFonts w:hint="default" w:ascii="宋体" w:hAnsi="宋体" w:cs="宋体"/>
          <w:color w:val="auto"/>
          <w:szCs w:val="21"/>
          <w:highlight w:val="none"/>
          <w:u w:val="single"/>
        </w:rPr>
        <w:t>桂林市水利局桂林市水安全保障“十四五”规划项目</w:t>
      </w:r>
      <w:r>
        <w:rPr>
          <w:rFonts w:hint="default" w:ascii="宋体" w:hAnsi="宋体" w:cs="宋体"/>
          <w:color w:val="auto"/>
          <w:szCs w:val="21"/>
          <w:highlight w:val="none"/>
          <w:u w:val="single"/>
          <w:lang w:val="en-US" w:eastAsia="zh-CN"/>
        </w:rPr>
        <w:fldChar w:fldCharType="end"/>
      </w:r>
    </w:p>
    <w:p>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项目名称：</w:t>
      </w:r>
      <w:r>
        <w:rPr>
          <w:rFonts w:hint="eastAsia" w:ascii="宋体" w:hAnsi="宋体" w:cs="宋体"/>
          <w:color w:val="auto"/>
          <w:highlight w:val="none"/>
          <w:lang w:eastAsia="zh-CN"/>
        </w:rPr>
        <w:t>GLZC2020-C3-</w:t>
      </w:r>
      <w:r>
        <w:rPr>
          <w:rFonts w:hint="eastAsia" w:ascii="宋体" w:hAnsi="宋体" w:cs="宋体"/>
          <w:color w:val="auto"/>
          <w:highlight w:val="none"/>
          <w:lang w:val="en-US" w:eastAsia="zh-CN"/>
        </w:rPr>
        <w:t>990201</w:t>
      </w:r>
      <w:r>
        <w:rPr>
          <w:rFonts w:hint="eastAsia" w:ascii="宋体" w:hAnsi="宋体" w:cs="宋体"/>
          <w:color w:val="auto"/>
          <w:highlight w:val="none"/>
          <w:lang w:eastAsia="zh-CN"/>
        </w:rPr>
        <w:t>-HYZB</w:t>
      </w:r>
    </w:p>
    <w:p>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rPr>
        <w:t>采购方式：竞争性磋商</w:t>
      </w:r>
      <w:r>
        <w:rPr>
          <w:rFonts w:hint="eastAsia" w:ascii="宋体" w:hAnsi="宋体" w:cs="宋体"/>
          <w:color w:val="auto"/>
          <w:highlight w:val="none"/>
          <w:lang w:val="en-US" w:eastAsia="zh-CN"/>
        </w:rPr>
        <w:t xml:space="preserve"> </w:t>
      </w:r>
    </w:p>
    <w:p>
      <w:pPr>
        <w:spacing w:line="360" w:lineRule="auto"/>
        <w:ind w:firstLine="420" w:firstLineChars="200"/>
        <w:rPr>
          <w:rFonts w:ascii="宋体" w:hAnsi="宋体" w:cs="宋体"/>
          <w:b/>
          <w:bCs/>
          <w:color w:val="auto"/>
          <w:highlight w:val="none"/>
        </w:rPr>
      </w:pPr>
      <w:r>
        <w:rPr>
          <w:rFonts w:hint="eastAsia" w:ascii="宋体" w:hAnsi="宋体" w:cs="宋体"/>
          <w:color w:val="auto"/>
          <w:highlight w:val="none"/>
        </w:rPr>
        <w:t>预算金额：</w:t>
      </w:r>
      <w:r>
        <w:rPr>
          <w:rFonts w:hint="eastAsia" w:ascii="宋体" w:hAnsi="宋体" w:cs="宋体"/>
          <w:color w:val="auto"/>
          <w:highlight w:val="none"/>
          <w:lang w:val="en-US" w:eastAsia="zh-CN"/>
        </w:rPr>
        <w:t>叁拾伍万</w:t>
      </w:r>
      <w:r>
        <w:rPr>
          <w:rFonts w:hint="eastAsia" w:ascii="宋体" w:hAnsi="宋体" w:cs="宋体"/>
          <w:color w:val="auto"/>
          <w:highlight w:val="none"/>
        </w:rPr>
        <w:t>元整（￥</w:t>
      </w:r>
      <w:r>
        <w:rPr>
          <w:rFonts w:hint="eastAsia" w:ascii="宋体" w:hAnsi="宋体" w:cs="宋体"/>
          <w:b/>
          <w:bCs/>
          <w:color w:val="auto"/>
          <w:highlight w:val="none"/>
          <w:lang w:val="en-US" w:eastAsia="zh-CN"/>
        </w:rPr>
        <w:t>350000</w:t>
      </w:r>
      <w:r>
        <w:rPr>
          <w:rFonts w:hint="eastAsia" w:ascii="宋体" w:hAnsi="宋体" w:cs="宋体"/>
          <w:b/>
          <w:bCs/>
          <w:color w:val="auto"/>
          <w:highlight w:val="none"/>
        </w:rPr>
        <w:t>.00元）</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最高限价（如有）：与预算金额一致</w:t>
      </w:r>
    </w:p>
    <w:tbl>
      <w:tblPr>
        <w:tblStyle w:val="43"/>
        <w:tblpPr w:leftFromText="180" w:rightFromText="180" w:vertAnchor="text" w:horzAnchor="page" w:tblpX="1272" w:tblpY="442"/>
        <w:tblOverlap w:val="never"/>
        <w:tblW w:w="984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7"/>
        <w:gridCol w:w="2510"/>
        <w:gridCol w:w="1005"/>
        <w:gridCol w:w="1200"/>
        <w:gridCol w:w="43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6" w:hRule="atLeast"/>
        </w:trPr>
        <w:tc>
          <w:tcPr>
            <w:tcW w:w="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39"/>
              <w:widowControl/>
              <w:spacing w:line="340" w:lineRule="atLeast"/>
              <w:jc w:val="center"/>
              <w:rPr>
                <w:color w:val="auto"/>
                <w:highlight w:val="none"/>
              </w:rPr>
            </w:pPr>
            <w:r>
              <w:rPr>
                <w:rFonts w:hint="eastAsia" w:ascii="宋体" w:hAnsi="宋体" w:eastAsia="宋体" w:cs="宋体"/>
                <w:b/>
                <w:color w:val="auto"/>
                <w:kern w:val="0"/>
                <w:sz w:val="21"/>
                <w:szCs w:val="21"/>
                <w:highlight w:val="none"/>
              </w:rPr>
              <w:t>项号</w:t>
            </w:r>
          </w:p>
        </w:tc>
        <w:tc>
          <w:tcPr>
            <w:tcW w:w="2510" w:type="dxa"/>
            <w:tcBorders>
              <w:top w:val="single" w:color="auto" w:sz="8" w:space="0"/>
              <w:left w:val="nil"/>
              <w:bottom w:val="single" w:color="auto" w:sz="8" w:space="0"/>
              <w:right w:val="single" w:color="auto" w:sz="8" w:space="0"/>
            </w:tcBorders>
            <w:tcMar>
              <w:left w:w="108" w:type="dxa"/>
              <w:right w:w="108" w:type="dxa"/>
            </w:tcMar>
            <w:vAlign w:val="center"/>
          </w:tcPr>
          <w:p>
            <w:pPr>
              <w:pStyle w:val="39"/>
              <w:widowControl/>
              <w:spacing w:line="340" w:lineRule="atLeast"/>
              <w:jc w:val="center"/>
              <w:rPr>
                <w:color w:val="auto"/>
                <w:highlight w:val="none"/>
              </w:rPr>
            </w:pPr>
            <w:r>
              <w:rPr>
                <w:rFonts w:hint="eastAsia" w:ascii="宋体" w:hAnsi="宋体" w:eastAsia="宋体" w:cs="宋体"/>
                <w:b/>
                <w:color w:val="auto"/>
                <w:kern w:val="0"/>
                <w:highlight w:val="none"/>
              </w:rPr>
              <w:t>服务名称</w:t>
            </w:r>
          </w:p>
        </w:tc>
        <w:tc>
          <w:tcPr>
            <w:tcW w:w="1005" w:type="dxa"/>
            <w:tcBorders>
              <w:top w:val="single" w:color="auto" w:sz="8" w:space="0"/>
              <w:left w:val="nil"/>
              <w:bottom w:val="single" w:color="auto" w:sz="8" w:space="0"/>
              <w:right w:val="single" w:color="auto" w:sz="8" w:space="0"/>
            </w:tcBorders>
            <w:tcMar>
              <w:left w:w="108" w:type="dxa"/>
              <w:right w:w="108" w:type="dxa"/>
            </w:tcMar>
            <w:vAlign w:val="center"/>
          </w:tcPr>
          <w:p>
            <w:pPr>
              <w:pStyle w:val="39"/>
              <w:widowControl/>
              <w:spacing w:line="340" w:lineRule="atLeast"/>
              <w:jc w:val="center"/>
              <w:rPr>
                <w:color w:val="auto"/>
                <w:highlight w:val="none"/>
              </w:rPr>
            </w:pPr>
            <w:r>
              <w:rPr>
                <w:rFonts w:hint="eastAsia" w:ascii="宋体" w:hAnsi="宋体" w:eastAsia="宋体" w:cs="宋体"/>
                <w:b/>
                <w:color w:val="auto"/>
                <w:kern w:val="0"/>
                <w:sz w:val="21"/>
                <w:szCs w:val="21"/>
                <w:highlight w:val="none"/>
              </w:rPr>
              <w:t>数量</w:t>
            </w:r>
          </w:p>
        </w:tc>
        <w:tc>
          <w:tcPr>
            <w:tcW w:w="1200" w:type="dxa"/>
            <w:tcBorders>
              <w:top w:val="single" w:color="auto" w:sz="8" w:space="0"/>
              <w:left w:val="nil"/>
              <w:bottom w:val="single" w:color="auto" w:sz="8" w:space="0"/>
              <w:right w:val="single" w:color="auto" w:sz="8" w:space="0"/>
            </w:tcBorders>
            <w:tcMar>
              <w:left w:w="108" w:type="dxa"/>
              <w:right w:w="108" w:type="dxa"/>
            </w:tcMar>
            <w:vAlign w:val="center"/>
          </w:tcPr>
          <w:p>
            <w:pPr>
              <w:pStyle w:val="39"/>
              <w:widowControl/>
              <w:spacing w:line="340" w:lineRule="atLeast"/>
              <w:jc w:val="center"/>
              <w:rPr>
                <w:color w:val="auto"/>
                <w:highlight w:val="none"/>
              </w:rPr>
            </w:pPr>
            <w:r>
              <w:rPr>
                <w:rFonts w:hint="eastAsia" w:ascii="宋体" w:hAnsi="宋体" w:eastAsia="宋体" w:cs="宋体"/>
                <w:b/>
                <w:color w:val="auto"/>
                <w:kern w:val="0"/>
                <w:sz w:val="21"/>
                <w:szCs w:val="21"/>
                <w:highlight w:val="none"/>
              </w:rPr>
              <w:t>单位</w:t>
            </w:r>
          </w:p>
        </w:tc>
        <w:tc>
          <w:tcPr>
            <w:tcW w:w="4308" w:type="dxa"/>
            <w:tcBorders>
              <w:top w:val="single" w:color="auto" w:sz="8" w:space="0"/>
              <w:left w:val="nil"/>
              <w:bottom w:val="single" w:color="auto" w:sz="8" w:space="0"/>
              <w:right w:val="single" w:color="auto" w:sz="8" w:space="0"/>
            </w:tcBorders>
            <w:tcMar>
              <w:left w:w="108" w:type="dxa"/>
              <w:right w:w="108" w:type="dxa"/>
            </w:tcMar>
            <w:vAlign w:val="center"/>
          </w:tcPr>
          <w:p>
            <w:pPr>
              <w:pStyle w:val="39"/>
              <w:widowControl/>
              <w:spacing w:line="340" w:lineRule="atLeast"/>
              <w:jc w:val="center"/>
              <w:rPr>
                <w:color w:val="auto"/>
                <w:highlight w:val="none"/>
              </w:rPr>
            </w:pPr>
            <w:r>
              <w:rPr>
                <w:rFonts w:hint="eastAsia" w:ascii="宋体" w:hAnsi="宋体" w:eastAsia="宋体" w:cs="宋体"/>
                <w:b/>
                <w:color w:val="auto"/>
                <w:kern w:val="0"/>
                <w:sz w:val="21"/>
                <w:szCs w:val="21"/>
                <w:highlight w:val="none"/>
              </w:rPr>
              <w:t>简要技术需求或服务要求等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6" w:hRule="atLeast"/>
        </w:trPr>
        <w:tc>
          <w:tcPr>
            <w:tcW w:w="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39"/>
              <w:widowControl/>
              <w:spacing w:line="340" w:lineRule="atLeast"/>
              <w:jc w:val="center"/>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w:t>
            </w:r>
          </w:p>
        </w:tc>
        <w:tc>
          <w:tcPr>
            <w:tcW w:w="2510" w:type="dxa"/>
            <w:tcBorders>
              <w:top w:val="single" w:color="auto" w:sz="8" w:space="0"/>
              <w:left w:val="nil"/>
              <w:bottom w:val="single" w:color="auto" w:sz="8" w:space="0"/>
              <w:right w:val="single" w:color="auto" w:sz="8" w:space="0"/>
            </w:tcBorders>
            <w:tcMar>
              <w:left w:w="108" w:type="dxa"/>
              <w:right w:w="108" w:type="dxa"/>
            </w:tcMar>
            <w:vAlign w:val="center"/>
          </w:tcPr>
          <w:p>
            <w:pPr>
              <w:pStyle w:val="39"/>
              <w:widowControl/>
              <w:spacing w:line="340" w:lineRule="atLeast"/>
              <w:jc w:val="center"/>
              <w:rPr>
                <w:rFonts w:hint="eastAsia" w:ascii="宋体" w:hAnsi="宋体" w:eastAsia="宋体" w:cs="宋体"/>
                <w:bCs/>
                <w:color w:val="auto"/>
                <w:kern w:val="0"/>
                <w:highlight w:val="none"/>
                <w:lang w:eastAsia="zh-CN"/>
              </w:rPr>
            </w:pPr>
            <w:r>
              <w:rPr>
                <w:rFonts w:hint="eastAsia" w:ascii="宋体" w:hAnsi="宋体" w:eastAsia="宋体" w:cs="宋体"/>
                <w:bCs/>
                <w:color w:val="auto"/>
                <w:highlight w:val="none"/>
                <w:lang w:eastAsia="zh-CN"/>
              </w:rPr>
              <w:t>桂林市水安全保障“十四五”规划</w:t>
            </w:r>
          </w:p>
        </w:tc>
        <w:tc>
          <w:tcPr>
            <w:tcW w:w="1005" w:type="dxa"/>
            <w:tcBorders>
              <w:top w:val="single" w:color="auto" w:sz="8" w:space="0"/>
              <w:left w:val="nil"/>
              <w:bottom w:val="single" w:color="auto" w:sz="8" w:space="0"/>
              <w:right w:val="single" w:color="auto" w:sz="8" w:space="0"/>
            </w:tcBorders>
            <w:tcMar>
              <w:left w:w="108" w:type="dxa"/>
              <w:right w:w="108" w:type="dxa"/>
            </w:tcMar>
            <w:vAlign w:val="center"/>
          </w:tcPr>
          <w:p>
            <w:pPr>
              <w:pStyle w:val="39"/>
              <w:widowControl/>
              <w:spacing w:line="340" w:lineRule="atLeast"/>
              <w:jc w:val="center"/>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w:t>
            </w:r>
          </w:p>
        </w:tc>
        <w:tc>
          <w:tcPr>
            <w:tcW w:w="1200" w:type="dxa"/>
            <w:tcBorders>
              <w:top w:val="single" w:color="auto" w:sz="8" w:space="0"/>
              <w:left w:val="nil"/>
              <w:bottom w:val="single" w:color="auto" w:sz="8" w:space="0"/>
              <w:right w:val="single" w:color="auto" w:sz="8" w:space="0"/>
            </w:tcBorders>
            <w:tcMar>
              <w:left w:w="108" w:type="dxa"/>
              <w:right w:w="108" w:type="dxa"/>
            </w:tcMar>
            <w:vAlign w:val="center"/>
          </w:tcPr>
          <w:p>
            <w:pPr>
              <w:pStyle w:val="39"/>
              <w:widowControl/>
              <w:spacing w:line="340" w:lineRule="atLeast"/>
              <w:jc w:val="center"/>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项</w:t>
            </w:r>
          </w:p>
        </w:tc>
        <w:tc>
          <w:tcPr>
            <w:tcW w:w="4308" w:type="dxa"/>
            <w:tcBorders>
              <w:top w:val="single" w:color="auto" w:sz="8" w:space="0"/>
              <w:left w:val="nil"/>
              <w:bottom w:val="single" w:color="auto" w:sz="8" w:space="0"/>
              <w:right w:val="single" w:color="auto" w:sz="8" w:space="0"/>
            </w:tcBorders>
            <w:tcMar>
              <w:left w:w="108" w:type="dxa"/>
              <w:right w:w="108" w:type="dxa"/>
            </w:tcMar>
            <w:vAlign w:val="center"/>
          </w:tcPr>
          <w:p>
            <w:pPr>
              <w:pStyle w:val="39"/>
              <w:widowControl/>
              <w:spacing w:line="340" w:lineRule="atLeast"/>
              <w:jc w:val="center"/>
              <w:rPr>
                <w:rFonts w:ascii="宋体" w:hAnsi="宋体" w:eastAsia="宋体" w:cs="宋体"/>
                <w:b/>
                <w:color w:val="auto"/>
                <w:kern w:val="0"/>
                <w:sz w:val="21"/>
                <w:szCs w:val="21"/>
                <w:highlight w:val="none"/>
              </w:rPr>
            </w:pPr>
            <w:r>
              <w:rPr>
                <w:rFonts w:hint="eastAsia" w:ascii="宋体" w:hAnsi="宋体" w:eastAsia="宋体" w:cs="宋体"/>
                <w:color w:val="auto"/>
                <w:sz w:val="21"/>
                <w:szCs w:val="21"/>
                <w:highlight w:val="none"/>
              </w:rPr>
              <w:t>如需进一步了解详细内容，详见竞争性磋商文件。</w:t>
            </w:r>
          </w:p>
        </w:tc>
      </w:tr>
    </w:tbl>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本项目不接受联合体。</w:t>
      </w:r>
    </w:p>
    <w:p>
      <w:pPr>
        <w:spacing w:line="360" w:lineRule="auto"/>
        <w:ind w:firstLine="420" w:firstLineChars="200"/>
        <w:rPr>
          <w:rFonts w:ascii="宋体" w:hAnsi="宋体" w:cs="宋体"/>
          <w:b/>
          <w:bCs/>
          <w:color w:val="auto"/>
          <w:highlight w:val="none"/>
        </w:rPr>
      </w:pPr>
      <w:bookmarkStart w:id="8" w:name="_Toc28359090"/>
      <w:bookmarkStart w:id="9" w:name="_Toc35393799"/>
      <w:bookmarkStart w:id="10" w:name="_Toc28359013"/>
      <w:bookmarkStart w:id="11" w:name="_Toc35393630"/>
      <w:r>
        <w:rPr>
          <w:rFonts w:hint="eastAsia" w:ascii="宋体" w:hAnsi="宋体" w:cs="宋体"/>
          <w:b/>
          <w:bCs/>
          <w:color w:val="auto"/>
          <w:highlight w:val="none"/>
        </w:rPr>
        <w:t>二、申请人的资格要求：</w:t>
      </w:r>
      <w:bookmarkEnd w:id="8"/>
      <w:bookmarkEnd w:id="9"/>
      <w:bookmarkEnd w:id="10"/>
      <w:bookmarkEnd w:id="11"/>
    </w:p>
    <w:p>
      <w:pPr>
        <w:spacing w:line="360" w:lineRule="auto"/>
        <w:ind w:firstLine="420" w:firstLineChars="200"/>
        <w:rPr>
          <w:rFonts w:ascii="宋体" w:hAnsi="宋体" w:cs="宋体"/>
          <w:color w:val="auto"/>
          <w:highlight w:val="none"/>
        </w:rPr>
      </w:pPr>
      <w:bookmarkStart w:id="12" w:name="_Toc28359091"/>
      <w:bookmarkStart w:id="13" w:name="_Toc28359014"/>
      <w:bookmarkStart w:id="14" w:name="_Toc35393631"/>
      <w:bookmarkStart w:id="15" w:name="_Toc35393800"/>
      <w:r>
        <w:rPr>
          <w:rFonts w:hint="eastAsia" w:ascii="宋体" w:hAnsi="宋体" w:cs="宋体"/>
          <w:color w:val="auto"/>
          <w:highlight w:val="none"/>
        </w:rPr>
        <w:t>1、满足《中华人民共和国政府采购法》第二十二条规定；</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2、落实采购政策需满足的资格要求：</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（1）《政府采购促进中小企业发展暂行办法》（财库〔2011〕181号）；</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（2）《关于政府采购支持监狱企业发展有关问题的通知》(财库〔2014〕68号)；</w:t>
      </w:r>
    </w:p>
    <w:p>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（3）《关于促进残疾人就业政府采购政策的通知》(财库〔2017〕141号)</w:t>
      </w:r>
      <w:r>
        <w:rPr>
          <w:rFonts w:hint="eastAsia" w:ascii="宋体" w:hAnsi="宋体" w:cs="宋体"/>
          <w:color w:val="auto"/>
          <w:highlight w:val="none"/>
          <w:lang w:eastAsia="zh-CN"/>
        </w:rPr>
        <w:t>；</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（4）《中华人民共和国政府采购法》、《中华人民共和国政府采购法实施条例》、&lt;政府采购磋商采购方式管理暂行办法&gt;的通知》（财库〔2014〕214号）等相关法律法规。</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3、本项目的特定资格要求：</w:t>
      </w:r>
      <w:r>
        <w:rPr>
          <w:rFonts w:hint="eastAsia" w:ascii="宋体" w:hAnsi="宋体" w:cs="宋体"/>
          <w:color w:val="auto"/>
          <w:highlight w:val="none"/>
          <w:lang w:val="en-US" w:eastAsia="zh-CN"/>
        </w:rPr>
        <w:t>供应商具有</w:t>
      </w:r>
      <w:r>
        <w:rPr>
          <w:rFonts w:hint="eastAsia" w:ascii="宋体" w:hAnsi="宋体" w:cs="宋体"/>
          <w:color w:val="auto"/>
          <w:highlight w:val="none"/>
        </w:rPr>
        <w:t>独立法人资格且</w:t>
      </w:r>
      <w:r>
        <w:rPr>
          <w:rFonts w:hint="eastAsia" w:ascii="宋体" w:hAnsi="宋体" w:cs="宋体"/>
          <w:color w:val="auto"/>
          <w:highlight w:val="none"/>
          <w:lang w:eastAsia="zh-CN"/>
        </w:rPr>
        <w:t>，</w:t>
      </w:r>
      <w:r>
        <w:rPr>
          <w:rFonts w:hint="eastAsia" w:hAnsi="宋体"/>
          <w:color w:val="auto"/>
          <w:highlight w:val="none"/>
        </w:rPr>
        <w:t>工程咨询（水利工程）乙级</w:t>
      </w:r>
      <w:r>
        <w:rPr>
          <w:rFonts w:hint="eastAsia" w:hAnsi="宋体"/>
          <w:color w:val="auto"/>
          <w:highlight w:val="none"/>
          <w:lang w:eastAsia="zh-CN"/>
        </w:rPr>
        <w:t>或以上</w:t>
      </w:r>
      <w:r>
        <w:rPr>
          <w:rFonts w:hint="eastAsia" w:hAnsi="宋体"/>
          <w:color w:val="auto"/>
          <w:highlight w:val="none"/>
        </w:rPr>
        <w:t>资质。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4、本项目由符合国家有关法律法规规定、同时满足本项目资质要求、在中国境内注册的合格供应商参加投标。</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参加政府采购活动前三年内，在经营活动中没有重大违法记录和不良信用记录（在“信用中国”网站(www.creditchina.gov.cn)、中国政府采购网(www.ccgp.gov.cn)等渠道被列入失信被执行人、重大税收违法案件当事人名单、政府采购严重违法失信行为记录名单的供应商将被拒绝其参与本次政府采购活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6、单位负责人为同一人或者存在直接控股、管理关系的不同供应商，不得参加同一合同项下的采购活动。</w:t>
      </w:r>
    </w:p>
    <w:p>
      <w:pPr>
        <w:spacing w:line="360" w:lineRule="auto"/>
        <w:ind w:firstLine="420" w:firstLineChars="200"/>
        <w:rPr>
          <w:rFonts w:ascii="宋体" w:hAnsi="宋体" w:cs="宋体"/>
          <w:b/>
          <w:bCs/>
          <w:color w:val="auto"/>
          <w:highlight w:val="none"/>
        </w:rPr>
      </w:pPr>
      <w:r>
        <w:rPr>
          <w:rFonts w:hint="eastAsia" w:ascii="宋体" w:hAnsi="宋体" w:cs="宋体"/>
          <w:b/>
          <w:bCs/>
          <w:color w:val="auto"/>
          <w:highlight w:val="none"/>
        </w:rPr>
        <w:t>三、获取采购文件</w:t>
      </w:r>
      <w:bookmarkEnd w:id="12"/>
      <w:bookmarkEnd w:id="13"/>
      <w:bookmarkEnd w:id="14"/>
      <w:bookmarkEnd w:id="15"/>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地点：http://gl.zfcg.zcygov.cn/（桂林政府采购网）、http://glggzy.org.cn（桂林市公共资源交易中心网）</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方式：潜在供应商在竞标截止时间前登陆桂林市公共资源交易中心网（http://glggzy.org.cn）或桂林市政府采购网（http://gl.zfcg.zcygov.cn/）免费下载磋商文件电子版。</w:t>
      </w:r>
    </w:p>
    <w:p>
      <w:pPr>
        <w:spacing w:line="360" w:lineRule="auto"/>
        <w:ind w:firstLine="420" w:firstLineChars="200"/>
        <w:rPr>
          <w:rFonts w:ascii="宋体" w:hAnsi="宋体" w:cs="宋体"/>
          <w:b/>
          <w:bCs/>
          <w:color w:val="auto"/>
          <w:highlight w:val="none"/>
        </w:rPr>
      </w:pPr>
      <w:bookmarkStart w:id="16" w:name="_Toc28359015"/>
      <w:bookmarkStart w:id="17" w:name="_Toc35393801"/>
      <w:bookmarkStart w:id="18" w:name="_Toc28359092"/>
      <w:bookmarkStart w:id="19" w:name="_Toc35393632"/>
      <w:r>
        <w:rPr>
          <w:rFonts w:hint="eastAsia" w:ascii="宋体" w:hAnsi="宋体" w:cs="宋体"/>
          <w:b/>
          <w:bCs/>
          <w:color w:val="auto"/>
          <w:highlight w:val="none"/>
        </w:rPr>
        <w:t>四、响应文件提交</w:t>
      </w:r>
      <w:bookmarkEnd w:id="16"/>
      <w:bookmarkEnd w:id="17"/>
      <w:bookmarkEnd w:id="18"/>
      <w:bookmarkEnd w:id="19"/>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截止时间：</w:t>
      </w:r>
      <w:r>
        <w:rPr>
          <w:rFonts w:hint="eastAsia" w:ascii="宋体" w:hAnsi="宋体" w:cs="宋体"/>
          <w:color w:val="auto"/>
          <w:highlight w:val="none"/>
          <w:lang w:val="en-US" w:eastAsia="zh-CN"/>
        </w:rPr>
        <w:t>2020</w:t>
      </w:r>
      <w:r>
        <w:rPr>
          <w:rFonts w:hint="eastAsia" w:ascii="宋体" w:hAnsi="宋体" w:cs="宋体"/>
          <w:color w:val="auto"/>
          <w:highlight w:val="none"/>
        </w:rPr>
        <w:t>年</w:t>
      </w:r>
      <w:r>
        <w:rPr>
          <w:rFonts w:hint="eastAsia" w:ascii="宋体" w:hAnsi="宋体" w:cs="宋体"/>
          <w:color w:val="auto"/>
          <w:highlight w:val="none"/>
          <w:lang w:val="en-US" w:eastAsia="zh-CN"/>
        </w:rPr>
        <w:t>9</w:t>
      </w:r>
      <w:r>
        <w:rPr>
          <w:rFonts w:hint="eastAsia" w:ascii="宋体" w:hAnsi="宋体" w:cs="宋体"/>
          <w:color w:val="auto"/>
          <w:highlight w:val="none"/>
        </w:rPr>
        <w:t>月</w:t>
      </w:r>
      <w:r>
        <w:rPr>
          <w:rFonts w:hint="eastAsia" w:ascii="宋体" w:hAnsi="宋体" w:cs="宋体"/>
          <w:color w:val="auto"/>
          <w:highlight w:val="none"/>
          <w:lang w:val="en-US" w:eastAsia="zh-CN"/>
        </w:rPr>
        <w:t>28</w:t>
      </w:r>
      <w:r>
        <w:rPr>
          <w:rFonts w:hint="eastAsia" w:ascii="宋体" w:hAnsi="宋体" w:cs="宋体"/>
          <w:color w:val="auto"/>
          <w:highlight w:val="none"/>
        </w:rPr>
        <w:t>日</w:t>
      </w:r>
      <w:r>
        <w:rPr>
          <w:rFonts w:hint="eastAsia" w:ascii="宋体" w:hAnsi="宋体" w:cs="宋体"/>
          <w:color w:val="auto"/>
          <w:highlight w:val="none"/>
          <w:lang w:val="en-US" w:eastAsia="zh-CN"/>
        </w:rPr>
        <w:t>10</w:t>
      </w:r>
      <w:r>
        <w:rPr>
          <w:rFonts w:hint="eastAsia" w:ascii="宋体" w:hAnsi="宋体" w:cs="宋体"/>
          <w:color w:val="auto"/>
          <w:highlight w:val="none"/>
        </w:rPr>
        <w:t xml:space="preserve">点 </w:t>
      </w:r>
      <w:r>
        <w:rPr>
          <w:rFonts w:hint="eastAsia" w:ascii="宋体" w:hAnsi="宋体" w:cs="宋体"/>
          <w:color w:val="auto"/>
          <w:highlight w:val="none"/>
          <w:lang w:val="en-US" w:eastAsia="zh-CN"/>
        </w:rPr>
        <w:t>30</w:t>
      </w:r>
      <w:r>
        <w:rPr>
          <w:rFonts w:hint="eastAsia" w:ascii="宋体" w:hAnsi="宋体" w:cs="宋体"/>
          <w:color w:val="auto"/>
          <w:highlight w:val="none"/>
        </w:rPr>
        <w:t>分（北京时间）</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地点：桂林市公共资源交易中心</w:t>
      </w:r>
      <w:r>
        <w:rPr>
          <w:rFonts w:hint="eastAsia" w:ascii="宋体" w:hAnsi="宋体" w:cs="宋体"/>
          <w:color w:val="auto"/>
          <w:highlight w:val="none"/>
          <w:lang w:val="en-US" w:eastAsia="zh-CN"/>
        </w:rPr>
        <w:t>2</w:t>
      </w:r>
      <w:r>
        <w:rPr>
          <w:rFonts w:hint="eastAsia" w:ascii="宋体" w:hAnsi="宋体" w:cs="宋体"/>
          <w:color w:val="auto"/>
          <w:highlight w:val="none"/>
        </w:rPr>
        <w:t>号开标室（广西桂林市临桂区西城中路69号创业大厦西辅楼4楼北区）</w:t>
      </w:r>
    </w:p>
    <w:p>
      <w:pPr>
        <w:spacing w:line="360" w:lineRule="auto"/>
        <w:ind w:firstLine="420" w:firstLineChars="200"/>
        <w:rPr>
          <w:rFonts w:ascii="宋体" w:hAnsi="宋体" w:cs="宋体"/>
          <w:color w:val="auto"/>
          <w:highlight w:val="none"/>
        </w:rPr>
      </w:pPr>
      <w:bookmarkStart w:id="20" w:name="_Toc35393802"/>
      <w:bookmarkStart w:id="21" w:name="_Toc28359016"/>
      <w:bookmarkStart w:id="22" w:name="_Toc28359093"/>
      <w:bookmarkStart w:id="23" w:name="_Toc35393633"/>
      <w:r>
        <w:rPr>
          <w:rFonts w:hint="eastAsia" w:ascii="宋体" w:hAnsi="宋体" w:cs="宋体"/>
          <w:b/>
          <w:bCs/>
          <w:color w:val="auto"/>
          <w:highlight w:val="none"/>
        </w:rPr>
        <w:t>五、开启</w:t>
      </w:r>
      <w:bookmarkEnd w:id="20"/>
      <w:bookmarkEnd w:id="21"/>
      <w:bookmarkEnd w:id="22"/>
      <w:bookmarkEnd w:id="23"/>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时间：</w:t>
      </w:r>
      <w:r>
        <w:rPr>
          <w:rFonts w:hint="eastAsia" w:ascii="宋体" w:hAnsi="宋体" w:cs="宋体"/>
          <w:color w:val="auto"/>
          <w:highlight w:val="none"/>
          <w:lang w:val="en-US" w:eastAsia="zh-CN"/>
        </w:rPr>
        <w:t>2020</w:t>
      </w:r>
      <w:r>
        <w:rPr>
          <w:rFonts w:hint="eastAsia" w:ascii="宋体" w:hAnsi="宋体" w:cs="宋体"/>
          <w:color w:val="auto"/>
          <w:highlight w:val="none"/>
        </w:rPr>
        <w:t>年</w:t>
      </w:r>
      <w:r>
        <w:rPr>
          <w:rFonts w:hint="eastAsia" w:ascii="宋体" w:hAnsi="宋体" w:cs="宋体"/>
          <w:color w:val="auto"/>
          <w:highlight w:val="none"/>
          <w:lang w:val="en-US" w:eastAsia="zh-CN"/>
        </w:rPr>
        <w:t>9</w:t>
      </w:r>
      <w:r>
        <w:rPr>
          <w:rFonts w:hint="eastAsia" w:ascii="宋体" w:hAnsi="宋体" w:cs="宋体"/>
          <w:color w:val="auto"/>
          <w:highlight w:val="none"/>
        </w:rPr>
        <w:t>月</w:t>
      </w:r>
      <w:r>
        <w:rPr>
          <w:rFonts w:hint="eastAsia" w:ascii="宋体" w:hAnsi="宋体" w:cs="宋体"/>
          <w:color w:val="auto"/>
          <w:highlight w:val="none"/>
          <w:lang w:val="en-US" w:eastAsia="zh-CN"/>
        </w:rPr>
        <w:t>28</w:t>
      </w:r>
      <w:r>
        <w:rPr>
          <w:rFonts w:hint="eastAsia" w:ascii="宋体" w:hAnsi="宋体" w:cs="宋体"/>
          <w:color w:val="auto"/>
          <w:highlight w:val="none"/>
        </w:rPr>
        <w:t>日</w:t>
      </w:r>
      <w:r>
        <w:rPr>
          <w:rFonts w:hint="eastAsia" w:ascii="宋体" w:hAnsi="宋体" w:cs="宋体"/>
          <w:color w:val="auto"/>
          <w:highlight w:val="none"/>
          <w:lang w:val="en-US" w:eastAsia="zh-CN"/>
        </w:rPr>
        <w:t>10</w:t>
      </w:r>
      <w:r>
        <w:rPr>
          <w:rFonts w:hint="eastAsia" w:ascii="宋体" w:hAnsi="宋体" w:cs="宋体"/>
          <w:color w:val="auto"/>
          <w:highlight w:val="none"/>
        </w:rPr>
        <w:t>点</w:t>
      </w:r>
      <w:r>
        <w:rPr>
          <w:rFonts w:hint="eastAsia" w:ascii="宋体" w:hAnsi="宋体" w:cs="宋体"/>
          <w:color w:val="auto"/>
          <w:highlight w:val="none"/>
          <w:lang w:val="en-US" w:eastAsia="zh-CN"/>
        </w:rPr>
        <w:t>30</w:t>
      </w:r>
      <w:r>
        <w:rPr>
          <w:rFonts w:hint="eastAsia" w:ascii="宋体" w:hAnsi="宋体" w:cs="宋体"/>
          <w:color w:val="auto"/>
          <w:highlight w:val="none"/>
        </w:rPr>
        <w:t>分（北京时间）</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地点：桂林市公共资源交易中心</w:t>
      </w:r>
      <w:r>
        <w:rPr>
          <w:rFonts w:hint="eastAsia" w:ascii="宋体" w:hAnsi="宋体" w:cs="宋体"/>
          <w:color w:val="auto"/>
          <w:highlight w:val="none"/>
          <w:lang w:val="en-US" w:eastAsia="zh-CN"/>
        </w:rPr>
        <w:t>2</w:t>
      </w:r>
      <w:r>
        <w:rPr>
          <w:rFonts w:hint="eastAsia" w:ascii="宋体" w:hAnsi="宋体" w:cs="宋体"/>
          <w:color w:val="auto"/>
          <w:highlight w:val="none"/>
        </w:rPr>
        <w:t>号开标室（广西桂林市临桂区西城中路69号创业大厦西辅楼4楼北区），逾期送达的将予以拒收。</w:t>
      </w:r>
    </w:p>
    <w:p>
      <w:pPr>
        <w:spacing w:line="360" w:lineRule="auto"/>
        <w:ind w:firstLine="420" w:firstLineChars="200"/>
        <w:rPr>
          <w:rFonts w:ascii="宋体" w:hAnsi="宋体" w:cs="宋体"/>
          <w:b/>
          <w:bCs/>
          <w:color w:val="auto"/>
          <w:highlight w:val="none"/>
        </w:rPr>
      </w:pPr>
      <w:bookmarkStart w:id="24" w:name="_Toc35393803"/>
      <w:bookmarkStart w:id="25" w:name="_Toc28359017"/>
      <w:bookmarkStart w:id="26" w:name="_Toc28359094"/>
      <w:bookmarkStart w:id="27" w:name="_Toc35393634"/>
      <w:r>
        <w:rPr>
          <w:rFonts w:hint="eastAsia" w:ascii="宋体" w:hAnsi="宋体" w:cs="宋体"/>
          <w:b/>
          <w:bCs/>
          <w:color w:val="auto"/>
          <w:highlight w:val="none"/>
        </w:rPr>
        <w:t>六、公告期限</w:t>
      </w:r>
      <w:bookmarkEnd w:id="24"/>
      <w:bookmarkEnd w:id="25"/>
      <w:bookmarkEnd w:id="26"/>
      <w:bookmarkEnd w:id="27"/>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自本公告发布之日起5个工作日。</w:t>
      </w:r>
    </w:p>
    <w:p>
      <w:pPr>
        <w:spacing w:line="360" w:lineRule="auto"/>
        <w:ind w:firstLine="420" w:firstLineChars="200"/>
        <w:rPr>
          <w:rFonts w:ascii="宋体" w:hAnsi="宋体" w:cs="宋体"/>
          <w:b/>
          <w:bCs/>
          <w:color w:val="auto"/>
          <w:highlight w:val="none"/>
        </w:rPr>
      </w:pPr>
      <w:bookmarkStart w:id="28" w:name="_Toc35393804"/>
      <w:bookmarkStart w:id="29" w:name="_Toc35393635"/>
      <w:r>
        <w:rPr>
          <w:rFonts w:hint="eastAsia" w:ascii="宋体" w:hAnsi="宋体" w:cs="宋体"/>
          <w:b/>
          <w:bCs/>
          <w:color w:val="auto"/>
          <w:highlight w:val="none"/>
        </w:rPr>
        <w:t>七、其他补充事宜</w:t>
      </w:r>
      <w:bookmarkEnd w:id="28"/>
      <w:bookmarkEnd w:id="29"/>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1、磋商时间及地点：于2020年</w:t>
      </w:r>
      <w:r>
        <w:rPr>
          <w:rFonts w:hint="eastAsia" w:ascii="宋体" w:hAnsi="宋体" w:cs="宋体"/>
          <w:color w:val="auto"/>
          <w:highlight w:val="none"/>
          <w:lang w:val="en-US" w:eastAsia="zh-CN"/>
        </w:rPr>
        <w:t>9</w:t>
      </w:r>
      <w:r>
        <w:rPr>
          <w:rFonts w:hint="eastAsia" w:ascii="宋体" w:hAnsi="宋体" w:cs="宋体"/>
          <w:color w:val="auto"/>
          <w:highlight w:val="none"/>
        </w:rPr>
        <w:t>月</w:t>
      </w:r>
      <w:r>
        <w:rPr>
          <w:rFonts w:hint="eastAsia" w:ascii="宋体" w:hAnsi="宋体" w:cs="宋体"/>
          <w:color w:val="auto"/>
          <w:highlight w:val="none"/>
          <w:lang w:val="en-US" w:eastAsia="zh-CN"/>
        </w:rPr>
        <w:t>28</w:t>
      </w:r>
      <w:r>
        <w:rPr>
          <w:rFonts w:hint="eastAsia" w:ascii="宋体" w:hAnsi="宋体" w:cs="宋体"/>
          <w:color w:val="auto"/>
          <w:highlight w:val="none"/>
        </w:rPr>
        <w:t>日</w:t>
      </w:r>
      <w:r>
        <w:rPr>
          <w:rFonts w:hint="eastAsia" w:ascii="宋体" w:hAnsi="宋体" w:cs="宋体"/>
          <w:color w:val="auto"/>
          <w:highlight w:val="none"/>
          <w:lang w:val="en-US" w:eastAsia="zh-CN"/>
        </w:rPr>
        <w:t>10</w:t>
      </w:r>
      <w:r>
        <w:rPr>
          <w:rFonts w:hint="eastAsia" w:ascii="宋体" w:hAnsi="宋体" w:cs="宋体"/>
          <w:color w:val="auto"/>
          <w:highlight w:val="none"/>
        </w:rPr>
        <w:t>时30分截标后为与供应商磋商时间，具体时间由采购代理机构另行通知。地点：桂林市公共资源交易中心评标室（以具体通知为准），参加磋商的供应商法定代表人或委托代理人必须持证件（法定代表人凭身份证或委托代理人凭法人授权委托书原件和身份证）依时到达指定地点等候。</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信息公告发布媒体：http://www.ccgp.gov.cn（中国政府采购网）、http://zfcg.gxzf.gov.cn（广西壮族自治区政府采购网）、http://gl.zfcg.zcygov.cn/（桂林市政府采购网）、http://glggzy.org.cn（桂林市公共资源交易中心）。</w:t>
      </w:r>
    </w:p>
    <w:p>
      <w:pPr>
        <w:spacing w:line="360" w:lineRule="auto"/>
        <w:ind w:firstLine="420" w:firstLineChars="200"/>
        <w:rPr>
          <w:rFonts w:ascii="宋体" w:hAnsi="宋体" w:cs="宋体"/>
          <w:b/>
          <w:bCs/>
          <w:color w:val="auto"/>
          <w:highlight w:val="none"/>
        </w:rPr>
      </w:pPr>
      <w:bookmarkStart w:id="30" w:name="_Toc35393636"/>
      <w:bookmarkStart w:id="31" w:name="_Toc28359095"/>
      <w:bookmarkStart w:id="32" w:name="_Toc35393805"/>
      <w:bookmarkStart w:id="33" w:name="_Toc28359018"/>
      <w:r>
        <w:rPr>
          <w:rFonts w:hint="eastAsia" w:ascii="宋体" w:hAnsi="宋体" w:cs="宋体"/>
          <w:b/>
          <w:bCs/>
          <w:color w:val="auto"/>
          <w:highlight w:val="none"/>
        </w:rPr>
        <w:t>八、凡对本次采购提出询问，请按以下方式联系。</w:t>
      </w:r>
      <w:bookmarkEnd w:id="30"/>
      <w:bookmarkEnd w:id="31"/>
      <w:bookmarkEnd w:id="32"/>
      <w:bookmarkEnd w:id="33"/>
    </w:p>
    <w:p>
      <w:pPr>
        <w:spacing w:line="360" w:lineRule="auto"/>
        <w:ind w:firstLine="420" w:firstLineChars="200"/>
        <w:rPr>
          <w:rFonts w:ascii="宋体" w:hAnsi="宋体" w:cs="宋体"/>
          <w:color w:val="auto"/>
          <w:highlight w:val="none"/>
        </w:rPr>
      </w:pPr>
      <w:bookmarkStart w:id="34" w:name="_Toc35393806"/>
      <w:bookmarkStart w:id="35" w:name="_Toc28359096"/>
      <w:bookmarkStart w:id="36" w:name="_Toc28359019"/>
      <w:bookmarkStart w:id="37" w:name="_Toc35393637"/>
      <w:r>
        <w:rPr>
          <w:rFonts w:hint="eastAsia" w:ascii="宋体" w:hAnsi="宋体" w:cs="宋体"/>
          <w:color w:val="auto"/>
          <w:highlight w:val="none"/>
        </w:rPr>
        <w:t>1.采购人信息</w:t>
      </w:r>
      <w:bookmarkEnd w:id="34"/>
      <w:bookmarkEnd w:id="35"/>
      <w:bookmarkEnd w:id="36"/>
      <w:bookmarkEnd w:id="37"/>
    </w:p>
    <w:p>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cs="宋体"/>
          <w:color w:val="auto"/>
          <w:highlight w:val="none"/>
        </w:rPr>
        <w:t>名    称：</w:t>
      </w:r>
      <w:r>
        <w:rPr>
          <w:rFonts w:hint="eastAsia" w:ascii="宋体" w:hAnsi="宋体" w:cs="宋体"/>
          <w:color w:val="auto"/>
          <w:highlight w:val="none"/>
          <w:lang w:val="en-US" w:eastAsia="zh-CN"/>
        </w:rPr>
        <w:t>桂林市水利局</w:t>
      </w:r>
    </w:p>
    <w:p>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地    址：桂林市临桂区公园北路新城商务酒店</w:t>
      </w:r>
      <w:r>
        <w:rPr>
          <w:rFonts w:ascii="宋体" w:hAnsi="宋体" w:cs="宋体"/>
          <w:color w:val="auto"/>
          <w:kern w:val="0"/>
          <w:szCs w:val="21"/>
          <w:highlight w:val="none"/>
        </w:rPr>
        <w:t xml:space="preserve"> </w:t>
      </w:r>
    </w:p>
    <w:p>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cs="宋体"/>
          <w:color w:val="auto"/>
          <w:highlight w:val="none"/>
        </w:rPr>
        <w:t>联系方式：</w:t>
      </w:r>
      <w:r>
        <w:rPr>
          <w:rFonts w:hint="eastAsia" w:ascii="宋体" w:hAnsi="宋体" w:cs="宋体"/>
          <w:color w:val="auto"/>
          <w:highlight w:val="none"/>
          <w:lang w:val="en-US" w:eastAsia="zh-CN"/>
        </w:rPr>
        <w:t>0773-2868320</w:t>
      </w:r>
    </w:p>
    <w:p>
      <w:pPr>
        <w:spacing w:line="360" w:lineRule="auto"/>
        <w:ind w:firstLine="420" w:firstLineChars="200"/>
        <w:rPr>
          <w:rFonts w:ascii="宋体" w:hAnsi="宋体" w:cs="宋体"/>
          <w:color w:val="auto"/>
          <w:highlight w:val="none"/>
        </w:rPr>
      </w:pPr>
      <w:bookmarkStart w:id="38" w:name="_Toc28359097"/>
      <w:bookmarkStart w:id="39" w:name="_Toc35393807"/>
      <w:bookmarkStart w:id="40" w:name="_Toc28359020"/>
      <w:bookmarkStart w:id="41" w:name="_Toc35393638"/>
      <w:r>
        <w:rPr>
          <w:rFonts w:hint="eastAsia" w:ascii="宋体" w:hAnsi="宋体" w:cs="宋体"/>
          <w:color w:val="auto"/>
          <w:highlight w:val="none"/>
        </w:rPr>
        <w:t>2.采购代理机构信息</w:t>
      </w:r>
      <w:bookmarkEnd w:id="38"/>
      <w:bookmarkEnd w:id="39"/>
      <w:bookmarkEnd w:id="40"/>
      <w:bookmarkEnd w:id="41"/>
    </w:p>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名    称：</w:t>
      </w:r>
      <w:r>
        <w:rPr>
          <w:rFonts w:hint="eastAsia" w:ascii="宋体" w:hAnsi="宋体"/>
          <w:color w:val="auto"/>
          <w:szCs w:val="21"/>
          <w:highlight w:val="none"/>
          <w:lang w:eastAsia="zh-CN"/>
        </w:rPr>
        <w:t>广西汇益招标咨询有限公司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lang w:val="en-US" w:eastAsia="zh-CN"/>
        </w:rPr>
        <w:t>桂林市秀峰区篦子园路1#楼2层</w:t>
      </w:r>
    </w:p>
    <w:p>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联系方式：</w:t>
      </w:r>
      <w:r>
        <w:rPr>
          <w:rFonts w:hint="eastAsia" w:ascii="宋体" w:hAnsi="宋体"/>
          <w:color w:val="auto"/>
          <w:szCs w:val="21"/>
          <w:highlight w:val="none"/>
          <w:lang w:val="en-US" w:eastAsia="zh-CN"/>
        </w:rPr>
        <w:t>0773-2897383</w:t>
      </w:r>
    </w:p>
    <w:p>
      <w:pPr>
        <w:spacing w:line="360" w:lineRule="auto"/>
        <w:ind w:firstLine="420" w:firstLineChars="200"/>
        <w:rPr>
          <w:rFonts w:ascii="宋体" w:hAnsi="宋体"/>
          <w:color w:val="auto"/>
          <w:szCs w:val="21"/>
          <w:highlight w:val="none"/>
        </w:rPr>
      </w:pPr>
      <w:bookmarkStart w:id="42" w:name="_Toc28359098"/>
      <w:bookmarkStart w:id="43" w:name="_Toc35393639"/>
      <w:bookmarkStart w:id="44" w:name="_Toc28359021"/>
      <w:bookmarkStart w:id="45" w:name="_Toc35393808"/>
      <w:r>
        <w:rPr>
          <w:rFonts w:hint="eastAsia" w:ascii="宋体" w:hAnsi="宋体"/>
          <w:color w:val="auto"/>
          <w:szCs w:val="21"/>
          <w:highlight w:val="none"/>
        </w:rPr>
        <w:t>3.项目联系方式</w:t>
      </w:r>
      <w:bookmarkEnd w:id="42"/>
      <w:bookmarkEnd w:id="43"/>
      <w:bookmarkEnd w:id="44"/>
      <w:bookmarkEnd w:id="45"/>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项目联系人：</w:t>
      </w:r>
      <w:r>
        <w:rPr>
          <w:rFonts w:hint="eastAsia" w:ascii="宋体" w:hAnsi="宋体"/>
          <w:color w:val="auto"/>
          <w:szCs w:val="21"/>
          <w:highlight w:val="none"/>
          <w:lang w:eastAsia="zh-CN"/>
        </w:rPr>
        <w:t>黄</w:t>
      </w:r>
      <w:r>
        <w:rPr>
          <w:rFonts w:hint="eastAsia" w:ascii="宋体" w:hAnsi="宋体"/>
          <w:color w:val="auto"/>
          <w:szCs w:val="21"/>
          <w:highlight w:val="none"/>
        </w:rPr>
        <w:t>工</w:t>
      </w:r>
    </w:p>
    <w:p>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电　　 话：</w:t>
      </w:r>
      <w:r>
        <w:rPr>
          <w:rFonts w:hint="eastAsia" w:ascii="宋体" w:hAnsi="宋体"/>
          <w:color w:val="auto"/>
          <w:szCs w:val="21"/>
          <w:highlight w:val="none"/>
          <w:lang w:val="en-US" w:eastAsia="zh-CN"/>
        </w:rPr>
        <w:t>0773-2897383</w:t>
      </w:r>
    </w:p>
    <w:p>
      <w:pPr>
        <w:spacing w:line="360" w:lineRule="exact"/>
        <w:ind w:firstLine="6615" w:firstLineChars="3150"/>
        <w:rPr>
          <w:color w:val="auto"/>
          <w:szCs w:val="21"/>
          <w:highlight w:val="none"/>
        </w:rPr>
      </w:pPr>
    </w:p>
    <w:p>
      <w:pPr>
        <w:spacing w:line="360" w:lineRule="exact"/>
        <w:jc w:val="right"/>
        <w:rPr>
          <w:rFonts w:hint="eastAsia" w:eastAsia="宋体"/>
          <w:color w:val="auto"/>
          <w:szCs w:val="21"/>
          <w:highlight w:val="none"/>
          <w:lang w:eastAsia="zh-CN"/>
        </w:rPr>
      </w:pPr>
      <w:r>
        <w:rPr>
          <w:color w:val="auto"/>
          <w:szCs w:val="21"/>
          <w:highlight w:val="none"/>
        </w:rPr>
        <w:t>代理机构：</w:t>
      </w:r>
      <w:bookmarkEnd w:id="2"/>
      <w:bookmarkEnd w:id="3"/>
      <w:r>
        <w:rPr>
          <w:rFonts w:hint="eastAsia"/>
          <w:color w:val="auto"/>
          <w:szCs w:val="21"/>
          <w:highlight w:val="none"/>
          <w:lang w:eastAsia="zh-CN"/>
        </w:rPr>
        <w:t>广西汇益招标咨询有限公司</w:t>
      </w:r>
    </w:p>
    <w:p>
      <w:pPr>
        <w:spacing w:line="360" w:lineRule="exact"/>
        <w:jc w:val="right"/>
        <w:rPr>
          <w:color w:val="auto"/>
          <w:szCs w:val="21"/>
          <w:highlight w:val="none"/>
        </w:rPr>
      </w:pPr>
      <w:r>
        <w:rPr>
          <w:color w:val="auto"/>
          <w:szCs w:val="21"/>
          <w:highlight w:val="none"/>
        </w:rPr>
        <w:t>20</w:t>
      </w:r>
      <w:r>
        <w:rPr>
          <w:rFonts w:hint="eastAsia"/>
          <w:color w:val="auto"/>
          <w:szCs w:val="21"/>
          <w:highlight w:val="none"/>
        </w:rPr>
        <w:t>20</w:t>
      </w:r>
      <w:r>
        <w:rPr>
          <w:color w:val="auto"/>
          <w:szCs w:val="21"/>
          <w:highlight w:val="none"/>
        </w:rPr>
        <w:t>年</w:t>
      </w:r>
      <w:r>
        <w:rPr>
          <w:rFonts w:hint="eastAsia"/>
          <w:color w:val="auto"/>
          <w:szCs w:val="21"/>
          <w:highlight w:val="none"/>
          <w:lang w:val="en-US" w:eastAsia="zh-CN"/>
        </w:rPr>
        <w:t>9</w:t>
      </w:r>
      <w:r>
        <w:rPr>
          <w:color w:val="auto"/>
          <w:szCs w:val="21"/>
          <w:highlight w:val="none"/>
        </w:rPr>
        <w:t>月</w:t>
      </w:r>
      <w:r>
        <w:rPr>
          <w:rFonts w:hint="eastAsia"/>
          <w:color w:val="auto"/>
          <w:szCs w:val="21"/>
          <w:highlight w:val="none"/>
          <w:lang w:val="en-US" w:eastAsia="zh-CN"/>
        </w:rPr>
        <w:t>14</w:t>
      </w:r>
      <w:r>
        <w:rPr>
          <w:color w:val="auto"/>
          <w:szCs w:val="21"/>
          <w:highlight w:val="none"/>
        </w:rPr>
        <w:t>日</w:t>
      </w:r>
    </w:p>
    <w:p>
      <w:pPr>
        <w:rPr>
          <w:color w:val="auto"/>
          <w:szCs w:val="21"/>
          <w:highlight w:val="none"/>
        </w:rPr>
      </w:pPr>
      <w:r>
        <w:rPr>
          <w:color w:val="auto"/>
          <w:szCs w:val="21"/>
          <w:highlight w:val="none"/>
        </w:rPr>
        <w:br w:type="page"/>
      </w:r>
    </w:p>
    <w:p>
      <w:pPr>
        <w:pStyle w:val="4"/>
        <w:jc w:val="center"/>
        <w:rPr>
          <w:rFonts w:ascii="Times New Roman" w:hAnsi="Times New Roman"/>
          <w:color w:val="auto"/>
          <w:highlight w:val="none"/>
        </w:rPr>
      </w:pPr>
      <w:bookmarkStart w:id="46" w:name="_Toc12873"/>
      <w:bookmarkStart w:id="47" w:name="_Toc16760"/>
      <w:r>
        <w:rPr>
          <w:rFonts w:ascii="Times New Roman" w:hAnsi="Times New Roman"/>
          <w:color w:val="auto"/>
          <w:highlight w:val="none"/>
        </w:rPr>
        <w:t>第二章、磋商供应商须知</w:t>
      </w:r>
      <w:bookmarkEnd w:id="46"/>
      <w:bookmarkEnd w:id="47"/>
    </w:p>
    <w:p>
      <w:pPr>
        <w:tabs>
          <w:tab w:val="left" w:pos="1065"/>
          <w:tab w:val="center" w:pos="4411"/>
        </w:tabs>
        <w:spacing w:line="440" w:lineRule="atLeast"/>
        <w:jc w:val="center"/>
        <w:rPr>
          <w:b/>
          <w:color w:val="auto"/>
          <w:sz w:val="24"/>
          <w:highlight w:val="none"/>
        </w:rPr>
      </w:pPr>
      <w:r>
        <w:rPr>
          <w:b/>
          <w:color w:val="auto"/>
          <w:sz w:val="24"/>
          <w:highlight w:val="none"/>
        </w:rPr>
        <w:t>磋商供应商须知前附表</w:t>
      </w:r>
    </w:p>
    <w:tbl>
      <w:tblPr>
        <w:tblStyle w:val="43"/>
        <w:tblW w:w="10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670"/>
        <w:gridCol w:w="2057"/>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8" w:type="dxa"/>
            <w:vAlign w:val="center"/>
          </w:tcPr>
          <w:p>
            <w:pPr>
              <w:spacing w:line="340" w:lineRule="exact"/>
              <w:jc w:val="center"/>
              <w:rPr>
                <w:color w:val="auto"/>
                <w:szCs w:val="21"/>
                <w:highlight w:val="none"/>
              </w:rPr>
            </w:pPr>
            <w:r>
              <w:rPr>
                <w:color w:val="auto"/>
                <w:szCs w:val="21"/>
                <w:highlight w:val="none"/>
              </w:rPr>
              <w:t>序号</w:t>
            </w:r>
          </w:p>
        </w:tc>
        <w:tc>
          <w:tcPr>
            <w:tcW w:w="670" w:type="dxa"/>
            <w:vAlign w:val="center"/>
          </w:tcPr>
          <w:p>
            <w:pPr>
              <w:spacing w:line="340" w:lineRule="exact"/>
              <w:jc w:val="center"/>
              <w:rPr>
                <w:color w:val="auto"/>
                <w:szCs w:val="21"/>
                <w:highlight w:val="none"/>
              </w:rPr>
            </w:pPr>
            <w:r>
              <w:rPr>
                <w:color w:val="auto"/>
                <w:szCs w:val="21"/>
                <w:highlight w:val="none"/>
              </w:rPr>
              <w:t>条款号</w:t>
            </w:r>
          </w:p>
        </w:tc>
        <w:tc>
          <w:tcPr>
            <w:tcW w:w="2057" w:type="dxa"/>
            <w:vAlign w:val="center"/>
          </w:tcPr>
          <w:p>
            <w:pPr>
              <w:spacing w:line="340" w:lineRule="exact"/>
              <w:jc w:val="center"/>
              <w:rPr>
                <w:color w:val="auto"/>
                <w:szCs w:val="21"/>
                <w:highlight w:val="none"/>
              </w:rPr>
            </w:pPr>
            <w:r>
              <w:rPr>
                <w:color w:val="auto"/>
                <w:szCs w:val="21"/>
                <w:highlight w:val="none"/>
              </w:rPr>
              <w:t>条款名称</w:t>
            </w:r>
          </w:p>
        </w:tc>
        <w:tc>
          <w:tcPr>
            <w:tcW w:w="7513" w:type="dxa"/>
            <w:vAlign w:val="center"/>
          </w:tcPr>
          <w:p>
            <w:pPr>
              <w:spacing w:line="340" w:lineRule="exact"/>
              <w:jc w:val="center"/>
              <w:rPr>
                <w:color w:val="auto"/>
                <w:szCs w:val="21"/>
                <w:highlight w:val="none"/>
              </w:rPr>
            </w:pPr>
            <w:r>
              <w:rPr>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8" w:type="dxa"/>
            <w:vAlign w:val="center"/>
          </w:tcPr>
          <w:p>
            <w:pPr>
              <w:spacing w:line="340" w:lineRule="exact"/>
              <w:jc w:val="center"/>
              <w:rPr>
                <w:color w:val="auto"/>
                <w:szCs w:val="21"/>
                <w:highlight w:val="none"/>
              </w:rPr>
            </w:pPr>
            <w:r>
              <w:rPr>
                <w:color w:val="auto"/>
                <w:szCs w:val="21"/>
                <w:highlight w:val="none"/>
              </w:rPr>
              <w:t>1</w:t>
            </w:r>
          </w:p>
        </w:tc>
        <w:tc>
          <w:tcPr>
            <w:tcW w:w="670" w:type="dxa"/>
            <w:vAlign w:val="center"/>
          </w:tcPr>
          <w:p>
            <w:pPr>
              <w:spacing w:line="340" w:lineRule="exact"/>
              <w:jc w:val="center"/>
              <w:rPr>
                <w:color w:val="auto"/>
                <w:szCs w:val="21"/>
                <w:highlight w:val="none"/>
              </w:rPr>
            </w:pPr>
            <w:r>
              <w:rPr>
                <w:color w:val="auto"/>
                <w:szCs w:val="21"/>
                <w:highlight w:val="none"/>
              </w:rPr>
              <w:t>1.1</w:t>
            </w:r>
          </w:p>
        </w:tc>
        <w:tc>
          <w:tcPr>
            <w:tcW w:w="2057" w:type="dxa"/>
            <w:vAlign w:val="center"/>
          </w:tcPr>
          <w:p>
            <w:pPr>
              <w:spacing w:line="340" w:lineRule="exact"/>
              <w:jc w:val="center"/>
              <w:rPr>
                <w:color w:val="auto"/>
                <w:szCs w:val="21"/>
                <w:highlight w:val="none"/>
              </w:rPr>
            </w:pPr>
            <w:r>
              <w:rPr>
                <w:color w:val="auto"/>
                <w:szCs w:val="21"/>
                <w:highlight w:val="none"/>
              </w:rPr>
              <w:t>项目名称及编号</w:t>
            </w:r>
          </w:p>
        </w:tc>
        <w:tc>
          <w:tcPr>
            <w:tcW w:w="7513" w:type="dxa"/>
            <w:vAlign w:val="top"/>
          </w:tcPr>
          <w:p>
            <w:pPr>
              <w:spacing w:line="340" w:lineRule="exact"/>
              <w:rPr>
                <w:rFonts w:hint="eastAsia" w:eastAsia="宋体"/>
                <w:color w:val="auto"/>
                <w:szCs w:val="21"/>
                <w:highlight w:val="none"/>
                <w:lang w:eastAsia="zh-CN"/>
              </w:rPr>
            </w:pPr>
            <w:r>
              <w:rPr>
                <w:color w:val="auto"/>
                <w:szCs w:val="21"/>
                <w:highlight w:val="none"/>
              </w:rPr>
              <w:t>项目名称：</w:t>
            </w:r>
            <w:r>
              <w:rPr>
                <w:rFonts w:hint="default" w:ascii="宋体" w:hAnsi="宋体" w:cs="宋体"/>
                <w:color w:val="auto"/>
                <w:szCs w:val="21"/>
                <w:highlight w:val="none"/>
                <w:u w:val="single"/>
                <w:lang w:val="en-US" w:eastAsia="zh-CN"/>
              </w:rPr>
              <w:fldChar w:fldCharType="begin"/>
            </w:r>
            <w:r>
              <w:rPr>
                <w:rFonts w:hint="default" w:ascii="宋体" w:hAnsi="宋体" w:cs="宋体"/>
                <w:color w:val="auto"/>
                <w:szCs w:val="21"/>
                <w:highlight w:val="none"/>
                <w:u w:val="single"/>
                <w:lang w:val="en-US" w:eastAsia="zh-CN"/>
              </w:rPr>
              <w:instrText xml:space="preserve"> HYPERLINK "https://bidding.zcygov.cn/xmgl/projectQuery/queryDetail?projectUuid=5d1d783f1c1bf753&amp;utm=bidding-entrust-front.62f570f9.0.0.96d1b940f30e11ea8a31c3b08aaeacc2" \t "https://www.zcygov.cn/bidding-entrust/_blank" </w:instrText>
            </w:r>
            <w:r>
              <w:rPr>
                <w:rFonts w:hint="default" w:ascii="宋体" w:hAnsi="宋体" w:cs="宋体"/>
                <w:color w:val="auto"/>
                <w:szCs w:val="21"/>
                <w:highlight w:val="none"/>
                <w:u w:val="single"/>
                <w:lang w:val="en-US" w:eastAsia="zh-CN"/>
              </w:rPr>
              <w:fldChar w:fldCharType="separate"/>
            </w:r>
            <w:r>
              <w:rPr>
                <w:rFonts w:hint="default" w:ascii="宋体" w:hAnsi="宋体" w:cs="宋体"/>
                <w:color w:val="auto"/>
                <w:szCs w:val="21"/>
                <w:highlight w:val="none"/>
                <w:u w:val="single"/>
              </w:rPr>
              <w:t>桂林市水利局桂林市水安全保障“十四五”规划项目</w:t>
            </w:r>
            <w:r>
              <w:rPr>
                <w:rFonts w:hint="default" w:ascii="宋体" w:hAnsi="宋体" w:cs="宋体"/>
                <w:color w:val="auto"/>
                <w:szCs w:val="21"/>
                <w:highlight w:val="none"/>
                <w:u w:val="single"/>
                <w:lang w:val="en-US" w:eastAsia="zh-CN"/>
              </w:rPr>
              <w:fldChar w:fldCharType="end"/>
            </w:r>
          </w:p>
          <w:p>
            <w:pPr>
              <w:spacing w:line="340" w:lineRule="exact"/>
              <w:rPr>
                <w:rFonts w:hint="eastAsia" w:eastAsia="宋体"/>
                <w:color w:val="auto"/>
                <w:szCs w:val="21"/>
                <w:highlight w:val="none"/>
                <w:lang w:eastAsia="zh-CN"/>
              </w:rPr>
            </w:pPr>
            <w:r>
              <w:rPr>
                <w:color w:val="auto"/>
                <w:szCs w:val="21"/>
                <w:highlight w:val="none"/>
              </w:rPr>
              <w:t>项目编号：</w:t>
            </w:r>
            <w:r>
              <w:rPr>
                <w:rFonts w:hint="eastAsia" w:ascii="宋体" w:hAnsi="宋体" w:cs="宋体"/>
                <w:color w:val="auto"/>
                <w:highlight w:val="none"/>
                <w:lang w:eastAsia="zh-CN"/>
              </w:rPr>
              <w:t>GLZC2020-C3-</w:t>
            </w:r>
            <w:r>
              <w:rPr>
                <w:rFonts w:hint="eastAsia" w:ascii="宋体" w:hAnsi="宋体" w:cs="宋体"/>
                <w:color w:val="auto"/>
                <w:highlight w:val="none"/>
                <w:lang w:val="en-US" w:eastAsia="zh-CN"/>
              </w:rPr>
              <w:t>990201</w:t>
            </w:r>
            <w:r>
              <w:rPr>
                <w:rFonts w:hint="eastAsia" w:ascii="宋体" w:hAnsi="宋体" w:cs="宋体"/>
                <w:color w:val="auto"/>
                <w:highlight w:val="none"/>
                <w:lang w:eastAsia="zh-CN"/>
              </w:rPr>
              <w:t>-HYZB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568" w:type="dxa"/>
            <w:vAlign w:val="center"/>
          </w:tcPr>
          <w:p>
            <w:pPr>
              <w:spacing w:line="340" w:lineRule="exact"/>
              <w:jc w:val="center"/>
              <w:rPr>
                <w:color w:val="auto"/>
                <w:szCs w:val="21"/>
                <w:highlight w:val="none"/>
              </w:rPr>
            </w:pPr>
            <w:r>
              <w:rPr>
                <w:color w:val="auto"/>
                <w:szCs w:val="21"/>
                <w:highlight w:val="none"/>
              </w:rPr>
              <w:t>2</w:t>
            </w:r>
          </w:p>
        </w:tc>
        <w:tc>
          <w:tcPr>
            <w:tcW w:w="670" w:type="dxa"/>
            <w:vAlign w:val="center"/>
          </w:tcPr>
          <w:p>
            <w:pPr>
              <w:spacing w:line="340" w:lineRule="exact"/>
              <w:jc w:val="center"/>
              <w:rPr>
                <w:color w:val="auto"/>
                <w:szCs w:val="21"/>
                <w:highlight w:val="none"/>
              </w:rPr>
            </w:pPr>
            <w:r>
              <w:rPr>
                <w:color w:val="auto"/>
                <w:szCs w:val="21"/>
                <w:highlight w:val="none"/>
              </w:rPr>
              <w:t>3</w:t>
            </w:r>
          </w:p>
        </w:tc>
        <w:tc>
          <w:tcPr>
            <w:tcW w:w="2057" w:type="dxa"/>
            <w:vAlign w:val="center"/>
          </w:tcPr>
          <w:p>
            <w:pPr>
              <w:spacing w:line="340" w:lineRule="exact"/>
              <w:jc w:val="center"/>
              <w:rPr>
                <w:color w:val="auto"/>
                <w:szCs w:val="21"/>
                <w:highlight w:val="none"/>
              </w:rPr>
            </w:pPr>
            <w:r>
              <w:rPr>
                <w:color w:val="auto"/>
                <w:szCs w:val="21"/>
                <w:highlight w:val="none"/>
              </w:rPr>
              <w:t>磋商供应商资格</w:t>
            </w:r>
          </w:p>
        </w:tc>
        <w:tc>
          <w:tcPr>
            <w:tcW w:w="7513" w:type="dxa"/>
            <w:vAlign w:val="center"/>
          </w:tcPr>
          <w:p>
            <w:pPr>
              <w:spacing w:line="360" w:lineRule="auto"/>
              <w:rPr>
                <w:rFonts w:ascii="宋体" w:hAnsi="宋体" w:cs="宋体"/>
                <w:color w:val="auto"/>
                <w:highlight w:val="none"/>
              </w:rPr>
            </w:pPr>
            <w:r>
              <w:rPr>
                <w:rFonts w:hint="eastAsia" w:ascii="宋体" w:hAnsi="宋体" w:cs="宋体"/>
                <w:color w:val="auto"/>
                <w:highlight w:val="none"/>
                <w:lang w:val="en-US" w:eastAsia="zh-CN"/>
              </w:rPr>
              <w:t>3.1、</w:t>
            </w:r>
            <w:r>
              <w:rPr>
                <w:rFonts w:hint="eastAsia" w:ascii="宋体" w:hAnsi="宋体" w:cs="宋体"/>
                <w:color w:val="auto"/>
                <w:highlight w:val="none"/>
              </w:rPr>
              <w:t>满足《中华人民共和国政府采购法》第二十二条规定；</w:t>
            </w:r>
          </w:p>
          <w:p>
            <w:pPr>
              <w:spacing w:line="360" w:lineRule="auto"/>
              <w:rPr>
                <w:rFonts w:hint="eastAsia" w:ascii="宋体" w:hAnsi="宋体" w:cs="宋体"/>
                <w:color w:val="auto"/>
                <w:highlight w:val="none"/>
              </w:rPr>
            </w:pPr>
            <w:r>
              <w:rPr>
                <w:rFonts w:hint="eastAsia" w:ascii="宋体" w:hAnsi="宋体" w:cs="宋体"/>
                <w:color w:val="auto"/>
                <w:highlight w:val="none"/>
                <w:lang w:val="en-US" w:eastAsia="zh-CN"/>
              </w:rPr>
              <w:t>3.2、</w:t>
            </w:r>
            <w:r>
              <w:rPr>
                <w:rFonts w:hint="eastAsia" w:ascii="宋体" w:hAnsi="宋体" w:cs="宋体"/>
                <w:color w:val="auto"/>
                <w:highlight w:val="none"/>
              </w:rPr>
              <w:t>落实采购政策需满足的资格要求：</w:t>
            </w:r>
          </w:p>
          <w:p>
            <w:pPr>
              <w:spacing w:line="360" w:lineRule="auto"/>
              <w:rPr>
                <w:rFonts w:hint="eastAsia" w:ascii="宋体" w:hAnsi="宋体" w:cs="宋体"/>
                <w:color w:val="auto"/>
                <w:highlight w:val="none"/>
              </w:rPr>
            </w:pPr>
            <w:r>
              <w:rPr>
                <w:rFonts w:hint="eastAsia" w:ascii="宋体" w:hAnsi="宋体" w:cs="宋体"/>
                <w:color w:val="auto"/>
                <w:highlight w:val="none"/>
              </w:rPr>
              <w:t>（1）《政府采购促进中小企业发展暂行办法》（财库〔2011〕181号）；</w:t>
            </w:r>
          </w:p>
          <w:p>
            <w:pPr>
              <w:spacing w:line="360" w:lineRule="auto"/>
              <w:rPr>
                <w:rFonts w:hint="eastAsia" w:ascii="宋体" w:hAnsi="宋体" w:cs="宋体"/>
                <w:color w:val="auto"/>
                <w:highlight w:val="none"/>
              </w:rPr>
            </w:pPr>
            <w:r>
              <w:rPr>
                <w:rFonts w:hint="eastAsia" w:ascii="宋体" w:hAnsi="宋体" w:cs="宋体"/>
                <w:color w:val="auto"/>
                <w:highlight w:val="none"/>
              </w:rPr>
              <w:t>（2）《关于政府采购支持监狱企业发展有关问题的通知》(财库〔2014〕68号)；</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（3）《关于促进残疾人就业政府采购政策的通知》(财库〔2017〕141号)</w:t>
            </w:r>
            <w:r>
              <w:rPr>
                <w:rFonts w:hint="eastAsia" w:ascii="宋体" w:hAnsi="宋体" w:cs="宋体"/>
                <w:color w:val="auto"/>
                <w:highlight w:val="none"/>
                <w:lang w:eastAsia="zh-CN"/>
              </w:rPr>
              <w:t>；</w:t>
            </w:r>
          </w:p>
          <w:p>
            <w:pPr>
              <w:spacing w:line="360" w:lineRule="auto"/>
              <w:rPr>
                <w:rFonts w:ascii="宋体" w:hAnsi="宋体" w:cs="宋体"/>
                <w:color w:val="auto"/>
                <w:highlight w:val="none"/>
              </w:rPr>
            </w:pPr>
            <w:r>
              <w:rPr>
                <w:rFonts w:hint="eastAsia" w:ascii="宋体" w:hAnsi="宋体" w:cs="宋体"/>
                <w:color w:val="auto"/>
                <w:highlight w:val="none"/>
              </w:rPr>
              <w:t>（4）《中华人民共和国政府采购法》、《中华人民共和国政府采购法实施条例》、&lt;政府采购磋商采购方式管理暂行办法&gt;的通知》（财库〔2014〕214号）等相关法律法规。</w:t>
            </w:r>
          </w:p>
          <w:p>
            <w:pPr>
              <w:spacing w:line="360" w:lineRule="auto"/>
              <w:rPr>
                <w:rFonts w:hint="eastAsia" w:ascii="宋体" w:hAnsi="宋体" w:eastAsia="宋体"/>
                <w:color w:val="auto"/>
                <w:highlight w:val="none"/>
                <w:lang w:eastAsia="zh-CN"/>
              </w:rPr>
            </w:pPr>
            <w:r>
              <w:rPr>
                <w:rFonts w:hint="eastAsia" w:ascii="宋体" w:hAnsi="宋体" w:cs="宋体"/>
                <w:color w:val="auto"/>
                <w:highlight w:val="none"/>
                <w:lang w:val="en-US" w:eastAsia="zh-CN"/>
              </w:rPr>
              <w:t>3.3供应商</w:t>
            </w:r>
            <w:r>
              <w:rPr>
                <w:rFonts w:hint="eastAsia" w:ascii="宋体" w:hAnsi="宋体" w:cs="宋体"/>
                <w:color w:val="auto"/>
                <w:highlight w:val="none"/>
              </w:rPr>
              <w:t>具有独立法人资格且供应商需同时具备</w:t>
            </w:r>
            <w:r>
              <w:rPr>
                <w:rFonts w:hint="eastAsia" w:ascii="宋体" w:hAnsi="宋体"/>
                <w:color w:val="auto"/>
                <w:highlight w:val="none"/>
              </w:rPr>
              <w:t>工程咨询（水利工程）乙级</w:t>
            </w:r>
            <w:r>
              <w:rPr>
                <w:rFonts w:hint="eastAsia" w:ascii="宋体" w:hAnsi="宋体"/>
                <w:color w:val="auto"/>
                <w:highlight w:val="none"/>
                <w:lang w:eastAsia="zh-CN"/>
              </w:rPr>
              <w:t>或以上</w:t>
            </w:r>
            <w:r>
              <w:rPr>
                <w:rFonts w:hint="eastAsia" w:ascii="宋体" w:hAnsi="宋体"/>
                <w:color w:val="auto"/>
                <w:highlight w:val="none"/>
              </w:rPr>
              <w:t>资质</w:t>
            </w:r>
            <w:r>
              <w:rPr>
                <w:rFonts w:hint="eastAsia" w:ascii="宋体" w:hAnsi="宋体"/>
                <w:color w:val="auto"/>
                <w:highlight w:val="none"/>
                <w:lang w:eastAsia="zh-CN"/>
              </w:rPr>
              <w:t>。</w:t>
            </w:r>
          </w:p>
          <w:p>
            <w:pPr>
              <w:spacing w:line="360" w:lineRule="auto"/>
              <w:rPr>
                <w:rFonts w:ascii="宋体" w:hAnsi="宋体" w:cs="宋体"/>
                <w:color w:val="auto"/>
                <w:highlight w:val="none"/>
              </w:rPr>
            </w:pPr>
            <w:r>
              <w:rPr>
                <w:rFonts w:hint="eastAsia" w:ascii="宋体" w:hAnsi="宋体" w:cs="宋体"/>
                <w:color w:val="auto"/>
                <w:highlight w:val="none"/>
                <w:lang w:val="en-US" w:eastAsia="zh-CN"/>
              </w:rPr>
              <w:t>3.4、</w:t>
            </w:r>
            <w:r>
              <w:rPr>
                <w:rFonts w:hint="eastAsia" w:ascii="宋体" w:hAnsi="宋体" w:cs="宋体"/>
                <w:color w:val="auto"/>
                <w:highlight w:val="none"/>
              </w:rPr>
              <w:t>本项目由符合国家有关法律法规规定、同时满足本项目资质要求、在中国境内注册的合格供应商参加投标。</w:t>
            </w:r>
          </w:p>
          <w:p>
            <w:pPr>
              <w:spacing w:line="360" w:lineRule="auto"/>
              <w:rPr>
                <w:rFonts w:ascii="宋体" w:hAnsi="宋体" w:cs="宋体"/>
                <w:color w:val="auto"/>
                <w:highlight w:val="none"/>
              </w:rPr>
            </w:pPr>
            <w:r>
              <w:rPr>
                <w:rFonts w:hint="eastAsia" w:ascii="宋体" w:hAnsi="宋体" w:cs="宋体"/>
                <w:color w:val="auto"/>
                <w:highlight w:val="none"/>
                <w:lang w:val="en-US" w:eastAsia="zh-CN"/>
              </w:rPr>
              <w:t>3.5、</w:t>
            </w:r>
            <w:r>
              <w:rPr>
                <w:rFonts w:hint="eastAsia" w:ascii="宋体" w:hAnsi="宋体" w:cs="宋体"/>
                <w:color w:val="auto"/>
                <w:highlight w:val="none"/>
              </w:rPr>
              <w:t>参加政府采购活动前三年内，在经营活动中没有重大违法记录和不良信用记录（在“信用中国”网站(www.creditchina.gov.cn)、中国政府采购网(www.ccgp.gov.cn)等渠道被列入失信被执行人、重大税收违法案件当事人名单、政府采购严重违法失信行为记录名单的供应商将被拒绝其参与本次政府采购活动）。</w:t>
            </w:r>
          </w:p>
          <w:p>
            <w:pPr>
              <w:spacing w:line="360" w:lineRule="auto"/>
              <w:rPr>
                <w:rFonts w:ascii="Times New Roman" w:hAnsi="Times New Roman"/>
                <w:color w:val="auto"/>
                <w:szCs w:val="21"/>
                <w:highlight w:val="none"/>
              </w:rPr>
            </w:pPr>
            <w:r>
              <w:rPr>
                <w:rFonts w:hint="eastAsia" w:ascii="宋体" w:hAnsi="宋体" w:cs="宋体"/>
                <w:color w:val="auto"/>
                <w:highlight w:val="none"/>
                <w:lang w:val="en-US" w:eastAsia="zh-CN"/>
              </w:rPr>
              <w:t>3.6、</w:t>
            </w:r>
            <w:r>
              <w:rPr>
                <w:rFonts w:hint="eastAsia" w:ascii="宋体" w:hAnsi="宋体" w:cs="宋体"/>
                <w:color w:val="auto"/>
                <w:highlight w:val="none"/>
              </w:rPr>
              <w:t>单位负责人为同一人或者存在直接控股、管理关系的不同供应商，不得参加同一合同项下的采购活动。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68" w:type="dxa"/>
            <w:vAlign w:val="center"/>
          </w:tcPr>
          <w:p>
            <w:pPr>
              <w:spacing w:line="340" w:lineRule="exact"/>
              <w:jc w:val="center"/>
              <w:rPr>
                <w:color w:val="auto"/>
                <w:szCs w:val="21"/>
                <w:highlight w:val="none"/>
              </w:rPr>
            </w:pPr>
            <w:r>
              <w:rPr>
                <w:color w:val="auto"/>
                <w:szCs w:val="21"/>
                <w:highlight w:val="none"/>
              </w:rPr>
              <w:t>3</w:t>
            </w:r>
          </w:p>
        </w:tc>
        <w:tc>
          <w:tcPr>
            <w:tcW w:w="670" w:type="dxa"/>
            <w:vAlign w:val="center"/>
          </w:tcPr>
          <w:p>
            <w:pPr>
              <w:spacing w:line="340" w:lineRule="exact"/>
              <w:jc w:val="center"/>
              <w:rPr>
                <w:color w:val="auto"/>
                <w:szCs w:val="21"/>
                <w:highlight w:val="none"/>
              </w:rPr>
            </w:pPr>
            <w:r>
              <w:rPr>
                <w:color w:val="auto"/>
                <w:szCs w:val="21"/>
                <w:highlight w:val="none"/>
              </w:rPr>
              <w:t>4</w:t>
            </w:r>
          </w:p>
        </w:tc>
        <w:tc>
          <w:tcPr>
            <w:tcW w:w="2057" w:type="dxa"/>
            <w:vAlign w:val="center"/>
          </w:tcPr>
          <w:p>
            <w:pPr>
              <w:spacing w:line="340" w:lineRule="exact"/>
              <w:jc w:val="center"/>
              <w:rPr>
                <w:color w:val="auto"/>
                <w:szCs w:val="21"/>
                <w:highlight w:val="none"/>
              </w:rPr>
            </w:pPr>
            <w:r>
              <w:rPr>
                <w:color w:val="auto"/>
                <w:szCs w:val="21"/>
                <w:highlight w:val="none"/>
              </w:rPr>
              <w:t>磋商费用</w:t>
            </w:r>
          </w:p>
        </w:tc>
        <w:tc>
          <w:tcPr>
            <w:tcW w:w="7513" w:type="dxa"/>
            <w:vAlign w:val="center"/>
          </w:tcPr>
          <w:p>
            <w:pPr>
              <w:spacing w:line="340" w:lineRule="exact"/>
              <w:rPr>
                <w:color w:val="auto"/>
                <w:szCs w:val="21"/>
                <w:highlight w:val="none"/>
              </w:rPr>
            </w:pPr>
            <w:r>
              <w:rPr>
                <w:color w:val="auto"/>
                <w:szCs w:val="21"/>
                <w:highlight w:val="none"/>
              </w:rPr>
              <w:t>不论磋商结果如何，磋商供应商均应自行承担所有与磋商有关的全部费用。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68" w:type="dxa"/>
            <w:vAlign w:val="center"/>
          </w:tcPr>
          <w:p>
            <w:pPr>
              <w:spacing w:line="340" w:lineRule="exact"/>
              <w:jc w:val="center"/>
              <w:rPr>
                <w:color w:val="auto"/>
                <w:szCs w:val="21"/>
                <w:highlight w:val="none"/>
              </w:rPr>
            </w:pPr>
            <w:r>
              <w:rPr>
                <w:color w:val="auto"/>
                <w:szCs w:val="21"/>
                <w:highlight w:val="none"/>
              </w:rPr>
              <w:t>4</w:t>
            </w:r>
          </w:p>
        </w:tc>
        <w:tc>
          <w:tcPr>
            <w:tcW w:w="670" w:type="dxa"/>
            <w:vAlign w:val="center"/>
          </w:tcPr>
          <w:p>
            <w:pPr>
              <w:spacing w:line="340" w:lineRule="exact"/>
              <w:jc w:val="center"/>
              <w:rPr>
                <w:color w:val="auto"/>
                <w:szCs w:val="21"/>
                <w:highlight w:val="none"/>
              </w:rPr>
            </w:pPr>
            <w:r>
              <w:rPr>
                <w:color w:val="auto"/>
                <w:szCs w:val="21"/>
                <w:highlight w:val="none"/>
              </w:rPr>
              <w:t>13</w:t>
            </w:r>
          </w:p>
        </w:tc>
        <w:tc>
          <w:tcPr>
            <w:tcW w:w="2057" w:type="dxa"/>
            <w:vAlign w:val="center"/>
          </w:tcPr>
          <w:p>
            <w:pPr>
              <w:spacing w:line="340" w:lineRule="exact"/>
              <w:jc w:val="center"/>
              <w:rPr>
                <w:color w:val="auto"/>
                <w:highlight w:val="none"/>
              </w:rPr>
            </w:pPr>
            <w:r>
              <w:rPr>
                <w:color w:val="auto"/>
                <w:highlight w:val="none"/>
              </w:rPr>
              <w:t>磋商报价及采购预算总金额</w:t>
            </w:r>
          </w:p>
        </w:tc>
        <w:tc>
          <w:tcPr>
            <w:tcW w:w="7513" w:type="dxa"/>
            <w:vAlign w:val="center"/>
          </w:tcPr>
          <w:p>
            <w:pPr>
              <w:spacing w:line="340" w:lineRule="exact"/>
              <w:rPr>
                <w:color w:val="auto"/>
                <w:position w:val="-2"/>
                <w:szCs w:val="21"/>
                <w:highlight w:val="none"/>
              </w:rPr>
            </w:pPr>
            <w:r>
              <w:rPr>
                <w:color w:val="auto"/>
                <w:position w:val="-2"/>
                <w:szCs w:val="21"/>
                <w:highlight w:val="none"/>
              </w:rPr>
              <w:t>13.2、磋商供应商必须就“</w:t>
            </w:r>
            <w:r>
              <w:rPr>
                <w:color w:val="auto"/>
                <w:szCs w:val="21"/>
                <w:highlight w:val="none"/>
              </w:rPr>
              <w:t>服务需求</w:t>
            </w:r>
            <w:r>
              <w:rPr>
                <w:color w:val="auto"/>
                <w:position w:val="-2"/>
                <w:szCs w:val="21"/>
                <w:highlight w:val="none"/>
              </w:rPr>
              <w:t>”中公布的采购内容作完整唯一报价；</w:t>
            </w:r>
          </w:p>
          <w:p>
            <w:pPr>
              <w:spacing w:line="360" w:lineRule="exact"/>
              <w:rPr>
                <w:b/>
                <w:bCs/>
                <w:color w:val="auto"/>
                <w:szCs w:val="21"/>
                <w:highlight w:val="none"/>
                <w:u w:val="single"/>
              </w:rPr>
            </w:pPr>
            <w:r>
              <w:rPr>
                <w:color w:val="auto"/>
                <w:position w:val="-2"/>
                <w:szCs w:val="21"/>
                <w:highlight w:val="none"/>
              </w:rPr>
              <w:t>13.4、</w:t>
            </w:r>
            <w:r>
              <w:rPr>
                <w:color w:val="auto"/>
                <w:highlight w:val="none"/>
              </w:rPr>
              <w:t>采购预算金额为</w:t>
            </w:r>
            <w:r>
              <w:rPr>
                <w:color w:val="auto"/>
                <w:szCs w:val="21"/>
                <w:highlight w:val="none"/>
              </w:rPr>
              <w:t>（人民币）</w:t>
            </w:r>
            <w:r>
              <w:rPr>
                <w:rFonts w:hint="eastAsia"/>
                <w:color w:val="auto"/>
                <w:szCs w:val="21"/>
                <w:highlight w:val="none"/>
              </w:rPr>
              <w:t>：</w:t>
            </w:r>
            <w:r>
              <w:rPr>
                <w:rFonts w:hint="eastAsia"/>
                <w:b/>
                <w:bCs/>
                <w:color w:val="auto"/>
                <w:szCs w:val="21"/>
                <w:highlight w:val="none"/>
                <w:lang w:val="en-US" w:eastAsia="zh-CN"/>
              </w:rPr>
              <w:t>叁拾伍万</w:t>
            </w:r>
            <w:r>
              <w:rPr>
                <w:b/>
                <w:bCs/>
                <w:color w:val="auto"/>
                <w:szCs w:val="21"/>
                <w:highlight w:val="none"/>
              </w:rPr>
              <w:t>元整（￥</w:t>
            </w:r>
            <w:r>
              <w:rPr>
                <w:rFonts w:hint="eastAsia"/>
                <w:b/>
                <w:bCs/>
                <w:color w:val="auto"/>
                <w:szCs w:val="21"/>
                <w:highlight w:val="none"/>
                <w:lang w:val="en-US" w:eastAsia="zh-CN"/>
              </w:rPr>
              <w:t>350000</w:t>
            </w:r>
            <w:r>
              <w:rPr>
                <w:b/>
                <w:bCs/>
                <w:color w:val="auto"/>
                <w:szCs w:val="21"/>
                <w:highlight w:val="none"/>
              </w:rPr>
              <w:t>.00元）</w:t>
            </w:r>
          </w:p>
          <w:p>
            <w:pPr>
              <w:spacing w:line="340" w:lineRule="exact"/>
              <w:rPr>
                <w:color w:val="auto"/>
                <w:highlight w:val="none"/>
              </w:rPr>
            </w:pPr>
            <w:r>
              <w:rPr>
                <w:color w:val="auto"/>
                <w:szCs w:val="21"/>
                <w:highlight w:val="none"/>
              </w:rPr>
              <w:t>13.6、</w:t>
            </w:r>
            <w:r>
              <w:rPr>
                <w:color w:val="auto"/>
                <w:kern w:val="0"/>
                <w:szCs w:val="21"/>
                <w:highlight w:val="none"/>
              </w:rPr>
              <w:t>未书面退出磋商的供应商在规定时间内密封提交最后报价，其最后报价超出采购预算金额导致已通过评审的响应文件无效的，按供应商在提交响应文件截止时间后撤回响应文件处理。</w:t>
            </w:r>
          </w:p>
          <w:p>
            <w:pPr>
              <w:spacing w:line="340" w:lineRule="exact"/>
              <w:rPr>
                <w:color w:val="auto"/>
                <w:szCs w:val="21"/>
                <w:highlight w:val="none"/>
              </w:rPr>
            </w:pPr>
            <w:r>
              <w:rPr>
                <w:color w:val="auto"/>
                <w:position w:val="-2"/>
                <w:szCs w:val="21"/>
                <w:highlight w:val="none"/>
              </w:rPr>
              <w:t>1</w:t>
            </w:r>
            <w:r>
              <w:rPr>
                <w:color w:val="auto"/>
                <w:kern w:val="0"/>
                <w:szCs w:val="21"/>
                <w:highlight w:val="none"/>
              </w:rPr>
              <w:t>3.7、最后磋商报价超出本项目采购预算金额的将被视为无效磋商。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68" w:type="dxa"/>
            <w:vAlign w:val="center"/>
          </w:tcPr>
          <w:p>
            <w:pPr>
              <w:spacing w:line="340" w:lineRule="exact"/>
              <w:ind w:firstLine="105" w:firstLineChars="50"/>
              <w:rPr>
                <w:color w:val="auto"/>
                <w:szCs w:val="21"/>
                <w:highlight w:val="none"/>
              </w:rPr>
            </w:pPr>
            <w:r>
              <w:rPr>
                <w:color w:val="auto"/>
                <w:szCs w:val="21"/>
                <w:highlight w:val="none"/>
              </w:rPr>
              <w:t>5</w:t>
            </w:r>
          </w:p>
        </w:tc>
        <w:tc>
          <w:tcPr>
            <w:tcW w:w="670" w:type="dxa"/>
            <w:vAlign w:val="center"/>
          </w:tcPr>
          <w:p>
            <w:pPr>
              <w:spacing w:line="340" w:lineRule="exact"/>
              <w:jc w:val="center"/>
              <w:rPr>
                <w:color w:val="auto"/>
                <w:szCs w:val="21"/>
                <w:highlight w:val="none"/>
              </w:rPr>
            </w:pPr>
            <w:r>
              <w:rPr>
                <w:color w:val="auto"/>
                <w:szCs w:val="21"/>
                <w:highlight w:val="none"/>
              </w:rPr>
              <w:t>14.1</w:t>
            </w:r>
          </w:p>
        </w:tc>
        <w:tc>
          <w:tcPr>
            <w:tcW w:w="2057" w:type="dxa"/>
            <w:vAlign w:val="center"/>
          </w:tcPr>
          <w:p>
            <w:pPr>
              <w:spacing w:line="340" w:lineRule="exact"/>
              <w:jc w:val="center"/>
              <w:rPr>
                <w:color w:val="auto"/>
                <w:szCs w:val="21"/>
                <w:highlight w:val="none"/>
              </w:rPr>
            </w:pPr>
            <w:r>
              <w:rPr>
                <w:color w:val="auto"/>
                <w:szCs w:val="21"/>
                <w:highlight w:val="none"/>
              </w:rPr>
              <w:t>响应文件有效期</w:t>
            </w:r>
          </w:p>
        </w:tc>
        <w:tc>
          <w:tcPr>
            <w:tcW w:w="7513" w:type="dxa"/>
            <w:vAlign w:val="center"/>
          </w:tcPr>
          <w:p>
            <w:pPr>
              <w:spacing w:line="340" w:lineRule="exact"/>
              <w:rPr>
                <w:color w:val="auto"/>
                <w:szCs w:val="21"/>
                <w:highlight w:val="none"/>
              </w:rPr>
            </w:pPr>
            <w:r>
              <w:rPr>
                <w:color w:val="auto"/>
                <w:szCs w:val="21"/>
                <w:highlight w:val="none"/>
              </w:rPr>
              <w:t>自响应文件递交截止时间之日起90天，有效期不足的响应文件将被拒绝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68" w:type="dxa"/>
            <w:vAlign w:val="center"/>
          </w:tcPr>
          <w:p>
            <w:pPr>
              <w:spacing w:line="340" w:lineRule="exact"/>
              <w:jc w:val="center"/>
              <w:rPr>
                <w:color w:val="auto"/>
                <w:szCs w:val="21"/>
                <w:highlight w:val="none"/>
              </w:rPr>
            </w:pPr>
            <w:r>
              <w:rPr>
                <w:color w:val="auto"/>
                <w:szCs w:val="21"/>
                <w:highlight w:val="none"/>
              </w:rPr>
              <w:t>6</w:t>
            </w:r>
          </w:p>
        </w:tc>
        <w:tc>
          <w:tcPr>
            <w:tcW w:w="670" w:type="dxa"/>
            <w:vAlign w:val="center"/>
          </w:tcPr>
          <w:p>
            <w:pPr>
              <w:spacing w:line="340" w:lineRule="exact"/>
              <w:jc w:val="center"/>
              <w:rPr>
                <w:color w:val="auto"/>
                <w:szCs w:val="21"/>
                <w:highlight w:val="none"/>
              </w:rPr>
            </w:pPr>
            <w:r>
              <w:rPr>
                <w:color w:val="auto"/>
                <w:szCs w:val="21"/>
                <w:highlight w:val="none"/>
              </w:rPr>
              <w:t>15.1</w:t>
            </w:r>
          </w:p>
        </w:tc>
        <w:tc>
          <w:tcPr>
            <w:tcW w:w="2057" w:type="dxa"/>
            <w:vAlign w:val="center"/>
          </w:tcPr>
          <w:p>
            <w:pPr>
              <w:spacing w:line="340" w:lineRule="exact"/>
              <w:jc w:val="center"/>
              <w:rPr>
                <w:color w:val="auto"/>
                <w:szCs w:val="21"/>
                <w:highlight w:val="none"/>
              </w:rPr>
            </w:pPr>
            <w:r>
              <w:rPr>
                <w:color w:val="auto"/>
                <w:szCs w:val="21"/>
                <w:highlight w:val="none"/>
              </w:rPr>
              <w:t>响应文件份数</w:t>
            </w:r>
          </w:p>
        </w:tc>
        <w:tc>
          <w:tcPr>
            <w:tcW w:w="7513" w:type="dxa"/>
            <w:vAlign w:val="center"/>
          </w:tcPr>
          <w:p>
            <w:pPr>
              <w:spacing w:line="340" w:lineRule="exact"/>
              <w:rPr>
                <w:color w:val="auto"/>
                <w:szCs w:val="21"/>
                <w:highlight w:val="none"/>
              </w:rPr>
            </w:pPr>
            <w:r>
              <w:rPr>
                <w:b/>
                <w:bCs/>
                <w:color w:val="auto"/>
                <w:szCs w:val="21"/>
                <w:highlight w:val="none"/>
              </w:rPr>
              <w:t>正本壹册，副本肆册，</w:t>
            </w:r>
            <w:r>
              <w:rPr>
                <w:color w:val="auto"/>
                <w:szCs w:val="21"/>
                <w:highlight w:val="none"/>
              </w:rPr>
              <w:t>须完整提交。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568" w:type="dxa"/>
            <w:vAlign w:val="center"/>
          </w:tcPr>
          <w:p>
            <w:pPr>
              <w:spacing w:line="340" w:lineRule="exact"/>
              <w:jc w:val="center"/>
              <w:rPr>
                <w:color w:val="auto"/>
                <w:highlight w:val="none"/>
              </w:rPr>
            </w:pPr>
            <w:r>
              <w:rPr>
                <w:color w:val="auto"/>
                <w:highlight w:val="none"/>
              </w:rPr>
              <w:t>7</w:t>
            </w:r>
          </w:p>
        </w:tc>
        <w:tc>
          <w:tcPr>
            <w:tcW w:w="670" w:type="dxa"/>
            <w:vAlign w:val="center"/>
          </w:tcPr>
          <w:p>
            <w:pPr>
              <w:spacing w:line="340" w:lineRule="exact"/>
              <w:jc w:val="center"/>
              <w:rPr>
                <w:color w:val="auto"/>
                <w:highlight w:val="none"/>
              </w:rPr>
            </w:pPr>
            <w:r>
              <w:rPr>
                <w:color w:val="auto"/>
                <w:highlight w:val="none"/>
              </w:rPr>
              <w:t>15.2</w:t>
            </w:r>
          </w:p>
        </w:tc>
        <w:tc>
          <w:tcPr>
            <w:tcW w:w="2057" w:type="dxa"/>
            <w:vAlign w:val="center"/>
          </w:tcPr>
          <w:p>
            <w:pPr>
              <w:spacing w:line="340" w:lineRule="exact"/>
              <w:jc w:val="center"/>
              <w:rPr>
                <w:color w:val="auto"/>
                <w:position w:val="10"/>
                <w:szCs w:val="21"/>
                <w:highlight w:val="none"/>
              </w:rPr>
            </w:pPr>
            <w:r>
              <w:rPr>
                <w:color w:val="auto"/>
                <w:position w:val="10"/>
                <w:szCs w:val="21"/>
                <w:highlight w:val="none"/>
              </w:rPr>
              <w:t>响应文件</w:t>
            </w:r>
          </w:p>
          <w:p>
            <w:pPr>
              <w:spacing w:line="340" w:lineRule="exact"/>
              <w:jc w:val="center"/>
              <w:rPr>
                <w:color w:val="auto"/>
                <w:position w:val="10"/>
                <w:szCs w:val="21"/>
                <w:highlight w:val="none"/>
              </w:rPr>
            </w:pPr>
            <w:r>
              <w:rPr>
                <w:color w:val="auto"/>
                <w:position w:val="10"/>
                <w:szCs w:val="21"/>
                <w:highlight w:val="none"/>
              </w:rPr>
              <w:t>装订要求</w:t>
            </w:r>
          </w:p>
        </w:tc>
        <w:tc>
          <w:tcPr>
            <w:tcW w:w="7513" w:type="dxa"/>
            <w:vAlign w:val="center"/>
          </w:tcPr>
          <w:p>
            <w:pPr>
              <w:spacing w:line="340" w:lineRule="exact"/>
              <w:rPr>
                <w:color w:val="auto"/>
                <w:szCs w:val="21"/>
                <w:highlight w:val="none"/>
              </w:rPr>
            </w:pPr>
            <w:r>
              <w:rPr>
                <w:color w:val="auto"/>
                <w:szCs w:val="21"/>
                <w:highlight w:val="none"/>
              </w:rPr>
              <w:t>磋商供应商应按磋商供应商须知第11.1条响应文件的组成规定的顺序自编目录及页码，响应文件的“正本”、“副本”应当单独装订成册并标注页码，装订应牢固，不易拆散和换页</w:t>
            </w:r>
            <w:r>
              <w:rPr>
                <w:b/>
                <w:color w:val="auto"/>
                <w:szCs w:val="21"/>
                <w:highlight w:val="none"/>
              </w:rPr>
              <w:t>（A4标准纸装订）</w:t>
            </w:r>
            <w:r>
              <w:rPr>
                <w:color w:val="auto"/>
                <w:szCs w:val="21"/>
                <w:highlight w:val="none"/>
              </w:rPr>
              <w:t>。封面应注明“正本”、“副本”字样，封面上写明项目名称、项目编号、采购代理机构、磋商供应商名称。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568" w:type="dxa"/>
            <w:vAlign w:val="center"/>
          </w:tcPr>
          <w:p>
            <w:pPr>
              <w:spacing w:line="340" w:lineRule="exact"/>
              <w:jc w:val="center"/>
              <w:rPr>
                <w:color w:val="auto"/>
                <w:highlight w:val="none"/>
              </w:rPr>
            </w:pPr>
            <w:r>
              <w:rPr>
                <w:color w:val="auto"/>
                <w:highlight w:val="none"/>
              </w:rPr>
              <w:t>8</w:t>
            </w:r>
          </w:p>
        </w:tc>
        <w:tc>
          <w:tcPr>
            <w:tcW w:w="670" w:type="dxa"/>
            <w:vAlign w:val="center"/>
          </w:tcPr>
          <w:p>
            <w:pPr>
              <w:spacing w:line="340" w:lineRule="exact"/>
              <w:jc w:val="center"/>
              <w:rPr>
                <w:color w:val="auto"/>
                <w:highlight w:val="none"/>
              </w:rPr>
            </w:pPr>
            <w:r>
              <w:rPr>
                <w:color w:val="auto"/>
                <w:highlight w:val="none"/>
              </w:rPr>
              <w:t>15.6</w:t>
            </w:r>
          </w:p>
        </w:tc>
        <w:tc>
          <w:tcPr>
            <w:tcW w:w="2057" w:type="dxa"/>
            <w:vAlign w:val="center"/>
          </w:tcPr>
          <w:p>
            <w:pPr>
              <w:spacing w:line="340" w:lineRule="exact"/>
              <w:jc w:val="center"/>
              <w:rPr>
                <w:color w:val="auto"/>
                <w:position w:val="10"/>
                <w:szCs w:val="21"/>
                <w:highlight w:val="none"/>
              </w:rPr>
            </w:pPr>
            <w:r>
              <w:rPr>
                <w:color w:val="auto"/>
                <w:position w:val="10"/>
                <w:szCs w:val="21"/>
                <w:highlight w:val="none"/>
              </w:rPr>
              <w:t>响应文件包装、密封</w:t>
            </w:r>
          </w:p>
        </w:tc>
        <w:tc>
          <w:tcPr>
            <w:tcW w:w="7513" w:type="dxa"/>
            <w:vAlign w:val="center"/>
          </w:tcPr>
          <w:p>
            <w:pPr>
              <w:spacing w:line="340" w:lineRule="exact"/>
              <w:rPr>
                <w:color w:val="auto"/>
                <w:szCs w:val="21"/>
                <w:highlight w:val="none"/>
              </w:rPr>
            </w:pPr>
            <w:r>
              <w:rPr>
                <w:color w:val="auto"/>
                <w:szCs w:val="21"/>
                <w:highlight w:val="none"/>
              </w:rPr>
              <w:t>响应文件包装、密封：将响应文件“正本”、“副本”一并装入并密封在一个响应文件袋（盒、箱）中，并在密封处密封签章（公章或密封章或法定代表人或负责人或其授权委托代理人签字均可）。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8" w:type="dxa"/>
            <w:vAlign w:val="center"/>
          </w:tcPr>
          <w:p>
            <w:pPr>
              <w:spacing w:line="340" w:lineRule="exact"/>
              <w:jc w:val="center"/>
              <w:rPr>
                <w:color w:val="auto"/>
                <w:highlight w:val="none"/>
              </w:rPr>
            </w:pPr>
            <w:r>
              <w:rPr>
                <w:color w:val="auto"/>
                <w:highlight w:val="none"/>
              </w:rPr>
              <w:t>9</w:t>
            </w:r>
          </w:p>
        </w:tc>
        <w:tc>
          <w:tcPr>
            <w:tcW w:w="670" w:type="dxa"/>
            <w:vAlign w:val="center"/>
          </w:tcPr>
          <w:p>
            <w:pPr>
              <w:spacing w:line="340" w:lineRule="exact"/>
              <w:jc w:val="center"/>
              <w:rPr>
                <w:color w:val="auto"/>
                <w:highlight w:val="none"/>
              </w:rPr>
            </w:pPr>
            <w:r>
              <w:rPr>
                <w:color w:val="auto"/>
                <w:highlight w:val="none"/>
              </w:rPr>
              <w:t>15.7</w:t>
            </w:r>
          </w:p>
        </w:tc>
        <w:tc>
          <w:tcPr>
            <w:tcW w:w="2057" w:type="dxa"/>
            <w:vAlign w:val="center"/>
          </w:tcPr>
          <w:p>
            <w:pPr>
              <w:spacing w:line="340" w:lineRule="exact"/>
              <w:jc w:val="center"/>
              <w:rPr>
                <w:color w:val="auto"/>
                <w:position w:val="10"/>
                <w:szCs w:val="21"/>
                <w:highlight w:val="none"/>
              </w:rPr>
            </w:pPr>
            <w:r>
              <w:rPr>
                <w:color w:val="auto"/>
                <w:position w:val="10"/>
                <w:szCs w:val="21"/>
                <w:highlight w:val="none"/>
              </w:rPr>
              <w:t>响应文件包封袋上标记</w:t>
            </w:r>
          </w:p>
        </w:tc>
        <w:tc>
          <w:tcPr>
            <w:tcW w:w="7513" w:type="dxa"/>
            <w:vAlign w:val="center"/>
          </w:tcPr>
          <w:p>
            <w:pPr>
              <w:spacing w:line="340" w:lineRule="exact"/>
              <w:ind w:left="1050" w:hanging="1050" w:hangingChars="500"/>
              <w:rPr>
                <w:rFonts w:hint="eastAsia" w:eastAsia="宋体"/>
                <w:bCs/>
                <w:color w:val="auto"/>
                <w:szCs w:val="21"/>
                <w:highlight w:val="none"/>
                <w:u w:val="single"/>
                <w:lang w:eastAsia="zh-CN"/>
              </w:rPr>
            </w:pPr>
            <w:r>
              <w:rPr>
                <w:color w:val="auto"/>
                <w:szCs w:val="21"/>
                <w:highlight w:val="none"/>
              </w:rPr>
              <w:t>项目名称：</w:t>
            </w:r>
            <w:r>
              <w:rPr>
                <w:rFonts w:hint="default" w:ascii="宋体" w:hAnsi="宋体" w:cs="宋体"/>
                <w:color w:val="auto"/>
                <w:szCs w:val="21"/>
                <w:highlight w:val="none"/>
                <w:u w:val="single"/>
                <w:lang w:val="en-US" w:eastAsia="zh-CN"/>
              </w:rPr>
              <w:fldChar w:fldCharType="begin"/>
            </w:r>
            <w:r>
              <w:rPr>
                <w:rFonts w:hint="default" w:ascii="宋体" w:hAnsi="宋体" w:cs="宋体"/>
                <w:color w:val="auto"/>
                <w:szCs w:val="21"/>
                <w:highlight w:val="none"/>
                <w:u w:val="single"/>
                <w:lang w:val="en-US" w:eastAsia="zh-CN"/>
              </w:rPr>
              <w:instrText xml:space="preserve"> HYPERLINK "https://bidding.zcygov.cn/xmgl/projectQuery/queryDetail?projectUuid=5d1d783f1c1bf753&amp;utm=bidding-entrust-front.62f570f9.0.0.96d1b940f30e11ea8a31c3b08aaeacc2" \t "https://www.zcygov.cn/bidding-entrust/_blank" </w:instrText>
            </w:r>
            <w:r>
              <w:rPr>
                <w:rFonts w:hint="default" w:ascii="宋体" w:hAnsi="宋体" w:cs="宋体"/>
                <w:color w:val="auto"/>
                <w:szCs w:val="21"/>
                <w:highlight w:val="none"/>
                <w:u w:val="single"/>
                <w:lang w:val="en-US" w:eastAsia="zh-CN"/>
              </w:rPr>
              <w:fldChar w:fldCharType="separate"/>
            </w:r>
            <w:r>
              <w:rPr>
                <w:rFonts w:hint="default" w:ascii="宋体" w:hAnsi="宋体" w:cs="宋体"/>
                <w:color w:val="auto"/>
                <w:szCs w:val="21"/>
                <w:highlight w:val="none"/>
                <w:u w:val="single"/>
              </w:rPr>
              <w:t>桂林市水利局桂林市水安全保障“十四五”规划项目</w:t>
            </w:r>
            <w:r>
              <w:rPr>
                <w:rFonts w:hint="default" w:ascii="宋体" w:hAnsi="宋体" w:cs="宋体"/>
                <w:color w:val="auto"/>
                <w:szCs w:val="21"/>
                <w:highlight w:val="none"/>
                <w:u w:val="single"/>
                <w:lang w:val="en-US" w:eastAsia="zh-CN"/>
              </w:rPr>
              <w:fldChar w:fldCharType="end"/>
            </w:r>
          </w:p>
          <w:p>
            <w:pPr>
              <w:spacing w:line="340" w:lineRule="exact"/>
              <w:rPr>
                <w:rFonts w:hint="eastAsia" w:eastAsia="宋体"/>
                <w:color w:val="auto"/>
                <w:szCs w:val="21"/>
                <w:highlight w:val="none"/>
                <w:lang w:eastAsia="zh-CN"/>
              </w:rPr>
            </w:pPr>
            <w:r>
              <w:rPr>
                <w:color w:val="auto"/>
                <w:szCs w:val="21"/>
                <w:highlight w:val="none"/>
              </w:rPr>
              <w:t>项目编号：</w:t>
            </w:r>
            <w:r>
              <w:rPr>
                <w:rFonts w:hint="eastAsia"/>
                <w:color w:val="auto"/>
                <w:szCs w:val="21"/>
                <w:highlight w:val="none"/>
                <w:lang w:eastAsia="zh-CN"/>
              </w:rPr>
              <w:t>GLZC2020-C3-</w:t>
            </w:r>
            <w:r>
              <w:rPr>
                <w:rFonts w:hint="eastAsia"/>
                <w:color w:val="auto"/>
                <w:szCs w:val="21"/>
                <w:highlight w:val="none"/>
                <w:lang w:val="en-US" w:eastAsia="zh-CN"/>
              </w:rPr>
              <w:t>990201</w:t>
            </w:r>
            <w:r>
              <w:rPr>
                <w:rFonts w:hint="eastAsia"/>
                <w:color w:val="auto"/>
                <w:szCs w:val="21"/>
                <w:highlight w:val="none"/>
                <w:lang w:eastAsia="zh-CN"/>
              </w:rPr>
              <w:t>-HYZB</w:t>
            </w:r>
          </w:p>
          <w:p>
            <w:pPr>
              <w:spacing w:line="340" w:lineRule="exact"/>
              <w:rPr>
                <w:rFonts w:hint="eastAsia" w:eastAsia="宋体"/>
                <w:color w:val="auto"/>
                <w:szCs w:val="21"/>
                <w:highlight w:val="none"/>
                <w:lang w:eastAsia="zh-CN"/>
              </w:rPr>
            </w:pPr>
            <w:r>
              <w:rPr>
                <w:color w:val="auto"/>
                <w:szCs w:val="21"/>
                <w:highlight w:val="none"/>
              </w:rPr>
              <w:t>采购代理机构：</w:t>
            </w:r>
            <w:r>
              <w:rPr>
                <w:rFonts w:hint="eastAsia"/>
                <w:color w:val="auto"/>
                <w:szCs w:val="21"/>
                <w:highlight w:val="none"/>
                <w:lang w:eastAsia="zh-CN"/>
              </w:rPr>
              <w:t>广西汇益招标咨询有限公司</w:t>
            </w:r>
          </w:p>
          <w:p>
            <w:pPr>
              <w:spacing w:line="340" w:lineRule="exact"/>
              <w:rPr>
                <w:color w:val="auto"/>
                <w:szCs w:val="21"/>
                <w:highlight w:val="none"/>
                <w:u w:val="single"/>
              </w:rPr>
            </w:pPr>
            <w:r>
              <w:rPr>
                <w:color w:val="auto"/>
                <w:szCs w:val="21"/>
                <w:highlight w:val="none"/>
              </w:rPr>
              <w:t>磋商供应商名称：</w:t>
            </w:r>
          </w:p>
          <w:p>
            <w:pPr>
              <w:spacing w:line="340" w:lineRule="exact"/>
              <w:rPr>
                <w:color w:val="auto"/>
                <w:szCs w:val="21"/>
                <w:highlight w:val="none"/>
              </w:rPr>
            </w:pPr>
            <w:r>
              <w:rPr>
                <w:color w:val="auto"/>
                <w:szCs w:val="21"/>
                <w:highlight w:val="none"/>
              </w:rPr>
              <w:t>在</w:t>
            </w:r>
            <w:r>
              <w:rPr>
                <w:rFonts w:hint="eastAsia"/>
                <w:color w:val="auto"/>
                <w:szCs w:val="21"/>
                <w:highlight w:val="none"/>
                <w:lang w:val="en-US" w:eastAsia="zh-CN"/>
              </w:rPr>
              <w:t>2020</w:t>
            </w:r>
            <w:r>
              <w:rPr>
                <w:color w:val="auto"/>
                <w:szCs w:val="21"/>
                <w:highlight w:val="none"/>
              </w:rPr>
              <w:t>年</w:t>
            </w:r>
            <w:r>
              <w:rPr>
                <w:rFonts w:hint="eastAsia"/>
                <w:color w:val="auto"/>
                <w:szCs w:val="21"/>
                <w:highlight w:val="none"/>
                <w:lang w:val="en-US" w:eastAsia="zh-CN"/>
              </w:rPr>
              <w:t>9</w:t>
            </w:r>
            <w:r>
              <w:rPr>
                <w:color w:val="auto"/>
                <w:szCs w:val="21"/>
                <w:highlight w:val="none"/>
              </w:rPr>
              <w:t>月</w:t>
            </w:r>
            <w:r>
              <w:rPr>
                <w:rFonts w:hint="eastAsia"/>
                <w:color w:val="auto"/>
                <w:szCs w:val="21"/>
                <w:highlight w:val="none"/>
                <w:lang w:val="en-US" w:eastAsia="zh-CN"/>
              </w:rPr>
              <w:t>28</w:t>
            </w:r>
            <w:r>
              <w:rPr>
                <w:color w:val="auto"/>
                <w:szCs w:val="21"/>
                <w:highlight w:val="none"/>
              </w:rPr>
              <w:t>日</w:t>
            </w:r>
            <w:r>
              <w:rPr>
                <w:rFonts w:hint="eastAsia"/>
                <w:color w:val="auto"/>
                <w:szCs w:val="21"/>
                <w:highlight w:val="none"/>
                <w:lang w:val="en-US" w:eastAsia="zh-CN"/>
              </w:rPr>
              <w:t>10</w:t>
            </w:r>
            <w:r>
              <w:rPr>
                <w:color w:val="auto"/>
                <w:szCs w:val="21"/>
                <w:highlight w:val="none"/>
              </w:rPr>
              <w:t>时</w:t>
            </w:r>
            <w:r>
              <w:rPr>
                <w:rFonts w:hint="eastAsia"/>
                <w:color w:val="auto"/>
                <w:szCs w:val="21"/>
                <w:highlight w:val="none"/>
                <w:lang w:val="en-US" w:eastAsia="zh-CN"/>
              </w:rPr>
              <w:t>30</w:t>
            </w:r>
            <w:r>
              <w:rPr>
                <w:color w:val="auto"/>
                <w:szCs w:val="21"/>
                <w:highlight w:val="none"/>
              </w:rPr>
              <w:t>分前不得开启(此处填写响应文件递交截止时间)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68" w:type="dxa"/>
            <w:vAlign w:val="center"/>
          </w:tcPr>
          <w:p>
            <w:pPr>
              <w:spacing w:line="340" w:lineRule="exact"/>
              <w:jc w:val="center"/>
              <w:rPr>
                <w:color w:val="auto"/>
                <w:szCs w:val="21"/>
                <w:highlight w:val="none"/>
              </w:rPr>
            </w:pPr>
            <w:r>
              <w:rPr>
                <w:color w:val="auto"/>
                <w:szCs w:val="21"/>
                <w:highlight w:val="none"/>
              </w:rPr>
              <w:t>10</w:t>
            </w:r>
          </w:p>
        </w:tc>
        <w:tc>
          <w:tcPr>
            <w:tcW w:w="670" w:type="dxa"/>
            <w:vAlign w:val="center"/>
          </w:tcPr>
          <w:p>
            <w:pPr>
              <w:spacing w:line="340" w:lineRule="exact"/>
              <w:jc w:val="center"/>
              <w:rPr>
                <w:color w:val="auto"/>
                <w:szCs w:val="21"/>
                <w:highlight w:val="none"/>
              </w:rPr>
            </w:pPr>
            <w:r>
              <w:rPr>
                <w:color w:val="auto"/>
                <w:szCs w:val="21"/>
                <w:highlight w:val="none"/>
              </w:rPr>
              <w:t>15.8</w:t>
            </w:r>
          </w:p>
        </w:tc>
        <w:tc>
          <w:tcPr>
            <w:tcW w:w="2057" w:type="dxa"/>
            <w:vAlign w:val="center"/>
          </w:tcPr>
          <w:p>
            <w:pPr>
              <w:spacing w:line="340" w:lineRule="exact"/>
              <w:jc w:val="center"/>
              <w:rPr>
                <w:color w:val="auto"/>
                <w:szCs w:val="21"/>
                <w:highlight w:val="none"/>
              </w:rPr>
            </w:pPr>
            <w:r>
              <w:rPr>
                <w:color w:val="auto"/>
                <w:szCs w:val="21"/>
                <w:highlight w:val="none"/>
              </w:rPr>
              <w:t>磋商供应商公章</w:t>
            </w:r>
          </w:p>
        </w:tc>
        <w:tc>
          <w:tcPr>
            <w:tcW w:w="7513" w:type="dxa"/>
            <w:vAlign w:val="center"/>
          </w:tcPr>
          <w:p>
            <w:pPr>
              <w:spacing w:line="340" w:lineRule="exact"/>
              <w:rPr>
                <w:color w:val="auto"/>
                <w:szCs w:val="21"/>
                <w:highlight w:val="none"/>
              </w:rPr>
            </w:pPr>
            <w:r>
              <w:rPr>
                <w:color w:val="auto"/>
                <w:szCs w:val="21"/>
                <w:highlight w:val="none"/>
              </w:rPr>
              <w:t>本竞争性磋商文件中描述磋商供应商的“公章”是指根据我国对公章的管理规定，用磋商供应商法定主体行为名称制作的印章，除本文件有特殊规定外，磋商供应商的财务章、部门章、分公司章、工会章、合同章、磋商专用章、业务专用章及银行的转账章、现金收讫章、现金付讫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568" w:type="dxa"/>
            <w:vAlign w:val="center"/>
          </w:tcPr>
          <w:p>
            <w:pPr>
              <w:spacing w:line="340" w:lineRule="exact"/>
              <w:jc w:val="center"/>
              <w:rPr>
                <w:color w:val="auto"/>
                <w:szCs w:val="21"/>
                <w:highlight w:val="none"/>
              </w:rPr>
            </w:pPr>
            <w:r>
              <w:rPr>
                <w:color w:val="auto"/>
                <w:szCs w:val="21"/>
                <w:highlight w:val="none"/>
              </w:rPr>
              <w:t>11</w:t>
            </w:r>
          </w:p>
        </w:tc>
        <w:tc>
          <w:tcPr>
            <w:tcW w:w="670" w:type="dxa"/>
            <w:vAlign w:val="center"/>
          </w:tcPr>
          <w:p>
            <w:pPr>
              <w:spacing w:line="340" w:lineRule="exact"/>
              <w:jc w:val="center"/>
              <w:rPr>
                <w:color w:val="auto"/>
                <w:szCs w:val="21"/>
                <w:highlight w:val="none"/>
              </w:rPr>
            </w:pPr>
            <w:r>
              <w:rPr>
                <w:color w:val="auto"/>
                <w:szCs w:val="21"/>
                <w:highlight w:val="none"/>
              </w:rPr>
              <w:t>17.1</w:t>
            </w:r>
          </w:p>
        </w:tc>
        <w:tc>
          <w:tcPr>
            <w:tcW w:w="2057" w:type="dxa"/>
            <w:vAlign w:val="center"/>
          </w:tcPr>
          <w:p>
            <w:pPr>
              <w:spacing w:line="340" w:lineRule="exact"/>
              <w:jc w:val="center"/>
              <w:rPr>
                <w:color w:val="auto"/>
                <w:spacing w:val="-4"/>
                <w:szCs w:val="21"/>
                <w:highlight w:val="none"/>
              </w:rPr>
            </w:pPr>
            <w:r>
              <w:rPr>
                <w:color w:val="auto"/>
                <w:spacing w:val="-4"/>
                <w:szCs w:val="21"/>
                <w:highlight w:val="none"/>
              </w:rPr>
              <w:t>响应文件递交起止时间及递交截止时间</w:t>
            </w:r>
          </w:p>
        </w:tc>
        <w:tc>
          <w:tcPr>
            <w:tcW w:w="7513" w:type="dxa"/>
            <w:vAlign w:val="center"/>
          </w:tcPr>
          <w:p>
            <w:pPr>
              <w:spacing w:line="360" w:lineRule="exact"/>
              <w:rPr>
                <w:color w:val="auto"/>
                <w:szCs w:val="21"/>
                <w:highlight w:val="none"/>
              </w:rPr>
            </w:pPr>
            <w:r>
              <w:rPr>
                <w:color w:val="auto"/>
                <w:szCs w:val="21"/>
                <w:highlight w:val="none"/>
              </w:rPr>
              <w:t>响应文件递交起止时间：2020年</w:t>
            </w:r>
            <w:r>
              <w:rPr>
                <w:rFonts w:hint="eastAsia"/>
                <w:color w:val="auto"/>
                <w:szCs w:val="21"/>
                <w:highlight w:val="none"/>
                <w:lang w:val="en-US" w:eastAsia="zh-CN"/>
              </w:rPr>
              <w:t>9</w:t>
            </w:r>
            <w:r>
              <w:rPr>
                <w:color w:val="auto"/>
                <w:szCs w:val="21"/>
                <w:highlight w:val="none"/>
              </w:rPr>
              <w:t>月</w:t>
            </w:r>
            <w:r>
              <w:rPr>
                <w:rFonts w:hint="eastAsia"/>
                <w:color w:val="auto"/>
                <w:szCs w:val="21"/>
                <w:highlight w:val="none"/>
                <w:lang w:val="en-US" w:eastAsia="zh-CN"/>
              </w:rPr>
              <w:t>28</w:t>
            </w:r>
            <w:r>
              <w:rPr>
                <w:color w:val="auto"/>
                <w:szCs w:val="21"/>
                <w:highlight w:val="none"/>
              </w:rPr>
              <w:t>日上午</w:t>
            </w:r>
            <w:r>
              <w:rPr>
                <w:rFonts w:hint="eastAsia"/>
                <w:color w:val="auto"/>
                <w:szCs w:val="21"/>
                <w:highlight w:val="none"/>
                <w:lang w:val="en-US" w:eastAsia="zh-CN"/>
              </w:rPr>
              <w:t>10</w:t>
            </w:r>
            <w:r>
              <w:rPr>
                <w:color w:val="auto"/>
                <w:szCs w:val="21"/>
                <w:highlight w:val="none"/>
              </w:rPr>
              <w:t>时00分至</w:t>
            </w:r>
            <w:r>
              <w:rPr>
                <w:rFonts w:hint="eastAsia"/>
                <w:color w:val="auto"/>
                <w:szCs w:val="21"/>
                <w:highlight w:val="none"/>
                <w:lang w:val="en-US" w:eastAsia="zh-CN"/>
              </w:rPr>
              <w:t>10</w:t>
            </w:r>
            <w:r>
              <w:rPr>
                <w:color w:val="auto"/>
                <w:szCs w:val="21"/>
                <w:highlight w:val="none"/>
              </w:rPr>
              <w:t>时30分。</w:t>
            </w:r>
          </w:p>
          <w:p>
            <w:pPr>
              <w:spacing w:line="360" w:lineRule="exact"/>
              <w:rPr>
                <w:color w:val="auto"/>
                <w:highlight w:val="none"/>
              </w:rPr>
            </w:pPr>
            <w:r>
              <w:rPr>
                <w:color w:val="auto"/>
                <w:szCs w:val="21"/>
                <w:highlight w:val="none"/>
              </w:rPr>
              <w:t>响应文件递交截止时间：2020年</w:t>
            </w:r>
            <w:r>
              <w:rPr>
                <w:rFonts w:hint="eastAsia"/>
                <w:color w:val="auto"/>
                <w:szCs w:val="21"/>
                <w:highlight w:val="none"/>
                <w:lang w:val="en-US" w:eastAsia="zh-CN"/>
              </w:rPr>
              <w:t>9</w:t>
            </w:r>
            <w:r>
              <w:rPr>
                <w:color w:val="auto"/>
                <w:szCs w:val="21"/>
                <w:highlight w:val="none"/>
              </w:rPr>
              <w:t>月</w:t>
            </w:r>
            <w:r>
              <w:rPr>
                <w:rFonts w:hint="eastAsia"/>
                <w:color w:val="auto"/>
                <w:szCs w:val="21"/>
                <w:highlight w:val="none"/>
                <w:lang w:val="en-US" w:eastAsia="zh-CN"/>
              </w:rPr>
              <w:t>28</w:t>
            </w:r>
            <w:r>
              <w:rPr>
                <w:color w:val="auto"/>
                <w:szCs w:val="21"/>
                <w:highlight w:val="none"/>
              </w:rPr>
              <w:t>日上午</w:t>
            </w:r>
            <w:r>
              <w:rPr>
                <w:rFonts w:hint="eastAsia"/>
                <w:color w:val="auto"/>
                <w:szCs w:val="21"/>
                <w:highlight w:val="none"/>
                <w:lang w:val="en-US" w:eastAsia="zh-CN"/>
              </w:rPr>
              <w:t>10</w:t>
            </w:r>
            <w:r>
              <w:rPr>
                <w:color w:val="auto"/>
                <w:szCs w:val="21"/>
                <w:highlight w:val="none"/>
              </w:rPr>
              <w:t>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68" w:type="dxa"/>
            <w:vAlign w:val="center"/>
          </w:tcPr>
          <w:p>
            <w:pPr>
              <w:spacing w:line="340" w:lineRule="exact"/>
              <w:jc w:val="center"/>
              <w:rPr>
                <w:color w:val="auto"/>
                <w:szCs w:val="21"/>
                <w:highlight w:val="none"/>
              </w:rPr>
            </w:pPr>
            <w:r>
              <w:rPr>
                <w:color w:val="auto"/>
                <w:szCs w:val="21"/>
                <w:highlight w:val="none"/>
              </w:rPr>
              <w:t>12</w:t>
            </w:r>
          </w:p>
        </w:tc>
        <w:tc>
          <w:tcPr>
            <w:tcW w:w="670" w:type="dxa"/>
            <w:vAlign w:val="center"/>
          </w:tcPr>
          <w:p>
            <w:pPr>
              <w:spacing w:line="340" w:lineRule="exact"/>
              <w:jc w:val="center"/>
              <w:rPr>
                <w:color w:val="auto"/>
                <w:position w:val="-2"/>
                <w:szCs w:val="21"/>
                <w:highlight w:val="none"/>
              </w:rPr>
            </w:pPr>
            <w:r>
              <w:rPr>
                <w:color w:val="auto"/>
                <w:position w:val="-2"/>
                <w:szCs w:val="21"/>
                <w:highlight w:val="none"/>
              </w:rPr>
              <w:t>17.2</w:t>
            </w:r>
          </w:p>
        </w:tc>
        <w:tc>
          <w:tcPr>
            <w:tcW w:w="2057" w:type="dxa"/>
            <w:vAlign w:val="center"/>
          </w:tcPr>
          <w:p>
            <w:pPr>
              <w:spacing w:line="340" w:lineRule="exact"/>
              <w:jc w:val="center"/>
              <w:rPr>
                <w:color w:val="auto"/>
                <w:position w:val="-2"/>
                <w:szCs w:val="21"/>
                <w:highlight w:val="none"/>
              </w:rPr>
            </w:pPr>
            <w:r>
              <w:rPr>
                <w:color w:val="auto"/>
                <w:position w:val="-2"/>
                <w:szCs w:val="21"/>
                <w:highlight w:val="none"/>
              </w:rPr>
              <w:t>响应文件递交地点</w:t>
            </w:r>
          </w:p>
        </w:tc>
        <w:tc>
          <w:tcPr>
            <w:tcW w:w="7513" w:type="dxa"/>
            <w:vAlign w:val="center"/>
          </w:tcPr>
          <w:p>
            <w:pPr>
              <w:spacing w:line="340" w:lineRule="exact"/>
              <w:rPr>
                <w:color w:val="auto"/>
                <w:szCs w:val="21"/>
                <w:highlight w:val="none"/>
              </w:rPr>
            </w:pPr>
            <w:r>
              <w:rPr>
                <w:color w:val="auto"/>
                <w:highlight w:val="none"/>
              </w:rPr>
              <w:t>桂林市公共资源交易中心（临桂新区西城中路69号西辅</w:t>
            </w:r>
            <w:r>
              <w:rPr>
                <w:color w:val="auto"/>
                <w:szCs w:val="21"/>
                <w:highlight w:val="none"/>
              </w:rPr>
              <w:t>楼四楼</w:t>
            </w:r>
            <w:r>
              <w:rPr>
                <w:rFonts w:hint="eastAsia"/>
                <w:color w:val="auto"/>
                <w:szCs w:val="21"/>
                <w:highlight w:val="none"/>
                <w:lang w:val="en-US" w:eastAsia="zh-CN"/>
              </w:rPr>
              <w:t>2</w:t>
            </w:r>
            <w:r>
              <w:rPr>
                <w:color w:val="auto"/>
                <w:szCs w:val="21"/>
                <w:highlight w:val="none"/>
              </w:rPr>
              <w:t>号开标室</w:t>
            </w:r>
            <w:r>
              <w:rPr>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68" w:type="dxa"/>
            <w:vAlign w:val="center"/>
          </w:tcPr>
          <w:p>
            <w:pPr>
              <w:spacing w:line="340" w:lineRule="exact"/>
              <w:jc w:val="center"/>
              <w:rPr>
                <w:color w:val="auto"/>
                <w:highlight w:val="none"/>
              </w:rPr>
            </w:pPr>
            <w:r>
              <w:rPr>
                <w:color w:val="auto"/>
                <w:highlight w:val="none"/>
              </w:rPr>
              <w:t>13</w:t>
            </w:r>
          </w:p>
        </w:tc>
        <w:tc>
          <w:tcPr>
            <w:tcW w:w="670" w:type="dxa"/>
            <w:vAlign w:val="center"/>
          </w:tcPr>
          <w:p>
            <w:pPr>
              <w:spacing w:line="340" w:lineRule="exact"/>
              <w:jc w:val="center"/>
              <w:rPr>
                <w:color w:val="auto"/>
                <w:szCs w:val="21"/>
                <w:highlight w:val="none"/>
              </w:rPr>
            </w:pPr>
            <w:r>
              <w:rPr>
                <w:color w:val="auto"/>
                <w:szCs w:val="21"/>
                <w:highlight w:val="none"/>
              </w:rPr>
              <w:t>18.1</w:t>
            </w:r>
          </w:p>
        </w:tc>
        <w:tc>
          <w:tcPr>
            <w:tcW w:w="2057" w:type="dxa"/>
            <w:vAlign w:val="center"/>
          </w:tcPr>
          <w:p>
            <w:pPr>
              <w:spacing w:line="340" w:lineRule="exact"/>
              <w:jc w:val="center"/>
              <w:rPr>
                <w:color w:val="auto"/>
                <w:szCs w:val="21"/>
                <w:highlight w:val="none"/>
              </w:rPr>
            </w:pPr>
            <w:r>
              <w:rPr>
                <w:color w:val="auto"/>
                <w:position w:val="10"/>
                <w:szCs w:val="21"/>
                <w:highlight w:val="none"/>
              </w:rPr>
              <w:t>磋商小组的组成</w:t>
            </w:r>
          </w:p>
        </w:tc>
        <w:tc>
          <w:tcPr>
            <w:tcW w:w="7513" w:type="dxa"/>
            <w:vAlign w:val="top"/>
          </w:tcPr>
          <w:p>
            <w:pPr>
              <w:spacing w:line="340" w:lineRule="exact"/>
              <w:rPr>
                <w:color w:val="auto"/>
                <w:highlight w:val="none"/>
              </w:rPr>
            </w:pPr>
            <w:r>
              <w:rPr>
                <w:color w:val="auto"/>
                <w:highlight w:val="none"/>
              </w:rPr>
              <w:t>磋商会议由采购代理机构负责组织，具体磋商评审工作由依法组建的磋商小组负责，磋商小组有采购人代表和有关方面的专家组成。</w:t>
            </w:r>
          </w:p>
          <w:p>
            <w:pPr>
              <w:spacing w:line="340" w:lineRule="exact"/>
              <w:rPr>
                <w:color w:val="auto"/>
                <w:szCs w:val="21"/>
                <w:highlight w:val="none"/>
              </w:rPr>
            </w:pPr>
            <w:r>
              <w:rPr>
                <w:color w:val="auto"/>
                <w:szCs w:val="21"/>
                <w:highlight w:val="none"/>
              </w:rPr>
              <w:t>磋商小组的构成：</w:t>
            </w:r>
            <w:r>
              <w:rPr>
                <w:color w:val="auto"/>
                <w:szCs w:val="21"/>
                <w:highlight w:val="none"/>
                <w:u w:val="single"/>
              </w:rPr>
              <w:t>3</w:t>
            </w:r>
            <w:r>
              <w:rPr>
                <w:color w:val="auto"/>
                <w:szCs w:val="21"/>
                <w:highlight w:val="none"/>
              </w:rPr>
              <w:t>人，其中采购人代表</w:t>
            </w:r>
            <w:r>
              <w:rPr>
                <w:color w:val="auto"/>
                <w:szCs w:val="21"/>
                <w:highlight w:val="none"/>
                <w:u w:val="single"/>
              </w:rPr>
              <w:t>1</w:t>
            </w:r>
            <w:r>
              <w:rPr>
                <w:color w:val="auto"/>
                <w:szCs w:val="21"/>
                <w:highlight w:val="none"/>
              </w:rPr>
              <w:t>人，有关专家</w:t>
            </w:r>
            <w:r>
              <w:rPr>
                <w:color w:val="auto"/>
                <w:szCs w:val="21"/>
                <w:highlight w:val="none"/>
                <w:u w:val="single"/>
              </w:rPr>
              <w:t>2</w:t>
            </w:r>
            <w:r>
              <w:rPr>
                <w:color w:val="auto"/>
                <w:szCs w:val="21"/>
                <w:highlight w:val="none"/>
              </w:rPr>
              <w:t>人。</w:t>
            </w:r>
          </w:p>
          <w:p>
            <w:pPr>
              <w:spacing w:line="340" w:lineRule="exact"/>
              <w:rPr>
                <w:color w:val="auto"/>
                <w:szCs w:val="21"/>
                <w:highlight w:val="none"/>
              </w:rPr>
            </w:pPr>
            <w:r>
              <w:rPr>
                <w:color w:val="auto"/>
                <w:szCs w:val="21"/>
                <w:highlight w:val="none"/>
              </w:rPr>
              <w:t>专家确定方式：开标前由招标</w:t>
            </w:r>
            <w:r>
              <w:rPr>
                <w:rFonts w:hint="eastAsia"/>
                <w:color w:val="auto"/>
                <w:szCs w:val="21"/>
                <w:highlight w:val="none"/>
                <w:lang w:eastAsia="zh-CN"/>
              </w:rPr>
              <w:t>代理</w:t>
            </w:r>
            <w:r>
              <w:rPr>
                <w:color w:val="auto"/>
                <w:szCs w:val="21"/>
                <w:highlight w:val="none"/>
              </w:rPr>
              <w:t>单位从政府采购云平台中通过电脑随机抽取。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68" w:type="dxa"/>
            <w:vAlign w:val="center"/>
          </w:tcPr>
          <w:p>
            <w:pPr>
              <w:spacing w:line="340" w:lineRule="exact"/>
              <w:jc w:val="center"/>
              <w:rPr>
                <w:color w:val="auto"/>
                <w:szCs w:val="21"/>
                <w:highlight w:val="none"/>
              </w:rPr>
            </w:pPr>
            <w:r>
              <w:rPr>
                <w:color w:val="auto"/>
                <w:szCs w:val="21"/>
                <w:highlight w:val="none"/>
              </w:rPr>
              <w:t>14</w:t>
            </w:r>
          </w:p>
        </w:tc>
        <w:tc>
          <w:tcPr>
            <w:tcW w:w="670" w:type="dxa"/>
            <w:vAlign w:val="center"/>
          </w:tcPr>
          <w:p>
            <w:pPr>
              <w:spacing w:line="340" w:lineRule="exact"/>
              <w:jc w:val="center"/>
              <w:rPr>
                <w:color w:val="auto"/>
                <w:szCs w:val="21"/>
                <w:highlight w:val="none"/>
              </w:rPr>
            </w:pPr>
            <w:r>
              <w:rPr>
                <w:color w:val="auto"/>
                <w:szCs w:val="21"/>
                <w:highlight w:val="none"/>
              </w:rPr>
              <w:t>18.2</w:t>
            </w:r>
          </w:p>
        </w:tc>
        <w:tc>
          <w:tcPr>
            <w:tcW w:w="2057" w:type="dxa"/>
            <w:vAlign w:val="center"/>
          </w:tcPr>
          <w:p>
            <w:pPr>
              <w:spacing w:line="340" w:lineRule="exact"/>
              <w:jc w:val="center"/>
              <w:rPr>
                <w:color w:val="auto"/>
                <w:szCs w:val="21"/>
                <w:highlight w:val="none"/>
              </w:rPr>
            </w:pPr>
            <w:r>
              <w:rPr>
                <w:color w:val="auto"/>
                <w:szCs w:val="21"/>
                <w:highlight w:val="none"/>
              </w:rPr>
              <w:t>磋商时间、地点、人员</w:t>
            </w:r>
          </w:p>
        </w:tc>
        <w:tc>
          <w:tcPr>
            <w:tcW w:w="7513" w:type="dxa"/>
            <w:vAlign w:val="center"/>
          </w:tcPr>
          <w:p>
            <w:pPr>
              <w:spacing w:line="340" w:lineRule="exact"/>
              <w:rPr>
                <w:color w:val="auto"/>
                <w:szCs w:val="21"/>
                <w:highlight w:val="none"/>
              </w:rPr>
            </w:pPr>
            <w:r>
              <w:rPr>
                <w:color w:val="auto"/>
                <w:szCs w:val="21"/>
                <w:highlight w:val="none"/>
              </w:rPr>
              <w:t>1</w:t>
            </w:r>
            <w:r>
              <w:rPr>
                <w:rFonts w:hint="eastAsia"/>
                <w:color w:val="auto"/>
                <w:szCs w:val="21"/>
                <w:highlight w:val="none"/>
                <w:lang w:val="en-US" w:eastAsia="zh-CN"/>
              </w:rPr>
              <w:t>8</w:t>
            </w:r>
            <w:r>
              <w:rPr>
                <w:color w:val="auto"/>
                <w:szCs w:val="21"/>
                <w:highlight w:val="none"/>
              </w:rPr>
              <w:t>.2.1、磋商时间：</w:t>
            </w:r>
            <w:r>
              <w:rPr>
                <w:color w:val="auto"/>
                <w:highlight w:val="none"/>
              </w:rPr>
              <w:t>响应文件递交截止时间后。</w:t>
            </w:r>
          </w:p>
          <w:p>
            <w:pPr>
              <w:spacing w:line="340" w:lineRule="exact"/>
              <w:rPr>
                <w:color w:val="auto"/>
                <w:szCs w:val="21"/>
                <w:highlight w:val="none"/>
              </w:rPr>
            </w:pPr>
            <w:r>
              <w:rPr>
                <w:color w:val="auto"/>
                <w:szCs w:val="21"/>
                <w:highlight w:val="none"/>
              </w:rPr>
              <w:t>1</w:t>
            </w:r>
            <w:r>
              <w:rPr>
                <w:rFonts w:hint="eastAsia"/>
                <w:color w:val="auto"/>
                <w:szCs w:val="21"/>
                <w:highlight w:val="none"/>
                <w:lang w:val="en-US" w:eastAsia="zh-CN"/>
              </w:rPr>
              <w:t>8</w:t>
            </w:r>
            <w:r>
              <w:rPr>
                <w:color w:val="auto"/>
                <w:szCs w:val="21"/>
                <w:highlight w:val="none"/>
              </w:rPr>
              <w:t>.2.2、磋商地点：</w:t>
            </w:r>
            <w:r>
              <w:rPr>
                <w:color w:val="auto"/>
                <w:highlight w:val="none"/>
              </w:rPr>
              <w:t>桂林市公共资源交易中心（</w:t>
            </w:r>
            <w:r>
              <w:rPr>
                <w:color w:val="auto"/>
                <w:szCs w:val="21"/>
                <w:highlight w:val="none"/>
              </w:rPr>
              <w:t>广西桂林市临桂区西城中路69号创业大厦西辅楼4楼北区，具体磋商评标室另行通知</w:t>
            </w:r>
            <w:r>
              <w:rPr>
                <w:color w:val="auto"/>
                <w:highlight w:val="none"/>
              </w:rPr>
              <w:t>）。</w:t>
            </w:r>
          </w:p>
          <w:p>
            <w:pPr>
              <w:spacing w:line="340" w:lineRule="exact"/>
              <w:rPr>
                <w:color w:val="auto"/>
                <w:szCs w:val="21"/>
                <w:highlight w:val="none"/>
              </w:rPr>
            </w:pPr>
            <w:r>
              <w:rPr>
                <w:color w:val="auto"/>
                <w:szCs w:val="21"/>
                <w:highlight w:val="none"/>
              </w:rPr>
              <w:t>1</w:t>
            </w:r>
            <w:r>
              <w:rPr>
                <w:rFonts w:hint="eastAsia"/>
                <w:color w:val="auto"/>
                <w:szCs w:val="21"/>
                <w:highlight w:val="none"/>
                <w:lang w:val="en-US" w:eastAsia="zh-CN"/>
              </w:rPr>
              <w:t>8</w:t>
            </w:r>
            <w:r>
              <w:rPr>
                <w:color w:val="auto"/>
                <w:szCs w:val="21"/>
                <w:highlight w:val="none"/>
              </w:rPr>
              <w:t>.2.3磋商参加人员：法定代表人或负责人或委托代理人持身份证原件参加磋商。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68" w:type="dxa"/>
            <w:vAlign w:val="center"/>
          </w:tcPr>
          <w:p>
            <w:pPr>
              <w:spacing w:line="340" w:lineRule="exact"/>
              <w:jc w:val="center"/>
              <w:rPr>
                <w:color w:val="auto"/>
                <w:szCs w:val="21"/>
                <w:highlight w:val="none"/>
              </w:rPr>
            </w:pPr>
            <w:r>
              <w:rPr>
                <w:color w:val="auto"/>
                <w:szCs w:val="21"/>
                <w:highlight w:val="none"/>
              </w:rPr>
              <w:t>15</w:t>
            </w:r>
          </w:p>
        </w:tc>
        <w:tc>
          <w:tcPr>
            <w:tcW w:w="670" w:type="dxa"/>
            <w:vAlign w:val="center"/>
          </w:tcPr>
          <w:p>
            <w:pPr>
              <w:spacing w:line="340" w:lineRule="exact"/>
              <w:jc w:val="center"/>
              <w:rPr>
                <w:color w:val="auto"/>
                <w:highlight w:val="none"/>
              </w:rPr>
            </w:pPr>
            <w:r>
              <w:rPr>
                <w:color w:val="auto"/>
                <w:highlight w:val="none"/>
              </w:rPr>
              <w:t>19.2</w:t>
            </w:r>
          </w:p>
        </w:tc>
        <w:tc>
          <w:tcPr>
            <w:tcW w:w="2057" w:type="dxa"/>
            <w:vAlign w:val="center"/>
          </w:tcPr>
          <w:p>
            <w:pPr>
              <w:spacing w:line="340" w:lineRule="exact"/>
              <w:jc w:val="center"/>
              <w:rPr>
                <w:color w:val="auto"/>
                <w:position w:val="10"/>
                <w:szCs w:val="21"/>
                <w:highlight w:val="none"/>
              </w:rPr>
            </w:pPr>
            <w:r>
              <w:rPr>
                <w:color w:val="auto"/>
                <w:szCs w:val="21"/>
                <w:highlight w:val="none"/>
              </w:rPr>
              <w:t>评审办法</w:t>
            </w:r>
          </w:p>
        </w:tc>
        <w:tc>
          <w:tcPr>
            <w:tcW w:w="7513" w:type="dxa"/>
            <w:vAlign w:val="center"/>
          </w:tcPr>
          <w:p>
            <w:pPr>
              <w:spacing w:line="340" w:lineRule="exact"/>
              <w:rPr>
                <w:color w:val="auto"/>
                <w:szCs w:val="21"/>
                <w:highlight w:val="none"/>
              </w:rPr>
            </w:pPr>
            <w:r>
              <w:rPr>
                <w:color w:val="auto"/>
                <w:szCs w:val="21"/>
                <w:highlight w:val="none"/>
              </w:rPr>
              <w:t>综合评分法，具体评审内容及标准详见第四章：评审办法。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68" w:type="dxa"/>
            <w:vAlign w:val="center"/>
          </w:tcPr>
          <w:p>
            <w:pPr>
              <w:spacing w:line="340" w:lineRule="exact"/>
              <w:jc w:val="center"/>
              <w:rPr>
                <w:color w:val="auto"/>
                <w:szCs w:val="21"/>
                <w:highlight w:val="none"/>
              </w:rPr>
            </w:pPr>
            <w:r>
              <w:rPr>
                <w:color w:val="auto"/>
                <w:szCs w:val="21"/>
                <w:highlight w:val="none"/>
              </w:rPr>
              <w:t>16</w:t>
            </w:r>
          </w:p>
        </w:tc>
        <w:tc>
          <w:tcPr>
            <w:tcW w:w="670" w:type="dxa"/>
            <w:vAlign w:val="center"/>
          </w:tcPr>
          <w:p>
            <w:pPr>
              <w:spacing w:line="340" w:lineRule="exact"/>
              <w:jc w:val="center"/>
              <w:rPr>
                <w:color w:val="auto"/>
                <w:szCs w:val="21"/>
                <w:highlight w:val="none"/>
              </w:rPr>
            </w:pPr>
            <w:r>
              <w:rPr>
                <w:color w:val="auto"/>
                <w:szCs w:val="21"/>
                <w:highlight w:val="none"/>
              </w:rPr>
              <w:t>22.4</w:t>
            </w:r>
          </w:p>
        </w:tc>
        <w:tc>
          <w:tcPr>
            <w:tcW w:w="2057" w:type="dxa"/>
            <w:vAlign w:val="center"/>
          </w:tcPr>
          <w:p>
            <w:pPr>
              <w:autoSpaceDE w:val="0"/>
              <w:autoSpaceDN w:val="0"/>
              <w:snapToGrid w:val="0"/>
              <w:spacing w:line="340" w:lineRule="exact"/>
              <w:jc w:val="center"/>
              <w:textAlignment w:val="bottom"/>
              <w:rPr>
                <w:color w:val="auto"/>
                <w:highlight w:val="none"/>
              </w:rPr>
            </w:pPr>
            <w:r>
              <w:rPr>
                <w:color w:val="auto"/>
                <w:highlight w:val="none"/>
              </w:rPr>
              <w:t>成交人信用信息查询</w:t>
            </w:r>
          </w:p>
        </w:tc>
        <w:tc>
          <w:tcPr>
            <w:tcW w:w="7513" w:type="dxa"/>
            <w:vAlign w:val="center"/>
          </w:tcPr>
          <w:p>
            <w:pPr>
              <w:autoSpaceDE w:val="0"/>
              <w:autoSpaceDN w:val="0"/>
              <w:snapToGrid w:val="0"/>
              <w:spacing w:line="340" w:lineRule="exact"/>
              <w:textAlignment w:val="bottom"/>
              <w:rPr>
                <w:color w:val="auto"/>
                <w:highlight w:val="none"/>
              </w:rPr>
            </w:pPr>
            <w:r>
              <w:rPr>
                <w:color w:val="auto"/>
                <w:highlight w:val="none"/>
              </w:rPr>
              <w:t>根据《关于做好政府采购有关信用主体标识码登记及在政府采购活动中查询使用信用记录有关问题的通知》桂财采〔2016〕37号的通知，采购代理机构在对成交人的成交资格进行信用查询：</w:t>
            </w:r>
          </w:p>
          <w:p>
            <w:pPr>
              <w:autoSpaceDE w:val="0"/>
              <w:autoSpaceDN w:val="0"/>
              <w:snapToGrid w:val="0"/>
              <w:spacing w:line="340" w:lineRule="exact"/>
              <w:textAlignment w:val="bottom"/>
              <w:rPr>
                <w:color w:val="auto"/>
                <w:highlight w:val="none"/>
              </w:rPr>
            </w:pPr>
            <w:r>
              <w:rPr>
                <w:color w:val="auto"/>
                <w:highlight w:val="none"/>
              </w:rPr>
              <w:t>（1）查询渠道：“信用中国”网站(www.creditchina.gov.cn)、中国政府采购网(www.ccgp.gov.cn)等；</w:t>
            </w:r>
          </w:p>
          <w:p>
            <w:pPr>
              <w:autoSpaceDE w:val="0"/>
              <w:autoSpaceDN w:val="0"/>
              <w:snapToGrid w:val="0"/>
              <w:spacing w:line="340" w:lineRule="exact"/>
              <w:textAlignment w:val="bottom"/>
              <w:rPr>
                <w:color w:val="auto"/>
                <w:highlight w:val="none"/>
              </w:rPr>
            </w:pPr>
            <w:r>
              <w:rPr>
                <w:color w:val="auto"/>
                <w:highlight w:val="none"/>
              </w:rPr>
              <w:t>（2）查询截止时点：成交通知书发出前；</w:t>
            </w:r>
          </w:p>
          <w:p>
            <w:pPr>
              <w:autoSpaceDE w:val="0"/>
              <w:autoSpaceDN w:val="0"/>
              <w:snapToGrid w:val="0"/>
              <w:spacing w:line="340" w:lineRule="exact"/>
              <w:textAlignment w:val="bottom"/>
              <w:rPr>
                <w:color w:val="auto"/>
                <w:highlight w:val="none"/>
              </w:rPr>
            </w:pPr>
            <w:r>
              <w:rPr>
                <w:color w:val="auto"/>
                <w:highlight w:val="none"/>
              </w:rPr>
              <w:t>（3）信用信息查询记录和证据留存方式：在查询网站中直接打印查询记录，打印材料作为采购活动资料保存。</w:t>
            </w:r>
          </w:p>
          <w:p>
            <w:pPr>
              <w:pStyle w:val="152"/>
              <w:spacing w:line="340" w:lineRule="exact"/>
              <w:rPr>
                <w:rFonts w:ascii="Times New Roman" w:hAnsi="Times New Roman"/>
                <w:color w:val="auto"/>
                <w:highlight w:val="none"/>
              </w:rPr>
            </w:pPr>
            <w:r>
              <w:rPr>
                <w:rFonts w:ascii="Times New Roman" w:hAnsi="Times New Roman"/>
                <w:color w:val="auto"/>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之后的成交候选人为成交供应商或者重新组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68" w:type="dxa"/>
            <w:vAlign w:val="center"/>
          </w:tcPr>
          <w:p>
            <w:pPr>
              <w:spacing w:line="340" w:lineRule="exact"/>
              <w:jc w:val="center"/>
              <w:rPr>
                <w:color w:val="auto"/>
                <w:szCs w:val="21"/>
                <w:highlight w:val="none"/>
              </w:rPr>
            </w:pPr>
            <w:r>
              <w:rPr>
                <w:color w:val="auto"/>
                <w:szCs w:val="21"/>
                <w:highlight w:val="none"/>
              </w:rPr>
              <w:t>17</w:t>
            </w:r>
          </w:p>
        </w:tc>
        <w:tc>
          <w:tcPr>
            <w:tcW w:w="670" w:type="dxa"/>
            <w:vAlign w:val="center"/>
          </w:tcPr>
          <w:p>
            <w:pPr>
              <w:spacing w:line="340" w:lineRule="exact"/>
              <w:jc w:val="center"/>
              <w:rPr>
                <w:color w:val="auto"/>
                <w:szCs w:val="21"/>
                <w:highlight w:val="none"/>
              </w:rPr>
            </w:pPr>
            <w:r>
              <w:rPr>
                <w:color w:val="auto"/>
                <w:szCs w:val="21"/>
                <w:highlight w:val="none"/>
              </w:rPr>
              <w:t>26</w:t>
            </w:r>
          </w:p>
        </w:tc>
        <w:tc>
          <w:tcPr>
            <w:tcW w:w="2057" w:type="dxa"/>
            <w:vAlign w:val="center"/>
          </w:tcPr>
          <w:p>
            <w:pPr>
              <w:spacing w:line="340" w:lineRule="exact"/>
              <w:jc w:val="center"/>
              <w:rPr>
                <w:color w:val="auto"/>
                <w:szCs w:val="21"/>
                <w:highlight w:val="none"/>
              </w:rPr>
            </w:pPr>
            <w:r>
              <w:rPr>
                <w:color w:val="auto"/>
                <w:szCs w:val="21"/>
                <w:highlight w:val="none"/>
              </w:rPr>
              <w:t>成交结果公告</w:t>
            </w:r>
          </w:p>
          <w:p>
            <w:pPr>
              <w:spacing w:line="340" w:lineRule="exact"/>
              <w:jc w:val="center"/>
              <w:rPr>
                <w:color w:val="auto"/>
                <w:szCs w:val="21"/>
                <w:highlight w:val="none"/>
              </w:rPr>
            </w:pPr>
            <w:r>
              <w:rPr>
                <w:color w:val="auto"/>
                <w:szCs w:val="21"/>
                <w:highlight w:val="none"/>
              </w:rPr>
              <w:t>及成交通知书</w:t>
            </w:r>
          </w:p>
        </w:tc>
        <w:tc>
          <w:tcPr>
            <w:tcW w:w="7513" w:type="dxa"/>
            <w:vAlign w:val="top"/>
          </w:tcPr>
          <w:p>
            <w:pPr>
              <w:tabs>
                <w:tab w:val="left" w:pos="455"/>
              </w:tabs>
              <w:spacing w:line="340" w:lineRule="exact"/>
              <w:rPr>
                <w:color w:val="auto"/>
                <w:szCs w:val="21"/>
                <w:highlight w:val="none"/>
              </w:rPr>
            </w:pPr>
            <w:r>
              <w:rPr>
                <w:color w:val="auto"/>
                <w:szCs w:val="21"/>
                <w:highlight w:val="none"/>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pacing w:line="340" w:lineRule="exact"/>
              <w:rPr>
                <w:color w:val="auto"/>
                <w:szCs w:val="21"/>
                <w:highlight w:val="none"/>
              </w:rPr>
            </w:pPr>
            <w:r>
              <w:rPr>
                <w:color w:val="auto"/>
                <w:szCs w:val="21"/>
                <w:highlight w:val="none"/>
              </w:rPr>
              <w:t>27.2、</w:t>
            </w:r>
            <w:r>
              <w:rPr>
                <w:color w:val="auto"/>
                <w:highlight w:val="none"/>
              </w:rPr>
              <w:t>在发布成交结果公告的同时，采购代理机构向成交供应商发出成交通知书。</w:t>
            </w:r>
            <w:r>
              <w:rPr>
                <w:color w:val="auto"/>
                <w:szCs w:val="21"/>
                <w:highlight w:val="none"/>
              </w:rPr>
              <w:t>成交供应商应自接到通知之日起七个工作日内，办理成交通知书领取手续。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68" w:type="dxa"/>
            <w:vAlign w:val="center"/>
          </w:tcPr>
          <w:p>
            <w:pPr>
              <w:spacing w:line="340" w:lineRule="exact"/>
              <w:jc w:val="center"/>
              <w:rPr>
                <w:color w:val="auto"/>
                <w:szCs w:val="21"/>
                <w:highlight w:val="none"/>
              </w:rPr>
            </w:pPr>
            <w:r>
              <w:rPr>
                <w:color w:val="auto"/>
                <w:szCs w:val="21"/>
                <w:highlight w:val="none"/>
              </w:rPr>
              <w:t>18</w:t>
            </w:r>
          </w:p>
        </w:tc>
        <w:tc>
          <w:tcPr>
            <w:tcW w:w="670" w:type="dxa"/>
            <w:vAlign w:val="center"/>
          </w:tcPr>
          <w:p>
            <w:pPr>
              <w:spacing w:line="340" w:lineRule="exact"/>
              <w:jc w:val="center"/>
              <w:rPr>
                <w:color w:val="auto"/>
                <w:szCs w:val="21"/>
                <w:highlight w:val="none"/>
              </w:rPr>
            </w:pPr>
            <w:r>
              <w:rPr>
                <w:color w:val="auto"/>
                <w:szCs w:val="21"/>
                <w:highlight w:val="none"/>
              </w:rPr>
              <w:t>27</w:t>
            </w:r>
          </w:p>
        </w:tc>
        <w:tc>
          <w:tcPr>
            <w:tcW w:w="2057" w:type="dxa"/>
            <w:vAlign w:val="center"/>
          </w:tcPr>
          <w:p>
            <w:pPr>
              <w:spacing w:line="340" w:lineRule="exact"/>
              <w:jc w:val="center"/>
              <w:rPr>
                <w:color w:val="auto"/>
                <w:highlight w:val="none"/>
              </w:rPr>
            </w:pPr>
            <w:r>
              <w:rPr>
                <w:color w:val="auto"/>
                <w:highlight w:val="none"/>
              </w:rPr>
              <w:t>合同履约担保</w:t>
            </w:r>
          </w:p>
        </w:tc>
        <w:tc>
          <w:tcPr>
            <w:tcW w:w="7513" w:type="dxa"/>
            <w:vAlign w:val="center"/>
          </w:tcPr>
          <w:p>
            <w:pPr>
              <w:spacing w:line="340" w:lineRule="exact"/>
              <w:rPr>
                <w:rFonts w:hint="eastAsia" w:eastAsia="宋体"/>
                <w:color w:val="auto"/>
                <w:szCs w:val="21"/>
                <w:highlight w:val="none"/>
                <w:lang w:eastAsia="zh-CN"/>
              </w:rPr>
            </w:pPr>
            <w:r>
              <w:rPr>
                <w:rFonts w:hint="eastAsia"/>
                <w:color w:val="auto"/>
                <w:szCs w:val="21"/>
                <w:highlight w:val="none"/>
                <w:lang w:eastAsia="zh-CN"/>
              </w:rPr>
              <w:t>本项目无需缴纳履约保证金。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68" w:type="dxa"/>
            <w:vAlign w:val="center"/>
          </w:tcPr>
          <w:p>
            <w:pPr>
              <w:spacing w:line="340" w:lineRule="exact"/>
              <w:jc w:val="center"/>
              <w:rPr>
                <w:color w:val="auto"/>
                <w:szCs w:val="21"/>
                <w:highlight w:val="none"/>
              </w:rPr>
            </w:pPr>
            <w:r>
              <w:rPr>
                <w:color w:val="auto"/>
                <w:szCs w:val="21"/>
                <w:highlight w:val="none"/>
              </w:rPr>
              <w:t>19</w:t>
            </w:r>
          </w:p>
        </w:tc>
        <w:tc>
          <w:tcPr>
            <w:tcW w:w="670" w:type="dxa"/>
            <w:vAlign w:val="center"/>
          </w:tcPr>
          <w:p>
            <w:pPr>
              <w:spacing w:line="340" w:lineRule="exact"/>
              <w:jc w:val="center"/>
              <w:rPr>
                <w:color w:val="auto"/>
                <w:szCs w:val="21"/>
                <w:highlight w:val="none"/>
              </w:rPr>
            </w:pPr>
            <w:r>
              <w:rPr>
                <w:color w:val="auto"/>
                <w:szCs w:val="21"/>
                <w:highlight w:val="none"/>
              </w:rPr>
              <w:t>28.1</w:t>
            </w:r>
          </w:p>
        </w:tc>
        <w:tc>
          <w:tcPr>
            <w:tcW w:w="2057" w:type="dxa"/>
            <w:vAlign w:val="center"/>
          </w:tcPr>
          <w:p>
            <w:pPr>
              <w:spacing w:line="340" w:lineRule="exact"/>
              <w:jc w:val="center"/>
              <w:rPr>
                <w:color w:val="auto"/>
                <w:highlight w:val="none"/>
              </w:rPr>
            </w:pPr>
            <w:r>
              <w:rPr>
                <w:color w:val="auto"/>
                <w:highlight w:val="none"/>
              </w:rPr>
              <w:t>签订合同时间</w:t>
            </w:r>
          </w:p>
        </w:tc>
        <w:tc>
          <w:tcPr>
            <w:tcW w:w="7513" w:type="dxa"/>
            <w:vAlign w:val="center"/>
          </w:tcPr>
          <w:p>
            <w:pPr>
              <w:spacing w:line="340" w:lineRule="exact"/>
              <w:rPr>
                <w:color w:val="auto"/>
                <w:highlight w:val="none"/>
              </w:rPr>
            </w:pPr>
            <w:r>
              <w:rPr>
                <w:color w:val="auto"/>
                <w:highlight w:val="none"/>
              </w:rPr>
              <w:t>成交通知书发出后</w:t>
            </w:r>
            <w:r>
              <w:rPr>
                <w:rFonts w:hint="eastAsia"/>
                <w:color w:val="auto"/>
                <w:highlight w:val="none"/>
                <w:lang w:val="en-US" w:eastAsia="zh-CN"/>
              </w:rPr>
              <w:t>二十五</w:t>
            </w:r>
            <w:r>
              <w:rPr>
                <w:color w:val="auto"/>
                <w:highlight w:val="none"/>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568" w:type="dxa"/>
            <w:vAlign w:val="center"/>
          </w:tcPr>
          <w:p>
            <w:pPr>
              <w:spacing w:line="340" w:lineRule="exact"/>
              <w:jc w:val="center"/>
              <w:rPr>
                <w:color w:val="auto"/>
                <w:szCs w:val="21"/>
                <w:highlight w:val="none"/>
              </w:rPr>
            </w:pPr>
            <w:r>
              <w:rPr>
                <w:color w:val="auto"/>
                <w:szCs w:val="21"/>
                <w:highlight w:val="none"/>
              </w:rPr>
              <w:t>20</w:t>
            </w:r>
          </w:p>
        </w:tc>
        <w:tc>
          <w:tcPr>
            <w:tcW w:w="670" w:type="dxa"/>
            <w:vAlign w:val="center"/>
          </w:tcPr>
          <w:p>
            <w:pPr>
              <w:spacing w:line="340" w:lineRule="exact"/>
              <w:jc w:val="center"/>
              <w:rPr>
                <w:color w:val="auto"/>
                <w:szCs w:val="21"/>
                <w:highlight w:val="none"/>
              </w:rPr>
            </w:pPr>
            <w:r>
              <w:rPr>
                <w:color w:val="auto"/>
                <w:szCs w:val="21"/>
                <w:highlight w:val="none"/>
              </w:rPr>
              <w:t>28.3</w:t>
            </w:r>
          </w:p>
        </w:tc>
        <w:tc>
          <w:tcPr>
            <w:tcW w:w="2057" w:type="dxa"/>
            <w:vAlign w:val="center"/>
          </w:tcPr>
          <w:p>
            <w:pPr>
              <w:spacing w:line="340" w:lineRule="exact"/>
              <w:jc w:val="center"/>
              <w:rPr>
                <w:color w:val="auto"/>
                <w:highlight w:val="none"/>
              </w:rPr>
            </w:pPr>
            <w:r>
              <w:rPr>
                <w:color w:val="auto"/>
                <w:highlight w:val="none"/>
              </w:rPr>
              <w:t>合同备案存档</w:t>
            </w:r>
          </w:p>
        </w:tc>
        <w:tc>
          <w:tcPr>
            <w:tcW w:w="7513" w:type="dxa"/>
            <w:vAlign w:val="center"/>
          </w:tcPr>
          <w:p>
            <w:pPr>
              <w:spacing w:line="340" w:lineRule="exact"/>
              <w:rPr>
                <w:color w:val="auto"/>
                <w:szCs w:val="21"/>
                <w:highlight w:val="none"/>
              </w:rPr>
            </w:pPr>
            <w:r>
              <w:rPr>
                <w:color w:val="auto"/>
                <w:szCs w:val="21"/>
                <w:highlight w:val="none"/>
              </w:rPr>
              <w:t>政府采购合同双方自签订之日起1个工作日内将合同原件两份交采购代理机构。采购代理机构将政府采购合同在省级以上人民政府财政部门指定媒体上公告并于合同签订之日起七个工作日内将一份合同原件送</w:t>
            </w:r>
            <w:r>
              <w:rPr>
                <w:rFonts w:hint="eastAsia"/>
                <w:color w:val="auto"/>
                <w:szCs w:val="21"/>
                <w:highlight w:val="none"/>
                <w:lang w:eastAsia="zh-CN"/>
              </w:rPr>
              <w:t>桂林市政府采购管理办公室</w:t>
            </w:r>
            <w:r>
              <w:rPr>
                <w:color w:val="auto"/>
                <w:highlight w:val="none"/>
              </w:rPr>
              <w:t>备案，一份由采购代理机构存档。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8" w:type="dxa"/>
            <w:vAlign w:val="center"/>
          </w:tcPr>
          <w:p>
            <w:pPr>
              <w:spacing w:line="340" w:lineRule="exact"/>
              <w:jc w:val="center"/>
              <w:rPr>
                <w:color w:val="auto"/>
                <w:szCs w:val="21"/>
                <w:highlight w:val="none"/>
              </w:rPr>
            </w:pPr>
            <w:r>
              <w:rPr>
                <w:color w:val="auto"/>
                <w:szCs w:val="21"/>
                <w:highlight w:val="none"/>
              </w:rPr>
              <w:t>21</w:t>
            </w:r>
          </w:p>
        </w:tc>
        <w:tc>
          <w:tcPr>
            <w:tcW w:w="670" w:type="dxa"/>
            <w:vAlign w:val="center"/>
          </w:tcPr>
          <w:p>
            <w:pPr>
              <w:spacing w:line="340" w:lineRule="exact"/>
              <w:jc w:val="center"/>
              <w:rPr>
                <w:color w:val="auto"/>
                <w:szCs w:val="21"/>
                <w:highlight w:val="none"/>
              </w:rPr>
            </w:pPr>
            <w:r>
              <w:rPr>
                <w:color w:val="auto"/>
                <w:szCs w:val="21"/>
                <w:highlight w:val="none"/>
              </w:rPr>
              <w:t>29</w:t>
            </w:r>
          </w:p>
        </w:tc>
        <w:tc>
          <w:tcPr>
            <w:tcW w:w="2057" w:type="dxa"/>
            <w:vAlign w:val="center"/>
          </w:tcPr>
          <w:p>
            <w:pPr>
              <w:spacing w:line="340" w:lineRule="exact"/>
              <w:jc w:val="center"/>
              <w:rPr>
                <w:color w:val="auto"/>
                <w:highlight w:val="none"/>
              </w:rPr>
            </w:pPr>
            <w:r>
              <w:rPr>
                <w:color w:val="auto"/>
                <w:highlight w:val="none"/>
              </w:rPr>
              <w:t>代理服务费</w:t>
            </w:r>
          </w:p>
        </w:tc>
        <w:tc>
          <w:tcPr>
            <w:tcW w:w="7513" w:type="dxa"/>
            <w:vAlign w:val="center"/>
          </w:tcPr>
          <w:p>
            <w:pPr>
              <w:spacing w:line="340" w:lineRule="exact"/>
              <w:rPr>
                <w:color w:val="auto"/>
                <w:szCs w:val="21"/>
                <w:highlight w:val="none"/>
              </w:rPr>
            </w:pPr>
            <w:r>
              <w:rPr>
                <w:color w:val="auto"/>
                <w:szCs w:val="21"/>
                <w:highlight w:val="none"/>
              </w:rPr>
              <w:t>成交供应商领取成交通知书前，参照计价格[2002]1980号《招标代理服务收费管理暂行办法》服务类收费标准向</w:t>
            </w:r>
            <w:r>
              <w:rPr>
                <w:rFonts w:hint="eastAsia"/>
                <w:color w:val="auto"/>
                <w:szCs w:val="21"/>
                <w:highlight w:val="none"/>
                <w:lang w:eastAsia="zh-CN"/>
              </w:rPr>
              <w:t>广西汇益招标咨询有限公司</w:t>
            </w:r>
            <w:r>
              <w:rPr>
                <w:color w:val="auto"/>
                <w:szCs w:val="21"/>
                <w:highlight w:val="none"/>
              </w:rPr>
              <w:t>一次性付清代理</w:t>
            </w:r>
            <w:r>
              <w:rPr>
                <w:rFonts w:hint="eastAsia"/>
                <w:color w:val="auto"/>
                <w:szCs w:val="21"/>
                <w:highlight w:val="none"/>
                <w:lang w:val="en-US" w:eastAsia="zh-CN"/>
              </w:rPr>
              <w:t xml:space="preserve">服务  </w:t>
            </w:r>
            <w:r>
              <w:rPr>
                <w:color w:val="auto"/>
                <w:szCs w:val="21"/>
                <w:highlight w:val="none"/>
              </w:rPr>
              <w:t>费。</w:t>
            </w:r>
          </w:p>
          <w:p>
            <w:pPr>
              <w:spacing w:line="380" w:lineRule="exact"/>
              <w:rPr>
                <w:color w:val="auto"/>
                <w:highlight w:val="none"/>
              </w:rPr>
            </w:pPr>
            <w:r>
              <w:rPr>
                <w:b/>
                <w:color w:val="auto"/>
                <w:highlight w:val="none"/>
              </w:rPr>
              <w:t>交纳代理服务费的银行账户：</w:t>
            </w:r>
          </w:p>
          <w:p>
            <w:pPr>
              <w:spacing w:line="380" w:lineRule="exact"/>
              <w:ind w:firstLine="420" w:firstLineChars="200"/>
              <w:rPr>
                <w:rFonts w:hint="eastAsia" w:eastAsia="宋体"/>
                <w:color w:val="auto"/>
                <w:highlight w:val="none"/>
                <w:lang w:eastAsia="zh-CN"/>
              </w:rPr>
            </w:pPr>
            <w:r>
              <w:rPr>
                <w:color w:val="auto"/>
                <w:highlight w:val="none"/>
              </w:rPr>
              <w:t>账户名称：</w:t>
            </w:r>
            <w:r>
              <w:rPr>
                <w:rFonts w:hint="eastAsia"/>
                <w:color w:val="auto"/>
                <w:highlight w:val="none"/>
                <w:lang w:eastAsia="zh-CN"/>
              </w:rPr>
              <w:t>广西汇益招标咨询有限公司</w:t>
            </w:r>
          </w:p>
          <w:p>
            <w:pPr>
              <w:pStyle w:val="23"/>
              <w:snapToGrid w:val="0"/>
              <w:spacing w:line="360" w:lineRule="exact"/>
              <w:ind w:firstLine="420" w:firstLineChars="200"/>
              <w:rPr>
                <w:rFonts w:hint="eastAsia" w:asciiTheme="minorEastAsia" w:hAnsiTheme="minorEastAsia" w:eastAsiaTheme="minorEastAsia" w:cstheme="minorEastAsia"/>
                <w:color w:val="auto"/>
                <w:highlight w:val="none"/>
                <w:lang w:val="en-US" w:eastAsia="zh-CN"/>
              </w:rPr>
            </w:pPr>
            <w:r>
              <w:rPr>
                <w:rFonts w:ascii="Times New Roman" w:hAnsi="Times New Roman"/>
                <w:color w:val="auto"/>
                <w:highlight w:val="none"/>
              </w:rPr>
              <w:t>银行开户</w:t>
            </w:r>
            <w:r>
              <w:rPr>
                <w:rFonts w:hint="eastAsia" w:asciiTheme="minorEastAsia" w:hAnsiTheme="minorEastAsia" w:eastAsiaTheme="minorEastAsia" w:cstheme="minorEastAsia"/>
                <w:color w:val="auto"/>
                <w:highlight w:val="none"/>
              </w:rPr>
              <w:t>行：桂林银行叠彩支行</w:t>
            </w:r>
            <w:r>
              <w:rPr>
                <w:rFonts w:hint="eastAsia" w:asciiTheme="minorEastAsia" w:hAnsiTheme="minorEastAsia" w:eastAsiaTheme="minorEastAsia" w:cstheme="minorEastAsia"/>
                <w:color w:val="auto"/>
                <w:highlight w:val="none"/>
                <w:lang w:val="en-US" w:eastAsia="zh-CN"/>
              </w:rPr>
              <w:t xml:space="preserve"> </w:t>
            </w:r>
          </w:p>
          <w:p>
            <w:pPr>
              <w:spacing w:line="380" w:lineRule="exact"/>
              <w:ind w:firstLine="420" w:firstLineChars="200"/>
              <w:rPr>
                <w:rFonts w:hint="eastAsia" w:eastAsia="宋体"/>
                <w:color w:val="auto"/>
                <w:highlight w:val="none"/>
                <w:lang w:eastAsia="zh-CN"/>
              </w:rPr>
            </w:pPr>
            <w:r>
              <w:rPr>
                <w:rFonts w:hint="eastAsia" w:asciiTheme="minorEastAsia" w:hAnsiTheme="minorEastAsia" w:eastAsiaTheme="minorEastAsia" w:cstheme="minorEastAsia"/>
                <w:color w:val="auto"/>
                <w:highlight w:val="none"/>
              </w:rPr>
              <w:t>银行账号：</w:t>
            </w:r>
            <w:r>
              <w:rPr>
                <w:rFonts w:hint="eastAsia" w:asciiTheme="minorEastAsia" w:hAnsiTheme="minorEastAsia" w:eastAsiaTheme="minorEastAsia" w:cstheme="minorEastAsia"/>
                <w:color w:val="auto"/>
                <w:szCs w:val="21"/>
                <w:highlight w:val="none"/>
              </w:rPr>
              <w:t>6600 1001 0008 1000 20</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568" w:type="dxa"/>
            <w:vAlign w:val="center"/>
          </w:tcPr>
          <w:p>
            <w:pPr>
              <w:spacing w:line="340" w:lineRule="exact"/>
              <w:jc w:val="center"/>
              <w:rPr>
                <w:color w:val="auto"/>
                <w:szCs w:val="21"/>
                <w:highlight w:val="none"/>
              </w:rPr>
            </w:pPr>
            <w:r>
              <w:rPr>
                <w:color w:val="auto"/>
                <w:szCs w:val="21"/>
                <w:highlight w:val="none"/>
              </w:rPr>
              <w:t>22</w:t>
            </w:r>
          </w:p>
        </w:tc>
        <w:tc>
          <w:tcPr>
            <w:tcW w:w="670" w:type="dxa"/>
            <w:vAlign w:val="center"/>
          </w:tcPr>
          <w:p>
            <w:pPr>
              <w:spacing w:line="340" w:lineRule="exact"/>
              <w:jc w:val="center"/>
              <w:rPr>
                <w:color w:val="auto"/>
                <w:szCs w:val="21"/>
                <w:highlight w:val="none"/>
              </w:rPr>
            </w:pPr>
            <w:r>
              <w:rPr>
                <w:color w:val="auto"/>
                <w:szCs w:val="21"/>
                <w:highlight w:val="none"/>
              </w:rPr>
              <w:t>31</w:t>
            </w:r>
          </w:p>
        </w:tc>
        <w:tc>
          <w:tcPr>
            <w:tcW w:w="2057" w:type="dxa"/>
            <w:vAlign w:val="center"/>
          </w:tcPr>
          <w:p>
            <w:pPr>
              <w:spacing w:line="340" w:lineRule="exact"/>
              <w:jc w:val="center"/>
              <w:rPr>
                <w:color w:val="auto"/>
                <w:highlight w:val="none"/>
              </w:rPr>
            </w:pPr>
            <w:r>
              <w:rPr>
                <w:color w:val="auto"/>
                <w:highlight w:val="none"/>
              </w:rPr>
              <w:t>解释权</w:t>
            </w:r>
          </w:p>
        </w:tc>
        <w:tc>
          <w:tcPr>
            <w:tcW w:w="7513" w:type="dxa"/>
            <w:vAlign w:val="center"/>
          </w:tcPr>
          <w:p>
            <w:pPr>
              <w:spacing w:line="340" w:lineRule="exact"/>
              <w:rPr>
                <w:color w:val="auto"/>
                <w:szCs w:val="21"/>
                <w:highlight w:val="none"/>
              </w:rPr>
            </w:pPr>
            <w:r>
              <w:rPr>
                <w:color w:val="auto"/>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68" w:type="dxa"/>
            <w:vAlign w:val="center"/>
          </w:tcPr>
          <w:p>
            <w:pPr>
              <w:spacing w:line="340" w:lineRule="exact"/>
              <w:jc w:val="center"/>
              <w:rPr>
                <w:color w:val="auto"/>
                <w:szCs w:val="21"/>
                <w:highlight w:val="none"/>
              </w:rPr>
            </w:pPr>
            <w:r>
              <w:rPr>
                <w:color w:val="auto"/>
                <w:szCs w:val="21"/>
                <w:highlight w:val="none"/>
              </w:rPr>
              <w:t>23</w:t>
            </w:r>
          </w:p>
        </w:tc>
        <w:tc>
          <w:tcPr>
            <w:tcW w:w="670" w:type="dxa"/>
            <w:vAlign w:val="center"/>
          </w:tcPr>
          <w:p>
            <w:pPr>
              <w:spacing w:line="340" w:lineRule="exact"/>
              <w:jc w:val="center"/>
              <w:rPr>
                <w:color w:val="auto"/>
                <w:szCs w:val="21"/>
                <w:highlight w:val="none"/>
              </w:rPr>
            </w:pPr>
            <w:r>
              <w:rPr>
                <w:color w:val="auto"/>
                <w:szCs w:val="21"/>
                <w:highlight w:val="none"/>
              </w:rPr>
              <w:t>32</w:t>
            </w:r>
          </w:p>
        </w:tc>
        <w:tc>
          <w:tcPr>
            <w:tcW w:w="2057" w:type="dxa"/>
            <w:vAlign w:val="center"/>
          </w:tcPr>
          <w:p>
            <w:pPr>
              <w:spacing w:line="340" w:lineRule="exact"/>
              <w:jc w:val="center"/>
              <w:rPr>
                <w:color w:val="auto"/>
                <w:highlight w:val="none"/>
              </w:rPr>
            </w:pPr>
            <w:r>
              <w:rPr>
                <w:color w:val="auto"/>
                <w:highlight w:val="none"/>
              </w:rPr>
              <w:t>监督管理机构</w:t>
            </w:r>
          </w:p>
        </w:tc>
        <w:tc>
          <w:tcPr>
            <w:tcW w:w="7513" w:type="dxa"/>
            <w:vAlign w:val="center"/>
          </w:tcPr>
          <w:p>
            <w:pPr>
              <w:spacing w:line="340" w:lineRule="exact"/>
              <w:rPr>
                <w:color w:val="auto"/>
                <w:szCs w:val="21"/>
                <w:highlight w:val="none"/>
              </w:rPr>
            </w:pPr>
            <w:r>
              <w:rPr>
                <w:rFonts w:hint="eastAsia" w:ascii="宋体" w:hAnsi="宋体"/>
                <w:color w:val="auto"/>
                <w:highlight w:val="none"/>
              </w:rPr>
              <w:t>桂林市政府采购管理办公室</w:t>
            </w:r>
            <w:r>
              <w:rPr>
                <w:color w:val="auto"/>
                <w:szCs w:val="21"/>
                <w:highlight w:val="none"/>
              </w:rPr>
              <w:t>；联系电话：</w:t>
            </w:r>
            <w:r>
              <w:rPr>
                <w:rFonts w:hint="eastAsia" w:ascii="宋体" w:hAnsi="宋体"/>
                <w:color w:val="auto"/>
                <w:szCs w:val="21"/>
                <w:highlight w:val="none"/>
              </w:rPr>
              <w:t xml:space="preserve">0773-2838596 </w:t>
            </w:r>
          </w:p>
        </w:tc>
      </w:tr>
    </w:tbl>
    <w:p>
      <w:pPr>
        <w:spacing w:line="440" w:lineRule="atLeast"/>
        <w:ind w:firstLine="627" w:firstLineChars="196"/>
        <w:jc w:val="center"/>
        <w:rPr>
          <w:b/>
          <w:color w:val="auto"/>
          <w:sz w:val="28"/>
          <w:szCs w:val="28"/>
          <w:highlight w:val="none"/>
        </w:rPr>
      </w:pPr>
      <w:r>
        <w:rPr>
          <w:b/>
          <w:color w:val="auto"/>
          <w:sz w:val="32"/>
          <w:szCs w:val="32"/>
          <w:highlight w:val="none"/>
        </w:rPr>
        <w:br w:type="page"/>
      </w:r>
      <w:r>
        <w:rPr>
          <w:b/>
          <w:color w:val="auto"/>
          <w:sz w:val="28"/>
          <w:szCs w:val="28"/>
          <w:highlight w:val="none"/>
        </w:rPr>
        <w:t>一、总则</w:t>
      </w:r>
    </w:p>
    <w:p>
      <w:pPr>
        <w:spacing w:line="390" w:lineRule="exact"/>
        <w:ind w:firstLine="411" w:firstLineChars="196"/>
        <w:rPr>
          <w:b/>
          <w:color w:val="auto"/>
          <w:szCs w:val="21"/>
          <w:highlight w:val="none"/>
        </w:rPr>
      </w:pPr>
      <w:r>
        <w:rPr>
          <w:b/>
          <w:color w:val="auto"/>
          <w:szCs w:val="21"/>
          <w:highlight w:val="none"/>
        </w:rPr>
        <w:t>1、适应范围</w:t>
      </w:r>
    </w:p>
    <w:p>
      <w:pPr>
        <w:spacing w:line="380" w:lineRule="exact"/>
        <w:ind w:firstLine="435"/>
        <w:rPr>
          <w:rFonts w:hint="eastAsia" w:eastAsia="宋体"/>
          <w:color w:val="auto"/>
          <w:szCs w:val="21"/>
          <w:highlight w:val="none"/>
          <w:lang w:eastAsia="zh-CN"/>
        </w:rPr>
      </w:pPr>
      <w:r>
        <w:rPr>
          <w:color w:val="auto"/>
          <w:szCs w:val="21"/>
          <w:highlight w:val="none"/>
        </w:rPr>
        <w:t>1.1项目名称：</w:t>
      </w:r>
      <w:r>
        <w:rPr>
          <w:rFonts w:hint="default" w:ascii="宋体" w:hAnsi="宋体" w:cs="宋体"/>
          <w:color w:val="auto"/>
          <w:szCs w:val="21"/>
          <w:highlight w:val="none"/>
          <w:u w:val="none"/>
          <w:lang w:val="en-US" w:eastAsia="zh-CN"/>
        </w:rPr>
        <w:fldChar w:fldCharType="begin"/>
      </w:r>
      <w:r>
        <w:rPr>
          <w:rFonts w:hint="default" w:ascii="宋体" w:hAnsi="宋体" w:cs="宋体"/>
          <w:color w:val="auto"/>
          <w:szCs w:val="21"/>
          <w:highlight w:val="none"/>
          <w:u w:val="none"/>
          <w:lang w:val="en-US" w:eastAsia="zh-CN"/>
        </w:rPr>
        <w:instrText xml:space="preserve"> HYPERLINK "https://bidding.zcygov.cn/xmgl/projectQuery/queryDetail?projectUuid=5d1d783f1c1bf753&amp;utm=bidding-entrust-front.62f570f9.0.0.96d1b940f30e11ea8a31c3b08aaeacc2" \t "https://www.zcygov.cn/bidding-entrust/_blank" </w:instrText>
      </w:r>
      <w:r>
        <w:rPr>
          <w:rFonts w:hint="default" w:ascii="宋体" w:hAnsi="宋体" w:cs="宋体"/>
          <w:color w:val="auto"/>
          <w:szCs w:val="21"/>
          <w:highlight w:val="none"/>
          <w:u w:val="none"/>
          <w:lang w:val="en-US" w:eastAsia="zh-CN"/>
        </w:rPr>
        <w:fldChar w:fldCharType="separate"/>
      </w:r>
      <w:r>
        <w:rPr>
          <w:rFonts w:hint="default" w:ascii="宋体" w:hAnsi="宋体" w:cs="宋体"/>
          <w:color w:val="auto"/>
          <w:szCs w:val="21"/>
          <w:highlight w:val="none"/>
          <w:u w:val="none"/>
        </w:rPr>
        <w:t>桂林市水利局桂林市水安全保障“十四五”规划项目</w:t>
      </w:r>
      <w:r>
        <w:rPr>
          <w:rFonts w:hint="default" w:ascii="宋体" w:hAnsi="宋体" w:cs="宋体"/>
          <w:color w:val="auto"/>
          <w:szCs w:val="21"/>
          <w:highlight w:val="none"/>
          <w:u w:val="none"/>
          <w:lang w:val="en-US" w:eastAsia="zh-CN"/>
        </w:rPr>
        <w:fldChar w:fldCharType="end"/>
      </w:r>
    </w:p>
    <w:p>
      <w:pPr>
        <w:spacing w:line="380" w:lineRule="exact"/>
        <w:ind w:firstLine="435"/>
        <w:rPr>
          <w:rFonts w:hint="eastAsia" w:eastAsia="宋体"/>
          <w:color w:val="auto"/>
          <w:szCs w:val="21"/>
          <w:highlight w:val="none"/>
          <w:lang w:eastAsia="zh-CN"/>
        </w:rPr>
      </w:pPr>
      <w:r>
        <w:rPr>
          <w:rFonts w:hint="eastAsia"/>
          <w:color w:val="auto"/>
          <w:szCs w:val="21"/>
          <w:highlight w:val="none"/>
        </w:rPr>
        <w:t xml:space="preserve">   </w:t>
      </w:r>
      <w:r>
        <w:rPr>
          <w:color w:val="auto"/>
          <w:szCs w:val="21"/>
          <w:highlight w:val="none"/>
        </w:rPr>
        <w:t>项目编号：</w:t>
      </w:r>
      <w:r>
        <w:rPr>
          <w:rFonts w:hint="eastAsia" w:ascii="宋体" w:hAnsi="宋体" w:cs="宋体"/>
          <w:color w:val="auto"/>
          <w:highlight w:val="none"/>
          <w:lang w:eastAsia="zh-CN"/>
        </w:rPr>
        <w:t>GLZC2020-C3-</w:t>
      </w:r>
      <w:r>
        <w:rPr>
          <w:rFonts w:hint="eastAsia" w:ascii="宋体" w:hAnsi="宋体" w:cs="宋体"/>
          <w:color w:val="auto"/>
          <w:highlight w:val="none"/>
          <w:lang w:val="en-US" w:eastAsia="zh-CN"/>
        </w:rPr>
        <w:t>990201</w:t>
      </w:r>
      <w:r>
        <w:rPr>
          <w:rFonts w:hint="eastAsia" w:ascii="宋体" w:hAnsi="宋体" w:cs="宋体"/>
          <w:color w:val="auto"/>
          <w:highlight w:val="none"/>
          <w:lang w:eastAsia="zh-CN"/>
        </w:rPr>
        <w:t>-HYZB</w:t>
      </w:r>
    </w:p>
    <w:p>
      <w:pPr>
        <w:spacing w:line="380" w:lineRule="exact"/>
        <w:ind w:firstLine="435"/>
        <w:rPr>
          <w:color w:val="auto"/>
          <w:szCs w:val="21"/>
          <w:highlight w:val="none"/>
        </w:rPr>
      </w:pPr>
      <w:r>
        <w:rPr>
          <w:color w:val="auto"/>
          <w:szCs w:val="21"/>
          <w:highlight w:val="none"/>
        </w:rPr>
        <w:t>1.2本竞争性磋商文件（以下简称磋商文件）适用于本磋商项目的磋商、评审、合同履约、验收、付款等行为（法律、法规另有规定的，从其规定）。</w:t>
      </w:r>
    </w:p>
    <w:p>
      <w:pPr>
        <w:spacing w:line="390" w:lineRule="exact"/>
        <w:ind w:firstLine="435"/>
        <w:rPr>
          <w:b/>
          <w:color w:val="auto"/>
          <w:szCs w:val="21"/>
          <w:highlight w:val="none"/>
        </w:rPr>
      </w:pPr>
      <w:r>
        <w:rPr>
          <w:b/>
          <w:color w:val="auto"/>
          <w:szCs w:val="21"/>
          <w:highlight w:val="none"/>
        </w:rPr>
        <w:t>2、定义</w:t>
      </w:r>
    </w:p>
    <w:p>
      <w:pPr>
        <w:spacing w:line="380" w:lineRule="exact"/>
        <w:ind w:firstLine="435"/>
        <w:rPr>
          <w:color w:val="auto"/>
          <w:szCs w:val="21"/>
          <w:highlight w:val="none"/>
        </w:rPr>
      </w:pPr>
      <w:r>
        <w:rPr>
          <w:color w:val="auto"/>
          <w:szCs w:val="21"/>
          <w:highlight w:val="none"/>
        </w:rPr>
        <w:t>2.1、“招标采购单位”是指组织本次采购的采购人和采购代理机构。</w:t>
      </w:r>
    </w:p>
    <w:p>
      <w:pPr>
        <w:spacing w:line="390" w:lineRule="exact"/>
        <w:ind w:firstLine="435"/>
        <w:rPr>
          <w:color w:val="auto"/>
          <w:szCs w:val="21"/>
          <w:highlight w:val="none"/>
        </w:rPr>
      </w:pPr>
      <w:r>
        <w:rPr>
          <w:color w:val="auto"/>
          <w:szCs w:val="21"/>
          <w:highlight w:val="none"/>
        </w:rPr>
        <w:t>2.2、“磋商供应商”是指符合本次采购项目的磋商供应商资格并提交响应文件、参加磋商的供应商。如果该供应商在本次磋商中成交，即成为“成交供应商”。</w:t>
      </w:r>
    </w:p>
    <w:p>
      <w:pPr>
        <w:spacing w:line="390" w:lineRule="exact"/>
        <w:ind w:firstLine="435"/>
        <w:rPr>
          <w:color w:val="auto"/>
          <w:szCs w:val="21"/>
          <w:highlight w:val="none"/>
        </w:rPr>
      </w:pPr>
      <w:r>
        <w:rPr>
          <w:color w:val="auto"/>
          <w:szCs w:val="21"/>
          <w:highlight w:val="none"/>
        </w:rPr>
        <w:t>2.3、“服务”系指按磋商文件规定，磋商供应商须承担的安装、调试、技术协助、校准、培训、技术指导以及其他类似的义务。</w:t>
      </w:r>
    </w:p>
    <w:p>
      <w:pPr>
        <w:spacing w:line="390" w:lineRule="exact"/>
        <w:ind w:firstLine="435"/>
        <w:rPr>
          <w:color w:val="auto"/>
          <w:szCs w:val="21"/>
          <w:highlight w:val="none"/>
        </w:rPr>
      </w:pPr>
      <w:r>
        <w:rPr>
          <w:color w:val="auto"/>
          <w:szCs w:val="21"/>
          <w:highlight w:val="none"/>
        </w:rPr>
        <w:t>2.4、“项目”系指磋商供应商按磋商文件规定向采购人提供服务。</w:t>
      </w:r>
    </w:p>
    <w:p>
      <w:pPr>
        <w:spacing w:line="390" w:lineRule="exact"/>
        <w:ind w:firstLine="435"/>
        <w:rPr>
          <w:color w:val="auto"/>
          <w:szCs w:val="21"/>
          <w:highlight w:val="none"/>
        </w:rPr>
      </w:pPr>
      <w:r>
        <w:rPr>
          <w:color w:val="auto"/>
          <w:szCs w:val="21"/>
          <w:highlight w:val="none"/>
        </w:rPr>
        <w:t>2.5、“书面形式”包括信函、传真、电报等。</w:t>
      </w:r>
    </w:p>
    <w:p>
      <w:pPr>
        <w:spacing w:line="390" w:lineRule="exact"/>
        <w:ind w:firstLine="435"/>
        <w:rPr>
          <w:color w:val="auto"/>
          <w:szCs w:val="21"/>
          <w:highlight w:val="none"/>
        </w:rPr>
      </w:pPr>
      <w:r>
        <w:rPr>
          <w:color w:val="auto"/>
          <w:szCs w:val="21"/>
          <w:highlight w:val="none"/>
        </w:rPr>
        <w:t>2.6、知识产权：指专利权、商标权、著作权等无形财产专有权的统称。</w:t>
      </w:r>
    </w:p>
    <w:p>
      <w:pPr>
        <w:spacing w:line="390" w:lineRule="exact"/>
        <w:ind w:firstLine="435"/>
        <w:rPr>
          <w:b/>
          <w:color w:val="auto"/>
          <w:szCs w:val="21"/>
          <w:highlight w:val="none"/>
        </w:rPr>
      </w:pPr>
      <w:r>
        <w:rPr>
          <w:b/>
          <w:color w:val="auto"/>
          <w:szCs w:val="21"/>
          <w:highlight w:val="none"/>
        </w:rPr>
        <w:t>3、磋商供应商资格</w:t>
      </w:r>
    </w:p>
    <w:p>
      <w:pPr>
        <w:spacing w:line="390" w:lineRule="exact"/>
        <w:ind w:firstLine="435"/>
        <w:rPr>
          <w:color w:val="auto"/>
          <w:szCs w:val="21"/>
          <w:highlight w:val="none"/>
        </w:rPr>
      </w:pPr>
      <w:r>
        <w:rPr>
          <w:color w:val="auto"/>
          <w:szCs w:val="21"/>
          <w:highlight w:val="none"/>
        </w:rPr>
        <w:t>见磋商供应商须知前附表第2条内容。</w:t>
      </w:r>
    </w:p>
    <w:p>
      <w:pPr>
        <w:spacing w:line="390" w:lineRule="exact"/>
        <w:ind w:firstLine="435"/>
        <w:rPr>
          <w:b/>
          <w:color w:val="auto"/>
          <w:szCs w:val="21"/>
          <w:highlight w:val="none"/>
        </w:rPr>
      </w:pPr>
      <w:r>
        <w:rPr>
          <w:b/>
          <w:color w:val="auto"/>
          <w:szCs w:val="21"/>
          <w:highlight w:val="none"/>
        </w:rPr>
        <w:t>4、磋商费用</w:t>
      </w:r>
    </w:p>
    <w:p>
      <w:pPr>
        <w:spacing w:line="390" w:lineRule="exact"/>
        <w:ind w:firstLine="435"/>
        <w:rPr>
          <w:color w:val="auto"/>
          <w:szCs w:val="21"/>
          <w:highlight w:val="none"/>
        </w:rPr>
      </w:pPr>
      <w:r>
        <w:rPr>
          <w:color w:val="auto"/>
          <w:szCs w:val="21"/>
          <w:highlight w:val="none"/>
        </w:rPr>
        <w:t>见磋商供应商须知前附表第3条内容。</w:t>
      </w:r>
    </w:p>
    <w:p>
      <w:pPr>
        <w:tabs>
          <w:tab w:val="left" w:pos="1635"/>
        </w:tabs>
        <w:spacing w:line="400" w:lineRule="exact"/>
        <w:ind w:firstLine="435"/>
        <w:rPr>
          <w:b/>
          <w:color w:val="auto"/>
          <w:szCs w:val="21"/>
          <w:highlight w:val="none"/>
        </w:rPr>
      </w:pPr>
      <w:r>
        <w:rPr>
          <w:b/>
          <w:color w:val="auto"/>
          <w:szCs w:val="21"/>
          <w:highlight w:val="none"/>
        </w:rPr>
        <w:t>5、联合体磋商要求（本项目不接受联合体磋商）</w:t>
      </w:r>
    </w:p>
    <w:p>
      <w:pPr>
        <w:tabs>
          <w:tab w:val="left" w:pos="2190"/>
        </w:tabs>
        <w:spacing w:line="390" w:lineRule="exact"/>
        <w:ind w:firstLine="411" w:firstLineChars="196"/>
        <w:rPr>
          <w:b/>
          <w:color w:val="auto"/>
          <w:szCs w:val="21"/>
          <w:highlight w:val="none"/>
        </w:rPr>
      </w:pPr>
      <w:r>
        <w:rPr>
          <w:b/>
          <w:color w:val="auto"/>
          <w:szCs w:val="21"/>
          <w:highlight w:val="none"/>
        </w:rPr>
        <w:t>6、质疑和投诉</w:t>
      </w:r>
      <w:r>
        <w:rPr>
          <w:b/>
          <w:color w:val="auto"/>
          <w:szCs w:val="21"/>
          <w:highlight w:val="none"/>
        </w:rPr>
        <w:tab/>
      </w:r>
    </w:p>
    <w:p>
      <w:pPr>
        <w:tabs>
          <w:tab w:val="left" w:pos="2190"/>
        </w:tabs>
        <w:spacing w:line="400" w:lineRule="exact"/>
        <w:ind w:firstLine="435"/>
        <w:rPr>
          <w:color w:val="auto"/>
          <w:szCs w:val="21"/>
          <w:highlight w:val="none"/>
        </w:rPr>
      </w:pPr>
      <w:r>
        <w:rPr>
          <w:color w:val="auto"/>
          <w:szCs w:val="21"/>
          <w:highlight w:val="none"/>
        </w:rPr>
        <w:t>6.1、磋商供应商对政府采购活动事项有疑问的，可以向采购人、采购代理机构提出询问。</w:t>
      </w:r>
    </w:p>
    <w:p>
      <w:pPr>
        <w:tabs>
          <w:tab w:val="left" w:pos="2190"/>
        </w:tabs>
        <w:spacing w:line="400" w:lineRule="exact"/>
        <w:ind w:firstLine="435"/>
        <w:rPr>
          <w:color w:val="auto"/>
          <w:szCs w:val="21"/>
          <w:highlight w:val="none"/>
        </w:rPr>
      </w:pPr>
      <w:r>
        <w:rPr>
          <w:color w:val="auto"/>
          <w:szCs w:val="21"/>
          <w:highlight w:val="none"/>
        </w:rPr>
        <w:t>6.2、磋商供应商认为磋商文件使自己的合法权益受到损害的，应当在收到磋商文件之日起7个工作日内以书面形式向采购代理机构提出质疑。采购代理机构应认真做好质疑处理工作。</w:t>
      </w:r>
    </w:p>
    <w:p>
      <w:pPr>
        <w:tabs>
          <w:tab w:val="left" w:pos="2190"/>
        </w:tabs>
        <w:spacing w:line="400" w:lineRule="exact"/>
        <w:ind w:firstLine="435"/>
        <w:rPr>
          <w:color w:val="auto"/>
          <w:szCs w:val="21"/>
          <w:highlight w:val="none"/>
        </w:rPr>
      </w:pPr>
      <w:r>
        <w:rPr>
          <w:color w:val="auto"/>
          <w:szCs w:val="21"/>
          <w:highlight w:val="none"/>
        </w:rPr>
        <w:t>6.3、磋商供应商认为采购过程使自己的合法权益受到损害的，应当在为各采购程序环节结束之日起7个工作日内，以书面形式向采购代理机构提出质疑。采购代理机构应认真做好质疑处理工作。</w:t>
      </w:r>
    </w:p>
    <w:p>
      <w:pPr>
        <w:tabs>
          <w:tab w:val="left" w:pos="2190"/>
        </w:tabs>
        <w:spacing w:line="400" w:lineRule="exact"/>
        <w:ind w:firstLine="435"/>
        <w:rPr>
          <w:color w:val="auto"/>
          <w:szCs w:val="21"/>
          <w:highlight w:val="none"/>
        </w:rPr>
      </w:pPr>
      <w:r>
        <w:rPr>
          <w:color w:val="auto"/>
          <w:szCs w:val="21"/>
          <w:highlight w:val="none"/>
        </w:rPr>
        <w:t>6.4、磋商供应商认为磋商结果使自己的合法权益受到损害的，应当在成交结果公告期限届满之日起7个工作日内，以书面形式向采购代理机构提出质疑。采购代理机构应认真做好质疑处理工作。</w:t>
      </w:r>
    </w:p>
    <w:p>
      <w:pPr>
        <w:tabs>
          <w:tab w:val="left" w:pos="2190"/>
        </w:tabs>
        <w:spacing w:line="400" w:lineRule="exact"/>
        <w:ind w:firstLine="435"/>
        <w:rPr>
          <w:color w:val="auto"/>
          <w:szCs w:val="21"/>
          <w:highlight w:val="none"/>
        </w:rPr>
      </w:pPr>
      <w:r>
        <w:rPr>
          <w:color w:val="auto"/>
          <w:szCs w:val="21"/>
          <w:highlight w:val="none"/>
        </w:rPr>
        <w:t>6.5、磋商供应商对采购代理机构的答复不满意或者采购代理机构未在规定的时间内作出答复的，可以在答复期满后十五个工作日内向</w:t>
      </w:r>
      <w:r>
        <w:rPr>
          <w:rFonts w:hint="eastAsia" w:ascii="宋体" w:hAnsi="宋体"/>
          <w:color w:val="auto"/>
          <w:highlight w:val="none"/>
        </w:rPr>
        <w:t>桂林市政府采购</w:t>
      </w:r>
      <w:r>
        <w:rPr>
          <w:color w:val="auto"/>
          <w:szCs w:val="21"/>
          <w:highlight w:val="none"/>
        </w:rPr>
        <w:t>监督管理机构投诉。</w:t>
      </w:r>
    </w:p>
    <w:p>
      <w:pPr>
        <w:tabs>
          <w:tab w:val="left" w:pos="2190"/>
        </w:tabs>
        <w:spacing w:line="380" w:lineRule="exact"/>
        <w:ind w:firstLine="435"/>
        <w:rPr>
          <w:color w:val="auto"/>
          <w:szCs w:val="21"/>
          <w:highlight w:val="none"/>
        </w:rPr>
      </w:pPr>
      <w:r>
        <w:rPr>
          <w:color w:val="auto"/>
          <w:szCs w:val="21"/>
          <w:highlight w:val="none"/>
        </w:rPr>
        <w:t>6.6、质疑、投诉应当采用书面形式，质疑书、投诉书实行实名制，均应明确阐述磋商文件、磋商过程或成交结果中使自己合法权益受到损害的实质性内容，提供相关事实、依据和证据及其来源或线索，必要的证明材料，便于有关单位调查、答复和处理。质疑函格式详见附件。</w:t>
      </w:r>
    </w:p>
    <w:p>
      <w:pPr>
        <w:tabs>
          <w:tab w:val="left" w:pos="2190"/>
        </w:tabs>
        <w:spacing w:line="380" w:lineRule="exact"/>
        <w:ind w:firstLine="435"/>
        <w:rPr>
          <w:color w:val="auto"/>
          <w:szCs w:val="21"/>
          <w:highlight w:val="none"/>
        </w:rPr>
      </w:pPr>
      <w:r>
        <w:rPr>
          <w:color w:val="auto"/>
          <w:szCs w:val="21"/>
          <w:highlight w:val="none"/>
        </w:rPr>
        <w:t>6.7、质疑联系部门：</w:t>
      </w:r>
      <w:r>
        <w:rPr>
          <w:rFonts w:hint="eastAsia"/>
          <w:color w:val="auto"/>
          <w:szCs w:val="21"/>
          <w:highlight w:val="none"/>
          <w:lang w:eastAsia="zh-CN"/>
        </w:rPr>
        <w:t>广西汇益招标咨询有限公司</w:t>
      </w:r>
      <w:r>
        <w:rPr>
          <w:color w:val="auto"/>
          <w:szCs w:val="21"/>
          <w:highlight w:val="none"/>
        </w:rPr>
        <w:t>；联系电话：</w:t>
      </w:r>
      <w:r>
        <w:rPr>
          <w:rFonts w:hint="eastAsia"/>
          <w:color w:val="auto"/>
          <w:szCs w:val="21"/>
          <w:highlight w:val="none"/>
          <w:lang w:val="en-US" w:eastAsia="zh-CN"/>
        </w:rPr>
        <w:t>0773-2897383</w:t>
      </w:r>
      <w:r>
        <w:rPr>
          <w:color w:val="auto"/>
          <w:szCs w:val="21"/>
          <w:highlight w:val="none"/>
        </w:rPr>
        <w:t>；</w:t>
      </w:r>
    </w:p>
    <w:p>
      <w:pPr>
        <w:spacing w:line="360" w:lineRule="exact"/>
        <w:ind w:firstLine="840" w:firstLineChars="400"/>
        <w:rPr>
          <w:color w:val="auto"/>
          <w:szCs w:val="21"/>
          <w:highlight w:val="none"/>
        </w:rPr>
      </w:pPr>
      <w:r>
        <w:rPr>
          <w:color w:val="auto"/>
          <w:szCs w:val="21"/>
          <w:highlight w:val="none"/>
        </w:rPr>
        <w:t>通讯地址：</w:t>
      </w:r>
      <w:r>
        <w:rPr>
          <w:rFonts w:hint="eastAsia"/>
          <w:color w:val="auto"/>
          <w:szCs w:val="21"/>
          <w:highlight w:val="none"/>
          <w:lang w:val="en-US" w:eastAsia="zh-CN"/>
        </w:rPr>
        <w:t>桂林市秀峰区篦子园路1#楼2层</w:t>
      </w:r>
    </w:p>
    <w:p>
      <w:pPr>
        <w:tabs>
          <w:tab w:val="left" w:pos="2190"/>
        </w:tabs>
        <w:spacing w:line="380" w:lineRule="exact"/>
        <w:ind w:firstLine="435"/>
        <w:rPr>
          <w:color w:val="auto"/>
          <w:szCs w:val="21"/>
          <w:highlight w:val="none"/>
        </w:rPr>
      </w:pPr>
      <w:r>
        <w:rPr>
          <w:color w:val="auto"/>
          <w:szCs w:val="21"/>
          <w:highlight w:val="none"/>
        </w:rPr>
        <w:t>6.8、投诉联系部门：</w:t>
      </w:r>
      <w:r>
        <w:rPr>
          <w:rFonts w:hint="eastAsia" w:ascii="宋体" w:hAnsi="宋体"/>
          <w:color w:val="auto"/>
          <w:highlight w:val="none"/>
        </w:rPr>
        <w:t>桂林市政府采购管理办公室</w:t>
      </w:r>
      <w:r>
        <w:rPr>
          <w:color w:val="auto"/>
          <w:szCs w:val="21"/>
          <w:highlight w:val="none"/>
        </w:rPr>
        <w:t>；电话：</w:t>
      </w:r>
      <w:r>
        <w:rPr>
          <w:rFonts w:hint="eastAsia" w:ascii="宋体" w:hAnsi="宋体"/>
          <w:color w:val="auto"/>
          <w:szCs w:val="21"/>
          <w:highlight w:val="none"/>
        </w:rPr>
        <w:t xml:space="preserve">0773-2838596 </w:t>
      </w:r>
      <w:r>
        <w:rPr>
          <w:color w:val="auto"/>
          <w:szCs w:val="21"/>
          <w:highlight w:val="none"/>
        </w:rPr>
        <w:t>；</w:t>
      </w:r>
    </w:p>
    <w:p>
      <w:pPr>
        <w:tabs>
          <w:tab w:val="left" w:pos="2190"/>
        </w:tabs>
        <w:spacing w:line="380" w:lineRule="exact"/>
        <w:ind w:firstLine="435"/>
        <w:rPr>
          <w:b/>
          <w:color w:val="auto"/>
          <w:szCs w:val="21"/>
          <w:highlight w:val="none"/>
        </w:rPr>
      </w:pPr>
      <w:r>
        <w:rPr>
          <w:b/>
          <w:color w:val="auto"/>
          <w:szCs w:val="21"/>
          <w:highlight w:val="none"/>
        </w:rPr>
        <w:t>7、转包与分包</w:t>
      </w:r>
    </w:p>
    <w:p>
      <w:pPr>
        <w:tabs>
          <w:tab w:val="left" w:pos="2190"/>
        </w:tabs>
        <w:spacing w:line="380" w:lineRule="exact"/>
        <w:ind w:firstLine="435"/>
        <w:rPr>
          <w:color w:val="auto"/>
          <w:szCs w:val="21"/>
          <w:highlight w:val="none"/>
        </w:rPr>
      </w:pPr>
      <w:r>
        <w:rPr>
          <w:color w:val="auto"/>
          <w:szCs w:val="21"/>
          <w:highlight w:val="none"/>
        </w:rPr>
        <w:t>7.1、本项目不允许转包。</w:t>
      </w:r>
    </w:p>
    <w:p>
      <w:pPr>
        <w:tabs>
          <w:tab w:val="left" w:pos="2190"/>
        </w:tabs>
        <w:spacing w:line="380" w:lineRule="exact"/>
        <w:ind w:firstLine="435"/>
        <w:rPr>
          <w:color w:val="auto"/>
          <w:szCs w:val="21"/>
          <w:highlight w:val="none"/>
        </w:rPr>
      </w:pPr>
      <w:r>
        <w:rPr>
          <w:color w:val="auto"/>
          <w:szCs w:val="21"/>
          <w:highlight w:val="none"/>
        </w:rPr>
        <w:t>7.2、本项目不可以分包。</w:t>
      </w:r>
    </w:p>
    <w:p>
      <w:pPr>
        <w:tabs>
          <w:tab w:val="left" w:pos="2190"/>
        </w:tabs>
        <w:spacing w:line="380" w:lineRule="exact"/>
        <w:ind w:firstLine="435"/>
        <w:rPr>
          <w:b/>
          <w:color w:val="auto"/>
          <w:szCs w:val="21"/>
          <w:highlight w:val="none"/>
        </w:rPr>
      </w:pPr>
      <w:r>
        <w:rPr>
          <w:b/>
          <w:color w:val="auto"/>
          <w:szCs w:val="21"/>
          <w:highlight w:val="none"/>
        </w:rPr>
        <w:t>8、特别说明</w:t>
      </w:r>
    </w:p>
    <w:p>
      <w:pPr>
        <w:tabs>
          <w:tab w:val="left" w:pos="2190"/>
        </w:tabs>
        <w:spacing w:line="380" w:lineRule="exact"/>
        <w:ind w:firstLine="435"/>
        <w:rPr>
          <w:color w:val="auto"/>
          <w:szCs w:val="21"/>
          <w:highlight w:val="none"/>
        </w:rPr>
      </w:pPr>
      <w:r>
        <w:rPr>
          <w:color w:val="auto"/>
          <w:szCs w:val="21"/>
          <w:highlight w:val="none"/>
        </w:rPr>
        <w:t>8.1 单位负责人为同一人或者存在直接控股、管理关系的，不得参加同一分标或未划分分标的同一项目的磋商，否则，响应文件无效。</w:t>
      </w:r>
    </w:p>
    <w:p>
      <w:pPr>
        <w:tabs>
          <w:tab w:val="left" w:pos="2190"/>
        </w:tabs>
        <w:spacing w:line="380" w:lineRule="exact"/>
        <w:ind w:firstLine="435"/>
        <w:rPr>
          <w:color w:val="auto"/>
          <w:szCs w:val="21"/>
          <w:highlight w:val="none"/>
        </w:rPr>
      </w:pPr>
      <w:r>
        <w:rPr>
          <w:color w:val="auto"/>
          <w:szCs w:val="21"/>
          <w:highlight w:val="none"/>
        </w:rPr>
        <w:t>除单一来源采购项目外，为本采购项目提供整体设计、规范编制或者项目管理、监理、检测等服务的供应商，不得再参加该采购项目的其他采购活动，否则响应文件无效。</w:t>
      </w:r>
    </w:p>
    <w:p>
      <w:pPr>
        <w:tabs>
          <w:tab w:val="left" w:pos="2190"/>
        </w:tabs>
        <w:spacing w:line="380" w:lineRule="exact"/>
        <w:ind w:firstLine="435"/>
        <w:rPr>
          <w:color w:val="auto"/>
          <w:szCs w:val="21"/>
          <w:highlight w:val="none"/>
        </w:rPr>
      </w:pPr>
    </w:p>
    <w:p>
      <w:pPr>
        <w:tabs>
          <w:tab w:val="left" w:pos="2190"/>
        </w:tabs>
        <w:spacing w:line="390" w:lineRule="exact"/>
        <w:ind w:firstLine="435"/>
        <w:jc w:val="center"/>
        <w:rPr>
          <w:b/>
          <w:color w:val="auto"/>
          <w:sz w:val="28"/>
          <w:szCs w:val="28"/>
          <w:highlight w:val="none"/>
        </w:rPr>
      </w:pPr>
      <w:r>
        <w:rPr>
          <w:b/>
          <w:color w:val="auto"/>
          <w:sz w:val="28"/>
          <w:szCs w:val="28"/>
          <w:highlight w:val="none"/>
        </w:rPr>
        <w:t>二、磋商文件</w:t>
      </w:r>
    </w:p>
    <w:p>
      <w:pPr>
        <w:tabs>
          <w:tab w:val="left" w:pos="2190"/>
        </w:tabs>
        <w:spacing w:line="390" w:lineRule="exact"/>
        <w:ind w:firstLine="437"/>
        <w:rPr>
          <w:b/>
          <w:color w:val="auto"/>
          <w:szCs w:val="21"/>
          <w:highlight w:val="none"/>
        </w:rPr>
      </w:pPr>
    </w:p>
    <w:p>
      <w:pPr>
        <w:tabs>
          <w:tab w:val="left" w:pos="2190"/>
        </w:tabs>
        <w:spacing w:line="390" w:lineRule="exact"/>
        <w:ind w:firstLine="437"/>
        <w:rPr>
          <w:b/>
          <w:color w:val="auto"/>
          <w:szCs w:val="21"/>
          <w:highlight w:val="none"/>
        </w:rPr>
      </w:pPr>
      <w:r>
        <w:rPr>
          <w:b/>
          <w:color w:val="auto"/>
          <w:szCs w:val="21"/>
          <w:highlight w:val="none"/>
        </w:rPr>
        <w:t>9、磋商文件的构成</w:t>
      </w:r>
    </w:p>
    <w:p>
      <w:pPr>
        <w:tabs>
          <w:tab w:val="left" w:pos="2190"/>
        </w:tabs>
        <w:spacing w:line="390" w:lineRule="exact"/>
        <w:ind w:firstLine="437"/>
        <w:rPr>
          <w:color w:val="auto"/>
          <w:szCs w:val="21"/>
          <w:highlight w:val="none"/>
        </w:rPr>
      </w:pPr>
      <w:r>
        <w:rPr>
          <w:color w:val="auto"/>
          <w:szCs w:val="21"/>
          <w:highlight w:val="none"/>
        </w:rPr>
        <w:t xml:space="preserve">⑴ </w:t>
      </w:r>
      <w:r>
        <w:rPr>
          <w:color w:val="auto"/>
          <w:highlight w:val="none"/>
        </w:rPr>
        <w:t>竞争性磋商公告</w:t>
      </w:r>
      <w:r>
        <w:rPr>
          <w:color w:val="auto"/>
          <w:szCs w:val="21"/>
          <w:highlight w:val="none"/>
        </w:rPr>
        <w:t>；</w:t>
      </w:r>
    </w:p>
    <w:p>
      <w:pPr>
        <w:tabs>
          <w:tab w:val="left" w:pos="2190"/>
        </w:tabs>
        <w:spacing w:line="390" w:lineRule="exact"/>
        <w:ind w:firstLine="437"/>
        <w:rPr>
          <w:color w:val="auto"/>
          <w:szCs w:val="21"/>
          <w:highlight w:val="none"/>
        </w:rPr>
      </w:pPr>
      <w:r>
        <w:rPr>
          <w:color w:val="auto"/>
          <w:szCs w:val="21"/>
          <w:highlight w:val="none"/>
        </w:rPr>
        <w:t>⑵ 磋商供应商须知；</w:t>
      </w:r>
    </w:p>
    <w:p>
      <w:pPr>
        <w:spacing w:line="400" w:lineRule="exact"/>
        <w:ind w:firstLine="435"/>
        <w:rPr>
          <w:color w:val="auto"/>
          <w:szCs w:val="21"/>
          <w:highlight w:val="none"/>
        </w:rPr>
      </w:pPr>
      <w:r>
        <w:rPr>
          <w:color w:val="auto"/>
          <w:szCs w:val="21"/>
          <w:highlight w:val="none"/>
        </w:rPr>
        <w:t>⑶ 服务需求（“服务需求”中全部内容为实质性要求）；</w:t>
      </w:r>
    </w:p>
    <w:p>
      <w:pPr>
        <w:tabs>
          <w:tab w:val="left" w:pos="2190"/>
        </w:tabs>
        <w:spacing w:line="390" w:lineRule="exact"/>
        <w:ind w:firstLine="437"/>
        <w:rPr>
          <w:color w:val="auto"/>
          <w:szCs w:val="21"/>
          <w:highlight w:val="none"/>
        </w:rPr>
      </w:pPr>
      <w:r>
        <w:rPr>
          <w:color w:val="auto"/>
          <w:szCs w:val="21"/>
          <w:highlight w:val="none"/>
        </w:rPr>
        <w:t>⑷ 评审办法；</w:t>
      </w:r>
    </w:p>
    <w:p>
      <w:pPr>
        <w:tabs>
          <w:tab w:val="left" w:pos="2190"/>
        </w:tabs>
        <w:spacing w:line="390" w:lineRule="exact"/>
        <w:ind w:firstLine="437"/>
        <w:rPr>
          <w:color w:val="auto"/>
          <w:szCs w:val="21"/>
          <w:highlight w:val="none"/>
        </w:rPr>
      </w:pPr>
      <w:r>
        <w:rPr>
          <w:color w:val="auto"/>
          <w:szCs w:val="21"/>
          <w:highlight w:val="none"/>
        </w:rPr>
        <w:t>⑸ 采购合同（合同主要条款及格式）；</w:t>
      </w:r>
    </w:p>
    <w:p>
      <w:pPr>
        <w:tabs>
          <w:tab w:val="left" w:pos="2190"/>
        </w:tabs>
        <w:spacing w:line="390" w:lineRule="exact"/>
        <w:ind w:firstLine="437"/>
        <w:rPr>
          <w:color w:val="auto"/>
          <w:szCs w:val="21"/>
          <w:highlight w:val="none"/>
        </w:rPr>
      </w:pPr>
      <w:r>
        <w:rPr>
          <w:color w:val="auto"/>
          <w:szCs w:val="21"/>
          <w:highlight w:val="none"/>
        </w:rPr>
        <w:t>⑹ 响应文件格式。</w:t>
      </w:r>
    </w:p>
    <w:p>
      <w:pPr>
        <w:tabs>
          <w:tab w:val="left" w:pos="2190"/>
        </w:tabs>
        <w:spacing w:line="390" w:lineRule="exact"/>
        <w:ind w:firstLine="437"/>
        <w:rPr>
          <w:b/>
          <w:color w:val="auto"/>
          <w:szCs w:val="21"/>
          <w:highlight w:val="none"/>
        </w:rPr>
      </w:pPr>
      <w:r>
        <w:rPr>
          <w:b/>
          <w:color w:val="auto"/>
          <w:szCs w:val="21"/>
          <w:highlight w:val="none"/>
        </w:rPr>
        <w:t>10、磋商文件的澄清与修改</w:t>
      </w:r>
    </w:p>
    <w:p>
      <w:pPr>
        <w:tabs>
          <w:tab w:val="left" w:pos="2190"/>
        </w:tabs>
        <w:spacing w:line="400" w:lineRule="exact"/>
        <w:ind w:firstLine="437"/>
        <w:rPr>
          <w:color w:val="auto"/>
          <w:szCs w:val="21"/>
          <w:highlight w:val="none"/>
        </w:rPr>
      </w:pPr>
      <w:r>
        <w:rPr>
          <w:color w:val="auto"/>
          <w:szCs w:val="21"/>
          <w:highlight w:val="none"/>
        </w:rPr>
        <w:t>10.1供应商应认真阅读磋商文件，发现其中有误或有不合理要求的，应在磋商截止日期5日前以书面形式要求采购代理机构澄清。</w:t>
      </w:r>
    </w:p>
    <w:p>
      <w:pPr>
        <w:tabs>
          <w:tab w:val="left" w:pos="2190"/>
        </w:tabs>
        <w:spacing w:line="400" w:lineRule="exact"/>
        <w:ind w:firstLine="437"/>
        <w:rPr>
          <w:color w:val="auto"/>
          <w:szCs w:val="21"/>
          <w:highlight w:val="none"/>
        </w:rPr>
      </w:pPr>
      <w:r>
        <w:rPr>
          <w:color w:val="auto"/>
          <w:szCs w:val="21"/>
          <w:highlight w:val="none"/>
        </w:rPr>
        <w:t>10.2提交首次响应文件截止之日前，采购代理机构可以对已发出的磋商文件进行必要澄清或者修改，澄清或者修改的内容可能影响响应文件编制的，应当在响应文件递交截止时间5日前在本磋商项目竞争性磋商公告发布的同一媒体上发布更正公告，已下载竞争性磋商文件的供应商自行登录竞争性磋商公告发布的相关网站【http://www.ccgp.gov.cn（中国政府采购网）、http://zfcg.gxzf.gov.cn/（广西壮族自治区政府采购网）、</w:t>
      </w:r>
      <w:r>
        <w:rPr>
          <w:rFonts w:hint="eastAsia"/>
          <w:color w:val="auto"/>
          <w:szCs w:val="21"/>
          <w:highlight w:val="none"/>
        </w:rPr>
        <w:t>http://gl.zfcg.zcygov.cn/</w:t>
      </w:r>
      <w:r>
        <w:rPr>
          <w:color w:val="auto"/>
          <w:szCs w:val="21"/>
          <w:highlight w:val="none"/>
        </w:rPr>
        <w:t>（桂林市政府采购网）、http://glggzy.org.cn（桂林市公共资源交易中心网）】查询，不足5日的，应当顺延提交首次响应文件截止时间。</w:t>
      </w:r>
    </w:p>
    <w:p>
      <w:pPr>
        <w:tabs>
          <w:tab w:val="left" w:pos="2190"/>
        </w:tabs>
        <w:spacing w:line="400" w:lineRule="exact"/>
        <w:ind w:firstLine="437"/>
        <w:rPr>
          <w:color w:val="auto"/>
          <w:szCs w:val="21"/>
          <w:highlight w:val="none"/>
        </w:rPr>
      </w:pPr>
      <w:r>
        <w:rPr>
          <w:color w:val="auto"/>
          <w:szCs w:val="21"/>
          <w:highlight w:val="none"/>
        </w:rPr>
        <w:t>10.3采购代理机构在竞争性磋商公告发布的相关网站发布更正公告的同时，视同供应商已知晓竞争性磋商文件的澄清或者修改，供应商应将澄清或者修改的内容考虑在响应文件中，供应商在响应文件递交截止前未登录竞争性磋商公告发布的相关网站查看澄清或者修改的，造成供应商的响应文件不符合竞争性磋商文件要求或废标的，由供应商自行承担责任。</w:t>
      </w:r>
    </w:p>
    <w:p>
      <w:pPr>
        <w:tabs>
          <w:tab w:val="left" w:pos="2190"/>
        </w:tabs>
        <w:spacing w:line="400" w:lineRule="exact"/>
        <w:ind w:firstLine="437"/>
        <w:rPr>
          <w:color w:val="auto"/>
          <w:szCs w:val="21"/>
          <w:highlight w:val="none"/>
        </w:rPr>
      </w:pPr>
      <w:r>
        <w:rPr>
          <w:color w:val="auto"/>
          <w:szCs w:val="21"/>
          <w:highlight w:val="none"/>
        </w:rPr>
        <w:t>10.4澄清、答复、修改、补充的内容为磋商文件的组成部分。当澄清、答复、修改、补充通知就同一内容的表述不一致时，以最后发出的文件为准。</w:t>
      </w:r>
    </w:p>
    <w:p>
      <w:pPr>
        <w:tabs>
          <w:tab w:val="left" w:pos="2190"/>
        </w:tabs>
        <w:spacing w:line="400" w:lineRule="exact"/>
        <w:ind w:firstLine="437"/>
        <w:rPr>
          <w:color w:val="auto"/>
          <w:szCs w:val="21"/>
          <w:highlight w:val="none"/>
        </w:rPr>
      </w:pPr>
      <w:r>
        <w:rPr>
          <w:color w:val="auto"/>
          <w:szCs w:val="21"/>
          <w:highlight w:val="none"/>
        </w:rPr>
        <w:t>10.5磋商文件的澄清、答复、修改或补充都应该通过本项目采购代理机构以法定形式发布，采购人非通过本机构，不得擅自澄清、答复、修改或补充磋商文件。</w:t>
      </w:r>
    </w:p>
    <w:p>
      <w:pPr>
        <w:tabs>
          <w:tab w:val="left" w:pos="2190"/>
        </w:tabs>
        <w:spacing w:line="400" w:lineRule="exact"/>
        <w:ind w:firstLine="437"/>
        <w:rPr>
          <w:color w:val="auto"/>
          <w:szCs w:val="21"/>
          <w:highlight w:val="none"/>
        </w:rPr>
      </w:pPr>
      <w:r>
        <w:rPr>
          <w:color w:val="auto"/>
          <w:szCs w:val="21"/>
          <w:highlight w:val="none"/>
        </w:rPr>
        <w:t>10.6、采购人和采购代理机构可以视采购具体情况，延长响应文件截止时间和磋商时间，在本项目竞争性磋商公告发布的同一媒体上发布更正公告，已下载竞争性磋商文件的供应商自行登录竞争性磋商公告发布的相关网站【http://www.ccgp.gov.cn（中国政府采购网）、http://zfcg.gxzf.gov.cn/（广西壮族自治区政府采购网）、</w:t>
      </w:r>
      <w:r>
        <w:rPr>
          <w:rFonts w:hint="eastAsia"/>
          <w:color w:val="auto"/>
          <w:szCs w:val="21"/>
          <w:highlight w:val="none"/>
        </w:rPr>
        <w:t>http://gl.zfcg.zcygov.cn/</w:t>
      </w:r>
      <w:r>
        <w:rPr>
          <w:color w:val="auto"/>
          <w:szCs w:val="21"/>
          <w:highlight w:val="none"/>
        </w:rPr>
        <w:t>（桂林市政府采购网）、http://glggzy.org.cn（桂林市公共资源交易中心网）】查询，未在进行查询的，造成供应商未在规定的时间递交响应文件的，由供应商自行承担责任。</w:t>
      </w:r>
    </w:p>
    <w:p>
      <w:pPr>
        <w:tabs>
          <w:tab w:val="left" w:pos="2190"/>
        </w:tabs>
        <w:spacing w:line="380" w:lineRule="exact"/>
        <w:ind w:firstLine="437"/>
        <w:rPr>
          <w:color w:val="auto"/>
          <w:szCs w:val="21"/>
          <w:highlight w:val="none"/>
        </w:rPr>
      </w:pPr>
    </w:p>
    <w:p>
      <w:pPr>
        <w:tabs>
          <w:tab w:val="left" w:pos="2190"/>
        </w:tabs>
        <w:spacing w:line="390" w:lineRule="exact"/>
        <w:ind w:firstLine="435"/>
        <w:jc w:val="center"/>
        <w:rPr>
          <w:b/>
          <w:color w:val="auto"/>
          <w:sz w:val="28"/>
          <w:szCs w:val="28"/>
          <w:highlight w:val="none"/>
        </w:rPr>
      </w:pPr>
      <w:r>
        <w:rPr>
          <w:b/>
          <w:color w:val="auto"/>
          <w:sz w:val="28"/>
          <w:szCs w:val="28"/>
          <w:highlight w:val="none"/>
        </w:rPr>
        <w:t>三、竞争性磋商响应文件的编制</w:t>
      </w:r>
    </w:p>
    <w:p>
      <w:pPr>
        <w:tabs>
          <w:tab w:val="left" w:pos="2190"/>
        </w:tabs>
        <w:spacing w:line="380" w:lineRule="exact"/>
        <w:ind w:firstLine="435"/>
        <w:rPr>
          <w:b/>
          <w:color w:val="auto"/>
          <w:szCs w:val="21"/>
          <w:highlight w:val="none"/>
        </w:rPr>
      </w:pPr>
    </w:p>
    <w:p>
      <w:pPr>
        <w:tabs>
          <w:tab w:val="left" w:pos="2190"/>
        </w:tabs>
        <w:spacing w:line="380" w:lineRule="exact"/>
        <w:ind w:firstLine="435"/>
        <w:rPr>
          <w:b/>
          <w:color w:val="auto"/>
          <w:szCs w:val="21"/>
          <w:highlight w:val="none"/>
        </w:rPr>
      </w:pPr>
      <w:r>
        <w:rPr>
          <w:b/>
          <w:color w:val="auto"/>
          <w:szCs w:val="21"/>
          <w:highlight w:val="none"/>
        </w:rPr>
        <w:t>11、竞争性磋商响应文件（以下简称响应文件）的组成及要求</w:t>
      </w:r>
    </w:p>
    <w:p>
      <w:pPr>
        <w:tabs>
          <w:tab w:val="left" w:pos="1305"/>
        </w:tabs>
        <w:spacing w:line="380" w:lineRule="exact"/>
        <w:ind w:firstLine="420" w:firstLineChars="200"/>
        <w:rPr>
          <w:color w:val="auto"/>
          <w:szCs w:val="21"/>
          <w:highlight w:val="none"/>
        </w:rPr>
      </w:pPr>
      <w:r>
        <w:rPr>
          <w:b/>
          <w:color w:val="auto"/>
          <w:szCs w:val="21"/>
          <w:highlight w:val="none"/>
        </w:rPr>
        <w:t>11.1、响应文件组成（格式见第六章响应文件格式）</w:t>
      </w:r>
    </w:p>
    <w:p>
      <w:pPr>
        <w:tabs>
          <w:tab w:val="left" w:pos="1305"/>
        </w:tabs>
        <w:spacing w:line="400" w:lineRule="exact"/>
        <w:ind w:firstLine="420" w:firstLineChars="200"/>
        <w:rPr>
          <w:color w:val="auto"/>
          <w:szCs w:val="21"/>
          <w:highlight w:val="none"/>
        </w:rPr>
      </w:pPr>
      <w:r>
        <w:rPr>
          <w:color w:val="auto"/>
          <w:szCs w:val="21"/>
          <w:highlight w:val="none"/>
        </w:rPr>
        <w:t>（1）响应函</w:t>
      </w:r>
      <w:r>
        <w:rPr>
          <w:b/>
          <w:color w:val="auto"/>
          <w:szCs w:val="21"/>
          <w:highlight w:val="none"/>
        </w:rPr>
        <w:t>（必须提供）；</w:t>
      </w:r>
    </w:p>
    <w:p>
      <w:pPr>
        <w:tabs>
          <w:tab w:val="left" w:pos="1305"/>
        </w:tabs>
        <w:spacing w:line="400" w:lineRule="exact"/>
        <w:ind w:firstLine="420" w:firstLineChars="200"/>
        <w:rPr>
          <w:color w:val="auto"/>
          <w:szCs w:val="21"/>
          <w:highlight w:val="none"/>
        </w:rPr>
      </w:pPr>
      <w:r>
        <w:rPr>
          <w:color w:val="auto"/>
          <w:szCs w:val="21"/>
          <w:highlight w:val="none"/>
        </w:rPr>
        <w:t>（2）磋商供应商的法定代表人或负责人的身份证正反面复印件</w:t>
      </w:r>
      <w:r>
        <w:rPr>
          <w:b/>
          <w:color w:val="auto"/>
          <w:szCs w:val="21"/>
          <w:highlight w:val="none"/>
        </w:rPr>
        <w:t>（必须提供）</w:t>
      </w:r>
      <w:r>
        <w:rPr>
          <w:color w:val="auto"/>
          <w:szCs w:val="21"/>
          <w:highlight w:val="none"/>
        </w:rPr>
        <w:t>；</w:t>
      </w:r>
    </w:p>
    <w:p>
      <w:pPr>
        <w:tabs>
          <w:tab w:val="left" w:pos="1305"/>
        </w:tabs>
        <w:spacing w:line="400" w:lineRule="exact"/>
        <w:ind w:firstLine="420" w:firstLineChars="200"/>
        <w:rPr>
          <w:color w:val="auto"/>
          <w:szCs w:val="21"/>
          <w:highlight w:val="none"/>
        </w:rPr>
      </w:pPr>
      <w:r>
        <w:rPr>
          <w:color w:val="auto"/>
          <w:szCs w:val="21"/>
          <w:highlight w:val="none"/>
        </w:rPr>
        <w:t>（3）磋商供应商的授权委托书原件、委托代理人身份证正反面复印件以及</w:t>
      </w:r>
      <w:r>
        <w:rPr>
          <w:rFonts w:hint="eastAsia"/>
          <w:color w:val="auto"/>
          <w:szCs w:val="21"/>
          <w:highlight w:val="none"/>
        </w:rPr>
        <w:t>供应商</w:t>
      </w:r>
      <w:r>
        <w:rPr>
          <w:color w:val="auto"/>
          <w:szCs w:val="21"/>
          <w:highlight w:val="none"/>
        </w:rPr>
        <w:t>为委托代理人交纳的</w:t>
      </w:r>
      <w:r>
        <w:rPr>
          <w:rFonts w:hint="eastAsia"/>
          <w:color w:val="auto"/>
          <w:szCs w:val="21"/>
          <w:highlight w:val="none"/>
          <w:lang w:eastAsia="zh-CN"/>
        </w:rPr>
        <w:t>近</w:t>
      </w:r>
      <w:r>
        <w:rPr>
          <w:color w:val="auto"/>
          <w:szCs w:val="21"/>
          <w:highlight w:val="none"/>
        </w:rPr>
        <w:t>三个月缴纳的社保证明复印件（自然人投标的应提供自然人本人及委托代理人所交纳的</w:t>
      </w:r>
      <w:r>
        <w:rPr>
          <w:rFonts w:hint="eastAsia"/>
          <w:color w:val="auto"/>
          <w:szCs w:val="21"/>
          <w:highlight w:val="none"/>
          <w:lang w:eastAsia="zh-CN"/>
        </w:rPr>
        <w:t>近</w:t>
      </w:r>
      <w:r>
        <w:rPr>
          <w:color w:val="auto"/>
          <w:szCs w:val="21"/>
          <w:highlight w:val="none"/>
        </w:rPr>
        <w:t>三个月缴纳的社保证明复印件）</w:t>
      </w:r>
      <w:r>
        <w:rPr>
          <w:b/>
          <w:bCs/>
          <w:color w:val="auto"/>
          <w:szCs w:val="21"/>
          <w:highlight w:val="none"/>
        </w:rPr>
        <w:t>（委托代理时必须提供）</w:t>
      </w:r>
      <w:r>
        <w:rPr>
          <w:color w:val="auto"/>
          <w:szCs w:val="21"/>
          <w:highlight w:val="none"/>
        </w:rPr>
        <w:t>；</w:t>
      </w:r>
    </w:p>
    <w:p>
      <w:pPr>
        <w:tabs>
          <w:tab w:val="left" w:pos="1305"/>
        </w:tabs>
        <w:spacing w:line="400" w:lineRule="exact"/>
        <w:ind w:firstLine="420" w:firstLineChars="200"/>
        <w:rPr>
          <w:b/>
          <w:color w:val="auto"/>
          <w:szCs w:val="21"/>
          <w:highlight w:val="none"/>
        </w:rPr>
      </w:pPr>
      <w:r>
        <w:rPr>
          <w:color w:val="auto"/>
          <w:szCs w:val="21"/>
          <w:highlight w:val="none"/>
        </w:rPr>
        <w:t>（4）磋商供应商参加政府采购活动前3年内在经营活动中没有重大违法记录及有关信用信息的书面声明</w:t>
      </w:r>
      <w:r>
        <w:rPr>
          <w:b/>
          <w:color w:val="auto"/>
          <w:szCs w:val="21"/>
          <w:highlight w:val="none"/>
        </w:rPr>
        <w:t>（必须提供）；</w:t>
      </w:r>
    </w:p>
    <w:p>
      <w:pPr>
        <w:tabs>
          <w:tab w:val="left" w:pos="1305"/>
        </w:tabs>
        <w:spacing w:line="400" w:lineRule="exact"/>
        <w:ind w:firstLine="420" w:firstLineChars="200"/>
        <w:rPr>
          <w:color w:val="auto"/>
          <w:szCs w:val="21"/>
          <w:highlight w:val="none"/>
        </w:rPr>
      </w:pPr>
      <w:r>
        <w:rPr>
          <w:color w:val="auto"/>
          <w:szCs w:val="21"/>
          <w:highlight w:val="none"/>
        </w:rPr>
        <w:t>（5）磋商供应商的法人或者其他组织的营业执照副本复印件</w:t>
      </w:r>
      <w:r>
        <w:rPr>
          <w:b/>
          <w:bCs/>
          <w:color w:val="auto"/>
          <w:szCs w:val="21"/>
          <w:highlight w:val="none"/>
        </w:rPr>
        <w:t>（必须提供）</w:t>
      </w:r>
      <w:r>
        <w:rPr>
          <w:color w:val="auto"/>
          <w:szCs w:val="21"/>
          <w:highlight w:val="none"/>
        </w:rPr>
        <w:t>；</w:t>
      </w:r>
    </w:p>
    <w:p>
      <w:pPr>
        <w:tabs>
          <w:tab w:val="left" w:pos="1305"/>
        </w:tabs>
        <w:spacing w:line="400" w:lineRule="exact"/>
        <w:ind w:firstLine="420" w:firstLineChars="200"/>
        <w:rPr>
          <w:b/>
          <w:color w:val="auto"/>
          <w:szCs w:val="21"/>
          <w:highlight w:val="none"/>
        </w:rPr>
      </w:pPr>
      <w:r>
        <w:rPr>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400" w:lineRule="exact"/>
        <w:ind w:firstLine="420" w:firstLineChars="200"/>
        <w:rPr>
          <w:color w:val="auto"/>
          <w:szCs w:val="21"/>
          <w:highlight w:val="none"/>
        </w:rPr>
      </w:pPr>
      <w:r>
        <w:rPr>
          <w:color w:val="auto"/>
          <w:szCs w:val="21"/>
          <w:highlight w:val="none"/>
        </w:rPr>
        <w:t>（6）磋商供应商资质证书复印件</w:t>
      </w:r>
      <w:r>
        <w:rPr>
          <w:b/>
          <w:color w:val="auto"/>
          <w:szCs w:val="21"/>
          <w:highlight w:val="none"/>
        </w:rPr>
        <w:t>（必须提供）</w:t>
      </w:r>
      <w:r>
        <w:rPr>
          <w:color w:val="auto"/>
          <w:szCs w:val="21"/>
          <w:highlight w:val="none"/>
        </w:rPr>
        <w:t>；</w:t>
      </w:r>
    </w:p>
    <w:p>
      <w:pPr>
        <w:tabs>
          <w:tab w:val="left" w:pos="1305"/>
        </w:tabs>
        <w:spacing w:line="380" w:lineRule="exact"/>
        <w:ind w:firstLine="420" w:firstLineChars="200"/>
        <w:rPr>
          <w:b/>
          <w:color w:val="auto"/>
          <w:szCs w:val="21"/>
          <w:highlight w:val="none"/>
        </w:rPr>
      </w:pPr>
      <w:r>
        <w:rPr>
          <w:color w:val="auto"/>
          <w:szCs w:val="21"/>
          <w:highlight w:val="none"/>
        </w:rPr>
        <w:t>（7）磋商报价表</w:t>
      </w:r>
      <w:r>
        <w:rPr>
          <w:b/>
          <w:color w:val="auto"/>
          <w:szCs w:val="21"/>
          <w:highlight w:val="none"/>
        </w:rPr>
        <w:t>（必须提供）；</w:t>
      </w:r>
    </w:p>
    <w:p>
      <w:pPr>
        <w:pStyle w:val="23"/>
        <w:spacing w:line="40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（8）供应商的服务技术方案（由竞标人根据项目实际情况和服务需求的要求自行编制）</w:t>
      </w:r>
      <w:r>
        <w:rPr>
          <w:rFonts w:ascii="Times New Roman" w:hAnsi="Times New Roman"/>
          <w:b/>
          <w:color w:val="auto"/>
          <w:szCs w:val="21"/>
          <w:highlight w:val="none"/>
        </w:rPr>
        <w:t>（必须提供）；</w:t>
      </w:r>
    </w:p>
    <w:p>
      <w:pPr>
        <w:pStyle w:val="23"/>
        <w:spacing w:line="400" w:lineRule="exact"/>
        <w:ind w:firstLine="420" w:firstLineChars="200"/>
        <w:rPr>
          <w:rFonts w:ascii="Times New Roman" w:hAnsi="Times New Roman"/>
          <w:b/>
          <w:color w:val="auto"/>
          <w:szCs w:val="21"/>
          <w:highlight w:val="none"/>
        </w:rPr>
      </w:pPr>
      <w:r>
        <w:rPr>
          <w:rFonts w:ascii="Times New Roman" w:hAnsi="Times New Roman"/>
          <w:color w:val="auto"/>
          <w:szCs w:val="21"/>
          <w:highlight w:val="none"/>
        </w:rPr>
        <w:t>（9）供应商的服务承诺书（由竞标人根据项目实际情况和服务需求的要求自行编制）</w:t>
      </w:r>
      <w:r>
        <w:rPr>
          <w:rFonts w:ascii="Times New Roman" w:hAnsi="Times New Roman"/>
          <w:b/>
          <w:color w:val="auto"/>
          <w:szCs w:val="21"/>
          <w:highlight w:val="none"/>
        </w:rPr>
        <w:t>（必须提供）；</w:t>
      </w:r>
    </w:p>
    <w:p>
      <w:pPr>
        <w:tabs>
          <w:tab w:val="left" w:pos="1305"/>
        </w:tabs>
        <w:spacing w:line="400" w:lineRule="exact"/>
        <w:ind w:firstLine="420" w:firstLineChars="200"/>
        <w:rPr>
          <w:color w:val="auto"/>
          <w:highlight w:val="none"/>
        </w:rPr>
      </w:pPr>
      <w:r>
        <w:rPr>
          <w:color w:val="auto"/>
          <w:szCs w:val="21"/>
          <w:highlight w:val="none"/>
        </w:rPr>
        <w:t>（10）</w:t>
      </w:r>
      <w:r>
        <w:rPr>
          <w:color w:val="auto"/>
          <w:highlight w:val="none"/>
        </w:rPr>
        <w:t>供应商201</w:t>
      </w:r>
      <w:r>
        <w:rPr>
          <w:rFonts w:hint="eastAsia"/>
          <w:color w:val="auto"/>
          <w:highlight w:val="none"/>
        </w:rPr>
        <w:t>9</w:t>
      </w:r>
      <w:r>
        <w:rPr>
          <w:color w:val="auto"/>
          <w:highlight w:val="none"/>
        </w:rPr>
        <w:t>年度通过中介审计的有效财务审计报告复印件</w:t>
      </w:r>
      <w:r>
        <w:rPr>
          <w:b/>
          <w:bCs/>
          <w:color w:val="auto"/>
          <w:highlight w:val="none"/>
        </w:rPr>
        <w:t>（如有，请提供）</w:t>
      </w:r>
      <w:r>
        <w:rPr>
          <w:color w:val="auto"/>
          <w:highlight w:val="none"/>
        </w:rPr>
        <w:t>；</w:t>
      </w:r>
    </w:p>
    <w:p>
      <w:pPr>
        <w:pStyle w:val="2"/>
        <w:ind w:firstLine="420" w:firstLineChars="200"/>
        <w:rPr>
          <w:rFonts w:ascii="Times New Roman" w:hAnsi="Times New Roman" w:eastAsia="宋体"/>
          <w:b w:val="0"/>
          <w:color w:val="auto"/>
          <w:spacing w:val="0"/>
          <w:sz w:val="21"/>
          <w:szCs w:val="24"/>
          <w:highlight w:val="none"/>
        </w:rPr>
      </w:pPr>
      <w:r>
        <w:rPr>
          <w:rFonts w:ascii="Times New Roman" w:hAnsi="Times New Roman" w:eastAsia="宋体"/>
          <w:b w:val="0"/>
          <w:color w:val="auto"/>
          <w:spacing w:val="0"/>
          <w:sz w:val="21"/>
          <w:szCs w:val="24"/>
          <w:highlight w:val="none"/>
        </w:rPr>
        <w:t>（11）项目实施人员一览表</w:t>
      </w:r>
      <w:r>
        <w:rPr>
          <w:rFonts w:ascii="Times New Roman" w:hAnsi="Times New Roman" w:eastAsia="宋体"/>
          <w:bCs/>
          <w:color w:val="auto"/>
          <w:spacing w:val="0"/>
          <w:sz w:val="21"/>
          <w:szCs w:val="24"/>
          <w:highlight w:val="none"/>
        </w:rPr>
        <w:t>（如有，请提供）；</w:t>
      </w:r>
    </w:p>
    <w:p>
      <w:pPr>
        <w:tabs>
          <w:tab w:val="left" w:pos="1305"/>
        </w:tabs>
        <w:spacing w:line="400" w:lineRule="exact"/>
        <w:ind w:firstLine="420" w:firstLineChars="200"/>
        <w:rPr>
          <w:color w:val="auto"/>
          <w:szCs w:val="21"/>
          <w:highlight w:val="none"/>
        </w:rPr>
      </w:pPr>
      <w:r>
        <w:rPr>
          <w:color w:val="auto"/>
          <w:szCs w:val="21"/>
          <w:highlight w:val="none"/>
        </w:rPr>
        <w:t>（12）</w:t>
      </w:r>
      <w:r>
        <w:rPr>
          <w:rFonts w:hint="eastAsia"/>
          <w:color w:val="auto"/>
          <w:szCs w:val="21"/>
          <w:highlight w:val="none"/>
        </w:rPr>
        <w:t>201</w:t>
      </w:r>
      <w:r>
        <w:rPr>
          <w:rFonts w:hint="eastAsia"/>
          <w:color w:val="auto"/>
          <w:szCs w:val="21"/>
          <w:highlight w:val="none"/>
          <w:lang w:val="en-US" w:eastAsia="zh-CN"/>
        </w:rPr>
        <w:t>6</w:t>
      </w:r>
      <w:r>
        <w:rPr>
          <w:rFonts w:hint="eastAsia"/>
          <w:color w:val="auto"/>
          <w:szCs w:val="21"/>
          <w:highlight w:val="none"/>
        </w:rPr>
        <w:t>年1月以来</w:t>
      </w:r>
      <w:r>
        <w:rPr>
          <w:color w:val="auto"/>
          <w:highlight w:val="none"/>
        </w:rPr>
        <w:t>供应商具有同类或类似服务业绩的相关证明材料</w:t>
      </w:r>
      <w:r>
        <w:rPr>
          <w:color w:val="auto"/>
          <w:spacing w:val="-12"/>
          <w:szCs w:val="21"/>
          <w:highlight w:val="none"/>
        </w:rPr>
        <w:t>（无不良记录，以中标、成交通知书或签订的采购合同为准，并能清晰反映项目名称、种类、金额</w:t>
      </w:r>
      <w:r>
        <w:rPr>
          <w:color w:val="auto"/>
          <w:highlight w:val="none"/>
        </w:rPr>
        <w:t>）</w:t>
      </w:r>
      <w:r>
        <w:rPr>
          <w:b/>
          <w:color w:val="auto"/>
          <w:highlight w:val="none"/>
        </w:rPr>
        <w:t>（如有，请提供）；</w:t>
      </w:r>
    </w:p>
    <w:p>
      <w:pPr>
        <w:tabs>
          <w:tab w:val="left" w:pos="1305"/>
        </w:tabs>
        <w:spacing w:line="400" w:lineRule="exact"/>
        <w:ind w:firstLine="420" w:firstLineChars="200"/>
        <w:rPr>
          <w:b/>
          <w:bCs/>
          <w:color w:val="auto"/>
          <w:szCs w:val="21"/>
          <w:highlight w:val="none"/>
        </w:rPr>
      </w:pPr>
      <w:r>
        <w:rPr>
          <w:color w:val="auto"/>
          <w:szCs w:val="21"/>
          <w:highlight w:val="none"/>
        </w:rPr>
        <w:t>（13）供应商相关获奖证书、认证证书等复印件</w:t>
      </w:r>
      <w:r>
        <w:rPr>
          <w:b/>
          <w:bCs/>
          <w:color w:val="auto"/>
          <w:szCs w:val="21"/>
          <w:highlight w:val="none"/>
        </w:rPr>
        <w:t>（如有，请提供）；</w:t>
      </w:r>
    </w:p>
    <w:p>
      <w:pPr>
        <w:tabs>
          <w:tab w:val="left" w:pos="1305"/>
        </w:tabs>
        <w:spacing w:line="400" w:lineRule="exact"/>
        <w:ind w:firstLine="420" w:firstLineChars="200"/>
        <w:rPr>
          <w:color w:val="auto"/>
          <w:szCs w:val="21"/>
          <w:highlight w:val="none"/>
        </w:rPr>
      </w:pPr>
      <w:r>
        <w:rPr>
          <w:color w:val="auto"/>
          <w:szCs w:val="21"/>
          <w:highlight w:val="none"/>
        </w:rPr>
        <w:t>（1</w:t>
      </w:r>
      <w:r>
        <w:rPr>
          <w:rFonts w:hint="eastAsia"/>
          <w:color w:val="auto"/>
          <w:szCs w:val="21"/>
          <w:highlight w:val="none"/>
        </w:rPr>
        <w:t>4</w:t>
      </w:r>
      <w:r>
        <w:rPr>
          <w:color w:val="auto"/>
          <w:szCs w:val="21"/>
          <w:highlight w:val="none"/>
        </w:rPr>
        <w:t>）“服务采购需求”需提供的有效证明文件复印件</w:t>
      </w:r>
      <w:r>
        <w:rPr>
          <w:b/>
          <w:bCs/>
          <w:color w:val="auto"/>
          <w:szCs w:val="21"/>
          <w:highlight w:val="none"/>
        </w:rPr>
        <w:t>（如有，请提供）；</w:t>
      </w:r>
    </w:p>
    <w:p>
      <w:pPr>
        <w:tabs>
          <w:tab w:val="left" w:pos="1305"/>
        </w:tabs>
        <w:spacing w:line="400" w:lineRule="exact"/>
        <w:ind w:firstLine="420" w:firstLineChars="200"/>
        <w:rPr>
          <w:b/>
          <w:bCs/>
          <w:color w:val="auto"/>
          <w:szCs w:val="21"/>
          <w:highlight w:val="none"/>
        </w:rPr>
      </w:pPr>
      <w:r>
        <w:rPr>
          <w:color w:val="auto"/>
          <w:szCs w:val="21"/>
          <w:highlight w:val="none"/>
        </w:rPr>
        <w:t>（1</w:t>
      </w:r>
      <w:r>
        <w:rPr>
          <w:rFonts w:hint="eastAsia"/>
          <w:color w:val="auto"/>
          <w:szCs w:val="21"/>
          <w:highlight w:val="none"/>
        </w:rPr>
        <w:t>5</w:t>
      </w:r>
      <w:r>
        <w:rPr>
          <w:color w:val="auto"/>
          <w:szCs w:val="21"/>
          <w:highlight w:val="none"/>
        </w:rPr>
        <w:t>）如产品属于小型、微型企业，以提供的《中小企业声明函》为准；如产品属于监狱企业的，以提供的相关证明材料为准</w:t>
      </w:r>
      <w:r>
        <w:rPr>
          <w:b/>
          <w:bCs/>
          <w:color w:val="auto"/>
          <w:szCs w:val="21"/>
          <w:highlight w:val="none"/>
        </w:rPr>
        <w:t>（如有，请提供）；</w:t>
      </w:r>
    </w:p>
    <w:p>
      <w:pPr>
        <w:tabs>
          <w:tab w:val="left" w:pos="1305"/>
        </w:tabs>
        <w:spacing w:line="400" w:lineRule="exact"/>
        <w:ind w:firstLine="420" w:firstLineChars="200"/>
        <w:rPr>
          <w:b/>
          <w:bCs/>
          <w:color w:val="auto"/>
          <w:szCs w:val="21"/>
          <w:highlight w:val="none"/>
        </w:rPr>
      </w:pPr>
      <w:r>
        <w:rPr>
          <w:color w:val="auto"/>
          <w:szCs w:val="21"/>
          <w:highlight w:val="none"/>
        </w:rPr>
        <w:t>（1</w:t>
      </w:r>
      <w:r>
        <w:rPr>
          <w:rFonts w:hint="eastAsia"/>
          <w:color w:val="auto"/>
          <w:szCs w:val="21"/>
          <w:highlight w:val="none"/>
        </w:rPr>
        <w:t>6</w:t>
      </w:r>
      <w:r>
        <w:rPr>
          <w:color w:val="auto"/>
          <w:szCs w:val="21"/>
          <w:highlight w:val="none"/>
        </w:rPr>
        <w:t>）符合条件的残疾人福利性单位在参加政府采购活动时，应当提供《残疾人福利性单位声明函》（见附件），并对声明的真实性负责</w:t>
      </w:r>
      <w:r>
        <w:rPr>
          <w:b/>
          <w:bCs/>
          <w:color w:val="auto"/>
          <w:szCs w:val="21"/>
          <w:highlight w:val="none"/>
        </w:rPr>
        <w:t>（如有，请提供）；</w:t>
      </w:r>
    </w:p>
    <w:p>
      <w:pPr>
        <w:tabs>
          <w:tab w:val="left" w:pos="1305"/>
        </w:tabs>
        <w:spacing w:line="400" w:lineRule="exact"/>
        <w:ind w:firstLine="420" w:firstLineChars="200"/>
        <w:rPr>
          <w:b/>
          <w:bCs/>
          <w:color w:val="auto"/>
          <w:szCs w:val="21"/>
          <w:highlight w:val="none"/>
        </w:rPr>
      </w:pPr>
      <w:r>
        <w:rPr>
          <w:color w:val="auto"/>
          <w:szCs w:val="21"/>
          <w:highlight w:val="none"/>
        </w:rPr>
        <w:t>（1</w:t>
      </w:r>
      <w:r>
        <w:rPr>
          <w:rFonts w:hint="eastAsia"/>
          <w:color w:val="auto"/>
          <w:szCs w:val="21"/>
          <w:highlight w:val="none"/>
        </w:rPr>
        <w:t>7</w:t>
      </w:r>
      <w:r>
        <w:rPr>
          <w:color w:val="auto"/>
          <w:szCs w:val="21"/>
          <w:highlight w:val="none"/>
        </w:rPr>
        <w:t>）供应商可结合本项目自身情况自行提交其它相关证明材料</w:t>
      </w:r>
      <w:r>
        <w:rPr>
          <w:b/>
          <w:bCs/>
          <w:color w:val="auto"/>
          <w:szCs w:val="21"/>
          <w:highlight w:val="none"/>
        </w:rPr>
        <w:t>（如有，请提供）。</w:t>
      </w:r>
    </w:p>
    <w:p>
      <w:pPr>
        <w:pStyle w:val="23"/>
        <w:spacing w:line="400" w:lineRule="exact"/>
        <w:ind w:firstLine="630" w:firstLineChars="300"/>
        <w:rPr>
          <w:rFonts w:ascii="Times New Roman" w:hAnsi="Times New Roman"/>
          <w:b/>
          <w:color w:val="auto"/>
          <w:szCs w:val="21"/>
          <w:highlight w:val="none"/>
        </w:rPr>
      </w:pPr>
      <w:r>
        <w:rPr>
          <w:rFonts w:ascii="Times New Roman" w:hAnsi="Times New Roman"/>
          <w:b/>
          <w:color w:val="auto"/>
          <w:highlight w:val="none"/>
        </w:rPr>
        <w:t>以上有关材料应真实有效，属于“必须提供”的文件必须于本项目截标前与响应文件同时提交，并加盖供应商公章（扫描公章无效</w:t>
      </w:r>
      <w:r>
        <w:rPr>
          <w:rFonts w:ascii="Times New Roman" w:hAnsi="Times New Roman"/>
          <w:b/>
          <w:color w:val="auto"/>
          <w:szCs w:val="21"/>
          <w:highlight w:val="none"/>
        </w:rPr>
        <w:t>，自然人除外</w:t>
      </w:r>
      <w:r>
        <w:rPr>
          <w:rFonts w:ascii="Times New Roman" w:hAnsi="Times New Roman"/>
          <w:b/>
          <w:color w:val="auto"/>
          <w:highlight w:val="none"/>
        </w:rPr>
        <w:t>）；如供应商提供的证明文件不齐全或不符合规定形式的的可在磋商小组规定的时间内当场补正或更正；在规定时间内未能补齐或更正的，响应文件无效。其余由供应商视自身情况自行提交</w:t>
      </w:r>
      <w:r>
        <w:rPr>
          <w:rFonts w:ascii="Times New Roman" w:hAnsi="Times New Roman"/>
          <w:b/>
          <w:color w:val="auto"/>
          <w:szCs w:val="21"/>
          <w:highlight w:val="none"/>
        </w:rPr>
        <w:t>。</w:t>
      </w:r>
    </w:p>
    <w:p>
      <w:pPr>
        <w:pStyle w:val="23"/>
        <w:spacing w:line="400" w:lineRule="exact"/>
        <w:ind w:firstLine="630" w:firstLineChars="300"/>
        <w:rPr>
          <w:rFonts w:ascii="Times New Roman" w:hAnsi="Times New Roman"/>
          <w:color w:val="auto"/>
          <w:highlight w:val="none"/>
        </w:rPr>
      </w:pPr>
      <w:r>
        <w:rPr>
          <w:rFonts w:ascii="Times New Roman" w:hAnsi="Times New Roman"/>
          <w:color w:val="auto"/>
          <w:highlight w:val="none"/>
        </w:rPr>
        <w:t>11.2、磋商供应商应按磋商文件第六章响应文件格式编制响应文件。</w:t>
      </w:r>
    </w:p>
    <w:p>
      <w:pPr>
        <w:tabs>
          <w:tab w:val="left" w:pos="1305"/>
        </w:tabs>
        <w:spacing w:line="380" w:lineRule="exact"/>
        <w:ind w:firstLine="420" w:firstLineChars="200"/>
        <w:rPr>
          <w:b/>
          <w:color w:val="auto"/>
          <w:szCs w:val="21"/>
          <w:highlight w:val="none"/>
        </w:rPr>
      </w:pPr>
      <w:r>
        <w:rPr>
          <w:b/>
          <w:color w:val="auto"/>
          <w:szCs w:val="21"/>
          <w:highlight w:val="none"/>
        </w:rPr>
        <w:t>12、响应文件的语言及计量</w:t>
      </w:r>
    </w:p>
    <w:p>
      <w:pPr>
        <w:tabs>
          <w:tab w:val="left" w:pos="1305"/>
        </w:tabs>
        <w:spacing w:line="380" w:lineRule="exact"/>
        <w:ind w:firstLine="420" w:firstLineChars="200"/>
        <w:rPr>
          <w:color w:val="auto"/>
          <w:szCs w:val="21"/>
          <w:highlight w:val="none"/>
        </w:rPr>
      </w:pPr>
      <w:r>
        <w:rPr>
          <w:color w:val="auto"/>
          <w:szCs w:val="21"/>
          <w:highlight w:val="none"/>
        </w:rPr>
        <w:t>12.1、响应文件以及磋商供应商与采购代理机构就有关磋商事宜的所有来往函电，均应以中文汉语书写。磋商供应商提交的支持文件和印刷的文献可以使用别的语言，但其相应内容必须附有中文翻译文本，在解释响应文件时以中文翻译文本为主。</w:t>
      </w:r>
    </w:p>
    <w:p>
      <w:pPr>
        <w:tabs>
          <w:tab w:val="left" w:pos="1305"/>
        </w:tabs>
        <w:spacing w:line="380" w:lineRule="exact"/>
        <w:ind w:firstLine="420" w:firstLineChars="200"/>
        <w:rPr>
          <w:color w:val="auto"/>
          <w:szCs w:val="21"/>
          <w:highlight w:val="none"/>
        </w:rPr>
      </w:pPr>
      <w:r>
        <w:rPr>
          <w:color w:val="auto"/>
          <w:szCs w:val="21"/>
          <w:highlight w:val="none"/>
        </w:rPr>
        <w:t>12.2、磋商计量单位，磋商文件已有明确规定的，使用磋商文件规定的计量单位；磋商文件没有规定的，应采用中华人民共和国法定计量单位（货币单位：人民币元），否则视同未响应。</w:t>
      </w:r>
    </w:p>
    <w:p>
      <w:pPr>
        <w:tabs>
          <w:tab w:val="left" w:pos="1305"/>
        </w:tabs>
        <w:spacing w:line="380" w:lineRule="exact"/>
        <w:ind w:firstLine="420" w:firstLineChars="200"/>
        <w:rPr>
          <w:b/>
          <w:color w:val="auto"/>
          <w:szCs w:val="21"/>
          <w:highlight w:val="none"/>
        </w:rPr>
      </w:pPr>
      <w:r>
        <w:rPr>
          <w:b/>
          <w:color w:val="auto"/>
          <w:szCs w:val="21"/>
          <w:highlight w:val="none"/>
        </w:rPr>
        <w:t>13、磋商报价及采购预算总金额</w:t>
      </w:r>
    </w:p>
    <w:p>
      <w:pPr>
        <w:tabs>
          <w:tab w:val="left" w:pos="1305"/>
        </w:tabs>
        <w:spacing w:line="380" w:lineRule="exact"/>
        <w:ind w:firstLine="420" w:firstLineChars="200"/>
        <w:rPr>
          <w:color w:val="auto"/>
          <w:szCs w:val="21"/>
          <w:highlight w:val="none"/>
        </w:rPr>
      </w:pPr>
      <w:r>
        <w:rPr>
          <w:color w:val="auto"/>
          <w:szCs w:val="21"/>
          <w:highlight w:val="none"/>
        </w:rPr>
        <w:t>13.1、磋商报价应按磋商文件中相关附表格式填写。</w:t>
      </w:r>
    </w:p>
    <w:p>
      <w:pPr>
        <w:tabs>
          <w:tab w:val="left" w:pos="1305"/>
        </w:tabs>
        <w:spacing w:line="380" w:lineRule="exact"/>
        <w:ind w:firstLine="420" w:firstLineChars="200"/>
        <w:rPr>
          <w:color w:val="auto"/>
          <w:szCs w:val="21"/>
          <w:highlight w:val="none"/>
        </w:rPr>
      </w:pPr>
      <w:r>
        <w:rPr>
          <w:color w:val="auto"/>
          <w:szCs w:val="21"/>
          <w:highlight w:val="none"/>
        </w:rPr>
        <w:t>13.2、磋商供应商必须就“服务需求”中的内容作完整唯一报价，否则，其响应将被拒绝。响应文件只允许有一个报价，有选择的或有条件的报价将不予接受。</w:t>
      </w:r>
    </w:p>
    <w:p>
      <w:pPr>
        <w:pStyle w:val="152"/>
        <w:spacing w:line="360" w:lineRule="auto"/>
        <w:ind w:firstLine="420" w:firstLineChars="200"/>
        <w:rPr>
          <w:rFonts w:ascii="Times New Roman" w:hAnsi="Times New Roman"/>
          <w:color w:val="auto"/>
          <w:highlight w:val="none"/>
        </w:rPr>
      </w:pPr>
      <w:r>
        <w:rPr>
          <w:rFonts w:ascii="Times New Roman" w:hAnsi="Times New Roman"/>
          <w:color w:val="auto"/>
          <w:szCs w:val="21"/>
          <w:highlight w:val="none"/>
        </w:rPr>
        <w:t>13.3、磋商报价包括本次采购范围内一切服务价款的总和</w:t>
      </w:r>
      <w:r>
        <w:rPr>
          <w:rFonts w:ascii="Times New Roman" w:hAnsi="Times New Roman"/>
          <w:color w:val="auto"/>
          <w:highlight w:val="none"/>
        </w:rPr>
        <w:t>；供应商综合考虑在报价中</w:t>
      </w:r>
      <w:r>
        <w:rPr>
          <w:rFonts w:ascii="Times New Roman" w:hAnsi="Times New Roman"/>
          <w:color w:val="auto"/>
          <w:szCs w:val="21"/>
          <w:highlight w:val="none"/>
        </w:rPr>
        <w:t>。</w:t>
      </w:r>
    </w:p>
    <w:p>
      <w:pPr>
        <w:tabs>
          <w:tab w:val="left" w:pos="1305"/>
        </w:tabs>
        <w:spacing w:line="380" w:lineRule="exact"/>
        <w:ind w:firstLine="420" w:firstLineChars="200"/>
        <w:rPr>
          <w:color w:val="auto"/>
          <w:szCs w:val="21"/>
          <w:highlight w:val="none"/>
        </w:rPr>
      </w:pPr>
      <w:r>
        <w:rPr>
          <w:color w:val="auto"/>
          <w:szCs w:val="21"/>
          <w:highlight w:val="none"/>
        </w:rPr>
        <w:t>13.4、本项目采购预算总金额（人民币）：详见磋商供应商须知前附表第4条。</w:t>
      </w:r>
    </w:p>
    <w:p>
      <w:pPr>
        <w:tabs>
          <w:tab w:val="left" w:pos="1305"/>
        </w:tabs>
        <w:spacing w:line="400" w:lineRule="exact"/>
        <w:ind w:firstLine="420" w:firstLineChars="200"/>
        <w:rPr>
          <w:color w:val="auto"/>
          <w:szCs w:val="21"/>
          <w:highlight w:val="none"/>
        </w:rPr>
      </w:pPr>
      <w:r>
        <w:rPr>
          <w:color w:val="auto"/>
          <w:szCs w:val="21"/>
          <w:highlight w:val="none"/>
        </w:rPr>
        <w:t>13.5、响应文件中磋商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pPr>
        <w:tabs>
          <w:tab w:val="left" w:pos="1305"/>
        </w:tabs>
        <w:spacing w:line="380" w:lineRule="exact"/>
        <w:ind w:firstLine="420" w:firstLineChars="200"/>
        <w:rPr>
          <w:color w:val="auto"/>
          <w:kern w:val="0"/>
          <w:szCs w:val="21"/>
          <w:highlight w:val="none"/>
        </w:rPr>
      </w:pPr>
      <w:r>
        <w:rPr>
          <w:color w:val="auto"/>
          <w:szCs w:val="21"/>
          <w:highlight w:val="none"/>
        </w:rPr>
        <w:t>按上述勘误修正原则及方法调整或修正响应文件的磋商报价，供应商需签字确认。</w:t>
      </w:r>
    </w:p>
    <w:p>
      <w:pPr>
        <w:tabs>
          <w:tab w:val="left" w:pos="1305"/>
        </w:tabs>
        <w:spacing w:line="380" w:lineRule="exact"/>
        <w:ind w:firstLine="420" w:firstLineChars="200"/>
        <w:rPr>
          <w:color w:val="auto"/>
          <w:kern w:val="0"/>
          <w:szCs w:val="21"/>
          <w:highlight w:val="none"/>
        </w:rPr>
      </w:pPr>
      <w:r>
        <w:rPr>
          <w:color w:val="auto"/>
          <w:szCs w:val="21"/>
          <w:highlight w:val="none"/>
        </w:rPr>
        <w:t>13.6、</w:t>
      </w:r>
      <w:r>
        <w:rPr>
          <w:color w:val="auto"/>
          <w:kern w:val="0"/>
          <w:szCs w:val="21"/>
          <w:highlight w:val="none"/>
        </w:rPr>
        <w:t>未书面退出磋商的供应商在规定时间内密封提交最后报价，其最后报价超出</w:t>
      </w:r>
      <w:r>
        <w:rPr>
          <w:color w:val="auto"/>
          <w:highlight w:val="none"/>
        </w:rPr>
        <w:t>采购预算金额</w:t>
      </w:r>
      <w:r>
        <w:rPr>
          <w:color w:val="auto"/>
          <w:kern w:val="0"/>
          <w:szCs w:val="21"/>
          <w:highlight w:val="none"/>
        </w:rPr>
        <w:t>导致已通过评审的响应文件无效的，按供应商在提交响应文件截止时间后撤回响应文件处理。</w:t>
      </w:r>
    </w:p>
    <w:p>
      <w:pPr>
        <w:tabs>
          <w:tab w:val="left" w:pos="1305"/>
        </w:tabs>
        <w:spacing w:line="380" w:lineRule="exact"/>
        <w:ind w:firstLine="420" w:firstLineChars="200"/>
        <w:rPr>
          <w:color w:val="auto"/>
          <w:szCs w:val="21"/>
          <w:highlight w:val="none"/>
        </w:rPr>
      </w:pPr>
      <w:r>
        <w:rPr>
          <w:color w:val="auto"/>
          <w:kern w:val="0"/>
          <w:szCs w:val="21"/>
          <w:highlight w:val="none"/>
        </w:rPr>
        <w:t>13.7、磋商供应商</w:t>
      </w:r>
      <w:r>
        <w:rPr>
          <w:color w:val="auto"/>
          <w:szCs w:val="21"/>
          <w:highlight w:val="none"/>
        </w:rPr>
        <w:t>最后磋商报价</w:t>
      </w:r>
      <w:r>
        <w:rPr>
          <w:color w:val="auto"/>
          <w:kern w:val="0"/>
          <w:szCs w:val="21"/>
          <w:highlight w:val="none"/>
        </w:rPr>
        <w:t>超出本次</w:t>
      </w:r>
      <w:r>
        <w:rPr>
          <w:color w:val="auto"/>
          <w:highlight w:val="none"/>
        </w:rPr>
        <w:t>采购预算总金额</w:t>
      </w:r>
      <w:r>
        <w:rPr>
          <w:color w:val="auto"/>
          <w:szCs w:val="21"/>
          <w:highlight w:val="none"/>
        </w:rPr>
        <w:t>的将被视为无效磋商。</w:t>
      </w:r>
    </w:p>
    <w:p>
      <w:pPr>
        <w:tabs>
          <w:tab w:val="left" w:pos="1305"/>
        </w:tabs>
        <w:spacing w:line="380" w:lineRule="exact"/>
        <w:ind w:firstLine="420" w:firstLineChars="200"/>
        <w:rPr>
          <w:b/>
          <w:color w:val="auto"/>
          <w:szCs w:val="21"/>
          <w:highlight w:val="none"/>
        </w:rPr>
      </w:pPr>
      <w:r>
        <w:rPr>
          <w:b/>
          <w:color w:val="auto"/>
          <w:szCs w:val="21"/>
          <w:highlight w:val="none"/>
        </w:rPr>
        <w:t>14、响应文件有效期</w:t>
      </w:r>
    </w:p>
    <w:p>
      <w:pPr>
        <w:tabs>
          <w:tab w:val="left" w:pos="1305"/>
        </w:tabs>
        <w:spacing w:line="380" w:lineRule="exact"/>
        <w:ind w:firstLine="420" w:firstLineChars="200"/>
        <w:rPr>
          <w:color w:val="auto"/>
          <w:szCs w:val="21"/>
          <w:highlight w:val="none"/>
        </w:rPr>
      </w:pPr>
      <w:r>
        <w:rPr>
          <w:color w:val="auto"/>
          <w:szCs w:val="21"/>
          <w:highlight w:val="none"/>
        </w:rPr>
        <w:t>14.1、按磋商供应商须知前附表规定的响应文件有效期，有效期不足的响应文件将被拒绝。</w:t>
      </w:r>
    </w:p>
    <w:p>
      <w:pPr>
        <w:tabs>
          <w:tab w:val="left" w:pos="1305"/>
        </w:tabs>
        <w:spacing w:line="380" w:lineRule="exact"/>
        <w:ind w:firstLine="420" w:firstLineChars="200"/>
        <w:rPr>
          <w:color w:val="auto"/>
          <w:szCs w:val="21"/>
          <w:highlight w:val="none"/>
        </w:rPr>
      </w:pPr>
      <w:r>
        <w:rPr>
          <w:color w:val="auto"/>
          <w:szCs w:val="21"/>
          <w:highlight w:val="none"/>
        </w:rPr>
        <w:t>14.2、出现特殊情况下，需要延长响应有效期的，采购代理机构以书面形式通知所有磋商供应商延长响应有效期。磋商供应商同意延长的，但不能修改响应文件。磋商供应商拒绝延长的，其响应无效。</w:t>
      </w:r>
    </w:p>
    <w:p>
      <w:pPr>
        <w:snapToGrid w:val="0"/>
        <w:spacing w:line="390" w:lineRule="exact"/>
        <w:ind w:firstLine="420" w:firstLineChars="200"/>
        <w:jc w:val="left"/>
        <w:rPr>
          <w:b/>
          <w:color w:val="auto"/>
          <w:szCs w:val="21"/>
          <w:highlight w:val="none"/>
        </w:rPr>
      </w:pPr>
      <w:r>
        <w:rPr>
          <w:b/>
          <w:color w:val="auto"/>
          <w:szCs w:val="21"/>
          <w:highlight w:val="none"/>
        </w:rPr>
        <w:t>15、响应文件的份数、装订、签署和包装、密封</w:t>
      </w:r>
    </w:p>
    <w:p>
      <w:pPr>
        <w:snapToGrid w:val="0"/>
        <w:spacing w:line="390" w:lineRule="exact"/>
        <w:ind w:firstLine="420" w:firstLineChars="200"/>
        <w:jc w:val="left"/>
        <w:rPr>
          <w:color w:val="auto"/>
          <w:szCs w:val="21"/>
          <w:highlight w:val="none"/>
        </w:rPr>
      </w:pPr>
      <w:r>
        <w:rPr>
          <w:color w:val="auto"/>
          <w:szCs w:val="21"/>
          <w:highlight w:val="none"/>
        </w:rPr>
        <w:t>15.1、响应文件份数：正本壹册，副本肆册，须完整提交。</w:t>
      </w:r>
    </w:p>
    <w:p>
      <w:pPr>
        <w:snapToGrid w:val="0"/>
        <w:spacing w:line="390" w:lineRule="exact"/>
        <w:ind w:firstLine="420" w:firstLineChars="200"/>
        <w:jc w:val="left"/>
        <w:rPr>
          <w:color w:val="auto"/>
          <w:szCs w:val="21"/>
          <w:highlight w:val="none"/>
        </w:rPr>
      </w:pPr>
      <w:r>
        <w:rPr>
          <w:color w:val="auto"/>
          <w:szCs w:val="21"/>
          <w:highlight w:val="none"/>
        </w:rPr>
        <w:t>15.2、响应文件装订：磋商供应商应按磋商供应商须知第11.1条响应文件的组成规定的顺序自编目录及页码。响应文件的“正本”、“副本”应当单独装订成册并标注页码，装订应牢固，不易拆散和换页</w:t>
      </w:r>
      <w:r>
        <w:rPr>
          <w:b/>
          <w:color w:val="auto"/>
          <w:szCs w:val="21"/>
          <w:highlight w:val="none"/>
        </w:rPr>
        <w:t>（A4标准纸装订）</w:t>
      </w:r>
      <w:r>
        <w:rPr>
          <w:color w:val="auto"/>
          <w:szCs w:val="21"/>
          <w:highlight w:val="none"/>
        </w:rPr>
        <w:t>。封面应注明“正本”、“副本”字样，封面上写明项目名称、项目编号、采购代理机构、磋商供应商名称。</w:t>
      </w:r>
    </w:p>
    <w:p>
      <w:pPr>
        <w:snapToGrid w:val="0"/>
        <w:spacing w:line="390" w:lineRule="exact"/>
        <w:ind w:firstLine="420" w:firstLineChars="200"/>
        <w:jc w:val="left"/>
        <w:rPr>
          <w:color w:val="auto"/>
          <w:szCs w:val="21"/>
          <w:highlight w:val="none"/>
        </w:rPr>
      </w:pPr>
      <w:r>
        <w:rPr>
          <w:color w:val="auto"/>
          <w:szCs w:val="21"/>
          <w:highlight w:val="none"/>
        </w:rPr>
        <w:t>15.3、响应文件的正本需打印或用不褪色的墨水填写，响应文件正本除本磋商文件中规定的可提供复印件外均须提供原件。</w:t>
      </w:r>
    </w:p>
    <w:p>
      <w:pPr>
        <w:snapToGrid w:val="0"/>
        <w:spacing w:line="390" w:lineRule="exact"/>
        <w:ind w:firstLine="420" w:firstLineChars="200"/>
        <w:jc w:val="left"/>
        <w:rPr>
          <w:color w:val="auto"/>
          <w:szCs w:val="21"/>
          <w:highlight w:val="none"/>
        </w:rPr>
      </w:pPr>
      <w:r>
        <w:rPr>
          <w:color w:val="auto"/>
          <w:szCs w:val="21"/>
          <w:highlight w:val="none"/>
        </w:rPr>
        <w:t>15.4、响应文件正本须由磋商供应商在规定位置加盖磋商供应商公章</w:t>
      </w:r>
      <w:r>
        <w:rPr>
          <w:bCs/>
          <w:color w:val="auto"/>
          <w:szCs w:val="21"/>
          <w:highlight w:val="none"/>
        </w:rPr>
        <w:t>（扫描公章无效，自然人除外）</w:t>
      </w:r>
      <w:r>
        <w:rPr>
          <w:color w:val="auto"/>
          <w:szCs w:val="21"/>
          <w:highlight w:val="none"/>
        </w:rPr>
        <w:t>并由法定代表人或负责人或授权委托代理人签署，磋商供应商应写全称，响应文件副本可以是正本的复印件，当正本与副本不一致时，以正本为准。</w:t>
      </w:r>
    </w:p>
    <w:p>
      <w:pPr>
        <w:snapToGrid w:val="0"/>
        <w:spacing w:line="390" w:lineRule="exact"/>
        <w:ind w:firstLine="420" w:firstLineChars="200"/>
        <w:jc w:val="left"/>
        <w:rPr>
          <w:color w:val="auto"/>
          <w:szCs w:val="21"/>
          <w:highlight w:val="none"/>
        </w:rPr>
      </w:pPr>
      <w:r>
        <w:rPr>
          <w:color w:val="auto"/>
          <w:szCs w:val="21"/>
          <w:highlight w:val="none"/>
        </w:rPr>
        <w:t>15.5、响应文件不得涂改，若有修改错漏处，须加盖磋商供应商公章（</w:t>
      </w:r>
      <w:r>
        <w:rPr>
          <w:bCs/>
          <w:color w:val="auto"/>
          <w:szCs w:val="21"/>
          <w:highlight w:val="none"/>
        </w:rPr>
        <w:t>自然人除外</w:t>
      </w:r>
      <w:r>
        <w:rPr>
          <w:color w:val="auto"/>
          <w:szCs w:val="21"/>
          <w:highlight w:val="none"/>
        </w:rPr>
        <w:t>）及法定代表人或负责人或授权委托代理人签字或盖法定代表人印章。响应文件因字迹潦草或表达不清所引起的后果由磋商供应商负责。</w:t>
      </w:r>
    </w:p>
    <w:p>
      <w:pPr>
        <w:snapToGrid w:val="0"/>
        <w:spacing w:line="390" w:lineRule="exact"/>
        <w:ind w:firstLine="420" w:firstLineChars="200"/>
        <w:jc w:val="left"/>
        <w:rPr>
          <w:color w:val="auto"/>
          <w:szCs w:val="21"/>
          <w:highlight w:val="none"/>
        </w:rPr>
      </w:pPr>
      <w:r>
        <w:rPr>
          <w:color w:val="auto"/>
          <w:szCs w:val="21"/>
          <w:highlight w:val="none"/>
        </w:rPr>
        <w:t>15.6、磋商供应商须将响应文件“正本”、“副本”一并装入并密封在一个响应文件袋（盒、箱）中，并在密封处密封签章（公章、密封章、法定代表人或其授权委托代理人签字均可）。</w:t>
      </w:r>
    </w:p>
    <w:p>
      <w:pPr>
        <w:tabs>
          <w:tab w:val="left" w:pos="1305"/>
        </w:tabs>
        <w:spacing w:line="460" w:lineRule="exact"/>
        <w:ind w:firstLine="420" w:firstLineChars="200"/>
        <w:rPr>
          <w:b/>
          <w:color w:val="auto"/>
          <w:szCs w:val="21"/>
          <w:highlight w:val="none"/>
        </w:rPr>
      </w:pPr>
      <w:r>
        <w:rPr>
          <w:color w:val="auto"/>
          <w:szCs w:val="21"/>
          <w:highlight w:val="none"/>
        </w:rPr>
        <w:t>15.7、响应文件袋（盒、箱）标记：</w:t>
      </w:r>
    </w:p>
    <w:p>
      <w:pPr>
        <w:spacing w:line="380" w:lineRule="exact"/>
        <w:ind w:firstLine="420" w:firstLineChars="200"/>
        <w:rPr>
          <w:rFonts w:hint="eastAsia" w:eastAsia="宋体"/>
          <w:b/>
          <w:color w:val="auto"/>
          <w:szCs w:val="21"/>
          <w:highlight w:val="none"/>
          <w:lang w:eastAsia="zh-CN"/>
        </w:rPr>
      </w:pPr>
      <w:r>
        <w:rPr>
          <w:b/>
          <w:color w:val="auto"/>
          <w:szCs w:val="21"/>
          <w:highlight w:val="none"/>
        </w:rPr>
        <w:t>项目名称：</w:t>
      </w:r>
      <w:r>
        <w:rPr>
          <w:rFonts w:hint="default"/>
          <w:b/>
          <w:color w:val="auto"/>
          <w:szCs w:val="21"/>
          <w:highlight w:val="none"/>
          <w:lang w:val="en-US" w:eastAsia="zh-CN"/>
        </w:rPr>
        <w:fldChar w:fldCharType="begin"/>
      </w:r>
      <w:r>
        <w:rPr>
          <w:rFonts w:hint="default"/>
          <w:b/>
          <w:color w:val="auto"/>
          <w:szCs w:val="21"/>
          <w:highlight w:val="none"/>
          <w:lang w:val="en-US" w:eastAsia="zh-CN"/>
        </w:rPr>
        <w:instrText xml:space="preserve"> HYPERLINK "https://bidding.zcygov.cn/xmgl/projectQuery/queryDetail?projectUuid=5d1d783f1c1bf753&amp;utm=bidding-entrust-front.62f570f9.0.0.96d1b940f30e11ea8a31c3b08aaeacc2" \t "https://www.zcygov.cn/bidding-entrust/_blank" </w:instrText>
      </w:r>
      <w:r>
        <w:rPr>
          <w:rFonts w:hint="default"/>
          <w:b/>
          <w:color w:val="auto"/>
          <w:szCs w:val="21"/>
          <w:highlight w:val="none"/>
          <w:lang w:val="en-US" w:eastAsia="zh-CN"/>
        </w:rPr>
        <w:fldChar w:fldCharType="separate"/>
      </w:r>
      <w:r>
        <w:rPr>
          <w:rFonts w:hint="default"/>
          <w:b/>
          <w:color w:val="auto"/>
          <w:szCs w:val="21"/>
          <w:highlight w:val="none"/>
        </w:rPr>
        <w:t>桂林市水利局桂林市水安全保障“十四五”规划项目</w:t>
      </w:r>
      <w:r>
        <w:rPr>
          <w:rFonts w:hint="default"/>
          <w:b/>
          <w:color w:val="auto"/>
          <w:szCs w:val="21"/>
          <w:highlight w:val="none"/>
          <w:lang w:val="en-US" w:eastAsia="zh-CN"/>
        </w:rPr>
        <w:fldChar w:fldCharType="end"/>
      </w:r>
    </w:p>
    <w:p>
      <w:pPr>
        <w:tabs>
          <w:tab w:val="left" w:pos="1305"/>
        </w:tabs>
        <w:spacing w:line="460" w:lineRule="exact"/>
        <w:ind w:firstLine="420" w:firstLineChars="200"/>
        <w:rPr>
          <w:rFonts w:hint="eastAsia" w:eastAsia="宋体"/>
          <w:b/>
          <w:color w:val="auto"/>
          <w:szCs w:val="21"/>
          <w:highlight w:val="none"/>
          <w:lang w:eastAsia="zh-CN"/>
        </w:rPr>
      </w:pPr>
      <w:r>
        <w:rPr>
          <w:b/>
          <w:color w:val="auto"/>
          <w:szCs w:val="21"/>
          <w:highlight w:val="none"/>
        </w:rPr>
        <w:t>项目编号：</w:t>
      </w:r>
      <w:r>
        <w:rPr>
          <w:rFonts w:hint="eastAsia"/>
          <w:b/>
          <w:color w:val="auto"/>
          <w:szCs w:val="21"/>
          <w:highlight w:val="none"/>
          <w:lang w:eastAsia="zh-CN"/>
        </w:rPr>
        <w:t>GLZC2020-C3-</w:t>
      </w:r>
      <w:r>
        <w:rPr>
          <w:rFonts w:hint="eastAsia"/>
          <w:b/>
          <w:color w:val="auto"/>
          <w:szCs w:val="21"/>
          <w:highlight w:val="none"/>
          <w:lang w:val="en-US" w:eastAsia="zh-CN"/>
        </w:rPr>
        <w:t>990201</w:t>
      </w:r>
      <w:r>
        <w:rPr>
          <w:rFonts w:hint="eastAsia"/>
          <w:b/>
          <w:color w:val="auto"/>
          <w:szCs w:val="21"/>
          <w:highlight w:val="none"/>
          <w:lang w:eastAsia="zh-CN"/>
        </w:rPr>
        <w:t>-HYZB</w:t>
      </w:r>
    </w:p>
    <w:p>
      <w:pPr>
        <w:tabs>
          <w:tab w:val="left" w:pos="1305"/>
        </w:tabs>
        <w:spacing w:line="460" w:lineRule="exact"/>
        <w:ind w:firstLine="420" w:firstLineChars="200"/>
        <w:rPr>
          <w:rFonts w:hint="eastAsia" w:eastAsia="宋体"/>
          <w:color w:val="auto"/>
          <w:szCs w:val="21"/>
          <w:highlight w:val="none"/>
          <w:lang w:eastAsia="zh-CN"/>
        </w:rPr>
      </w:pPr>
      <w:r>
        <w:rPr>
          <w:b/>
          <w:color w:val="auto"/>
          <w:szCs w:val="21"/>
          <w:highlight w:val="none"/>
        </w:rPr>
        <w:t>采购代理机构：</w:t>
      </w:r>
      <w:r>
        <w:rPr>
          <w:rFonts w:hint="eastAsia"/>
          <w:b/>
          <w:color w:val="auto"/>
          <w:szCs w:val="21"/>
          <w:highlight w:val="none"/>
          <w:lang w:eastAsia="zh-CN"/>
        </w:rPr>
        <w:t>广西汇益招标咨询有限公司</w:t>
      </w:r>
    </w:p>
    <w:p>
      <w:pPr>
        <w:tabs>
          <w:tab w:val="left" w:pos="1305"/>
        </w:tabs>
        <w:spacing w:line="460" w:lineRule="exact"/>
        <w:ind w:firstLine="420" w:firstLineChars="200"/>
        <w:rPr>
          <w:b/>
          <w:bCs/>
          <w:color w:val="auto"/>
          <w:szCs w:val="21"/>
          <w:highlight w:val="none"/>
        </w:rPr>
      </w:pPr>
      <w:r>
        <w:rPr>
          <w:b/>
          <w:bCs/>
          <w:color w:val="auto"/>
          <w:szCs w:val="21"/>
          <w:highlight w:val="none"/>
        </w:rPr>
        <w:t>磋商供应商名称：</w:t>
      </w:r>
    </w:p>
    <w:p>
      <w:pPr>
        <w:snapToGrid w:val="0"/>
        <w:spacing w:line="460" w:lineRule="exact"/>
        <w:ind w:firstLine="420" w:firstLineChars="200"/>
        <w:jc w:val="left"/>
        <w:rPr>
          <w:b/>
          <w:bCs/>
          <w:color w:val="auto"/>
          <w:szCs w:val="21"/>
          <w:highlight w:val="none"/>
        </w:rPr>
      </w:pPr>
      <w:r>
        <w:rPr>
          <w:b/>
          <w:bCs/>
          <w:color w:val="auto"/>
          <w:szCs w:val="21"/>
          <w:highlight w:val="none"/>
        </w:rPr>
        <w:t>在</w:t>
      </w:r>
      <w:r>
        <w:rPr>
          <w:rFonts w:hint="eastAsia"/>
          <w:b/>
          <w:bCs/>
          <w:color w:val="auto"/>
          <w:szCs w:val="21"/>
          <w:highlight w:val="none"/>
          <w:lang w:val="en-US" w:eastAsia="zh-CN"/>
        </w:rPr>
        <w:t>2020</w:t>
      </w:r>
      <w:r>
        <w:rPr>
          <w:b/>
          <w:bCs/>
          <w:color w:val="auto"/>
          <w:szCs w:val="21"/>
          <w:highlight w:val="none"/>
        </w:rPr>
        <w:t>年</w:t>
      </w:r>
      <w:r>
        <w:rPr>
          <w:rFonts w:hint="eastAsia"/>
          <w:b/>
          <w:bCs/>
          <w:color w:val="auto"/>
          <w:szCs w:val="21"/>
          <w:highlight w:val="none"/>
          <w:lang w:val="en-US" w:eastAsia="zh-CN"/>
        </w:rPr>
        <w:t>9</w:t>
      </w:r>
      <w:r>
        <w:rPr>
          <w:b/>
          <w:bCs/>
          <w:color w:val="auto"/>
          <w:szCs w:val="21"/>
          <w:highlight w:val="none"/>
        </w:rPr>
        <w:t>月</w:t>
      </w:r>
      <w:r>
        <w:rPr>
          <w:rFonts w:hint="eastAsia"/>
          <w:b/>
          <w:bCs/>
          <w:color w:val="auto"/>
          <w:szCs w:val="21"/>
          <w:highlight w:val="none"/>
          <w:lang w:val="en-US" w:eastAsia="zh-CN"/>
        </w:rPr>
        <w:t>28</w:t>
      </w:r>
      <w:r>
        <w:rPr>
          <w:b/>
          <w:bCs/>
          <w:color w:val="auto"/>
          <w:szCs w:val="21"/>
          <w:highlight w:val="none"/>
        </w:rPr>
        <w:t>日</w:t>
      </w:r>
      <w:r>
        <w:rPr>
          <w:rFonts w:hint="eastAsia"/>
          <w:b/>
          <w:bCs/>
          <w:color w:val="auto"/>
          <w:szCs w:val="21"/>
          <w:highlight w:val="none"/>
          <w:lang w:val="en-US" w:eastAsia="zh-CN"/>
        </w:rPr>
        <w:t>10</w:t>
      </w:r>
      <w:r>
        <w:rPr>
          <w:b/>
          <w:bCs/>
          <w:color w:val="auto"/>
          <w:szCs w:val="21"/>
          <w:highlight w:val="none"/>
        </w:rPr>
        <w:t>时</w:t>
      </w:r>
      <w:r>
        <w:rPr>
          <w:rFonts w:hint="eastAsia"/>
          <w:b/>
          <w:bCs/>
          <w:color w:val="auto"/>
          <w:szCs w:val="21"/>
          <w:highlight w:val="none"/>
          <w:lang w:val="en-US" w:eastAsia="zh-CN"/>
        </w:rPr>
        <w:t>30</w:t>
      </w:r>
      <w:r>
        <w:rPr>
          <w:b/>
          <w:bCs/>
          <w:color w:val="auto"/>
          <w:szCs w:val="21"/>
          <w:highlight w:val="none"/>
        </w:rPr>
        <w:t>分前不得开启(此处供应商填写响应文件递交截止时间)</w:t>
      </w:r>
    </w:p>
    <w:p>
      <w:pPr>
        <w:snapToGrid w:val="0"/>
        <w:spacing w:line="460" w:lineRule="exact"/>
        <w:ind w:firstLine="420" w:firstLineChars="200"/>
        <w:jc w:val="left"/>
        <w:rPr>
          <w:color w:val="auto"/>
          <w:szCs w:val="21"/>
          <w:highlight w:val="none"/>
        </w:rPr>
      </w:pPr>
      <w:r>
        <w:rPr>
          <w:color w:val="auto"/>
          <w:szCs w:val="21"/>
          <w:highlight w:val="none"/>
        </w:rPr>
        <w:t>15.8、本磋商文件中描述磋商供应商的“公章”是指根据我国对公章的管理规定，用磋商供应商法定主体行为名称制作的印章，除本文件有特殊规定外，磋商供应商的财务章、部门章、分公司章、工会章、合同章、磋商专用章、业务专用章及银行的转账章、现金收讫章、现金付讫章等其它形式印章均不能代替公章。</w:t>
      </w:r>
    </w:p>
    <w:p>
      <w:pPr>
        <w:tabs>
          <w:tab w:val="left" w:pos="1305"/>
        </w:tabs>
        <w:spacing w:line="460" w:lineRule="exact"/>
        <w:ind w:firstLine="420" w:firstLineChars="200"/>
        <w:rPr>
          <w:b/>
          <w:color w:val="auto"/>
          <w:szCs w:val="21"/>
          <w:highlight w:val="none"/>
        </w:rPr>
      </w:pPr>
      <w:r>
        <w:rPr>
          <w:b/>
          <w:color w:val="auto"/>
          <w:szCs w:val="21"/>
          <w:highlight w:val="none"/>
        </w:rPr>
        <w:t>16、响应文件的修改和撤回</w:t>
      </w:r>
    </w:p>
    <w:p>
      <w:pPr>
        <w:tabs>
          <w:tab w:val="left" w:pos="1305"/>
        </w:tabs>
        <w:spacing w:line="460" w:lineRule="exact"/>
        <w:ind w:firstLine="420" w:firstLineChars="200"/>
        <w:rPr>
          <w:color w:val="auto"/>
          <w:szCs w:val="21"/>
          <w:highlight w:val="none"/>
        </w:rPr>
      </w:pPr>
      <w:r>
        <w:rPr>
          <w:color w:val="auto"/>
          <w:szCs w:val="21"/>
          <w:highlight w:val="none"/>
        </w:rPr>
        <w:t>16.1、磋商供应商在响应文件截止时间之前，可以对已递交的响应文件进行修改或撤回，并书面通知采购代理机构，该通知须有经磋商供应商法定代表人（负责人）或其正式授权的委托人签字。</w:t>
      </w:r>
    </w:p>
    <w:p>
      <w:pPr>
        <w:tabs>
          <w:tab w:val="left" w:pos="1305"/>
        </w:tabs>
        <w:spacing w:line="460" w:lineRule="exact"/>
        <w:ind w:firstLine="420" w:firstLineChars="200"/>
        <w:rPr>
          <w:color w:val="auto"/>
          <w:szCs w:val="21"/>
          <w:highlight w:val="none"/>
        </w:rPr>
      </w:pPr>
      <w:r>
        <w:rPr>
          <w:color w:val="auto"/>
          <w:szCs w:val="21"/>
          <w:highlight w:val="none"/>
        </w:rPr>
        <w:t>16.2、在响应文件截止时间后的磋商有效期内，磋商供应商不得撤回其响应文件。</w:t>
      </w:r>
    </w:p>
    <w:p>
      <w:pPr>
        <w:spacing w:line="460" w:lineRule="exact"/>
        <w:ind w:firstLine="435"/>
        <w:rPr>
          <w:b/>
          <w:color w:val="auto"/>
          <w:szCs w:val="21"/>
          <w:highlight w:val="none"/>
        </w:rPr>
      </w:pPr>
      <w:r>
        <w:rPr>
          <w:b/>
          <w:color w:val="auto"/>
          <w:szCs w:val="21"/>
          <w:highlight w:val="none"/>
        </w:rPr>
        <w:t>17、响应文件的递交</w:t>
      </w:r>
    </w:p>
    <w:p>
      <w:pPr>
        <w:tabs>
          <w:tab w:val="left" w:pos="1305"/>
        </w:tabs>
        <w:spacing w:line="460" w:lineRule="exact"/>
        <w:ind w:firstLine="420" w:firstLineChars="200"/>
        <w:rPr>
          <w:color w:val="auto"/>
          <w:szCs w:val="21"/>
          <w:highlight w:val="none"/>
        </w:rPr>
      </w:pPr>
      <w:r>
        <w:rPr>
          <w:color w:val="auto"/>
          <w:szCs w:val="21"/>
          <w:highlight w:val="none"/>
        </w:rPr>
        <w:t>17.1、磋商供应商应按磋商供应商须知前附表第12条规定的响应文件截止时间前递交响应文件。</w:t>
      </w:r>
    </w:p>
    <w:p>
      <w:pPr>
        <w:tabs>
          <w:tab w:val="left" w:pos="1305"/>
        </w:tabs>
        <w:spacing w:line="460" w:lineRule="exact"/>
        <w:ind w:firstLine="420" w:firstLineChars="200"/>
        <w:rPr>
          <w:color w:val="auto"/>
          <w:szCs w:val="21"/>
          <w:highlight w:val="none"/>
        </w:rPr>
      </w:pPr>
      <w:r>
        <w:rPr>
          <w:color w:val="auto"/>
          <w:szCs w:val="21"/>
          <w:highlight w:val="none"/>
        </w:rPr>
        <w:t>17.2、磋商供应商递交响应文件的地点：见磋商供应商须知前附表第13条。</w:t>
      </w:r>
    </w:p>
    <w:p>
      <w:pPr>
        <w:tabs>
          <w:tab w:val="left" w:pos="1305"/>
        </w:tabs>
        <w:spacing w:line="460" w:lineRule="exact"/>
        <w:ind w:firstLine="420" w:firstLineChars="200"/>
        <w:rPr>
          <w:color w:val="auto"/>
          <w:szCs w:val="21"/>
          <w:highlight w:val="none"/>
        </w:rPr>
      </w:pPr>
      <w:r>
        <w:rPr>
          <w:color w:val="auto"/>
          <w:szCs w:val="21"/>
          <w:highlight w:val="none"/>
        </w:rPr>
        <w:t>17.3、除磋商供应商须知前附表另有规定外，磋商供应商所递交的响应文件不予退还。</w:t>
      </w:r>
    </w:p>
    <w:p>
      <w:pPr>
        <w:tabs>
          <w:tab w:val="left" w:pos="1305"/>
        </w:tabs>
        <w:spacing w:line="460" w:lineRule="exact"/>
        <w:ind w:firstLine="420" w:firstLineChars="200"/>
        <w:rPr>
          <w:color w:val="auto"/>
          <w:szCs w:val="21"/>
          <w:highlight w:val="none"/>
        </w:rPr>
      </w:pPr>
      <w:r>
        <w:rPr>
          <w:color w:val="auto"/>
          <w:szCs w:val="21"/>
          <w:highlight w:val="none"/>
        </w:rPr>
        <w:t>17.4、逾期送达的或者未送达指定地点的响应文件，采购代理机构不予受理。</w:t>
      </w:r>
    </w:p>
    <w:p>
      <w:pPr>
        <w:tabs>
          <w:tab w:val="left" w:pos="1305"/>
        </w:tabs>
        <w:spacing w:line="390" w:lineRule="exact"/>
        <w:ind w:firstLine="420" w:firstLineChars="200"/>
        <w:rPr>
          <w:color w:val="auto"/>
          <w:szCs w:val="21"/>
          <w:highlight w:val="none"/>
        </w:rPr>
      </w:pPr>
    </w:p>
    <w:p>
      <w:pPr>
        <w:tabs>
          <w:tab w:val="left" w:pos="1305"/>
        </w:tabs>
        <w:spacing w:line="390" w:lineRule="exact"/>
        <w:ind w:firstLine="560" w:firstLineChars="200"/>
        <w:jc w:val="center"/>
        <w:rPr>
          <w:b/>
          <w:color w:val="auto"/>
          <w:sz w:val="28"/>
          <w:szCs w:val="28"/>
          <w:highlight w:val="none"/>
        </w:rPr>
      </w:pPr>
      <w:r>
        <w:rPr>
          <w:b/>
          <w:color w:val="auto"/>
          <w:sz w:val="28"/>
          <w:szCs w:val="28"/>
          <w:highlight w:val="none"/>
        </w:rPr>
        <w:t>四、竞争性磋商（简称磋商）与评审</w:t>
      </w:r>
    </w:p>
    <w:p>
      <w:pPr>
        <w:spacing w:line="390" w:lineRule="exact"/>
        <w:ind w:firstLine="420" w:firstLineChars="200"/>
        <w:rPr>
          <w:b/>
          <w:color w:val="auto"/>
          <w:szCs w:val="21"/>
          <w:highlight w:val="none"/>
        </w:rPr>
      </w:pPr>
    </w:p>
    <w:p>
      <w:pPr>
        <w:spacing w:line="390" w:lineRule="exact"/>
        <w:ind w:firstLine="420" w:firstLineChars="200"/>
        <w:rPr>
          <w:b/>
          <w:color w:val="auto"/>
          <w:szCs w:val="21"/>
          <w:highlight w:val="none"/>
        </w:rPr>
      </w:pPr>
      <w:r>
        <w:rPr>
          <w:b/>
          <w:color w:val="auto"/>
          <w:szCs w:val="21"/>
          <w:highlight w:val="none"/>
        </w:rPr>
        <w:t>18、磋商小组组成及磋商时间、地点、人员</w:t>
      </w:r>
    </w:p>
    <w:p>
      <w:pPr>
        <w:pStyle w:val="23"/>
        <w:spacing w:line="390" w:lineRule="exact"/>
        <w:ind w:firstLine="411" w:firstLineChars="196"/>
        <w:rPr>
          <w:rFonts w:ascii="Times New Roman" w:hAnsi="Times New Roman"/>
          <w:color w:val="auto"/>
          <w:highlight w:val="none"/>
        </w:rPr>
      </w:pPr>
      <w:r>
        <w:rPr>
          <w:rFonts w:ascii="Times New Roman" w:hAnsi="Times New Roman"/>
          <w:color w:val="auto"/>
          <w:highlight w:val="none"/>
        </w:rPr>
        <w:t>18.1、磋商小组组成：磋商会议由采购代理机构负责组织，具体磋商、评审工作由依法组建的磋商小组负责，磋商小组由采购人代表和有关方面的专家组成，磋商小组的组成见磋商供应商须知前附表第14条。</w:t>
      </w:r>
    </w:p>
    <w:p>
      <w:pPr>
        <w:pStyle w:val="23"/>
        <w:spacing w:line="390" w:lineRule="exact"/>
        <w:ind w:firstLine="411" w:firstLineChars="196"/>
        <w:rPr>
          <w:rFonts w:ascii="Times New Roman" w:hAnsi="Times New Roman"/>
          <w:color w:val="auto"/>
          <w:highlight w:val="none"/>
        </w:rPr>
      </w:pPr>
      <w:r>
        <w:rPr>
          <w:rFonts w:ascii="Times New Roman" w:hAnsi="Times New Roman"/>
          <w:color w:val="auto"/>
          <w:highlight w:val="none"/>
        </w:rPr>
        <w:t>18.2、</w:t>
      </w:r>
      <w:r>
        <w:rPr>
          <w:rFonts w:ascii="Times New Roman" w:hAnsi="Times New Roman"/>
          <w:color w:val="auto"/>
          <w:szCs w:val="21"/>
          <w:highlight w:val="none"/>
        </w:rPr>
        <w:t>磋商时间、地点、人员</w:t>
      </w:r>
    </w:p>
    <w:p>
      <w:pPr>
        <w:pStyle w:val="23"/>
        <w:spacing w:line="390" w:lineRule="exact"/>
        <w:ind w:firstLine="411" w:firstLineChars="196"/>
        <w:rPr>
          <w:rFonts w:ascii="Times New Roman" w:hAnsi="Times New Roman"/>
          <w:color w:val="auto"/>
          <w:highlight w:val="none"/>
        </w:rPr>
      </w:pPr>
      <w:r>
        <w:rPr>
          <w:rFonts w:ascii="Times New Roman" w:hAnsi="Times New Roman"/>
          <w:color w:val="auto"/>
          <w:highlight w:val="none"/>
        </w:rPr>
        <w:t>18.2.1磋商时间：见磋商供应商须知前附表。</w:t>
      </w:r>
    </w:p>
    <w:p>
      <w:pPr>
        <w:pStyle w:val="23"/>
        <w:spacing w:line="390" w:lineRule="exact"/>
        <w:ind w:firstLine="411" w:firstLineChars="196"/>
        <w:rPr>
          <w:rFonts w:ascii="Times New Roman" w:hAnsi="Times New Roman"/>
          <w:color w:val="auto"/>
          <w:highlight w:val="none"/>
        </w:rPr>
      </w:pPr>
      <w:r>
        <w:rPr>
          <w:rFonts w:ascii="Times New Roman" w:hAnsi="Times New Roman"/>
          <w:color w:val="auto"/>
          <w:highlight w:val="none"/>
        </w:rPr>
        <w:t>18.2.2磋商地点：见磋商供应商须知前附表。</w:t>
      </w:r>
    </w:p>
    <w:p>
      <w:pPr>
        <w:pStyle w:val="23"/>
        <w:spacing w:line="390" w:lineRule="exact"/>
        <w:ind w:firstLine="411" w:firstLineChars="196"/>
        <w:rPr>
          <w:rFonts w:ascii="Times New Roman" w:hAnsi="Times New Roman"/>
          <w:color w:val="auto"/>
          <w:highlight w:val="none"/>
        </w:rPr>
      </w:pPr>
      <w:r>
        <w:rPr>
          <w:rFonts w:ascii="Times New Roman" w:hAnsi="Times New Roman"/>
          <w:color w:val="auto"/>
          <w:highlight w:val="none"/>
        </w:rPr>
        <w:t>18.2.3磋商参加人员：见磋商供应商须知前附表。</w:t>
      </w:r>
    </w:p>
    <w:p>
      <w:pPr>
        <w:pStyle w:val="23"/>
        <w:spacing w:line="390" w:lineRule="exact"/>
        <w:ind w:firstLine="411" w:firstLineChars="196"/>
        <w:rPr>
          <w:rFonts w:ascii="Times New Roman" w:hAnsi="Times New Roman"/>
          <w:b/>
          <w:color w:val="auto"/>
          <w:szCs w:val="21"/>
          <w:highlight w:val="none"/>
        </w:rPr>
      </w:pPr>
      <w:r>
        <w:rPr>
          <w:rFonts w:ascii="Times New Roman" w:hAnsi="Times New Roman"/>
          <w:b/>
          <w:color w:val="auto"/>
          <w:szCs w:val="21"/>
          <w:highlight w:val="none"/>
        </w:rPr>
        <w:t>19、评审原则和评审办法</w:t>
      </w:r>
    </w:p>
    <w:p>
      <w:pPr>
        <w:pStyle w:val="23"/>
        <w:spacing w:line="390" w:lineRule="exact"/>
        <w:ind w:firstLine="411" w:firstLineChars="196"/>
        <w:rPr>
          <w:rFonts w:ascii="Times New Roman" w:hAnsi="Times New Roman"/>
          <w:color w:val="auto"/>
          <w:highlight w:val="none"/>
        </w:rPr>
      </w:pPr>
      <w:r>
        <w:rPr>
          <w:rFonts w:ascii="Times New Roman" w:hAnsi="Times New Roman"/>
          <w:color w:val="auto"/>
          <w:highlight w:val="none"/>
        </w:rPr>
        <w:t>19.1、磋商小组必须坚持公平、公正、科学和择优的原则。</w:t>
      </w:r>
    </w:p>
    <w:p>
      <w:pPr>
        <w:pStyle w:val="23"/>
        <w:spacing w:line="390" w:lineRule="exact"/>
        <w:ind w:firstLine="411" w:firstLineChars="196"/>
        <w:rPr>
          <w:rFonts w:ascii="Times New Roman" w:hAnsi="Times New Roman"/>
          <w:color w:val="auto"/>
          <w:highlight w:val="none"/>
        </w:rPr>
      </w:pPr>
      <w:r>
        <w:rPr>
          <w:rFonts w:ascii="Times New Roman" w:hAnsi="Times New Roman"/>
          <w:color w:val="auto"/>
          <w:highlight w:val="none"/>
        </w:rPr>
        <w:t>19.2、评审办法：综合评分法，具体评审内容及标准详见第四章：评审办法。</w:t>
      </w:r>
    </w:p>
    <w:p>
      <w:pPr>
        <w:pStyle w:val="23"/>
        <w:spacing w:line="390" w:lineRule="exact"/>
        <w:ind w:firstLine="411" w:firstLineChars="196"/>
        <w:rPr>
          <w:rFonts w:ascii="Times New Roman" w:hAnsi="Times New Roman"/>
          <w:color w:val="auto"/>
          <w:highlight w:val="none"/>
        </w:rPr>
      </w:pPr>
      <w:r>
        <w:rPr>
          <w:rFonts w:ascii="Times New Roman" w:hAnsi="Times New Roman"/>
          <w:color w:val="auto"/>
          <w:highlight w:val="none"/>
        </w:rPr>
        <w:t>19.3、磋商小组应按磋商文件进行评审，不得擅自更改评审办法。</w:t>
      </w:r>
    </w:p>
    <w:p>
      <w:pPr>
        <w:pStyle w:val="23"/>
        <w:spacing w:line="390" w:lineRule="exact"/>
        <w:ind w:firstLine="411" w:firstLineChars="196"/>
        <w:rPr>
          <w:rFonts w:ascii="Times New Roman" w:hAnsi="Times New Roman"/>
          <w:color w:val="auto"/>
          <w:highlight w:val="none"/>
        </w:rPr>
      </w:pPr>
      <w:r>
        <w:rPr>
          <w:rFonts w:ascii="Times New Roman" w:hAnsi="Times New Roman"/>
          <w:color w:val="auto"/>
          <w:highlight w:val="none"/>
        </w:rPr>
        <w:t>19.4、在评审过程中，磋商小组任何人不得对某个磋商供应商发表任何倾向性意见，不得向其他磋商小组成员明示或者暗示自己的评审意见。</w:t>
      </w:r>
    </w:p>
    <w:p>
      <w:pPr>
        <w:pStyle w:val="23"/>
        <w:spacing w:line="390" w:lineRule="exact"/>
        <w:ind w:firstLine="411" w:firstLineChars="196"/>
        <w:rPr>
          <w:rFonts w:ascii="Times New Roman" w:hAnsi="Times New Roman"/>
          <w:color w:val="auto"/>
          <w:highlight w:val="none"/>
        </w:rPr>
      </w:pPr>
      <w:r>
        <w:rPr>
          <w:rFonts w:ascii="Times New Roman" w:hAnsi="Times New Roman"/>
          <w:color w:val="auto"/>
          <w:highlight w:val="none"/>
        </w:rPr>
        <w:t>19.5、磋商小组成员对需要共同认定的事项存在争议的，按照少数服从多数的原则作出结论。持不同意见的磋商小组成员应当在评审报告上签署不同意见并说明理由，否则视为同意。</w:t>
      </w:r>
    </w:p>
    <w:p>
      <w:pPr>
        <w:tabs>
          <w:tab w:val="left" w:pos="1140"/>
        </w:tabs>
        <w:spacing w:line="380" w:lineRule="exact"/>
        <w:ind w:left="419" w:leftChars="172" w:hanging="58" w:hangingChars="28"/>
        <w:rPr>
          <w:b/>
          <w:color w:val="auto"/>
          <w:szCs w:val="21"/>
          <w:highlight w:val="none"/>
        </w:rPr>
      </w:pPr>
      <w:r>
        <w:rPr>
          <w:b/>
          <w:color w:val="auto"/>
          <w:szCs w:val="21"/>
          <w:highlight w:val="none"/>
        </w:rPr>
        <w:t>20、评审程序及磋商要求</w:t>
      </w:r>
    </w:p>
    <w:p>
      <w:pPr>
        <w:pStyle w:val="23"/>
        <w:spacing w:line="39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20.1、采购代理机构核实磋商小组成员身份，告知回避要求，宣布评审工作纪律和程序，统一保管通讯工具或相关电子设备，推选磋商小组组长。</w:t>
      </w:r>
    </w:p>
    <w:p>
      <w:pPr>
        <w:pStyle w:val="23"/>
        <w:spacing w:line="39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20.2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pPr>
        <w:spacing w:line="380" w:lineRule="exact"/>
        <w:ind w:firstLine="315" w:firstLineChars="150"/>
        <w:rPr>
          <w:color w:val="auto"/>
          <w:szCs w:val="21"/>
          <w:highlight w:val="none"/>
        </w:rPr>
      </w:pPr>
      <w:r>
        <w:rPr>
          <w:color w:val="auto"/>
          <w:szCs w:val="21"/>
          <w:highlight w:val="none"/>
        </w:rPr>
        <w:t>20.3</w:t>
      </w:r>
      <w:r>
        <w:rPr>
          <w:rFonts w:hint="eastAsia"/>
          <w:color w:val="auto"/>
          <w:szCs w:val="21"/>
          <w:highlight w:val="none"/>
        </w:rPr>
        <w:t>、</w:t>
      </w:r>
      <w:r>
        <w:rPr>
          <w:color w:val="auto"/>
          <w:kern w:val="0"/>
          <w:szCs w:val="21"/>
          <w:highlight w:val="none"/>
        </w:rPr>
        <w:t>磋商小组</w:t>
      </w:r>
      <w:r>
        <w:rPr>
          <w:color w:val="auto"/>
          <w:szCs w:val="21"/>
          <w:highlight w:val="none"/>
        </w:rPr>
        <w:t>依据法律法规和竞争性磋商文件的规定，首先对响应文件中的资格证明等进行资格性审查，以确定供应商是否具备本项目供应商资格；再对通过资格性审查的供应商响应文件的有效性、完整性和对磋商文件的响应程度进行符合性审查，以确定是否对磋商文件的实质性要求做出响应。</w:t>
      </w:r>
    </w:p>
    <w:p>
      <w:pPr>
        <w:spacing w:line="380" w:lineRule="exact"/>
        <w:ind w:firstLine="420" w:firstLineChars="200"/>
        <w:rPr>
          <w:b/>
          <w:color w:val="auto"/>
          <w:szCs w:val="21"/>
          <w:highlight w:val="none"/>
        </w:rPr>
      </w:pPr>
      <w:r>
        <w:rPr>
          <w:b/>
          <w:color w:val="auto"/>
          <w:kern w:val="0"/>
          <w:szCs w:val="21"/>
          <w:highlight w:val="none"/>
        </w:rPr>
        <w:t>20.4</w:t>
      </w:r>
      <w:r>
        <w:rPr>
          <w:rFonts w:hint="eastAsia"/>
          <w:b/>
          <w:color w:val="auto"/>
          <w:kern w:val="0"/>
          <w:szCs w:val="21"/>
          <w:highlight w:val="none"/>
        </w:rPr>
        <w:t>、</w:t>
      </w:r>
      <w:r>
        <w:rPr>
          <w:b/>
          <w:color w:val="auto"/>
          <w:kern w:val="0"/>
          <w:szCs w:val="21"/>
          <w:highlight w:val="none"/>
        </w:rPr>
        <w:t>磋商小组</w:t>
      </w:r>
      <w:r>
        <w:rPr>
          <w:b/>
          <w:color w:val="auto"/>
          <w:szCs w:val="21"/>
          <w:highlight w:val="none"/>
        </w:rPr>
        <w:t>如发现供应商提供的证明文件不齐全或不符合规定格式的，应一次性告知供应商，供应商应在规定的时间内当场补正或更正。</w:t>
      </w:r>
    </w:p>
    <w:p>
      <w:pPr>
        <w:tabs>
          <w:tab w:val="left" w:pos="1140"/>
        </w:tabs>
        <w:spacing w:line="380" w:lineRule="exact"/>
        <w:ind w:firstLine="420" w:firstLineChars="200"/>
        <w:rPr>
          <w:b/>
          <w:color w:val="auto"/>
          <w:szCs w:val="21"/>
          <w:highlight w:val="none"/>
        </w:rPr>
      </w:pPr>
      <w:r>
        <w:rPr>
          <w:b/>
          <w:color w:val="auto"/>
          <w:szCs w:val="21"/>
          <w:highlight w:val="none"/>
        </w:rPr>
        <w:t>20.5</w:t>
      </w:r>
      <w:r>
        <w:rPr>
          <w:rFonts w:hint="eastAsia"/>
          <w:b/>
          <w:color w:val="auto"/>
          <w:szCs w:val="21"/>
          <w:highlight w:val="none"/>
        </w:rPr>
        <w:t>、</w:t>
      </w:r>
      <w:r>
        <w:rPr>
          <w:b/>
          <w:color w:val="auto"/>
          <w:szCs w:val="21"/>
          <w:highlight w:val="none"/>
        </w:rPr>
        <w:t>企业股东及出资等信息进行查询</w:t>
      </w:r>
    </w:p>
    <w:p>
      <w:pPr>
        <w:tabs>
          <w:tab w:val="left" w:pos="1140"/>
        </w:tabs>
        <w:spacing w:line="380" w:lineRule="exact"/>
        <w:ind w:firstLine="420" w:firstLineChars="200"/>
        <w:rPr>
          <w:color w:val="auto"/>
          <w:szCs w:val="21"/>
          <w:highlight w:val="none"/>
        </w:rPr>
      </w:pPr>
      <w:r>
        <w:rPr>
          <w:color w:val="auto"/>
          <w:szCs w:val="21"/>
          <w:highlight w:val="none"/>
        </w:rPr>
        <w:t>20.5.1在进行资格性审查时，磋商小组进入《国家企业信用信息公示系统》对企业股东及出资等信息进行查询，对存在《中华人民共和国政府采购法实施条例》第十八条第一款情形的，其响应文件将被视为无效文件。</w:t>
      </w:r>
    </w:p>
    <w:p>
      <w:pPr>
        <w:tabs>
          <w:tab w:val="left" w:pos="1140"/>
        </w:tabs>
        <w:spacing w:line="380" w:lineRule="exact"/>
        <w:ind w:firstLine="420" w:firstLineChars="200"/>
        <w:rPr>
          <w:color w:val="auto"/>
          <w:szCs w:val="21"/>
          <w:highlight w:val="none"/>
        </w:rPr>
      </w:pPr>
      <w:r>
        <w:rPr>
          <w:color w:val="auto"/>
          <w:szCs w:val="21"/>
          <w:highlight w:val="none"/>
        </w:rPr>
        <w:t>20.5.2审查流程：</w:t>
      </w:r>
    </w:p>
    <w:p>
      <w:pPr>
        <w:tabs>
          <w:tab w:val="left" w:pos="1140"/>
        </w:tabs>
        <w:spacing w:line="380" w:lineRule="exact"/>
        <w:ind w:firstLine="420" w:firstLineChars="200"/>
        <w:rPr>
          <w:color w:val="auto"/>
          <w:szCs w:val="21"/>
          <w:highlight w:val="none"/>
        </w:rPr>
      </w:pPr>
      <w:r>
        <w:rPr>
          <w:color w:val="auto"/>
          <w:szCs w:val="21"/>
          <w:highlight w:val="none"/>
        </w:rPr>
        <w:t>2</w:t>
      </w:r>
      <w:r>
        <w:rPr>
          <w:rFonts w:hint="eastAsia"/>
          <w:color w:val="auto"/>
          <w:szCs w:val="21"/>
          <w:highlight w:val="none"/>
        </w:rPr>
        <w:t>0</w:t>
      </w:r>
      <w:r>
        <w:rPr>
          <w:color w:val="auto"/>
          <w:szCs w:val="21"/>
          <w:highlight w:val="none"/>
        </w:rPr>
        <w:t>.5.3进入《国家企业信用信息公示系统》（网址：http://www.gsxt.gov.cn/index.html），输入企业名称，进入企业信息主页面。</w:t>
      </w:r>
    </w:p>
    <w:p>
      <w:pPr>
        <w:tabs>
          <w:tab w:val="left" w:pos="1140"/>
        </w:tabs>
        <w:spacing w:line="380" w:lineRule="exact"/>
        <w:ind w:firstLine="420" w:firstLineChars="200"/>
        <w:rPr>
          <w:color w:val="auto"/>
          <w:szCs w:val="21"/>
          <w:highlight w:val="none"/>
        </w:rPr>
      </w:pPr>
      <w:r>
        <w:rPr>
          <w:color w:val="auto"/>
          <w:szCs w:val="21"/>
          <w:highlight w:val="none"/>
        </w:rPr>
        <w:t>2</w:t>
      </w:r>
      <w:r>
        <w:rPr>
          <w:rFonts w:hint="eastAsia"/>
          <w:color w:val="auto"/>
          <w:szCs w:val="21"/>
          <w:highlight w:val="none"/>
        </w:rPr>
        <w:t>0</w:t>
      </w:r>
      <w:r>
        <w:rPr>
          <w:color w:val="auto"/>
          <w:szCs w:val="21"/>
          <w:highlight w:val="none"/>
        </w:rPr>
        <w:t>.5.4查看主页 “股东及出资信息”栏，或年报中的“股东及出资信息”栏信息。</w:t>
      </w:r>
    </w:p>
    <w:p>
      <w:pPr>
        <w:tabs>
          <w:tab w:val="left" w:pos="1140"/>
        </w:tabs>
        <w:spacing w:line="380" w:lineRule="exact"/>
        <w:ind w:firstLine="420" w:firstLineChars="200"/>
        <w:rPr>
          <w:color w:val="auto"/>
          <w:szCs w:val="21"/>
          <w:highlight w:val="none"/>
        </w:rPr>
      </w:pPr>
      <w:r>
        <w:rPr>
          <w:color w:val="auto"/>
          <w:szCs w:val="21"/>
          <w:highlight w:val="none"/>
        </w:rPr>
        <w:t>2</w:t>
      </w:r>
      <w:r>
        <w:rPr>
          <w:rFonts w:hint="eastAsia"/>
          <w:color w:val="auto"/>
          <w:szCs w:val="21"/>
          <w:highlight w:val="none"/>
        </w:rPr>
        <w:t>0</w:t>
      </w:r>
      <w:r>
        <w:rPr>
          <w:color w:val="auto"/>
          <w:szCs w:val="21"/>
          <w:highlight w:val="none"/>
        </w:rPr>
        <w:t>.5.5将各供应商的股东及出资信息进行比对，如发现存在单位负责人为同一人或者存在直接控股、管理关系的不同供应商参加同一合同项下的政府采购活动，按无效处理。</w:t>
      </w:r>
    </w:p>
    <w:p>
      <w:pPr>
        <w:tabs>
          <w:tab w:val="left" w:pos="1140"/>
        </w:tabs>
        <w:spacing w:line="380" w:lineRule="exact"/>
        <w:ind w:firstLine="420" w:firstLineChars="200"/>
        <w:rPr>
          <w:color w:val="auto"/>
          <w:szCs w:val="21"/>
          <w:highlight w:val="none"/>
        </w:rPr>
      </w:pPr>
      <w:r>
        <w:rPr>
          <w:color w:val="auto"/>
          <w:szCs w:val="21"/>
          <w:highlight w:val="none"/>
        </w:rPr>
        <w:t>2</w:t>
      </w:r>
      <w:r>
        <w:rPr>
          <w:rFonts w:hint="eastAsia"/>
          <w:color w:val="auto"/>
          <w:szCs w:val="21"/>
          <w:highlight w:val="none"/>
        </w:rPr>
        <w:t>0</w:t>
      </w:r>
      <w:r>
        <w:rPr>
          <w:color w:val="auto"/>
          <w:szCs w:val="21"/>
          <w:highlight w:val="none"/>
        </w:rPr>
        <w:t>.5.6将相关资料打印存档。</w:t>
      </w:r>
    </w:p>
    <w:p>
      <w:pPr>
        <w:pStyle w:val="23"/>
        <w:spacing w:line="39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2</w:t>
      </w:r>
      <w:r>
        <w:rPr>
          <w:rFonts w:hint="eastAsia" w:ascii="Times New Roman" w:hAnsi="Times New Roman"/>
          <w:color w:val="auto"/>
          <w:szCs w:val="21"/>
          <w:highlight w:val="none"/>
        </w:rPr>
        <w:t>0</w:t>
      </w:r>
      <w:r>
        <w:rPr>
          <w:rFonts w:ascii="Times New Roman" w:hAnsi="Times New Roman"/>
          <w:color w:val="auto"/>
          <w:szCs w:val="21"/>
          <w:highlight w:val="none"/>
        </w:rPr>
        <w:t>.6</w:t>
      </w:r>
      <w:r>
        <w:rPr>
          <w:rFonts w:hint="eastAsia" w:ascii="Times New Roman" w:hAnsi="Times New Roman"/>
          <w:color w:val="auto"/>
          <w:szCs w:val="21"/>
          <w:highlight w:val="none"/>
        </w:rPr>
        <w:t>、</w:t>
      </w:r>
      <w:r>
        <w:rPr>
          <w:rFonts w:ascii="Times New Roman" w:hAnsi="Times New Roman"/>
          <w:color w:val="auto"/>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负责人或授权委托代表签字或者加盖磋商供应商公章。由授权委托代表签字的，应当附授权委托书。</w:t>
      </w:r>
    </w:p>
    <w:p>
      <w:pPr>
        <w:pStyle w:val="23"/>
        <w:spacing w:line="39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根据磋商文件规定的程序、评定成交的标准等事项与实质性响应磋商文件要求的供应商进行磋商。未实质性响应磋商文件的响应文件按无效处理，磋商小组应当告知有关供应商。</w:t>
      </w:r>
    </w:p>
    <w:p>
      <w:pPr>
        <w:pStyle w:val="23"/>
        <w:spacing w:line="39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磋商小组所有成员应当按已确定的磋商顺序分别与单一供应商分别进行磋商，并给予所有实质性响应磋商文件要求的供应商平等的磋商机会。</w:t>
      </w:r>
    </w:p>
    <w:p>
      <w:pPr>
        <w:pStyle w:val="23"/>
        <w:spacing w:line="39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磋商中，磋商小组不得透露与磋商有关的其他供应商的技术资料、价格和其他信息。</w:t>
      </w:r>
    </w:p>
    <w:p>
      <w:pPr>
        <w:pStyle w:val="23"/>
        <w:spacing w:line="39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采购代理机构对磋商过程和重要磋商内容进行记录，磋商双方在记录上签字确认。</w:t>
      </w:r>
    </w:p>
    <w:p>
      <w:pPr>
        <w:pStyle w:val="23"/>
        <w:spacing w:line="39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20.7、在磋商过程中，磋商小组可以根据磋商文件和磋商情况实质性变动服务要求中的技术、服务要求以及合同草案条款，但不得变动磋商文件中的其他内容。实质性变动的内容，须经采购人代表确认。</w:t>
      </w:r>
    </w:p>
    <w:p>
      <w:pPr>
        <w:pStyle w:val="23"/>
        <w:spacing w:line="39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对磋商文件作出的实质性变动是磋商文件的有效组成部分，磋商小组应当及时以书面形式同时通知所有参加磋商的供应商。</w:t>
      </w:r>
    </w:p>
    <w:p>
      <w:pPr>
        <w:pStyle w:val="23"/>
        <w:spacing w:line="39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供应商应当按照磋商文件的变动情况和磋商小组的要求重新提交响应文件，并由其法定代表人或负责人或授权委托代表签字或者加盖磋商供应商公章。逾时不交的，视同放弃磋商。</w:t>
      </w:r>
    </w:p>
    <w:p>
      <w:pPr>
        <w:pStyle w:val="23"/>
        <w:spacing w:line="39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20.8、</w:t>
      </w:r>
      <w:r>
        <w:rPr>
          <w:rFonts w:ascii="Times New Roman" w:hAnsi="Times New Roman"/>
          <w:color w:val="auto"/>
          <w:highlight w:val="none"/>
        </w:rPr>
        <w:t>最后报价</w:t>
      </w:r>
    </w:p>
    <w:p>
      <w:pPr>
        <w:pStyle w:val="23"/>
        <w:spacing w:line="39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20.8.1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pPr>
        <w:pStyle w:val="23"/>
        <w:spacing w:line="39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20.8.2已提交响应文件的供应商，可以根据磋商情况书面退出磋商。</w:t>
      </w:r>
    </w:p>
    <w:p>
      <w:pPr>
        <w:pStyle w:val="23"/>
        <w:spacing w:line="39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20.8.3最后报价是供应商响应文件的有效组成部分。</w:t>
      </w:r>
      <w:r>
        <w:rPr>
          <w:rFonts w:ascii="Times New Roman" w:hAnsi="Times New Roman"/>
          <w:color w:val="auto"/>
          <w:kern w:val="0"/>
          <w:szCs w:val="21"/>
          <w:highlight w:val="none"/>
        </w:rPr>
        <w:t>未书面退出磋商的供应商在规定时间内密封提交最后报价，其最后报价超出采购预算导致已通过评审的响应文件无效的，按供应商在提交响应文件截止时间后撤回响应文件处理。</w:t>
      </w:r>
    </w:p>
    <w:p>
      <w:pPr>
        <w:pStyle w:val="23"/>
        <w:spacing w:line="39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20.9、综合比较与评价</w:t>
      </w:r>
    </w:p>
    <w:p>
      <w:pPr>
        <w:pStyle w:val="23"/>
        <w:spacing w:line="39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20.9.1 磋商小组按竞争性磋商文件中规定的评审办法，对资格性审查和符合性审查合格的响应文件进行商务和技术评估，综合比较与评价。</w:t>
      </w:r>
    </w:p>
    <w:p>
      <w:pPr>
        <w:pStyle w:val="23"/>
        <w:spacing w:line="39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20.9.2 采购代理机构对评审数据进行校对、核对，对畸高、畸低的重大差异评分提示磋商小组复核或书面说明理由。</w:t>
      </w:r>
    </w:p>
    <w:p>
      <w:pPr>
        <w:pStyle w:val="23"/>
        <w:tabs>
          <w:tab w:val="left" w:pos="4214"/>
        </w:tabs>
        <w:spacing w:line="46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20.9.3磋商小组应当根据综合评分情况，按照评审得分由高到低顺序推荐3名以上（含3名）成交候选供应商，并编写评审报告；如进入详评的供应商不足3家，采购项目为政府购买服务项目（含政府和社会资本合作项目），在采购过程中符合要求的供应商（社会资本）只有2家的，竞争性磋商采购活动可以继续进行，磋商小组应当根据综合评分情况，按照评审得分由高到低顺序推荐2名以上（含2名）成交候选供应商，并编写评审报告。磋商小组根据综合得分由高到低排列次序，若得分相同时，以评标报价由低到高顺序排列；若得分相同且评标报价相同的，以磋商报价由低到高顺序排列；若仍相同时，按服务实施方案得分由高到低的顺序排列并推荐成交供应商。若仍相同时，则由磋商小组集体讨论确定。</w:t>
      </w:r>
    </w:p>
    <w:p>
      <w:pPr>
        <w:pStyle w:val="23"/>
        <w:spacing w:line="39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20.10、在评审过程中出现法律法规和磋商文件均没有明确规定的情形时，由磋商小组现场协商解决，协商不一致的，由全体磋商小组投票表决，以得票率二分之一以上专家的意见为准。</w:t>
      </w:r>
    </w:p>
    <w:p>
      <w:pPr>
        <w:pStyle w:val="23"/>
        <w:spacing w:line="39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20.11、采购代理机构发现磋商小组有明显的违规倾向或歧视现象，或不按评审办法进行，或其他不正常行为的，应当及时制止。如制止无效，应及时向</w:t>
      </w:r>
      <w:r>
        <w:rPr>
          <w:rFonts w:hint="eastAsia" w:ascii="Times New Roman" w:hAnsi="Times New Roman"/>
          <w:color w:val="auto"/>
          <w:szCs w:val="21"/>
          <w:highlight w:val="none"/>
          <w:lang w:eastAsia="zh-CN"/>
        </w:rPr>
        <w:t>桂林市</w:t>
      </w:r>
      <w:r>
        <w:rPr>
          <w:rFonts w:ascii="Times New Roman" w:hAnsi="Times New Roman"/>
          <w:color w:val="auto"/>
          <w:szCs w:val="21"/>
          <w:highlight w:val="none"/>
        </w:rPr>
        <w:t>人民政府采购监督管理机构报告。</w:t>
      </w:r>
    </w:p>
    <w:p>
      <w:pPr>
        <w:pStyle w:val="23"/>
        <w:spacing w:line="39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20.12、磋商小组判断响应文件的响应性仅基于响应文件本身而不靠外部证据。</w:t>
      </w:r>
    </w:p>
    <w:p>
      <w:pPr>
        <w:pStyle w:val="23"/>
        <w:spacing w:line="39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21、本磋商项目是以采购预算总金额为最高限价，超出采购预算总金额的最后报价，磋商小组可以不予以评审。当全部最后报价均超出采购预算总金额时，磋商小组有权决定全部废标或以书面形式要求所有供应商在规定时间内以书面密封形式重新报价。</w:t>
      </w:r>
    </w:p>
    <w:p>
      <w:pPr>
        <w:pStyle w:val="23"/>
        <w:spacing w:line="380" w:lineRule="exact"/>
        <w:ind w:firstLine="420" w:firstLineChars="200"/>
        <w:rPr>
          <w:rFonts w:ascii="Times New Roman" w:hAnsi="Times New Roman"/>
          <w:b/>
          <w:bCs/>
          <w:color w:val="auto"/>
          <w:szCs w:val="21"/>
          <w:highlight w:val="none"/>
        </w:rPr>
      </w:pPr>
      <w:r>
        <w:rPr>
          <w:rFonts w:ascii="Times New Roman" w:hAnsi="Times New Roman"/>
          <w:b/>
          <w:bCs/>
          <w:color w:val="auto"/>
          <w:szCs w:val="21"/>
          <w:highlight w:val="none"/>
        </w:rPr>
        <w:t>22、确定成交供应商</w:t>
      </w:r>
    </w:p>
    <w:p>
      <w:pPr>
        <w:pStyle w:val="23"/>
        <w:tabs>
          <w:tab w:val="left" w:pos="4214"/>
        </w:tabs>
        <w:spacing w:line="38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22.1</w:t>
      </w:r>
      <w:r>
        <w:rPr>
          <w:rFonts w:hint="eastAsia" w:ascii="Times New Roman" w:hAnsi="Times New Roman"/>
          <w:color w:val="auto"/>
          <w:szCs w:val="21"/>
          <w:highlight w:val="none"/>
        </w:rPr>
        <w:t>、</w:t>
      </w:r>
      <w:r>
        <w:rPr>
          <w:rFonts w:ascii="Times New Roman" w:hAnsi="Times New Roman"/>
          <w:color w:val="auto"/>
          <w:szCs w:val="21"/>
          <w:highlight w:val="none"/>
        </w:rPr>
        <w:t>招标采购单位应当确定磋商小组推荐排名第一的磋商供应商为成交供应商。</w:t>
      </w:r>
    </w:p>
    <w:p>
      <w:pPr>
        <w:pStyle w:val="23"/>
        <w:spacing w:line="38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22.2</w:t>
      </w:r>
      <w:r>
        <w:rPr>
          <w:rFonts w:hint="eastAsia" w:ascii="Times New Roman" w:hAnsi="Times New Roman"/>
          <w:color w:val="auto"/>
          <w:szCs w:val="21"/>
          <w:highlight w:val="none"/>
        </w:rPr>
        <w:t>、</w:t>
      </w:r>
      <w:r>
        <w:rPr>
          <w:rFonts w:ascii="Times New Roman" w:hAnsi="Times New Roman"/>
          <w:color w:val="auto"/>
          <w:szCs w:val="21"/>
          <w:highlight w:val="none"/>
        </w:rPr>
        <w:t>排名第一的成交候选供应商放弃成交、因不可抗力提出不能履行合同，或者磋商文件规定应当提交履约保证金而在规定的期限内未能提交的，或因失信行为被取消中标候选人资格的，招标采购单位可以确定排名第二的成交候选人为成交供应商或重新采购。</w:t>
      </w:r>
    </w:p>
    <w:p>
      <w:pPr>
        <w:pStyle w:val="23"/>
        <w:spacing w:line="38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22.3</w:t>
      </w:r>
      <w:r>
        <w:rPr>
          <w:rFonts w:hint="eastAsia" w:ascii="Times New Roman" w:hAnsi="Times New Roman"/>
          <w:color w:val="auto"/>
          <w:szCs w:val="21"/>
          <w:highlight w:val="none"/>
        </w:rPr>
        <w:t>、</w:t>
      </w:r>
      <w:r>
        <w:rPr>
          <w:rFonts w:ascii="Times New Roman" w:hAnsi="Times New Roman"/>
          <w:color w:val="auto"/>
          <w:szCs w:val="21"/>
          <w:highlight w:val="none"/>
        </w:rPr>
        <w:t>第二成交候选人因前款规定的同样原因不能签订合同的，招标采购单位可以确定排名第三的成交候选人为成交供应商或重新采购。</w:t>
      </w:r>
    </w:p>
    <w:p>
      <w:pPr>
        <w:pStyle w:val="23"/>
        <w:spacing w:line="38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22.4</w:t>
      </w:r>
      <w:r>
        <w:rPr>
          <w:rFonts w:hint="eastAsia" w:ascii="Times New Roman" w:hAnsi="Times New Roman"/>
          <w:color w:val="auto"/>
          <w:szCs w:val="21"/>
          <w:highlight w:val="none"/>
        </w:rPr>
        <w:t>、</w:t>
      </w:r>
      <w:r>
        <w:rPr>
          <w:rFonts w:ascii="Times New Roman" w:hAnsi="Times New Roman"/>
          <w:color w:val="auto"/>
          <w:szCs w:val="21"/>
          <w:highlight w:val="none"/>
        </w:rPr>
        <w:t>成交人信用信息查询：</w:t>
      </w:r>
    </w:p>
    <w:p>
      <w:pPr>
        <w:pStyle w:val="23"/>
        <w:spacing w:line="38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根据《关于做好政府采购有关信用主体标识码登记及在政府采购活动中查询使用信用记录有关问题的通知》桂财采〔2016〕37号的通知，采购代理机构对成交人进行信用查询：</w:t>
      </w:r>
    </w:p>
    <w:p>
      <w:pPr>
        <w:pStyle w:val="23"/>
        <w:spacing w:line="38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①查询渠道：“信用中国”网站(www.creditchina.gov.cn)、中国政府采购网(www.ccgp.gov.cn)等；</w:t>
      </w:r>
    </w:p>
    <w:p>
      <w:pPr>
        <w:pStyle w:val="23"/>
        <w:spacing w:line="38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②查询截止时点：成交通知书发出前；</w:t>
      </w:r>
    </w:p>
    <w:p>
      <w:pPr>
        <w:pStyle w:val="23"/>
        <w:spacing w:line="38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③信用信息查询记录和证据留存方式：在查询网站中直接打印查询记录，打印材料作为采购活动资料保存。</w:t>
      </w:r>
    </w:p>
    <w:p>
      <w:pPr>
        <w:pStyle w:val="23"/>
        <w:spacing w:line="38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④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之后的成交候选人为成交供应商或者重新组织采购。</w:t>
      </w:r>
    </w:p>
    <w:p>
      <w:pPr>
        <w:widowControl/>
        <w:shd w:val="clear" w:color="auto" w:fill="FFFFFF"/>
        <w:spacing w:line="380" w:lineRule="exact"/>
        <w:ind w:firstLine="480"/>
        <w:jc w:val="left"/>
        <w:rPr>
          <w:b/>
          <w:color w:val="auto"/>
          <w:szCs w:val="21"/>
          <w:highlight w:val="none"/>
        </w:rPr>
      </w:pPr>
      <w:r>
        <w:rPr>
          <w:b/>
          <w:bCs/>
          <w:color w:val="auto"/>
          <w:szCs w:val="21"/>
          <w:highlight w:val="none"/>
        </w:rPr>
        <w:t>23、</w:t>
      </w:r>
      <w:r>
        <w:rPr>
          <w:b/>
          <w:color w:val="auto"/>
          <w:szCs w:val="21"/>
          <w:highlight w:val="none"/>
        </w:rPr>
        <w:t>属于下列情况之一者，磋商无效：</w:t>
      </w:r>
    </w:p>
    <w:p>
      <w:pPr>
        <w:snapToGrid w:val="0"/>
        <w:spacing w:line="380" w:lineRule="exact"/>
        <w:ind w:firstLine="411" w:firstLineChars="196"/>
        <w:outlineLvl w:val="4"/>
        <w:rPr>
          <w:color w:val="auto"/>
          <w:szCs w:val="21"/>
          <w:highlight w:val="none"/>
        </w:rPr>
      </w:pPr>
      <w:r>
        <w:rPr>
          <w:color w:val="auto"/>
          <w:szCs w:val="21"/>
          <w:highlight w:val="none"/>
        </w:rPr>
        <w:t>（1）未按磋商文件规定完整提交响应文件或未按规定要求密封、签字、盖章的；</w:t>
      </w:r>
    </w:p>
    <w:p>
      <w:pPr>
        <w:snapToGrid w:val="0"/>
        <w:spacing w:line="380" w:lineRule="exact"/>
        <w:ind w:firstLine="420" w:firstLineChars="200"/>
        <w:outlineLvl w:val="4"/>
        <w:rPr>
          <w:color w:val="auto"/>
          <w:szCs w:val="21"/>
          <w:highlight w:val="none"/>
        </w:rPr>
      </w:pPr>
      <w:r>
        <w:rPr>
          <w:color w:val="auto"/>
          <w:szCs w:val="21"/>
          <w:highlight w:val="none"/>
        </w:rPr>
        <w:t>（2）超越了行政审批的经营范围的；</w:t>
      </w:r>
    </w:p>
    <w:p>
      <w:pPr>
        <w:snapToGrid w:val="0"/>
        <w:spacing w:line="380" w:lineRule="exact"/>
        <w:ind w:firstLine="411" w:firstLineChars="196"/>
        <w:outlineLvl w:val="4"/>
        <w:rPr>
          <w:color w:val="auto"/>
          <w:szCs w:val="21"/>
          <w:highlight w:val="none"/>
        </w:rPr>
      </w:pPr>
      <w:r>
        <w:rPr>
          <w:color w:val="auto"/>
          <w:szCs w:val="21"/>
          <w:highlight w:val="none"/>
        </w:rPr>
        <w:t>（3）不具备磋商文件规定的资格要求的</w:t>
      </w:r>
      <w:r>
        <w:rPr>
          <w:color w:val="auto"/>
          <w:highlight w:val="none"/>
        </w:rPr>
        <w:t>；</w:t>
      </w:r>
    </w:p>
    <w:p>
      <w:pPr>
        <w:snapToGrid w:val="0"/>
        <w:spacing w:line="380" w:lineRule="exact"/>
        <w:ind w:firstLine="411" w:firstLineChars="196"/>
        <w:outlineLvl w:val="4"/>
        <w:rPr>
          <w:color w:val="auto"/>
          <w:szCs w:val="21"/>
          <w:highlight w:val="none"/>
        </w:rPr>
      </w:pPr>
      <w:r>
        <w:rPr>
          <w:color w:val="auto"/>
          <w:szCs w:val="21"/>
          <w:highlight w:val="none"/>
        </w:rPr>
        <w:t>（4）响应文件未按磋商文件的内容和要求编制，或提供虚假材料的；</w:t>
      </w:r>
    </w:p>
    <w:p>
      <w:pPr>
        <w:snapToGrid w:val="0"/>
        <w:spacing w:line="380" w:lineRule="exact"/>
        <w:ind w:firstLine="420" w:firstLineChars="200"/>
        <w:outlineLvl w:val="4"/>
        <w:rPr>
          <w:color w:val="auto"/>
          <w:szCs w:val="21"/>
          <w:highlight w:val="none"/>
        </w:rPr>
      </w:pPr>
      <w:r>
        <w:rPr>
          <w:color w:val="auto"/>
          <w:szCs w:val="21"/>
          <w:highlight w:val="none"/>
        </w:rPr>
        <w:t>（5）属于“必须提供”的响应文件未能按时提供或补正、更正的；</w:t>
      </w:r>
    </w:p>
    <w:p>
      <w:pPr>
        <w:snapToGrid w:val="0"/>
        <w:spacing w:line="380" w:lineRule="exact"/>
        <w:ind w:firstLine="411" w:firstLineChars="196"/>
        <w:outlineLvl w:val="4"/>
        <w:rPr>
          <w:color w:val="auto"/>
          <w:szCs w:val="21"/>
          <w:highlight w:val="none"/>
        </w:rPr>
      </w:pPr>
      <w:r>
        <w:rPr>
          <w:color w:val="auto"/>
          <w:szCs w:val="21"/>
          <w:highlight w:val="none"/>
        </w:rPr>
        <w:t>（6）响应文件有效期、服务期不能满足磋商文件要求的；</w:t>
      </w:r>
    </w:p>
    <w:p>
      <w:pPr>
        <w:snapToGrid w:val="0"/>
        <w:spacing w:line="380" w:lineRule="exact"/>
        <w:ind w:firstLine="411" w:firstLineChars="196"/>
        <w:outlineLvl w:val="4"/>
        <w:rPr>
          <w:color w:val="auto"/>
          <w:highlight w:val="none"/>
        </w:rPr>
      </w:pPr>
      <w:r>
        <w:rPr>
          <w:color w:val="auto"/>
          <w:szCs w:val="21"/>
          <w:highlight w:val="none"/>
        </w:rPr>
        <w:t>（</w:t>
      </w:r>
      <w:r>
        <w:rPr>
          <w:color w:val="auto"/>
          <w:highlight w:val="none"/>
        </w:rPr>
        <w:t>7）供应商</w:t>
      </w:r>
      <w:r>
        <w:rPr>
          <w:color w:val="auto"/>
          <w:szCs w:val="21"/>
          <w:highlight w:val="none"/>
        </w:rPr>
        <w:t>未就“服务需求”中的所有服务内容作完整唯一报价的</w:t>
      </w:r>
      <w:r>
        <w:rPr>
          <w:color w:val="auto"/>
          <w:highlight w:val="none"/>
        </w:rPr>
        <w:t>，或报价超出项目采购预算总金额的；</w:t>
      </w:r>
    </w:p>
    <w:p>
      <w:pPr>
        <w:pStyle w:val="23"/>
        <w:spacing w:line="380" w:lineRule="exact"/>
        <w:ind w:firstLine="420" w:firstLineChars="200"/>
        <w:rPr>
          <w:rFonts w:ascii="Times New Roman" w:hAnsi="Times New Roman"/>
          <w:color w:val="auto"/>
          <w:highlight w:val="none"/>
        </w:rPr>
      </w:pPr>
      <w:r>
        <w:rPr>
          <w:rFonts w:ascii="Times New Roman" w:hAnsi="Times New Roman"/>
          <w:color w:val="auto"/>
          <w:szCs w:val="24"/>
          <w:highlight w:val="none"/>
        </w:rPr>
        <w:t>（8）</w:t>
      </w:r>
      <w:r>
        <w:rPr>
          <w:rFonts w:ascii="Times New Roman" w:hAnsi="Times New Roman"/>
          <w:color w:val="auto"/>
          <w:highlight w:val="none"/>
        </w:rPr>
        <w:t>未在磋商小组规定的时间内重新提交响应文件的；</w:t>
      </w:r>
    </w:p>
    <w:p>
      <w:pPr>
        <w:pStyle w:val="23"/>
        <w:spacing w:line="360" w:lineRule="exact"/>
        <w:ind w:firstLine="420"/>
        <w:rPr>
          <w:rFonts w:ascii="Times New Roman" w:hAnsi="Times New Roman"/>
          <w:color w:val="auto"/>
          <w:szCs w:val="21"/>
          <w:highlight w:val="none"/>
        </w:rPr>
      </w:pPr>
      <w:r>
        <w:rPr>
          <w:rFonts w:ascii="Times New Roman" w:hAnsi="Times New Roman"/>
          <w:color w:val="auto"/>
          <w:highlight w:val="none"/>
        </w:rPr>
        <w:t>（9）</w:t>
      </w:r>
      <w:r>
        <w:rPr>
          <w:rFonts w:ascii="Times New Roman" w:hAnsi="Times New Roman"/>
          <w:color w:val="auto"/>
          <w:szCs w:val="21"/>
          <w:highlight w:val="none"/>
        </w:rPr>
        <w:t>单位负责人为同一人或者存在直接控股、管理关系的不同供应商参加同一合同项下的政府采购活动的；</w:t>
      </w:r>
    </w:p>
    <w:p>
      <w:pPr>
        <w:pStyle w:val="23"/>
        <w:spacing w:line="380" w:lineRule="exact"/>
        <w:ind w:firstLine="420" w:firstLineChars="200"/>
        <w:rPr>
          <w:rFonts w:ascii="Times New Roman" w:hAnsi="Times New Roman"/>
          <w:color w:val="auto"/>
          <w:szCs w:val="24"/>
          <w:highlight w:val="none"/>
        </w:rPr>
      </w:pPr>
      <w:r>
        <w:rPr>
          <w:rFonts w:ascii="Times New Roman" w:hAnsi="Times New Roman"/>
          <w:color w:val="auto"/>
          <w:szCs w:val="24"/>
          <w:highlight w:val="none"/>
        </w:rPr>
        <w:t>（10）未满足磋商文件全部实质性要求的或者响应文件有采购人不能接受的附加条件的；</w:t>
      </w:r>
    </w:p>
    <w:p>
      <w:pPr>
        <w:pStyle w:val="23"/>
        <w:spacing w:line="380" w:lineRule="exact"/>
        <w:ind w:firstLine="420" w:firstLineChars="200"/>
        <w:rPr>
          <w:rFonts w:ascii="Times New Roman" w:hAnsi="Times New Roman"/>
          <w:color w:val="auto"/>
          <w:szCs w:val="21"/>
          <w:highlight w:val="none"/>
        </w:rPr>
      </w:pPr>
      <w:r>
        <w:rPr>
          <w:rFonts w:ascii="Times New Roman" w:hAnsi="Times New Roman"/>
          <w:color w:val="auto"/>
          <w:highlight w:val="none"/>
        </w:rPr>
        <w:t>（11）未按规定向采购代理机构购买本项目磋商文件的（有文件规定除外）；</w:t>
      </w:r>
    </w:p>
    <w:p>
      <w:pPr>
        <w:snapToGrid w:val="0"/>
        <w:spacing w:line="380" w:lineRule="exact"/>
        <w:ind w:firstLine="411" w:firstLineChars="196"/>
        <w:outlineLvl w:val="4"/>
        <w:rPr>
          <w:color w:val="auto"/>
          <w:szCs w:val="21"/>
          <w:highlight w:val="none"/>
        </w:rPr>
      </w:pPr>
      <w:r>
        <w:rPr>
          <w:color w:val="auto"/>
          <w:szCs w:val="21"/>
          <w:highlight w:val="none"/>
        </w:rPr>
        <w:t>（12）不符合法律、法规和磋商文件规定的其他实质性要求和条件的。</w:t>
      </w:r>
    </w:p>
    <w:p>
      <w:pPr>
        <w:snapToGrid w:val="0"/>
        <w:spacing w:line="380" w:lineRule="exact"/>
        <w:ind w:firstLine="420" w:firstLineChars="200"/>
        <w:rPr>
          <w:b/>
          <w:color w:val="auto"/>
          <w:szCs w:val="21"/>
          <w:highlight w:val="none"/>
        </w:rPr>
      </w:pPr>
      <w:r>
        <w:rPr>
          <w:b/>
          <w:color w:val="auto"/>
          <w:szCs w:val="21"/>
          <w:highlight w:val="none"/>
        </w:rPr>
        <w:t>有下列情形之一的视为供应商相互串通谈判，响应文件将被视为无效：</w:t>
      </w:r>
    </w:p>
    <w:p>
      <w:pPr>
        <w:snapToGrid w:val="0"/>
        <w:spacing w:line="380" w:lineRule="exact"/>
        <w:ind w:firstLine="411" w:firstLineChars="196"/>
        <w:rPr>
          <w:color w:val="auto"/>
          <w:szCs w:val="21"/>
          <w:highlight w:val="none"/>
        </w:rPr>
      </w:pPr>
      <w:r>
        <w:rPr>
          <w:color w:val="auto"/>
          <w:szCs w:val="21"/>
          <w:highlight w:val="none"/>
        </w:rPr>
        <w:t>（1）不同供应商的响应文件由同一单位或者个人编制；</w:t>
      </w:r>
    </w:p>
    <w:p>
      <w:pPr>
        <w:snapToGrid w:val="0"/>
        <w:spacing w:line="380" w:lineRule="exact"/>
        <w:ind w:firstLine="411" w:firstLineChars="196"/>
        <w:rPr>
          <w:color w:val="auto"/>
          <w:szCs w:val="21"/>
          <w:highlight w:val="none"/>
        </w:rPr>
      </w:pPr>
      <w:r>
        <w:rPr>
          <w:color w:val="auto"/>
          <w:szCs w:val="21"/>
          <w:highlight w:val="none"/>
        </w:rPr>
        <w:t>（2）不同供应商委托同一单位或者个人办理谈判事宜；</w:t>
      </w:r>
    </w:p>
    <w:p>
      <w:pPr>
        <w:snapToGrid w:val="0"/>
        <w:spacing w:line="380" w:lineRule="exact"/>
        <w:ind w:firstLine="411" w:firstLineChars="196"/>
        <w:rPr>
          <w:color w:val="auto"/>
          <w:szCs w:val="21"/>
          <w:highlight w:val="none"/>
        </w:rPr>
      </w:pPr>
      <w:r>
        <w:rPr>
          <w:color w:val="auto"/>
          <w:szCs w:val="21"/>
          <w:highlight w:val="none"/>
        </w:rPr>
        <w:t>（3）不同的供应商的响应文件载明的项目管理员为同一个人；</w:t>
      </w:r>
    </w:p>
    <w:p>
      <w:pPr>
        <w:snapToGrid w:val="0"/>
        <w:spacing w:line="380" w:lineRule="exact"/>
        <w:ind w:firstLine="411" w:firstLineChars="196"/>
        <w:rPr>
          <w:color w:val="auto"/>
          <w:szCs w:val="21"/>
          <w:highlight w:val="none"/>
        </w:rPr>
      </w:pPr>
      <w:r>
        <w:rPr>
          <w:color w:val="auto"/>
          <w:szCs w:val="21"/>
          <w:highlight w:val="none"/>
        </w:rPr>
        <w:t>（4）不同供应商的响应文件异常一致或竞标报价呈规律性差异；</w:t>
      </w:r>
    </w:p>
    <w:p>
      <w:pPr>
        <w:snapToGrid w:val="0"/>
        <w:spacing w:line="380" w:lineRule="exact"/>
        <w:ind w:firstLine="411" w:firstLineChars="196"/>
        <w:rPr>
          <w:color w:val="auto"/>
          <w:szCs w:val="21"/>
          <w:highlight w:val="none"/>
        </w:rPr>
      </w:pPr>
      <w:r>
        <w:rPr>
          <w:color w:val="auto"/>
          <w:szCs w:val="21"/>
          <w:highlight w:val="none"/>
        </w:rPr>
        <w:t>（5）不同供应商的响应文件相互混装；</w:t>
      </w:r>
    </w:p>
    <w:p>
      <w:pPr>
        <w:snapToGrid w:val="0"/>
        <w:spacing w:line="380" w:lineRule="exact"/>
        <w:ind w:firstLine="411" w:firstLineChars="196"/>
        <w:rPr>
          <w:color w:val="auto"/>
          <w:highlight w:val="none"/>
        </w:rPr>
      </w:pPr>
      <w:r>
        <w:rPr>
          <w:color w:val="auto"/>
          <w:szCs w:val="21"/>
          <w:highlight w:val="none"/>
        </w:rPr>
        <w:t>（6）响应文件实质性要求未做变动，供应商最后报价高于第一次报价的。</w:t>
      </w:r>
    </w:p>
    <w:p>
      <w:pPr>
        <w:snapToGrid w:val="0"/>
        <w:spacing w:line="390" w:lineRule="exact"/>
        <w:ind w:firstLine="411" w:firstLineChars="196"/>
        <w:outlineLvl w:val="4"/>
        <w:rPr>
          <w:b/>
          <w:color w:val="auto"/>
          <w:szCs w:val="21"/>
          <w:highlight w:val="none"/>
        </w:rPr>
      </w:pPr>
      <w:r>
        <w:rPr>
          <w:b/>
          <w:color w:val="auto"/>
          <w:szCs w:val="21"/>
          <w:highlight w:val="none"/>
        </w:rPr>
        <w:t>24、出现下列情形之一的，采购人或者采购代理机构应当终止竞争性磋商采购活动，发布项目终止公告并说明原因，重新开展采购活动：</w:t>
      </w:r>
    </w:p>
    <w:p>
      <w:pPr>
        <w:snapToGrid w:val="0"/>
        <w:spacing w:line="390" w:lineRule="exact"/>
        <w:ind w:firstLine="411" w:firstLineChars="196"/>
        <w:outlineLvl w:val="4"/>
        <w:rPr>
          <w:color w:val="auto"/>
          <w:szCs w:val="21"/>
          <w:highlight w:val="none"/>
        </w:rPr>
      </w:pPr>
      <w:r>
        <w:rPr>
          <w:color w:val="auto"/>
          <w:szCs w:val="21"/>
          <w:highlight w:val="none"/>
        </w:rPr>
        <w:t>（1）因情况变化，不再符合规定的竞争性磋商采购方式适用情形的；</w:t>
      </w:r>
    </w:p>
    <w:p>
      <w:pPr>
        <w:snapToGrid w:val="0"/>
        <w:spacing w:line="390" w:lineRule="exact"/>
        <w:ind w:firstLine="411" w:firstLineChars="196"/>
        <w:outlineLvl w:val="4"/>
        <w:rPr>
          <w:color w:val="auto"/>
          <w:szCs w:val="21"/>
          <w:highlight w:val="none"/>
        </w:rPr>
      </w:pPr>
      <w:r>
        <w:rPr>
          <w:color w:val="auto"/>
          <w:szCs w:val="21"/>
          <w:highlight w:val="none"/>
        </w:rPr>
        <w:t xml:space="preserve">（2）出现影响采购公正的违法、违规行为的； </w:t>
      </w:r>
    </w:p>
    <w:p>
      <w:pPr>
        <w:snapToGrid w:val="0"/>
        <w:spacing w:line="390" w:lineRule="exact"/>
        <w:ind w:firstLine="420" w:firstLineChars="200"/>
        <w:outlineLvl w:val="4"/>
        <w:rPr>
          <w:color w:val="auto"/>
          <w:szCs w:val="21"/>
          <w:highlight w:val="none"/>
        </w:rPr>
      </w:pPr>
      <w:r>
        <w:rPr>
          <w:color w:val="auto"/>
          <w:szCs w:val="21"/>
          <w:highlight w:val="none"/>
        </w:rPr>
        <w:t>（3）采购项目为政府购买服务项目（含政府和社会资本合作项目），在采购过程中符合要求的供应商（社会资本）只有1家的。</w:t>
      </w:r>
    </w:p>
    <w:p>
      <w:pPr>
        <w:snapToGrid w:val="0"/>
        <w:spacing w:line="390" w:lineRule="exact"/>
        <w:ind w:firstLine="420" w:firstLineChars="200"/>
        <w:outlineLvl w:val="4"/>
        <w:rPr>
          <w:b/>
          <w:color w:val="auto"/>
          <w:highlight w:val="none"/>
        </w:rPr>
      </w:pPr>
      <w:r>
        <w:rPr>
          <w:b/>
          <w:color w:val="auto"/>
          <w:highlight w:val="none"/>
        </w:rPr>
        <w:t>25、磋商过程的监控</w:t>
      </w:r>
    </w:p>
    <w:p>
      <w:pPr>
        <w:pStyle w:val="23"/>
        <w:spacing w:line="390" w:lineRule="exact"/>
        <w:ind w:firstLine="411" w:firstLineChars="196"/>
        <w:rPr>
          <w:rFonts w:ascii="Times New Roman" w:hAnsi="Times New Roman"/>
          <w:color w:val="auto"/>
          <w:highlight w:val="none"/>
        </w:rPr>
      </w:pPr>
      <w:r>
        <w:rPr>
          <w:rFonts w:ascii="Times New Roman" w:hAnsi="Times New Roman"/>
          <w:color w:val="auto"/>
          <w:highlight w:val="none"/>
        </w:rPr>
        <w:t>本项目磋商过程实行全程录音、录像监控，磋商供应商在磋商过程中所进行的试图影响磋商结果的不公正活动，可能导致其磋商被拒绝。</w:t>
      </w:r>
    </w:p>
    <w:p>
      <w:pPr>
        <w:pStyle w:val="23"/>
        <w:spacing w:line="390" w:lineRule="exact"/>
        <w:ind w:firstLine="420" w:firstLineChars="200"/>
        <w:rPr>
          <w:rFonts w:ascii="Times New Roman" w:hAnsi="Times New Roman"/>
          <w:b/>
          <w:color w:val="auto"/>
          <w:highlight w:val="none"/>
        </w:rPr>
      </w:pPr>
      <w:r>
        <w:rPr>
          <w:rFonts w:ascii="Times New Roman" w:hAnsi="Times New Roman"/>
          <w:b/>
          <w:color w:val="auto"/>
          <w:highlight w:val="none"/>
        </w:rPr>
        <w:t>26、成交结果公告及成交通知</w:t>
      </w:r>
    </w:p>
    <w:p>
      <w:pPr>
        <w:spacing w:line="380" w:lineRule="exact"/>
        <w:ind w:firstLine="420" w:firstLineChars="200"/>
        <w:rPr>
          <w:color w:val="auto"/>
          <w:szCs w:val="21"/>
          <w:highlight w:val="none"/>
        </w:rPr>
      </w:pPr>
      <w:r>
        <w:rPr>
          <w:color w:val="auto"/>
          <w:highlight w:val="none"/>
        </w:rPr>
        <w:t>26.1</w:t>
      </w:r>
      <w:r>
        <w:rPr>
          <w:color w:val="auto"/>
          <w:szCs w:val="21"/>
          <w:highlight w:val="none"/>
        </w:rPr>
        <w:t>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napToGrid w:val="0"/>
        <w:spacing w:line="380" w:lineRule="exact"/>
        <w:ind w:firstLine="411" w:firstLineChars="196"/>
        <w:outlineLvl w:val="4"/>
        <w:rPr>
          <w:color w:val="auto"/>
          <w:szCs w:val="21"/>
          <w:highlight w:val="none"/>
        </w:rPr>
      </w:pPr>
      <w:r>
        <w:rPr>
          <w:color w:val="auto"/>
          <w:szCs w:val="21"/>
          <w:highlight w:val="none"/>
        </w:rPr>
        <w:t>26.2在发布成交结果公告的同时，采购代理机构向成交供应商发出成交通知书。成交供应商应自接到通知之日起七个工作日内，办理成交通知书领取手续。</w:t>
      </w:r>
    </w:p>
    <w:p>
      <w:pPr>
        <w:pStyle w:val="23"/>
        <w:spacing w:line="380" w:lineRule="exact"/>
        <w:ind w:firstLine="420" w:firstLineChars="200"/>
        <w:rPr>
          <w:rFonts w:ascii="Times New Roman" w:hAnsi="Times New Roman"/>
          <w:color w:val="auto"/>
          <w:highlight w:val="none"/>
        </w:rPr>
      </w:pPr>
      <w:r>
        <w:rPr>
          <w:rFonts w:ascii="Times New Roman" w:hAnsi="Times New Roman"/>
          <w:color w:val="auto"/>
          <w:highlight w:val="none"/>
        </w:rPr>
        <w:t>26.3采购代理机构无义务向未成交的磋商供应商解释未成交原因和退还响应文件。</w:t>
      </w:r>
    </w:p>
    <w:p>
      <w:pPr>
        <w:pStyle w:val="23"/>
        <w:spacing w:line="380" w:lineRule="exact"/>
        <w:ind w:firstLine="420" w:firstLineChars="200"/>
        <w:rPr>
          <w:rFonts w:ascii="Times New Roman" w:hAnsi="Times New Roman"/>
          <w:color w:val="auto"/>
          <w:highlight w:val="none"/>
        </w:rPr>
      </w:pPr>
    </w:p>
    <w:p>
      <w:pPr>
        <w:tabs>
          <w:tab w:val="left" w:pos="1140"/>
        </w:tabs>
        <w:spacing w:line="390" w:lineRule="exact"/>
        <w:ind w:left="420" w:leftChars="200" w:firstLine="560" w:firstLineChars="200"/>
        <w:jc w:val="center"/>
        <w:rPr>
          <w:b/>
          <w:color w:val="auto"/>
          <w:sz w:val="28"/>
          <w:szCs w:val="28"/>
          <w:highlight w:val="none"/>
        </w:rPr>
      </w:pPr>
      <w:r>
        <w:rPr>
          <w:b/>
          <w:color w:val="auto"/>
          <w:sz w:val="28"/>
          <w:szCs w:val="28"/>
          <w:highlight w:val="none"/>
        </w:rPr>
        <w:t>五、签订合同</w:t>
      </w:r>
    </w:p>
    <w:p>
      <w:pPr>
        <w:spacing w:line="380" w:lineRule="exact"/>
        <w:ind w:firstLine="411" w:firstLineChars="196"/>
        <w:rPr>
          <w:b/>
          <w:color w:val="auto"/>
          <w:highlight w:val="none"/>
        </w:rPr>
      </w:pPr>
    </w:p>
    <w:p>
      <w:pPr>
        <w:spacing w:line="400" w:lineRule="exact"/>
        <w:ind w:firstLine="411" w:firstLineChars="196"/>
        <w:rPr>
          <w:b/>
          <w:color w:val="auto"/>
          <w:highlight w:val="none"/>
        </w:rPr>
      </w:pPr>
      <w:r>
        <w:rPr>
          <w:b/>
          <w:color w:val="auto"/>
          <w:highlight w:val="none"/>
        </w:rPr>
        <w:t>27</w:t>
      </w:r>
      <w:r>
        <w:rPr>
          <w:b/>
          <w:color w:val="auto"/>
          <w:szCs w:val="21"/>
          <w:highlight w:val="none"/>
        </w:rPr>
        <w:t>、</w:t>
      </w:r>
      <w:r>
        <w:rPr>
          <w:b/>
          <w:color w:val="auto"/>
          <w:highlight w:val="none"/>
        </w:rPr>
        <w:t>合同履约担保</w:t>
      </w:r>
    </w:p>
    <w:p>
      <w:pPr>
        <w:pStyle w:val="23"/>
        <w:spacing w:line="400" w:lineRule="exact"/>
        <w:ind w:left="2" w:leftChars="1" w:firstLine="420" w:firstLineChars="200"/>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 xml:space="preserve">   本项目无需缴纳履约保证金。</w:t>
      </w:r>
    </w:p>
    <w:p>
      <w:pPr>
        <w:tabs>
          <w:tab w:val="left" w:pos="1140"/>
        </w:tabs>
        <w:spacing w:line="400" w:lineRule="exact"/>
        <w:ind w:firstLine="420" w:firstLineChars="200"/>
        <w:rPr>
          <w:b/>
          <w:color w:val="auto"/>
          <w:szCs w:val="21"/>
          <w:highlight w:val="none"/>
        </w:rPr>
      </w:pPr>
      <w:r>
        <w:rPr>
          <w:b/>
          <w:color w:val="auto"/>
          <w:szCs w:val="21"/>
          <w:highlight w:val="none"/>
        </w:rPr>
        <w:t>28、签订合同</w:t>
      </w:r>
    </w:p>
    <w:p>
      <w:pPr>
        <w:pStyle w:val="23"/>
        <w:spacing w:line="440" w:lineRule="exact"/>
        <w:ind w:left="6" w:firstLine="420" w:firstLineChars="200"/>
        <w:rPr>
          <w:rFonts w:ascii="Times New Roman" w:hAnsi="Times New Roman"/>
          <w:color w:val="auto"/>
          <w:highlight w:val="none"/>
        </w:rPr>
      </w:pPr>
      <w:r>
        <w:rPr>
          <w:rFonts w:ascii="Times New Roman" w:hAnsi="Times New Roman"/>
          <w:color w:val="auto"/>
          <w:highlight w:val="none"/>
        </w:rPr>
        <w:t>28.1、签订合同时间：成交通知书发出后</w:t>
      </w:r>
      <w:r>
        <w:rPr>
          <w:rFonts w:hint="eastAsia" w:ascii="Times New Roman" w:hAnsi="Times New Roman"/>
          <w:color w:val="auto"/>
          <w:highlight w:val="none"/>
          <w:lang w:val="en-US" w:eastAsia="zh-CN"/>
        </w:rPr>
        <w:t>二十五</w:t>
      </w:r>
      <w:r>
        <w:rPr>
          <w:rFonts w:ascii="Times New Roman" w:hAnsi="Times New Roman"/>
          <w:color w:val="auto"/>
          <w:highlight w:val="none"/>
        </w:rPr>
        <w:t>日内。成交供应商领取成交通知书后，应按规定与采购人签订合同。</w:t>
      </w:r>
    </w:p>
    <w:p>
      <w:pPr>
        <w:pStyle w:val="23"/>
        <w:spacing w:line="440" w:lineRule="exact"/>
        <w:ind w:left="6" w:firstLine="420" w:firstLineChars="200"/>
        <w:rPr>
          <w:rFonts w:ascii="Times New Roman" w:hAnsi="Times New Roman"/>
          <w:color w:val="auto"/>
          <w:highlight w:val="none"/>
        </w:rPr>
      </w:pPr>
      <w:r>
        <w:rPr>
          <w:rFonts w:ascii="Times New Roman" w:hAnsi="Times New Roman"/>
          <w:color w:val="auto"/>
          <w:highlight w:val="none"/>
        </w:rPr>
        <w:t>28.2、如成交供应商有下列情形之一的，情节严重的，由财政部门将其列入不良行为记录名单，在一至三年内禁止参加政府采购活动，并予以通报。采购代理机构可从磋商小组推荐的成交候选供应商中按顺序重新确定成交供应商，组织供需双方签订合同或重新组织采购。拒绝签订政府采购合同的成交供应商不得参加对该项目重新开展的采购活动。</w:t>
      </w:r>
    </w:p>
    <w:p>
      <w:pPr>
        <w:pStyle w:val="23"/>
        <w:spacing w:line="440" w:lineRule="exact"/>
        <w:ind w:left="6" w:firstLine="420" w:firstLineChars="200"/>
        <w:rPr>
          <w:rFonts w:ascii="Times New Roman" w:hAnsi="Times New Roman"/>
          <w:color w:val="auto"/>
          <w:highlight w:val="none"/>
        </w:rPr>
      </w:pPr>
      <w:r>
        <w:rPr>
          <w:rFonts w:ascii="Times New Roman" w:hAnsi="Times New Roman"/>
          <w:color w:val="auto"/>
          <w:highlight w:val="none"/>
        </w:rPr>
        <w:t>（1）成交后不与采购人签订合同的（不可抗力除外）；</w:t>
      </w:r>
    </w:p>
    <w:p>
      <w:pPr>
        <w:pStyle w:val="23"/>
        <w:spacing w:line="440" w:lineRule="exact"/>
        <w:ind w:left="6" w:firstLine="420" w:firstLineChars="200"/>
        <w:rPr>
          <w:rFonts w:ascii="Times New Roman" w:hAnsi="Times New Roman"/>
          <w:color w:val="auto"/>
          <w:highlight w:val="none"/>
        </w:rPr>
      </w:pPr>
      <w:r>
        <w:rPr>
          <w:rFonts w:ascii="Times New Roman" w:hAnsi="Times New Roman"/>
          <w:color w:val="auto"/>
          <w:highlight w:val="none"/>
        </w:rPr>
        <w:t>（2）将成交项目转让给他人，或者在响应文件中未说明，且未经采购人同意，将成交项目分包给他人的；</w:t>
      </w:r>
    </w:p>
    <w:p>
      <w:pPr>
        <w:pStyle w:val="23"/>
        <w:spacing w:line="440" w:lineRule="exact"/>
        <w:ind w:left="6" w:firstLine="420" w:firstLineChars="200"/>
        <w:rPr>
          <w:rFonts w:ascii="Times New Roman" w:hAnsi="Times New Roman"/>
          <w:color w:val="auto"/>
          <w:highlight w:val="none"/>
        </w:rPr>
      </w:pPr>
      <w:r>
        <w:rPr>
          <w:rFonts w:ascii="Times New Roman" w:hAnsi="Times New Roman"/>
          <w:color w:val="auto"/>
          <w:highlight w:val="none"/>
        </w:rPr>
        <w:t>（3）拒绝履行合同义务的。</w:t>
      </w:r>
    </w:p>
    <w:p>
      <w:pPr>
        <w:spacing w:line="380" w:lineRule="exact"/>
        <w:ind w:firstLine="420" w:firstLineChars="200"/>
        <w:rPr>
          <w:color w:val="auto"/>
          <w:highlight w:val="none"/>
        </w:rPr>
      </w:pPr>
      <w:r>
        <w:rPr>
          <w:color w:val="auto"/>
          <w:highlight w:val="none"/>
        </w:rPr>
        <w:t>28.3</w:t>
      </w:r>
      <w:r>
        <w:rPr>
          <w:rFonts w:hint="eastAsia"/>
          <w:color w:val="auto"/>
          <w:highlight w:val="none"/>
        </w:rPr>
        <w:t>、</w:t>
      </w:r>
      <w:r>
        <w:rPr>
          <w:color w:val="auto"/>
          <w:highlight w:val="none"/>
        </w:rPr>
        <w:t>合同备案存档：政府采购合同双方自签订之日起1个工作日内将合同原件两份交采购代理机构。采购代理机构将政府采购合同在省级以上人民政府财政部门指定媒体上公告并于合同签订之日起7个工作日内将一份合同原件送</w:t>
      </w:r>
      <w:r>
        <w:rPr>
          <w:rFonts w:hint="eastAsia"/>
          <w:color w:val="auto"/>
          <w:szCs w:val="21"/>
          <w:highlight w:val="none"/>
          <w:lang w:eastAsia="zh-CN"/>
        </w:rPr>
        <w:t>桂林市政府采购管理办公室</w:t>
      </w:r>
      <w:r>
        <w:rPr>
          <w:color w:val="auto"/>
          <w:highlight w:val="none"/>
        </w:rPr>
        <w:t>备案，一份由采购代理机构存档。</w:t>
      </w:r>
    </w:p>
    <w:p>
      <w:pPr>
        <w:pStyle w:val="23"/>
        <w:spacing w:line="390" w:lineRule="exact"/>
        <w:ind w:left="3" w:firstLine="420" w:firstLineChars="200"/>
        <w:rPr>
          <w:rFonts w:ascii="Times New Roman" w:hAnsi="Times New Roman"/>
          <w:color w:val="auto"/>
          <w:highlight w:val="none"/>
        </w:rPr>
      </w:pPr>
    </w:p>
    <w:p>
      <w:pPr>
        <w:pStyle w:val="23"/>
        <w:spacing w:line="390" w:lineRule="exact"/>
        <w:ind w:left="3"/>
        <w:jc w:val="center"/>
        <w:rPr>
          <w:rFonts w:ascii="Times New Roman" w:hAnsi="Times New Roman"/>
          <w:b/>
          <w:color w:val="auto"/>
          <w:sz w:val="28"/>
          <w:szCs w:val="28"/>
          <w:highlight w:val="none"/>
        </w:rPr>
      </w:pPr>
      <w:r>
        <w:rPr>
          <w:rFonts w:ascii="Times New Roman" w:hAnsi="Times New Roman"/>
          <w:b/>
          <w:color w:val="auto"/>
          <w:sz w:val="28"/>
          <w:szCs w:val="28"/>
          <w:highlight w:val="none"/>
        </w:rPr>
        <w:t>六、其他事项</w:t>
      </w:r>
    </w:p>
    <w:p>
      <w:pPr>
        <w:spacing w:line="440" w:lineRule="exact"/>
        <w:ind w:firstLine="514" w:firstLineChars="245"/>
        <w:rPr>
          <w:b/>
          <w:color w:val="auto"/>
          <w:highlight w:val="none"/>
        </w:rPr>
      </w:pPr>
      <w:r>
        <w:rPr>
          <w:b/>
          <w:color w:val="auto"/>
          <w:highlight w:val="none"/>
        </w:rPr>
        <w:t>29</w:t>
      </w:r>
      <w:r>
        <w:rPr>
          <w:b/>
          <w:color w:val="auto"/>
          <w:szCs w:val="21"/>
          <w:highlight w:val="none"/>
        </w:rPr>
        <w:t>、</w:t>
      </w:r>
      <w:r>
        <w:rPr>
          <w:b/>
          <w:color w:val="auto"/>
          <w:highlight w:val="none"/>
        </w:rPr>
        <w:t>采购代理服务费</w:t>
      </w:r>
    </w:p>
    <w:p>
      <w:pPr>
        <w:spacing w:line="340" w:lineRule="exact"/>
        <w:ind w:firstLine="420" w:firstLineChars="200"/>
        <w:rPr>
          <w:color w:val="auto"/>
          <w:szCs w:val="21"/>
          <w:highlight w:val="none"/>
        </w:rPr>
      </w:pPr>
      <w:r>
        <w:rPr>
          <w:color w:val="auto"/>
          <w:szCs w:val="21"/>
          <w:highlight w:val="none"/>
        </w:rPr>
        <w:t>成交供应商领取成交通知书前，参照计价格[2002]1980号《招标代理服务收费管理暂行办法》服务类收费标准向</w:t>
      </w:r>
      <w:r>
        <w:rPr>
          <w:rFonts w:hint="eastAsia"/>
          <w:color w:val="auto"/>
          <w:szCs w:val="21"/>
          <w:highlight w:val="none"/>
          <w:lang w:eastAsia="zh-CN"/>
        </w:rPr>
        <w:t>广西汇益招标咨询有限公司</w:t>
      </w:r>
      <w:r>
        <w:rPr>
          <w:color w:val="auto"/>
          <w:szCs w:val="21"/>
          <w:highlight w:val="none"/>
        </w:rPr>
        <w:t>一次性付清代理服务费。</w:t>
      </w:r>
    </w:p>
    <w:p>
      <w:pPr>
        <w:spacing w:line="400" w:lineRule="exact"/>
        <w:jc w:val="center"/>
        <w:rPr>
          <w:color w:val="auto"/>
          <w:szCs w:val="21"/>
          <w:highlight w:val="none"/>
        </w:rPr>
      </w:pPr>
      <w:r>
        <w:rPr>
          <w:color w:val="auto"/>
          <w:szCs w:val="21"/>
          <w:highlight w:val="none"/>
        </w:rPr>
        <w:t>采购代理服务收费标准</w:t>
      </w:r>
    </w:p>
    <w:tbl>
      <w:tblPr>
        <w:tblStyle w:val="43"/>
        <w:tblW w:w="9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880" w:type="dxa"/>
            <w:vAlign w:val="top"/>
          </w:tcPr>
          <w:p>
            <w:pPr>
              <w:pStyle w:val="23"/>
              <w:spacing w:line="380" w:lineRule="exact"/>
              <w:ind w:left="25"/>
              <w:rPr>
                <w:rFonts w:ascii="Times New Roman" w:hAnsi="Times New Roman"/>
                <w:color w:val="auto"/>
                <w:highlight w:val="none"/>
              </w:rPr>
            </w:pPr>
            <w:r>
              <w:rPr>
                <w:rFonts w:ascii="Times New Roman" w:hAnsi="Times New Roman"/>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1" name="直线 9"/>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9" o:spid="_x0000_s1026" o:spt="20" style="position:absolute;left:0pt;margin-left:23.35pt;margin-top:0.85pt;height:51.45pt;width:115.25pt;z-index:251659264;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SAVM01gAAAAgBAAAPAAAAAAAAAAEAIAAA&#10;ACIAAABkcnMvZG93bnJldi54bWxQSwECFAAUAAAACACHTuJAwMn0J9UBAACgAwAADgAAAAAAAAAB&#10;ACAAAAAlAQAAZHJzL2Uyb0RvYy54bWxQSwUGAAAAAAYABgBZAQAAbAUAAAAA&#10;">
                      <v:fill on="f" focussize="0,0"/>
                      <v:stroke color="#000000" joinstyle="round"/>
                      <v:imagedata o:title=""/>
                      <o:lock v:ext="edit" aspectratio="f"/>
                    </v:line>
                  </w:pict>
                </mc:Fallback>
              </mc:AlternateContent>
            </w:r>
            <w:r>
              <w:rPr>
                <w:rFonts w:ascii="Times New Roman" w:hAnsi="Times New Roman"/>
                <w:color w:val="auto"/>
                <w:highlight w:val="none"/>
              </w:rPr>
              <w:t>费率           服务类型</w:t>
            </w:r>
          </w:p>
          <w:p>
            <w:pPr>
              <w:pStyle w:val="23"/>
              <w:spacing w:line="380" w:lineRule="exact"/>
              <w:ind w:left="25"/>
              <w:rPr>
                <w:rFonts w:ascii="Times New Roman" w:hAnsi="Times New Roman"/>
                <w:color w:val="auto"/>
                <w:highlight w:val="none"/>
              </w:rPr>
            </w:pPr>
            <w:r>
              <w:rPr>
                <w:rFonts w:ascii="Times New Roman" w:hAnsi="Times New Roman"/>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2" name="直线 10"/>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0" o:spid="_x0000_s1026" o:spt="20" style="position:absolute;left:0pt;margin-left:-5.4pt;margin-top:3.1pt;height:31.2pt;width:144pt;z-index:251660288;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ADq9E1gAAAAgBAAAPAAAAAAAAAAEA&#10;IAAAACIAAABkcnMvZG93bnJldi54bWxQSwECFAAUAAAACACHTuJA0FJEwdgBAAChAwAADgAAAAAA&#10;AAABACAAAAAlAQAAZHJzL2Uyb0RvYy54bWxQSwUGAAAAAAYABgBZAQAAbwUAAAAA&#10;">
                      <v:fill on="f" focussize="0,0"/>
                      <v:stroke color="#000000" joinstyle="round"/>
                      <v:imagedata o:title=""/>
                      <o:lock v:ext="edit" aspectratio="f"/>
                    </v:line>
                  </w:pict>
                </mc:Fallback>
              </mc:AlternateContent>
            </w:r>
          </w:p>
          <w:p>
            <w:pPr>
              <w:pStyle w:val="23"/>
              <w:spacing w:line="380" w:lineRule="exact"/>
              <w:ind w:left="25"/>
              <w:rPr>
                <w:rFonts w:ascii="Times New Roman" w:hAnsi="Times New Roman"/>
                <w:color w:val="auto"/>
                <w:highlight w:val="none"/>
              </w:rPr>
            </w:pPr>
            <w:r>
              <w:rPr>
                <w:rFonts w:ascii="Times New Roman" w:hAnsi="Times New Roman"/>
                <w:color w:val="auto"/>
                <w:highlight w:val="none"/>
              </w:rPr>
              <w:t>中标金额（万元）</w:t>
            </w:r>
          </w:p>
        </w:tc>
        <w:tc>
          <w:tcPr>
            <w:tcW w:w="1841" w:type="dxa"/>
            <w:vAlign w:val="center"/>
          </w:tcPr>
          <w:p>
            <w:pPr>
              <w:pStyle w:val="23"/>
              <w:spacing w:line="380" w:lineRule="exact"/>
              <w:ind w:left="25"/>
              <w:jc w:val="center"/>
              <w:rPr>
                <w:rFonts w:ascii="Times New Roman" w:hAnsi="Times New Roman"/>
                <w:color w:val="auto"/>
                <w:highlight w:val="none"/>
              </w:rPr>
            </w:pPr>
            <w:r>
              <w:rPr>
                <w:rFonts w:ascii="Times New Roman" w:hAnsi="Times New Roman"/>
                <w:color w:val="auto"/>
                <w:highlight w:val="none"/>
              </w:rPr>
              <w:t>货物招标</w:t>
            </w:r>
          </w:p>
        </w:tc>
        <w:tc>
          <w:tcPr>
            <w:tcW w:w="1992" w:type="dxa"/>
            <w:vAlign w:val="center"/>
          </w:tcPr>
          <w:p>
            <w:pPr>
              <w:pStyle w:val="23"/>
              <w:spacing w:line="380" w:lineRule="exact"/>
              <w:ind w:left="25"/>
              <w:jc w:val="center"/>
              <w:rPr>
                <w:rFonts w:ascii="Times New Roman" w:hAnsi="Times New Roman"/>
                <w:color w:val="auto"/>
                <w:highlight w:val="none"/>
              </w:rPr>
            </w:pPr>
            <w:r>
              <w:rPr>
                <w:rFonts w:ascii="Times New Roman" w:hAnsi="Times New Roman"/>
                <w:color w:val="auto"/>
                <w:highlight w:val="none"/>
              </w:rPr>
              <w:t>服务招标</w:t>
            </w:r>
          </w:p>
        </w:tc>
        <w:tc>
          <w:tcPr>
            <w:tcW w:w="2293" w:type="dxa"/>
            <w:vAlign w:val="center"/>
          </w:tcPr>
          <w:p>
            <w:pPr>
              <w:pStyle w:val="23"/>
              <w:spacing w:line="380" w:lineRule="exact"/>
              <w:ind w:left="25"/>
              <w:jc w:val="center"/>
              <w:rPr>
                <w:rFonts w:ascii="Times New Roman" w:hAnsi="Times New Roman"/>
                <w:color w:val="auto"/>
                <w:highlight w:val="none"/>
              </w:rPr>
            </w:pPr>
            <w:r>
              <w:rPr>
                <w:rFonts w:ascii="Times New Roman" w:hAnsi="Times New Roman"/>
                <w:color w:val="auto"/>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2880" w:type="dxa"/>
            <w:vAlign w:val="top"/>
          </w:tcPr>
          <w:p>
            <w:pPr>
              <w:pStyle w:val="23"/>
              <w:spacing w:line="380" w:lineRule="exact"/>
              <w:ind w:left="25"/>
              <w:rPr>
                <w:rFonts w:ascii="Times New Roman" w:hAnsi="Times New Roman"/>
                <w:color w:val="auto"/>
                <w:highlight w:val="none"/>
              </w:rPr>
            </w:pPr>
            <w:r>
              <w:rPr>
                <w:rFonts w:ascii="Times New Roman" w:hAnsi="Times New Roman"/>
                <w:color w:val="auto"/>
                <w:highlight w:val="none"/>
              </w:rPr>
              <w:t>100以下</w:t>
            </w:r>
          </w:p>
        </w:tc>
        <w:tc>
          <w:tcPr>
            <w:tcW w:w="1841" w:type="dxa"/>
            <w:vAlign w:val="top"/>
          </w:tcPr>
          <w:p>
            <w:pPr>
              <w:pStyle w:val="23"/>
              <w:spacing w:line="380" w:lineRule="exact"/>
              <w:ind w:left="25"/>
              <w:jc w:val="center"/>
              <w:rPr>
                <w:rFonts w:ascii="Times New Roman" w:hAnsi="Times New Roman"/>
                <w:color w:val="auto"/>
                <w:highlight w:val="none"/>
              </w:rPr>
            </w:pPr>
            <w:r>
              <w:rPr>
                <w:rFonts w:ascii="Times New Roman" w:hAnsi="Times New Roman"/>
                <w:color w:val="auto"/>
                <w:highlight w:val="none"/>
              </w:rPr>
              <w:t>1.5%</w:t>
            </w:r>
          </w:p>
        </w:tc>
        <w:tc>
          <w:tcPr>
            <w:tcW w:w="1992" w:type="dxa"/>
            <w:vAlign w:val="top"/>
          </w:tcPr>
          <w:p>
            <w:pPr>
              <w:pStyle w:val="23"/>
              <w:spacing w:line="380" w:lineRule="exact"/>
              <w:ind w:left="25"/>
              <w:jc w:val="center"/>
              <w:rPr>
                <w:rFonts w:ascii="Times New Roman" w:hAnsi="Times New Roman"/>
                <w:color w:val="auto"/>
                <w:highlight w:val="none"/>
              </w:rPr>
            </w:pPr>
            <w:r>
              <w:rPr>
                <w:rFonts w:ascii="Times New Roman" w:hAnsi="Times New Roman"/>
                <w:color w:val="auto"/>
                <w:highlight w:val="none"/>
              </w:rPr>
              <w:t>1.5%</w:t>
            </w:r>
          </w:p>
        </w:tc>
        <w:tc>
          <w:tcPr>
            <w:tcW w:w="2293" w:type="dxa"/>
            <w:vAlign w:val="top"/>
          </w:tcPr>
          <w:p>
            <w:pPr>
              <w:pStyle w:val="23"/>
              <w:spacing w:line="380" w:lineRule="exact"/>
              <w:ind w:left="25"/>
              <w:jc w:val="center"/>
              <w:rPr>
                <w:rFonts w:ascii="Times New Roman" w:hAnsi="Times New Roman"/>
                <w:color w:val="auto"/>
                <w:highlight w:val="none"/>
              </w:rPr>
            </w:pPr>
            <w:r>
              <w:rPr>
                <w:rFonts w:ascii="Times New Roman" w:hAnsi="Times New Roman"/>
                <w:color w:val="auto"/>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jc w:val="center"/>
        </w:trPr>
        <w:tc>
          <w:tcPr>
            <w:tcW w:w="2880" w:type="dxa"/>
            <w:vAlign w:val="top"/>
          </w:tcPr>
          <w:p>
            <w:pPr>
              <w:pStyle w:val="23"/>
              <w:spacing w:line="380" w:lineRule="exact"/>
              <w:ind w:left="25"/>
              <w:rPr>
                <w:rFonts w:ascii="Times New Roman" w:hAnsi="Times New Roman"/>
                <w:color w:val="auto"/>
                <w:highlight w:val="none"/>
              </w:rPr>
            </w:pPr>
            <w:r>
              <w:rPr>
                <w:rFonts w:ascii="Times New Roman" w:hAnsi="Times New Roman"/>
                <w:color w:val="auto"/>
                <w:highlight w:val="none"/>
              </w:rPr>
              <w:t>100-500</w:t>
            </w:r>
          </w:p>
        </w:tc>
        <w:tc>
          <w:tcPr>
            <w:tcW w:w="1841" w:type="dxa"/>
            <w:vAlign w:val="top"/>
          </w:tcPr>
          <w:p>
            <w:pPr>
              <w:pStyle w:val="23"/>
              <w:spacing w:line="380" w:lineRule="exact"/>
              <w:ind w:left="25"/>
              <w:jc w:val="center"/>
              <w:rPr>
                <w:rFonts w:ascii="Times New Roman" w:hAnsi="Times New Roman"/>
                <w:color w:val="auto"/>
                <w:highlight w:val="none"/>
              </w:rPr>
            </w:pPr>
            <w:r>
              <w:rPr>
                <w:rFonts w:ascii="Times New Roman" w:hAnsi="Times New Roman"/>
                <w:color w:val="auto"/>
                <w:highlight w:val="none"/>
              </w:rPr>
              <w:t>1.1%</w:t>
            </w:r>
          </w:p>
        </w:tc>
        <w:tc>
          <w:tcPr>
            <w:tcW w:w="1992" w:type="dxa"/>
            <w:vAlign w:val="top"/>
          </w:tcPr>
          <w:p>
            <w:pPr>
              <w:pStyle w:val="23"/>
              <w:spacing w:line="380" w:lineRule="exact"/>
              <w:ind w:left="25"/>
              <w:jc w:val="center"/>
              <w:rPr>
                <w:rFonts w:ascii="Times New Roman" w:hAnsi="Times New Roman"/>
                <w:color w:val="auto"/>
                <w:highlight w:val="none"/>
              </w:rPr>
            </w:pPr>
            <w:r>
              <w:rPr>
                <w:rFonts w:ascii="Times New Roman" w:hAnsi="Times New Roman"/>
                <w:color w:val="auto"/>
                <w:highlight w:val="none"/>
              </w:rPr>
              <w:t>0.8%</w:t>
            </w:r>
          </w:p>
        </w:tc>
        <w:tc>
          <w:tcPr>
            <w:tcW w:w="2293" w:type="dxa"/>
            <w:vAlign w:val="top"/>
          </w:tcPr>
          <w:p>
            <w:pPr>
              <w:pStyle w:val="23"/>
              <w:spacing w:line="380" w:lineRule="exact"/>
              <w:ind w:left="25"/>
              <w:jc w:val="center"/>
              <w:rPr>
                <w:rFonts w:ascii="Times New Roman" w:hAnsi="Times New Roman"/>
                <w:color w:val="auto"/>
                <w:highlight w:val="none"/>
              </w:rPr>
            </w:pPr>
            <w:r>
              <w:rPr>
                <w:rFonts w:ascii="Times New Roman" w:hAnsi="Times New Roman"/>
                <w:color w:val="auto"/>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880" w:type="dxa"/>
            <w:vAlign w:val="top"/>
          </w:tcPr>
          <w:p>
            <w:pPr>
              <w:pStyle w:val="23"/>
              <w:spacing w:line="380" w:lineRule="exact"/>
              <w:ind w:left="25"/>
              <w:rPr>
                <w:rFonts w:ascii="Times New Roman" w:hAnsi="Times New Roman"/>
                <w:color w:val="auto"/>
                <w:highlight w:val="none"/>
              </w:rPr>
            </w:pPr>
            <w:r>
              <w:rPr>
                <w:rFonts w:ascii="Times New Roman" w:hAnsi="Times New Roman"/>
                <w:color w:val="auto"/>
                <w:highlight w:val="none"/>
              </w:rPr>
              <w:t>500-1000</w:t>
            </w:r>
          </w:p>
        </w:tc>
        <w:tc>
          <w:tcPr>
            <w:tcW w:w="1841" w:type="dxa"/>
            <w:vAlign w:val="top"/>
          </w:tcPr>
          <w:p>
            <w:pPr>
              <w:pStyle w:val="23"/>
              <w:spacing w:line="380" w:lineRule="exact"/>
              <w:ind w:left="25"/>
              <w:jc w:val="center"/>
              <w:rPr>
                <w:rFonts w:ascii="Times New Roman" w:hAnsi="Times New Roman"/>
                <w:color w:val="auto"/>
                <w:highlight w:val="none"/>
              </w:rPr>
            </w:pPr>
            <w:r>
              <w:rPr>
                <w:rFonts w:ascii="Times New Roman" w:hAnsi="Times New Roman"/>
                <w:color w:val="auto"/>
                <w:highlight w:val="none"/>
              </w:rPr>
              <w:t>0.8%</w:t>
            </w:r>
          </w:p>
        </w:tc>
        <w:tc>
          <w:tcPr>
            <w:tcW w:w="1992" w:type="dxa"/>
            <w:vAlign w:val="top"/>
          </w:tcPr>
          <w:p>
            <w:pPr>
              <w:pStyle w:val="23"/>
              <w:spacing w:line="380" w:lineRule="exact"/>
              <w:ind w:left="25"/>
              <w:jc w:val="center"/>
              <w:rPr>
                <w:rFonts w:ascii="Times New Roman" w:hAnsi="Times New Roman"/>
                <w:color w:val="auto"/>
                <w:highlight w:val="none"/>
              </w:rPr>
            </w:pPr>
            <w:r>
              <w:rPr>
                <w:rFonts w:ascii="Times New Roman" w:hAnsi="Times New Roman"/>
                <w:color w:val="auto"/>
                <w:highlight w:val="none"/>
              </w:rPr>
              <w:t>0.45%</w:t>
            </w:r>
          </w:p>
        </w:tc>
        <w:tc>
          <w:tcPr>
            <w:tcW w:w="2293" w:type="dxa"/>
            <w:vAlign w:val="top"/>
          </w:tcPr>
          <w:p>
            <w:pPr>
              <w:pStyle w:val="23"/>
              <w:spacing w:line="380" w:lineRule="exact"/>
              <w:ind w:left="25"/>
              <w:jc w:val="center"/>
              <w:rPr>
                <w:rFonts w:ascii="Times New Roman" w:hAnsi="Times New Roman"/>
                <w:color w:val="auto"/>
                <w:highlight w:val="none"/>
              </w:rPr>
            </w:pPr>
            <w:r>
              <w:rPr>
                <w:rFonts w:ascii="Times New Roman" w:hAnsi="Times New Roman"/>
                <w:color w:val="auto"/>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880" w:type="dxa"/>
            <w:vAlign w:val="top"/>
          </w:tcPr>
          <w:p>
            <w:pPr>
              <w:pStyle w:val="23"/>
              <w:spacing w:line="380" w:lineRule="exact"/>
              <w:ind w:left="25"/>
              <w:rPr>
                <w:rFonts w:ascii="Times New Roman" w:hAnsi="Times New Roman"/>
                <w:color w:val="auto"/>
                <w:highlight w:val="none"/>
              </w:rPr>
            </w:pPr>
            <w:r>
              <w:rPr>
                <w:rFonts w:ascii="Times New Roman" w:hAnsi="Times New Roman"/>
                <w:color w:val="auto"/>
                <w:highlight w:val="none"/>
              </w:rPr>
              <w:t>1000-5000</w:t>
            </w:r>
          </w:p>
        </w:tc>
        <w:tc>
          <w:tcPr>
            <w:tcW w:w="1841" w:type="dxa"/>
            <w:vAlign w:val="top"/>
          </w:tcPr>
          <w:p>
            <w:pPr>
              <w:pStyle w:val="23"/>
              <w:spacing w:line="380" w:lineRule="exact"/>
              <w:ind w:left="25"/>
              <w:jc w:val="center"/>
              <w:rPr>
                <w:rFonts w:ascii="Times New Roman" w:hAnsi="Times New Roman"/>
                <w:color w:val="auto"/>
                <w:highlight w:val="none"/>
              </w:rPr>
            </w:pPr>
            <w:r>
              <w:rPr>
                <w:rFonts w:ascii="Times New Roman" w:hAnsi="Times New Roman"/>
                <w:color w:val="auto"/>
                <w:highlight w:val="none"/>
              </w:rPr>
              <w:t>0.5%</w:t>
            </w:r>
          </w:p>
        </w:tc>
        <w:tc>
          <w:tcPr>
            <w:tcW w:w="1992" w:type="dxa"/>
            <w:vAlign w:val="top"/>
          </w:tcPr>
          <w:p>
            <w:pPr>
              <w:pStyle w:val="23"/>
              <w:spacing w:line="380" w:lineRule="exact"/>
              <w:ind w:left="25"/>
              <w:jc w:val="center"/>
              <w:rPr>
                <w:rFonts w:ascii="Times New Roman" w:hAnsi="Times New Roman"/>
                <w:color w:val="auto"/>
                <w:highlight w:val="none"/>
              </w:rPr>
            </w:pPr>
            <w:r>
              <w:rPr>
                <w:rFonts w:ascii="Times New Roman" w:hAnsi="Times New Roman"/>
                <w:color w:val="auto"/>
                <w:highlight w:val="none"/>
              </w:rPr>
              <w:t>0.25%</w:t>
            </w:r>
          </w:p>
        </w:tc>
        <w:tc>
          <w:tcPr>
            <w:tcW w:w="2293" w:type="dxa"/>
            <w:vAlign w:val="top"/>
          </w:tcPr>
          <w:p>
            <w:pPr>
              <w:pStyle w:val="23"/>
              <w:spacing w:line="380" w:lineRule="exact"/>
              <w:ind w:left="25"/>
              <w:jc w:val="center"/>
              <w:rPr>
                <w:rFonts w:ascii="Times New Roman" w:hAnsi="Times New Roman"/>
                <w:color w:val="auto"/>
                <w:highlight w:val="none"/>
              </w:rPr>
            </w:pPr>
            <w:r>
              <w:rPr>
                <w:rFonts w:ascii="Times New Roman" w:hAnsi="Times New Roman"/>
                <w:color w:val="auto"/>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880" w:type="dxa"/>
            <w:vAlign w:val="top"/>
          </w:tcPr>
          <w:p>
            <w:pPr>
              <w:pStyle w:val="23"/>
              <w:spacing w:line="380" w:lineRule="exact"/>
              <w:ind w:left="25"/>
              <w:rPr>
                <w:rFonts w:ascii="Times New Roman" w:hAnsi="Times New Roman"/>
                <w:color w:val="auto"/>
                <w:highlight w:val="none"/>
              </w:rPr>
            </w:pPr>
            <w:r>
              <w:rPr>
                <w:rFonts w:ascii="Times New Roman" w:hAnsi="Times New Roman"/>
                <w:color w:val="auto"/>
                <w:highlight w:val="none"/>
              </w:rPr>
              <w:t>5000-10000</w:t>
            </w:r>
          </w:p>
        </w:tc>
        <w:tc>
          <w:tcPr>
            <w:tcW w:w="1841" w:type="dxa"/>
            <w:vAlign w:val="top"/>
          </w:tcPr>
          <w:p>
            <w:pPr>
              <w:pStyle w:val="23"/>
              <w:spacing w:line="380" w:lineRule="exact"/>
              <w:ind w:left="25"/>
              <w:jc w:val="center"/>
              <w:rPr>
                <w:rFonts w:ascii="Times New Roman" w:hAnsi="Times New Roman"/>
                <w:color w:val="auto"/>
                <w:highlight w:val="none"/>
              </w:rPr>
            </w:pPr>
            <w:r>
              <w:rPr>
                <w:rFonts w:ascii="Times New Roman" w:hAnsi="Times New Roman"/>
                <w:color w:val="auto"/>
                <w:highlight w:val="none"/>
              </w:rPr>
              <w:t>0.25%</w:t>
            </w:r>
          </w:p>
        </w:tc>
        <w:tc>
          <w:tcPr>
            <w:tcW w:w="1992" w:type="dxa"/>
            <w:vAlign w:val="top"/>
          </w:tcPr>
          <w:p>
            <w:pPr>
              <w:pStyle w:val="23"/>
              <w:spacing w:line="380" w:lineRule="exact"/>
              <w:ind w:left="25"/>
              <w:jc w:val="center"/>
              <w:rPr>
                <w:rFonts w:ascii="Times New Roman" w:hAnsi="Times New Roman"/>
                <w:color w:val="auto"/>
                <w:highlight w:val="none"/>
              </w:rPr>
            </w:pPr>
            <w:r>
              <w:rPr>
                <w:rFonts w:ascii="Times New Roman" w:hAnsi="Times New Roman"/>
                <w:color w:val="auto"/>
                <w:highlight w:val="none"/>
              </w:rPr>
              <w:t>0.1%</w:t>
            </w:r>
          </w:p>
        </w:tc>
        <w:tc>
          <w:tcPr>
            <w:tcW w:w="2293" w:type="dxa"/>
            <w:vAlign w:val="top"/>
          </w:tcPr>
          <w:p>
            <w:pPr>
              <w:pStyle w:val="23"/>
              <w:spacing w:line="380" w:lineRule="exact"/>
              <w:ind w:left="25"/>
              <w:jc w:val="center"/>
              <w:rPr>
                <w:rFonts w:ascii="Times New Roman" w:hAnsi="Times New Roman"/>
                <w:color w:val="auto"/>
                <w:highlight w:val="none"/>
              </w:rPr>
            </w:pPr>
            <w:r>
              <w:rPr>
                <w:rFonts w:ascii="Times New Roman" w:hAnsi="Times New Roman"/>
                <w:color w:val="auto"/>
                <w:highlight w:val="none"/>
              </w:rPr>
              <w:t>0.2%</w:t>
            </w:r>
          </w:p>
        </w:tc>
      </w:tr>
    </w:tbl>
    <w:p>
      <w:pPr>
        <w:pStyle w:val="23"/>
        <w:spacing w:line="440" w:lineRule="exact"/>
        <w:ind w:firstLine="420" w:firstLineChars="200"/>
        <w:rPr>
          <w:rFonts w:ascii="Times New Roman" w:hAnsi="Times New Roman"/>
          <w:color w:val="auto"/>
          <w:szCs w:val="21"/>
          <w:highlight w:val="none"/>
        </w:rPr>
      </w:pPr>
    </w:p>
    <w:p>
      <w:pPr>
        <w:rPr>
          <w:color w:val="auto"/>
          <w:highlight w:val="none"/>
        </w:rPr>
      </w:pPr>
    </w:p>
    <w:p>
      <w:pPr>
        <w:spacing w:line="380" w:lineRule="exact"/>
        <w:ind w:firstLine="420" w:firstLineChars="200"/>
        <w:rPr>
          <w:color w:val="auto"/>
          <w:highlight w:val="none"/>
        </w:rPr>
      </w:pPr>
      <w:r>
        <w:rPr>
          <w:b/>
          <w:color w:val="auto"/>
          <w:highlight w:val="none"/>
        </w:rPr>
        <w:t>30、交纳代理服务费的银行账户：</w:t>
      </w:r>
    </w:p>
    <w:p>
      <w:pPr>
        <w:spacing w:line="320" w:lineRule="exact"/>
        <w:ind w:firstLine="420" w:firstLineChars="200"/>
        <w:rPr>
          <w:rFonts w:hint="eastAsia" w:eastAsia="宋体"/>
          <w:color w:val="auto"/>
          <w:highlight w:val="none"/>
          <w:lang w:eastAsia="zh-CN"/>
        </w:rPr>
      </w:pPr>
      <w:r>
        <w:rPr>
          <w:color w:val="auto"/>
          <w:highlight w:val="none"/>
        </w:rPr>
        <w:t>账户名称：</w:t>
      </w:r>
      <w:r>
        <w:rPr>
          <w:rFonts w:hint="eastAsia"/>
          <w:color w:val="auto"/>
          <w:highlight w:val="none"/>
          <w:lang w:eastAsia="zh-CN"/>
        </w:rPr>
        <w:t>广西汇益招标咨询有限公司</w:t>
      </w:r>
    </w:p>
    <w:p>
      <w:pPr>
        <w:spacing w:line="320" w:lineRule="exact"/>
        <w:ind w:firstLine="420" w:firstLineChars="200"/>
        <w:rPr>
          <w:rFonts w:hint="eastAsia" w:eastAsia="宋体"/>
          <w:color w:val="auto"/>
          <w:highlight w:val="none"/>
          <w:lang w:eastAsia="zh-CN"/>
        </w:rPr>
      </w:pPr>
      <w:r>
        <w:rPr>
          <w:color w:val="auto"/>
          <w:highlight w:val="none"/>
        </w:rPr>
        <w:t>银行开户行：</w:t>
      </w:r>
      <w:r>
        <w:rPr>
          <w:rFonts w:hint="eastAsia"/>
          <w:color w:val="auto"/>
          <w:highlight w:val="none"/>
          <w:lang w:eastAsia="zh-CN"/>
        </w:rPr>
        <w:t>桂林银行叠彩支行</w:t>
      </w:r>
    </w:p>
    <w:p>
      <w:pPr>
        <w:spacing w:line="320" w:lineRule="exact"/>
        <w:ind w:firstLine="420" w:firstLineChars="200"/>
        <w:rPr>
          <w:rFonts w:hint="eastAsia" w:eastAsia="宋体"/>
          <w:color w:val="auto"/>
          <w:szCs w:val="21"/>
          <w:highlight w:val="none"/>
          <w:lang w:eastAsia="zh-CN"/>
        </w:rPr>
      </w:pPr>
      <w:r>
        <w:rPr>
          <w:color w:val="auto"/>
          <w:highlight w:val="none"/>
        </w:rPr>
        <w:t>银行账号：</w:t>
      </w:r>
      <w:r>
        <w:rPr>
          <w:rFonts w:hint="eastAsia"/>
          <w:color w:val="auto"/>
          <w:highlight w:val="none"/>
          <w:lang w:eastAsia="zh-CN"/>
        </w:rPr>
        <w:t>6600 1001 0008 1000 20</w:t>
      </w:r>
    </w:p>
    <w:p>
      <w:pPr>
        <w:spacing w:line="380" w:lineRule="exact"/>
        <w:ind w:firstLine="420" w:firstLineChars="200"/>
        <w:rPr>
          <w:color w:val="auto"/>
          <w:highlight w:val="none"/>
        </w:rPr>
      </w:pPr>
      <w:r>
        <w:rPr>
          <w:b/>
          <w:color w:val="auto"/>
          <w:highlight w:val="none"/>
        </w:rPr>
        <w:t>31、解释权：</w:t>
      </w:r>
    </w:p>
    <w:p>
      <w:pPr>
        <w:spacing w:line="380" w:lineRule="exact"/>
        <w:ind w:firstLine="420" w:firstLineChars="200"/>
        <w:rPr>
          <w:color w:val="auto"/>
          <w:highlight w:val="none"/>
        </w:rPr>
      </w:pPr>
      <w:r>
        <w:rPr>
          <w:color w:val="auto"/>
          <w:highlight w:val="none"/>
        </w:rPr>
        <w:t>本竞争性磋商文件是</w:t>
      </w:r>
      <w:r>
        <w:rPr>
          <w:color w:val="auto"/>
          <w:szCs w:val="21"/>
          <w:highlight w:val="none"/>
        </w:rPr>
        <w:t>根据《中华人民共和国政府采购法》、《政府采购非招标采购方式管理办法》、《政府采购竞争性磋商采购方式管理暂行办法》</w:t>
      </w:r>
      <w:r>
        <w:rPr>
          <w:color w:val="auto"/>
          <w:highlight w:val="none"/>
        </w:rPr>
        <w:t>和政府采购管理有关规定编制，本竞争性磋商文件的解释权属于采购代理机构。</w:t>
      </w:r>
    </w:p>
    <w:p>
      <w:pPr>
        <w:spacing w:line="380" w:lineRule="exact"/>
        <w:ind w:firstLine="420" w:firstLineChars="200"/>
        <w:rPr>
          <w:color w:val="auto"/>
          <w:highlight w:val="none"/>
        </w:rPr>
      </w:pPr>
      <w:r>
        <w:rPr>
          <w:b/>
          <w:color w:val="auto"/>
          <w:highlight w:val="none"/>
        </w:rPr>
        <w:t xml:space="preserve"> 32、监督管理机构：</w:t>
      </w:r>
      <w:r>
        <w:rPr>
          <w:rFonts w:hint="eastAsia"/>
          <w:color w:val="auto"/>
          <w:szCs w:val="21"/>
          <w:highlight w:val="none"/>
          <w:lang w:eastAsia="zh-CN"/>
        </w:rPr>
        <w:t>桂林市政府采购管理办公室</w:t>
      </w:r>
      <w:r>
        <w:rPr>
          <w:color w:val="auto"/>
          <w:szCs w:val="21"/>
          <w:highlight w:val="none"/>
        </w:rPr>
        <w:t>；联系电话：</w:t>
      </w:r>
      <w:r>
        <w:rPr>
          <w:rFonts w:hint="eastAsia"/>
          <w:color w:val="auto"/>
          <w:szCs w:val="21"/>
          <w:highlight w:val="none"/>
          <w:lang w:eastAsia="zh-CN"/>
        </w:rPr>
        <w:t>0773-2838596</w:t>
      </w:r>
      <w:r>
        <w:rPr>
          <w:color w:val="auto"/>
          <w:highlight w:val="none"/>
        </w:rPr>
        <w:t>。</w:t>
      </w:r>
    </w:p>
    <w:p>
      <w:pPr>
        <w:spacing w:line="380" w:lineRule="exact"/>
        <w:rPr>
          <w:color w:val="auto"/>
          <w:highlight w:val="none"/>
        </w:rPr>
      </w:pPr>
    </w:p>
    <w:p>
      <w:pPr>
        <w:rPr>
          <w:color w:val="auto"/>
          <w:highlight w:val="none"/>
        </w:rPr>
      </w:pPr>
      <w:r>
        <w:rPr>
          <w:color w:val="auto"/>
          <w:highlight w:val="none"/>
        </w:rPr>
        <w:br w:type="page"/>
      </w:r>
    </w:p>
    <w:p>
      <w:pPr>
        <w:pStyle w:val="4"/>
        <w:numPr>
          <w:ilvl w:val="0"/>
          <w:numId w:val="1"/>
        </w:numPr>
        <w:spacing w:line="0" w:lineRule="atLeast"/>
        <w:jc w:val="center"/>
        <w:rPr>
          <w:rFonts w:ascii="Times New Roman" w:hAnsi="Times New Roman" w:eastAsia="宋体"/>
          <w:color w:val="auto"/>
          <w:highlight w:val="none"/>
        </w:rPr>
      </w:pPr>
      <w:bookmarkStart w:id="48" w:name="_Toc686"/>
      <w:bookmarkStart w:id="49" w:name="_Toc28855"/>
      <w:r>
        <w:rPr>
          <w:rFonts w:ascii="Times New Roman" w:hAnsi="Times New Roman" w:eastAsia="宋体"/>
          <w:color w:val="auto"/>
          <w:highlight w:val="none"/>
        </w:rPr>
        <w:t>服务需求</w:t>
      </w:r>
      <w:bookmarkEnd w:id="48"/>
      <w:bookmarkEnd w:id="49"/>
      <w:bookmarkStart w:id="50" w:name="_Toc191888425"/>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7" w:hRule="atLeast"/>
        </w:trPr>
        <w:tc>
          <w:tcPr>
            <w:tcW w:w="10188" w:type="dxa"/>
          </w:tcPr>
          <w:p>
            <w:pPr>
              <w:spacing w:line="400" w:lineRule="exact"/>
              <w:rPr>
                <w:rFonts w:hint="eastAsia"/>
                <w:color w:val="auto"/>
              </w:rPr>
            </w:pPr>
            <w:bookmarkStart w:id="51" w:name="_Toc7466"/>
            <w:bookmarkStart w:id="52" w:name="_Toc31914"/>
            <w:r>
              <w:rPr>
                <w:rFonts w:hint="eastAsia"/>
                <w:color w:val="auto"/>
              </w:rPr>
              <w:t>一、委托代理的政府招标项目概况</w:t>
            </w:r>
          </w:p>
          <w:p>
            <w:pPr>
              <w:spacing w:line="400" w:lineRule="exact"/>
              <w:ind w:firstLine="420" w:firstLineChars="200"/>
              <w:rPr>
                <w:rFonts w:hint="eastAsia"/>
                <w:color w:val="auto"/>
                <w:lang w:eastAsia="zh-CN"/>
              </w:rPr>
            </w:pPr>
            <w:r>
              <w:rPr>
                <w:rFonts w:hint="eastAsia"/>
                <w:color w:val="auto"/>
              </w:rPr>
              <w:t>项目名称：</w:t>
            </w:r>
            <w:r>
              <w:rPr>
                <w:rFonts w:hint="eastAsia"/>
                <w:color w:val="auto"/>
                <w:lang w:eastAsia="zh-CN"/>
              </w:rPr>
              <w:t>桂林市水利局桂林市水安全保障“十四五”规划项目</w:t>
            </w:r>
          </w:p>
          <w:p>
            <w:pPr>
              <w:spacing w:line="400" w:lineRule="exact"/>
              <w:ind w:firstLine="420" w:firstLineChars="200"/>
              <w:rPr>
                <w:rFonts w:hint="eastAsia"/>
                <w:color w:val="auto"/>
              </w:rPr>
            </w:pPr>
            <w:r>
              <w:rPr>
                <w:rFonts w:hint="eastAsia"/>
                <w:color w:val="auto"/>
              </w:rPr>
              <w:t>项目地点：桂林市</w:t>
            </w:r>
          </w:p>
          <w:p>
            <w:pPr>
              <w:spacing w:line="400" w:lineRule="exact"/>
              <w:ind w:firstLine="420" w:firstLineChars="200"/>
              <w:rPr>
                <w:rFonts w:hint="eastAsia"/>
                <w:color w:val="auto"/>
              </w:rPr>
            </w:pPr>
            <w:r>
              <w:rPr>
                <w:rFonts w:hint="eastAsia"/>
                <w:color w:val="auto"/>
              </w:rPr>
              <w:t>竞标内容：按水利水电工程技术规程、规范完成</w:t>
            </w:r>
            <w:r>
              <w:rPr>
                <w:rFonts w:hint="eastAsia" w:ascii="宋体" w:hAnsi="宋体" w:cs="宋体"/>
                <w:color w:val="auto"/>
                <w:lang w:eastAsia="zh-CN"/>
              </w:rPr>
              <w:t>桂林市农村饮水安全巩固提升工程“十</w:t>
            </w:r>
            <w:r>
              <w:rPr>
                <w:rFonts w:hint="eastAsia" w:ascii="宋体" w:hAnsi="宋体" w:cs="宋体"/>
                <w:color w:val="auto"/>
                <w:lang w:val="en-US" w:eastAsia="zh-CN"/>
              </w:rPr>
              <w:t>四</w:t>
            </w:r>
            <w:r>
              <w:rPr>
                <w:rFonts w:hint="eastAsia" w:ascii="宋体" w:hAnsi="宋体" w:cs="宋体"/>
                <w:color w:val="auto"/>
                <w:lang w:eastAsia="zh-CN"/>
              </w:rPr>
              <w:t>五”规划</w:t>
            </w:r>
            <w:r>
              <w:rPr>
                <w:rFonts w:hint="eastAsia"/>
                <w:color w:val="auto"/>
              </w:rPr>
              <w:t>编制工作；</w:t>
            </w:r>
            <w:r>
              <w:rPr>
                <w:color w:val="auto"/>
              </w:rPr>
              <w:t>以及</w:t>
            </w:r>
            <w:r>
              <w:rPr>
                <w:rFonts w:hint="eastAsia"/>
                <w:color w:val="auto"/>
              </w:rPr>
              <w:t>规划</w:t>
            </w:r>
            <w:r>
              <w:rPr>
                <w:color w:val="auto"/>
              </w:rPr>
              <w:t>文件审查期间的服务工作，并提交相应的</w:t>
            </w:r>
            <w:r>
              <w:rPr>
                <w:rFonts w:hint="eastAsia"/>
                <w:color w:val="auto"/>
              </w:rPr>
              <w:t>规划</w:t>
            </w:r>
            <w:r>
              <w:rPr>
                <w:color w:val="auto"/>
              </w:rPr>
              <w:t>设计文件及有关技术资料。</w:t>
            </w:r>
          </w:p>
          <w:p>
            <w:pPr>
              <w:spacing w:line="400" w:lineRule="exact"/>
              <w:rPr>
                <w:rFonts w:hint="eastAsia"/>
                <w:color w:val="auto"/>
              </w:rPr>
            </w:pPr>
            <w:r>
              <w:rPr>
                <w:rFonts w:hint="eastAsia"/>
                <w:color w:val="auto"/>
              </w:rPr>
              <w:t>二、其他要求</w:t>
            </w:r>
          </w:p>
          <w:p>
            <w:pPr>
              <w:spacing w:line="400" w:lineRule="exact"/>
              <w:ind w:right="264" w:rightChars="126" w:firstLine="420" w:firstLineChars="200"/>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、付款方式：</w:t>
            </w:r>
            <w:r>
              <w:rPr>
                <w:rFonts w:hint="eastAsia" w:ascii="宋体" w:hAnsi="宋体"/>
                <w:color w:val="auto"/>
                <w:szCs w:val="21"/>
                <w:lang w:val="en-US" w:eastAsia="zh-CN"/>
              </w:rPr>
              <w:t xml:space="preserve"> </w:t>
            </w: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rPr>
              <w:t>提交成果报告（送审稿）后十五日内甲方支付合同费用的70% 给乙方；</w:t>
            </w:r>
          </w:p>
          <w:p>
            <w:pPr>
              <w:spacing w:line="400" w:lineRule="exact"/>
              <w:ind w:right="264" w:rightChars="126" w:firstLine="1890" w:firstLineChars="900"/>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rPr>
              <w:t>成果报告通过上级主管部门评审合格后十五日内一次性结清尾款。</w:t>
            </w:r>
          </w:p>
          <w:p>
            <w:pPr>
              <w:pStyle w:val="23"/>
              <w:spacing w:line="330" w:lineRule="exact"/>
              <w:ind w:firstLine="420" w:firstLineChars="200"/>
              <w:rPr>
                <w:rFonts w:hint="eastAsia" w:ascii="Times New Roman" w:hAnsi="Times New Roman"/>
                <w:color w:val="auto"/>
                <w:szCs w:val="24"/>
              </w:rPr>
            </w:pPr>
            <w:r>
              <w:rPr>
                <w:rFonts w:hint="eastAsia"/>
                <w:color w:val="auto"/>
                <w:lang w:val="en-US" w:eastAsia="zh-CN"/>
              </w:rPr>
              <w:t>2</w:t>
            </w:r>
            <w:r>
              <w:rPr>
                <w:rFonts w:hint="eastAsia"/>
                <w:color w:val="auto"/>
              </w:rPr>
              <w:t>、</w:t>
            </w:r>
            <w:r>
              <w:rPr>
                <w:rFonts w:hint="eastAsia" w:hAnsi="宋体"/>
                <w:color w:val="auto"/>
                <w:szCs w:val="21"/>
              </w:rPr>
              <w:t>本项目服务</w:t>
            </w:r>
            <w:r>
              <w:rPr>
                <w:rFonts w:hint="eastAsia" w:hAnsi="宋体"/>
                <w:color w:val="auto"/>
                <w:position w:val="-2"/>
                <w:szCs w:val="21"/>
              </w:rPr>
              <w:t>采购预算：</w:t>
            </w:r>
            <w:r>
              <w:rPr>
                <w:rFonts w:hint="eastAsia" w:ascii="Times New Roman" w:hAnsi="Times New Roman"/>
                <w:color w:val="auto"/>
                <w:szCs w:val="24"/>
              </w:rPr>
              <w:t>本项目规划报告编制费用上限为</w:t>
            </w:r>
            <w:r>
              <w:rPr>
                <w:rFonts w:hint="eastAsia" w:ascii="Times New Roman" w:hAnsi="Times New Roman"/>
                <w:color w:val="auto"/>
                <w:szCs w:val="24"/>
                <w:lang w:val="en-US" w:eastAsia="zh-CN"/>
              </w:rPr>
              <w:t>35</w:t>
            </w:r>
            <w:r>
              <w:rPr>
                <w:rFonts w:hint="eastAsia" w:ascii="Times New Roman" w:hAnsi="Times New Roman"/>
                <w:color w:val="auto"/>
                <w:szCs w:val="24"/>
              </w:rPr>
              <w:t>0000元；最后报价超出采购预算费率的将被视为无效竞标。</w:t>
            </w:r>
          </w:p>
          <w:p>
            <w:pPr>
              <w:spacing w:beforeLines="50" w:afterLines="50" w:line="520" w:lineRule="exact"/>
              <w:jc w:val="center"/>
              <w:rPr>
                <w:rStyle w:val="228"/>
                <w:color w:val="auto"/>
                <w:highlight w:val="none"/>
                <w:vertAlign w:val="baseline"/>
              </w:rPr>
            </w:pPr>
          </w:p>
        </w:tc>
      </w:tr>
    </w:tbl>
    <w:p>
      <w:pPr>
        <w:spacing w:beforeLines="50" w:afterLines="50" w:line="520" w:lineRule="exact"/>
        <w:jc w:val="center"/>
        <w:rPr>
          <w:rStyle w:val="228"/>
          <w:color w:val="auto"/>
          <w:highlight w:val="none"/>
        </w:rPr>
        <w:sectPr>
          <w:footerReference r:id="rId7" w:type="first"/>
          <w:headerReference r:id="rId5" w:type="default"/>
          <w:footerReference r:id="rId6" w:type="default"/>
          <w:pgSz w:w="11906" w:h="16838"/>
          <w:pgMar w:top="1440" w:right="935" w:bottom="1440" w:left="999" w:header="851" w:footer="992" w:gutter="0"/>
          <w:cols w:space="720" w:num="1"/>
          <w:titlePg/>
          <w:docGrid w:type="linesAndChars" w:linePitch="312" w:charSpace="0"/>
        </w:sectPr>
      </w:pPr>
    </w:p>
    <w:p>
      <w:pPr>
        <w:spacing w:beforeLines="50" w:afterLines="50" w:line="520" w:lineRule="exact"/>
        <w:jc w:val="center"/>
        <w:rPr>
          <w:rStyle w:val="228"/>
          <w:color w:val="auto"/>
          <w:highlight w:val="none"/>
        </w:rPr>
      </w:pPr>
      <w:r>
        <w:rPr>
          <w:rStyle w:val="228"/>
          <w:color w:val="auto"/>
          <w:highlight w:val="none"/>
        </w:rPr>
        <w:t>第四章、评审办法</w:t>
      </w:r>
      <w:bookmarkEnd w:id="51"/>
      <w:bookmarkEnd w:id="52"/>
    </w:p>
    <w:p>
      <w:pPr>
        <w:pStyle w:val="23"/>
        <w:spacing w:line="500" w:lineRule="exact"/>
        <w:ind w:firstLine="411" w:firstLineChars="196"/>
        <w:rPr>
          <w:rFonts w:ascii="Times New Roman" w:hAnsi="Times New Roman"/>
          <w:b/>
          <w:bCs/>
          <w:color w:val="auto"/>
          <w:highlight w:val="none"/>
        </w:rPr>
      </w:pPr>
      <w:r>
        <w:rPr>
          <w:rFonts w:ascii="Times New Roman" w:hAnsi="Times New Roman"/>
          <w:b/>
          <w:bCs/>
          <w:color w:val="auto"/>
          <w:highlight w:val="none"/>
        </w:rPr>
        <w:t>一、评审原则</w:t>
      </w:r>
    </w:p>
    <w:p>
      <w:pPr>
        <w:pStyle w:val="23"/>
        <w:spacing w:line="500" w:lineRule="exact"/>
        <w:ind w:firstLine="420" w:firstLineChars="200"/>
        <w:rPr>
          <w:rFonts w:ascii="Times New Roman" w:hAnsi="Times New Roman"/>
          <w:color w:val="auto"/>
          <w:highlight w:val="none"/>
        </w:rPr>
      </w:pPr>
      <w:r>
        <w:rPr>
          <w:rFonts w:ascii="Times New Roman" w:hAnsi="Times New Roman"/>
          <w:color w:val="auto"/>
          <w:highlight w:val="none"/>
        </w:rPr>
        <w:t>1、评审依据：磋商小组以竞争性磋商文件和响应文件为评审依据，对磋商供应商的最后磋商报价</w:t>
      </w:r>
      <w:r>
        <w:rPr>
          <w:rFonts w:hint="eastAsia" w:ascii="Times New Roman" w:hAnsi="Times New Roman"/>
          <w:color w:val="auto"/>
          <w:highlight w:val="none"/>
        </w:rPr>
        <w:t>、</w:t>
      </w:r>
      <w:r>
        <w:rPr>
          <w:rFonts w:ascii="Times New Roman" w:hAnsi="Times New Roman"/>
          <w:color w:val="auto"/>
          <w:highlight w:val="none"/>
        </w:rPr>
        <w:t>服务技术方案分、服务承诺分、拟投入本项目人员配置</w:t>
      </w:r>
      <w:r>
        <w:rPr>
          <w:rFonts w:hint="eastAsia" w:ascii="Times New Roman" w:hAnsi="Times New Roman"/>
          <w:color w:val="auto"/>
          <w:highlight w:val="none"/>
        </w:rPr>
        <w:t>、</w:t>
      </w:r>
      <w:r>
        <w:rPr>
          <w:rFonts w:ascii="Times New Roman" w:hAnsi="Times New Roman"/>
          <w:color w:val="auto"/>
          <w:highlight w:val="none"/>
        </w:rPr>
        <w:t>信誉业绩分等方面内容按百分制打分。</w:t>
      </w:r>
    </w:p>
    <w:p>
      <w:pPr>
        <w:pStyle w:val="23"/>
        <w:spacing w:line="500" w:lineRule="exact"/>
        <w:ind w:firstLine="420" w:firstLineChars="200"/>
        <w:rPr>
          <w:rFonts w:ascii="Times New Roman" w:hAnsi="Times New Roman"/>
          <w:color w:val="auto"/>
          <w:highlight w:val="none"/>
        </w:rPr>
      </w:pPr>
      <w:r>
        <w:rPr>
          <w:rFonts w:ascii="Times New Roman" w:hAnsi="Times New Roman"/>
          <w:color w:val="auto"/>
          <w:highlight w:val="none"/>
        </w:rPr>
        <w:t>2、评审方式：以封闭方式进行评审。</w:t>
      </w:r>
    </w:p>
    <w:p>
      <w:pPr>
        <w:pStyle w:val="23"/>
        <w:spacing w:line="500" w:lineRule="exact"/>
        <w:ind w:firstLine="420" w:firstLineChars="200"/>
        <w:rPr>
          <w:rFonts w:ascii="Times New Roman" w:hAnsi="Times New Roman"/>
          <w:color w:val="auto"/>
          <w:highlight w:val="none"/>
        </w:rPr>
      </w:pPr>
      <w:r>
        <w:rPr>
          <w:rFonts w:ascii="Times New Roman" w:hAnsi="Times New Roman"/>
          <w:color w:val="auto"/>
          <w:szCs w:val="21"/>
          <w:highlight w:val="none"/>
        </w:rPr>
        <w:t>3、</w:t>
      </w:r>
      <w:r>
        <w:rPr>
          <w:rFonts w:ascii="Times New Roman" w:hAnsi="Times New Roman"/>
          <w:color w:val="auto"/>
          <w:highlight w:val="none"/>
        </w:rPr>
        <w:t>根据财库〔2012〕69号文规定，采购人和采购代理机构、磋商小组成员要严格遵守政府采购相关法律制度，依法履行各自职责，公正、客观、审慎地组织和参与评审工作。</w:t>
      </w:r>
    </w:p>
    <w:p>
      <w:pPr>
        <w:pStyle w:val="23"/>
        <w:spacing w:line="500" w:lineRule="exact"/>
        <w:ind w:firstLine="420" w:firstLineChars="200"/>
        <w:rPr>
          <w:rFonts w:ascii="Times New Roman" w:hAnsi="Times New Roman"/>
          <w:b/>
          <w:bCs/>
          <w:color w:val="auto"/>
          <w:highlight w:val="none"/>
        </w:rPr>
      </w:pPr>
      <w:r>
        <w:rPr>
          <w:rFonts w:ascii="Times New Roman" w:hAnsi="Times New Roman"/>
          <w:b/>
          <w:bCs/>
          <w:color w:val="auto"/>
          <w:highlight w:val="none"/>
        </w:rPr>
        <w:t>二、评审办法</w:t>
      </w:r>
    </w:p>
    <w:p>
      <w:pPr>
        <w:pStyle w:val="23"/>
        <w:spacing w:line="500" w:lineRule="exact"/>
        <w:ind w:firstLine="420" w:firstLineChars="200"/>
        <w:rPr>
          <w:rFonts w:ascii="Times New Roman" w:hAnsi="Times New Roman"/>
          <w:bCs/>
          <w:color w:val="auto"/>
          <w:highlight w:val="none"/>
        </w:rPr>
      </w:pPr>
      <w:r>
        <w:rPr>
          <w:rFonts w:ascii="Times New Roman" w:hAnsi="Times New Roman"/>
          <w:bCs/>
          <w:color w:val="auto"/>
          <w:highlight w:val="none"/>
        </w:rPr>
        <w:t>㈠ 对进入详评的，采用综合评分法。</w:t>
      </w:r>
    </w:p>
    <w:p>
      <w:pPr>
        <w:pStyle w:val="23"/>
        <w:spacing w:line="500" w:lineRule="exact"/>
        <w:ind w:firstLine="420" w:firstLineChars="200"/>
        <w:rPr>
          <w:rFonts w:ascii="Times New Roman" w:hAnsi="Times New Roman"/>
          <w:bCs/>
          <w:color w:val="auto"/>
          <w:highlight w:val="none"/>
        </w:rPr>
      </w:pPr>
      <w:r>
        <w:rPr>
          <w:rFonts w:ascii="Times New Roman" w:hAnsi="Times New Roman"/>
          <w:bCs/>
          <w:color w:val="auto"/>
          <w:highlight w:val="none"/>
        </w:rPr>
        <w:t>㈡ 计分办法（按四舍五入取至小数点后二位）</w:t>
      </w:r>
    </w:p>
    <w:p>
      <w:pPr>
        <w:pStyle w:val="23"/>
        <w:spacing w:line="500" w:lineRule="exact"/>
        <w:ind w:firstLine="420"/>
        <w:rPr>
          <w:rFonts w:ascii="Times New Roman" w:hAnsi="Times New Roman"/>
          <w:b/>
          <w:bCs/>
          <w:color w:val="auto"/>
          <w:highlight w:val="none"/>
        </w:rPr>
      </w:pPr>
      <w:r>
        <w:rPr>
          <w:rFonts w:ascii="Times New Roman" w:hAnsi="Times New Roman"/>
          <w:b/>
          <w:color w:val="auto"/>
          <w:highlight w:val="none"/>
        </w:rPr>
        <w:t>1</w:t>
      </w:r>
      <w:r>
        <w:rPr>
          <w:rFonts w:hint="eastAsia" w:ascii="Times New Roman" w:hAnsi="Times New Roman"/>
          <w:b/>
          <w:color w:val="auto"/>
          <w:highlight w:val="none"/>
        </w:rPr>
        <w:t>、</w:t>
      </w:r>
      <w:r>
        <w:rPr>
          <w:rFonts w:ascii="Times New Roman" w:hAnsi="Times New Roman"/>
          <w:b/>
          <w:bCs/>
          <w:color w:val="auto"/>
          <w:highlight w:val="none"/>
        </w:rPr>
        <w:t>价格分……………………………………………………………………………………………………30分</w:t>
      </w:r>
    </w:p>
    <w:p>
      <w:pPr>
        <w:pStyle w:val="23"/>
        <w:spacing w:line="400" w:lineRule="exact"/>
        <w:ind w:firstLine="420"/>
        <w:rPr>
          <w:rFonts w:ascii="Times New Roman" w:hAnsi="Times New Roman"/>
          <w:color w:val="auto"/>
          <w:szCs w:val="21"/>
          <w:highlight w:val="none"/>
        </w:rPr>
      </w:pPr>
      <w:r>
        <w:rPr>
          <w:rFonts w:ascii="Times New Roman" w:hAnsi="Times New Roman"/>
          <w:color w:val="auto"/>
          <w:szCs w:val="21"/>
          <w:highlight w:val="none"/>
        </w:rPr>
        <w:t>（1）供应商磋商的最终报价必须低于或等于采购预算价（经磋商小组根据上述要求评审为低于供应商成本价的报价除外），否则报价无效，无效报价不予计分。</w:t>
      </w:r>
    </w:p>
    <w:p>
      <w:pPr>
        <w:pStyle w:val="23"/>
        <w:spacing w:line="400" w:lineRule="exact"/>
        <w:ind w:firstLine="420"/>
        <w:rPr>
          <w:rFonts w:ascii="Times New Roman" w:hAnsi="Times New Roman"/>
          <w:color w:val="auto"/>
          <w:szCs w:val="21"/>
          <w:highlight w:val="none"/>
        </w:rPr>
      </w:pPr>
      <w:r>
        <w:rPr>
          <w:rFonts w:ascii="Times New Roman" w:hAnsi="Times New Roman"/>
          <w:color w:val="auto"/>
          <w:szCs w:val="21"/>
          <w:highlight w:val="none"/>
        </w:rPr>
        <w:t>①评标价为满足磋商文件要求且最终报价最低的供应商报价（如属政策性扣除的须进行政策性扣除后的价格），评标价只是作为评标时使用。最终成交人的成交金额＝磋商后的最终报价。</w:t>
      </w:r>
    </w:p>
    <w:p>
      <w:pPr>
        <w:pStyle w:val="23"/>
        <w:spacing w:line="400" w:lineRule="exact"/>
        <w:ind w:firstLine="420"/>
        <w:rPr>
          <w:rFonts w:ascii="Times New Roman" w:hAnsi="Times New Roman"/>
          <w:color w:val="auto"/>
          <w:szCs w:val="21"/>
          <w:highlight w:val="none"/>
        </w:rPr>
      </w:pPr>
      <w:r>
        <w:rPr>
          <w:rFonts w:ascii="Times New Roman" w:hAnsi="Times New Roman"/>
          <w:color w:val="auto"/>
          <w:szCs w:val="21"/>
          <w:highlight w:val="none"/>
        </w:rPr>
        <w:t>②政策性扣除计算方法：</w:t>
      </w:r>
    </w:p>
    <w:p>
      <w:pPr>
        <w:pStyle w:val="23"/>
        <w:spacing w:line="400" w:lineRule="exact"/>
        <w:ind w:firstLine="420"/>
        <w:rPr>
          <w:rFonts w:ascii="Times New Roman" w:hAnsi="Times New Roman"/>
          <w:color w:val="auto"/>
          <w:szCs w:val="21"/>
          <w:highlight w:val="none"/>
        </w:rPr>
      </w:pPr>
      <w:r>
        <w:rPr>
          <w:rFonts w:ascii="Times New Roman" w:hAnsi="Times New Roman"/>
          <w:color w:val="auto"/>
          <w:szCs w:val="21"/>
          <w:highlight w:val="none"/>
        </w:rPr>
        <w:t>供应商符合小型、微型企业或监狱企业条件的，其最终报价将按相应比例进行扣除，用扣除后的价格参与评审（计算价格分）。</w:t>
      </w:r>
    </w:p>
    <w:p>
      <w:pPr>
        <w:pStyle w:val="23"/>
        <w:spacing w:line="400" w:lineRule="exact"/>
        <w:ind w:firstLine="420"/>
        <w:rPr>
          <w:rFonts w:ascii="Times New Roman" w:hAnsi="Times New Roman"/>
          <w:color w:val="auto"/>
          <w:szCs w:val="21"/>
          <w:highlight w:val="none"/>
        </w:rPr>
      </w:pPr>
      <w:r>
        <w:rPr>
          <w:rFonts w:ascii="Times New Roman" w:hAnsi="Times New Roman"/>
          <w:color w:val="auto"/>
          <w:szCs w:val="21"/>
          <w:highlight w:val="none"/>
        </w:rPr>
        <w:t>③按照《财政部、司法部关于政府采购支持监狱企业发展有关问题的通知》（财库〔2014〕68号）之规定，监狱企业视同小型、微型企业。</w:t>
      </w:r>
    </w:p>
    <w:p>
      <w:pPr>
        <w:pStyle w:val="23"/>
        <w:spacing w:line="400" w:lineRule="exact"/>
        <w:ind w:firstLine="420"/>
        <w:rPr>
          <w:rFonts w:ascii="Times New Roman" w:hAnsi="Times New Roman"/>
          <w:color w:val="auto"/>
          <w:szCs w:val="21"/>
          <w:highlight w:val="none"/>
        </w:rPr>
      </w:pPr>
      <w:r>
        <w:rPr>
          <w:rFonts w:ascii="Times New Roman" w:hAnsi="Times New Roman"/>
          <w:color w:val="auto"/>
          <w:szCs w:val="21"/>
          <w:highlight w:val="none"/>
        </w:rPr>
        <w:t>④按照《政府采购促进中小企业发展暂行办法》（财库[2011]181号）之规定，投标产品被认定为小型和微型企业产品（以具有认定职能的部门出具的证明材料为准）的，对小型和微型企业产品的价格给予6%的扣除，扣除后的价格为评标报价，即评标报价=投标价×（1-6%）；大中型企业和其他自然人、法人或者其他组织与小型、微型企业组成联合体投标，联合协议中约定，小型、微型企业的协议合同金额占到联合体协议合同总金额30%以上的，可给予联合体2%-3%的价格扣除。 附《中小企业声明函》。</w:t>
      </w:r>
    </w:p>
    <w:p>
      <w:pPr>
        <w:pStyle w:val="23"/>
        <w:spacing w:line="400" w:lineRule="exact"/>
        <w:ind w:firstLine="420"/>
        <w:rPr>
          <w:rFonts w:ascii="Times New Roman" w:hAnsi="Times New Roman"/>
          <w:bCs/>
          <w:color w:val="auto"/>
          <w:highlight w:val="none"/>
        </w:rPr>
      </w:pPr>
      <w:r>
        <w:rPr>
          <w:rFonts w:ascii="Times New Roman" w:hAnsi="Times New Roman"/>
          <w:color w:val="auto"/>
          <w:szCs w:val="21"/>
          <w:highlight w:val="none"/>
        </w:rPr>
        <w:t>⑤满足磋商文件要求，进入综合评分环节的评标价最低供应商的价格分得满分30分。其他供应商的价格分统一按照下列公式计算：</w:t>
      </w:r>
    </w:p>
    <w:p>
      <w:pPr>
        <w:pStyle w:val="23"/>
        <w:spacing w:line="360" w:lineRule="exact"/>
        <w:ind w:firstLine="3150" w:firstLineChars="1500"/>
        <w:rPr>
          <w:rFonts w:ascii="Times New Roman" w:hAnsi="Times New Roman"/>
          <w:bCs/>
          <w:color w:val="auto"/>
          <w:highlight w:val="none"/>
        </w:rPr>
      </w:pPr>
      <w:r>
        <w:rPr>
          <w:rFonts w:ascii="Times New Roman" w:hAnsi="Times New Roman"/>
          <w:bCs/>
          <w:color w:val="auto"/>
          <w:highlight w:val="none"/>
        </w:rPr>
        <w:t>最低</w:t>
      </w:r>
      <w:r>
        <w:rPr>
          <w:rFonts w:ascii="Times New Roman" w:hAnsi="Times New Roman"/>
          <w:color w:val="auto"/>
          <w:highlight w:val="none"/>
        </w:rPr>
        <w:t>磋商供应商评审报价</w:t>
      </w:r>
      <w:r>
        <w:rPr>
          <w:rFonts w:ascii="Times New Roman" w:hAnsi="Times New Roman"/>
          <w:bCs/>
          <w:color w:val="auto"/>
          <w:highlight w:val="none"/>
        </w:rPr>
        <w:t xml:space="preserve">         </w:t>
      </w:r>
    </w:p>
    <w:p>
      <w:pPr>
        <w:pStyle w:val="23"/>
        <w:spacing w:line="400" w:lineRule="exact"/>
        <w:ind w:firstLine="420"/>
        <w:rPr>
          <w:rFonts w:ascii="Times New Roman" w:hAnsi="Times New Roman"/>
          <w:bCs/>
          <w:color w:val="auto"/>
          <w:highlight w:val="none"/>
        </w:rPr>
      </w:pPr>
      <w:r>
        <w:rPr>
          <w:rFonts w:ascii="Times New Roman" w:hAnsi="Times New Roman"/>
          <w:bCs/>
          <w:color w:val="auto"/>
          <w:highlight w:val="none"/>
        </w:rPr>
        <mc:AlternateContent>
          <mc:Choice Requires="wps">
            <w:drawing>
              <wp:anchor distT="0" distB="0" distL="114300" distR="114300" simplePos="0" relativeHeight="251658240" behindDoc="0" locked="0" layoutInCell="1" allowOverlap="1">
                <wp:simplePos x="0" y="0"/>
                <wp:positionH relativeFrom="column">
                  <wp:posOffset>1828800</wp:posOffset>
                </wp:positionH>
                <wp:positionV relativeFrom="paragraph">
                  <wp:posOffset>196850</wp:posOffset>
                </wp:positionV>
                <wp:extent cx="2199640" cy="0"/>
                <wp:effectExtent l="0" t="0" r="0" b="0"/>
                <wp:wrapNone/>
                <wp:docPr id="6" name="Line 105"/>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ln>
                        <a:effectLst/>
                      </wps:spPr>
                      <wps:bodyPr/>
                    </wps:wsp>
                  </a:graphicData>
                </a:graphic>
              </wp:anchor>
            </w:drawing>
          </mc:Choice>
          <mc:Fallback>
            <w:pict>
              <v:line id="Line 105" o:spid="_x0000_s1026" o:spt="20" style="position:absolute;left:0pt;margin-left:144pt;margin-top:15.5pt;height:0pt;width:173.2pt;z-index:251658240;mso-width-relative:page;mso-height-relative:page;" filled="f" stroked="t" coordsize="21600,21600" o:gfxdata="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BEoVNcAAAAJAQAADwAAAAAAAAABACAAAAAiAAAAZHJzL2Rvd25yZXYueG1sUEsBAhQAFAAAAAgA&#10;h07iQDT/Owe0AQAAYQMAAA4AAAAAAAAAAQAgAAAAJgEAAGRycy9lMm9Eb2MueG1sUEsFBgAAAAAG&#10;AAYAWQEAAEwFAAAAAA==&#10;">
                <v:fill on="f" focussize="0,0"/>
                <v:stroke color="#000000" joinstyle="round"/>
                <v:imagedata o:title=""/>
                <o:lock v:ext="edit" aspectratio="f"/>
              </v:line>
            </w:pict>
          </mc:Fallback>
        </mc:AlternateContent>
      </w:r>
      <w:r>
        <w:rPr>
          <w:rFonts w:ascii="Times New Roman" w:hAnsi="Times New Roman"/>
          <w:color w:val="auto"/>
          <w:highlight w:val="none"/>
        </w:rPr>
        <w:t>磋商供应商</w:t>
      </w:r>
      <w:r>
        <w:rPr>
          <w:rFonts w:ascii="Times New Roman" w:hAnsi="Times New Roman"/>
          <w:bCs/>
          <w:color w:val="auto"/>
          <w:highlight w:val="none"/>
        </w:rPr>
        <w:t>价格分 =                                  　    ×30分</w:t>
      </w:r>
    </w:p>
    <w:p>
      <w:pPr>
        <w:pStyle w:val="23"/>
        <w:spacing w:line="400" w:lineRule="exact"/>
        <w:ind w:firstLine="420" w:firstLineChars="200"/>
        <w:rPr>
          <w:rFonts w:ascii="Times New Roman" w:hAnsi="Times New Roman"/>
          <w:bCs/>
          <w:color w:val="auto"/>
          <w:highlight w:val="none"/>
        </w:rPr>
      </w:pPr>
      <w:r>
        <w:rPr>
          <w:rFonts w:ascii="Times New Roman" w:hAnsi="Times New Roman"/>
          <w:bCs/>
          <w:color w:val="auto"/>
          <w:highlight w:val="none"/>
        </w:rPr>
        <w:t xml:space="preserve">                           </w:t>
      </w:r>
      <w:r>
        <w:rPr>
          <w:rFonts w:ascii="Times New Roman" w:hAnsi="Times New Roman"/>
          <w:color w:val="auto"/>
          <w:highlight w:val="none"/>
        </w:rPr>
        <w:t>磋商供应商评审报价</w:t>
      </w:r>
      <w:r>
        <w:rPr>
          <w:rFonts w:ascii="Times New Roman" w:hAnsi="Times New Roman"/>
          <w:bCs/>
          <w:color w:val="auto"/>
          <w:highlight w:val="none"/>
        </w:rPr>
        <w:t xml:space="preserve">  </w:t>
      </w:r>
    </w:p>
    <w:p>
      <w:pPr>
        <w:pStyle w:val="23"/>
        <w:spacing w:line="460" w:lineRule="exact"/>
        <w:ind w:firstLine="420" w:firstLineChars="200"/>
        <w:rPr>
          <w:rFonts w:ascii="Times New Roman" w:hAnsi="Times New Roman"/>
          <w:color w:val="auto"/>
          <w:szCs w:val="21"/>
          <w:highlight w:val="none"/>
        </w:rPr>
      </w:pPr>
      <w:r>
        <w:rPr>
          <w:rFonts w:ascii="Times New Roman" w:hAnsi="Times New Roman"/>
          <w:b/>
          <w:bCs/>
          <w:color w:val="auto"/>
          <w:szCs w:val="21"/>
          <w:highlight w:val="none"/>
        </w:rPr>
        <w:t>2、服务技术方案分…………………………………………………………………………………………</w:t>
      </w:r>
      <w:r>
        <w:rPr>
          <w:rFonts w:hint="eastAsia" w:ascii="Times New Roman" w:hAnsi="Times New Roman"/>
          <w:b/>
          <w:bCs/>
          <w:color w:val="auto"/>
          <w:szCs w:val="21"/>
          <w:highlight w:val="none"/>
          <w:lang w:val="en-US" w:eastAsia="zh-CN"/>
        </w:rPr>
        <w:t>30</w:t>
      </w:r>
      <w:r>
        <w:rPr>
          <w:rFonts w:ascii="Times New Roman" w:hAnsi="Times New Roman"/>
          <w:b/>
          <w:bCs/>
          <w:color w:val="auto"/>
          <w:szCs w:val="21"/>
          <w:highlight w:val="none"/>
        </w:rPr>
        <w:t>分</w:t>
      </w:r>
    </w:p>
    <w:p>
      <w:pPr>
        <w:pStyle w:val="23"/>
        <w:spacing w:line="40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磋商小组根据响应文件中技术思路及技术设计书，对比各响应文件，集体讨论确定磋商人所属档次并形成书面材料（档次评定表），由磋商小组按确定后的各磋商人所属档次以及等级评定说明内容，在相应档次内独立打分。具体评审内容如下：</w:t>
      </w:r>
    </w:p>
    <w:p>
      <w:pPr>
        <w:pStyle w:val="23"/>
        <w:spacing w:line="400" w:lineRule="exact"/>
        <w:ind w:firstLine="420" w:firstLineChars="200"/>
        <w:rPr>
          <w:rFonts w:hint="eastAsia" w:ascii="Times New Roman" w:hAnsi="Times New Roman"/>
          <w:color w:val="auto"/>
          <w:szCs w:val="21"/>
          <w:highlight w:val="none"/>
          <w:lang w:eastAsia="zh-CN"/>
        </w:rPr>
      </w:pPr>
      <w:r>
        <w:rPr>
          <w:rFonts w:ascii="Times New Roman" w:hAnsi="Times New Roman"/>
          <w:color w:val="auto"/>
          <w:szCs w:val="21"/>
          <w:highlight w:val="none"/>
        </w:rPr>
        <w:t>一档（</w:t>
      </w:r>
      <w:r>
        <w:rPr>
          <w:rFonts w:hint="eastAsia" w:ascii="Times New Roman" w:hAnsi="Times New Roman"/>
          <w:color w:val="auto"/>
          <w:szCs w:val="21"/>
          <w:highlight w:val="none"/>
          <w:lang w:val="en-US" w:eastAsia="zh-CN"/>
        </w:rPr>
        <w:t>0-10</w:t>
      </w:r>
      <w:r>
        <w:rPr>
          <w:rFonts w:ascii="Times New Roman" w:hAnsi="Times New Roman"/>
          <w:color w:val="auto"/>
          <w:szCs w:val="21"/>
          <w:highlight w:val="none"/>
        </w:rPr>
        <w:t>分）：提供实施方案，且方案合理且基本满足采购文件需求，提供了实施思路、技术路线，但内容简单，基本可行，有项目组织机构和保障措施，实施方案基本满足采购文件要求</w:t>
      </w:r>
      <w:r>
        <w:rPr>
          <w:rFonts w:hint="eastAsia" w:ascii="Times New Roman" w:hAnsi="Times New Roman"/>
          <w:color w:val="auto"/>
          <w:szCs w:val="21"/>
          <w:highlight w:val="none"/>
          <w:lang w:eastAsia="zh-CN"/>
        </w:rPr>
        <w:t>；</w:t>
      </w:r>
    </w:p>
    <w:p>
      <w:pPr>
        <w:pStyle w:val="23"/>
        <w:spacing w:line="400" w:lineRule="exact"/>
        <w:ind w:firstLine="420" w:firstLineChars="200"/>
        <w:rPr>
          <w:rFonts w:hint="eastAsia" w:ascii="Times New Roman" w:hAnsi="Times New Roman"/>
          <w:color w:val="auto"/>
          <w:szCs w:val="21"/>
          <w:highlight w:val="none"/>
          <w:lang w:eastAsia="zh-CN"/>
        </w:rPr>
      </w:pPr>
      <w:r>
        <w:rPr>
          <w:rFonts w:ascii="Times New Roman" w:hAnsi="Times New Roman"/>
          <w:color w:val="auto"/>
          <w:szCs w:val="21"/>
          <w:highlight w:val="none"/>
        </w:rPr>
        <w:t>二档（</w:t>
      </w:r>
      <w:r>
        <w:rPr>
          <w:rFonts w:hint="eastAsia" w:ascii="Times New Roman" w:hAnsi="Times New Roman"/>
          <w:color w:val="auto"/>
          <w:szCs w:val="21"/>
          <w:highlight w:val="none"/>
          <w:lang w:val="en-US" w:eastAsia="zh-CN"/>
        </w:rPr>
        <w:t>10.1-20</w:t>
      </w:r>
      <w:r>
        <w:rPr>
          <w:rFonts w:ascii="Times New Roman" w:hAnsi="Times New Roman"/>
          <w:color w:val="auto"/>
          <w:szCs w:val="21"/>
          <w:highlight w:val="none"/>
        </w:rPr>
        <w:t>分）：提供实施方案，对项目需求理解程度比较透彻，实施思路、技术路线内容详细，有针对项目的设备和专门的项目组织机构，有较完善的保障措施，有较好的统计分析方法，较能满足项目要求</w:t>
      </w:r>
      <w:r>
        <w:rPr>
          <w:rFonts w:hint="eastAsia" w:ascii="Times New Roman" w:hAnsi="Times New Roman"/>
          <w:color w:val="auto"/>
          <w:szCs w:val="21"/>
          <w:highlight w:val="none"/>
          <w:lang w:eastAsia="zh-CN"/>
        </w:rPr>
        <w:t>；</w:t>
      </w:r>
    </w:p>
    <w:p>
      <w:pPr>
        <w:pStyle w:val="23"/>
        <w:spacing w:line="400" w:lineRule="exact"/>
        <w:ind w:firstLine="420" w:firstLineChars="200"/>
        <w:rPr>
          <w:rFonts w:hint="eastAsia" w:ascii="Times New Roman" w:hAnsi="Times New Roman"/>
          <w:color w:val="auto"/>
          <w:szCs w:val="21"/>
          <w:highlight w:val="none"/>
          <w:lang w:eastAsia="zh-CN"/>
        </w:rPr>
      </w:pPr>
      <w:r>
        <w:rPr>
          <w:rFonts w:ascii="Times New Roman" w:hAnsi="Times New Roman"/>
          <w:color w:val="auto"/>
          <w:szCs w:val="21"/>
          <w:highlight w:val="none"/>
        </w:rPr>
        <w:t>三档（</w:t>
      </w:r>
      <w:r>
        <w:rPr>
          <w:rFonts w:hint="eastAsia" w:ascii="Times New Roman" w:hAnsi="Times New Roman"/>
          <w:color w:val="auto"/>
          <w:szCs w:val="21"/>
          <w:highlight w:val="none"/>
          <w:lang w:val="en-US" w:eastAsia="zh-CN"/>
        </w:rPr>
        <w:t>20.1-30</w:t>
      </w:r>
      <w:r>
        <w:rPr>
          <w:rFonts w:ascii="Times New Roman" w:hAnsi="Times New Roman"/>
          <w:color w:val="auto"/>
          <w:szCs w:val="21"/>
          <w:highlight w:val="none"/>
        </w:rPr>
        <w:t>分）：提供实施方案，对项目需求理解程度透彻，提供的实施方案架 构合理、先进、可行，内容详细，实施思路和技术路线条理清晰、内容丰富，投入项目设备先进齐全，项目组织机构齐全，保障措施完善，统计分析方法全面可行，完全满足或优于项目要求</w:t>
      </w:r>
      <w:r>
        <w:rPr>
          <w:rFonts w:hint="eastAsia" w:ascii="Times New Roman" w:hAnsi="Times New Roman"/>
          <w:color w:val="auto"/>
          <w:szCs w:val="21"/>
          <w:highlight w:val="none"/>
          <w:lang w:eastAsia="zh-CN"/>
        </w:rPr>
        <w:t>；</w:t>
      </w:r>
    </w:p>
    <w:p>
      <w:pPr>
        <w:pStyle w:val="23"/>
        <w:spacing w:line="400" w:lineRule="exact"/>
        <w:ind w:firstLine="420" w:firstLineChars="200"/>
        <w:rPr>
          <w:rFonts w:ascii="Times New Roman" w:hAnsi="Times New Roman"/>
          <w:b/>
          <w:bCs/>
          <w:color w:val="auto"/>
          <w:szCs w:val="21"/>
          <w:highlight w:val="none"/>
        </w:rPr>
      </w:pPr>
      <w:r>
        <w:rPr>
          <w:rFonts w:hint="eastAsia" w:ascii="Times New Roman" w:hAnsi="Times New Roman"/>
          <w:b/>
          <w:bCs/>
          <w:color w:val="auto"/>
          <w:szCs w:val="21"/>
          <w:highlight w:val="none"/>
        </w:rPr>
        <w:t>3</w:t>
      </w:r>
      <w:r>
        <w:rPr>
          <w:rFonts w:ascii="Times New Roman" w:hAnsi="Times New Roman"/>
          <w:b/>
          <w:bCs/>
          <w:color w:val="auto"/>
          <w:szCs w:val="21"/>
          <w:highlight w:val="none"/>
        </w:rPr>
        <w:t>、服务承诺分……………………………………………………………………………………………</w:t>
      </w:r>
      <w:r>
        <w:rPr>
          <w:rFonts w:hint="eastAsia" w:ascii="Times New Roman" w:hAnsi="Times New Roman"/>
          <w:b/>
          <w:bCs/>
          <w:color w:val="auto"/>
          <w:szCs w:val="21"/>
          <w:highlight w:val="none"/>
        </w:rPr>
        <w:t>9</w:t>
      </w:r>
      <w:r>
        <w:rPr>
          <w:rFonts w:ascii="Times New Roman" w:hAnsi="Times New Roman"/>
          <w:b/>
          <w:bCs/>
          <w:color w:val="auto"/>
          <w:szCs w:val="21"/>
          <w:highlight w:val="none"/>
        </w:rPr>
        <w:t>分</w:t>
      </w:r>
    </w:p>
    <w:p>
      <w:pPr>
        <w:pStyle w:val="23"/>
        <w:spacing w:line="420" w:lineRule="exact"/>
        <w:ind w:firstLine="420" w:firstLineChars="200"/>
        <w:outlineLvl w:val="0"/>
        <w:rPr>
          <w:rFonts w:ascii="Times New Roman" w:hAnsi="Times New Roman"/>
          <w:color w:val="auto"/>
          <w:szCs w:val="21"/>
          <w:highlight w:val="none"/>
          <w:shd w:val="clear" w:color="auto" w:fill="FFFFFF"/>
        </w:rPr>
      </w:pPr>
      <w:r>
        <w:rPr>
          <w:rFonts w:ascii="Times New Roman" w:hAnsi="Times New Roman"/>
          <w:color w:val="auto"/>
          <w:szCs w:val="21"/>
          <w:highlight w:val="none"/>
          <w:shd w:val="clear" w:color="auto" w:fill="FFFFFF"/>
        </w:rPr>
        <w:t>由评委根据各投标人承诺的服务内容进行对比，分三档次独立打分。</w:t>
      </w:r>
    </w:p>
    <w:p>
      <w:pPr>
        <w:pStyle w:val="23"/>
        <w:spacing w:line="420" w:lineRule="exact"/>
        <w:ind w:firstLine="420" w:firstLineChars="200"/>
        <w:outlineLvl w:val="0"/>
        <w:rPr>
          <w:rFonts w:ascii="Times New Roman" w:hAnsi="Times New Roman"/>
          <w:color w:val="auto"/>
          <w:szCs w:val="21"/>
          <w:highlight w:val="none"/>
          <w:shd w:val="clear" w:color="auto" w:fill="FFFFFF"/>
        </w:rPr>
      </w:pPr>
      <w:r>
        <w:rPr>
          <w:rFonts w:ascii="Times New Roman" w:hAnsi="Times New Roman"/>
          <w:color w:val="auto"/>
          <w:szCs w:val="21"/>
          <w:highlight w:val="none"/>
          <w:shd w:val="clear" w:color="auto" w:fill="FFFFFF"/>
        </w:rPr>
        <w:t>一档（</w:t>
      </w:r>
      <w:r>
        <w:rPr>
          <w:rFonts w:hint="eastAsia" w:ascii="Times New Roman" w:hAnsi="Times New Roman"/>
          <w:color w:val="auto"/>
          <w:szCs w:val="21"/>
          <w:highlight w:val="none"/>
          <w:shd w:val="clear" w:color="auto" w:fill="FFFFFF"/>
          <w:lang w:val="en-US" w:eastAsia="zh-CN"/>
        </w:rPr>
        <w:t>0-</w:t>
      </w:r>
      <w:r>
        <w:rPr>
          <w:rFonts w:ascii="Times New Roman" w:hAnsi="Times New Roman"/>
          <w:color w:val="auto"/>
          <w:szCs w:val="21"/>
          <w:highlight w:val="none"/>
          <w:shd w:val="clear" w:color="auto" w:fill="FFFFFF"/>
        </w:rPr>
        <w:t>3分)：服务承诺不具体，不能满足项目要求；</w:t>
      </w:r>
    </w:p>
    <w:p>
      <w:pPr>
        <w:pStyle w:val="23"/>
        <w:spacing w:line="420" w:lineRule="exact"/>
        <w:ind w:firstLine="420" w:firstLineChars="200"/>
        <w:outlineLvl w:val="0"/>
        <w:rPr>
          <w:rFonts w:ascii="Times New Roman" w:hAnsi="Times New Roman"/>
          <w:color w:val="auto"/>
          <w:szCs w:val="21"/>
          <w:highlight w:val="none"/>
          <w:shd w:val="clear" w:color="auto" w:fill="FFFFFF"/>
        </w:rPr>
      </w:pPr>
      <w:r>
        <w:rPr>
          <w:rFonts w:ascii="Times New Roman" w:hAnsi="Times New Roman"/>
          <w:color w:val="auto"/>
          <w:szCs w:val="21"/>
          <w:highlight w:val="none"/>
          <w:shd w:val="clear" w:color="auto" w:fill="FFFFFF"/>
        </w:rPr>
        <w:t>二档（</w:t>
      </w:r>
      <w:r>
        <w:rPr>
          <w:rFonts w:hint="eastAsia" w:ascii="Times New Roman" w:hAnsi="Times New Roman"/>
          <w:color w:val="auto"/>
          <w:szCs w:val="21"/>
          <w:highlight w:val="none"/>
          <w:shd w:val="clear" w:color="auto" w:fill="FFFFFF"/>
          <w:lang w:val="en-US" w:eastAsia="zh-CN"/>
        </w:rPr>
        <w:t>3.1-</w:t>
      </w:r>
      <w:r>
        <w:rPr>
          <w:rFonts w:ascii="Times New Roman" w:hAnsi="Times New Roman"/>
          <w:color w:val="auto"/>
          <w:szCs w:val="21"/>
          <w:highlight w:val="none"/>
          <w:shd w:val="clear" w:color="auto" w:fill="FFFFFF"/>
        </w:rPr>
        <w:t>6分）：服务承诺基本完整，服务承诺较全面，针对项目实际情况，服务宗旨明确，且后续服务内容全面，措施可行，基本满足项目要求；</w:t>
      </w:r>
    </w:p>
    <w:p>
      <w:pPr>
        <w:pStyle w:val="23"/>
        <w:spacing w:line="420" w:lineRule="exact"/>
        <w:ind w:firstLine="420" w:firstLineChars="200"/>
        <w:outlineLvl w:val="0"/>
        <w:rPr>
          <w:rFonts w:ascii="Times New Roman" w:hAnsi="Times New Roman"/>
          <w:color w:val="auto"/>
          <w:szCs w:val="21"/>
          <w:highlight w:val="none"/>
          <w:shd w:val="clear" w:color="auto" w:fill="FFFFFF"/>
        </w:rPr>
      </w:pPr>
      <w:r>
        <w:rPr>
          <w:rFonts w:ascii="Times New Roman" w:hAnsi="Times New Roman"/>
          <w:color w:val="auto"/>
          <w:szCs w:val="21"/>
          <w:highlight w:val="none"/>
          <w:shd w:val="clear" w:color="auto" w:fill="FFFFFF"/>
        </w:rPr>
        <w:t>三档（</w:t>
      </w:r>
      <w:r>
        <w:rPr>
          <w:rFonts w:hint="eastAsia" w:ascii="Times New Roman" w:hAnsi="Times New Roman"/>
          <w:color w:val="auto"/>
          <w:szCs w:val="21"/>
          <w:highlight w:val="none"/>
          <w:shd w:val="clear" w:color="auto" w:fill="FFFFFF"/>
          <w:lang w:val="en-US" w:eastAsia="zh-CN"/>
        </w:rPr>
        <w:t>6.1-</w:t>
      </w:r>
      <w:r>
        <w:rPr>
          <w:rFonts w:hint="eastAsia" w:ascii="Times New Roman" w:hAnsi="Times New Roman"/>
          <w:color w:val="auto"/>
          <w:szCs w:val="21"/>
          <w:highlight w:val="none"/>
          <w:shd w:val="clear" w:color="auto" w:fill="FFFFFF"/>
        </w:rPr>
        <w:t>9</w:t>
      </w:r>
      <w:r>
        <w:rPr>
          <w:rFonts w:ascii="Times New Roman" w:hAnsi="Times New Roman"/>
          <w:color w:val="auto"/>
          <w:szCs w:val="21"/>
          <w:highlight w:val="none"/>
          <w:shd w:val="clear" w:color="auto" w:fill="FFFFFF"/>
        </w:rPr>
        <w:t>分)：服务承诺详细，表达充分具体完善，服务承诺全面，针对项目实际情况，服务宗旨明确，承诺按时保质完成相关文件编制，后续服务全面细致、特点突出、措施细致、服务效率高，完全满足项目要求。</w:t>
      </w:r>
    </w:p>
    <w:p>
      <w:pPr>
        <w:pStyle w:val="23"/>
        <w:spacing w:line="400" w:lineRule="exact"/>
        <w:ind w:firstLine="420" w:firstLineChars="200"/>
        <w:rPr>
          <w:rFonts w:ascii="Times New Roman" w:hAnsi="Times New Roman"/>
          <w:b/>
          <w:bCs/>
          <w:color w:val="auto"/>
          <w:szCs w:val="21"/>
          <w:highlight w:val="none"/>
        </w:rPr>
      </w:pPr>
      <w:r>
        <w:rPr>
          <w:rFonts w:hint="eastAsia" w:ascii="Times New Roman" w:hAnsi="Times New Roman"/>
          <w:b/>
          <w:bCs/>
          <w:color w:val="auto"/>
          <w:szCs w:val="21"/>
          <w:highlight w:val="none"/>
        </w:rPr>
        <w:t>4、拟投入本项目人员配置</w:t>
      </w:r>
      <w:r>
        <w:rPr>
          <w:rFonts w:ascii="Times New Roman" w:hAnsi="Times New Roman"/>
          <w:b/>
          <w:bCs/>
          <w:color w:val="auto"/>
          <w:szCs w:val="21"/>
          <w:highlight w:val="none"/>
        </w:rPr>
        <w:t>………………………………………………………………………………</w:t>
      </w:r>
      <w:r>
        <w:rPr>
          <w:rFonts w:hint="eastAsia" w:ascii="Times New Roman" w:hAnsi="Times New Roman"/>
          <w:b/>
          <w:bCs/>
          <w:color w:val="auto"/>
          <w:szCs w:val="21"/>
          <w:highlight w:val="none"/>
          <w:lang w:val="en-US" w:eastAsia="zh-CN"/>
        </w:rPr>
        <w:t>16</w:t>
      </w:r>
      <w:r>
        <w:rPr>
          <w:rFonts w:ascii="Times New Roman" w:hAnsi="Times New Roman"/>
          <w:b/>
          <w:bCs/>
          <w:color w:val="auto"/>
          <w:szCs w:val="21"/>
          <w:highlight w:val="none"/>
        </w:rPr>
        <w:t>分</w:t>
      </w:r>
    </w:p>
    <w:p>
      <w:pPr>
        <w:pStyle w:val="2"/>
        <w:spacing w:line="360" w:lineRule="auto"/>
        <w:ind w:firstLine="420" w:firstLineChars="200"/>
        <w:rPr>
          <w:rFonts w:ascii="Times New Roman" w:hAnsi="Times New Roman" w:eastAsia="宋体"/>
          <w:b w:val="0"/>
          <w:color w:val="auto"/>
          <w:spacing w:val="0"/>
          <w:sz w:val="21"/>
          <w:szCs w:val="21"/>
          <w:highlight w:val="none"/>
        </w:rPr>
      </w:pPr>
      <w:r>
        <w:rPr>
          <w:rFonts w:hint="eastAsia" w:ascii="Times New Roman" w:hAnsi="Times New Roman" w:eastAsia="宋体"/>
          <w:b w:val="0"/>
          <w:color w:val="auto"/>
          <w:spacing w:val="0"/>
          <w:sz w:val="21"/>
          <w:szCs w:val="21"/>
          <w:highlight w:val="none"/>
        </w:rPr>
        <w:t>拟派遣本项目的人员中具有水工、</w:t>
      </w:r>
      <w:r>
        <w:rPr>
          <w:rFonts w:hint="eastAsia" w:ascii="Times New Roman" w:hAnsi="Times New Roman" w:eastAsia="宋体"/>
          <w:b w:val="0"/>
          <w:color w:val="auto"/>
          <w:spacing w:val="0"/>
          <w:sz w:val="21"/>
          <w:szCs w:val="21"/>
          <w:highlight w:val="none"/>
          <w:lang w:eastAsia="zh-CN"/>
        </w:rPr>
        <w:t>水文、</w:t>
      </w:r>
      <w:r>
        <w:rPr>
          <w:rFonts w:hint="eastAsia" w:ascii="Times New Roman" w:hAnsi="Times New Roman" w:eastAsia="宋体"/>
          <w:b w:val="0"/>
          <w:color w:val="auto"/>
          <w:spacing w:val="0"/>
          <w:sz w:val="21"/>
          <w:szCs w:val="21"/>
          <w:highlight w:val="none"/>
        </w:rPr>
        <w:t>测</w:t>
      </w:r>
      <w:r>
        <w:rPr>
          <w:rFonts w:hint="eastAsia" w:ascii="Times New Roman" w:hAnsi="Times New Roman" w:eastAsia="宋体"/>
          <w:b w:val="0"/>
          <w:color w:val="auto"/>
          <w:spacing w:val="0"/>
          <w:sz w:val="21"/>
          <w:szCs w:val="21"/>
          <w:highlight w:val="none"/>
          <w:lang w:eastAsia="zh-CN"/>
        </w:rPr>
        <w:t>量</w:t>
      </w:r>
      <w:r>
        <w:rPr>
          <w:rFonts w:hint="eastAsia" w:ascii="Times New Roman" w:hAnsi="Times New Roman" w:eastAsia="宋体"/>
          <w:b w:val="0"/>
          <w:color w:val="auto"/>
          <w:spacing w:val="0"/>
          <w:sz w:val="21"/>
          <w:szCs w:val="21"/>
          <w:highlight w:val="none"/>
        </w:rPr>
        <w:t>、地质及造价</w:t>
      </w:r>
      <w:r>
        <w:rPr>
          <w:rFonts w:hint="eastAsia" w:ascii="Times New Roman" w:hAnsi="Times New Roman" w:eastAsia="宋体"/>
          <w:b w:val="0"/>
          <w:color w:val="auto"/>
          <w:spacing w:val="0"/>
          <w:sz w:val="21"/>
          <w:szCs w:val="21"/>
          <w:highlight w:val="none"/>
          <w:lang w:eastAsia="zh-CN"/>
        </w:rPr>
        <w:t>五</w:t>
      </w:r>
      <w:r>
        <w:rPr>
          <w:rFonts w:hint="eastAsia" w:ascii="Times New Roman" w:hAnsi="Times New Roman" w:eastAsia="宋体"/>
          <w:b w:val="0"/>
          <w:color w:val="auto"/>
          <w:spacing w:val="0"/>
          <w:sz w:val="21"/>
          <w:szCs w:val="21"/>
          <w:highlight w:val="none"/>
        </w:rPr>
        <w:t>个专业人员且具有高级工程师职称的，每个专业得1分，具有高级职称且有本专业执业资格的，每个专业得2分。本项满分</w:t>
      </w:r>
      <w:r>
        <w:rPr>
          <w:rFonts w:hint="eastAsia" w:ascii="Times New Roman" w:hAnsi="Times New Roman" w:eastAsia="宋体"/>
          <w:b w:val="0"/>
          <w:color w:val="auto"/>
          <w:spacing w:val="0"/>
          <w:sz w:val="21"/>
          <w:szCs w:val="21"/>
          <w:highlight w:val="none"/>
          <w:lang w:val="en-US" w:eastAsia="zh-CN"/>
        </w:rPr>
        <w:t>16</w:t>
      </w:r>
      <w:r>
        <w:rPr>
          <w:rFonts w:hint="eastAsia" w:ascii="Times New Roman" w:hAnsi="Times New Roman" w:eastAsia="宋体"/>
          <w:b w:val="0"/>
          <w:color w:val="auto"/>
          <w:spacing w:val="0"/>
          <w:sz w:val="21"/>
          <w:szCs w:val="21"/>
          <w:highlight w:val="none"/>
        </w:rPr>
        <w:t>分。</w:t>
      </w:r>
    </w:p>
    <w:p>
      <w:pPr>
        <w:pStyle w:val="2"/>
        <w:spacing w:line="360" w:lineRule="auto"/>
        <w:ind w:firstLine="420" w:firstLineChars="200"/>
        <w:rPr>
          <w:rFonts w:ascii="Times New Roman" w:hAnsi="Times New Roman" w:eastAsia="宋体"/>
          <w:bCs/>
          <w:color w:val="auto"/>
          <w:spacing w:val="0"/>
          <w:kern w:val="0"/>
          <w:sz w:val="21"/>
          <w:szCs w:val="21"/>
          <w:highlight w:val="none"/>
        </w:rPr>
      </w:pPr>
      <w:r>
        <w:rPr>
          <w:rFonts w:hint="eastAsia" w:ascii="Times New Roman" w:hAnsi="Times New Roman" w:eastAsia="宋体"/>
          <w:bCs/>
          <w:color w:val="auto"/>
          <w:spacing w:val="0"/>
          <w:kern w:val="0"/>
          <w:sz w:val="21"/>
          <w:szCs w:val="21"/>
          <w:highlight w:val="none"/>
        </w:rPr>
        <w:t>注：</w:t>
      </w:r>
      <w:r>
        <w:rPr>
          <w:rFonts w:hint="eastAsia" w:ascii="Times New Roman" w:hAnsi="Times New Roman" w:eastAsia="宋体"/>
          <w:bCs/>
          <w:color w:val="auto"/>
          <w:spacing w:val="0"/>
          <w:kern w:val="0"/>
          <w:sz w:val="21"/>
          <w:szCs w:val="21"/>
          <w:highlight w:val="none"/>
          <w:lang w:eastAsia="zh-CN"/>
        </w:rPr>
        <w:t>同时具备以上条件的以最高计分为准，</w:t>
      </w:r>
      <w:r>
        <w:rPr>
          <w:rFonts w:hint="eastAsia" w:ascii="Times New Roman" w:hAnsi="Times New Roman" w:eastAsia="宋体"/>
          <w:bCs/>
          <w:color w:val="auto"/>
          <w:spacing w:val="0"/>
          <w:kern w:val="0"/>
          <w:sz w:val="21"/>
          <w:szCs w:val="21"/>
          <w:highlight w:val="none"/>
        </w:rPr>
        <w:t xml:space="preserve">证明文件提供近半年任意连续三个月的社保、职称材料复印件，加盖公章，不提供不得分。 </w:t>
      </w:r>
    </w:p>
    <w:p>
      <w:pPr>
        <w:pStyle w:val="23"/>
        <w:spacing w:line="420" w:lineRule="exact"/>
        <w:ind w:firstLine="420" w:firstLineChars="200"/>
        <w:outlineLvl w:val="0"/>
        <w:rPr>
          <w:rFonts w:ascii="Times New Roman" w:hAnsi="Times New Roman"/>
          <w:color w:val="auto"/>
          <w:szCs w:val="21"/>
          <w:highlight w:val="none"/>
        </w:rPr>
      </w:pPr>
      <w:r>
        <w:rPr>
          <w:rFonts w:hint="eastAsia" w:ascii="Times New Roman" w:hAnsi="Times New Roman"/>
          <w:b/>
          <w:bCs/>
          <w:color w:val="auto"/>
          <w:szCs w:val="21"/>
          <w:highlight w:val="none"/>
        </w:rPr>
        <w:t>5</w:t>
      </w:r>
      <w:r>
        <w:rPr>
          <w:rFonts w:ascii="Times New Roman" w:hAnsi="Times New Roman"/>
          <w:b/>
          <w:bCs/>
          <w:color w:val="auto"/>
          <w:szCs w:val="21"/>
          <w:highlight w:val="none"/>
        </w:rPr>
        <w:t>、信誉业绩分……………………………………………………………………………………………</w:t>
      </w:r>
      <w:r>
        <w:rPr>
          <w:rFonts w:hint="eastAsia" w:ascii="Times New Roman" w:hAnsi="Times New Roman"/>
          <w:b/>
          <w:bCs/>
          <w:color w:val="auto"/>
          <w:szCs w:val="21"/>
          <w:highlight w:val="none"/>
        </w:rPr>
        <w:t>1</w:t>
      </w:r>
      <w:r>
        <w:rPr>
          <w:rFonts w:hint="eastAsia" w:ascii="Times New Roman" w:hAnsi="Times New Roman"/>
          <w:b/>
          <w:bCs/>
          <w:color w:val="auto"/>
          <w:szCs w:val="21"/>
          <w:highlight w:val="none"/>
          <w:lang w:val="en-US" w:eastAsia="zh-CN"/>
        </w:rPr>
        <w:t>2</w:t>
      </w:r>
      <w:r>
        <w:rPr>
          <w:rFonts w:ascii="Times New Roman" w:hAnsi="Times New Roman"/>
          <w:b/>
          <w:bCs/>
          <w:color w:val="auto"/>
          <w:szCs w:val="21"/>
          <w:highlight w:val="none"/>
        </w:rPr>
        <w:t>分</w:t>
      </w:r>
    </w:p>
    <w:p>
      <w:pPr>
        <w:pStyle w:val="23"/>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Times New Roman" w:hAnsi="Times New Roman"/>
          <w:color w:val="auto"/>
          <w:szCs w:val="21"/>
          <w:highlight w:val="none"/>
        </w:rPr>
      </w:pP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lang w:val="en-US" w:eastAsia="zh-CN"/>
        </w:rPr>
        <w:t>1</w:t>
      </w: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rPr>
        <w:t>投标人20</w:t>
      </w:r>
      <w:r>
        <w:rPr>
          <w:rFonts w:hint="eastAsia" w:ascii="Times New Roman" w:hAnsi="Times New Roman"/>
          <w:color w:val="auto"/>
          <w:szCs w:val="21"/>
          <w:highlight w:val="none"/>
          <w:lang w:val="en-US" w:eastAsia="zh-CN"/>
        </w:rPr>
        <w:t>16</w:t>
      </w:r>
      <w:r>
        <w:rPr>
          <w:rFonts w:hint="eastAsia" w:ascii="Times New Roman" w:hAnsi="Times New Roman"/>
          <w:color w:val="auto"/>
          <w:szCs w:val="21"/>
          <w:highlight w:val="none"/>
        </w:rPr>
        <w:t>年以来承接的服务范围同类或类似的业绩，每个业绩得</w:t>
      </w:r>
      <w:r>
        <w:rPr>
          <w:rFonts w:hint="eastAsia" w:ascii="Times New Roman" w:hAnsi="Times New Roman"/>
          <w:color w:val="auto"/>
          <w:szCs w:val="21"/>
          <w:highlight w:val="none"/>
          <w:lang w:val="en-US" w:eastAsia="zh-CN"/>
        </w:rPr>
        <w:t>2</w:t>
      </w:r>
      <w:r>
        <w:rPr>
          <w:rFonts w:hint="eastAsia" w:ascii="Times New Roman" w:hAnsi="Times New Roman"/>
          <w:color w:val="auto"/>
          <w:szCs w:val="21"/>
          <w:highlight w:val="none"/>
        </w:rPr>
        <w:t>分</w:t>
      </w:r>
      <w:r>
        <w:rPr>
          <w:rFonts w:hint="eastAsia" w:ascii="Times New Roman" w:hAnsi="Times New Roman"/>
          <w:color w:val="auto"/>
          <w:szCs w:val="21"/>
          <w:highlight w:val="none"/>
          <w:lang w:eastAsia="zh-CN"/>
        </w:rPr>
        <w:t>（类似的业绩包括河流治理规划、防洪排涝规划、湖塘水系规划）</w:t>
      </w:r>
      <w:r>
        <w:rPr>
          <w:rFonts w:hint="eastAsia" w:ascii="Times New Roman" w:hAnsi="Times New Roman"/>
          <w:color w:val="auto"/>
          <w:szCs w:val="21"/>
          <w:highlight w:val="none"/>
        </w:rPr>
        <w:t xml:space="preserve">本项满分 </w:t>
      </w:r>
      <w:r>
        <w:rPr>
          <w:rFonts w:hint="eastAsia" w:ascii="Times New Roman" w:hAnsi="Times New Roman"/>
          <w:color w:val="auto"/>
          <w:szCs w:val="21"/>
          <w:highlight w:val="none"/>
          <w:lang w:val="en-US" w:eastAsia="zh-CN"/>
        </w:rPr>
        <w:t>8</w:t>
      </w:r>
      <w:r>
        <w:rPr>
          <w:rFonts w:hint="eastAsia" w:ascii="Times New Roman" w:hAnsi="Times New Roman"/>
          <w:color w:val="auto"/>
          <w:szCs w:val="21"/>
          <w:highlight w:val="none"/>
        </w:rPr>
        <w:t>分</w:t>
      </w:r>
      <w:r>
        <w:rPr>
          <w:rFonts w:ascii="Times New Roman" w:hAnsi="Times New Roman"/>
          <w:color w:val="auto"/>
          <w:szCs w:val="21"/>
          <w:highlight w:val="none"/>
        </w:rPr>
        <w:t>。（需提供合同或中标通知书等相关证明材料复印件）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投标人获得国家知识产权局颁发的发明专利证书的，每项得</w:t>
      </w:r>
      <w:r>
        <w:rPr>
          <w:rFonts w:hint="eastAsia"/>
          <w:color w:val="auto"/>
          <w:highlight w:val="none"/>
          <w:lang w:val="en-US" w:eastAsia="zh-CN"/>
        </w:rPr>
        <w:t>2</w:t>
      </w:r>
      <w:r>
        <w:rPr>
          <w:rFonts w:hint="eastAsia"/>
          <w:color w:val="auto"/>
          <w:highlight w:val="none"/>
        </w:rPr>
        <w:t>分，获得国家知识产权局颁发的实用新型专利证书的，每项得</w:t>
      </w:r>
      <w:r>
        <w:rPr>
          <w:rFonts w:hint="eastAsia"/>
          <w:color w:val="auto"/>
          <w:highlight w:val="none"/>
          <w:lang w:val="en-US" w:eastAsia="zh-CN"/>
        </w:rPr>
        <w:t>1</w:t>
      </w:r>
      <w:r>
        <w:rPr>
          <w:rFonts w:hint="eastAsia"/>
          <w:color w:val="auto"/>
          <w:highlight w:val="none"/>
        </w:rPr>
        <w:t>分，满分</w:t>
      </w:r>
      <w:r>
        <w:rPr>
          <w:rFonts w:hint="eastAsia"/>
          <w:color w:val="auto"/>
          <w:highlight w:val="none"/>
          <w:lang w:val="en-US" w:eastAsia="zh-CN"/>
        </w:rPr>
        <w:t>4</w:t>
      </w:r>
      <w:r>
        <w:rPr>
          <w:rFonts w:hint="eastAsia"/>
          <w:color w:val="auto"/>
          <w:highlight w:val="none"/>
        </w:rPr>
        <w:t>分。（投标人须提供有效的认证证书复印件作为计分依据）</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ascii="Times New Roman" w:hAnsi="Times New Roman"/>
          <w:b/>
          <w:bCs/>
          <w:color w:val="auto"/>
          <w:szCs w:val="21"/>
          <w:highlight w:val="none"/>
        </w:rPr>
      </w:pPr>
      <w:r>
        <w:rPr>
          <w:rFonts w:hint="eastAsia" w:ascii="Times New Roman" w:hAnsi="Times New Roman"/>
          <w:b/>
          <w:bCs/>
          <w:color w:val="auto"/>
          <w:szCs w:val="21"/>
          <w:highlight w:val="none"/>
          <w:lang w:val="en-US" w:eastAsia="zh-CN"/>
        </w:rPr>
        <w:t>6、勘察设计奖项分</w:t>
      </w:r>
      <w:r>
        <w:rPr>
          <w:rFonts w:ascii="Times New Roman" w:hAnsi="Times New Roman"/>
          <w:b/>
          <w:bCs/>
          <w:color w:val="auto"/>
          <w:szCs w:val="21"/>
          <w:highlight w:val="none"/>
        </w:rPr>
        <w:t>……………………………………………………………………………………</w:t>
      </w:r>
      <w:r>
        <w:rPr>
          <w:rFonts w:hint="eastAsia" w:ascii="Times New Roman" w:hAnsi="Times New Roman"/>
          <w:b/>
          <w:bCs/>
          <w:color w:val="auto"/>
          <w:szCs w:val="21"/>
          <w:highlight w:val="none"/>
          <w:lang w:val="en-US" w:eastAsia="zh-CN"/>
        </w:rPr>
        <w:t>3</w:t>
      </w:r>
      <w:r>
        <w:rPr>
          <w:rFonts w:ascii="Times New Roman" w:hAnsi="Times New Roman"/>
          <w:b/>
          <w:bCs/>
          <w:color w:val="auto"/>
          <w:szCs w:val="21"/>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近5年内承担过的水利工程项目的勘察设计中，获得过地（厅）级及以上级别勘察或设计奖的，得1分，本项满分3分。（需提供获奖文件或证书复印件，以文件或证书签署的日期为准）</w:t>
      </w:r>
    </w:p>
    <w:p>
      <w:pPr>
        <w:pStyle w:val="23"/>
        <w:numPr>
          <w:ilvl w:val="0"/>
          <w:numId w:val="0"/>
        </w:numPr>
        <w:spacing w:line="400" w:lineRule="exact"/>
        <w:ind w:firstLine="420" w:firstLineChars="200"/>
        <w:rPr>
          <w:rFonts w:hint="default" w:ascii="Times New Roman" w:hAnsi="Times New Roman" w:eastAsia="宋体"/>
          <w:b/>
          <w:bCs/>
          <w:color w:val="auto"/>
          <w:szCs w:val="21"/>
          <w:highlight w:val="none"/>
          <w:lang w:val="en-US" w:eastAsia="zh-CN"/>
        </w:rPr>
      </w:pPr>
      <w:r>
        <w:rPr>
          <w:rFonts w:hint="eastAsia" w:ascii="Times New Roman" w:hAnsi="Times New Roman"/>
          <w:b/>
          <w:bCs/>
          <w:color w:val="auto"/>
          <w:szCs w:val="21"/>
          <w:highlight w:val="none"/>
          <w:lang w:val="en-US" w:eastAsia="zh-CN"/>
        </w:rPr>
        <w:t>7、</w:t>
      </w:r>
      <w:r>
        <w:rPr>
          <w:rFonts w:ascii="Times New Roman" w:hAnsi="Times New Roman"/>
          <w:b/>
          <w:bCs/>
          <w:color w:val="auto"/>
          <w:szCs w:val="21"/>
          <w:highlight w:val="none"/>
        </w:rPr>
        <w:t>总得分 =1+2+3+4</w:t>
      </w:r>
      <w:r>
        <w:rPr>
          <w:rFonts w:hint="eastAsia" w:ascii="Times New Roman" w:hAnsi="Times New Roman"/>
          <w:b/>
          <w:bCs/>
          <w:color w:val="auto"/>
          <w:szCs w:val="21"/>
          <w:highlight w:val="none"/>
        </w:rPr>
        <w:t>+5</w:t>
      </w:r>
      <w:r>
        <w:rPr>
          <w:rFonts w:hint="eastAsia" w:ascii="Times New Roman" w:hAnsi="Times New Roman"/>
          <w:b/>
          <w:bCs/>
          <w:color w:val="auto"/>
          <w:szCs w:val="21"/>
          <w:highlight w:val="none"/>
          <w:lang w:val="en-US" w:eastAsia="zh-CN"/>
        </w:rPr>
        <w:t>+6</w:t>
      </w:r>
    </w:p>
    <w:p>
      <w:pPr>
        <w:tabs>
          <w:tab w:val="left" w:pos="3811"/>
        </w:tabs>
        <w:spacing w:line="400" w:lineRule="exact"/>
        <w:ind w:firstLine="420" w:firstLineChars="200"/>
        <w:outlineLvl w:val="1"/>
        <w:rPr>
          <w:b/>
          <w:bCs/>
          <w:color w:val="auto"/>
          <w:szCs w:val="21"/>
          <w:highlight w:val="none"/>
        </w:rPr>
      </w:pPr>
      <w:r>
        <w:rPr>
          <w:b/>
          <w:bCs/>
          <w:color w:val="auto"/>
          <w:szCs w:val="21"/>
          <w:highlight w:val="none"/>
        </w:rPr>
        <w:t>三、成交供应商推荐原则</w:t>
      </w:r>
    </w:p>
    <w:p>
      <w:pPr>
        <w:spacing w:line="400" w:lineRule="exact"/>
        <w:ind w:firstLine="420"/>
        <w:rPr>
          <w:bCs/>
          <w:color w:val="auto"/>
          <w:szCs w:val="21"/>
          <w:highlight w:val="none"/>
        </w:rPr>
      </w:pPr>
      <w:r>
        <w:rPr>
          <w:bCs/>
          <w:color w:val="auto"/>
          <w:szCs w:val="21"/>
          <w:highlight w:val="none"/>
        </w:rPr>
        <w:t>（1）磋商小组根据综合得分由高到低排列次序，若得分相同时，以评审报价由低到高顺序排列；若得分相同且评审报价相同的，以最后报价由低到高顺序排列；若仍相同的，按技术方案分由高到低顺序排列并推荐成交候选供应商。</w:t>
      </w:r>
    </w:p>
    <w:p>
      <w:pPr>
        <w:spacing w:line="400" w:lineRule="exact"/>
        <w:ind w:firstLine="420"/>
        <w:rPr>
          <w:bCs/>
          <w:color w:val="auto"/>
          <w:szCs w:val="21"/>
          <w:highlight w:val="none"/>
        </w:rPr>
      </w:pPr>
      <w:r>
        <w:rPr>
          <w:bCs/>
          <w:color w:val="auto"/>
          <w:szCs w:val="21"/>
          <w:highlight w:val="none"/>
        </w:rPr>
        <w:t>（2）进入详评的磋商供应商为五家以上(含五家)的，可推荐前三名为成交候选供应商，进入详评的磋商供应商为四家以下(含四家)的，可推荐前两名为成交候选供应商。采购单位应当确定磋商小组推荐排名第一的成交候选供应商为成交供应商。</w:t>
      </w:r>
    </w:p>
    <w:p>
      <w:pPr>
        <w:spacing w:line="400" w:lineRule="exact"/>
        <w:ind w:firstLine="420"/>
        <w:rPr>
          <w:bCs/>
          <w:color w:val="auto"/>
          <w:szCs w:val="21"/>
          <w:highlight w:val="none"/>
        </w:rPr>
      </w:pPr>
      <w:r>
        <w:rPr>
          <w:bCs/>
          <w:color w:val="auto"/>
          <w:szCs w:val="21"/>
          <w:highlight w:val="none"/>
        </w:rPr>
        <w:t>（3）排名第一的成交候选供应商放弃成交、因不可抗力提出不能履行合同，或者采购文件规定应当提交履约保证金而在规定的期限内未能提交的，采购人可以确定排名第二的成交候选供应商为成交供应商。</w:t>
      </w:r>
    </w:p>
    <w:p>
      <w:pPr>
        <w:spacing w:line="400" w:lineRule="exact"/>
        <w:ind w:firstLine="420"/>
        <w:rPr>
          <w:b/>
          <w:color w:val="auto"/>
          <w:w w:val="150"/>
          <w:szCs w:val="21"/>
          <w:highlight w:val="none"/>
        </w:rPr>
      </w:pPr>
      <w:r>
        <w:rPr>
          <w:bCs/>
          <w:color w:val="auto"/>
          <w:szCs w:val="21"/>
          <w:highlight w:val="none"/>
        </w:rPr>
        <w:t>（4）排名第二的成交候选供应商因前款规定的同样原因不能签订合同的，采购人可以确定排名第三的成交候选供应商为成交供应商。</w:t>
      </w:r>
    </w:p>
    <w:p>
      <w:pPr>
        <w:spacing w:line="400" w:lineRule="exact"/>
        <w:ind w:firstLine="420"/>
        <w:rPr>
          <w:b/>
          <w:color w:val="auto"/>
          <w:w w:val="150"/>
          <w:szCs w:val="21"/>
          <w:highlight w:val="none"/>
        </w:rPr>
      </w:pPr>
    </w:p>
    <w:p>
      <w:pPr>
        <w:pStyle w:val="4"/>
        <w:spacing w:line="0" w:lineRule="atLeast"/>
        <w:jc w:val="center"/>
        <w:rPr>
          <w:rFonts w:ascii="Times New Roman" w:hAnsi="Times New Roman"/>
          <w:color w:val="auto"/>
          <w:highlight w:val="none"/>
        </w:rPr>
      </w:pPr>
      <w:r>
        <w:rPr>
          <w:rFonts w:ascii="Times New Roman" w:hAnsi="Times New Roman"/>
          <w:color w:val="auto"/>
          <w:szCs w:val="21"/>
          <w:highlight w:val="none"/>
        </w:rPr>
        <w:br w:type="page"/>
      </w:r>
      <w:bookmarkEnd w:id="50"/>
      <w:bookmarkStart w:id="53" w:name="_Toc5200"/>
      <w:bookmarkStart w:id="54" w:name="_Toc11977"/>
      <w:r>
        <w:rPr>
          <w:rFonts w:ascii="Times New Roman" w:hAnsi="Times New Roman"/>
          <w:color w:val="auto"/>
          <w:highlight w:val="none"/>
        </w:rPr>
        <w:t>第五章、采购合同（合同主要条款及格式）</w:t>
      </w:r>
      <w:bookmarkEnd w:id="53"/>
      <w:bookmarkEnd w:id="54"/>
    </w:p>
    <w:p>
      <w:pPr>
        <w:spacing w:line="400" w:lineRule="exact"/>
        <w:rPr>
          <w:color w:val="auto"/>
          <w:highlight w:val="none"/>
        </w:rPr>
      </w:pPr>
      <w:r>
        <w:rPr>
          <w:color w:val="auto"/>
          <w:highlight w:val="none"/>
        </w:rPr>
        <w:t>项目名称：</w:t>
      </w:r>
    </w:p>
    <w:p>
      <w:pPr>
        <w:spacing w:line="400" w:lineRule="exact"/>
        <w:rPr>
          <w:color w:val="auto"/>
          <w:highlight w:val="none"/>
        </w:rPr>
      </w:pPr>
      <w:r>
        <w:rPr>
          <w:color w:val="auto"/>
          <w:highlight w:val="none"/>
        </w:rPr>
        <w:t>项目编号：</w:t>
      </w:r>
    </w:p>
    <w:p>
      <w:pPr>
        <w:spacing w:line="400" w:lineRule="exact"/>
        <w:rPr>
          <w:color w:val="auto"/>
          <w:highlight w:val="none"/>
        </w:rPr>
      </w:pPr>
      <w:r>
        <w:rPr>
          <w:color w:val="auto"/>
          <w:highlight w:val="none"/>
        </w:rPr>
        <w:t>甲方：</w:t>
      </w:r>
      <w:r>
        <w:rPr>
          <w:color w:val="auto"/>
          <w:highlight w:val="none"/>
          <w:u w:val="single"/>
        </w:rPr>
        <w:t xml:space="preserve">                                                      </w:t>
      </w:r>
      <w:r>
        <w:rPr>
          <w:color w:val="auto"/>
          <w:highlight w:val="none"/>
        </w:rPr>
        <w:t>（采购人）</w:t>
      </w:r>
    </w:p>
    <w:p>
      <w:pPr>
        <w:spacing w:line="400" w:lineRule="exact"/>
        <w:rPr>
          <w:color w:val="auto"/>
          <w:highlight w:val="none"/>
        </w:rPr>
      </w:pPr>
      <w:r>
        <w:rPr>
          <w:color w:val="auto"/>
          <w:highlight w:val="none"/>
        </w:rPr>
        <w:t>乙方：</w:t>
      </w:r>
      <w:r>
        <w:rPr>
          <w:color w:val="auto"/>
          <w:highlight w:val="none"/>
          <w:u w:val="single"/>
        </w:rPr>
        <w:t xml:space="preserve">                                                      </w:t>
      </w:r>
      <w:r>
        <w:rPr>
          <w:color w:val="auto"/>
          <w:highlight w:val="none"/>
        </w:rPr>
        <w:t>（成交供应商）</w:t>
      </w:r>
    </w:p>
    <w:p>
      <w:pPr>
        <w:spacing w:line="400" w:lineRule="exact"/>
        <w:ind w:firstLine="420" w:firstLineChars="200"/>
        <w:rPr>
          <w:color w:val="auto"/>
          <w:highlight w:val="none"/>
        </w:rPr>
      </w:pPr>
      <w:r>
        <w:rPr>
          <w:color w:val="auto"/>
          <w:highlight w:val="none"/>
        </w:rPr>
        <w:t>根据《中华人民共和国政府采购法》、《中华人民共和国合同法》等法律、法规规定，按照竞争性磋商文件（以下简称磋商文件）、竞争性磋商响应文件（以下简称响应文件）规定条款和成交供应商的承诺、甲乙双方签订本合同。</w:t>
      </w:r>
    </w:p>
    <w:p>
      <w:pPr>
        <w:spacing w:line="400" w:lineRule="exact"/>
        <w:ind w:firstLine="315" w:firstLineChars="150"/>
        <w:rPr>
          <w:b/>
          <w:color w:val="auto"/>
          <w:highlight w:val="none"/>
        </w:rPr>
      </w:pPr>
      <w:r>
        <w:rPr>
          <w:b/>
          <w:color w:val="auto"/>
          <w:highlight w:val="none"/>
        </w:rPr>
        <w:t>第一条 合同文件</w:t>
      </w:r>
    </w:p>
    <w:p>
      <w:pPr>
        <w:spacing w:line="400" w:lineRule="exact"/>
        <w:ind w:firstLine="525" w:firstLineChars="250"/>
        <w:rPr>
          <w:color w:val="auto"/>
          <w:highlight w:val="none"/>
        </w:rPr>
      </w:pPr>
      <w:r>
        <w:rPr>
          <w:color w:val="auto"/>
          <w:highlight w:val="none"/>
        </w:rPr>
        <w:t>1、本合同所附下列文件是构成本合同不可分割的部分：</w:t>
      </w:r>
    </w:p>
    <w:p>
      <w:pPr>
        <w:spacing w:line="400" w:lineRule="exact"/>
        <w:ind w:firstLine="315" w:firstLineChars="150"/>
        <w:rPr>
          <w:color w:val="auto"/>
          <w:highlight w:val="none"/>
        </w:rPr>
      </w:pPr>
      <w:r>
        <w:rPr>
          <w:color w:val="auto"/>
          <w:highlight w:val="none"/>
        </w:rPr>
        <w:t>（1）成交供应商提交的</w:t>
      </w:r>
      <w:r>
        <w:rPr>
          <w:color w:val="auto"/>
          <w:szCs w:val="21"/>
          <w:highlight w:val="none"/>
        </w:rPr>
        <w:t>磋商</w:t>
      </w:r>
      <w:r>
        <w:rPr>
          <w:color w:val="auto"/>
          <w:highlight w:val="none"/>
        </w:rPr>
        <w:t>报价表、</w:t>
      </w:r>
      <w:r>
        <w:rPr>
          <w:color w:val="auto"/>
          <w:szCs w:val="21"/>
          <w:highlight w:val="none"/>
        </w:rPr>
        <w:t>针对本项目的服务项目编制方案</w:t>
      </w:r>
      <w:r>
        <w:rPr>
          <w:color w:val="auto"/>
          <w:highlight w:val="none"/>
        </w:rPr>
        <w:t>；</w:t>
      </w:r>
    </w:p>
    <w:p>
      <w:pPr>
        <w:spacing w:line="400" w:lineRule="exact"/>
        <w:ind w:firstLine="315" w:firstLineChars="150"/>
        <w:rPr>
          <w:color w:val="auto"/>
          <w:highlight w:val="none"/>
        </w:rPr>
      </w:pPr>
      <w:r>
        <w:rPr>
          <w:color w:val="auto"/>
          <w:highlight w:val="none"/>
        </w:rPr>
        <w:t>（2）成交通知书；</w:t>
      </w:r>
    </w:p>
    <w:p>
      <w:pPr>
        <w:spacing w:line="400" w:lineRule="exact"/>
        <w:ind w:firstLine="315" w:firstLineChars="150"/>
        <w:rPr>
          <w:color w:val="auto"/>
          <w:highlight w:val="none"/>
        </w:rPr>
      </w:pPr>
      <w:r>
        <w:rPr>
          <w:color w:val="auto"/>
          <w:highlight w:val="none"/>
        </w:rPr>
        <w:t>（3）本合同协议书及有关补充资料；</w:t>
      </w:r>
    </w:p>
    <w:p>
      <w:pPr>
        <w:spacing w:line="400" w:lineRule="exact"/>
        <w:ind w:firstLine="315" w:firstLineChars="150"/>
        <w:rPr>
          <w:color w:val="auto"/>
          <w:highlight w:val="none"/>
        </w:rPr>
      </w:pPr>
      <w:r>
        <w:rPr>
          <w:color w:val="auto"/>
          <w:highlight w:val="none"/>
        </w:rPr>
        <w:t>（4）磋商文件的条款要求。</w:t>
      </w:r>
    </w:p>
    <w:p>
      <w:pPr>
        <w:tabs>
          <w:tab w:val="left" w:pos="1305"/>
        </w:tabs>
        <w:spacing w:line="380" w:lineRule="exact"/>
        <w:ind w:firstLine="420" w:firstLineChars="200"/>
        <w:rPr>
          <w:color w:val="auto"/>
          <w:szCs w:val="21"/>
          <w:highlight w:val="none"/>
        </w:rPr>
      </w:pPr>
      <w:r>
        <w:rPr>
          <w:color w:val="auto"/>
          <w:szCs w:val="21"/>
          <w:highlight w:val="none"/>
        </w:rPr>
        <w:t>2、合同价金额包括：服务过程中相关的一切费用。</w:t>
      </w:r>
    </w:p>
    <w:p>
      <w:pPr>
        <w:spacing w:line="400" w:lineRule="exact"/>
        <w:ind w:firstLine="411" w:firstLineChars="196"/>
        <w:rPr>
          <w:b/>
          <w:color w:val="auto"/>
          <w:szCs w:val="21"/>
          <w:highlight w:val="none"/>
        </w:rPr>
      </w:pPr>
      <w:r>
        <w:rPr>
          <w:b/>
          <w:color w:val="auto"/>
          <w:szCs w:val="21"/>
          <w:highlight w:val="none"/>
        </w:rPr>
        <w:t>第二条　合同金额</w:t>
      </w:r>
    </w:p>
    <w:p>
      <w:pPr>
        <w:spacing w:line="400" w:lineRule="exact"/>
        <w:ind w:firstLine="411" w:firstLineChars="196"/>
        <w:rPr>
          <w:color w:val="auto"/>
          <w:szCs w:val="21"/>
          <w:highlight w:val="none"/>
        </w:rPr>
      </w:pPr>
      <w:r>
        <w:rPr>
          <w:color w:val="auto"/>
          <w:szCs w:val="21"/>
          <w:highlight w:val="none"/>
        </w:rPr>
        <w:t>根据《成交通知书》的成交内容，合同的总金额为：（大写）</w:t>
      </w:r>
      <w:r>
        <w:rPr>
          <w:color w:val="auto"/>
          <w:szCs w:val="21"/>
          <w:highlight w:val="none"/>
          <w:u w:val="single"/>
        </w:rPr>
        <w:t xml:space="preserve">                           </w:t>
      </w:r>
      <w:r>
        <w:rPr>
          <w:color w:val="auto"/>
          <w:szCs w:val="21"/>
          <w:highlight w:val="none"/>
        </w:rPr>
        <w:t>人民币（</w:t>
      </w:r>
      <w:r>
        <w:rPr>
          <w:color w:val="auto"/>
          <w:highlight w:val="none"/>
        </w:rPr>
        <w:t>￥</w:t>
      </w:r>
      <w:r>
        <w:rPr>
          <w:color w:val="auto"/>
          <w:szCs w:val="21"/>
          <w:highlight w:val="none"/>
          <w:u w:val="single"/>
        </w:rPr>
        <w:t xml:space="preserve">                 </w:t>
      </w:r>
      <w:r>
        <w:rPr>
          <w:color w:val="auto"/>
          <w:szCs w:val="21"/>
          <w:highlight w:val="none"/>
        </w:rPr>
        <w:t>元）</w:t>
      </w:r>
    </w:p>
    <w:p>
      <w:pPr>
        <w:spacing w:line="400" w:lineRule="exact"/>
        <w:ind w:firstLine="411" w:firstLineChars="196"/>
        <w:rPr>
          <w:b/>
          <w:color w:val="auto"/>
          <w:szCs w:val="21"/>
          <w:highlight w:val="none"/>
        </w:rPr>
      </w:pPr>
      <w:r>
        <w:rPr>
          <w:b/>
          <w:color w:val="auto"/>
          <w:szCs w:val="21"/>
          <w:highlight w:val="none"/>
        </w:rPr>
        <w:t>第三条  服务保证</w:t>
      </w:r>
    </w:p>
    <w:p>
      <w:pPr>
        <w:spacing w:line="400" w:lineRule="exact"/>
        <w:ind w:firstLine="411" w:firstLineChars="196"/>
        <w:rPr>
          <w:color w:val="auto"/>
          <w:szCs w:val="21"/>
          <w:highlight w:val="none"/>
          <w:u w:val="single"/>
        </w:rPr>
      </w:pPr>
      <w:r>
        <w:rPr>
          <w:color w:val="auto"/>
          <w:szCs w:val="21"/>
          <w:highlight w:val="none"/>
        </w:rPr>
        <w:t>乙方应按响应文件规定的服务范围向甲方提供相应服务。</w:t>
      </w:r>
    </w:p>
    <w:p>
      <w:pPr>
        <w:spacing w:line="400" w:lineRule="exact"/>
        <w:ind w:firstLine="411" w:firstLineChars="196"/>
        <w:rPr>
          <w:b/>
          <w:color w:val="auto"/>
          <w:szCs w:val="21"/>
          <w:highlight w:val="none"/>
        </w:rPr>
      </w:pPr>
      <w:r>
        <w:rPr>
          <w:b/>
          <w:color w:val="auto"/>
          <w:szCs w:val="21"/>
          <w:highlight w:val="none"/>
        </w:rPr>
        <w:t>第四条  交付</w:t>
      </w:r>
    </w:p>
    <w:p>
      <w:pPr>
        <w:spacing w:line="400" w:lineRule="exact"/>
        <w:ind w:firstLine="420" w:firstLineChars="200"/>
        <w:rPr>
          <w:color w:val="auto"/>
          <w:szCs w:val="21"/>
          <w:highlight w:val="none"/>
        </w:rPr>
      </w:pPr>
      <w:r>
        <w:rPr>
          <w:color w:val="auto"/>
          <w:szCs w:val="21"/>
          <w:highlight w:val="none"/>
        </w:rPr>
        <w:t>1、</w:t>
      </w:r>
      <w:r>
        <w:rPr>
          <w:bCs/>
          <w:color w:val="auto"/>
          <w:kern w:val="0"/>
          <w:szCs w:val="21"/>
          <w:highlight w:val="none"/>
        </w:rPr>
        <w:t>提交服务成果时间</w:t>
      </w:r>
      <w:r>
        <w:rPr>
          <w:color w:val="auto"/>
          <w:szCs w:val="21"/>
          <w:highlight w:val="none"/>
          <w:u w:val="single"/>
        </w:rPr>
        <w:t xml:space="preserve">                         </w:t>
      </w:r>
      <w:r>
        <w:rPr>
          <w:color w:val="auto"/>
          <w:szCs w:val="21"/>
          <w:highlight w:val="none"/>
        </w:rPr>
        <w:t>、地点：</w:t>
      </w:r>
      <w:r>
        <w:rPr>
          <w:color w:val="auto"/>
          <w:szCs w:val="21"/>
          <w:highlight w:val="none"/>
          <w:u w:val="single"/>
        </w:rPr>
        <w:t xml:space="preserve">                             </w:t>
      </w:r>
      <w:r>
        <w:rPr>
          <w:color w:val="auto"/>
          <w:szCs w:val="21"/>
          <w:highlight w:val="none"/>
        </w:rPr>
        <w:t>。</w:t>
      </w:r>
    </w:p>
    <w:p>
      <w:pPr>
        <w:spacing w:line="400" w:lineRule="exact"/>
        <w:ind w:firstLine="420" w:firstLineChars="200"/>
        <w:rPr>
          <w:color w:val="auto"/>
          <w:szCs w:val="21"/>
          <w:highlight w:val="none"/>
        </w:rPr>
      </w:pPr>
      <w:r>
        <w:rPr>
          <w:color w:val="auto"/>
          <w:szCs w:val="21"/>
          <w:highlight w:val="none"/>
        </w:rPr>
        <w:t>2、乙方提供不符合磋商文件、响应文件和本合同规定的服务，甲方有权拒绝接受。</w:t>
      </w:r>
    </w:p>
    <w:p>
      <w:pPr>
        <w:spacing w:line="400" w:lineRule="exact"/>
        <w:ind w:firstLine="405"/>
        <w:rPr>
          <w:b/>
          <w:color w:val="auto"/>
          <w:szCs w:val="21"/>
          <w:highlight w:val="none"/>
        </w:rPr>
      </w:pPr>
      <w:r>
        <w:rPr>
          <w:b/>
          <w:color w:val="auto"/>
          <w:szCs w:val="21"/>
          <w:highlight w:val="none"/>
        </w:rPr>
        <w:t>第五条  甲方权利义务</w:t>
      </w:r>
    </w:p>
    <w:p>
      <w:pPr>
        <w:spacing w:line="400" w:lineRule="exact"/>
        <w:ind w:firstLine="411" w:firstLineChars="196"/>
        <w:rPr>
          <w:color w:val="auto"/>
          <w:szCs w:val="21"/>
          <w:highlight w:val="none"/>
        </w:rPr>
      </w:pPr>
      <w:r>
        <w:rPr>
          <w:color w:val="auto"/>
          <w:szCs w:val="21"/>
          <w:highlight w:val="none"/>
        </w:rPr>
        <w:t>1、自合同签订之日起5日内向乙方提交有关资料。</w:t>
      </w:r>
    </w:p>
    <w:p>
      <w:pPr>
        <w:spacing w:line="400" w:lineRule="exact"/>
        <w:ind w:firstLine="411" w:firstLineChars="196"/>
        <w:rPr>
          <w:color w:val="auto"/>
          <w:szCs w:val="21"/>
          <w:highlight w:val="none"/>
        </w:rPr>
      </w:pPr>
      <w:r>
        <w:rPr>
          <w:color w:val="auto"/>
          <w:szCs w:val="21"/>
          <w:highlight w:val="none"/>
        </w:rPr>
        <w:t>2、该合同工作成果属于甲方专利，未经甲方批准，乙方不得将工作成果用于商业性经营。</w:t>
      </w:r>
    </w:p>
    <w:p>
      <w:pPr>
        <w:spacing w:line="400" w:lineRule="exact"/>
        <w:ind w:firstLine="411" w:firstLineChars="196"/>
        <w:rPr>
          <w:color w:val="auto"/>
          <w:szCs w:val="21"/>
          <w:highlight w:val="none"/>
        </w:rPr>
      </w:pPr>
      <w:r>
        <w:rPr>
          <w:color w:val="auto"/>
          <w:szCs w:val="21"/>
          <w:highlight w:val="none"/>
        </w:rPr>
        <w:t>3、监督并配合乙方管理服务工作的实施及制度的执行。</w:t>
      </w:r>
    </w:p>
    <w:p>
      <w:pPr>
        <w:spacing w:line="400" w:lineRule="exact"/>
        <w:ind w:firstLine="411" w:firstLineChars="196"/>
        <w:rPr>
          <w:color w:val="auto"/>
          <w:szCs w:val="21"/>
          <w:highlight w:val="none"/>
        </w:rPr>
      </w:pPr>
      <w:r>
        <w:rPr>
          <w:rFonts w:hint="eastAsia"/>
          <w:color w:val="auto"/>
          <w:szCs w:val="21"/>
          <w:highlight w:val="none"/>
        </w:rPr>
        <w:t>4</w:t>
      </w:r>
      <w:r>
        <w:rPr>
          <w:color w:val="auto"/>
          <w:szCs w:val="21"/>
          <w:highlight w:val="none"/>
        </w:rPr>
        <w:t>、按合同规定支付乙方本合同所指编制费用。</w:t>
      </w:r>
    </w:p>
    <w:p>
      <w:pPr>
        <w:spacing w:line="400" w:lineRule="exact"/>
        <w:ind w:firstLine="411" w:firstLineChars="196"/>
        <w:rPr>
          <w:color w:val="auto"/>
          <w:szCs w:val="21"/>
          <w:highlight w:val="none"/>
        </w:rPr>
      </w:pPr>
      <w:r>
        <w:rPr>
          <w:rFonts w:hint="eastAsia"/>
          <w:color w:val="auto"/>
          <w:szCs w:val="21"/>
          <w:highlight w:val="none"/>
        </w:rPr>
        <w:t>5</w:t>
      </w:r>
      <w:r>
        <w:rPr>
          <w:color w:val="auto"/>
          <w:szCs w:val="21"/>
          <w:highlight w:val="none"/>
        </w:rPr>
        <w:t>、有权对乙方工作情况进行检查监督，提出整改意见。</w:t>
      </w:r>
    </w:p>
    <w:p>
      <w:pPr>
        <w:spacing w:line="340" w:lineRule="exact"/>
        <w:ind w:firstLine="420" w:firstLineChars="200"/>
        <w:rPr>
          <w:b/>
          <w:color w:val="auto"/>
          <w:szCs w:val="21"/>
          <w:highlight w:val="none"/>
        </w:rPr>
      </w:pPr>
      <w:r>
        <w:rPr>
          <w:b/>
          <w:color w:val="auto"/>
          <w:szCs w:val="21"/>
          <w:highlight w:val="none"/>
        </w:rPr>
        <w:t>第六条</w:t>
      </w:r>
      <w:r>
        <w:rPr>
          <w:rFonts w:hint="eastAsia"/>
          <w:b/>
          <w:color w:val="auto"/>
          <w:szCs w:val="21"/>
          <w:highlight w:val="none"/>
        </w:rPr>
        <w:t xml:space="preserve"> </w:t>
      </w:r>
      <w:r>
        <w:rPr>
          <w:b/>
          <w:color w:val="auto"/>
          <w:szCs w:val="21"/>
          <w:highlight w:val="none"/>
        </w:rPr>
        <w:t>乙方的权利义务</w:t>
      </w:r>
    </w:p>
    <w:p>
      <w:pPr>
        <w:numPr>
          <w:ilvl w:val="0"/>
          <w:numId w:val="0"/>
        </w:numPr>
        <w:spacing w:line="400" w:lineRule="exact"/>
        <w:ind w:leftChars="200"/>
        <w:rPr>
          <w:rFonts w:hint="eastAsia"/>
          <w:b w:val="0"/>
          <w:bCs/>
          <w:color w:val="auto"/>
          <w:szCs w:val="21"/>
          <w:highlight w:val="none"/>
        </w:rPr>
      </w:pPr>
      <w:r>
        <w:rPr>
          <w:rFonts w:hint="eastAsia"/>
          <w:b w:val="0"/>
          <w:bCs/>
          <w:color w:val="auto"/>
          <w:szCs w:val="21"/>
          <w:highlight w:val="none"/>
        </w:rPr>
        <w:t>1、乙方应当成立项目工作组，配备业务熟练的专业技术骨干和相关技术人员，保障本项目各项工作顺利开展。</w:t>
      </w:r>
    </w:p>
    <w:p>
      <w:pPr>
        <w:numPr>
          <w:ilvl w:val="0"/>
          <w:numId w:val="0"/>
        </w:numPr>
        <w:spacing w:line="400" w:lineRule="exact"/>
        <w:ind w:leftChars="200"/>
        <w:rPr>
          <w:rFonts w:hint="eastAsia"/>
          <w:b w:val="0"/>
          <w:bCs/>
          <w:color w:val="auto"/>
          <w:szCs w:val="21"/>
          <w:highlight w:val="none"/>
        </w:rPr>
      </w:pPr>
      <w:r>
        <w:rPr>
          <w:rFonts w:hint="eastAsia"/>
          <w:b w:val="0"/>
          <w:bCs/>
          <w:color w:val="auto"/>
          <w:szCs w:val="21"/>
          <w:highlight w:val="none"/>
        </w:rPr>
        <w:t>2、乙方应当做好基础资料的收集整理分析和外业调查工作。</w:t>
      </w:r>
    </w:p>
    <w:p>
      <w:pPr>
        <w:numPr>
          <w:ilvl w:val="0"/>
          <w:numId w:val="0"/>
        </w:numPr>
        <w:spacing w:line="400" w:lineRule="exact"/>
        <w:ind w:leftChars="200"/>
        <w:rPr>
          <w:rFonts w:hint="eastAsia"/>
          <w:b w:val="0"/>
          <w:bCs/>
          <w:color w:val="auto"/>
          <w:szCs w:val="21"/>
          <w:highlight w:val="none"/>
        </w:rPr>
      </w:pPr>
      <w:r>
        <w:rPr>
          <w:rFonts w:hint="eastAsia"/>
          <w:b w:val="0"/>
          <w:bCs/>
          <w:color w:val="auto"/>
          <w:szCs w:val="21"/>
          <w:highlight w:val="none"/>
        </w:rPr>
        <w:t>3、乙方有义务解答甲方提出的与项目有关的询问，接受甲方或甲方授权的机构或人员的监督和检查。</w:t>
      </w:r>
    </w:p>
    <w:p>
      <w:pPr>
        <w:numPr>
          <w:ilvl w:val="0"/>
          <w:numId w:val="0"/>
        </w:numPr>
        <w:spacing w:line="400" w:lineRule="exact"/>
        <w:ind w:leftChars="200"/>
        <w:rPr>
          <w:rFonts w:hint="eastAsia"/>
          <w:b w:val="0"/>
          <w:bCs/>
          <w:color w:val="auto"/>
          <w:szCs w:val="21"/>
          <w:highlight w:val="none"/>
        </w:rPr>
      </w:pPr>
      <w:r>
        <w:rPr>
          <w:rFonts w:hint="eastAsia"/>
          <w:b w:val="0"/>
          <w:bCs/>
          <w:color w:val="auto"/>
          <w:szCs w:val="21"/>
          <w:highlight w:val="none"/>
        </w:rPr>
        <w:t>4、乙方应当按约定向甲方提交符合相关技术要求的规划成果。</w:t>
      </w:r>
    </w:p>
    <w:p>
      <w:pPr>
        <w:numPr>
          <w:ilvl w:val="0"/>
          <w:numId w:val="0"/>
        </w:numPr>
        <w:spacing w:line="400" w:lineRule="exact"/>
        <w:ind w:leftChars="200"/>
        <w:rPr>
          <w:rFonts w:hint="eastAsia"/>
          <w:b w:val="0"/>
          <w:bCs/>
          <w:color w:val="auto"/>
          <w:szCs w:val="21"/>
          <w:highlight w:val="none"/>
        </w:rPr>
      </w:pPr>
      <w:r>
        <w:rPr>
          <w:rFonts w:hint="eastAsia"/>
          <w:b w:val="0"/>
          <w:bCs/>
          <w:color w:val="auto"/>
          <w:szCs w:val="21"/>
          <w:highlight w:val="none"/>
        </w:rPr>
        <w:t>5、乙方应当协助甲方接受自然资源主管部门对项目成果的评审和验收工作，负责承担听证论证、专家评审等相关费用，并按评审专家的意见做好成果修改。</w:t>
      </w:r>
    </w:p>
    <w:p>
      <w:pPr>
        <w:numPr>
          <w:ilvl w:val="0"/>
          <w:numId w:val="0"/>
        </w:numPr>
        <w:spacing w:line="400" w:lineRule="exact"/>
        <w:ind w:leftChars="200"/>
        <w:rPr>
          <w:b/>
          <w:color w:val="auto"/>
          <w:szCs w:val="21"/>
          <w:highlight w:val="none"/>
        </w:rPr>
      </w:pPr>
      <w:r>
        <w:rPr>
          <w:b/>
          <w:color w:val="auto"/>
          <w:szCs w:val="21"/>
          <w:highlight w:val="none"/>
        </w:rPr>
        <w:t>第七条  税费</w:t>
      </w:r>
    </w:p>
    <w:p>
      <w:pPr>
        <w:spacing w:line="400" w:lineRule="exact"/>
        <w:ind w:firstLine="411" w:firstLineChars="196"/>
        <w:rPr>
          <w:color w:val="auto"/>
          <w:szCs w:val="21"/>
          <w:highlight w:val="none"/>
        </w:rPr>
      </w:pPr>
      <w:r>
        <w:rPr>
          <w:color w:val="auto"/>
          <w:szCs w:val="21"/>
          <w:highlight w:val="none"/>
        </w:rPr>
        <w:t>本合同执行中相关的一切税费均由乙方负担。</w:t>
      </w:r>
    </w:p>
    <w:p>
      <w:pPr>
        <w:spacing w:line="400" w:lineRule="exact"/>
        <w:ind w:firstLine="411" w:firstLineChars="196"/>
        <w:rPr>
          <w:b/>
          <w:color w:val="auto"/>
          <w:szCs w:val="21"/>
          <w:highlight w:val="none"/>
        </w:rPr>
      </w:pPr>
      <w:r>
        <w:rPr>
          <w:b/>
          <w:color w:val="auto"/>
          <w:szCs w:val="21"/>
          <w:highlight w:val="none"/>
        </w:rPr>
        <w:t>第八条  付款方式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b w:val="0"/>
          <w:bCs/>
          <w:color w:val="auto"/>
          <w:szCs w:val="21"/>
          <w:highlight w:val="none"/>
        </w:rPr>
      </w:pPr>
      <w:r>
        <w:rPr>
          <w:rFonts w:hint="eastAsia"/>
          <w:b w:val="0"/>
          <w:bCs/>
          <w:color w:val="auto"/>
          <w:szCs w:val="21"/>
          <w:highlight w:val="none"/>
          <w:lang w:val="en-US" w:eastAsia="zh-CN"/>
        </w:rPr>
        <w:t>1、</w:t>
      </w:r>
      <w:r>
        <w:rPr>
          <w:rFonts w:hint="eastAsia"/>
          <w:b w:val="0"/>
          <w:bCs/>
          <w:color w:val="auto"/>
          <w:szCs w:val="21"/>
          <w:highlight w:val="none"/>
        </w:rPr>
        <w:t>提交</w:t>
      </w:r>
      <w:r>
        <w:rPr>
          <w:rFonts w:hint="eastAsia"/>
          <w:b w:val="0"/>
          <w:bCs/>
          <w:color w:val="auto"/>
          <w:szCs w:val="21"/>
          <w:highlight w:val="none"/>
          <w:lang w:eastAsia="zh-CN"/>
        </w:rPr>
        <w:t>成果</w:t>
      </w:r>
      <w:r>
        <w:rPr>
          <w:rFonts w:hint="eastAsia"/>
          <w:b w:val="0"/>
          <w:bCs/>
          <w:color w:val="auto"/>
          <w:szCs w:val="21"/>
          <w:highlight w:val="none"/>
          <w:lang w:val="en-US" w:eastAsia="zh-CN"/>
        </w:rPr>
        <w:t>报告（送审稿）</w:t>
      </w:r>
      <w:r>
        <w:rPr>
          <w:rFonts w:hint="eastAsia"/>
          <w:b w:val="0"/>
          <w:bCs/>
          <w:color w:val="auto"/>
          <w:szCs w:val="21"/>
          <w:highlight w:val="none"/>
        </w:rPr>
        <w:t>后十五日内</w:t>
      </w:r>
      <w:r>
        <w:rPr>
          <w:rFonts w:hint="eastAsia"/>
          <w:b w:val="0"/>
          <w:bCs/>
          <w:color w:val="auto"/>
          <w:szCs w:val="21"/>
          <w:highlight w:val="none"/>
          <w:lang w:eastAsia="zh-CN"/>
        </w:rPr>
        <w:t>甲方支付合同费用的</w:t>
      </w:r>
      <w:r>
        <w:rPr>
          <w:rFonts w:hint="eastAsia"/>
          <w:b w:val="0"/>
          <w:bCs/>
          <w:color w:val="auto"/>
          <w:szCs w:val="21"/>
          <w:highlight w:val="none"/>
          <w:lang w:val="en-US" w:eastAsia="zh-CN"/>
        </w:rPr>
        <w:t>7</w:t>
      </w:r>
      <w:r>
        <w:rPr>
          <w:rFonts w:hint="eastAsia"/>
          <w:b w:val="0"/>
          <w:bCs/>
          <w:color w:val="auto"/>
          <w:szCs w:val="21"/>
          <w:highlight w:val="none"/>
        </w:rPr>
        <w:t>0%</w:t>
      </w:r>
      <w:r>
        <w:rPr>
          <w:rFonts w:hint="eastAsia"/>
          <w:b w:val="0"/>
          <w:bCs/>
          <w:color w:val="auto"/>
          <w:szCs w:val="21"/>
          <w:highlight w:val="none"/>
          <w:lang w:val="en-US" w:eastAsia="zh-CN"/>
        </w:rPr>
        <w:t xml:space="preserve"> 给乙方</w:t>
      </w:r>
      <w:r>
        <w:rPr>
          <w:rFonts w:hint="eastAsia"/>
          <w:b w:val="0"/>
          <w:bCs/>
          <w:color w:val="auto"/>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b w:val="0"/>
          <w:bCs/>
          <w:color w:val="auto"/>
          <w:szCs w:val="21"/>
          <w:highlight w:val="none"/>
          <w:lang w:val="en-US" w:eastAsia="zh-CN"/>
        </w:rPr>
      </w:pPr>
      <w:r>
        <w:rPr>
          <w:rFonts w:hint="eastAsia"/>
          <w:b w:val="0"/>
          <w:bCs/>
          <w:color w:val="auto"/>
          <w:szCs w:val="21"/>
          <w:highlight w:val="none"/>
          <w:lang w:val="en-US" w:eastAsia="zh-CN"/>
        </w:rPr>
        <w:t>2、</w:t>
      </w:r>
      <w:r>
        <w:rPr>
          <w:rFonts w:hint="eastAsia"/>
          <w:b w:val="0"/>
          <w:bCs/>
          <w:color w:val="auto"/>
          <w:szCs w:val="21"/>
          <w:highlight w:val="none"/>
          <w:lang w:eastAsia="zh-CN"/>
        </w:rPr>
        <w:t>成果</w:t>
      </w:r>
      <w:r>
        <w:rPr>
          <w:rFonts w:hint="eastAsia"/>
          <w:b w:val="0"/>
          <w:bCs/>
          <w:color w:val="auto"/>
          <w:szCs w:val="21"/>
          <w:highlight w:val="none"/>
          <w:lang w:val="en-US" w:eastAsia="zh-CN"/>
        </w:rPr>
        <w:t>报告</w:t>
      </w:r>
      <w:r>
        <w:rPr>
          <w:rFonts w:hint="eastAsia"/>
          <w:b w:val="0"/>
          <w:bCs/>
          <w:color w:val="auto"/>
          <w:szCs w:val="21"/>
          <w:highlight w:val="none"/>
        </w:rPr>
        <w:t>通过上级主管部门评审合格后十五日</w:t>
      </w:r>
      <w:r>
        <w:rPr>
          <w:rFonts w:hint="eastAsia"/>
          <w:b w:val="0"/>
          <w:bCs/>
          <w:color w:val="auto"/>
          <w:szCs w:val="21"/>
          <w:highlight w:val="none"/>
          <w:lang w:val="en-US" w:eastAsia="zh-CN"/>
        </w:rPr>
        <w:t>内一次性结清尾款。</w:t>
      </w:r>
    </w:p>
    <w:p>
      <w:pPr>
        <w:spacing w:line="380" w:lineRule="exact"/>
        <w:ind w:firstLine="411" w:firstLineChars="196"/>
        <w:rPr>
          <w:b/>
          <w:color w:val="auto"/>
          <w:szCs w:val="21"/>
          <w:highlight w:val="none"/>
        </w:rPr>
      </w:pPr>
      <w:r>
        <w:rPr>
          <w:b/>
          <w:color w:val="auto"/>
          <w:szCs w:val="21"/>
          <w:highlight w:val="none"/>
        </w:rPr>
        <w:t>第九条  违约责任</w:t>
      </w:r>
    </w:p>
    <w:p>
      <w:pPr>
        <w:spacing w:line="400" w:lineRule="exact"/>
        <w:ind w:firstLine="420" w:firstLineChars="200"/>
        <w:rPr>
          <w:color w:val="auto"/>
          <w:szCs w:val="21"/>
          <w:highlight w:val="none"/>
        </w:rPr>
      </w:pPr>
      <w:r>
        <w:rPr>
          <w:color w:val="auto"/>
          <w:szCs w:val="21"/>
          <w:highlight w:val="none"/>
        </w:rPr>
        <w:t>1、乙方所提供的服务质量不合格的，应及时调整，调整不及时的按逾期处罚，乙方应向甲方支付合同金额</w:t>
      </w:r>
      <w:r>
        <w:rPr>
          <w:color w:val="auto"/>
          <w:szCs w:val="21"/>
          <w:highlight w:val="none"/>
          <w:u w:val="single"/>
        </w:rPr>
        <w:t>5</w:t>
      </w:r>
      <w:r>
        <w:rPr>
          <w:color w:val="auto"/>
          <w:szCs w:val="21"/>
          <w:highlight w:val="none"/>
        </w:rPr>
        <w:t>%违约金并赔偿甲方经济损失。</w:t>
      </w:r>
    </w:p>
    <w:p>
      <w:pPr>
        <w:spacing w:line="400" w:lineRule="exact"/>
        <w:ind w:firstLine="359" w:firstLineChars="171"/>
        <w:rPr>
          <w:color w:val="auto"/>
          <w:szCs w:val="21"/>
          <w:highlight w:val="none"/>
        </w:rPr>
      </w:pPr>
      <w:r>
        <w:rPr>
          <w:color w:val="auto"/>
          <w:szCs w:val="21"/>
          <w:highlight w:val="none"/>
        </w:rPr>
        <w:t>2、乙方提供的服务如果侵犯了第三方合法权益而引发的任何纠纷或诉讼，均由乙方负责交涉并承担全部责任。</w:t>
      </w:r>
    </w:p>
    <w:p>
      <w:pPr>
        <w:spacing w:line="400" w:lineRule="exact"/>
        <w:ind w:firstLine="420" w:firstLineChars="200"/>
        <w:rPr>
          <w:color w:val="auto"/>
          <w:szCs w:val="21"/>
          <w:highlight w:val="none"/>
        </w:rPr>
      </w:pPr>
      <w:r>
        <w:rPr>
          <w:color w:val="auto"/>
          <w:szCs w:val="21"/>
          <w:highlight w:val="none"/>
        </w:rPr>
        <w:t>3、乙方未按本合同和响应文件中规定的服务承诺提供服务的，乙方应按本合同合同金额</w:t>
      </w:r>
      <w:r>
        <w:rPr>
          <w:color w:val="auto"/>
          <w:szCs w:val="21"/>
          <w:highlight w:val="none"/>
          <w:u w:val="single"/>
        </w:rPr>
        <w:t xml:space="preserve"> 5</w:t>
      </w:r>
      <w:r>
        <w:rPr>
          <w:color w:val="auto"/>
          <w:szCs w:val="21"/>
          <w:highlight w:val="none"/>
        </w:rPr>
        <w:t>%向甲方支付违约金。</w:t>
      </w:r>
    </w:p>
    <w:p>
      <w:pPr>
        <w:spacing w:line="380" w:lineRule="exact"/>
        <w:ind w:firstLine="411" w:firstLineChars="196"/>
        <w:rPr>
          <w:b/>
          <w:color w:val="auto"/>
          <w:szCs w:val="21"/>
          <w:highlight w:val="none"/>
        </w:rPr>
      </w:pPr>
      <w:r>
        <w:rPr>
          <w:color w:val="auto"/>
          <w:szCs w:val="21"/>
          <w:highlight w:val="none"/>
        </w:rPr>
        <w:t>4、其他违约行为按违约款额</w:t>
      </w:r>
      <w:r>
        <w:rPr>
          <w:color w:val="auto"/>
          <w:szCs w:val="21"/>
          <w:highlight w:val="none"/>
          <w:u w:val="single"/>
        </w:rPr>
        <w:t xml:space="preserve"> 5%</w:t>
      </w:r>
      <w:r>
        <w:rPr>
          <w:color w:val="auto"/>
          <w:szCs w:val="21"/>
          <w:highlight w:val="none"/>
        </w:rPr>
        <w:t>收取违约金并赔偿经济损失。</w:t>
      </w:r>
    </w:p>
    <w:p>
      <w:pPr>
        <w:spacing w:line="380" w:lineRule="exact"/>
        <w:ind w:firstLine="411" w:firstLineChars="196"/>
        <w:rPr>
          <w:b/>
          <w:color w:val="auto"/>
          <w:szCs w:val="21"/>
          <w:highlight w:val="none"/>
        </w:rPr>
      </w:pPr>
      <w:r>
        <w:rPr>
          <w:b/>
          <w:color w:val="auto"/>
          <w:szCs w:val="21"/>
          <w:highlight w:val="none"/>
        </w:rPr>
        <w:t>第十条  不可抗力事件处理</w:t>
      </w:r>
    </w:p>
    <w:p>
      <w:pPr>
        <w:spacing w:line="400" w:lineRule="exact"/>
        <w:ind w:firstLine="420" w:firstLineChars="200"/>
        <w:rPr>
          <w:color w:val="auto"/>
          <w:szCs w:val="21"/>
          <w:highlight w:val="none"/>
        </w:rPr>
      </w:pPr>
      <w:r>
        <w:rPr>
          <w:color w:val="auto"/>
          <w:szCs w:val="21"/>
          <w:highlight w:val="none"/>
        </w:rPr>
        <w:t>1、在合同有效期内，乙方因不可抗力事件导致不能履行合同，则合同履行期可延长，其延长期与不可抗力影响期相同。</w:t>
      </w:r>
    </w:p>
    <w:p>
      <w:pPr>
        <w:numPr>
          <w:ilvl w:val="0"/>
          <w:numId w:val="2"/>
        </w:numPr>
        <w:spacing w:line="400" w:lineRule="exact"/>
        <w:rPr>
          <w:color w:val="auto"/>
          <w:szCs w:val="21"/>
          <w:highlight w:val="none"/>
        </w:rPr>
      </w:pPr>
      <w:r>
        <w:rPr>
          <w:color w:val="auto"/>
          <w:szCs w:val="21"/>
          <w:highlight w:val="none"/>
        </w:rPr>
        <w:t>不可抗力事件发生后，应立即通知对方，并寄送有关权威机构出具的证明。</w:t>
      </w:r>
    </w:p>
    <w:p>
      <w:pPr>
        <w:numPr>
          <w:ilvl w:val="0"/>
          <w:numId w:val="2"/>
        </w:numPr>
        <w:spacing w:line="400" w:lineRule="exact"/>
        <w:rPr>
          <w:color w:val="auto"/>
          <w:szCs w:val="21"/>
          <w:highlight w:val="none"/>
        </w:rPr>
      </w:pPr>
      <w:r>
        <w:rPr>
          <w:color w:val="auto"/>
          <w:szCs w:val="21"/>
          <w:highlight w:val="none"/>
        </w:rPr>
        <w:t>不可抗力事件延续一百二十天以上，双方应通过友好协商，确定是否继续履行合同。</w:t>
      </w:r>
    </w:p>
    <w:p>
      <w:pPr>
        <w:spacing w:line="380" w:lineRule="exact"/>
        <w:ind w:firstLine="411" w:firstLineChars="196"/>
        <w:rPr>
          <w:b/>
          <w:color w:val="auto"/>
          <w:szCs w:val="21"/>
          <w:highlight w:val="none"/>
        </w:rPr>
      </w:pPr>
      <w:r>
        <w:rPr>
          <w:b/>
          <w:color w:val="auto"/>
          <w:szCs w:val="21"/>
          <w:highlight w:val="none"/>
        </w:rPr>
        <w:t>第十一条  合同争议解决</w:t>
      </w:r>
    </w:p>
    <w:p>
      <w:pPr>
        <w:spacing w:line="400" w:lineRule="exact"/>
        <w:ind w:firstLine="420" w:firstLineChars="200"/>
        <w:rPr>
          <w:color w:val="auto"/>
          <w:szCs w:val="21"/>
          <w:highlight w:val="none"/>
        </w:rPr>
      </w:pPr>
      <w:r>
        <w:rPr>
          <w:color w:val="auto"/>
          <w:szCs w:val="21"/>
          <w:highlight w:val="none"/>
        </w:rPr>
        <w:t>1、因服务问题发生争议的，应邀请国家认可的相关机构进行鉴定。服务符合要求的，鉴定费由甲方承担；服务不符合要求的，鉴定费由乙方承担。</w:t>
      </w:r>
    </w:p>
    <w:p>
      <w:pPr>
        <w:spacing w:line="400" w:lineRule="exact"/>
        <w:ind w:firstLine="420" w:firstLineChars="200"/>
        <w:rPr>
          <w:color w:val="auto"/>
          <w:szCs w:val="21"/>
          <w:highlight w:val="none"/>
        </w:rPr>
      </w:pPr>
      <w:r>
        <w:rPr>
          <w:color w:val="auto"/>
          <w:szCs w:val="21"/>
          <w:highlight w:val="none"/>
        </w:rPr>
        <w:t>2、因履行本合同引起的或与本合同有关的争议，甲乙双方应首先通过友好协商解决，如果协商不能解决，可向</w:t>
      </w:r>
      <w:r>
        <w:rPr>
          <w:rFonts w:hint="eastAsia"/>
          <w:color w:val="auto"/>
          <w:szCs w:val="21"/>
          <w:highlight w:val="none"/>
          <w:lang w:eastAsia="zh-CN"/>
        </w:rPr>
        <w:t>桂林</w:t>
      </w:r>
      <w:r>
        <w:rPr>
          <w:color w:val="auto"/>
          <w:szCs w:val="21"/>
          <w:highlight w:val="none"/>
        </w:rPr>
        <w:t>人民法院提起诉讼。</w:t>
      </w:r>
    </w:p>
    <w:p>
      <w:pPr>
        <w:spacing w:line="400" w:lineRule="exact"/>
        <w:ind w:left="435"/>
        <w:rPr>
          <w:color w:val="auto"/>
          <w:szCs w:val="21"/>
          <w:highlight w:val="none"/>
        </w:rPr>
      </w:pPr>
      <w:r>
        <w:rPr>
          <w:color w:val="auto"/>
          <w:szCs w:val="21"/>
          <w:highlight w:val="none"/>
        </w:rPr>
        <w:t>3、诉讼期间，本合同继续履行。</w:t>
      </w:r>
    </w:p>
    <w:p>
      <w:pPr>
        <w:spacing w:line="380" w:lineRule="exact"/>
        <w:ind w:firstLine="411" w:firstLineChars="196"/>
        <w:rPr>
          <w:b/>
          <w:color w:val="auto"/>
          <w:szCs w:val="21"/>
          <w:highlight w:val="none"/>
        </w:rPr>
      </w:pPr>
      <w:r>
        <w:rPr>
          <w:b/>
          <w:color w:val="auto"/>
          <w:szCs w:val="21"/>
          <w:highlight w:val="none"/>
        </w:rPr>
        <w:t>第十二条  合同生效及其它</w:t>
      </w:r>
    </w:p>
    <w:p>
      <w:pPr>
        <w:spacing w:line="380" w:lineRule="exact"/>
        <w:ind w:firstLine="420" w:firstLineChars="200"/>
        <w:rPr>
          <w:color w:val="auto"/>
          <w:szCs w:val="21"/>
          <w:highlight w:val="none"/>
        </w:rPr>
      </w:pPr>
      <w:r>
        <w:rPr>
          <w:color w:val="auto"/>
          <w:szCs w:val="21"/>
          <w:highlight w:val="none"/>
        </w:rPr>
        <w:t>1、合同经甲乙双方法定代表人或授权代表签字并加盖单位公章后生效。</w:t>
      </w:r>
    </w:p>
    <w:p>
      <w:pPr>
        <w:spacing w:line="380" w:lineRule="exact"/>
        <w:ind w:firstLine="420" w:firstLineChars="200"/>
        <w:rPr>
          <w:color w:val="auto"/>
          <w:szCs w:val="21"/>
          <w:highlight w:val="none"/>
        </w:rPr>
      </w:pPr>
      <w:r>
        <w:rPr>
          <w:color w:val="auto"/>
          <w:szCs w:val="21"/>
          <w:highlight w:val="none"/>
        </w:rPr>
        <w:t>2、合同执行中涉及采购资金和采购内容修改或补充的，需</w:t>
      </w:r>
      <w:r>
        <w:rPr>
          <w:rFonts w:hint="eastAsia"/>
          <w:color w:val="auto"/>
          <w:szCs w:val="21"/>
          <w:highlight w:val="none"/>
          <w:lang w:eastAsia="zh-CN"/>
        </w:rPr>
        <w:t>桂林市</w:t>
      </w:r>
      <w:r>
        <w:rPr>
          <w:color w:val="auto"/>
          <w:szCs w:val="21"/>
          <w:highlight w:val="none"/>
        </w:rPr>
        <w:t>财政部门审批，并签订书面补充协议报</w:t>
      </w:r>
      <w:r>
        <w:rPr>
          <w:rFonts w:hint="eastAsia"/>
          <w:color w:val="auto"/>
          <w:szCs w:val="21"/>
          <w:highlight w:val="none"/>
          <w:lang w:eastAsia="zh-CN"/>
        </w:rPr>
        <w:t>桂林市政府采购管理办公室</w:t>
      </w:r>
      <w:r>
        <w:rPr>
          <w:color w:val="auto"/>
          <w:szCs w:val="21"/>
          <w:highlight w:val="none"/>
        </w:rPr>
        <w:t>备案，方可作为主合同不可分割的一部分。</w:t>
      </w:r>
    </w:p>
    <w:p>
      <w:pPr>
        <w:spacing w:line="380" w:lineRule="exact"/>
        <w:ind w:left="435"/>
        <w:rPr>
          <w:color w:val="auto"/>
          <w:szCs w:val="21"/>
          <w:highlight w:val="none"/>
        </w:rPr>
      </w:pPr>
      <w:r>
        <w:rPr>
          <w:color w:val="auto"/>
          <w:szCs w:val="21"/>
          <w:highlight w:val="none"/>
        </w:rPr>
        <w:t>3、本合同未尽事宜，遵照《合同法》有关条文执行。</w:t>
      </w:r>
    </w:p>
    <w:p>
      <w:pPr>
        <w:spacing w:line="380" w:lineRule="exact"/>
        <w:ind w:firstLine="411" w:firstLineChars="196"/>
        <w:rPr>
          <w:b/>
          <w:color w:val="auto"/>
          <w:szCs w:val="21"/>
          <w:highlight w:val="none"/>
        </w:rPr>
      </w:pPr>
      <w:r>
        <w:rPr>
          <w:b/>
          <w:color w:val="auto"/>
          <w:szCs w:val="21"/>
          <w:highlight w:val="none"/>
        </w:rPr>
        <w:t>第十三条  合同的变更、终止与转让</w:t>
      </w:r>
    </w:p>
    <w:p>
      <w:pPr>
        <w:spacing w:line="380" w:lineRule="exact"/>
        <w:ind w:firstLine="420" w:firstLineChars="200"/>
        <w:rPr>
          <w:color w:val="auto"/>
          <w:szCs w:val="21"/>
          <w:highlight w:val="none"/>
        </w:rPr>
      </w:pPr>
      <w:r>
        <w:rPr>
          <w:color w:val="auto"/>
          <w:szCs w:val="21"/>
          <w:highlight w:val="none"/>
        </w:rPr>
        <w:t>1、除《中华人民共和国政府采购法》第五十条规定的情形外，本合同一经签订，甲乙双方不得擅自变更，中止或终止。</w:t>
      </w:r>
    </w:p>
    <w:p>
      <w:pPr>
        <w:numPr>
          <w:ilvl w:val="0"/>
          <w:numId w:val="3"/>
        </w:numPr>
        <w:spacing w:line="380" w:lineRule="exact"/>
        <w:rPr>
          <w:color w:val="auto"/>
          <w:szCs w:val="21"/>
          <w:highlight w:val="none"/>
        </w:rPr>
      </w:pPr>
      <w:r>
        <w:rPr>
          <w:color w:val="auto"/>
          <w:szCs w:val="21"/>
          <w:highlight w:val="none"/>
        </w:rPr>
        <w:t>乙方不得擅自转让其应履行的合同义务。</w:t>
      </w:r>
    </w:p>
    <w:p>
      <w:pPr>
        <w:spacing w:line="400" w:lineRule="exact"/>
        <w:ind w:firstLine="411" w:firstLineChars="196"/>
        <w:rPr>
          <w:b/>
          <w:color w:val="auto"/>
          <w:szCs w:val="21"/>
          <w:highlight w:val="none"/>
        </w:rPr>
      </w:pPr>
      <w:r>
        <w:rPr>
          <w:b/>
          <w:color w:val="auto"/>
          <w:szCs w:val="21"/>
          <w:highlight w:val="none"/>
        </w:rPr>
        <w:t>第十四条  签订本合同依据</w:t>
      </w:r>
    </w:p>
    <w:p>
      <w:pPr>
        <w:spacing w:line="400" w:lineRule="exact"/>
        <w:ind w:left="420"/>
        <w:rPr>
          <w:color w:val="auto"/>
          <w:szCs w:val="21"/>
          <w:highlight w:val="none"/>
        </w:rPr>
      </w:pPr>
      <w:r>
        <w:rPr>
          <w:color w:val="auto"/>
          <w:szCs w:val="21"/>
          <w:highlight w:val="none"/>
        </w:rPr>
        <w:t>1、竞争性磋商文件；</w:t>
      </w:r>
    </w:p>
    <w:p>
      <w:pPr>
        <w:spacing w:line="400" w:lineRule="exact"/>
        <w:ind w:left="224" w:leftChars="107" w:firstLine="210" w:firstLineChars="100"/>
        <w:rPr>
          <w:color w:val="auto"/>
          <w:szCs w:val="21"/>
          <w:highlight w:val="none"/>
        </w:rPr>
      </w:pPr>
      <w:r>
        <w:rPr>
          <w:color w:val="auto"/>
          <w:szCs w:val="21"/>
          <w:highlight w:val="none"/>
        </w:rPr>
        <w:t>2、成交供应商的磋商</w:t>
      </w:r>
      <w:r>
        <w:rPr>
          <w:color w:val="auto"/>
          <w:highlight w:val="none"/>
        </w:rPr>
        <w:t>报价表、</w:t>
      </w:r>
      <w:r>
        <w:rPr>
          <w:color w:val="auto"/>
          <w:szCs w:val="21"/>
          <w:highlight w:val="none"/>
        </w:rPr>
        <w:t>针对本项目的服务技术方案；</w:t>
      </w:r>
    </w:p>
    <w:p>
      <w:pPr>
        <w:spacing w:line="400" w:lineRule="exact"/>
        <w:ind w:left="224" w:leftChars="107" w:firstLine="210" w:firstLineChars="100"/>
        <w:rPr>
          <w:color w:val="auto"/>
          <w:szCs w:val="21"/>
          <w:highlight w:val="none"/>
        </w:rPr>
      </w:pPr>
      <w:r>
        <w:rPr>
          <w:color w:val="auto"/>
          <w:szCs w:val="21"/>
          <w:highlight w:val="none"/>
        </w:rPr>
        <w:t>3、服务方案及承诺书；</w:t>
      </w:r>
    </w:p>
    <w:p>
      <w:pPr>
        <w:spacing w:line="400" w:lineRule="exact"/>
        <w:ind w:left="224" w:leftChars="107" w:firstLine="210" w:firstLineChars="100"/>
        <w:rPr>
          <w:color w:val="auto"/>
          <w:szCs w:val="21"/>
          <w:highlight w:val="none"/>
        </w:rPr>
      </w:pPr>
      <w:r>
        <w:rPr>
          <w:color w:val="auto"/>
          <w:szCs w:val="21"/>
          <w:highlight w:val="none"/>
        </w:rPr>
        <w:t>4、成交通知书。</w:t>
      </w:r>
    </w:p>
    <w:p>
      <w:pPr>
        <w:spacing w:line="400" w:lineRule="exact"/>
        <w:ind w:firstLine="420" w:firstLineChars="200"/>
        <w:rPr>
          <w:color w:val="auto"/>
          <w:highlight w:val="none"/>
        </w:rPr>
      </w:pPr>
      <w:r>
        <w:rPr>
          <w:color w:val="auto"/>
          <w:szCs w:val="21"/>
          <w:highlight w:val="none"/>
        </w:rPr>
        <w:t>本合同甲乙双方签字盖章后生效，一式四份，具有同等法律效力，甲、乙双方各一份。政府采购合同双方自签订之日起1个工作日内将合同原件两份交采购代理机构。采购代理机构将政府采购合同在省级以上人民政府财政部门指定媒体上公告并于合同签订之日起7个工作日内将一份合同原件送</w:t>
      </w:r>
      <w:r>
        <w:rPr>
          <w:rFonts w:hint="eastAsia"/>
          <w:color w:val="auto"/>
          <w:szCs w:val="21"/>
          <w:highlight w:val="none"/>
          <w:lang w:eastAsia="zh-CN"/>
        </w:rPr>
        <w:t>桂林市政府采购管理办公室</w:t>
      </w:r>
      <w:r>
        <w:rPr>
          <w:color w:val="auto"/>
          <w:szCs w:val="21"/>
          <w:highlight w:val="none"/>
        </w:rPr>
        <w:t>备案，一份由采购代理机构存档。</w:t>
      </w:r>
    </w:p>
    <w:p>
      <w:pPr>
        <w:spacing w:line="400" w:lineRule="exact"/>
        <w:ind w:firstLine="420" w:firstLineChars="200"/>
        <w:rPr>
          <w:color w:val="auto"/>
          <w:highlight w:val="none"/>
        </w:rPr>
      </w:pPr>
    </w:p>
    <w:p>
      <w:pPr>
        <w:spacing w:line="360" w:lineRule="exact"/>
        <w:ind w:firstLine="420" w:firstLineChars="200"/>
        <w:rPr>
          <w:color w:val="auto"/>
          <w:highlight w:val="none"/>
        </w:rPr>
      </w:pPr>
    </w:p>
    <w:p>
      <w:pPr>
        <w:spacing w:line="360" w:lineRule="exact"/>
        <w:rPr>
          <w:color w:val="auto"/>
          <w:highlight w:val="none"/>
        </w:rPr>
      </w:pPr>
    </w:p>
    <w:p>
      <w:pPr>
        <w:tabs>
          <w:tab w:val="left" w:pos="4320"/>
          <w:tab w:val="left" w:pos="4500"/>
        </w:tabs>
        <w:spacing w:line="360" w:lineRule="exact"/>
        <w:rPr>
          <w:color w:val="auto"/>
          <w:szCs w:val="21"/>
          <w:highlight w:val="none"/>
          <w:u w:val="single"/>
        </w:rPr>
      </w:pPr>
      <w:r>
        <w:rPr>
          <w:color w:val="auto"/>
          <w:szCs w:val="21"/>
          <w:highlight w:val="none"/>
        </w:rPr>
        <w:t>甲方名称（公章）：</w:t>
      </w:r>
      <w:r>
        <w:rPr>
          <w:color w:val="auto"/>
          <w:szCs w:val="21"/>
          <w:highlight w:val="none"/>
          <w:u w:val="single"/>
        </w:rPr>
        <w:t xml:space="preserve">                      </w:t>
      </w:r>
      <w:r>
        <w:rPr>
          <w:color w:val="auto"/>
          <w:szCs w:val="21"/>
          <w:highlight w:val="none"/>
        </w:rPr>
        <w:t xml:space="preserve">     乙方名称（公章，自然人除外）：</w:t>
      </w:r>
      <w:r>
        <w:rPr>
          <w:color w:val="auto"/>
          <w:szCs w:val="21"/>
          <w:highlight w:val="none"/>
          <w:u w:val="single"/>
        </w:rPr>
        <w:t xml:space="preserve">             </w:t>
      </w:r>
      <w:r>
        <w:rPr>
          <w:color w:val="auto"/>
          <w:szCs w:val="21"/>
          <w:highlight w:val="none"/>
        </w:rPr>
        <w:t>.</w:t>
      </w:r>
    </w:p>
    <w:p>
      <w:pPr>
        <w:spacing w:line="360" w:lineRule="exact"/>
        <w:rPr>
          <w:color w:val="auto"/>
          <w:szCs w:val="21"/>
          <w:highlight w:val="none"/>
          <w:u w:val="single"/>
        </w:rPr>
      </w:pPr>
      <w:r>
        <w:rPr>
          <w:color w:val="auto"/>
          <w:szCs w:val="21"/>
          <w:highlight w:val="none"/>
        </w:rPr>
        <w:t>法定代表人签字或盖章：</w:t>
      </w:r>
      <w:r>
        <w:rPr>
          <w:color w:val="auto"/>
          <w:szCs w:val="21"/>
          <w:highlight w:val="none"/>
          <w:u w:val="single"/>
        </w:rPr>
        <w:t xml:space="preserve">                  </w:t>
      </w:r>
      <w:r>
        <w:rPr>
          <w:color w:val="auto"/>
          <w:szCs w:val="21"/>
          <w:highlight w:val="none"/>
        </w:rPr>
        <w:t xml:space="preserve">     法定代表人签字或盖章：</w:t>
      </w:r>
      <w:r>
        <w:rPr>
          <w:color w:val="auto"/>
          <w:szCs w:val="21"/>
          <w:highlight w:val="none"/>
          <w:u w:val="single"/>
        </w:rPr>
        <w:t xml:space="preserve">                     .</w:t>
      </w:r>
    </w:p>
    <w:p>
      <w:pPr>
        <w:spacing w:line="360" w:lineRule="exact"/>
        <w:rPr>
          <w:color w:val="auto"/>
          <w:szCs w:val="21"/>
          <w:highlight w:val="none"/>
        </w:rPr>
      </w:pPr>
      <w:r>
        <w:rPr>
          <w:color w:val="auto"/>
          <w:szCs w:val="21"/>
          <w:highlight w:val="none"/>
        </w:rPr>
        <w:t>地址：</w:t>
      </w:r>
      <w:r>
        <w:rPr>
          <w:color w:val="auto"/>
          <w:szCs w:val="21"/>
          <w:highlight w:val="none"/>
          <w:u w:val="single"/>
        </w:rPr>
        <w:t xml:space="preserve">                                  </w:t>
      </w:r>
      <w:r>
        <w:rPr>
          <w:color w:val="auto"/>
          <w:szCs w:val="21"/>
          <w:highlight w:val="none"/>
        </w:rPr>
        <w:t xml:space="preserve">    地址：</w:t>
      </w:r>
      <w:r>
        <w:rPr>
          <w:color w:val="auto"/>
          <w:szCs w:val="21"/>
          <w:highlight w:val="none"/>
          <w:u w:val="single"/>
        </w:rPr>
        <w:t xml:space="preserve">                                      .</w:t>
      </w:r>
    </w:p>
    <w:p>
      <w:pPr>
        <w:tabs>
          <w:tab w:val="left" w:pos="4680"/>
        </w:tabs>
        <w:spacing w:line="360" w:lineRule="exact"/>
        <w:rPr>
          <w:color w:val="auto"/>
          <w:szCs w:val="21"/>
          <w:highlight w:val="none"/>
          <w:u w:val="single"/>
        </w:rPr>
      </w:pPr>
      <w:r>
        <w:rPr>
          <w:color w:val="auto"/>
          <w:szCs w:val="21"/>
          <w:highlight w:val="none"/>
        </w:rPr>
        <w:t>委托代理人：</w:t>
      </w:r>
      <w:r>
        <w:rPr>
          <w:color w:val="auto"/>
          <w:szCs w:val="21"/>
          <w:highlight w:val="none"/>
          <w:u w:val="single"/>
        </w:rPr>
        <w:t xml:space="preserve">                           </w:t>
      </w:r>
      <w:r>
        <w:rPr>
          <w:color w:val="auto"/>
          <w:szCs w:val="21"/>
          <w:highlight w:val="none"/>
        </w:rPr>
        <w:t xml:space="preserve">     委托代理人：</w:t>
      </w:r>
      <w:r>
        <w:rPr>
          <w:color w:val="auto"/>
          <w:szCs w:val="21"/>
          <w:highlight w:val="none"/>
          <w:u w:val="single"/>
        </w:rPr>
        <w:t xml:space="preserve">                                .</w:t>
      </w:r>
    </w:p>
    <w:p>
      <w:pPr>
        <w:tabs>
          <w:tab w:val="left" w:pos="5040"/>
        </w:tabs>
        <w:spacing w:line="360" w:lineRule="exact"/>
        <w:rPr>
          <w:color w:val="auto"/>
          <w:szCs w:val="21"/>
          <w:highlight w:val="none"/>
          <w:u w:val="single"/>
        </w:rPr>
      </w:pPr>
      <w:r>
        <w:rPr>
          <w:color w:val="auto"/>
          <w:szCs w:val="21"/>
          <w:highlight w:val="none"/>
        </w:rPr>
        <w:t>电  话：</w:t>
      </w:r>
      <w:r>
        <w:rPr>
          <w:color w:val="auto"/>
          <w:szCs w:val="21"/>
          <w:highlight w:val="none"/>
          <w:u w:val="single"/>
        </w:rPr>
        <w:t xml:space="preserve">                               </w:t>
      </w:r>
      <w:r>
        <w:rPr>
          <w:color w:val="auto"/>
          <w:szCs w:val="21"/>
          <w:highlight w:val="none"/>
        </w:rPr>
        <w:t xml:space="preserve">     电   话： </w:t>
      </w:r>
      <w:r>
        <w:rPr>
          <w:color w:val="auto"/>
          <w:szCs w:val="21"/>
          <w:highlight w:val="none"/>
          <w:u w:val="single"/>
        </w:rPr>
        <w:t xml:space="preserve">                                  .</w:t>
      </w:r>
    </w:p>
    <w:p>
      <w:pPr>
        <w:tabs>
          <w:tab w:val="left" w:pos="5040"/>
        </w:tabs>
        <w:spacing w:line="360" w:lineRule="exact"/>
        <w:rPr>
          <w:color w:val="auto"/>
          <w:szCs w:val="21"/>
          <w:highlight w:val="none"/>
        </w:rPr>
      </w:pPr>
      <w:r>
        <w:rPr>
          <w:color w:val="auto"/>
          <w:szCs w:val="21"/>
          <w:highlight w:val="none"/>
        </w:rPr>
        <w:t>开户名称：</w:t>
      </w:r>
      <w:r>
        <w:rPr>
          <w:color w:val="auto"/>
          <w:szCs w:val="21"/>
          <w:highlight w:val="none"/>
          <w:u w:val="single"/>
        </w:rPr>
        <w:t xml:space="preserve">                             </w:t>
      </w:r>
      <w:r>
        <w:rPr>
          <w:color w:val="auto"/>
          <w:szCs w:val="21"/>
          <w:highlight w:val="none"/>
        </w:rPr>
        <w:t xml:space="preserve">     开户名称：</w:t>
      </w:r>
      <w:r>
        <w:rPr>
          <w:color w:val="auto"/>
          <w:szCs w:val="21"/>
          <w:highlight w:val="none"/>
          <w:u w:val="single"/>
        </w:rPr>
        <w:t xml:space="preserve">                                  .</w:t>
      </w:r>
    </w:p>
    <w:p>
      <w:pPr>
        <w:tabs>
          <w:tab w:val="left" w:pos="5040"/>
        </w:tabs>
        <w:spacing w:line="360" w:lineRule="exact"/>
        <w:rPr>
          <w:color w:val="auto"/>
          <w:szCs w:val="21"/>
          <w:highlight w:val="none"/>
        </w:rPr>
      </w:pPr>
      <w:r>
        <w:rPr>
          <w:color w:val="auto"/>
          <w:szCs w:val="21"/>
          <w:highlight w:val="none"/>
        </w:rPr>
        <w:t>开户银行：</w:t>
      </w:r>
      <w:r>
        <w:rPr>
          <w:color w:val="auto"/>
          <w:szCs w:val="21"/>
          <w:highlight w:val="none"/>
          <w:u w:val="single"/>
        </w:rPr>
        <w:t xml:space="preserve">                             </w:t>
      </w:r>
      <w:r>
        <w:rPr>
          <w:color w:val="auto"/>
          <w:szCs w:val="21"/>
          <w:highlight w:val="none"/>
        </w:rPr>
        <w:t xml:space="preserve">     开户银行：</w:t>
      </w:r>
      <w:r>
        <w:rPr>
          <w:color w:val="auto"/>
          <w:szCs w:val="21"/>
          <w:highlight w:val="none"/>
          <w:u w:val="single"/>
        </w:rPr>
        <w:t xml:space="preserve">                                  . </w:t>
      </w:r>
    </w:p>
    <w:p>
      <w:pPr>
        <w:tabs>
          <w:tab w:val="left" w:pos="5040"/>
        </w:tabs>
        <w:spacing w:line="360" w:lineRule="exact"/>
        <w:rPr>
          <w:color w:val="auto"/>
          <w:szCs w:val="21"/>
          <w:highlight w:val="none"/>
        </w:rPr>
      </w:pPr>
      <w:r>
        <w:rPr>
          <w:color w:val="auto"/>
          <w:szCs w:val="21"/>
          <w:highlight w:val="none"/>
        </w:rPr>
        <w:t>银行账号：</w:t>
      </w:r>
      <w:r>
        <w:rPr>
          <w:color w:val="auto"/>
          <w:szCs w:val="21"/>
          <w:highlight w:val="none"/>
          <w:u w:val="single"/>
        </w:rPr>
        <w:t xml:space="preserve">                             </w:t>
      </w:r>
      <w:r>
        <w:rPr>
          <w:color w:val="auto"/>
          <w:szCs w:val="21"/>
          <w:highlight w:val="none"/>
        </w:rPr>
        <w:t xml:space="preserve">     银行账号：</w:t>
      </w:r>
      <w:r>
        <w:rPr>
          <w:color w:val="auto"/>
          <w:szCs w:val="21"/>
          <w:highlight w:val="none"/>
          <w:u w:val="single"/>
        </w:rPr>
        <w:t xml:space="preserve">                                  </w:t>
      </w:r>
      <w:r>
        <w:rPr>
          <w:color w:val="auto"/>
          <w:szCs w:val="21"/>
          <w:highlight w:val="none"/>
        </w:rPr>
        <w:t>.</w:t>
      </w:r>
    </w:p>
    <w:p>
      <w:pPr>
        <w:tabs>
          <w:tab w:val="left" w:pos="5040"/>
        </w:tabs>
        <w:spacing w:line="360" w:lineRule="exact"/>
        <w:rPr>
          <w:color w:val="auto"/>
          <w:szCs w:val="21"/>
          <w:highlight w:val="none"/>
        </w:rPr>
      </w:pPr>
      <w:r>
        <w:rPr>
          <w:color w:val="auto"/>
          <w:szCs w:val="21"/>
          <w:highlight w:val="none"/>
        </w:rPr>
        <w:t>日    期：</w:t>
      </w:r>
      <w:r>
        <w:rPr>
          <w:color w:val="auto"/>
          <w:szCs w:val="21"/>
          <w:highlight w:val="none"/>
          <w:u w:val="single"/>
        </w:rPr>
        <w:t xml:space="preserve">                             </w:t>
      </w:r>
      <w:r>
        <w:rPr>
          <w:color w:val="auto"/>
          <w:szCs w:val="21"/>
          <w:highlight w:val="none"/>
        </w:rPr>
        <w:t xml:space="preserve">     日    期：</w:t>
      </w:r>
      <w:r>
        <w:rPr>
          <w:color w:val="auto"/>
          <w:szCs w:val="21"/>
          <w:highlight w:val="none"/>
          <w:u w:val="single"/>
        </w:rPr>
        <w:t xml:space="preserve">                                   .</w:t>
      </w:r>
    </w:p>
    <w:p>
      <w:pPr>
        <w:pStyle w:val="4"/>
        <w:spacing w:line="0" w:lineRule="atLeast"/>
        <w:jc w:val="center"/>
        <w:rPr>
          <w:rFonts w:ascii="Times New Roman" w:hAnsi="Times New Roman"/>
          <w:color w:val="auto"/>
          <w:highlight w:val="none"/>
        </w:rPr>
      </w:pPr>
      <w:r>
        <w:rPr>
          <w:rFonts w:ascii="Times New Roman" w:hAnsi="Times New Roman"/>
          <w:b w:val="0"/>
          <w:color w:val="auto"/>
          <w:highlight w:val="none"/>
        </w:rPr>
        <w:br w:type="page"/>
      </w:r>
      <w:bookmarkStart w:id="55" w:name="_Toc2681"/>
      <w:bookmarkStart w:id="56" w:name="_Toc16706"/>
      <w:r>
        <w:rPr>
          <w:rFonts w:ascii="Times New Roman" w:hAnsi="Times New Roman"/>
          <w:color w:val="auto"/>
          <w:highlight w:val="none"/>
        </w:rPr>
        <w:t>第六章、响应文件格式</w:t>
      </w:r>
      <w:bookmarkEnd w:id="55"/>
      <w:bookmarkEnd w:id="56"/>
    </w:p>
    <w:p>
      <w:pPr>
        <w:spacing w:line="440" w:lineRule="atLeast"/>
        <w:rPr>
          <w:b/>
          <w:color w:val="auto"/>
          <w:sz w:val="24"/>
          <w:highlight w:val="none"/>
        </w:rPr>
      </w:pPr>
      <w:r>
        <w:rPr>
          <w:b/>
          <w:color w:val="auto"/>
          <w:sz w:val="24"/>
          <w:highlight w:val="none"/>
        </w:rPr>
        <w:t>附件：</w:t>
      </w:r>
    </w:p>
    <w:p>
      <w:pPr>
        <w:spacing w:line="440" w:lineRule="atLeast"/>
        <w:jc w:val="center"/>
        <w:rPr>
          <w:b/>
          <w:color w:val="auto"/>
          <w:sz w:val="28"/>
          <w:szCs w:val="28"/>
          <w:highlight w:val="none"/>
        </w:rPr>
      </w:pPr>
      <w:r>
        <w:rPr>
          <w:b/>
          <w:color w:val="auto"/>
          <w:sz w:val="28"/>
          <w:szCs w:val="28"/>
          <w:highlight w:val="none"/>
        </w:rPr>
        <w:t>1、响应函（格式见附件）（必须提供）；</w:t>
      </w:r>
    </w:p>
    <w:p>
      <w:pPr>
        <w:spacing w:line="440" w:lineRule="atLeast"/>
        <w:jc w:val="center"/>
        <w:rPr>
          <w:b/>
          <w:color w:val="auto"/>
          <w:sz w:val="28"/>
          <w:szCs w:val="28"/>
          <w:highlight w:val="none"/>
        </w:rPr>
      </w:pPr>
      <w:r>
        <w:rPr>
          <w:b/>
          <w:color w:val="auto"/>
          <w:sz w:val="28"/>
          <w:szCs w:val="28"/>
          <w:highlight w:val="none"/>
        </w:rPr>
        <w:t>响应函（格式）</w:t>
      </w:r>
    </w:p>
    <w:p>
      <w:pPr>
        <w:spacing w:line="400" w:lineRule="exact"/>
        <w:rPr>
          <w:rFonts w:hint="eastAsia" w:eastAsia="宋体"/>
          <w:color w:val="auto"/>
          <w:highlight w:val="none"/>
          <w:lang w:eastAsia="zh-CN"/>
        </w:rPr>
      </w:pPr>
      <w:r>
        <w:rPr>
          <w:color w:val="auto"/>
          <w:szCs w:val="21"/>
          <w:highlight w:val="none"/>
        </w:rPr>
        <w:t>致</w:t>
      </w:r>
      <w:r>
        <w:rPr>
          <w:color w:val="auto"/>
          <w:szCs w:val="21"/>
          <w:highlight w:val="none"/>
          <w:u w:val="single"/>
        </w:rPr>
        <w:t>：</w:t>
      </w:r>
      <w:r>
        <w:rPr>
          <w:rFonts w:hint="eastAsia"/>
          <w:color w:val="auto"/>
          <w:szCs w:val="21"/>
          <w:highlight w:val="none"/>
          <w:u w:val="single"/>
          <w:lang w:eastAsia="zh-CN"/>
        </w:rPr>
        <w:t>广西汇益招标咨询有限公司</w:t>
      </w:r>
    </w:p>
    <w:p>
      <w:pPr>
        <w:pStyle w:val="23"/>
        <w:spacing w:line="400" w:lineRule="exact"/>
        <w:ind w:firstLine="420"/>
        <w:rPr>
          <w:rFonts w:ascii="Times New Roman" w:hAnsi="Times New Roman"/>
          <w:color w:val="auto"/>
          <w:szCs w:val="21"/>
          <w:highlight w:val="none"/>
        </w:rPr>
      </w:pPr>
      <w:r>
        <w:rPr>
          <w:rFonts w:ascii="Times New Roman" w:hAnsi="Times New Roman"/>
          <w:color w:val="auto"/>
          <w:highlight w:val="none"/>
        </w:rPr>
        <w:t>根据贵方项目</w:t>
      </w:r>
      <w:r>
        <w:rPr>
          <w:rFonts w:ascii="Times New Roman" w:hAnsi="Times New Roman"/>
          <w:bCs/>
          <w:color w:val="auto"/>
          <w:szCs w:val="21"/>
          <w:highlight w:val="none"/>
          <w:u w:val="single"/>
        </w:rPr>
        <w:t xml:space="preserve">        </w:t>
      </w:r>
      <w:r>
        <w:rPr>
          <w:rFonts w:ascii="Times New Roman" w:hAnsi="Times New Roman"/>
          <w:bCs/>
          <w:color w:val="auto"/>
          <w:szCs w:val="21"/>
          <w:highlight w:val="none"/>
        </w:rPr>
        <w:t>竞争性</w:t>
      </w:r>
      <w:r>
        <w:rPr>
          <w:rFonts w:ascii="Times New Roman" w:hAnsi="Times New Roman"/>
          <w:color w:val="auto"/>
          <w:highlight w:val="none"/>
        </w:rPr>
        <w:t>磋商文件，项目编号：</w:t>
      </w:r>
      <w:r>
        <w:rPr>
          <w:rFonts w:ascii="Times New Roman" w:hAnsi="Times New Roman"/>
          <w:bCs/>
          <w:color w:val="auto"/>
          <w:szCs w:val="21"/>
          <w:highlight w:val="none"/>
          <w:u w:val="single"/>
        </w:rPr>
        <w:t xml:space="preserve">          </w:t>
      </w:r>
      <w:r>
        <w:rPr>
          <w:rFonts w:ascii="Times New Roman" w:hAnsi="Times New Roman"/>
          <w:color w:val="auto"/>
          <w:szCs w:val="21"/>
          <w:highlight w:val="none"/>
        </w:rPr>
        <w:t>，签字代表</w:t>
      </w:r>
      <w:r>
        <w:rPr>
          <w:rFonts w:ascii="Times New Roman" w:hAnsi="Times New Roman"/>
          <w:color w:val="auto"/>
          <w:szCs w:val="21"/>
          <w:highlight w:val="none"/>
          <w:u w:val="single"/>
        </w:rPr>
        <w:t xml:space="preserve">       </w:t>
      </w:r>
      <w:r>
        <w:rPr>
          <w:rFonts w:ascii="Times New Roman" w:hAnsi="Times New Roman"/>
          <w:color w:val="auto"/>
          <w:highlight w:val="none"/>
        </w:rPr>
        <w:t xml:space="preserve">（姓名）经正式授权并代表磋商供应商 </w:t>
      </w:r>
      <w:r>
        <w:rPr>
          <w:rFonts w:ascii="Times New Roman" w:hAnsi="Times New Roman"/>
          <w:color w:val="auto"/>
          <w:highlight w:val="none"/>
          <w:u w:val="single"/>
        </w:rPr>
        <w:t xml:space="preserve">                  （磋商单位名称）</w:t>
      </w:r>
      <w:r>
        <w:rPr>
          <w:rFonts w:ascii="Times New Roman" w:hAnsi="Times New Roman"/>
          <w:color w:val="auto"/>
          <w:highlight w:val="none"/>
        </w:rPr>
        <w:t>，提交响应文件正本一份，副本肆份。</w:t>
      </w:r>
    </w:p>
    <w:p>
      <w:pPr>
        <w:pStyle w:val="23"/>
        <w:spacing w:line="400" w:lineRule="exact"/>
        <w:ind w:firstLine="420"/>
        <w:rPr>
          <w:rFonts w:ascii="Times New Roman" w:hAnsi="Times New Roman"/>
          <w:color w:val="auto"/>
          <w:highlight w:val="none"/>
        </w:rPr>
      </w:pPr>
      <w:r>
        <w:rPr>
          <w:rFonts w:ascii="Times New Roman" w:hAnsi="Times New Roman"/>
          <w:color w:val="auto"/>
          <w:highlight w:val="none"/>
        </w:rPr>
        <w:t>据此函，签字代表宣布同意如下：</w:t>
      </w:r>
    </w:p>
    <w:p>
      <w:pPr>
        <w:pStyle w:val="23"/>
        <w:spacing w:line="400" w:lineRule="exact"/>
        <w:ind w:firstLine="420"/>
        <w:rPr>
          <w:rFonts w:ascii="Times New Roman" w:hAnsi="Times New Roman"/>
          <w:color w:val="auto"/>
          <w:highlight w:val="none"/>
        </w:rPr>
      </w:pPr>
      <w:r>
        <w:rPr>
          <w:rFonts w:ascii="Times New Roman" w:hAnsi="Times New Roman"/>
          <w:color w:val="auto"/>
          <w:highlight w:val="none"/>
        </w:rPr>
        <w:t>1、按磋商文件服务要求和磋商报价表：</w:t>
      </w:r>
    </w:p>
    <w:p>
      <w:pPr>
        <w:pStyle w:val="23"/>
        <w:spacing w:line="400" w:lineRule="exact"/>
        <w:ind w:firstLine="420"/>
        <w:rPr>
          <w:rFonts w:ascii="Times New Roman" w:hAnsi="Times New Roman"/>
          <w:color w:val="auto"/>
          <w:highlight w:val="none"/>
        </w:rPr>
      </w:pPr>
      <w:r>
        <w:rPr>
          <w:rFonts w:ascii="Times New Roman" w:hAnsi="Times New Roman"/>
          <w:color w:val="auto"/>
          <w:highlight w:val="none"/>
        </w:rPr>
        <w:t>竞标总报价（大写）</w:t>
      </w:r>
      <w:r>
        <w:rPr>
          <w:rFonts w:ascii="Times New Roman" w:hAnsi="Times New Roman"/>
          <w:bCs/>
          <w:color w:val="auto"/>
          <w:szCs w:val="21"/>
          <w:highlight w:val="none"/>
          <w:u w:val="single"/>
        </w:rPr>
        <w:t xml:space="preserve">        </w:t>
      </w:r>
      <w:r>
        <w:rPr>
          <w:rFonts w:ascii="Times New Roman" w:hAnsi="Times New Roman"/>
          <w:color w:val="auto"/>
          <w:highlight w:val="none"/>
        </w:rPr>
        <w:t>元人民币(￥</w:t>
      </w:r>
      <w:r>
        <w:rPr>
          <w:rFonts w:ascii="Times New Roman" w:hAnsi="Times New Roman"/>
          <w:bCs/>
          <w:color w:val="auto"/>
          <w:szCs w:val="21"/>
          <w:highlight w:val="none"/>
          <w:u w:val="single"/>
        </w:rPr>
        <w:t xml:space="preserve">        </w:t>
      </w:r>
      <w:r>
        <w:rPr>
          <w:rFonts w:ascii="Times New Roman" w:hAnsi="Times New Roman"/>
          <w:color w:val="auto"/>
          <w:highlight w:val="none"/>
        </w:rPr>
        <w:t>)；</w:t>
      </w:r>
    </w:p>
    <w:p>
      <w:pPr>
        <w:pStyle w:val="23"/>
        <w:spacing w:line="400" w:lineRule="exact"/>
        <w:ind w:firstLine="420"/>
        <w:rPr>
          <w:rFonts w:ascii="Times New Roman" w:hAnsi="Times New Roman"/>
          <w:color w:val="auto"/>
          <w:highlight w:val="none"/>
        </w:rPr>
      </w:pPr>
      <w:r>
        <w:rPr>
          <w:rFonts w:ascii="Times New Roman" w:hAnsi="Times New Roman"/>
          <w:color w:val="auto"/>
          <w:highlight w:val="none"/>
        </w:rPr>
        <w:t>2、我方承诺已具备磋商文件规定的磋商供应商资格条件。</w:t>
      </w:r>
    </w:p>
    <w:p>
      <w:pPr>
        <w:pStyle w:val="23"/>
        <w:spacing w:line="400" w:lineRule="exact"/>
        <w:ind w:firstLine="420"/>
        <w:rPr>
          <w:rFonts w:ascii="Times New Roman" w:hAnsi="Times New Roman"/>
          <w:color w:val="auto"/>
          <w:highlight w:val="none"/>
        </w:rPr>
      </w:pPr>
      <w:r>
        <w:rPr>
          <w:rFonts w:ascii="Times New Roman" w:hAnsi="Times New Roman"/>
          <w:color w:val="auto"/>
          <w:highlight w:val="none"/>
        </w:rPr>
        <w:t>3、我方已详细审核磋商文件，包括修改文件（如有的话）和有关附件，完全理解并接受竞争性磋商文件的各项规定和要求，对竞争性磋商文件的合理性、合法性不再有异议。</w:t>
      </w:r>
    </w:p>
    <w:p>
      <w:pPr>
        <w:pStyle w:val="23"/>
        <w:spacing w:line="400" w:lineRule="exact"/>
        <w:ind w:firstLine="420"/>
        <w:rPr>
          <w:rFonts w:ascii="Times New Roman" w:hAnsi="Times New Roman"/>
          <w:color w:val="auto"/>
          <w:highlight w:val="none"/>
        </w:rPr>
      </w:pPr>
      <w:r>
        <w:rPr>
          <w:rFonts w:ascii="Times New Roman" w:hAnsi="Times New Roman"/>
          <w:color w:val="auto"/>
          <w:highlight w:val="none"/>
        </w:rPr>
        <w:t>4、响应文件有效期：响应文件递交截止时间之日起90天。</w:t>
      </w:r>
    </w:p>
    <w:p>
      <w:pPr>
        <w:pStyle w:val="23"/>
        <w:spacing w:line="400" w:lineRule="exact"/>
        <w:ind w:firstLine="420"/>
        <w:rPr>
          <w:rFonts w:ascii="Times New Roman" w:hAnsi="Times New Roman"/>
          <w:color w:val="auto"/>
          <w:highlight w:val="none"/>
        </w:rPr>
      </w:pPr>
      <w:r>
        <w:rPr>
          <w:rFonts w:ascii="Times New Roman" w:hAnsi="Times New Roman"/>
          <w:color w:val="auto"/>
          <w:highlight w:val="none"/>
        </w:rPr>
        <w:t>5、如我方成交：</w:t>
      </w:r>
    </w:p>
    <w:p>
      <w:pPr>
        <w:pStyle w:val="23"/>
        <w:spacing w:line="400" w:lineRule="exact"/>
        <w:ind w:firstLine="420"/>
        <w:rPr>
          <w:rFonts w:ascii="Times New Roman" w:hAnsi="Times New Roman"/>
          <w:color w:val="auto"/>
          <w:highlight w:val="none"/>
        </w:rPr>
      </w:pPr>
      <w:r>
        <w:rPr>
          <w:rFonts w:ascii="Times New Roman" w:hAnsi="Times New Roman"/>
          <w:color w:val="auto"/>
          <w:highlight w:val="none"/>
        </w:rPr>
        <w:t>（1）我方承诺在收到成交通知书后，在成交通知书规定的期限内与采购人签订合同。</w:t>
      </w:r>
    </w:p>
    <w:p>
      <w:pPr>
        <w:pStyle w:val="23"/>
        <w:spacing w:line="400" w:lineRule="exact"/>
        <w:ind w:firstLine="420"/>
        <w:rPr>
          <w:rFonts w:ascii="Times New Roman" w:hAnsi="Times New Roman"/>
          <w:color w:val="auto"/>
          <w:highlight w:val="none"/>
        </w:rPr>
      </w:pPr>
      <w:r>
        <w:rPr>
          <w:rFonts w:ascii="Times New Roman" w:hAnsi="Times New Roman"/>
          <w:color w:val="auto"/>
          <w:highlight w:val="none"/>
        </w:rPr>
        <w:t>（2）我方承诺按照磋商文件规定递交履约担保。</w:t>
      </w:r>
    </w:p>
    <w:p>
      <w:pPr>
        <w:pStyle w:val="23"/>
        <w:spacing w:line="400" w:lineRule="exact"/>
        <w:ind w:firstLine="420"/>
        <w:rPr>
          <w:rFonts w:ascii="Times New Roman" w:hAnsi="Times New Roman"/>
          <w:color w:val="auto"/>
          <w:highlight w:val="none"/>
        </w:rPr>
      </w:pPr>
      <w:r>
        <w:rPr>
          <w:rFonts w:ascii="Times New Roman" w:hAnsi="Times New Roman"/>
          <w:color w:val="auto"/>
          <w:highlight w:val="none"/>
        </w:rPr>
        <w:t>（3）我方承诺本响应文件至本项目合同履行完毕止均保持有效，按磋商文件及政府采购法律、法规的规定履行合同责任和义务。</w:t>
      </w:r>
    </w:p>
    <w:p>
      <w:pPr>
        <w:pStyle w:val="23"/>
        <w:spacing w:line="400" w:lineRule="exact"/>
        <w:ind w:firstLine="420"/>
        <w:rPr>
          <w:rFonts w:ascii="Times New Roman" w:hAnsi="Times New Roman"/>
          <w:color w:val="auto"/>
          <w:highlight w:val="none"/>
        </w:rPr>
      </w:pPr>
      <w:r>
        <w:rPr>
          <w:rFonts w:ascii="Times New Roman" w:hAnsi="Times New Roman"/>
          <w:color w:val="auto"/>
          <w:highlight w:val="none"/>
        </w:rPr>
        <w:t>与本磋商有关的正式通讯地址为：</w:t>
      </w:r>
    </w:p>
    <w:p>
      <w:pPr>
        <w:pStyle w:val="23"/>
        <w:spacing w:line="400" w:lineRule="exact"/>
        <w:ind w:firstLine="420"/>
        <w:rPr>
          <w:rFonts w:ascii="Times New Roman" w:hAnsi="Times New Roman"/>
          <w:color w:val="auto"/>
          <w:highlight w:val="none"/>
          <w:u w:val="single"/>
        </w:rPr>
      </w:pPr>
      <w:r>
        <w:rPr>
          <w:rFonts w:ascii="Times New Roman" w:hAnsi="Times New Roman"/>
          <w:color w:val="auto"/>
          <w:highlight w:val="none"/>
        </w:rPr>
        <w:t>地址：</w:t>
      </w:r>
      <w:r>
        <w:rPr>
          <w:rFonts w:ascii="Times New Roman" w:hAnsi="Times New Roman"/>
          <w:color w:val="auto"/>
          <w:highlight w:val="none"/>
          <w:u w:val="single"/>
        </w:rPr>
        <w:t xml:space="preserve">                       </w:t>
      </w:r>
      <w:r>
        <w:rPr>
          <w:rFonts w:ascii="Times New Roman" w:hAnsi="Times New Roman"/>
          <w:color w:val="auto"/>
          <w:highlight w:val="none"/>
        </w:rPr>
        <w:t xml:space="preserve"> 邮编：</w:t>
      </w:r>
      <w:r>
        <w:rPr>
          <w:rFonts w:ascii="Times New Roman" w:hAnsi="Times New Roman"/>
          <w:color w:val="auto"/>
          <w:highlight w:val="none"/>
          <w:u w:val="single"/>
        </w:rPr>
        <w:t xml:space="preserve">           </w:t>
      </w:r>
      <w:r>
        <w:rPr>
          <w:rFonts w:ascii="Times New Roman" w:hAnsi="Times New Roman"/>
          <w:color w:val="auto"/>
          <w:highlight w:val="none"/>
        </w:rPr>
        <w:t xml:space="preserve">  电话、传真：</w:t>
      </w:r>
      <w:r>
        <w:rPr>
          <w:rFonts w:ascii="Times New Roman" w:hAnsi="Times New Roman"/>
          <w:color w:val="auto"/>
          <w:highlight w:val="none"/>
          <w:u w:val="single"/>
        </w:rPr>
        <w:t xml:space="preserve">           </w:t>
      </w:r>
      <w:r>
        <w:rPr>
          <w:rFonts w:ascii="Times New Roman" w:hAnsi="Times New Roman"/>
          <w:color w:val="auto"/>
          <w:szCs w:val="21"/>
          <w:highlight w:val="none"/>
        </w:rPr>
        <w:t>。</w:t>
      </w:r>
    </w:p>
    <w:p>
      <w:pPr>
        <w:pStyle w:val="23"/>
        <w:spacing w:line="400" w:lineRule="exact"/>
        <w:ind w:firstLine="420"/>
        <w:rPr>
          <w:rFonts w:ascii="Times New Roman" w:hAnsi="Times New Roman"/>
          <w:color w:val="auto"/>
          <w:szCs w:val="21"/>
          <w:highlight w:val="none"/>
        </w:rPr>
      </w:pPr>
      <w:r>
        <w:rPr>
          <w:rFonts w:ascii="Times New Roman" w:hAnsi="Times New Roman"/>
          <w:color w:val="auto"/>
          <w:highlight w:val="none"/>
        </w:rPr>
        <w:t>开户名称：</w:t>
      </w:r>
      <w:r>
        <w:rPr>
          <w:rFonts w:ascii="Times New Roman" w:hAnsi="Times New Roman"/>
          <w:color w:val="auto"/>
          <w:highlight w:val="none"/>
          <w:u w:val="single"/>
        </w:rPr>
        <w:t xml:space="preserve">                                       </w:t>
      </w:r>
      <w:r>
        <w:rPr>
          <w:rFonts w:ascii="Times New Roman" w:hAnsi="Times New Roman"/>
          <w:color w:val="auto"/>
          <w:szCs w:val="21"/>
          <w:highlight w:val="none"/>
        </w:rPr>
        <w:t>；</w:t>
      </w:r>
    </w:p>
    <w:p>
      <w:pPr>
        <w:pStyle w:val="23"/>
        <w:spacing w:line="400" w:lineRule="exact"/>
        <w:ind w:firstLine="420"/>
        <w:rPr>
          <w:rFonts w:ascii="Times New Roman" w:hAnsi="Times New Roman"/>
          <w:color w:val="auto"/>
          <w:szCs w:val="21"/>
          <w:highlight w:val="none"/>
        </w:rPr>
      </w:pPr>
      <w:r>
        <w:rPr>
          <w:rFonts w:ascii="Times New Roman" w:hAnsi="Times New Roman"/>
          <w:color w:val="auto"/>
          <w:highlight w:val="none"/>
        </w:rPr>
        <w:t>开户银行：</w:t>
      </w:r>
      <w:r>
        <w:rPr>
          <w:rFonts w:ascii="Times New Roman" w:hAnsi="Times New Roman"/>
          <w:color w:val="auto"/>
          <w:highlight w:val="none"/>
          <w:u w:val="single"/>
        </w:rPr>
        <w:t xml:space="preserve">                                       </w:t>
      </w:r>
      <w:r>
        <w:rPr>
          <w:rFonts w:ascii="Times New Roman" w:hAnsi="Times New Roman"/>
          <w:color w:val="auto"/>
          <w:szCs w:val="21"/>
          <w:highlight w:val="none"/>
        </w:rPr>
        <w:t>；</w:t>
      </w:r>
    </w:p>
    <w:p>
      <w:pPr>
        <w:pStyle w:val="23"/>
        <w:spacing w:line="400" w:lineRule="exact"/>
        <w:ind w:firstLine="420"/>
        <w:rPr>
          <w:rFonts w:ascii="Times New Roman" w:hAnsi="Times New Roman"/>
          <w:color w:val="auto"/>
          <w:highlight w:val="none"/>
        </w:rPr>
      </w:pPr>
      <w:r>
        <w:rPr>
          <w:rFonts w:ascii="Times New Roman" w:hAnsi="Times New Roman"/>
          <w:color w:val="auto"/>
          <w:highlight w:val="none"/>
        </w:rPr>
        <w:t>账号：</w:t>
      </w:r>
      <w:r>
        <w:rPr>
          <w:rFonts w:ascii="Times New Roman" w:hAnsi="Times New Roman"/>
          <w:color w:val="auto"/>
          <w:highlight w:val="none"/>
          <w:u w:val="single"/>
        </w:rPr>
        <w:t xml:space="preserve">                                           </w:t>
      </w:r>
      <w:r>
        <w:rPr>
          <w:rFonts w:ascii="Times New Roman" w:hAnsi="Times New Roman"/>
          <w:color w:val="auto"/>
          <w:szCs w:val="21"/>
          <w:highlight w:val="none"/>
        </w:rPr>
        <w:t>；</w:t>
      </w:r>
    </w:p>
    <w:p>
      <w:pPr>
        <w:pStyle w:val="23"/>
        <w:spacing w:line="400" w:lineRule="exact"/>
        <w:ind w:firstLine="420"/>
        <w:rPr>
          <w:rFonts w:ascii="Times New Roman" w:hAnsi="Times New Roman"/>
          <w:color w:val="auto"/>
          <w:highlight w:val="none"/>
        </w:rPr>
      </w:pPr>
      <w:r>
        <w:rPr>
          <w:rFonts w:ascii="Times New Roman" w:hAnsi="Times New Roman"/>
          <w:color w:val="auto"/>
          <w:highlight w:val="none"/>
        </w:rPr>
        <w:t>磋商供应商（公章，自然人除外）：</w:t>
      </w:r>
      <w:r>
        <w:rPr>
          <w:rFonts w:ascii="Times New Roman" w:hAnsi="Times New Roman"/>
          <w:color w:val="auto"/>
          <w:highlight w:val="none"/>
          <w:u w:val="single"/>
        </w:rPr>
        <w:t xml:space="preserve">                         </w:t>
      </w:r>
      <w:r>
        <w:rPr>
          <w:rFonts w:ascii="Times New Roman" w:hAnsi="Times New Roman"/>
          <w:color w:val="auto"/>
          <w:szCs w:val="21"/>
          <w:highlight w:val="none"/>
        </w:rPr>
        <w:t>；</w:t>
      </w:r>
    </w:p>
    <w:p>
      <w:pPr>
        <w:pStyle w:val="23"/>
        <w:spacing w:line="400" w:lineRule="exact"/>
        <w:ind w:firstLine="420"/>
        <w:rPr>
          <w:rFonts w:ascii="Times New Roman" w:hAnsi="Times New Roman"/>
          <w:color w:val="auto"/>
          <w:highlight w:val="none"/>
        </w:rPr>
      </w:pPr>
      <w:r>
        <w:rPr>
          <w:rFonts w:ascii="Times New Roman" w:hAnsi="Times New Roman"/>
          <w:color w:val="auto"/>
          <w:highlight w:val="none"/>
        </w:rPr>
        <w:t>法定代表人或负责人或相应的委托代理人签字（或盖章）：</w:t>
      </w:r>
      <w:r>
        <w:rPr>
          <w:rFonts w:ascii="Times New Roman" w:hAnsi="Times New Roman"/>
          <w:color w:val="auto"/>
          <w:highlight w:val="none"/>
          <w:u w:val="single"/>
        </w:rPr>
        <w:t xml:space="preserve">                   </w:t>
      </w:r>
      <w:r>
        <w:rPr>
          <w:rFonts w:ascii="Times New Roman" w:hAnsi="Times New Roman"/>
          <w:color w:val="auto"/>
          <w:highlight w:val="none"/>
        </w:rPr>
        <w:t>；</w:t>
      </w:r>
    </w:p>
    <w:p>
      <w:pPr>
        <w:pStyle w:val="23"/>
        <w:spacing w:line="400" w:lineRule="exact"/>
        <w:ind w:firstLine="420"/>
        <w:rPr>
          <w:rFonts w:ascii="Times New Roman" w:hAnsi="Times New Roman"/>
          <w:color w:val="auto"/>
          <w:highlight w:val="none"/>
          <w:u w:val="single"/>
        </w:rPr>
      </w:pPr>
      <w:r>
        <w:rPr>
          <w:rFonts w:ascii="Times New Roman" w:hAnsi="Times New Roman"/>
          <w:color w:val="auto"/>
          <w:highlight w:val="none"/>
        </w:rPr>
        <w:t>响应日期：</w:t>
      </w:r>
      <w:r>
        <w:rPr>
          <w:rFonts w:ascii="Times New Roman" w:hAnsi="Times New Roman"/>
          <w:color w:val="auto"/>
          <w:szCs w:val="21"/>
          <w:highlight w:val="none"/>
          <w:u w:val="single"/>
        </w:rPr>
        <w:t xml:space="preserve">    </w:t>
      </w:r>
      <w:r>
        <w:rPr>
          <w:rFonts w:ascii="Times New Roman" w:hAnsi="Times New Roman"/>
          <w:color w:val="auto"/>
          <w:highlight w:val="none"/>
        </w:rPr>
        <w:t>年</w:t>
      </w:r>
      <w:r>
        <w:rPr>
          <w:rFonts w:ascii="Times New Roman" w:hAnsi="Times New Roman"/>
          <w:color w:val="auto"/>
          <w:highlight w:val="none"/>
          <w:u w:val="single"/>
        </w:rPr>
        <w:t xml:space="preserve">    </w:t>
      </w:r>
      <w:r>
        <w:rPr>
          <w:rFonts w:ascii="Times New Roman" w:hAnsi="Times New Roman"/>
          <w:color w:val="auto"/>
          <w:highlight w:val="none"/>
        </w:rPr>
        <w:t>月</w:t>
      </w:r>
      <w:r>
        <w:rPr>
          <w:rFonts w:ascii="Times New Roman" w:hAnsi="Times New Roman"/>
          <w:color w:val="auto"/>
          <w:highlight w:val="none"/>
          <w:u w:val="single"/>
        </w:rPr>
        <w:t xml:space="preserve">    </w:t>
      </w:r>
      <w:r>
        <w:rPr>
          <w:rFonts w:ascii="Times New Roman" w:hAnsi="Times New Roman"/>
          <w:color w:val="auto"/>
          <w:highlight w:val="none"/>
        </w:rPr>
        <w:t>日</w:t>
      </w:r>
    </w:p>
    <w:p>
      <w:pPr>
        <w:pStyle w:val="23"/>
        <w:spacing w:line="400" w:lineRule="exact"/>
        <w:ind w:firstLine="404" w:firstLineChars="200"/>
        <w:rPr>
          <w:rFonts w:ascii="Times New Roman" w:hAnsi="Times New Roman"/>
          <w:bCs/>
          <w:color w:val="auto"/>
          <w:spacing w:val="-4"/>
          <w:highlight w:val="none"/>
        </w:rPr>
      </w:pPr>
    </w:p>
    <w:p>
      <w:pPr>
        <w:pStyle w:val="23"/>
        <w:spacing w:line="400" w:lineRule="exact"/>
        <w:ind w:firstLine="404" w:firstLineChars="200"/>
        <w:rPr>
          <w:rFonts w:ascii="Times New Roman" w:hAnsi="Times New Roman"/>
          <w:bCs/>
          <w:color w:val="auto"/>
          <w:szCs w:val="21"/>
          <w:highlight w:val="none"/>
        </w:rPr>
      </w:pPr>
      <w:r>
        <w:rPr>
          <w:rFonts w:ascii="Times New Roman" w:hAnsi="Times New Roman"/>
          <w:bCs/>
          <w:color w:val="auto"/>
          <w:spacing w:val="-4"/>
          <w:highlight w:val="none"/>
        </w:rPr>
        <w:t>注：</w:t>
      </w:r>
      <w:r>
        <w:rPr>
          <w:rFonts w:ascii="Times New Roman" w:hAnsi="Times New Roman"/>
          <w:bCs/>
          <w:color w:val="auto"/>
          <w:highlight w:val="none"/>
        </w:rPr>
        <w:t>响应函须由</w:t>
      </w:r>
      <w:r>
        <w:rPr>
          <w:rFonts w:ascii="Times New Roman" w:hAnsi="Times New Roman"/>
          <w:bCs/>
          <w:color w:val="auto"/>
          <w:szCs w:val="21"/>
          <w:highlight w:val="none"/>
        </w:rPr>
        <w:t>法定代表人或负责人或相应的委托代理人签字（或盖章）并加盖供应商公章。</w:t>
      </w:r>
    </w:p>
    <w:p>
      <w:pPr>
        <w:widowControl/>
        <w:ind w:firstLine="548" w:firstLineChars="196"/>
        <w:jc w:val="left"/>
        <w:rPr>
          <w:b/>
          <w:color w:val="auto"/>
          <w:sz w:val="28"/>
          <w:szCs w:val="28"/>
          <w:highlight w:val="none"/>
        </w:rPr>
      </w:pPr>
      <w:r>
        <w:rPr>
          <w:b/>
          <w:color w:val="auto"/>
          <w:sz w:val="28"/>
          <w:szCs w:val="28"/>
          <w:highlight w:val="none"/>
        </w:rPr>
        <w:br w:type="page"/>
      </w:r>
      <w:r>
        <w:rPr>
          <w:b/>
          <w:color w:val="auto"/>
          <w:sz w:val="28"/>
          <w:szCs w:val="28"/>
          <w:highlight w:val="none"/>
        </w:rPr>
        <w:t>2、磋商供应商的法定代表人或负责人身份证正反两面复印件（必须提供）；</w:t>
      </w:r>
    </w:p>
    <w:p>
      <w:pPr>
        <w:widowControl/>
        <w:ind w:firstLine="548" w:firstLineChars="196"/>
        <w:jc w:val="left"/>
        <w:rPr>
          <w:b/>
          <w:color w:val="auto"/>
          <w:sz w:val="28"/>
          <w:szCs w:val="28"/>
          <w:highlight w:val="none"/>
        </w:rPr>
      </w:pPr>
    </w:p>
    <w:p>
      <w:pPr>
        <w:pStyle w:val="144"/>
        <w:rPr>
          <w:b/>
          <w:color w:val="auto"/>
          <w:sz w:val="28"/>
          <w:szCs w:val="28"/>
          <w:highlight w:val="none"/>
        </w:rPr>
      </w:pPr>
    </w:p>
    <w:p>
      <w:pPr>
        <w:pStyle w:val="144"/>
        <w:rPr>
          <w:b/>
          <w:color w:val="auto"/>
          <w:sz w:val="28"/>
          <w:szCs w:val="28"/>
          <w:highlight w:val="none"/>
        </w:rPr>
      </w:pPr>
    </w:p>
    <w:p>
      <w:pPr>
        <w:pStyle w:val="23"/>
        <w:ind w:firstLine="548" w:firstLineChars="196"/>
        <w:rPr>
          <w:rFonts w:ascii="Times New Roman" w:hAnsi="Times New Roman"/>
          <w:b/>
          <w:color w:val="auto"/>
          <w:sz w:val="28"/>
          <w:szCs w:val="28"/>
          <w:highlight w:val="none"/>
        </w:rPr>
      </w:pPr>
      <w:r>
        <w:rPr>
          <w:rFonts w:ascii="Times New Roman" w:hAnsi="Times New Roman"/>
          <w:b/>
          <w:color w:val="auto"/>
          <w:sz w:val="28"/>
          <w:szCs w:val="28"/>
          <w:highlight w:val="none"/>
        </w:rPr>
        <w:t>3、磋商供应商的授权委托书原件、委托代理人身份证正反面复印件</w:t>
      </w:r>
      <w:r>
        <w:rPr>
          <w:rFonts w:hint="eastAsia" w:ascii="Times New Roman" w:hAnsi="Times New Roman"/>
          <w:b/>
          <w:color w:val="auto"/>
          <w:sz w:val="28"/>
          <w:szCs w:val="28"/>
          <w:highlight w:val="none"/>
        </w:rPr>
        <w:t>以及</w:t>
      </w:r>
      <w:r>
        <w:rPr>
          <w:rFonts w:ascii="Times New Roman" w:hAnsi="Times New Roman"/>
          <w:b/>
          <w:color w:val="auto"/>
          <w:sz w:val="28"/>
          <w:szCs w:val="28"/>
          <w:highlight w:val="none"/>
        </w:rPr>
        <w:t>供应商为委托代理人交纳的</w:t>
      </w:r>
      <w:r>
        <w:rPr>
          <w:rFonts w:hint="eastAsia" w:ascii="Times New Roman" w:hAnsi="Times New Roman"/>
          <w:b/>
          <w:color w:val="auto"/>
          <w:sz w:val="28"/>
          <w:szCs w:val="28"/>
          <w:highlight w:val="none"/>
          <w:lang w:eastAsia="zh-CN"/>
        </w:rPr>
        <w:t>近</w:t>
      </w:r>
      <w:r>
        <w:rPr>
          <w:rFonts w:ascii="Times New Roman" w:hAnsi="Times New Roman"/>
          <w:b/>
          <w:color w:val="auto"/>
          <w:sz w:val="28"/>
          <w:szCs w:val="28"/>
          <w:highlight w:val="none"/>
        </w:rPr>
        <w:t>三个月缴纳的社保证明复印件（自然人投标的应提供自然人本人及委托代理人所交纳的</w:t>
      </w:r>
      <w:r>
        <w:rPr>
          <w:rFonts w:hint="eastAsia" w:ascii="Times New Roman" w:hAnsi="Times New Roman"/>
          <w:b/>
          <w:color w:val="auto"/>
          <w:sz w:val="28"/>
          <w:szCs w:val="28"/>
          <w:highlight w:val="none"/>
          <w:lang w:eastAsia="zh-CN"/>
        </w:rPr>
        <w:t>近</w:t>
      </w:r>
      <w:r>
        <w:rPr>
          <w:rFonts w:ascii="Times New Roman" w:hAnsi="Times New Roman"/>
          <w:b/>
          <w:color w:val="auto"/>
          <w:sz w:val="28"/>
          <w:szCs w:val="28"/>
          <w:highlight w:val="none"/>
        </w:rPr>
        <w:t>三个月缴纳的社保证明复印件）（委托代理时必须提供）；</w:t>
      </w:r>
    </w:p>
    <w:p>
      <w:pPr>
        <w:pStyle w:val="23"/>
        <w:ind w:firstLine="548" w:firstLineChars="196"/>
        <w:rPr>
          <w:rFonts w:ascii="Times New Roman" w:hAnsi="Times New Roman"/>
          <w:b/>
          <w:color w:val="auto"/>
          <w:sz w:val="28"/>
          <w:szCs w:val="28"/>
          <w:highlight w:val="none"/>
        </w:rPr>
      </w:pPr>
      <w:r>
        <w:rPr>
          <w:rFonts w:ascii="Times New Roman" w:hAnsi="Times New Roman"/>
          <w:b/>
          <w:color w:val="auto"/>
          <w:sz w:val="28"/>
          <w:szCs w:val="28"/>
          <w:highlight w:val="none"/>
        </w:rPr>
        <w:t>附件：</w:t>
      </w:r>
    </w:p>
    <w:p>
      <w:pPr>
        <w:pStyle w:val="23"/>
        <w:ind w:firstLine="548" w:firstLineChars="196"/>
        <w:jc w:val="center"/>
        <w:rPr>
          <w:rFonts w:ascii="Times New Roman" w:hAnsi="Times New Roman"/>
          <w:b/>
          <w:color w:val="auto"/>
          <w:sz w:val="28"/>
          <w:szCs w:val="28"/>
          <w:highlight w:val="none"/>
        </w:rPr>
      </w:pPr>
      <w:r>
        <w:rPr>
          <w:rFonts w:ascii="Times New Roman" w:hAnsi="Times New Roman"/>
          <w:b/>
          <w:color w:val="auto"/>
          <w:sz w:val="28"/>
          <w:szCs w:val="28"/>
          <w:highlight w:val="none"/>
        </w:rPr>
        <w:t>授权委托书（格式一）</w:t>
      </w:r>
    </w:p>
    <w:p>
      <w:pPr>
        <w:pStyle w:val="23"/>
        <w:rPr>
          <w:rFonts w:ascii="Times New Roman" w:hAnsi="Times New Roman"/>
          <w:color w:val="auto"/>
          <w:highlight w:val="none"/>
        </w:rPr>
      </w:pPr>
    </w:p>
    <w:p>
      <w:pPr>
        <w:spacing w:line="400" w:lineRule="exact"/>
        <w:rPr>
          <w:rFonts w:hint="eastAsia" w:eastAsia="宋体"/>
          <w:color w:val="auto"/>
          <w:szCs w:val="21"/>
          <w:highlight w:val="none"/>
          <w:lang w:eastAsia="zh-CN"/>
        </w:rPr>
      </w:pPr>
      <w:r>
        <w:rPr>
          <w:color w:val="auto"/>
          <w:szCs w:val="21"/>
          <w:highlight w:val="none"/>
        </w:rPr>
        <w:t>致：</w:t>
      </w:r>
      <w:r>
        <w:rPr>
          <w:color w:val="auto"/>
          <w:szCs w:val="21"/>
          <w:highlight w:val="none"/>
          <w:u w:val="single"/>
        </w:rPr>
        <w:t xml:space="preserve"> </w:t>
      </w:r>
      <w:r>
        <w:rPr>
          <w:rFonts w:hint="eastAsia"/>
          <w:color w:val="auto"/>
          <w:szCs w:val="21"/>
          <w:highlight w:val="none"/>
          <w:u w:val="single"/>
          <w:lang w:eastAsia="zh-CN"/>
        </w:rPr>
        <w:t>广西汇益招标咨询有限公司</w:t>
      </w:r>
    </w:p>
    <w:p>
      <w:pPr>
        <w:pStyle w:val="23"/>
        <w:spacing w:line="400" w:lineRule="exact"/>
        <w:ind w:firstLine="420" w:firstLineChars="200"/>
        <w:rPr>
          <w:rFonts w:ascii="Times New Roman" w:hAnsi="Times New Roman"/>
          <w:color w:val="auto"/>
          <w:highlight w:val="none"/>
        </w:rPr>
      </w:pPr>
      <w:r>
        <w:rPr>
          <w:rFonts w:ascii="Times New Roman" w:hAnsi="Times New Roman"/>
          <w:color w:val="auto"/>
          <w:kern w:val="0"/>
          <w:highlight w:val="none"/>
        </w:rPr>
        <w:t>我</w:t>
      </w:r>
      <w:r>
        <w:rPr>
          <w:rFonts w:ascii="Times New Roman" w:hAnsi="Times New Roman"/>
          <w:color w:val="auto"/>
          <w:kern w:val="0"/>
          <w:highlight w:val="none"/>
          <w:u w:val="single"/>
        </w:rPr>
        <w:t xml:space="preserve">       </w:t>
      </w:r>
      <w:r>
        <w:rPr>
          <w:rFonts w:ascii="Times New Roman" w:hAnsi="Times New Roman"/>
          <w:color w:val="auto"/>
          <w:kern w:val="0"/>
          <w:highlight w:val="none"/>
        </w:rPr>
        <w:t>（姓名）系</w:t>
      </w:r>
      <w:r>
        <w:rPr>
          <w:rFonts w:ascii="Times New Roman" w:hAnsi="Times New Roman"/>
          <w:color w:val="auto"/>
          <w:kern w:val="0"/>
          <w:highlight w:val="none"/>
          <w:u w:val="single"/>
        </w:rPr>
        <w:t xml:space="preserve">             </w:t>
      </w:r>
      <w:r>
        <w:rPr>
          <w:rFonts w:ascii="Times New Roman" w:hAnsi="Times New Roman"/>
          <w:color w:val="auto"/>
          <w:kern w:val="0"/>
          <w:highlight w:val="none"/>
        </w:rPr>
        <w:t>（供应商名称）的法定代表人（负责人），现授权委托本单位在职职工</w:t>
      </w:r>
      <w:r>
        <w:rPr>
          <w:rFonts w:ascii="Times New Roman" w:hAnsi="Times New Roman"/>
          <w:color w:val="auto"/>
          <w:kern w:val="0"/>
          <w:highlight w:val="none"/>
          <w:u w:val="single"/>
        </w:rPr>
        <w:t xml:space="preserve">        </w:t>
      </w:r>
      <w:r>
        <w:rPr>
          <w:rFonts w:ascii="Times New Roman" w:hAnsi="Times New Roman"/>
          <w:color w:val="auto"/>
          <w:kern w:val="0"/>
          <w:highlight w:val="none"/>
        </w:rPr>
        <w:t>（姓 名）以我公司名义参加</w:t>
      </w:r>
      <w:r>
        <w:rPr>
          <w:rFonts w:ascii="Times New Roman" w:hAnsi="Times New Roman"/>
          <w:color w:val="auto"/>
          <w:kern w:val="0"/>
          <w:highlight w:val="none"/>
          <w:u w:val="single"/>
        </w:rPr>
        <w:t xml:space="preserve">     </w:t>
      </w:r>
      <w:r>
        <w:rPr>
          <w:rFonts w:ascii="Times New Roman" w:hAnsi="Times New Roman"/>
          <w:bCs/>
          <w:color w:val="auto"/>
          <w:szCs w:val="21"/>
          <w:highlight w:val="none"/>
          <w:u w:val="single"/>
        </w:rPr>
        <w:t>（</w:t>
      </w:r>
      <w:r>
        <w:rPr>
          <w:rFonts w:ascii="Times New Roman" w:hAnsi="Times New Roman"/>
          <w:color w:val="auto"/>
          <w:highlight w:val="none"/>
          <w:u w:val="single"/>
        </w:rPr>
        <w:t xml:space="preserve"> 项目名称、项目编号）      </w:t>
      </w:r>
      <w:r>
        <w:rPr>
          <w:rFonts w:ascii="Times New Roman" w:hAnsi="Times New Roman"/>
          <w:color w:val="auto"/>
          <w:highlight w:val="none"/>
        </w:rPr>
        <w:t>项目的磋商活动，并代表我方全权办理针对上述项目的磋商、签约等具体事务和签署相关文件。</w:t>
      </w:r>
    </w:p>
    <w:p>
      <w:pPr>
        <w:pStyle w:val="23"/>
        <w:spacing w:line="400" w:lineRule="exact"/>
        <w:ind w:firstLine="420" w:firstLineChars="200"/>
        <w:rPr>
          <w:rFonts w:ascii="Times New Roman" w:hAnsi="Times New Roman"/>
          <w:color w:val="auto"/>
          <w:highlight w:val="none"/>
        </w:rPr>
      </w:pPr>
      <w:r>
        <w:rPr>
          <w:rFonts w:ascii="Times New Roman" w:hAnsi="Times New Roman"/>
          <w:color w:val="auto"/>
          <w:highlight w:val="none"/>
        </w:rPr>
        <w:t>我方对被授权人的签字事项负全部责任。</w:t>
      </w:r>
    </w:p>
    <w:p>
      <w:pPr>
        <w:pStyle w:val="23"/>
        <w:spacing w:beforeLines="50" w:line="400" w:lineRule="exact"/>
        <w:ind w:firstLine="420" w:firstLineChars="200"/>
        <w:rPr>
          <w:rFonts w:hAnsi="宋体"/>
          <w:color w:val="auto"/>
          <w:highlight w:val="none"/>
          <w:u w:val="single"/>
        </w:rPr>
      </w:pPr>
      <w:r>
        <w:rPr>
          <w:rFonts w:hint="eastAsia" w:hAnsi="宋体"/>
          <w:color w:val="auto"/>
          <w:highlight w:val="none"/>
        </w:rPr>
        <w:t>授权委托代理期限：</w:t>
      </w:r>
      <w:r>
        <w:rPr>
          <w:rFonts w:hint="eastAsia" w:hAnsi="宋体" w:cs="宋体"/>
          <w:color w:val="auto"/>
          <w:highlight w:val="none"/>
        </w:rPr>
        <w:t>自即日起至该项目政府采购活动结束。</w:t>
      </w:r>
    </w:p>
    <w:p>
      <w:pPr>
        <w:rPr>
          <w:color w:val="auto"/>
          <w:highlight w:val="none"/>
        </w:rPr>
      </w:pPr>
    </w:p>
    <w:p>
      <w:pPr>
        <w:spacing w:line="400" w:lineRule="exact"/>
        <w:ind w:firstLine="420" w:firstLineChars="200"/>
        <w:rPr>
          <w:color w:val="auto"/>
          <w:kern w:val="0"/>
          <w:highlight w:val="none"/>
        </w:rPr>
      </w:pPr>
      <w:r>
        <w:rPr>
          <w:color w:val="auto"/>
          <w:kern w:val="0"/>
          <w:highlight w:val="none"/>
        </w:rPr>
        <w:t>代理人无转委托权,特此委托。</w:t>
      </w:r>
    </w:p>
    <w:p>
      <w:pPr>
        <w:snapToGrid w:val="0"/>
        <w:spacing w:line="400" w:lineRule="exact"/>
        <w:ind w:firstLine="525"/>
        <w:outlineLvl w:val="4"/>
        <w:rPr>
          <w:color w:val="auto"/>
          <w:szCs w:val="21"/>
          <w:highlight w:val="none"/>
        </w:rPr>
      </w:pPr>
    </w:p>
    <w:p>
      <w:pPr>
        <w:snapToGrid w:val="0"/>
        <w:spacing w:line="400" w:lineRule="exact"/>
        <w:ind w:firstLine="420"/>
        <w:outlineLvl w:val="4"/>
        <w:rPr>
          <w:color w:val="auto"/>
          <w:szCs w:val="21"/>
          <w:highlight w:val="none"/>
        </w:rPr>
      </w:pPr>
      <w:r>
        <w:rPr>
          <w:color w:val="auto"/>
          <w:szCs w:val="21"/>
          <w:highlight w:val="none"/>
        </w:rPr>
        <w:t>我已在下面签字，以资证明。</w:t>
      </w:r>
    </w:p>
    <w:p>
      <w:pPr>
        <w:snapToGrid w:val="0"/>
        <w:spacing w:line="400" w:lineRule="exact"/>
        <w:ind w:firstLine="420"/>
        <w:outlineLvl w:val="4"/>
        <w:rPr>
          <w:color w:val="auto"/>
          <w:szCs w:val="21"/>
          <w:highlight w:val="none"/>
        </w:rPr>
      </w:pPr>
    </w:p>
    <w:p>
      <w:pPr>
        <w:snapToGrid w:val="0"/>
        <w:spacing w:line="400" w:lineRule="exact"/>
        <w:ind w:firstLine="420"/>
        <w:outlineLvl w:val="4"/>
        <w:rPr>
          <w:color w:val="auto"/>
          <w:szCs w:val="21"/>
          <w:highlight w:val="none"/>
          <w:u w:val="single"/>
        </w:rPr>
      </w:pPr>
      <w:r>
        <w:rPr>
          <w:color w:val="auto"/>
          <w:szCs w:val="21"/>
          <w:highlight w:val="none"/>
        </w:rPr>
        <w:t>供应商（公章）：</w:t>
      </w:r>
    </w:p>
    <w:p>
      <w:pPr>
        <w:snapToGrid w:val="0"/>
        <w:spacing w:line="400" w:lineRule="exact"/>
        <w:ind w:firstLine="420"/>
        <w:outlineLvl w:val="4"/>
        <w:rPr>
          <w:color w:val="auto"/>
          <w:szCs w:val="21"/>
          <w:highlight w:val="none"/>
        </w:rPr>
      </w:pPr>
    </w:p>
    <w:p>
      <w:pPr>
        <w:snapToGrid w:val="0"/>
        <w:spacing w:line="400" w:lineRule="exact"/>
        <w:ind w:firstLine="420"/>
        <w:outlineLvl w:val="4"/>
        <w:rPr>
          <w:color w:val="auto"/>
          <w:szCs w:val="21"/>
          <w:highlight w:val="none"/>
        </w:rPr>
      </w:pPr>
      <w:r>
        <w:rPr>
          <w:color w:val="auto"/>
          <w:szCs w:val="21"/>
          <w:highlight w:val="none"/>
        </w:rPr>
        <w:t xml:space="preserve">法定代表人（负责人）签字或盖章：        　　 </w:t>
      </w:r>
    </w:p>
    <w:p>
      <w:pPr>
        <w:snapToGrid w:val="0"/>
        <w:spacing w:line="400" w:lineRule="exact"/>
        <w:ind w:firstLine="420"/>
        <w:outlineLvl w:val="4"/>
        <w:rPr>
          <w:color w:val="auto"/>
          <w:szCs w:val="21"/>
          <w:highlight w:val="none"/>
        </w:rPr>
      </w:pP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pPr>
        <w:snapToGrid w:val="0"/>
        <w:spacing w:line="400" w:lineRule="exact"/>
        <w:ind w:firstLine="420"/>
        <w:outlineLvl w:val="4"/>
        <w:rPr>
          <w:color w:val="auto"/>
          <w:szCs w:val="21"/>
          <w:highlight w:val="none"/>
        </w:rPr>
      </w:pPr>
    </w:p>
    <w:p>
      <w:pPr>
        <w:pStyle w:val="23"/>
        <w:spacing w:line="320" w:lineRule="exact"/>
        <w:rPr>
          <w:rFonts w:hAnsi="宋体"/>
          <w:b/>
          <w:bCs/>
          <w:color w:val="auto"/>
          <w:szCs w:val="21"/>
          <w:highlight w:val="none"/>
        </w:rPr>
      </w:pPr>
      <w:r>
        <w:rPr>
          <w:rFonts w:hint="eastAsia" w:hAnsi="宋体"/>
          <w:b/>
          <w:bCs/>
          <w:color w:val="auto"/>
          <w:szCs w:val="21"/>
          <w:highlight w:val="none"/>
        </w:rPr>
        <w:t>附：委托代理人身份证正反面复印件以及自然人本人及委托代理人所交纳的</w:t>
      </w:r>
      <w:r>
        <w:rPr>
          <w:rFonts w:hint="eastAsia" w:hAnsi="宋体"/>
          <w:b/>
          <w:bCs/>
          <w:color w:val="auto"/>
          <w:szCs w:val="21"/>
          <w:highlight w:val="none"/>
          <w:lang w:eastAsia="zh-CN"/>
        </w:rPr>
        <w:t>近</w:t>
      </w:r>
      <w:r>
        <w:rPr>
          <w:rFonts w:hint="eastAsia" w:hAnsi="宋体"/>
          <w:b/>
          <w:bCs/>
          <w:color w:val="auto"/>
          <w:szCs w:val="21"/>
          <w:highlight w:val="none"/>
        </w:rPr>
        <w:t>三个月缴纳的社保证明复印件（委托代理时必须提供）。</w:t>
      </w:r>
    </w:p>
    <w:p>
      <w:pPr>
        <w:rPr>
          <w:b/>
          <w:color w:val="auto"/>
          <w:sz w:val="28"/>
          <w:szCs w:val="28"/>
          <w:highlight w:val="none"/>
        </w:rPr>
      </w:pPr>
      <w:r>
        <w:rPr>
          <w:b/>
          <w:color w:val="auto"/>
          <w:sz w:val="28"/>
          <w:szCs w:val="28"/>
          <w:highlight w:val="none"/>
        </w:rPr>
        <w:br w:type="page"/>
      </w:r>
    </w:p>
    <w:p>
      <w:pPr>
        <w:snapToGrid w:val="0"/>
        <w:spacing w:line="400" w:lineRule="exact"/>
        <w:jc w:val="center"/>
        <w:outlineLvl w:val="4"/>
        <w:rPr>
          <w:rFonts w:hAnsi="宋体"/>
          <w:b/>
          <w:bCs/>
          <w:color w:val="auto"/>
          <w:szCs w:val="21"/>
          <w:highlight w:val="none"/>
        </w:rPr>
      </w:pPr>
      <w:r>
        <w:rPr>
          <w:rFonts w:hint="eastAsia" w:hAnsi="宋体"/>
          <w:b/>
          <w:color w:val="auto"/>
          <w:sz w:val="32"/>
          <w:highlight w:val="none"/>
        </w:rPr>
        <w:t>授权委托书（格式二）</w:t>
      </w:r>
    </w:p>
    <w:p>
      <w:pPr>
        <w:snapToGrid w:val="0"/>
        <w:spacing w:line="400" w:lineRule="exact"/>
        <w:outlineLvl w:val="4"/>
        <w:rPr>
          <w:rFonts w:hAnsi="宋体"/>
          <w:b/>
          <w:bCs/>
          <w:color w:val="auto"/>
          <w:szCs w:val="21"/>
          <w:highlight w:val="none"/>
        </w:rPr>
      </w:pPr>
    </w:p>
    <w:p>
      <w:pPr>
        <w:snapToGrid w:val="0"/>
        <w:spacing w:line="400" w:lineRule="exact"/>
        <w:outlineLvl w:val="4"/>
        <w:rPr>
          <w:rFonts w:hint="eastAsia" w:ascii="宋体" w:hAnsi="宋体" w:eastAsia="宋体"/>
          <w:color w:val="auto"/>
          <w:highlight w:val="none"/>
          <w:lang w:eastAsia="zh-CN"/>
        </w:rPr>
      </w:pPr>
      <w:r>
        <w:rPr>
          <w:rFonts w:hint="eastAsia" w:ascii="宋体" w:hAnsi="宋体"/>
          <w:b/>
          <w:color w:val="auto"/>
          <w:szCs w:val="21"/>
          <w:highlight w:val="none"/>
        </w:rPr>
        <w:t>致</w:t>
      </w:r>
      <w:r>
        <w:rPr>
          <w:rFonts w:hint="eastAsia" w:ascii="宋体" w:hAnsi="宋体"/>
          <w:color w:val="auto"/>
          <w:szCs w:val="21"/>
          <w:highlight w:val="none"/>
        </w:rPr>
        <w:t>：</w:t>
      </w:r>
      <w:r>
        <w:rPr>
          <w:rFonts w:hint="eastAsia" w:ascii="宋体" w:hAnsi="宋体"/>
          <w:color w:val="auto"/>
          <w:highlight w:val="none"/>
          <w:u w:val="single"/>
        </w:rPr>
        <w:t xml:space="preserve"> </w:t>
      </w:r>
      <w:r>
        <w:rPr>
          <w:rFonts w:hint="eastAsia" w:ascii="宋体" w:hAnsi="宋体"/>
          <w:color w:val="auto"/>
          <w:highlight w:val="none"/>
          <w:u w:val="single"/>
          <w:lang w:eastAsia="zh-CN"/>
        </w:rPr>
        <w:t>广西汇益招标咨询有限公司</w:t>
      </w:r>
    </w:p>
    <w:p>
      <w:pPr>
        <w:snapToGrid w:val="0"/>
        <w:spacing w:line="400" w:lineRule="exact"/>
        <w:outlineLvl w:val="4"/>
        <w:rPr>
          <w:rFonts w:ascii="宋体" w:hAnsi="宋体"/>
          <w:color w:val="auto"/>
          <w:szCs w:val="21"/>
          <w:highlight w:val="none"/>
          <w:u w:val="single"/>
        </w:rPr>
      </w:pPr>
    </w:p>
    <w:p>
      <w:pPr>
        <w:pStyle w:val="23"/>
        <w:spacing w:line="400" w:lineRule="exact"/>
        <w:ind w:firstLine="525" w:firstLineChars="250"/>
        <w:rPr>
          <w:rFonts w:hAnsi="宋体"/>
          <w:color w:val="auto"/>
          <w:highlight w:val="none"/>
        </w:rPr>
      </w:pPr>
      <w:r>
        <w:rPr>
          <w:rFonts w:hint="eastAsia" w:hAnsi="宋体"/>
          <w:color w:val="auto"/>
          <w:kern w:val="0"/>
          <w:highlight w:val="none"/>
        </w:rPr>
        <w:t>我</w:t>
      </w:r>
      <w:r>
        <w:rPr>
          <w:rFonts w:hint="eastAsia" w:hAnsi="宋体"/>
          <w:color w:val="auto"/>
          <w:kern w:val="0"/>
          <w:highlight w:val="none"/>
          <w:u w:val="single"/>
        </w:rPr>
        <w:t xml:space="preserve">              </w:t>
      </w:r>
      <w:r>
        <w:rPr>
          <w:rFonts w:hint="eastAsia" w:hAnsi="宋体"/>
          <w:color w:val="auto"/>
          <w:kern w:val="0"/>
          <w:highlight w:val="none"/>
        </w:rPr>
        <w:t>（姓名）系自然人，现授权委托</w:t>
      </w:r>
      <w:r>
        <w:rPr>
          <w:rFonts w:hint="eastAsia" w:hAnsi="宋体"/>
          <w:color w:val="auto"/>
          <w:kern w:val="0"/>
          <w:highlight w:val="none"/>
          <w:u w:val="single"/>
        </w:rPr>
        <w:t xml:space="preserve">            </w:t>
      </w:r>
      <w:r>
        <w:rPr>
          <w:rFonts w:hint="eastAsia" w:hAnsi="宋体"/>
          <w:color w:val="auto"/>
          <w:kern w:val="0"/>
          <w:highlight w:val="none"/>
        </w:rPr>
        <w:t>（姓名）以本人名义参加</w:t>
      </w:r>
      <w:r>
        <w:rPr>
          <w:rFonts w:hint="eastAsia" w:hAnsi="宋体"/>
          <w:color w:val="auto"/>
          <w:kern w:val="0"/>
          <w:highlight w:val="none"/>
          <w:u w:val="single"/>
        </w:rPr>
        <w:t xml:space="preserve">      </w:t>
      </w:r>
      <w:r>
        <w:rPr>
          <w:rFonts w:hint="eastAsia" w:hAnsi="宋体"/>
          <w:color w:val="auto"/>
          <w:highlight w:val="none"/>
          <w:u w:val="single"/>
        </w:rPr>
        <w:t xml:space="preserve">（项目名称及项目编号）        </w:t>
      </w:r>
      <w:r>
        <w:rPr>
          <w:rFonts w:hint="eastAsia" w:hAnsi="宋体"/>
          <w:color w:val="auto"/>
          <w:highlight w:val="none"/>
        </w:rPr>
        <w:t>项目的投标活动，并代表本人全权办理针对上述项目的投标、开标、评标、签约等具体事务和签署相关文件。</w:t>
      </w:r>
    </w:p>
    <w:p>
      <w:pPr>
        <w:pStyle w:val="23"/>
        <w:spacing w:line="400" w:lineRule="exact"/>
        <w:ind w:firstLine="420" w:firstLineChars="200"/>
        <w:rPr>
          <w:rFonts w:hAnsi="宋体"/>
          <w:color w:val="auto"/>
          <w:highlight w:val="none"/>
        </w:rPr>
      </w:pPr>
      <w:r>
        <w:rPr>
          <w:rFonts w:hint="eastAsia" w:hAnsi="宋体"/>
          <w:color w:val="auto"/>
          <w:highlight w:val="none"/>
        </w:rPr>
        <w:t>我方对被授权人的签字事项负全部责任。</w:t>
      </w:r>
    </w:p>
    <w:p>
      <w:pPr>
        <w:pStyle w:val="23"/>
        <w:spacing w:beforeLines="50" w:line="400" w:lineRule="exact"/>
        <w:ind w:firstLine="420" w:firstLineChars="200"/>
        <w:rPr>
          <w:rFonts w:hAnsi="宋体"/>
          <w:color w:val="auto"/>
          <w:highlight w:val="none"/>
          <w:u w:val="single"/>
        </w:rPr>
      </w:pPr>
      <w:r>
        <w:rPr>
          <w:rFonts w:hint="eastAsia" w:hAnsi="宋体"/>
          <w:color w:val="auto"/>
          <w:highlight w:val="none"/>
        </w:rPr>
        <w:t>授权委托代理期限：</w:t>
      </w:r>
      <w:r>
        <w:rPr>
          <w:rFonts w:hint="eastAsia" w:hAnsi="宋体" w:cs="宋体"/>
          <w:color w:val="auto"/>
          <w:highlight w:val="none"/>
        </w:rPr>
        <w:t>自即日起至该项目政府采购活动结束。</w:t>
      </w:r>
    </w:p>
    <w:p>
      <w:pPr>
        <w:pStyle w:val="23"/>
        <w:spacing w:line="400" w:lineRule="exact"/>
        <w:rPr>
          <w:rFonts w:hAnsi="宋体"/>
          <w:color w:val="auto"/>
          <w:highlight w:val="none"/>
          <w:u w:val="single"/>
        </w:rPr>
      </w:pPr>
      <w:r>
        <w:rPr>
          <w:rFonts w:hint="eastAsia" w:hAnsi="宋体"/>
          <w:color w:val="auto"/>
          <w:highlight w:val="none"/>
        </w:rPr>
        <w:t xml:space="preserve">                                                                                             </w:t>
      </w:r>
    </w:p>
    <w:p>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代理人无转委托权,特此委托。</w:t>
      </w:r>
      <w:r>
        <w:rPr>
          <w:rFonts w:ascii="宋体" w:hAnsi="宋体"/>
          <w:color w:val="auto"/>
          <w:kern w:val="0"/>
          <w:highlight w:val="none"/>
        </w:rPr>
        <w:t xml:space="preserve"> </w:t>
      </w:r>
    </w:p>
    <w:p>
      <w:pPr>
        <w:snapToGrid w:val="0"/>
        <w:spacing w:line="400" w:lineRule="exact"/>
        <w:ind w:firstLine="525"/>
        <w:outlineLvl w:val="4"/>
        <w:rPr>
          <w:rFonts w:ascii="宋体" w:hAnsi="宋体"/>
          <w:color w:val="auto"/>
          <w:szCs w:val="21"/>
          <w:highlight w:val="none"/>
        </w:rPr>
      </w:pPr>
    </w:p>
    <w:p>
      <w:pPr>
        <w:snapToGrid w:val="0"/>
        <w:spacing w:line="400" w:lineRule="exact"/>
        <w:ind w:firstLine="420"/>
        <w:outlineLvl w:val="4"/>
        <w:rPr>
          <w:rFonts w:ascii="宋体" w:hAnsi="宋体"/>
          <w:color w:val="auto"/>
          <w:szCs w:val="21"/>
          <w:highlight w:val="none"/>
        </w:rPr>
      </w:pPr>
      <w:r>
        <w:rPr>
          <w:rFonts w:hint="eastAsia" w:ascii="宋体" w:hAnsi="宋体"/>
          <w:color w:val="auto"/>
          <w:szCs w:val="21"/>
          <w:highlight w:val="none"/>
        </w:rPr>
        <w:t>我已在下面签字，以资证明。</w:t>
      </w:r>
    </w:p>
    <w:p>
      <w:pPr>
        <w:snapToGrid w:val="0"/>
        <w:spacing w:line="400" w:lineRule="exact"/>
        <w:ind w:firstLine="420"/>
        <w:outlineLvl w:val="4"/>
        <w:rPr>
          <w:rFonts w:ascii="宋体" w:hAnsi="宋体"/>
          <w:color w:val="auto"/>
          <w:szCs w:val="21"/>
          <w:highlight w:val="none"/>
        </w:rPr>
      </w:pPr>
    </w:p>
    <w:p>
      <w:pPr>
        <w:snapToGrid w:val="0"/>
        <w:spacing w:line="400" w:lineRule="exact"/>
        <w:ind w:firstLine="420"/>
        <w:outlineLvl w:val="4"/>
        <w:rPr>
          <w:rFonts w:ascii="宋体" w:hAnsi="宋体"/>
          <w:color w:val="auto"/>
          <w:szCs w:val="21"/>
          <w:highlight w:val="none"/>
        </w:rPr>
      </w:pPr>
    </w:p>
    <w:p>
      <w:pPr>
        <w:snapToGrid w:val="0"/>
        <w:spacing w:line="400" w:lineRule="exact"/>
        <w:ind w:firstLine="420"/>
        <w:outlineLvl w:val="4"/>
        <w:rPr>
          <w:rFonts w:ascii="宋体" w:hAnsi="宋体"/>
          <w:color w:val="auto"/>
          <w:szCs w:val="21"/>
          <w:highlight w:val="none"/>
        </w:rPr>
      </w:pPr>
      <w:r>
        <w:rPr>
          <w:rFonts w:hint="eastAsia" w:ascii="宋体" w:hAnsi="宋体"/>
          <w:color w:val="auto"/>
          <w:szCs w:val="21"/>
          <w:highlight w:val="none"/>
        </w:rPr>
        <w:t>自然人签字并在签名处加盖大拇指指印：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pStyle w:val="13"/>
        <w:rPr>
          <w:color w:val="auto"/>
          <w:highlight w:val="none"/>
        </w:rPr>
      </w:pPr>
    </w:p>
    <w:p>
      <w:pPr>
        <w:pStyle w:val="23"/>
        <w:spacing w:line="320" w:lineRule="exact"/>
        <w:rPr>
          <w:rFonts w:hAnsi="宋体"/>
          <w:b/>
          <w:bCs/>
          <w:color w:val="auto"/>
          <w:szCs w:val="21"/>
          <w:highlight w:val="none"/>
        </w:rPr>
      </w:pPr>
      <w:r>
        <w:rPr>
          <w:rFonts w:hint="eastAsia" w:hAnsi="宋体"/>
          <w:b/>
          <w:bCs/>
          <w:color w:val="auto"/>
          <w:szCs w:val="21"/>
          <w:highlight w:val="none"/>
        </w:rPr>
        <w:t>附：委托代理人身份证正反面复印件以及由县级以上（含县级）社会养老保险经办机构出具的自然人本人及委托代理人所交纳的（</w:t>
      </w:r>
      <w:r>
        <w:rPr>
          <w:rFonts w:hint="eastAsia" w:hAnsi="宋体"/>
          <w:b/>
          <w:bCs/>
          <w:color w:val="auto"/>
          <w:szCs w:val="21"/>
          <w:highlight w:val="none"/>
          <w:lang w:eastAsia="zh-CN"/>
        </w:rPr>
        <w:t>近</w:t>
      </w:r>
      <w:r>
        <w:rPr>
          <w:rFonts w:hint="eastAsia" w:hAnsi="宋体"/>
          <w:b/>
          <w:bCs/>
          <w:color w:val="auto"/>
          <w:szCs w:val="21"/>
          <w:highlight w:val="none"/>
        </w:rPr>
        <w:t>三个月）社保证明复印件（委托代理时必须提供）。</w:t>
      </w:r>
    </w:p>
    <w:p>
      <w:pPr>
        <w:pStyle w:val="23"/>
        <w:spacing w:line="400" w:lineRule="exact"/>
        <w:ind w:left="420" w:leftChars="200" w:firstLine="408" w:firstLineChars="146"/>
        <w:rPr>
          <w:rFonts w:ascii="Times New Roman" w:hAnsi="Times New Roman"/>
          <w:b/>
          <w:color w:val="auto"/>
          <w:sz w:val="28"/>
          <w:szCs w:val="28"/>
          <w:highlight w:val="none"/>
        </w:rPr>
      </w:pPr>
      <w:r>
        <w:rPr>
          <w:rFonts w:ascii="Times New Roman" w:hAnsi="Times New Roman"/>
          <w:b/>
          <w:color w:val="auto"/>
          <w:sz w:val="28"/>
          <w:szCs w:val="28"/>
          <w:highlight w:val="none"/>
        </w:rPr>
        <w:br w:type="page"/>
      </w:r>
      <w:r>
        <w:rPr>
          <w:rFonts w:ascii="Times New Roman" w:hAnsi="Times New Roman"/>
          <w:b/>
          <w:color w:val="auto"/>
          <w:sz w:val="28"/>
          <w:szCs w:val="28"/>
          <w:highlight w:val="none"/>
        </w:rPr>
        <w:t>4、磋商供应商参加政府采购活动前3年内在经营活动中没有重大违法记录及有关信用信息的书面声明（必须提供）</w:t>
      </w:r>
    </w:p>
    <w:p>
      <w:pPr>
        <w:pStyle w:val="23"/>
        <w:spacing w:line="400" w:lineRule="exact"/>
        <w:ind w:left="420" w:leftChars="200" w:firstLine="156" w:firstLineChars="49"/>
        <w:rPr>
          <w:rFonts w:ascii="Times New Roman" w:hAnsi="Times New Roman"/>
          <w:b/>
          <w:color w:val="auto"/>
          <w:sz w:val="32"/>
          <w:szCs w:val="32"/>
          <w:highlight w:val="none"/>
        </w:rPr>
      </w:pPr>
    </w:p>
    <w:p>
      <w:pPr>
        <w:pStyle w:val="23"/>
        <w:spacing w:line="400" w:lineRule="exact"/>
        <w:ind w:left="420" w:leftChars="200" w:firstLine="137" w:firstLineChars="49"/>
        <w:rPr>
          <w:rFonts w:ascii="Times New Roman" w:hAnsi="Times New Roman"/>
          <w:b/>
          <w:color w:val="auto"/>
          <w:sz w:val="28"/>
          <w:szCs w:val="28"/>
          <w:highlight w:val="none"/>
        </w:rPr>
      </w:pPr>
      <w:r>
        <w:rPr>
          <w:rFonts w:ascii="Times New Roman" w:hAnsi="Times New Roman"/>
          <w:b/>
          <w:color w:val="auto"/>
          <w:sz w:val="28"/>
          <w:szCs w:val="28"/>
          <w:highlight w:val="none"/>
        </w:rPr>
        <w:t>附件：</w:t>
      </w:r>
    </w:p>
    <w:p>
      <w:pPr>
        <w:pStyle w:val="23"/>
        <w:spacing w:line="400" w:lineRule="exact"/>
        <w:jc w:val="center"/>
        <w:rPr>
          <w:rFonts w:ascii="Times New Roman" w:hAnsi="Times New Roman"/>
          <w:b/>
          <w:color w:val="auto"/>
          <w:sz w:val="32"/>
          <w:szCs w:val="32"/>
          <w:highlight w:val="none"/>
        </w:rPr>
      </w:pPr>
      <w:r>
        <w:rPr>
          <w:rFonts w:ascii="Times New Roman" w:hAnsi="Times New Roman"/>
          <w:b/>
          <w:color w:val="auto"/>
          <w:sz w:val="32"/>
          <w:szCs w:val="32"/>
          <w:highlight w:val="none"/>
        </w:rPr>
        <w:t>声   明</w:t>
      </w:r>
    </w:p>
    <w:p>
      <w:pPr>
        <w:snapToGrid w:val="0"/>
        <w:spacing w:line="400" w:lineRule="exact"/>
        <w:outlineLvl w:val="4"/>
        <w:rPr>
          <w:rFonts w:hint="eastAsia" w:eastAsia="宋体"/>
          <w:color w:val="auto"/>
          <w:szCs w:val="21"/>
          <w:highlight w:val="none"/>
          <w:u w:val="single"/>
          <w:lang w:eastAsia="zh-CN"/>
        </w:rPr>
      </w:pPr>
      <w:r>
        <w:rPr>
          <w:b/>
          <w:color w:val="auto"/>
          <w:szCs w:val="21"/>
          <w:highlight w:val="none"/>
        </w:rPr>
        <w:t>致</w:t>
      </w:r>
      <w:r>
        <w:rPr>
          <w:color w:val="auto"/>
          <w:szCs w:val="21"/>
          <w:highlight w:val="none"/>
        </w:rPr>
        <w:t>：</w:t>
      </w:r>
      <w:r>
        <w:rPr>
          <w:rFonts w:hint="eastAsia"/>
          <w:color w:val="auto"/>
          <w:highlight w:val="none"/>
          <w:u w:val="single"/>
          <w:lang w:eastAsia="zh-CN"/>
        </w:rPr>
        <w:t>广西汇益招标咨询有限公司</w:t>
      </w:r>
    </w:p>
    <w:p>
      <w:pPr>
        <w:pStyle w:val="23"/>
        <w:spacing w:line="380" w:lineRule="exact"/>
        <w:ind w:firstLine="420" w:firstLineChars="200"/>
        <w:rPr>
          <w:rFonts w:ascii="Times New Roman" w:hAnsi="Times New Roman"/>
          <w:color w:val="auto"/>
          <w:highlight w:val="none"/>
        </w:rPr>
      </w:pPr>
      <w:r>
        <w:rPr>
          <w:rFonts w:ascii="Times New Roman" w:hAnsi="Times New Roman"/>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ind w:firstLine="420"/>
        <w:outlineLvl w:val="4"/>
        <w:rPr>
          <w:color w:val="auto"/>
          <w:szCs w:val="21"/>
          <w:highlight w:val="none"/>
        </w:rPr>
      </w:pPr>
    </w:p>
    <w:p>
      <w:pPr>
        <w:snapToGrid w:val="0"/>
        <w:spacing w:line="400" w:lineRule="exact"/>
        <w:ind w:firstLine="420"/>
        <w:outlineLvl w:val="4"/>
        <w:rPr>
          <w:color w:val="auto"/>
          <w:szCs w:val="21"/>
          <w:highlight w:val="none"/>
        </w:rPr>
      </w:pPr>
    </w:p>
    <w:p>
      <w:pPr>
        <w:snapToGrid w:val="0"/>
        <w:spacing w:line="400" w:lineRule="exact"/>
        <w:ind w:firstLine="420"/>
        <w:outlineLvl w:val="4"/>
        <w:rPr>
          <w:color w:val="auto"/>
          <w:szCs w:val="21"/>
          <w:highlight w:val="none"/>
        </w:rPr>
      </w:pPr>
    </w:p>
    <w:p>
      <w:pPr>
        <w:snapToGrid w:val="0"/>
        <w:spacing w:line="400" w:lineRule="exact"/>
        <w:ind w:firstLine="420"/>
        <w:outlineLvl w:val="4"/>
        <w:rPr>
          <w:color w:val="auto"/>
          <w:szCs w:val="21"/>
          <w:highlight w:val="none"/>
        </w:rPr>
      </w:pPr>
    </w:p>
    <w:p>
      <w:pPr>
        <w:snapToGrid w:val="0"/>
        <w:spacing w:line="400" w:lineRule="exact"/>
        <w:ind w:firstLine="420"/>
        <w:outlineLvl w:val="4"/>
        <w:rPr>
          <w:color w:val="auto"/>
          <w:szCs w:val="21"/>
          <w:highlight w:val="none"/>
        </w:rPr>
      </w:pPr>
    </w:p>
    <w:p>
      <w:pPr>
        <w:snapToGrid w:val="0"/>
        <w:spacing w:line="400" w:lineRule="exact"/>
        <w:ind w:firstLine="4935" w:firstLineChars="2350"/>
        <w:outlineLvl w:val="4"/>
        <w:rPr>
          <w:color w:val="auto"/>
          <w:szCs w:val="21"/>
          <w:highlight w:val="none"/>
          <w:u w:val="single"/>
        </w:rPr>
      </w:pPr>
      <w:r>
        <w:rPr>
          <w:color w:val="auto"/>
          <w:szCs w:val="21"/>
          <w:highlight w:val="none"/>
        </w:rPr>
        <w:t>磋商供应商（公章）：</w:t>
      </w:r>
      <w:r>
        <w:rPr>
          <w:color w:val="auto"/>
          <w:szCs w:val="21"/>
          <w:highlight w:val="none"/>
          <w:u w:val="single"/>
        </w:rPr>
        <w:t xml:space="preserve">          .                               </w:t>
      </w:r>
    </w:p>
    <w:p>
      <w:pPr>
        <w:snapToGrid w:val="0"/>
        <w:spacing w:line="400" w:lineRule="exact"/>
        <w:ind w:firstLine="420"/>
        <w:outlineLvl w:val="4"/>
        <w:rPr>
          <w:color w:val="auto"/>
          <w:szCs w:val="21"/>
          <w:highlight w:val="none"/>
        </w:rPr>
      </w:pPr>
    </w:p>
    <w:p>
      <w:pPr>
        <w:spacing w:line="340" w:lineRule="exact"/>
        <w:ind w:left="4935" w:leftChars="2350"/>
        <w:rPr>
          <w:color w:val="auto"/>
          <w:szCs w:val="21"/>
          <w:highlight w:val="none"/>
          <w:u w:val="single"/>
        </w:rPr>
      </w:pPr>
      <w:r>
        <w:rPr>
          <w:color w:val="auto"/>
          <w:highlight w:val="none"/>
        </w:rPr>
        <w:t>法定代表人或负责人或相应的委托代理人签字或盖章：</w:t>
      </w:r>
      <w:r>
        <w:rPr>
          <w:color w:val="auto"/>
          <w:szCs w:val="21"/>
          <w:highlight w:val="none"/>
          <w:u w:val="single"/>
        </w:rPr>
        <w:t xml:space="preserve">                        .</w:t>
      </w:r>
    </w:p>
    <w:p>
      <w:pPr>
        <w:spacing w:line="340" w:lineRule="exact"/>
        <w:ind w:firstLine="420" w:firstLineChars="200"/>
        <w:rPr>
          <w:color w:val="auto"/>
          <w:highlight w:val="none"/>
        </w:rPr>
      </w:pPr>
    </w:p>
    <w:p>
      <w:pPr>
        <w:pStyle w:val="23"/>
        <w:ind w:firstLine="4935" w:firstLineChars="2350"/>
        <w:rPr>
          <w:rFonts w:ascii="Times New Roman" w:hAnsi="Times New Roman"/>
          <w:b/>
          <w:color w:val="auto"/>
          <w:sz w:val="32"/>
          <w:highlight w:val="none"/>
        </w:rPr>
      </w:pPr>
      <w:r>
        <w:rPr>
          <w:rFonts w:ascii="Times New Roman" w:hAnsi="Times New Roman"/>
          <w:color w:val="auto"/>
          <w:highlight w:val="none"/>
        </w:rPr>
        <w:t>日      期：</w:t>
      </w:r>
      <w:r>
        <w:rPr>
          <w:rFonts w:ascii="Times New Roman" w:hAnsi="Times New Roman"/>
          <w:color w:val="auto"/>
          <w:highlight w:val="none"/>
          <w:u w:val="single"/>
        </w:rPr>
        <w:t xml:space="preserve">                         </w:t>
      </w:r>
      <w:r>
        <w:rPr>
          <w:rFonts w:ascii="Times New Roman" w:hAnsi="Times New Roman"/>
          <w:color w:val="auto"/>
          <w:highlight w:val="none"/>
        </w:rPr>
        <w:t>.</w:t>
      </w:r>
    </w:p>
    <w:p>
      <w:pPr>
        <w:spacing w:line="340" w:lineRule="exact"/>
        <w:ind w:firstLine="420" w:firstLineChars="200"/>
        <w:rPr>
          <w:color w:val="auto"/>
          <w:highlight w:val="none"/>
        </w:rPr>
      </w:pPr>
    </w:p>
    <w:p>
      <w:pPr>
        <w:spacing w:line="340" w:lineRule="exact"/>
        <w:ind w:firstLine="420" w:firstLineChars="200"/>
        <w:rPr>
          <w:color w:val="auto"/>
          <w:highlight w:val="none"/>
        </w:rPr>
      </w:pPr>
    </w:p>
    <w:p>
      <w:pPr>
        <w:spacing w:line="340" w:lineRule="exact"/>
        <w:ind w:firstLine="420" w:firstLineChars="200"/>
        <w:rPr>
          <w:color w:val="auto"/>
          <w:highlight w:val="none"/>
        </w:rPr>
      </w:pPr>
    </w:p>
    <w:p>
      <w:pPr>
        <w:spacing w:line="340" w:lineRule="exact"/>
        <w:ind w:firstLine="420" w:firstLineChars="200"/>
        <w:rPr>
          <w:color w:val="auto"/>
          <w:highlight w:val="none"/>
        </w:rPr>
      </w:pPr>
    </w:p>
    <w:p>
      <w:pPr>
        <w:spacing w:line="340" w:lineRule="exact"/>
        <w:ind w:firstLine="420" w:firstLineChars="200"/>
        <w:rPr>
          <w:color w:val="auto"/>
          <w:highlight w:val="none"/>
        </w:rPr>
      </w:pPr>
    </w:p>
    <w:p>
      <w:pPr>
        <w:spacing w:line="340" w:lineRule="exact"/>
        <w:ind w:firstLine="420" w:firstLineChars="200"/>
        <w:rPr>
          <w:color w:val="auto"/>
          <w:highlight w:val="none"/>
        </w:rPr>
      </w:pPr>
    </w:p>
    <w:p>
      <w:pPr>
        <w:spacing w:line="340" w:lineRule="exact"/>
        <w:ind w:firstLine="420" w:firstLineChars="200"/>
        <w:rPr>
          <w:color w:val="auto"/>
          <w:highlight w:val="none"/>
        </w:rPr>
      </w:pPr>
    </w:p>
    <w:p>
      <w:pPr>
        <w:spacing w:line="340" w:lineRule="exact"/>
        <w:ind w:firstLine="420" w:firstLineChars="200"/>
        <w:rPr>
          <w:color w:val="auto"/>
          <w:highlight w:val="none"/>
        </w:rPr>
      </w:pPr>
    </w:p>
    <w:p>
      <w:pPr>
        <w:spacing w:line="340" w:lineRule="exact"/>
        <w:ind w:firstLine="420" w:firstLineChars="200"/>
        <w:rPr>
          <w:color w:val="auto"/>
          <w:highlight w:val="none"/>
        </w:rPr>
      </w:pPr>
    </w:p>
    <w:p>
      <w:pPr>
        <w:spacing w:line="340" w:lineRule="exact"/>
        <w:ind w:firstLine="420" w:firstLineChars="200"/>
        <w:rPr>
          <w:color w:val="auto"/>
          <w:highlight w:val="none"/>
        </w:rPr>
      </w:pPr>
    </w:p>
    <w:p>
      <w:pPr>
        <w:spacing w:line="340" w:lineRule="exact"/>
        <w:ind w:firstLine="420" w:firstLineChars="200"/>
        <w:rPr>
          <w:color w:val="auto"/>
          <w:highlight w:val="none"/>
        </w:rPr>
      </w:pPr>
    </w:p>
    <w:p>
      <w:pPr>
        <w:spacing w:line="340" w:lineRule="exact"/>
        <w:ind w:firstLine="420" w:firstLineChars="200"/>
        <w:rPr>
          <w:color w:val="auto"/>
          <w:highlight w:val="none"/>
        </w:rPr>
      </w:pPr>
    </w:p>
    <w:p>
      <w:pPr>
        <w:spacing w:line="340" w:lineRule="exact"/>
        <w:ind w:firstLine="420" w:firstLineChars="200"/>
        <w:rPr>
          <w:color w:val="auto"/>
          <w:highlight w:val="none"/>
        </w:rPr>
      </w:pPr>
    </w:p>
    <w:p>
      <w:pPr>
        <w:spacing w:line="340" w:lineRule="exact"/>
        <w:ind w:firstLine="420" w:firstLineChars="200"/>
        <w:rPr>
          <w:color w:val="auto"/>
          <w:highlight w:val="none"/>
        </w:rPr>
      </w:pPr>
    </w:p>
    <w:p>
      <w:pPr>
        <w:pStyle w:val="23"/>
        <w:rPr>
          <w:rFonts w:ascii="Times New Roman" w:hAnsi="Times New Roman"/>
          <w:b/>
          <w:color w:val="auto"/>
          <w:sz w:val="32"/>
          <w:highlight w:val="none"/>
        </w:rPr>
      </w:pPr>
    </w:p>
    <w:p>
      <w:pPr>
        <w:spacing w:line="340" w:lineRule="exact"/>
        <w:ind w:firstLine="640" w:firstLineChars="200"/>
        <w:rPr>
          <w:b/>
          <w:color w:val="auto"/>
          <w:sz w:val="32"/>
          <w:szCs w:val="20"/>
          <w:highlight w:val="none"/>
        </w:rPr>
      </w:pPr>
    </w:p>
    <w:p>
      <w:pPr>
        <w:pStyle w:val="23"/>
        <w:ind w:firstLine="627" w:firstLineChars="196"/>
        <w:rPr>
          <w:rFonts w:ascii="Times New Roman" w:hAnsi="Times New Roman"/>
          <w:b/>
          <w:color w:val="auto"/>
          <w:sz w:val="32"/>
          <w:highlight w:val="none"/>
        </w:rPr>
      </w:pPr>
    </w:p>
    <w:p>
      <w:pPr>
        <w:pStyle w:val="23"/>
        <w:ind w:firstLine="548" w:firstLineChars="196"/>
        <w:rPr>
          <w:rFonts w:ascii="Times New Roman" w:hAnsi="Times New Roman"/>
          <w:b/>
          <w:color w:val="auto"/>
          <w:sz w:val="28"/>
          <w:szCs w:val="28"/>
          <w:highlight w:val="none"/>
        </w:rPr>
      </w:pPr>
      <w:r>
        <w:rPr>
          <w:rFonts w:hint="eastAsia" w:ascii="Times New Roman" w:hAnsi="Times New Roman"/>
          <w:b/>
          <w:color w:val="auto"/>
          <w:sz w:val="28"/>
          <w:szCs w:val="28"/>
          <w:highlight w:val="none"/>
        </w:rPr>
        <w:t>5</w:t>
      </w:r>
      <w:r>
        <w:rPr>
          <w:rFonts w:ascii="Times New Roman" w:hAnsi="Times New Roman"/>
          <w:b/>
          <w:color w:val="auto"/>
          <w:sz w:val="28"/>
          <w:szCs w:val="28"/>
          <w:highlight w:val="none"/>
        </w:rPr>
        <w:t>、磋商供应商的法人或其他组织的营业执照副本复印件（必须提供）；</w:t>
      </w:r>
    </w:p>
    <w:p>
      <w:pPr>
        <w:pStyle w:val="23"/>
        <w:ind w:firstLine="617" w:firstLineChars="294"/>
        <w:rPr>
          <w:rFonts w:ascii="Times New Roman" w:hAnsi="Times New Roman"/>
          <w:b/>
          <w:color w:val="auto"/>
          <w:szCs w:val="21"/>
          <w:highlight w:val="none"/>
        </w:rPr>
      </w:pPr>
      <w:r>
        <w:rPr>
          <w:rFonts w:ascii="Times New Roman" w:hAnsi="Times New Roman"/>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400" w:lineRule="exact"/>
        <w:ind w:firstLine="640" w:firstLineChars="200"/>
        <w:rPr>
          <w:b/>
          <w:color w:val="auto"/>
          <w:sz w:val="32"/>
          <w:highlight w:val="none"/>
        </w:rPr>
      </w:pPr>
    </w:p>
    <w:p>
      <w:pPr>
        <w:tabs>
          <w:tab w:val="left" w:pos="1305"/>
        </w:tabs>
        <w:spacing w:line="400" w:lineRule="exact"/>
        <w:ind w:firstLine="640" w:firstLineChars="200"/>
        <w:rPr>
          <w:b/>
          <w:color w:val="auto"/>
          <w:sz w:val="32"/>
          <w:highlight w:val="none"/>
        </w:rPr>
      </w:pPr>
    </w:p>
    <w:p>
      <w:pPr>
        <w:tabs>
          <w:tab w:val="left" w:pos="1305"/>
        </w:tabs>
        <w:spacing w:line="400" w:lineRule="exact"/>
        <w:ind w:firstLine="640" w:firstLineChars="200"/>
        <w:rPr>
          <w:b/>
          <w:color w:val="auto"/>
          <w:sz w:val="32"/>
          <w:highlight w:val="none"/>
        </w:rPr>
      </w:pPr>
    </w:p>
    <w:p>
      <w:pPr>
        <w:tabs>
          <w:tab w:val="left" w:pos="1305"/>
        </w:tabs>
        <w:spacing w:line="400" w:lineRule="exact"/>
        <w:ind w:firstLine="640" w:firstLineChars="200"/>
        <w:rPr>
          <w:b/>
          <w:color w:val="auto"/>
          <w:sz w:val="32"/>
          <w:highlight w:val="none"/>
        </w:rPr>
      </w:pPr>
    </w:p>
    <w:p>
      <w:pPr>
        <w:tabs>
          <w:tab w:val="left" w:pos="1305"/>
        </w:tabs>
        <w:spacing w:line="400" w:lineRule="exact"/>
        <w:ind w:firstLine="640" w:firstLineChars="200"/>
        <w:rPr>
          <w:b/>
          <w:color w:val="auto"/>
          <w:sz w:val="32"/>
          <w:highlight w:val="none"/>
        </w:rPr>
      </w:pPr>
    </w:p>
    <w:p>
      <w:pPr>
        <w:tabs>
          <w:tab w:val="left" w:pos="1305"/>
        </w:tabs>
        <w:spacing w:line="400" w:lineRule="exact"/>
        <w:ind w:firstLine="640" w:firstLineChars="200"/>
        <w:rPr>
          <w:b/>
          <w:color w:val="auto"/>
          <w:sz w:val="32"/>
          <w:highlight w:val="none"/>
        </w:rPr>
      </w:pPr>
    </w:p>
    <w:p>
      <w:pPr>
        <w:tabs>
          <w:tab w:val="left" w:pos="1305"/>
        </w:tabs>
        <w:spacing w:line="400" w:lineRule="exact"/>
        <w:ind w:firstLine="640" w:firstLineChars="200"/>
        <w:rPr>
          <w:b/>
          <w:color w:val="auto"/>
          <w:sz w:val="32"/>
          <w:highlight w:val="none"/>
        </w:rPr>
      </w:pPr>
    </w:p>
    <w:p>
      <w:pPr>
        <w:tabs>
          <w:tab w:val="left" w:pos="1305"/>
        </w:tabs>
        <w:spacing w:line="400" w:lineRule="exact"/>
        <w:ind w:firstLine="640" w:firstLineChars="200"/>
        <w:rPr>
          <w:b/>
          <w:color w:val="auto"/>
          <w:sz w:val="32"/>
          <w:highlight w:val="none"/>
        </w:rPr>
      </w:pPr>
    </w:p>
    <w:p>
      <w:pPr>
        <w:tabs>
          <w:tab w:val="left" w:pos="1305"/>
        </w:tabs>
        <w:spacing w:line="400" w:lineRule="exact"/>
        <w:ind w:firstLine="560" w:firstLineChars="200"/>
        <w:rPr>
          <w:b/>
          <w:color w:val="auto"/>
          <w:sz w:val="28"/>
          <w:szCs w:val="28"/>
          <w:highlight w:val="none"/>
        </w:rPr>
      </w:pPr>
    </w:p>
    <w:p>
      <w:pPr>
        <w:tabs>
          <w:tab w:val="left" w:pos="1305"/>
        </w:tabs>
        <w:spacing w:line="400" w:lineRule="exact"/>
        <w:ind w:firstLine="560" w:firstLineChars="200"/>
        <w:rPr>
          <w:b/>
          <w:color w:val="auto"/>
          <w:sz w:val="28"/>
          <w:szCs w:val="28"/>
          <w:highlight w:val="none"/>
        </w:rPr>
      </w:pPr>
    </w:p>
    <w:p>
      <w:pPr>
        <w:tabs>
          <w:tab w:val="left" w:pos="1305"/>
        </w:tabs>
        <w:spacing w:line="400" w:lineRule="exact"/>
        <w:ind w:firstLine="560" w:firstLineChars="200"/>
        <w:rPr>
          <w:b/>
          <w:color w:val="auto"/>
          <w:sz w:val="28"/>
          <w:szCs w:val="28"/>
          <w:highlight w:val="none"/>
        </w:rPr>
      </w:pPr>
      <w:r>
        <w:rPr>
          <w:rFonts w:hint="eastAsia"/>
          <w:b/>
          <w:color w:val="auto"/>
          <w:sz w:val="28"/>
          <w:szCs w:val="28"/>
          <w:highlight w:val="none"/>
        </w:rPr>
        <w:t>6</w:t>
      </w:r>
      <w:r>
        <w:rPr>
          <w:b/>
          <w:color w:val="auto"/>
          <w:sz w:val="28"/>
          <w:szCs w:val="28"/>
          <w:highlight w:val="none"/>
        </w:rPr>
        <w:t>、磋商供应商资质证书复印件（必须提供）；</w:t>
      </w:r>
    </w:p>
    <w:p>
      <w:pPr>
        <w:pStyle w:val="23"/>
        <w:ind w:firstLine="548" w:firstLineChars="196"/>
        <w:rPr>
          <w:rFonts w:ascii="Times New Roman" w:hAnsi="Times New Roman"/>
          <w:b/>
          <w:color w:val="auto"/>
          <w:sz w:val="28"/>
          <w:szCs w:val="28"/>
          <w:highlight w:val="none"/>
        </w:rPr>
        <w:sectPr>
          <w:pgSz w:w="11906" w:h="16838"/>
          <w:pgMar w:top="1440" w:right="935" w:bottom="1440" w:left="999" w:header="851" w:footer="992" w:gutter="0"/>
          <w:cols w:space="720" w:num="1"/>
          <w:titlePg/>
          <w:docGrid w:type="linesAndChars" w:linePitch="312" w:charSpace="0"/>
        </w:sectPr>
        <w:pPrChange w:id="0" w:author="xbany" w:date="2020-07-28T16:37:00Z">
          <w:pPr>
            <w:pStyle w:val="23"/>
            <w:ind w:firstLine="551" w:firstLineChars="196"/>
          </w:pPr>
        </w:pPrChange>
      </w:pPr>
    </w:p>
    <w:p>
      <w:pPr>
        <w:pStyle w:val="23"/>
        <w:spacing w:line="300" w:lineRule="exact"/>
        <w:ind w:left="420"/>
        <w:rPr>
          <w:rFonts w:ascii="Times New Roman" w:hAnsi="Times New Roman"/>
          <w:b/>
          <w:color w:val="auto"/>
          <w:sz w:val="28"/>
          <w:szCs w:val="28"/>
          <w:highlight w:val="none"/>
        </w:rPr>
      </w:pPr>
      <w:r>
        <w:rPr>
          <w:rFonts w:ascii="Times New Roman" w:hAnsi="Times New Roman"/>
          <w:b/>
          <w:color w:val="auto"/>
          <w:sz w:val="28"/>
          <w:szCs w:val="28"/>
          <w:highlight w:val="none"/>
        </w:rPr>
        <w:t>7、磋商报价表（必须提供）</w:t>
      </w:r>
    </w:p>
    <w:p>
      <w:pPr>
        <w:pStyle w:val="23"/>
        <w:spacing w:line="300" w:lineRule="exact"/>
        <w:ind w:left="420"/>
        <w:rPr>
          <w:rFonts w:ascii="Times New Roman" w:hAnsi="Times New Roman"/>
          <w:b/>
          <w:color w:val="auto"/>
          <w:sz w:val="24"/>
          <w:szCs w:val="24"/>
          <w:highlight w:val="none"/>
        </w:rPr>
      </w:pPr>
    </w:p>
    <w:p>
      <w:pPr>
        <w:pStyle w:val="23"/>
        <w:spacing w:line="500" w:lineRule="exact"/>
        <w:ind w:left="420"/>
        <w:jc w:val="left"/>
        <w:rPr>
          <w:rFonts w:ascii="Times New Roman" w:hAnsi="Times New Roman"/>
          <w:b/>
          <w:color w:val="auto"/>
          <w:sz w:val="24"/>
          <w:szCs w:val="24"/>
          <w:highlight w:val="none"/>
        </w:rPr>
      </w:pPr>
      <w:r>
        <w:rPr>
          <w:rFonts w:ascii="Times New Roman" w:hAnsi="Times New Roman"/>
          <w:b/>
          <w:color w:val="auto"/>
          <w:sz w:val="24"/>
          <w:szCs w:val="24"/>
          <w:highlight w:val="none"/>
        </w:rPr>
        <w:t xml:space="preserve">附件：              </w:t>
      </w:r>
    </w:p>
    <w:p>
      <w:pPr>
        <w:pStyle w:val="23"/>
        <w:spacing w:afterLines="100" w:line="500" w:lineRule="exact"/>
        <w:ind w:left="420"/>
        <w:jc w:val="center"/>
        <w:rPr>
          <w:rFonts w:ascii="Times New Roman" w:hAnsi="Times New Roman"/>
          <w:b/>
          <w:color w:val="auto"/>
          <w:sz w:val="28"/>
          <w:szCs w:val="28"/>
          <w:highlight w:val="none"/>
        </w:rPr>
      </w:pPr>
      <w:r>
        <w:rPr>
          <w:rFonts w:ascii="Times New Roman" w:hAnsi="Times New Roman"/>
          <w:b/>
          <w:color w:val="auto"/>
          <w:sz w:val="28"/>
          <w:szCs w:val="28"/>
          <w:highlight w:val="none"/>
        </w:rPr>
        <w:t>磋商报价表（格式）</w:t>
      </w:r>
    </w:p>
    <w:tbl>
      <w:tblPr>
        <w:tblStyle w:val="43"/>
        <w:tblW w:w="97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2150"/>
        <w:gridCol w:w="3144"/>
        <w:gridCol w:w="2734"/>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2" w:hRule="atLeast"/>
        </w:trPr>
        <w:tc>
          <w:tcPr>
            <w:tcW w:w="583" w:type="dxa"/>
            <w:vAlign w:val="center"/>
          </w:tcPr>
          <w:p>
            <w:pPr>
              <w:pStyle w:val="23"/>
              <w:spacing w:line="440" w:lineRule="exact"/>
              <w:jc w:val="center"/>
              <w:rPr>
                <w:color w:val="auto"/>
                <w:szCs w:val="22"/>
                <w:highlight w:val="none"/>
              </w:rPr>
            </w:pPr>
            <w:r>
              <w:rPr>
                <w:rFonts w:hint="eastAsia"/>
                <w:color w:val="auto"/>
                <w:szCs w:val="22"/>
                <w:highlight w:val="none"/>
              </w:rPr>
              <w:t>序号</w:t>
            </w:r>
          </w:p>
        </w:tc>
        <w:tc>
          <w:tcPr>
            <w:tcW w:w="2150" w:type="dxa"/>
            <w:vAlign w:val="center"/>
          </w:tcPr>
          <w:p>
            <w:pPr>
              <w:pStyle w:val="23"/>
              <w:spacing w:line="440" w:lineRule="exact"/>
              <w:jc w:val="center"/>
              <w:rPr>
                <w:color w:val="auto"/>
                <w:szCs w:val="22"/>
                <w:highlight w:val="none"/>
              </w:rPr>
            </w:pPr>
            <w:r>
              <w:rPr>
                <w:rFonts w:hint="eastAsia"/>
                <w:color w:val="auto"/>
                <w:szCs w:val="22"/>
                <w:highlight w:val="none"/>
              </w:rPr>
              <w:t>服务项目</w:t>
            </w:r>
          </w:p>
        </w:tc>
        <w:tc>
          <w:tcPr>
            <w:tcW w:w="3144" w:type="dxa"/>
            <w:vAlign w:val="center"/>
          </w:tcPr>
          <w:p>
            <w:pPr>
              <w:pStyle w:val="23"/>
              <w:spacing w:line="440" w:lineRule="exact"/>
              <w:jc w:val="center"/>
              <w:rPr>
                <w:color w:val="auto"/>
                <w:szCs w:val="22"/>
                <w:highlight w:val="none"/>
              </w:rPr>
            </w:pPr>
            <w:r>
              <w:rPr>
                <w:rFonts w:hint="eastAsia"/>
                <w:color w:val="auto"/>
                <w:szCs w:val="22"/>
                <w:highlight w:val="none"/>
              </w:rPr>
              <w:t>服务内容</w:t>
            </w:r>
          </w:p>
        </w:tc>
        <w:tc>
          <w:tcPr>
            <w:tcW w:w="2734" w:type="dxa"/>
            <w:vAlign w:val="center"/>
          </w:tcPr>
          <w:p>
            <w:pPr>
              <w:pStyle w:val="23"/>
              <w:spacing w:line="440" w:lineRule="exact"/>
              <w:jc w:val="center"/>
              <w:rPr>
                <w:color w:val="auto"/>
                <w:szCs w:val="22"/>
                <w:highlight w:val="none"/>
              </w:rPr>
            </w:pPr>
            <w:r>
              <w:rPr>
                <w:rFonts w:hint="eastAsia"/>
                <w:color w:val="auto"/>
                <w:szCs w:val="22"/>
                <w:highlight w:val="none"/>
              </w:rPr>
              <w:t>磋商报价</w:t>
            </w:r>
          </w:p>
        </w:tc>
        <w:tc>
          <w:tcPr>
            <w:tcW w:w="1108" w:type="dxa"/>
            <w:vAlign w:val="center"/>
          </w:tcPr>
          <w:p>
            <w:pPr>
              <w:pStyle w:val="23"/>
              <w:spacing w:line="440" w:lineRule="exact"/>
              <w:jc w:val="center"/>
              <w:rPr>
                <w:color w:val="auto"/>
                <w:szCs w:val="22"/>
                <w:highlight w:val="none"/>
              </w:rPr>
            </w:pPr>
            <w:r>
              <w:rPr>
                <w:rFonts w:hint="eastAsia"/>
                <w:color w:val="auto"/>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583" w:type="dxa"/>
            <w:vAlign w:val="center"/>
          </w:tcPr>
          <w:p>
            <w:pPr>
              <w:pStyle w:val="23"/>
              <w:spacing w:line="440" w:lineRule="exact"/>
              <w:ind w:firstLine="482"/>
              <w:rPr>
                <w:color w:val="auto"/>
                <w:szCs w:val="22"/>
                <w:highlight w:val="none"/>
              </w:rPr>
            </w:pPr>
            <w:r>
              <w:rPr>
                <w:rFonts w:hint="eastAsia"/>
                <w:color w:val="auto"/>
                <w:szCs w:val="22"/>
                <w:highlight w:val="none"/>
              </w:rPr>
              <w:t>1</w:t>
            </w:r>
          </w:p>
        </w:tc>
        <w:tc>
          <w:tcPr>
            <w:tcW w:w="2150" w:type="dxa"/>
            <w:vAlign w:val="center"/>
          </w:tcPr>
          <w:p>
            <w:pPr>
              <w:pStyle w:val="23"/>
              <w:spacing w:line="440" w:lineRule="exact"/>
              <w:ind w:firstLine="482"/>
              <w:rPr>
                <w:color w:val="auto"/>
                <w:szCs w:val="22"/>
                <w:highlight w:val="none"/>
              </w:rPr>
            </w:pPr>
          </w:p>
        </w:tc>
        <w:tc>
          <w:tcPr>
            <w:tcW w:w="3144" w:type="dxa"/>
            <w:vAlign w:val="center"/>
          </w:tcPr>
          <w:p>
            <w:pPr>
              <w:pStyle w:val="23"/>
              <w:spacing w:line="440" w:lineRule="exact"/>
              <w:ind w:firstLine="482"/>
              <w:rPr>
                <w:color w:val="auto"/>
                <w:szCs w:val="22"/>
                <w:highlight w:val="none"/>
              </w:rPr>
            </w:pPr>
          </w:p>
        </w:tc>
        <w:tc>
          <w:tcPr>
            <w:tcW w:w="2734" w:type="dxa"/>
            <w:vAlign w:val="center"/>
          </w:tcPr>
          <w:p>
            <w:pPr>
              <w:pStyle w:val="23"/>
              <w:spacing w:line="440" w:lineRule="exact"/>
              <w:ind w:firstLine="482"/>
              <w:rPr>
                <w:color w:val="auto"/>
                <w:szCs w:val="22"/>
                <w:highlight w:val="none"/>
              </w:rPr>
            </w:pPr>
          </w:p>
        </w:tc>
        <w:tc>
          <w:tcPr>
            <w:tcW w:w="1108" w:type="dxa"/>
            <w:vAlign w:val="center"/>
          </w:tcPr>
          <w:p>
            <w:pPr>
              <w:pStyle w:val="23"/>
              <w:spacing w:line="440" w:lineRule="exact"/>
              <w:ind w:firstLine="482"/>
              <w:rPr>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583" w:type="dxa"/>
            <w:vAlign w:val="center"/>
          </w:tcPr>
          <w:p>
            <w:pPr>
              <w:pStyle w:val="23"/>
              <w:spacing w:line="440" w:lineRule="exact"/>
              <w:ind w:firstLine="482"/>
              <w:rPr>
                <w:color w:val="auto"/>
                <w:szCs w:val="22"/>
                <w:highlight w:val="none"/>
              </w:rPr>
            </w:pPr>
          </w:p>
        </w:tc>
        <w:tc>
          <w:tcPr>
            <w:tcW w:w="2150" w:type="dxa"/>
            <w:vAlign w:val="center"/>
          </w:tcPr>
          <w:p>
            <w:pPr>
              <w:pStyle w:val="23"/>
              <w:spacing w:line="440" w:lineRule="exact"/>
              <w:ind w:firstLine="482"/>
              <w:rPr>
                <w:color w:val="auto"/>
                <w:szCs w:val="22"/>
                <w:highlight w:val="none"/>
              </w:rPr>
            </w:pPr>
          </w:p>
        </w:tc>
        <w:tc>
          <w:tcPr>
            <w:tcW w:w="3144" w:type="dxa"/>
            <w:vAlign w:val="center"/>
          </w:tcPr>
          <w:p>
            <w:pPr>
              <w:pStyle w:val="23"/>
              <w:spacing w:line="440" w:lineRule="exact"/>
              <w:ind w:firstLine="482"/>
              <w:rPr>
                <w:color w:val="auto"/>
                <w:szCs w:val="22"/>
                <w:highlight w:val="none"/>
              </w:rPr>
            </w:pPr>
          </w:p>
        </w:tc>
        <w:tc>
          <w:tcPr>
            <w:tcW w:w="2734" w:type="dxa"/>
            <w:vAlign w:val="center"/>
          </w:tcPr>
          <w:p>
            <w:pPr>
              <w:pStyle w:val="23"/>
              <w:spacing w:line="440" w:lineRule="exact"/>
              <w:ind w:firstLine="482"/>
              <w:rPr>
                <w:color w:val="auto"/>
                <w:szCs w:val="22"/>
                <w:highlight w:val="none"/>
              </w:rPr>
            </w:pPr>
          </w:p>
        </w:tc>
        <w:tc>
          <w:tcPr>
            <w:tcW w:w="1108" w:type="dxa"/>
            <w:vAlign w:val="center"/>
          </w:tcPr>
          <w:p>
            <w:pPr>
              <w:pStyle w:val="23"/>
              <w:spacing w:line="440" w:lineRule="exact"/>
              <w:ind w:firstLine="482"/>
              <w:rPr>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583" w:type="dxa"/>
            <w:vAlign w:val="center"/>
          </w:tcPr>
          <w:p>
            <w:pPr>
              <w:pStyle w:val="23"/>
              <w:spacing w:line="440" w:lineRule="exact"/>
              <w:ind w:firstLine="482"/>
              <w:rPr>
                <w:color w:val="auto"/>
                <w:szCs w:val="22"/>
                <w:highlight w:val="none"/>
              </w:rPr>
            </w:pPr>
          </w:p>
        </w:tc>
        <w:tc>
          <w:tcPr>
            <w:tcW w:w="2150" w:type="dxa"/>
            <w:vAlign w:val="center"/>
          </w:tcPr>
          <w:p>
            <w:pPr>
              <w:pStyle w:val="23"/>
              <w:spacing w:line="440" w:lineRule="exact"/>
              <w:ind w:firstLine="482"/>
              <w:rPr>
                <w:color w:val="auto"/>
                <w:szCs w:val="22"/>
                <w:highlight w:val="none"/>
              </w:rPr>
            </w:pPr>
          </w:p>
        </w:tc>
        <w:tc>
          <w:tcPr>
            <w:tcW w:w="3144" w:type="dxa"/>
            <w:vAlign w:val="center"/>
          </w:tcPr>
          <w:p>
            <w:pPr>
              <w:pStyle w:val="23"/>
              <w:spacing w:line="440" w:lineRule="exact"/>
              <w:ind w:firstLine="482"/>
              <w:rPr>
                <w:color w:val="auto"/>
                <w:szCs w:val="22"/>
                <w:highlight w:val="none"/>
              </w:rPr>
            </w:pPr>
          </w:p>
        </w:tc>
        <w:tc>
          <w:tcPr>
            <w:tcW w:w="2734" w:type="dxa"/>
            <w:vAlign w:val="center"/>
          </w:tcPr>
          <w:p>
            <w:pPr>
              <w:pStyle w:val="23"/>
              <w:spacing w:line="440" w:lineRule="exact"/>
              <w:ind w:firstLine="482"/>
              <w:rPr>
                <w:color w:val="auto"/>
                <w:szCs w:val="22"/>
                <w:highlight w:val="none"/>
              </w:rPr>
            </w:pPr>
          </w:p>
        </w:tc>
        <w:tc>
          <w:tcPr>
            <w:tcW w:w="1108" w:type="dxa"/>
            <w:vAlign w:val="center"/>
          </w:tcPr>
          <w:p>
            <w:pPr>
              <w:pStyle w:val="23"/>
              <w:spacing w:line="440" w:lineRule="exact"/>
              <w:ind w:firstLine="482"/>
              <w:rPr>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583" w:type="dxa"/>
            <w:vAlign w:val="center"/>
          </w:tcPr>
          <w:p>
            <w:pPr>
              <w:pStyle w:val="23"/>
              <w:spacing w:line="440" w:lineRule="exact"/>
              <w:ind w:firstLine="482"/>
              <w:rPr>
                <w:color w:val="auto"/>
                <w:szCs w:val="22"/>
                <w:highlight w:val="none"/>
              </w:rPr>
            </w:pPr>
          </w:p>
        </w:tc>
        <w:tc>
          <w:tcPr>
            <w:tcW w:w="2150" w:type="dxa"/>
            <w:vAlign w:val="center"/>
          </w:tcPr>
          <w:p>
            <w:pPr>
              <w:pStyle w:val="23"/>
              <w:spacing w:line="440" w:lineRule="exact"/>
              <w:ind w:firstLine="482"/>
              <w:rPr>
                <w:color w:val="auto"/>
                <w:szCs w:val="22"/>
                <w:highlight w:val="none"/>
              </w:rPr>
            </w:pPr>
          </w:p>
        </w:tc>
        <w:tc>
          <w:tcPr>
            <w:tcW w:w="3144" w:type="dxa"/>
            <w:vAlign w:val="center"/>
          </w:tcPr>
          <w:p>
            <w:pPr>
              <w:pStyle w:val="23"/>
              <w:spacing w:line="440" w:lineRule="exact"/>
              <w:ind w:firstLine="482"/>
              <w:rPr>
                <w:color w:val="auto"/>
                <w:szCs w:val="22"/>
                <w:highlight w:val="none"/>
              </w:rPr>
            </w:pPr>
          </w:p>
        </w:tc>
        <w:tc>
          <w:tcPr>
            <w:tcW w:w="2734" w:type="dxa"/>
            <w:vAlign w:val="center"/>
          </w:tcPr>
          <w:p>
            <w:pPr>
              <w:pStyle w:val="23"/>
              <w:spacing w:line="440" w:lineRule="exact"/>
              <w:ind w:firstLine="482"/>
              <w:rPr>
                <w:color w:val="auto"/>
                <w:szCs w:val="22"/>
                <w:highlight w:val="none"/>
              </w:rPr>
            </w:pPr>
          </w:p>
        </w:tc>
        <w:tc>
          <w:tcPr>
            <w:tcW w:w="1108" w:type="dxa"/>
            <w:vAlign w:val="center"/>
          </w:tcPr>
          <w:p>
            <w:pPr>
              <w:pStyle w:val="23"/>
              <w:spacing w:line="440" w:lineRule="exact"/>
              <w:ind w:firstLine="482"/>
              <w:rPr>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719" w:type="dxa"/>
            <w:gridSpan w:val="5"/>
            <w:vAlign w:val="center"/>
          </w:tcPr>
          <w:p>
            <w:pPr>
              <w:pStyle w:val="23"/>
              <w:spacing w:line="440" w:lineRule="exact"/>
              <w:jc w:val="left"/>
              <w:rPr>
                <w:color w:val="auto"/>
                <w:szCs w:val="22"/>
                <w:highlight w:val="none"/>
              </w:rPr>
            </w:pPr>
            <w:r>
              <w:rPr>
                <w:rFonts w:hint="eastAsia"/>
                <w:color w:val="auto"/>
                <w:szCs w:val="22"/>
                <w:highlight w:val="none"/>
              </w:rPr>
              <w:t>磋商总报价（人民币大写）：                                  （￥</w:t>
            </w:r>
            <w:r>
              <w:rPr>
                <w:rFonts w:hint="eastAsia"/>
                <w:color w:val="auto"/>
                <w:szCs w:val="22"/>
                <w:highlight w:val="none"/>
                <w:u w:val="single"/>
              </w:rPr>
              <w:t xml:space="preserve">                      </w:t>
            </w:r>
            <w:r>
              <w:rPr>
                <w:rFonts w:hint="eastAsia"/>
                <w:color w:val="auto"/>
                <w:szCs w:val="22"/>
                <w:highlight w:val="non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719" w:type="dxa"/>
            <w:gridSpan w:val="5"/>
            <w:vAlign w:val="center"/>
          </w:tcPr>
          <w:p>
            <w:pPr>
              <w:pStyle w:val="23"/>
              <w:rPr>
                <w:color w:val="auto"/>
                <w:szCs w:val="22"/>
                <w:highlight w:val="none"/>
              </w:rPr>
            </w:pPr>
            <w:r>
              <w:rPr>
                <w:rFonts w:hint="eastAsia"/>
                <w:color w:val="auto"/>
                <w:szCs w:val="22"/>
                <w:highlight w:val="none"/>
              </w:rPr>
              <w:t>合同签订期：</w:t>
            </w:r>
            <w:r>
              <w:rPr>
                <w:rFonts w:hint="eastAsia"/>
                <w:color w:val="auto"/>
                <w:szCs w:val="22"/>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9719" w:type="dxa"/>
            <w:gridSpan w:val="5"/>
            <w:vAlign w:val="center"/>
          </w:tcPr>
          <w:p>
            <w:pPr>
              <w:pStyle w:val="23"/>
              <w:rPr>
                <w:color w:val="auto"/>
                <w:szCs w:val="22"/>
                <w:highlight w:val="none"/>
              </w:rPr>
            </w:pPr>
            <w:r>
              <w:rPr>
                <w:rFonts w:hint="eastAsia"/>
                <w:color w:val="auto"/>
                <w:szCs w:val="22"/>
                <w:highlight w:val="none"/>
              </w:rPr>
              <w:t>服务期限：</w:t>
            </w:r>
            <w:r>
              <w:rPr>
                <w:rFonts w:hint="eastAsia"/>
                <w:color w:val="auto"/>
                <w:szCs w:val="22"/>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9719" w:type="dxa"/>
            <w:gridSpan w:val="5"/>
            <w:vAlign w:val="center"/>
          </w:tcPr>
          <w:p>
            <w:pPr>
              <w:pStyle w:val="23"/>
              <w:rPr>
                <w:color w:val="auto"/>
                <w:szCs w:val="22"/>
                <w:highlight w:val="none"/>
              </w:rPr>
            </w:pPr>
            <w:r>
              <w:rPr>
                <w:rFonts w:ascii="Times New Roman" w:hAnsi="Times New Roman"/>
                <w:color w:val="auto"/>
                <w:kern w:val="0"/>
                <w:szCs w:val="21"/>
                <w:highlight w:val="none"/>
              </w:rPr>
              <w:t>说明：磋商报价应包括</w:t>
            </w:r>
            <w:r>
              <w:rPr>
                <w:rFonts w:hint="eastAsia"/>
                <w:color w:val="auto"/>
                <w:highlight w:val="none"/>
              </w:rPr>
              <w:t>本次采购范围内服务所产生的一切费用，包括人工费、服务费、专家评审费、交通运输费、售后服务费、税费及其他一切费用的总和</w:t>
            </w:r>
            <w:r>
              <w:rPr>
                <w:rFonts w:ascii="Times New Roman" w:hAnsi="Times New Roman"/>
                <w:color w:val="auto"/>
                <w:kern w:val="0"/>
                <w:szCs w:val="21"/>
                <w:highlight w:val="none"/>
              </w:rPr>
              <w:t>；磋商供应商应综合考虑在报价中。</w:t>
            </w:r>
          </w:p>
        </w:tc>
      </w:tr>
    </w:tbl>
    <w:p>
      <w:pPr>
        <w:pStyle w:val="23"/>
        <w:spacing w:line="500" w:lineRule="exact"/>
        <w:ind w:left="420"/>
        <w:jc w:val="left"/>
        <w:rPr>
          <w:rFonts w:ascii="Times New Roman" w:hAnsi="Times New Roman"/>
          <w:b/>
          <w:color w:val="auto"/>
          <w:sz w:val="28"/>
          <w:szCs w:val="28"/>
          <w:highlight w:val="none"/>
        </w:rPr>
      </w:pPr>
    </w:p>
    <w:p>
      <w:pPr>
        <w:pStyle w:val="23"/>
        <w:spacing w:line="500" w:lineRule="exact"/>
        <w:ind w:left="420"/>
        <w:jc w:val="left"/>
        <w:rPr>
          <w:rFonts w:ascii="Times New Roman" w:hAnsi="Times New Roman"/>
          <w:b/>
          <w:color w:val="auto"/>
          <w:sz w:val="32"/>
          <w:highlight w:val="none"/>
        </w:rPr>
      </w:pPr>
    </w:p>
    <w:p>
      <w:pPr>
        <w:spacing w:line="340" w:lineRule="exact"/>
        <w:rPr>
          <w:color w:val="auto"/>
          <w:szCs w:val="21"/>
          <w:highlight w:val="none"/>
          <w:u w:val="single"/>
        </w:rPr>
      </w:pPr>
      <w:r>
        <w:rPr>
          <w:color w:val="auto"/>
          <w:szCs w:val="21"/>
          <w:highlight w:val="none"/>
        </w:rPr>
        <w:t>供应商（公章）：</w:t>
      </w:r>
      <w:r>
        <w:rPr>
          <w:color w:val="auto"/>
          <w:szCs w:val="21"/>
          <w:highlight w:val="none"/>
          <w:u w:val="single"/>
        </w:rPr>
        <w:t xml:space="preserve">                                        ；</w:t>
      </w:r>
    </w:p>
    <w:p>
      <w:pPr>
        <w:spacing w:line="340" w:lineRule="exact"/>
        <w:rPr>
          <w:color w:val="auto"/>
          <w:szCs w:val="21"/>
          <w:highlight w:val="none"/>
          <w:u w:val="single"/>
        </w:rPr>
      </w:pPr>
      <w:r>
        <w:rPr>
          <w:color w:val="auto"/>
          <w:highlight w:val="none"/>
        </w:rPr>
        <w:t>法定代表人或负责人或相应的委托代理人签字或盖章：</w:t>
      </w:r>
      <w:r>
        <w:rPr>
          <w:color w:val="auto"/>
          <w:szCs w:val="21"/>
          <w:highlight w:val="none"/>
          <w:u w:val="single"/>
        </w:rPr>
        <w:t xml:space="preserve">                       . </w:t>
      </w:r>
    </w:p>
    <w:p>
      <w:pPr>
        <w:spacing w:line="340" w:lineRule="exact"/>
        <w:rPr>
          <w:color w:val="auto"/>
          <w:szCs w:val="21"/>
          <w:highlight w:val="none"/>
          <w:u w:val="single"/>
        </w:rPr>
      </w:pPr>
      <w:r>
        <w:rPr>
          <w:color w:val="auto"/>
          <w:szCs w:val="21"/>
          <w:highlight w:val="none"/>
        </w:rPr>
        <w:t>日期：</w:t>
      </w:r>
      <w:r>
        <w:rPr>
          <w:color w:val="auto"/>
          <w:szCs w:val="21"/>
          <w:highlight w:val="none"/>
          <w:u w:val="single"/>
        </w:rPr>
        <w:t xml:space="preserve">                        </w:t>
      </w:r>
      <w:r>
        <w:rPr>
          <w:color w:val="auto"/>
          <w:szCs w:val="21"/>
          <w:highlight w:val="none"/>
        </w:rPr>
        <w:t>。</w:t>
      </w:r>
    </w:p>
    <w:p>
      <w:pPr>
        <w:spacing w:line="340" w:lineRule="exact"/>
        <w:rPr>
          <w:color w:val="auto"/>
          <w:highlight w:val="none"/>
        </w:rPr>
      </w:pPr>
      <w:r>
        <w:rPr>
          <w:color w:val="auto"/>
          <w:highlight w:val="none"/>
        </w:rPr>
        <w:t xml:space="preserve"> </w:t>
      </w:r>
    </w:p>
    <w:p>
      <w:pPr>
        <w:tabs>
          <w:tab w:val="left" w:pos="1305"/>
        </w:tabs>
        <w:spacing w:line="340" w:lineRule="exact"/>
        <w:ind w:firstLine="205" w:firstLineChars="98"/>
        <w:rPr>
          <w:bCs/>
          <w:color w:val="auto"/>
          <w:szCs w:val="21"/>
          <w:highlight w:val="none"/>
        </w:rPr>
      </w:pPr>
      <w:r>
        <w:rPr>
          <w:bCs/>
          <w:color w:val="auto"/>
          <w:szCs w:val="21"/>
          <w:highlight w:val="none"/>
        </w:rPr>
        <w:t>注</w:t>
      </w:r>
      <w:r>
        <w:rPr>
          <w:b/>
          <w:bCs/>
          <w:color w:val="auto"/>
          <w:szCs w:val="21"/>
          <w:highlight w:val="none"/>
        </w:rPr>
        <w:t>：</w:t>
      </w:r>
      <w:r>
        <w:rPr>
          <w:bCs/>
          <w:color w:val="auto"/>
          <w:szCs w:val="21"/>
          <w:highlight w:val="none"/>
        </w:rPr>
        <w:t>1、各供应商</w:t>
      </w:r>
      <w:r>
        <w:rPr>
          <w:color w:val="auto"/>
          <w:szCs w:val="21"/>
          <w:highlight w:val="none"/>
        </w:rPr>
        <w:t>必须就“服务需求”中内容作完整唯一报价，否则，其响应文件无效。</w:t>
      </w:r>
    </w:p>
    <w:p>
      <w:pPr>
        <w:pStyle w:val="23"/>
        <w:spacing w:line="360" w:lineRule="exact"/>
        <w:ind w:firstLine="630" w:firstLineChars="300"/>
        <w:rPr>
          <w:rFonts w:ascii="Times New Roman" w:hAnsi="Times New Roman"/>
          <w:bCs/>
          <w:color w:val="auto"/>
          <w:szCs w:val="21"/>
          <w:highlight w:val="none"/>
        </w:rPr>
      </w:pPr>
      <w:r>
        <w:rPr>
          <w:rFonts w:ascii="Times New Roman" w:hAnsi="Times New Roman"/>
          <w:color w:val="auto"/>
          <w:highlight w:val="none"/>
        </w:rPr>
        <w:t>2、</w:t>
      </w:r>
      <w:r>
        <w:rPr>
          <w:rFonts w:ascii="Times New Roman" w:hAnsi="Times New Roman"/>
          <w:color w:val="auto"/>
          <w:szCs w:val="21"/>
          <w:highlight w:val="none"/>
        </w:rPr>
        <w:t>供应商</w:t>
      </w:r>
      <w:r>
        <w:rPr>
          <w:rFonts w:ascii="Times New Roman" w:hAnsi="Times New Roman"/>
          <w:color w:val="auto"/>
          <w:highlight w:val="none"/>
        </w:rPr>
        <w:t>应根据服务如实填写</w:t>
      </w:r>
      <w:r>
        <w:rPr>
          <w:rFonts w:ascii="Times New Roman" w:hAnsi="Times New Roman"/>
          <w:color w:val="auto"/>
          <w:szCs w:val="21"/>
          <w:highlight w:val="none"/>
        </w:rPr>
        <w:t>磋商</w:t>
      </w:r>
      <w:r>
        <w:rPr>
          <w:rFonts w:ascii="Times New Roman" w:hAnsi="Times New Roman"/>
          <w:color w:val="auto"/>
          <w:highlight w:val="none"/>
        </w:rPr>
        <w:t>报价表</w:t>
      </w:r>
      <w:r>
        <w:rPr>
          <w:rFonts w:ascii="Times New Roman" w:hAnsi="Times New Roman"/>
          <w:bCs/>
          <w:color w:val="auto"/>
          <w:szCs w:val="21"/>
          <w:highlight w:val="none"/>
        </w:rPr>
        <w:t>的各项内容。</w:t>
      </w:r>
    </w:p>
    <w:p>
      <w:pPr>
        <w:pStyle w:val="23"/>
        <w:spacing w:line="360" w:lineRule="exact"/>
        <w:ind w:firstLine="630" w:firstLineChars="300"/>
        <w:rPr>
          <w:rFonts w:ascii="Times New Roman" w:hAnsi="Times New Roman"/>
          <w:color w:val="auto"/>
          <w:highlight w:val="none"/>
        </w:rPr>
      </w:pPr>
      <w:r>
        <w:rPr>
          <w:rFonts w:ascii="Times New Roman" w:hAnsi="Times New Roman"/>
          <w:color w:val="auto"/>
          <w:highlight w:val="none"/>
        </w:rPr>
        <w:t>3、磋商</w:t>
      </w:r>
      <w:r>
        <w:rPr>
          <w:rFonts w:ascii="Times New Roman" w:hAnsi="Times New Roman"/>
          <w:bCs/>
          <w:color w:val="auto"/>
          <w:szCs w:val="21"/>
          <w:highlight w:val="none"/>
        </w:rPr>
        <w:t>报价表须由</w:t>
      </w:r>
      <w:r>
        <w:rPr>
          <w:rFonts w:ascii="Times New Roman" w:hAnsi="Times New Roman"/>
          <w:color w:val="auto"/>
          <w:highlight w:val="none"/>
        </w:rPr>
        <w:t>法定代表人或负责人或相应的</w:t>
      </w:r>
      <w:r>
        <w:rPr>
          <w:rFonts w:ascii="Times New Roman" w:hAnsi="Times New Roman"/>
          <w:bCs/>
          <w:color w:val="auto"/>
          <w:szCs w:val="21"/>
          <w:highlight w:val="none"/>
        </w:rPr>
        <w:t>委托代理人签名或盖章并加盖</w:t>
      </w:r>
      <w:r>
        <w:rPr>
          <w:rFonts w:ascii="Times New Roman" w:hAnsi="Times New Roman"/>
          <w:color w:val="auto"/>
          <w:szCs w:val="21"/>
          <w:highlight w:val="none"/>
        </w:rPr>
        <w:t>供应商</w:t>
      </w:r>
      <w:r>
        <w:rPr>
          <w:rFonts w:ascii="Times New Roman" w:hAnsi="Times New Roman"/>
          <w:bCs/>
          <w:color w:val="auto"/>
          <w:szCs w:val="21"/>
          <w:highlight w:val="none"/>
        </w:rPr>
        <w:t>公章。</w:t>
      </w:r>
      <w:r>
        <w:rPr>
          <w:rFonts w:ascii="Times New Roman" w:hAnsi="Times New Roman"/>
          <w:color w:val="auto"/>
          <w:highlight w:val="none"/>
        </w:rPr>
        <w:t>当本表由多页构成时，需逐页加盖供应商公章</w:t>
      </w:r>
      <w:r>
        <w:rPr>
          <w:rFonts w:ascii="Times New Roman" w:hAnsi="Times New Roman"/>
          <w:bCs/>
          <w:color w:val="auto"/>
          <w:highlight w:val="none"/>
        </w:rPr>
        <w:t>。</w:t>
      </w:r>
    </w:p>
    <w:p>
      <w:pPr>
        <w:tabs>
          <w:tab w:val="left" w:pos="1305"/>
        </w:tabs>
        <w:spacing w:line="340" w:lineRule="exact"/>
        <w:rPr>
          <w:bCs/>
          <w:color w:val="auto"/>
          <w:szCs w:val="21"/>
          <w:highlight w:val="none"/>
        </w:rPr>
      </w:pPr>
    </w:p>
    <w:p>
      <w:pPr>
        <w:tabs>
          <w:tab w:val="left" w:pos="1305"/>
        </w:tabs>
        <w:spacing w:line="340" w:lineRule="exact"/>
        <w:rPr>
          <w:bCs/>
          <w:color w:val="auto"/>
          <w:szCs w:val="21"/>
          <w:highlight w:val="none"/>
        </w:rPr>
        <w:sectPr>
          <w:headerReference r:id="rId8" w:type="default"/>
          <w:footerReference r:id="rId9" w:type="default"/>
          <w:pgSz w:w="11906" w:h="16838"/>
          <w:pgMar w:top="1440" w:right="936" w:bottom="1440" w:left="1217" w:header="851" w:footer="992" w:gutter="0"/>
          <w:cols w:space="720" w:num="1"/>
          <w:docGrid w:linePitch="312" w:charSpace="0"/>
        </w:sectPr>
      </w:pPr>
    </w:p>
    <w:p>
      <w:pPr>
        <w:pStyle w:val="23"/>
        <w:spacing w:line="400" w:lineRule="exact"/>
        <w:rPr>
          <w:rFonts w:ascii="Times New Roman" w:hAnsi="Times New Roman"/>
          <w:b/>
          <w:color w:val="auto"/>
          <w:sz w:val="28"/>
          <w:szCs w:val="28"/>
          <w:highlight w:val="none"/>
        </w:rPr>
      </w:pPr>
      <w:r>
        <w:rPr>
          <w:rFonts w:ascii="Times New Roman" w:hAnsi="Times New Roman"/>
          <w:b/>
          <w:color w:val="auto"/>
          <w:sz w:val="28"/>
          <w:szCs w:val="28"/>
          <w:highlight w:val="none"/>
        </w:rPr>
        <w:t>8、供应商的服务技术方案（由竞标人根据项目实际情况和服务需求的要求自行编制）（必须提供）；</w:t>
      </w:r>
    </w:p>
    <w:p>
      <w:pPr>
        <w:tabs>
          <w:tab w:val="left" w:pos="1305"/>
        </w:tabs>
        <w:spacing w:line="340" w:lineRule="exact"/>
        <w:ind w:firstLine="315" w:firstLineChars="98"/>
        <w:rPr>
          <w:b/>
          <w:bCs/>
          <w:color w:val="auto"/>
          <w:sz w:val="32"/>
          <w:szCs w:val="32"/>
          <w:highlight w:val="none"/>
        </w:rPr>
      </w:pPr>
    </w:p>
    <w:p>
      <w:pPr>
        <w:pStyle w:val="23"/>
        <w:spacing w:line="360" w:lineRule="exact"/>
        <w:rPr>
          <w:rFonts w:ascii="Times New Roman" w:hAnsi="Times New Roman"/>
          <w:b/>
          <w:bCs/>
          <w:color w:val="auto"/>
          <w:sz w:val="32"/>
          <w:szCs w:val="32"/>
          <w:highlight w:val="none"/>
        </w:rPr>
      </w:pPr>
    </w:p>
    <w:p>
      <w:pPr>
        <w:pStyle w:val="23"/>
        <w:spacing w:line="360" w:lineRule="exact"/>
        <w:rPr>
          <w:rFonts w:ascii="Times New Roman" w:hAnsi="Times New Roman"/>
          <w:bCs/>
          <w:color w:val="auto"/>
          <w:szCs w:val="21"/>
          <w:highlight w:val="none"/>
        </w:rPr>
      </w:pPr>
    </w:p>
    <w:p>
      <w:pPr>
        <w:pStyle w:val="23"/>
        <w:spacing w:line="360" w:lineRule="exact"/>
        <w:rPr>
          <w:rFonts w:ascii="Times New Roman" w:hAnsi="Times New Roman"/>
          <w:b/>
          <w:color w:val="auto"/>
          <w:sz w:val="32"/>
          <w:szCs w:val="32"/>
          <w:highlight w:val="none"/>
        </w:rPr>
      </w:pPr>
    </w:p>
    <w:p>
      <w:pPr>
        <w:ind w:firstLine="3465" w:firstLineChars="1650"/>
        <w:rPr>
          <w:color w:val="auto"/>
          <w:szCs w:val="21"/>
          <w:highlight w:val="none"/>
          <w:u w:val="single"/>
        </w:rPr>
      </w:pPr>
      <w:r>
        <w:rPr>
          <w:color w:val="auto"/>
          <w:szCs w:val="21"/>
          <w:highlight w:val="none"/>
        </w:rPr>
        <w:t xml:space="preserve">磋商供应商：(公章) </w:t>
      </w:r>
      <w:r>
        <w:rPr>
          <w:color w:val="auto"/>
          <w:szCs w:val="21"/>
          <w:highlight w:val="none"/>
          <w:u w:val="single"/>
        </w:rPr>
        <w:t xml:space="preserve">                   .</w:t>
      </w:r>
    </w:p>
    <w:p>
      <w:pPr>
        <w:ind w:firstLine="3465" w:firstLineChars="1650"/>
        <w:rPr>
          <w:color w:val="auto"/>
          <w:szCs w:val="21"/>
          <w:highlight w:val="none"/>
        </w:rPr>
      </w:pPr>
    </w:p>
    <w:p>
      <w:pPr>
        <w:pStyle w:val="23"/>
        <w:ind w:firstLine="3465" w:firstLineChars="1650"/>
        <w:rPr>
          <w:rFonts w:ascii="Times New Roman" w:hAnsi="Times New Roman"/>
          <w:color w:val="auto"/>
          <w:highlight w:val="none"/>
          <w:u w:val="single"/>
        </w:rPr>
      </w:pPr>
      <w:r>
        <w:rPr>
          <w:rFonts w:ascii="Times New Roman" w:hAnsi="Times New Roman"/>
          <w:color w:val="auto"/>
          <w:highlight w:val="none"/>
        </w:rPr>
        <w:t>法定代表人或负责人或相应的委托代理人签字或盖章：</w:t>
      </w:r>
      <w:r>
        <w:rPr>
          <w:rFonts w:ascii="Times New Roman" w:hAnsi="Times New Roman"/>
          <w:color w:val="auto"/>
          <w:highlight w:val="none"/>
          <w:u w:val="single"/>
        </w:rPr>
        <w:t xml:space="preserve">     </w:t>
      </w:r>
    </w:p>
    <w:p>
      <w:pPr>
        <w:pStyle w:val="23"/>
        <w:ind w:firstLine="3570" w:firstLineChars="1700"/>
        <w:rPr>
          <w:rFonts w:ascii="Times New Roman" w:hAnsi="Times New Roman"/>
          <w:color w:val="auto"/>
          <w:highlight w:val="none"/>
          <w:u w:val="single"/>
        </w:rPr>
      </w:pPr>
    </w:p>
    <w:p>
      <w:pPr>
        <w:pStyle w:val="23"/>
        <w:ind w:firstLine="3570" w:firstLineChars="1700"/>
        <w:rPr>
          <w:rFonts w:ascii="Times New Roman" w:hAnsi="Times New Roman"/>
          <w:color w:val="auto"/>
          <w:highlight w:val="none"/>
        </w:rPr>
      </w:pPr>
      <w:r>
        <w:rPr>
          <w:rFonts w:ascii="Times New Roman" w:hAnsi="Times New Roman"/>
          <w:color w:val="auto"/>
          <w:highlight w:val="none"/>
        </w:rPr>
        <w:t xml:space="preserve"> 日 期：</w:t>
      </w:r>
    </w:p>
    <w:p>
      <w:pPr>
        <w:tabs>
          <w:tab w:val="left" w:pos="1305"/>
        </w:tabs>
        <w:ind w:firstLine="7537" w:firstLineChars="2346"/>
        <w:rPr>
          <w:b/>
          <w:color w:val="auto"/>
          <w:sz w:val="32"/>
          <w:szCs w:val="32"/>
          <w:highlight w:val="none"/>
        </w:rPr>
      </w:pPr>
    </w:p>
    <w:p>
      <w:pPr>
        <w:pStyle w:val="2"/>
        <w:rPr>
          <w:color w:val="auto"/>
          <w:highlight w:val="none"/>
        </w:rPr>
      </w:pPr>
    </w:p>
    <w:p>
      <w:pPr>
        <w:tabs>
          <w:tab w:val="left" w:pos="1305"/>
        </w:tabs>
        <w:spacing w:line="340" w:lineRule="exact"/>
        <w:ind w:firstLine="275" w:firstLineChars="98"/>
        <w:rPr>
          <w:b/>
          <w:color w:val="auto"/>
          <w:sz w:val="28"/>
          <w:szCs w:val="28"/>
          <w:highlight w:val="none"/>
        </w:rPr>
      </w:pPr>
    </w:p>
    <w:p>
      <w:pPr>
        <w:tabs>
          <w:tab w:val="left" w:pos="1305"/>
        </w:tabs>
        <w:spacing w:line="340" w:lineRule="exact"/>
        <w:rPr>
          <w:b/>
          <w:color w:val="auto"/>
          <w:sz w:val="28"/>
          <w:szCs w:val="28"/>
          <w:highlight w:val="none"/>
        </w:rPr>
      </w:pPr>
      <w:r>
        <w:rPr>
          <w:b/>
          <w:color w:val="auto"/>
          <w:sz w:val="28"/>
          <w:szCs w:val="28"/>
          <w:highlight w:val="none"/>
        </w:rPr>
        <w:t>9、供应商的服务承诺书（由竞标人根据项目实际情况和服务需求的要求自行编制）（必须提供）；</w:t>
      </w:r>
    </w:p>
    <w:p>
      <w:pPr>
        <w:tabs>
          <w:tab w:val="left" w:pos="1305"/>
        </w:tabs>
        <w:ind w:firstLine="6594" w:firstLineChars="2346"/>
        <w:rPr>
          <w:b/>
          <w:color w:val="auto"/>
          <w:sz w:val="28"/>
          <w:szCs w:val="28"/>
          <w:highlight w:val="none"/>
        </w:rPr>
      </w:pPr>
    </w:p>
    <w:p>
      <w:pPr>
        <w:tabs>
          <w:tab w:val="left" w:pos="1305"/>
        </w:tabs>
        <w:ind w:firstLine="7537" w:firstLineChars="2346"/>
        <w:rPr>
          <w:b/>
          <w:color w:val="auto"/>
          <w:sz w:val="32"/>
          <w:szCs w:val="32"/>
          <w:highlight w:val="none"/>
        </w:rPr>
      </w:pPr>
    </w:p>
    <w:p>
      <w:pPr>
        <w:tabs>
          <w:tab w:val="left" w:pos="1305"/>
        </w:tabs>
        <w:ind w:firstLine="7537" w:firstLineChars="2346"/>
        <w:rPr>
          <w:b/>
          <w:color w:val="auto"/>
          <w:sz w:val="32"/>
          <w:szCs w:val="32"/>
          <w:highlight w:val="none"/>
        </w:rPr>
      </w:pPr>
    </w:p>
    <w:p>
      <w:pPr>
        <w:pStyle w:val="23"/>
        <w:rPr>
          <w:rFonts w:ascii="Times New Roman" w:hAnsi="Times New Roman"/>
          <w:b/>
          <w:bCs/>
          <w:color w:val="auto"/>
          <w:sz w:val="32"/>
          <w:szCs w:val="32"/>
          <w:highlight w:val="none"/>
        </w:rPr>
      </w:pPr>
    </w:p>
    <w:p>
      <w:pPr>
        <w:pStyle w:val="23"/>
        <w:rPr>
          <w:rFonts w:ascii="Times New Roman" w:hAnsi="Times New Roman"/>
          <w:b/>
          <w:bCs/>
          <w:color w:val="auto"/>
          <w:sz w:val="32"/>
          <w:szCs w:val="32"/>
          <w:highlight w:val="none"/>
        </w:rPr>
      </w:pPr>
    </w:p>
    <w:p>
      <w:pPr>
        <w:ind w:firstLine="3465" w:firstLineChars="1650"/>
        <w:rPr>
          <w:color w:val="auto"/>
          <w:szCs w:val="21"/>
          <w:highlight w:val="none"/>
          <w:u w:val="single"/>
        </w:rPr>
      </w:pPr>
      <w:r>
        <w:rPr>
          <w:color w:val="auto"/>
          <w:szCs w:val="21"/>
          <w:highlight w:val="none"/>
        </w:rPr>
        <w:t xml:space="preserve">磋商供应商：(公章) </w:t>
      </w:r>
      <w:r>
        <w:rPr>
          <w:color w:val="auto"/>
          <w:szCs w:val="21"/>
          <w:highlight w:val="none"/>
          <w:u w:val="single"/>
        </w:rPr>
        <w:t xml:space="preserve">                   .</w:t>
      </w:r>
    </w:p>
    <w:p>
      <w:pPr>
        <w:ind w:firstLine="3465" w:firstLineChars="1650"/>
        <w:rPr>
          <w:color w:val="auto"/>
          <w:szCs w:val="21"/>
          <w:highlight w:val="none"/>
        </w:rPr>
      </w:pPr>
    </w:p>
    <w:p>
      <w:pPr>
        <w:pStyle w:val="23"/>
        <w:ind w:firstLine="3465" w:firstLineChars="1650"/>
        <w:rPr>
          <w:rFonts w:ascii="Times New Roman" w:hAnsi="Times New Roman"/>
          <w:color w:val="auto"/>
          <w:highlight w:val="none"/>
        </w:rPr>
      </w:pPr>
      <w:r>
        <w:rPr>
          <w:rFonts w:ascii="Times New Roman" w:hAnsi="Times New Roman"/>
          <w:color w:val="auto"/>
          <w:highlight w:val="none"/>
        </w:rPr>
        <w:t>法定代表人或负责人或相应的委托代理人签字或盖章：</w:t>
      </w:r>
      <w:r>
        <w:rPr>
          <w:rFonts w:ascii="Times New Roman" w:hAnsi="Times New Roman"/>
          <w:color w:val="auto"/>
          <w:highlight w:val="none"/>
          <w:u w:val="single"/>
        </w:rPr>
        <w:t xml:space="preserve">       .</w:t>
      </w:r>
    </w:p>
    <w:p>
      <w:pPr>
        <w:pStyle w:val="23"/>
        <w:rPr>
          <w:rFonts w:ascii="Times New Roman" w:hAnsi="Times New Roman"/>
          <w:color w:val="auto"/>
          <w:highlight w:val="none"/>
        </w:rPr>
      </w:pPr>
      <w:r>
        <w:rPr>
          <w:rFonts w:ascii="Times New Roman" w:hAnsi="Times New Roman"/>
          <w:b/>
          <w:color w:val="auto"/>
          <w:sz w:val="32"/>
          <w:szCs w:val="32"/>
          <w:highlight w:val="none"/>
        </w:rPr>
        <w:t xml:space="preserve"> </w:t>
      </w:r>
      <w:r>
        <w:rPr>
          <w:rFonts w:ascii="Times New Roman" w:hAnsi="Times New Roman"/>
          <w:color w:val="auto"/>
          <w:highlight w:val="none"/>
        </w:rPr>
        <w:t xml:space="preserve">              </w:t>
      </w:r>
    </w:p>
    <w:p>
      <w:pPr>
        <w:pStyle w:val="23"/>
        <w:ind w:firstLine="3465" w:firstLineChars="1650"/>
        <w:rPr>
          <w:rFonts w:ascii="Times New Roman" w:hAnsi="Times New Roman"/>
          <w:b/>
          <w:bCs/>
          <w:color w:val="auto"/>
          <w:sz w:val="32"/>
          <w:szCs w:val="32"/>
          <w:highlight w:val="none"/>
        </w:rPr>
      </w:pPr>
      <w:r>
        <w:rPr>
          <w:rFonts w:ascii="Times New Roman" w:hAnsi="Times New Roman"/>
          <w:color w:val="auto"/>
          <w:highlight w:val="none"/>
        </w:rPr>
        <w:t>日 期：</w:t>
      </w:r>
    </w:p>
    <w:p>
      <w:pPr>
        <w:pStyle w:val="23"/>
        <w:rPr>
          <w:rFonts w:ascii="Times New Roman" w:hAnsi="Times New Roman"/>
          <w:b/>
          <w:bCs/>
          <w:color w:val="auto"/>
          <w:sz w:val="32"/>
          <w:szCs w:val="32"/>
          <w:highlight w:val="none"/>
        </w:rPr>
      </w:pPr>
    </w:p>
    <w:p>
      <w:pPr>
        <w:pStyle w:val="13"/>
        <w:rPr>
          <w:b/>
          <w:bCs/>
          <w:color w:val="auto"/>
          <w:sz w:val="32"/>
          <w:szCs w:val="32"/>
          <w:highlight w:val="none"/>
        </w:rPr>
      </w:pPr>
    </w:p>
    <w:p>
      <w:pPr>
        <w:rPr>
          <w:b/>
          <w:bCs/>
          <w:color w:val="auto"/>
          <w:sz w:val="32"/>
          <w:szCs w:val="32"/>
          <w:highlight w:val="none"/>
        </w:rPr>
      </w:pPr>
    </w:p>
    <w:p>
      <w:pPr>
        <w:pStyle w:val="2"/>
        <w:rPr>
          <w:rFonts w:ascii="Times New Roman" w:hAnsi="Times New Roman"/>
          <w:b w:val="0"/>
          <w:bCs/>
          <w:color w:val="auto"/>
          <w:sz w:val="32"/>
          <w:szCs w:val="32"/>
          <w:highlight w:val="none"/>
        </w:rPr>
      </w:pPr>
    </w:p>
    <w:p>
      <w:pPr>
        <w:pStyle w:val="2"/>
        <w:rPr>
          <w:rFonts w:ascii="Times New Roman" w:hAnsi="Times New Roman"/>
          <w:b w:val="0"/>
          <w:bCs/>
          <w:color w:val="auto"/>
          <w:sz w:val="28"/>
          <w:szCs w:val="28"/>
          <w:highlight w:val="none"/>
        </w:rPr>
      </w:pPr>
    </w:p>
    <w:p>
      <w:pPr>
        <w:tabs>
          <w:tab w:val="left" w:pos="1305"/>
        </w:tabs>
        <w:spacing w:line="400" w:lineRule="exact"/>
        <w:rPr>
          <w:color w:val="auto"/>
          <w:sz w:val="28"/>
          <w:szCs w:val="28"/>
          <w:highlight w:val="none"/>
        </w:rPr>
      </w:pPr>
      <w:r>
        <w:rPr>
          <w:b/>
          <w:color w:val="auto"/>
          <w:sz w:val="28"/>
          <w:szCs w:val="28"/>
          <w:highlight w:val="none"/>
        </w:rPr>
        <w:t>10、供应商201</w:t>
      </w:r>
      <w:r>
        <w:rPr>
          <w:rFonts w:hint="eastAsia"/>
          <w:b/>
          <w:color w:val="auto"/>
          <w:sz w:val="28"/>
          <w:szCs w:val="28"/>
          <w:highlight w:val="none"/>
          <w:lang w:val="en-US" w:eastAsia="zh-CN"/>
        </w:rPr>
        <w:t>9</w:t>
      </w:r>
      <w:r>
        <w:rPr>
          <w:b/>
          <w:color w:val="auto"/>
          <w:sz w:val="28"/>
          <w:szCs w:val="28"/>
          <w:highlight w:val="none"/>
        </w:rPr>
        <w:t>年度通过中介审计的有效财务审计报告复印件（如有，请提供）；</w:t>
      </w:r>
    </w:p>
    <w:p>
      <w:pPr>
        <w:tabs>
          <w:tab w:val="left" w:pos="1305"/>
        </w:tabs>
        <w:spacing w:line="400" w:lineRule="exact"/>
        <w:rPr>
          <w:b/>
          <w:color w:val="auto"/>
          <w:sz w:val="28"/>
          <w:szCs w:val="28"/>
          <w:highlight w:val="none"/>
        </w:rPr>
      </w:pPr>
    </w:p>
    <w:p>
      <w:pPr>
        <w:pStyle w:val="2"/>
        <w:rPr>
          <w:rFonts w:ascii="Times New Roman" w:hAnsi="Times New Roman"/>
          <w:color w:val="auto"/>
          <w:sz w:val="28"/>
          <w:szCs w:val="28"/>
          <w:highlight w:val="none"/>
        </w:rPr>
      </w:pPr>
    </w:p>
    <w:p>
      <w:pPr>
        <w:tabs>
          <w:tab w:val="left" w:pos="1305"/>
        </w:tabs>
        <w:spacing w:line="400" w:lineRule="exact"/>
        <w:ind w:firstLine="562" w:firstLineChars="200"/>
        <w:rPr>
          <w:b/>
          <w:color w:val="auto"/>
          <w:sz w:val="28"/>
          <w:szCs w:val="28"/>
          <w:highlight w:val="none"/>
        </w:rPr>
      </w:pPr>
    </w:p>
    <w:p>
      <w:pPr>
        <w:pStyle w:val="2"/>
        <w:rPr>
          <w:rFonts w:ascii="Times New Roman" w:hAnsi="Times New Roman"/>
          <w:b w:val="0"/>
          <w:color w:val="auto"/>
          <w:sz w:val="28"/>
          <w:szCs w:val="28"/>
          <w:highlight w:val="none"/>
        </w:rPr>
      </w:pPr>
    </w:p>
    <w:p>
      <w:pPr>
        <w:pStyle w:val="2"/>
        <w:rPr>
          <w:rFonts w:ascii="Times New Roman" w:hAnsi="Times New Roman"/>
          <w:b w:val="0"/>
          <w:color w:val="auto"/>
          <w:sz w:val="28"/>
          <w:szCs w:val="28"/>
          <w:highlight w:val="none"/>
        </w:rPr>
      </w:pPr>
    </w:p>
    <w:p>
      <w:pPr>
        <w:pStyle w:val="2"/>
        <w:rPr>
          <w:rFonts w:ascii="Times New Roman" w:hAnsi="Times New Roman"/>
          <w:b w:val="0"/>
          <w:color w:val="auto"/>
          <w:sz w:val="28"/>
          <w:szCs w:val="28"/>
          <w:highlight w:val="none"/>
        </w:rPr>
      </w:pPr>
    </w:p>
    <w:p>
      <w:pPr>
        <w:pStyle w:val="2"/>
        <w:rPr>
          <w:rFonts w:ascii="Times New Roman" w:hAnsi="Times New Roman"/>
          <w:b w:val="0"/>
          <w:color w:val="auto"/>
          <w:sz w:val="28"/>
          <w:szCs w:val="28"/>
          <w:highlight w:val="none"/>
        </w:rPr>
      </w:pPr>
    </w:p>
    <w:p>
      <w:pPr>
        <w:pStyle w:val="2"/>
        <w:rPr>
          <w:rFonts w:ascii="Times New Roman" w:hAnsi="Times New Roman"/>
          <w:b w:val="0"/>
          <w:color w:val="auto"/>
          <w:sz w:val="28"/>
          <w:szCs w:val="28"/>
          <w:highlight w:val="none"/>
        </w:rPr>
      </w:pPr>
    </w:p>
    <w:p>
      <w:pPr>
        <w:pStyle w:val="2"/>
        <w:rPr>
          <w:rFonts w:ascii="Times New Roman" w:hAnsi="Times New Roman"/>
          <w:b w:val="0"/>
          <w:color w:val="auto"/>
          <w:sz w:val="28"/>
          <w:szCs w:val="28"/>
          <w:highlight w:val="none"/>
        </w:rPr>
      </w:pPr>
    </w:p>
    <w:p>
      <w:pPr>
        <w:pStyle w:val="2"/>
        <w:rPr>
          <w:rFonts w:ascii="Times New Roman" w:hAnsi="Times New Roman"/>
          <w:b w:val="0"/>
          <w:color w:val="auto"/>
          <w:sz w:val="28"/>
          <w:szCs w:val="28"/>
          <w:highlight w:val="none"/>
        </w:rPr>
      </w:pPr>
    </w:p>
    <w:p>
      <w:pPr>
        <w:tabs>
          <w:tab w:val="left" w:pos="1305"/>
        </w:tabs>
        <w:spacing w:line="400" w:lineRule="exact"/>
        <w:rPr>
          <w:color w:val="auto"/>
          <w:sz w:val="28"/>
          <w:szCs w:val="28"/>
          <w:highlight w:val="none"/>
        </w:rPr>
      </w:pPr>
      <w:r>
        <w:rPr>
          <w:b/>
          <w:color w:val="auto"/>
          <w:sz w:val="28"/>
          <w:szCs w:val="28"/>
          <w:highlight w:val="none"/>
        </w:rPr>
        <w:t>11、项目实施人员一览表（如有，请提供）；</w:t>
      </w:r>
    </w:p>
    <w:p>
      <w:pPr>
        <w:tabs>
          <w:tab w:val="left" w:pos="1305"/>
        </w:tabs>
        <w:spacing w:line="400" w:lineRule="exact"/>
        <w:rPr>
          <w:b/>
          <w:color w:val="auto"/>
          <w:sz w:val="32"/>
          <w:szCs w:val="32"/>
          <w:highlight w:val="none"/>
        </w:rPr>
      </w:pPr>
    </w:p>
    <w:p>
      <w:pPr>
        <w:tabs>
          <w:tab w:val="left" w:pos="1305"/>
        </w:tabs>
        <w:spacing w:line="400" w:lineRule="exact"/>
        <w:jc w:val="center"/>
        <w:rPr>
          <w:b/>
          <w:color w:val="auto"/>
          <w:sz w:val="28"/>
          <w:szCs w:val="28"/>
          <w:highlight w:val="none"/>
        </w:rPr>
      </w:pPr>
      <w:r>
        <w:rPr>
          <w:b/>
          <w:color w:val="auto"/>
          <w:sz w:val="28"/>
          <w:szCs w:val="28"/>
          <w:highlight w:val="none"/>
        </w:rPr>
        <w:t>项目实施人员一览表</w:t>
      </w:r>
    </w:p>
    <w:tbl>
      <w:tblPr>
        <w:tblStyle w:val="43"/>
        <w:tblW w:w="951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200"/>
        <w:gridCol w:w="1601"/>
        <w:gridCol w:w="1401"/>
        <w:gridCol w:w="1604"/>
        <w:gridCol w:w="2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106" w:type="dxa"/>
            <w:vAlign w:val="center"/>
          </w:tcPr>
          <w:p>
            <w:pPr>
              <w:jc w:val="center"/>
              <w:rPr>
                <w:color w:val="auto"/>
                <w:szCs w:val="21"/>
                <w:highlight w:val="none"/>
              </w:rPr>
            </w:pPr>
            <w:r>
              <w:rPr>
                <w:color w:val="auto"/>
                <w:szCs w:val="21"/>
                <w:highlight w:val="none"/>
              </w:rPr>
              <w:t>序号</w:t>
            </w:r>
          </w:p>
        </w:tc>
        <w:tc>
          <w:tcPr>
            <w:tcW w:w="1200" w:type="dxa"/>
            <w:vAlign w:val="center"/>
          </w:tcPr>
          <w:p>
            <w:pPr>
              <w:jc w:val="center"/>
              <w:rPr>
                <w:color w:val="auto"/>
                <w:szCs w:val="21"/>
                <w:highlight w:val="none"/>
              </w:rPr>
            </w:pPr>
            <w:r>
              <w:rPr>
                <w:color w:val="auto"/>
                <w:szCs w:val="21"/>
                <w:highlight w:val="none"/>
              </w:rPr>
              <w:t>姓名</w:t>
            </w:r>
          </w:p>
        </w:tc>
        <w:tc>
          <w:tcPr>
            <w:tcW w:w="1601" w:type="dxa"/>
            <w:vAlign w:val="center"/>
          </w:tcPr>
          <w:p>
            <w:pPr>
              <w:jc w:val="center"/>
              <w:rPr>
                <w:color w:val="auto"/>
                <w:szCs w:val="21"/>
                <w:highlight w:val="none"/>
              </w:rPr>
            </w:pPr>
            <w:r>
              <w:rPr>
                <w:color w:val="auto"/>
                <w:szCs w:val="21"/>
                <w:highlight w:val="none"/>
              </w:rPr>
              <w:t>性别</w:t>
            </w:r>
          </w:p>
        </w:tc>
        <w:tc>
          <w:tcPr>
            <w:tcW w:w="1401" w:type="dxa"/>
            <w:vAlign w:val="center"/>
          </w:tcPr>
          <w:p>
            <w:pPr>
              <w:jc w:val="center"/>
              <w:rPr>
                <w:color w:val="auto"/>
                <w:szCs w:val="21"/>
                <w:highlight w:val="none"/>
              </w:rPr>
            </w:pPr>
            <w:r>
              <w:rPr>
                <w:color w:val="auto"/>
                <w:szCs w:val="21"/>
                <w:highlight w:val="none"/>
              </w:rPr>
              <w:t>专业</w:t>
            </w:r>
          </w:p>
        </w:tc>
        <w:tc>
          <w:tcPr>
            <w:tcW w:w="1604" w:type="dxa"/>
            <w:vAlign w:val="center"/>
          </w:tcPr>
          <w:p>
            <w:pPr>
              <w:jc w:val="center"/>
              <w:rPr>
                <w:color w:val="auto"/>
                <w:szCs w:val="21"/>
                <w:highlight w:val="none"/>
              </w:rPr>
            </w:pPr>
            <w:r>
              <w:rPr>
                <w:color w:val="auto"/>
                <w:szCs w:val="21"/>
                <w:highlight w:val="none"/>
              </w:rPr>
              <w:t>技术职称</w:t>
            </w:r>
          </w:p>
        </w:tc>
        <w:tc>
          <w:tcPr>
            <w:tcW w:w="2604" w:type="dxa"/>
            <w:vAlign w:val="center"/>
          </w:tcPr>
          <w:p>
            <w:pPr>
              <w:jc w:val="center"/>
              <w:rPr>
                <w:color w:val="auto"/>
                <w:szCs w:val="21"/>
                <w:highlight w:val="none"/>
              </w:rPr>
            </w:pPr>
            <w:r>
              <w:rPr>
                <w:color w:val="auto"/>
                <w:szCs w:val="21"/>
                <w:highlight w:val="none"/>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106" w:type="dxa"/>
            <w:vAlign w:val="center"/>
          </w:tcPr>
          <w:p>
            <w:pPr>
              <w:ind w:firstLine="420"/>
              <w:rPr>
                <w:color w:val="auto"/>
                <w:szCs w:val="21"/>
                <w:highlight w:val="none"/>
              </w:rPr>
            </w:pPr>
            <w:r>
              <w:rPr>
                <w:color w:val="auto"/>
                <w:szCs w:val="21"/>
                <w:highlight w:val="none"/>
              </w:rPr>
              <w:t>1</w:t>
            </w:r>
          </w:p>
        </w:tc>
        <w:tc>
          <w:tcPr>
            <w:tcW w:w="1200" w:type="dxa"/>
            <w:vAlign w:val="center"/>
          </w:tcPr>
          <w:p>
            <w:pPr>
              <w:ind w:firstLine="420"/>
              <w:jc w:val="center"/>
              <w:rPr>
                <w:color w:val="auto"/>
                <w:szCs w:val="21"/>
                <w:highlight w:val="none"/>
              </w:rPr>
            </w:pPr>
          </w:p>
        </w:tc>
        <w:tc>
          <w:tcPr>
            <w:tcW w:w="1601" w:type="dxa"/>
            <w:vAlign w:val="center"/>
          </w:tcPr>
          <w:p>
            <w:pPr>
              <w:ind w:firstLine="420"/>
              <w:jc w:val="center"/>
              <w:rPr>
                <w:color w:val="auto"/>
                <w:szCs w:val="21"/>
                <w:highlight w:val="none"/>
              </w:rPr>
            </w:pPr>
          </w:p>
        </w:tc>
        <w:tc>
          <w:tcPr>
            <w:tcW w:w="1401" w:type="dxa"/>
            <w:vAlign w:val="center"/>
          </w:tcPr>
          <w:p>
            <w:pPr>
              <w:ind w:firstLine="420"/>
              <w:jc w:val="center"/>
              <w:rPr>
                <w:color w:val="auto"/>
                <w:szCs w:val="21"/>
                <w:highlight w:val="none"/>
              </w:rPr>
            </w:pPr>
          </w:p>
        </w:tc>
        <w:tc>
          <w:tcPr>
            <w:tcW w:w="1604" w:type="dxa"/>
            <w:vAlign w:val="center"/>
          </w:tcPr>
          <w:p>
            <w:pPr>
              <w:ind w:firstLine="420"/>
              <w:jc w:val="center"/>
              <w:rPr>
                <w:color w:val="auto"/>
                <w:szCs w:val="21"/>
                <w:highlight w:val="none"/>
              </w:rPr>
            </w:pPr>
          </w:p>
        </w:tc>
        <w:tc>
          <w:tcPr>
            <w:tcW w:w="2604" w:type="dxa"/>
            <w:vAlign w:val="center"/>
          </w:tcPr>
          <w:p>
            <w:pPr>
              <w:ind w:firstLine="42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106" w:type="dxa"/>
            <w:vAlign w:val="center"/>
          </w:tcPr>
          <w:p>
            <w:pPr>
              <w:ind w:firstLine="420"/>
              <w:rPr>
                <w:color w:val="auto"/>
                <w:szCs w:val="21"/>
                <w:highlight w:val="none"/>
              </w:rPr>
            </w:pPr>
            <w:r>
              <w:rPr>
                <w:color w:val="auto"/>
                <w:szCs w:val="21"/>
                <w:highlight w:val="none"/>
              </w:rPr>
              <w:t>2</w:t>
            </w:r>
          </w:p>
        </w:tc>
        <w:tc>
          <w:tcPr>
            <w:tcW w:w="1200" w:type="dxa"/>
            <w:vAlign w:val="center"/>
          </w:tcPr>
          <w:p>
            <w:pPr>
              <w:ind w:firstLine="420"/>
              <w:jc w:val="center"/>
              <w:rPr>
                <w:color w:val="auto"/>
                <w:szCs w:val="21"/>
                <w:highlight w:val="none"/>
              </w:rPr>
            </w:pPr>
          </w:p>
        </w:tc>
        <w:tc>
          <w:tcPr>
            <w:tcW w:w="1601" w:type="dxa"/>
            <w:vAlign w:val="center"/>
          </w:tcPr>
          <w:p>
            <w:pPr>
              <w:ind w:firstLine="420"/>
              <w:jc w:val="center"/>
              <w:rPr>
                <w:color w:val="auto"/>
                <w:szCs w:val="21"/>
                <w:highlight w:val="none"/>
              </w:rPr>
            </w:pPr>
          </w:p>
        </w:tc>
        <w:tc>
          <w:tcPr>
            <w:tcW w:w="1401" w:type="dxa"/>
            <w:vAlign w:val="center"/>
          </w:tcPr>
          <w:p>
            <w:pPr>
              <w:ind w:firstLine="420"/>
              <w:jc w:val="center"/>
              <w:rPr>
                <w:color w:val="auto"/>
                <w:szCs w:val="21"/>
                <w:highlight w:val="none"/>
              </w:rPr>
            </w:pPr>
          </w:p>
        </w:tc>
        <w:tc>
          <w:tcPr>
            <w:tcW w:w="1604" w:type="dxa"/>
            <w:vAlign w:val="center"/>
          </w:tcPr>
          <w:p>
            <w:pPr>
              <w:ind w:firstLine="420"/>
              <w:jc w:val="center"/>
              <w:rPr>
                <w:color w:val="auto"/>
                <w:szCs w:val="21"/>
                <w:highlight w:val="none"/>
              </w:rPr>
            </w:pPr>
          </w:p>
        </w:tc>
        <w:tc>
          <w:tcPr>
            <w:tcW w:w="2604" w:type="dxa"/>
            <w:vAlign w:val="center"/>
          </w:tcPr>
          <w:p>
            <w:pPr>
              <w:ind w:firstLine="42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106" w:type="dxa"/>
            <w:vAlign w:val="center"/>
          </w:tcPr>
          <w:p>
            <w:pPr>
              <w:ind w:firstLine="420"/>
              <w:jc w:val="center"/>
              <w:rPr>
                <w:color w:val="auto"/>
                <w:szCs w:val="21"/>
                <w:highlight w:val="none"/>
              </w:rPr>
            </w:pPr>
          </w:p>
        </w:tc>
        <w:tc>
          <w:tcPr>
            <w:tcW w:w="1200" w:type="dxa"/>
            <w:vAlign w:val="center"/>
          </w:tcPr>
          <w:p>
            <w:pPr>
              <w:ind w:firstLine="420"/>
              <w:jc w:val="center"/>
              <w:rPr>
                <w:color w:val="auto"/>
                <w:szCs w:val="21"/>
                <w:highlight w:val="none"/>
              </w:rPr>
            </w:pPr>
          </w:p>
        </w:tc>
        <w:tc>
          <w:tcPr>
            <w:tcW w:w="1601" w:type="dxa"/>
            <w:vAlign w:val="center"/>
          </w:tcPr>
          <w:p>
            <w:pPr>
              <w:ind w:firstLine="420"/>
              <w:jc w:val="center"/>
              <w:rPr>
                <w:color w:val="auto"/>
                <w:szCs w:val="21"/>
                <w:highlight w:val="none"/>
              </w:rPr>
            </w:pPr>
          </w:p>
        </w:tc>
        <w:tc>
          <w:tcPr>
            <w:tcW w:w="1401" w:type="dxa"/>
            <w:vAlign w:val="center"/>
          </w:tcPr>
          <w:p>
            <w:pPr>
              <w:ind w:firstLine="420"/>
              <w:jc w:val="center"/>
              <w:rPr>
                <w:color w:val="auto"/>
                <w:szCs w:val="21"/>
                <w:highlight w:val="none"/>
              </w:rPr>
            </w:pPr>
          </w:p>
        </w:tc>
        <w:tc>
          <w:tcPr>
            <w:tcW w:w="1604" w:type="dxa"/>
            <w:vAlign w:val="center"/>
          </w:tcPr>
          <w:p>
            <w:pPr>
              <w:ind w:firstLine="420"/>
              <w:jc w:val="center"/>
              <w:rPr>
                <w:color w:val="auto"/>
                <w:szCs w:val="21"/>
                <w:highlight w:val="none"/>
              </w:rPr>
            </w:pPr>
          </w:p>
        </w:tc>
        <w:tc>
          <w:tcPr>
            <w:tcW w:w="2604" w:type="dxa"/>
            <w:vAlign w:val="center"/>
          </w:tcPr>
          <w:p>
            <w:pPr>
              <w:ind w:firstLine="420"/>
              <w:jc w:val="center"/>
              <w:rPr>
                <w:color w:val="auto"/>
                <w:szCs w:val="21"/>
                <w:highlight w:val="none"/>
              </w:rPr>
            </w:pPr>
          </w:p>
        </w:tc>
      </w:tr>
    </w:tbl>
    <w:p>
      <w:pPr>
        <w:pStyle w:val="23"/>
        <w:ind w:firstLine="420" w:firstLineChars="200"/>
        <w:rPr>
          <w:rFonts w:ascii="Times New Roman" w:hAnsi="Times New Roman"/>
          <w:color w:val="auto"/>
          <w:highlight w:val="none"/>
        </w:rPr>
      </w:pPr>
    </w:p>
    <w:p>
      <w:pPr>
        <w:pStyle w:val="2"/>
        <w:rPr>
          <w:rFonts w:ascii="Times New Roman" w:hAnsi="Times New Roman"/>
          <w:color w:val="auto"/>
          <w:highlight w:val="none"/>
        </w:rPr>
      </w:pPr>
    </w:p>
    <w:p>
      <w:pPr>
        <w:ind w:firstLine="3465" w:firstLineChars="1650"/>
        <w:rPr>
          <w:color w:val="auto"/>
          <w:szCs w:val="21"/>
          <w:highlight w:val="none"/>
          <w:u w:val="single"/>
        </w:rPr>
      </w:pPr>
      <w:r>
        <w:rPr>
          <w:color w:val="auto"/>
          <w:szCs w:val="21"/>
          <w:highlight w:val="none"/>
        </w:rPr>
        <w:t xml:space="preserve">磋商供应商：(公章) </w:t>
      </w:r>
      <w:r>
        <w:rPr>
          <w:color w:val="auto"/>
          <w:szCs w:val="21"/>
          <w:highlight w:val="none"/>
          <w:u w:val="single"/>
        </w:rPr>
        <w:t xml:space="preserve">                   .</w:t>
      </w:r>
    </w:p>
    <w:p>
      <w:pPr>
        <w:ind w:firstLine="3465" w:firstLineChars="1650"/>
        <w:rPr>
          <w:color w:val="auto"/>
          <w:szCs w:val="21"/>
          <w:highlight w:val="none"/>
        </w:rPr>
      </w:pPr>
    </w:p>
    <w:p>
      <w:pPr>
        <w:pStyle w:val="23"/>
        <w:ind w:firstLine="3465" w:firstLineChars="1650"/>
        <w:rPr>
          <w:rFonts w:ascii="Times New Roman" w:hAnsi="Times New Roman"/>
          <w:color w:val="auto"/>
          <w:highlight w:val="none"/>
        </w:rPr>
      </w:pPr>
      <w:r>
        <w:rPr>
          <w:rFonts w:ascii="Times New Roman" w:hAnsi="Times New Roman"/>
          <w:color w:val="auto"/>
          <w:highlight w:val="none"/>
        </w:rPr>
        <w:t>法定代表人或负责人或相应的委托代理人签字或盖章：</w:t>
      </w:r>
      <w:r>
        <w:rPr>
          <w:rFonts w:ascii="Times New Roman" w:hAnsi="Times New Roman"/>
          <w:color w:val="auto"/>
          <w:highlight w:val="none"/>
          <w:u w:val="single"/>
        </w:rPr>
        <w:t xml:space="preserve">       .</w:t>
      </w:r>
    </w:p>
    <w:p>
      <w:pPr>
        <w:pStyle w:val="23"/>
        <w:rPr>
          <w:rFonts w:ascii="Times New Roman" w:hAnsi="Times New Roman"/>
          <w:color w:val="auto"/>
          <w:highlight w:val="none"/>
        </w:rPr>
      </w:pPr>
      <w:r>
        <w:rPr>
          <w:rFonts w:ascii="Times New Roman" w:hAnsi="Times New Roman"/>
          <w:b/>
          <w:color w:val="auto"/>
          <w:sz w:val="32"/>
          <w:szCs w:val="32"/>
          <w:highlight w:val="none"/>
        </w:rPr>
        <w:t xml:space="preserve"> </w:t>
      </w:r>
      <w:r>
        <w:rPr>
          <w:rFonts w:ascii="Times New Roman" w:hAnsi="Times New Roman"/>
          <w:color w:val="auto"/>
          <w:highlight w:val="none"/>
        </w:rPr>
        <w:t xml:space="preserve">              </w:t>
      </w:r>
    </w:p>
    <w:p>
      <w:pPr>
        <w:pStyle w:val="23"/>
        <w:ind w:firstLine="3465" w:firstLineChars="1650"/>
        <w:rPr>
          <w:rFonts w:ascii="Times New Roman" w:hAnsi="Times New Roman"/>
          <w:b/>
          <w:bCs/>
          <w:color w:val="auto"/>
          <w:sz w:val="32"/>
          <w:szCs w:val="32"/>
          <w:highlight w:val="none"/>
        </w:rPr>
      </w:pPr>
      <w:r>
        <w:rPr>
          <w:rFonts w:ascii="Times New Roman" w:hAnsi="Times New Roman"/>
          <w:color w:val="auto"/>
          <w:highlight w:val="none"/>
        </w:rPr>
        <w:t>日 期：</w:t>
      </w:r>
    </w:p>
    <w:p>
      <w:pPr>
        <w:pStyle w:val="2"/>
        <w:rPr>
          <w:rFonts w:ascii="Times New Roman" w:hAnsi="Times New Roman"/>
          <w:color w:val="auto"/>
          <w:highlight w:val="none"/>
        </w:rPr>
      </w:pPr>
    </w:p>
    <w:p>
      <w:pPr>
        <w:tabs>
          <w:tab w:val="left" w:pos="1305"/>
        </w:tabs>
        <w:spacing w:line="400" w:lineRule="exact"/>
        <w:rPr>
          <w:b/>
          <w:color w:val="auto"/>
          <w:sz w:val="28"/>
          <w:szCs w:val="28"/>
          <w:highlight w:val="none"/>
        </w:rPr>
      </w:pPr>
      <w:r>
        <w:rPr>
          <w:rFonts w:hint="eastAsia"/>
          <w:b/>
          <w:color w:val="auto"/>
          <w:sz w:val="28"/>
          <w:szCs w:val="28"/>
          <w:highlight w:val="none"/>
        </w:rPr>
        <w:t>12</w:t>
      </w:r>
      <w:r>
        <w:rPr>
          <w:b/>
          <w:color w:val="auto"/>
          <w:sz w:val="28"/>
          <w:szCs w:val="28"/>
          <w:highlight w:val="none"/>
        </w:rPr>
        <w:t>、</w:t>
      </w:r>
      <w:r>
        <w:rPr>
          <w:rFonts w:hint="eastAsia"/>
          <w:b/>
          <w:color w:val="auto"/>
          <w:sz w:val="28"/>
          <w:szCs w:val="28"/>
          <w:highlight w:val="none"/>
        </w:rPr>
        <w:t>201</w:t>
      </w:r>
      <w:r>
        <w:rPr>
          <w:rFonts w:hint="eastAsia"/>
          <w:b/>
          <w:color w:val="auto"/>
          <w:sz w:val="28"/>
          <w:szCs w:val="28"/>
          <w:highlight w:val="none"/>
          <w:lang w:val="en-US" w:eastAsia="zh-CN"/>
        </w:rPr>
        <w:t>6</w:t>
      </w:r>
      <w:r>
        <w:rPr>
          <w:rFonts w:hint="eastAsia"/>
          <w:b/>
          <w:color w:val="auto"/>
          <w:sz w:val="28"/>
          <w:szCs w:val="28"/>
          <w:highlight w:val="none"/>
        </w:rPr>
        <w:t>年1月以来</w:t>
      </w:r>
      <w:r>
        <w:rPr>
          <w:b/>
          <w:color w:val="auto"/>
          <w:sz w:val="28"/>
          <w:szCs w:val="28"/>
          <w:highlight w:val="none"/>
        </w:rPr>
        <w:t>供应商具有同类或类似服务业绩的相关证明材料（无不良记录，以中标、成交通知书或签订的采购合同为准，并能清晰反映项目名称、种类、金额）（如有，请提供）；</w:t>
      </w:r>
    </w:p>
    <w:p>
      <w:pPr>
        <w:tabs>
          <w:tab w:val="left" w:pos="1305"/>
        </w:tabs>
        <w:spacing w:line="400" w:lineRule="exact"/>
        <w:rPr>
          <w:b/>
          <w:color w:val="auto"/>
          <w:sz w:val="28"/>
          <w:szCs w:val="28"/>
          <w:highlight w:val="none"/>
        </w:rPr>
      </w:pPr>
    </w:p>
    <w:p>
      <w:pPr>
        <w:tabs>
          <w:tab w:val="left" w:pos="1305"/>
        </w:tabs>
        <w:spacing w:line="400" w:lineRule="exact"/>
        <w:rPr>
          <w:b/>
          <w:color w:val="auto"/>
          <w:sz w:val="28"/>
          <w:szCs w:val="28"/>
          <w:highlight w:val="none"/>
        </w:rPr>
      </w:pPr>
    </w:p>
    <w:p>
      <w:pPr>
        <w:tabs>
          <w:tab w:val="left" w:pos="1305"/>
        </w:tabs>
        <w:spacing w:line="400" w:lineRule="exact"/>
        <w:rPr>
          <w:b/>
          <w:color w:val="auto"/>
          <w:sz w:val="28"/>
          <w:szCs w:val="28"/>
          <w:highlight w:val="none"/>
        </w:rPr>
      </w:pPr>
    </w:p>
    <w:p>
      <w:pPr>
        <w:pStyle w:val="2"/>
        <w:rPr>
          <w:rFonts w:ascii="Times New Roman" w:hAnsi="Times New Roman"/>
          <w:color w:val="auto"/>
          <w:sz w:val="28"/>
          <w:szCs w:val="28"/>
          <w:highlight w:val="none"/>
        </w:rPr>
      </w:pPr>
    </w:p>
    <w:p>
      <w:pPr>
        <w:numPr>
          <w:ilvl w:val="0"/>
          <w:numId w:val="4"/>
        </w:numPr>
        <w:tabs>
          <w:tab w:val="left" w:pos="1305"/>
        </w:tabs>
        <w:spacing w:line="400" w:lineRule="exact"/>
        <w:rPr>
          <w:b/>
          <w:color w:val="auto"/>
          <w:sz w:val="28"/>
          <w:szCs w:val="28"/>
          <w:highlight w:val="none"/>
        </w:rPr>
      </w:pPr>
      <w:r>
        <w:rPr>
          <w:b/>
          <w:color w:val="auto"/>
          <w:sz w:val="28"/>
          <w:szCs w:val="28"/>
          <w:highlight w:val="none"/>
        </w:rPr>
        <w:t>供应商相关获奖证书、认证证书等复印件（如有，请提供）</w:t>
      </w:r>
      <w:r>
        <w:rPr>
          <w:rFonts w:hint="eastAsia"/>
          <w:b/>
          <w:color w:val="auto"/>
          <w:sz w:val="28"/>
          <w:szCs w:val="28"/>
          <w:highlight w:val="none"/>
        </w:rPr>
        <w:t>；</w:t>
      </w:r>
    </w:p>
    <w:p>
      <w:pPr>
        <w:tabs>
          <w:tab w:val="left" w:pos="1305"/>
        </w:tabs>
        <w:spacing w:line="400" w:lineRule="exact"/>
        <w:rPr>
          <w:b/>
          <w:color w:val="auto"/>
          <w:sz w:val="28"/>
          <w:szCs w:val="28"/>
          <w:highlight w:val="none"/>
        </w:rPr>
      </w:pPr>
    </w:p>
    <w:p>
      <w:pPr>
        <w:tabs>
          <w:tab w:val="left" w:pos="1305"/>
        </w:tabs>
        <w:spacing w:line="400" w:lineRule="exact"/>
        <w:rPr>
          <w:b/>
          <w:color w:val="auto"/>
          <w:sz w:val="28"/>
          <w:szCs w:val="28"/>
          <w:highlight w:val="none"/>
        </w:rPr>
      </w:pPr>
    </w:p>
    <w:p>
      <w:pPr>
        <w:tabs>
          <w:tab w:val="left" w:pos="1305"/>
        </w:tabs>
        <w:spacing w:line="400" w:lineRule="exact"/>
        <w:rPr>
          <w:b/>
          <w:color w:val="auto"/>
          <w:sz w:val="28"/>
          <w:szCs w:val="28"/>
          <w:highlight w:val="none"/>
        </w:rPr>
      </w:pPr>
    </w:p>
    <w:p>
      <w:pPr>
        <w:pStyle w:val="2"/>
        <w:rPr>
          <w:color w:val="auto"/>
          <w:highlight w:val="none"/>
        </w:rPr>
      </w:pPr>
    </w:p>
    <w:p>
      <w:pPr>
        <w:tabs>
          <w:tab w:val="left" w:pos="1305"/>
        </w:tabs>
        <w:spacing w:line="400" w:lineRule="exact"/>
        <w:rPr>
          <w:b/>
          <w:color w:val="auto"/>
          <w:sz w:val="28"/>
          <w:szCs w:val="28"/>
          <w:highlight w:val="none"/>
        </w:rPr>
      </w:pPr>
      <w:r>
        <w:rPr>
          <w:rFonts w:hint="eastAsia"/>
          <w:b/>
          <w:color w:val="auto"/>
          <w:sz w:val="28"/>
          <w:szCs w:val="28"/>
          <w:highlight w:val="none"/>
        </w:rPr>
        <w:t>14、</w:t>
      </w:r>
      <w:r>
        <w:rPr>
          <w:b/>
          <w:color w:val="auto"/>
          <w:sz w:val="28"/>
          <w:szCs w:val="28"/>
          <w:highlight w:val="none"/>
        </w:rPr>
        <w:t>“服务采购需求”需提供的有效证明文件复印件（如有，请提供）；</w:t>
      </w:r>
    </w:p>
    <w:p>
      <w:pPr>
        <w:tabs>
          <w:tab w:val="left" w:pos="1305"/>
        </w:tabs>
        <w:spacing w:line="400" w:lineRule="exact"/>
        <w:rPr>
          <w:b/>
          <w:color w:val="auto"/>
          <w:sz w:val="28"/>
          <w:szCs w:val="28"/>
          <w:highlight w:val="none"/>
        </w:rPr>
      </w:pPr>
      <w:r>
        <w:rPr>
          <w:b/>
          <w:color w:val="auto"/>
          <w:sz w:val="28"/>
          <w:szCs w:val="28"/>
          <w:highlight w:val="none"/>
        </w:rPr>
        <w:br w:type="page"/>
      </w:r>
      <w:r>
        <w:rPr>
          <w:b/>
          <w:color w:val="auto"/>
          <w:sz w:val="28"/>
          <w:szCs w:val="28"/>
          <w:highlight w:val="none"/>
        </w:rPr>
        <w:t>1</w:t>
      </w:r>
      <w:r>
        <w:rPr>
          <w:rFonts w:hint="eastAsia"/>
          <w:b/>
          <w:color w:val="auto"/>
          <w:sz w:val="28"/>
          <w:szCs w:val="28"/>
          <w:highlight w:val="none"/>
        </w:rPr>
        <w:t>5</w:t>
      </w:r>
      <w:r>
        <w:rPr>
          <w:b/>
          <w:color w:val="auto"/>
          <w:sz w:val="28"/>
          <w:szCs w:val="28"/>
          <w:highlight w:val="none"/>
        </w:rPr>
        <w:t>、如产品属于小型、微型企业，以提供的《中小企业声明函》为准；如产品属于监狱企业的，以提供的相关证明材料为准（如有，请提供）；</w:t>
      </w:r>
    </w:p>
    <w:p>
      <w:pPr>
        <w:tabs>
          <w:tab w:val="left" w:pos="1305"/>
        </w:tabs>
        <w:spacing w:line="400" w:lineRule="exact"/>
        <w:rPr>
          <w:b/>
          <w:color w:val="auto"/>
          <w:sz w:val="28"/>
          <w:szCs w:val="28"/>
          <w:highlight w:val="none"/>
        </w:rPr>
      </w:pPr>
    </w:p>
    <w:p>
      <w:pPr>
        <w:tabs>
          <w:tab w:val="left" w:pos="1305"/>
        </w:tabs>
        <w:spacing w:line="400" w:lineRule="exact"/>
        <w:ind w:firstLine="562" w:firstLineChars="200"/>
        <w:rPr>
          <w:b/>
          <w:color w:val="auto"/>
          <w:sz w:val="28"/>
          <w:szCs w:val="18"/>
          <w:highlight w:val="none"/>
        </w:rPr>
      </w:pPr>
    </w:p>
    <w:p>
      <w:pPr>
        <w:spacing w:line="360" w:lineRule="exact"/>
        <w:rPr>
          <w:b/>
          <w:bCs/>
          <w:color w:val="auto"/>
          <w:sz w:val="28"/>
          <w:szCs w:val="28"/>
          <w:highlight w:val="none"/>
        </w:rPr>
      </w:pPr>
      <w:r>
        <w:rPr>
          <w:b/>
          <w:bCs/>
          <w:color w:val="auto"/>
          <w:sz w:val="28"/>
          <w:szCs w:val="28"/>
          <w:highlight w:val="none"/>
        </w:rPr>
        <w:t>附：</w:t>
      </w:r>
    </w:p>
    <w:p>
      <w:pPr>
        <w:tabs>
          <w:tab w:val="center" w:pos="4501"/>
          <w:tab w:val="left" w:pos="5985"/>
        </w:tabs>
        <w:spacing w:line="360" w:lineRule="exact"/>
        <w:jc w:val="left"/>
        <w:rPr>
          <w:b/>
          <w:color w:val="auto"/>
          <w:sz w:val="28"/>
          <w:highlight w:val="none"/>
        </w:rPr>
      </w:pPr>
      <w:r>
        <w:rPr>
          <w:b/>
          <w:color w:val="auto"/>
          <w:sz w:val="28"/>
          <w:highlight w:val="none"/>
        </w:rPr>
        <w:tab/>
      </w:r>
      <w:r>
        <w:rPr>
          <w:b/>
          <w:color w:val="auto"/>
          <w:sz w:val="28"/>
          <w:highlight w:val="none"/>
        </w:rPr>
        <w:t>中小企业声明函</w:t>
      </w:r>
      <w:r>
        <w:rPr>
          <w:b/>
          <w:color w:val="auto"/>
          <w:sz w:val="28"/>
          <w:highlight w:val="none"/>
        </w:rPr>
        <w:tab/>
      </w:r>
    </w:p>
    <w:p>
      <w:pPr>
        <w:spacing w:line="360" w:lineRule="exact"/>
        <w:ind w:firstLine="480" w:firstLineChars="200"/>
        <w:rPr>
          <w:color w:val="auto"/>
          <w:sz w:val="24"/>
          <w:highlight w:val="none"/>
        </w:rPr>
      </w:pPr>
    </w:p>
    <w:p>
      <w:pPr>
        <w:tabs>
          <w:tab w:val="left" w:pos="1305"/>
        </w:tabs>
        <w:spacing w:line="380" w:lineRule="exact"/>
        <w:ind w:firstLine="420" w:firstLineChars="200"/>
        <w:rPr>
          <w:color w:val="auto"/>
          <w:szCs w:val="20"/>
          <w:highlight w:val="none"/>
        </w:rPr>
      </w:pPr>
      <w:r>
        <w:rPr>
          <w:color w:val="auto"/>
          <w:szCs w:val="20"/>
          <w:highlight w:val="none"/>
        </w:rPr>
        <w:t>本公司郑重声明，根据《政府采购促进中小企业发展暂行办法》（财库〔2011〕181号）的规定，本公司为______（请填写：中型、小型、微型）企业。即，本公司同时满足以下条件：</w:t>
      </w:r>
    </w:p>
    <w:p>
      <w:pPr>
        <w:tabs>
          <w:tab w:val="left" w:pos="1305"/>
        </w:tabs>
        <w:spacing w:line="380" w:lineRule="exact"/>
        <w:rPr>
          <w:color w:val="auto"/>
          <w:szCs w:val="20"/>
          <w:highlight w:val="none"/>
        </w:rPr>
      </w:pPr>
    </w:p>
    <w:p>
      <w:pPr>
        <w:tabs>
          <w:tab w:val="left" w:pos="1305"/>
        </w:tabs>
        <w:spacing w:line="380" w:lineRule="exact"/>
        <w:rPr>
          <w:color w:val="auto"/>
          <w:szCs w:val="20"/>
          <w:highlight w:val="none"/>
        </w:rPr>
      </w:pPr>
      <w:r>
        <w:rPr>
          <w:color w:val="auto"/>
          <w:szCs w:val="20"/>
          <w:highlight w:val="none"/>
        </w:rPr>
        <w:t>1.根据《工业和信息化部、国家统计局、国家发展和改革委员会、财政部关于印发中小企业划型标准规定的通知》（工信部联企业〔2011〕300号）规定的划分标准，本公司为______（请填写：中型、小型、微型）企业。</w:t>
      </w:r>
    </w:p>
    <w:p>
      <w:pPr>
        <w:tabs>
          <w:tab w:val="left" w:pos="1305"/>
        </w:tabs>
        <w:spacing w:line="380" w:lineRule="exact"/>
        <w:rPr>
          <w:color w:val="auto"/>
          <w:szCs w:val="20"/>
          <w:highlight w:val="none"/>
        </w:rPr>
      </w:pPr>
    </w:p>
    <w:p>
      <w:pPr>
        <w:tabs>
          <w:tab w:val="left" w:pos="1305"/>
        </w:tabs>
        <w:spacing w:line="380" w:lineRule="exact"/>
        <w:rPr>
          <w:color w:val="auto"/>
          <w:szCs w:val="20"/>
          <w:highlight w:val="none"/>
        </w:rPr>
      </w:pPr>
    </w:p>
    <w:p>
      <w:pPr>
        <w:tabs>
          <w:tab w:val="left" w:pos="1305"/>
        </w:tabs>
        <w:spacing w:line="380" w:lineRule="exact"/>
        <w:rPr>
          <w:color w:val="auto"/>
          <w:szCs w:val="20"/>
          <w:highlight w:val="none"/>
        </w:rPr>
      </w:pPr>
      <w:r>
        <w:rPr>
          <w:color w:val="auto"/>
          <w:szCs w:val="20"/>
          <w:highlight w:val="none"/>
        </w:rPr>
        <w:t>本公司对上述声明的真实性负责。如有虚假，将依法承担相应责任。</w:t>
      </w:r>
    </w:p>
    <w:p>
      <w:pPr>
        <w:tabs>
          <w:tab w:val="left" w:pos="1305"/>
        </w:tabs>
        <w:spacing w:line="380" w:lineRule="exact"/>
        <w:rPr>
          <w:color w:val="auto"/>
          <w:szCs w:val="20"/>
          <w:highlight w:val="none"/>
        </w:rPr>
      </w:pPr>
    </w:p>
    <w:p>
      <w:pPr>
        <w:tabs>
          <w:tab w:val="left" w:pos="1305"/>
        </w:tabs>
        <w:spacing w:line="380" w:lineRule="exact"/>
        <w:ind w:firstLine="5460" w:firstLineChars="2600"/>
        <w:rPr>
          <w:color w:val="auto"/>
          <w:szCs w:val="20"/>
          <w:highlight w:val="none"/>
        </w:rPr>
      </w:pPr>
      <w:r>
        <w:rPr>
          <w:color w:val="auto"/>
          <w:szCs w:val="20"/>
          <w:highlight w:val="none"/>
        </w:rPr>
        <w:t>企业名称（盖章）：</w:t>
      </w:r>
    </w:p>
    <w:p>
      <w:pPr>
        <w:tabs>
          <w:tab w:val="left" w:pos="1305"/>
        </w:tabs>
        <w:spacing w:line="380" w:lineRule="exact"/>
        <w:rPr>
          <w:color w:val="auto"/>
          <w:szCs w:val="20"/>
          <w:highlight w:val="none"/>
        </w:rPr>
      </w:pPr>
    </w:p>
    <w:p>
      <w:pPr>
        <w:tabs>
          <w:tab w:val="left" w:pos="1305"/>
        </w:tabs>
        <w:spacing w:line="380" w:lineRule="exact"/>
        <w:ind w:firstLine="5460" w:firstLineChars="2600"/>
        <w:rPr>
          <w:color w:val="auto"/>
          <w:szCs w:val="20"/>
          <w:highlight w:val="none"/>
        </w:rPr>
      </w:pPr>
      <w:r>
        <w:rPr>
          <w:color w:val="auto"/>
          <w:szCs w:val="20"/>
          <w:highlight w:val="none"/>
        </w:rPr>
        <w:t>日</w:t>
      </w:r>
      <w:r>
        <w:rPr>
          <w:rFonts w:hint="eastAsia"/>
          <w:color w:val="auto"/>
          <w:szCs w:val="20"/>
          <w:highlight w:val="none"/>
        </w:rPr>
        <w:t xml:space="preserve">    </w:t>
      </w:r>
      <w:r>
        <w:rPr>
          <w:color w:val="auto"/>
          <w:szCs w:val="20"/>
          <w:highlight w:val="none"/>
        </w:rPr>
        <w:t xml:space="preserve">期： </w:t>
      </w:r>
    </w:p>
    <w:p>
      <w:pPr>
        <w:tabs>
          <w:tab w:val="left" w:pos="1305"/>
        </w:tabs>
        <w:spacing w:line="360" w:lineRule="exact"/>
        <w:ind w:firstLine="562" w:firstLineChars="200"/>
        <w:rPr>
          <w:b/>
          <w:color w:val="auto"/>
          <w:sz w:val="28"/>
          <w:szCs w:val="18"/>
          <w:highlight w:val="none"/>
        </w:rPr>
      </w:pPr>
    </w:p>
    <w:p>
      <w:pPr>
        <w:snapToGrid w:val="0"/>
        <w:spacing w:line="390" w:lineRule="exact"/>
        <w:jc w:val="center"/>
        <w:outlineLvl w:val="4"/>
        <w:rPr>
          <w:b/>
          <w:color w:val="auto"/>
          <w:sz w:val="28"/>
          <w:szCs w:val="28"/>
          <w:highlight w:val="none"/>
        </w:rPr>
      </w:pPr>
    </w:p>
    <w:p>
      <w:pPr>
        <w:tabs>
          <w:tab w:val="left" w:pos="1305"/>
        </w:tabs>
        <w:spacing w:line="380" w:lineRule="exact"/>
        <w:rPr>
          <w:b/>
          <w:bCs/>
          <w:color w:val="auto"/>
          <w:kern w:val="0"/>
          <w:sz w:val="32"/>
          <w:szCs w:val="32"/>
          <w:highlight w:val="none"/>
        </w:rPr>
      </w:pPr>
      <w:r>
        <w:rPr>
          <w:b/>
          <w:bCs/>
          <w:color w:val="auto"/>
          <w:kern w:val="0"/>
          <w:sz w:val="32"/>
          <w:szCs w:val="32"/>
          <w:highlight w:val="none"/>
        </w:rPr>
        <w:br w:type="page"/>
      </w:r>
    </w:p>
    <w:p>
      <w:pPr>
        <w:tabs>
          <w:tab w:val="left" w:pos="1305"/>
        </w:tabs>
        <w:spacing w:line="400" w:lineRule="exact"/>
        <w:rPr>
          <w:b/>
          <w:color w:val="auto"/>
          <w:sz w:val="28"/>
          <w:szCs w:val="28"/>
          <w:highlight w:val="none"/>
        </w:rPr>
      </w:pPr>
      <w:r>
        <w:rPr>
          <w:b/>
          <w:color w:val="auto"/>
          <w:sz w:val="28"/>
          <w:szCs w:val="28"/>
          <w:highlight w:val="none"/>
        </w:rPr>
        <w:t>1</w:t>
      </w:r>
      <w:r>
        <w:rPr>
          <w:rFonts w:hint="eastAsia"/>
          <w:b/>
          <w:color w:val="auto"/>
          <w:sz w:val="28"/>
          <w:szCs w:val="28"/>
          <w:highlight w:val="none"/>
        </w:rPr>
        <w:t>6</w:t>
      </w:r>
      <w:r>
        <w:rPr>
          <w:b/>
          <w:color w:val="auto"/>
          <w:sz w:val="28"/>
          <w:szCs w:val="28"/>
          <w:highlight w:val="none"/>
        </w:rPr>
        <w:t>、符合条件的残疾人福利性单位在参加政府采购活动时，应当提供《残疾人福利性单位声明函》（见附件），并对声明的真实性负责（如有，请提供）；</w:t>
      </w:r>
    </w:p>
    <w:p>
      <w:pPr>
        <w:spacing w:line="588" w:lineRule="exact"/>
        <w:jc w:val="center"/>
        <w:rPr>
          <w:b/>
          <w:color w:val="auto"/>
          <w:kern w:val="0"/>
          <w:sz w:val="32"/>
          <w:szCs w:val="32"/>
          <w:highlight w:val="none"/>
        </w:rPr>
      </w:pPr>
      <w:bookmarkStart w:id="57" w:name="OLE_LINK13"/>
      <w:bookmarkStart w:id="58" w:name="OLE_LINK14"/>
      <w:r>
        <w:rPr>
          <w:rFonts w:eastAsia="仿宋_GB2312"/>
          <w:b/>
          <w:color w:val="auto"/>
          <w:kern w:val="0"/>
          <w:sz w:val="32"/>
          <w:szCs w:val="32"/>
          <w:highlight w:val="none"/>
        </w:rPr>
        <w:t>残疾人福利性单位</w:t>
      </w:r>
      <w:bookmarkEnd w:id="57"/>
      <w:bookmarkEnd w:id="58"/>
      <w:r>
        <w:rPr>
          <w:rFonts w:eastAsia="仿宋_GB2312"/>
          <w:b/>
          <w:color w:val="auto"/>
          <w:kern w:val="0"/>
          <w:sz w:val="32"/>
          <w:szCs w:val="32"/>
          <w:highlight w:val="none"/>
        </w:rPr>
        <w:t>声明</w:t>
      </w:r>
      <w:r>
        <w:rPr>
          <w:b/>
          <w:color w:val="auto"/>
          <w:kern w:val="0"/>
          <w:sz w:val="32"/>
          <w:szCs w:val="32"/>
          <w:highlight w:val="none"/>
        </w:rPr>
        <w:t>函</w:t>
      </w:r>
    </w:p>
    <w:p>
      <w:pPr>
        <w:spacing w:line="588" w:lineRule="exact"/>
        <w:ind w:firstLine="600" w:firstLineChars="200"/>
        <w:rPr>
          <w:rFonts w:eastAsia="仿宋_GB2312"/>
          <w:color w:val="auto"/>
          <w:kern w:val="0"/>
          <w:sz w:val="30"/>
          <w:szCs w:val="30"/>
          <w:highlight w:val="none"/>
        </w:rPr>
      </w:pPr>
      <w:r>
        <w:rPr>
          <w:rFonts w:eastAsia="仿宋_GB2312"/>
          <w:color w:val="auto"/>
          <w:kern w:val="0"/>
          <w:sz w:val="30"/>
          <w:szCs w:val="30"/>
          <w:highlight w:val="none"/>
        </w:rPr>
        <w:t>本单位郑重声明，根据《财政部 民政部 中国残疾人联合会关于促进残疾人就业政府采购政策的通知》（财库</w:t>
      </w:r>
      <w:r>
        <w:rPr>
          <w:rFonts w:eastAsia="仿宋_GB2312"/>
          <w:color w:val="auto"/>
          <w:kern w:val="0"/>
          <w:sz w:val="32"/>
          <w:szCs w:val="32"/>
          <w:highlight w:val="none"/>
        </w:rPr>
        <w:t>〔2017〕 141</w:t>
      </w:r>
      <w:r>
        <w:rPr>
          <w:rFonts w:eastAsia="仿宋_GB2312"/>
          <w:color w:val="auto"/>
          <w:kern w:val="0"/>
          <w:sz w:val="30"/>
          <w:szCs w:val="30"/>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00" w:firstLineChars="200"/>
        <w:rPr>
          <w:rFonts w:eastAsia="仿宋_GB2312"/>
          <w:color w:val="auto"/>
          <w:kern w:val="0"/>
          <w:sz w:val="30"/>
          <w:szCs w:val="30"/>
          <w:highlight w:val="none"/>
        </w:rPr>
      </w:pPr>
      <w:r>
        <w:rPr>
          <w:rFonts w:eastAsia="仿宋_GB2312"/>
          <w:color w:val="auto"/>
          <w:kern w:val="0"/>
          <w:sz w:val="30"/>
          <w:szCs w:val="30"/>
          <w:highlight w:val="none"/>
        </w:rPr>
        <w:t>本单位对上述声明的真实性负责。如有虚假，将依法承担相应责任。</w:t>
      </w:r>
    </w:p>
    <w:p>
      <w:pPr>
        <w:spacing w:line="588" w:lineRule="exact"/>
        <w:ind w:firstLine="600" w:firstLineChars="200"/>
        <w:rPr>
          <w:rFonts w:eastAsia="仿宋_GB2312"/>
          <w:color w:val="auto"/>
          <w:kern w:val="0"/>
          <w:sz w:val="30"/>
          <w:szCs w:val="30"/>
          <w:highlight w:val="none"/>
        </w:rPr>
      </w:pPr>
    </w:p>
    <w:p>
      <w:pPr>
        <w:spacing w:line="588" w:lineRule="exact"/>
        <w:ind w:firstLine="600" w:firstLineChars="200"/>
        <w:rPr>
          <w:rFonts w:eastAsia="仿宋_GB2312"/>
          <w:color w:val="auto"/>
          <w:kern w:val="0"/>
          <w:sz w:val="30"/>
          <w:szCs w:val="30"/>
          <w:highlight w:val="none"/>
        </w:rPr>
      </w:pPr>
    </w:p>
    <w:p>
      <w:pPr>
        <w:tabs>
          <w:tab w:val="left" w:pos="4860"/>
        </w:tabs>
        <w:spacing w:line="588" w:lineRule="exact"/>
        <w:ind w:right="1560" w:firstLine="600" w:firstLineChars="200"/>
        <w:jc w:val="center"/>
        <w:rPr>
          <w:rFonts w:eastAsia="仿宋_GB2312"/>
          <w:color w:val="auto"/>
          <w:kern w:val="0"/>
          <w:sz w:val="30"/>
          <w:szCs w:val="30"/>
          <w:highlight w:val="none"/>
        </w:rPr>
      </w:pPr>
      <w:r>
        <w:rPr>
          <w:rFonts w:hint="eastAsia" w:eastAsia="仿宋_GB2312"/>
          <w:color w:val="auto"/>
          <w:kern w:val="0"/>
          <w:sz w:val="30"/>
          <w:szCs w:val="30"/>
          <w:highlight w:val="none"/>
        </w:rPr>
        <w:t xml:space="preserve">                   </w:t>
      </w:r>
      <w:r>
        <w:rPr>
          <w:rFonts w:eastAsia="仿宋_GB2312"/>
          <w:color w:val="auto"/>
          <w:kern w:val="0"/>
          <w:sz w:val="30"/>
          <w:szCs w:val="30"/>
          <w:highlight w:val="none"/>
        </w:rPr>
        <w:t>单位名称（盖章）：</w:t>
      </w:r>
    </w:p>
    <w:p>
      <w:pPr>
        <w:tabs>
          <w:tab w:val="left" w:pos="4860"/>
        </w:tabs>
        <w:spacing w:line="588" w:lineRule="exact"/>
        <w:ind w:right="1560" w:firstLine="600" w:firstLineChars="200"/>
        <w:jc w:val="center"/>
        <w:rPr>
          <w:rFonts w:eastAsia="仿宋_GB2312"/>
          <w:color w:val="auto"/>
          <w:kern w:val="0"/>
          <w:sz w:val="30"/>
          <w:szCs w:val="30"/>
          <w:highlight w:val="none"/>
        </w:rPr>
      </w:pPr>
      <w:r>
        <w:rPr>
          <w:rFonts w:hint="eastAsia" w:eastAsia="仿宋_GB2312"/>
          <w:color w:val="auto"/>
          <w:kern w:val="0"/>
          <w:sz w:val="30"/>
          <w:szCs w:val="30"/>
          <w:highlight w:val="none"/>
        </w:rPr>
        <w:t xml:space="preserve">                      </w:t>
      </w:r>
      <w:r>
        <w:rPr>
          <w:rFonts w:eastAsia="仿宋_GB2312"/>
          <w:color w:val="auto"/>
          <w:kern w:val="0"/>
          <w:sz w:val="30"/>
          <w:szCs w:val="30"/>
          <w:highlight w:val="none"/>
        </w:rPr>
        <w:t>日  期：</w:t>
      </w:r>
    </w:p>
    <w:p>
      <w:pPr>
        <w:pStyle w:val="2"/>
        <w:rPr>
          <w:rFonts w:ascii="Times New Roman" w:hAnsi="Times New Roman"/>
          <w:color w:val="auto"/>
          <w:highlight w:val="none"/>
        </w:rPr>
      </w:pPr>
    </w:p>
    <w:p>
      <w:pPr>
        <w:pStyle w:val="2"/>
        <w:rPr>
          <w:rFonts w:ascii="Times New Roman" w:hAnsi="Times New Roman"/>
          <w:color w:val="auto"/>
          <w:highlight w:val="none"/>
        </w:rPr>
      </w:pPr>
    </w:p>
    <w:p>
      <w:pPr>
        <w:pStyle w:val="2"/>
        <w:rPr>
          <w:rFonts w:ascii="Times New Roman" w:hAnsi="Times New Roman"/>
          <w:color w:val="auto"/>
          <w:highlight w:val="none"/>
        </w:rPr>
      </w:pPr>
    </w:p>
    <w:p>
      <w:pPr>
        <w:pStyle w:val="2"/>
        <w:rPr>
          <w:rFonts w:ascii="Times New Roman" w:hAnsi="Times New Roman"/>
          <w:color w:val="auto"/>
          <w:highlight w:val="none"/>
        </w:rPr>
      </w:pPr>
    </w:p>
    <w:p>
      <w:pPr>
        <w:tabs>
          <w:tab w:val="left" w:pos="1305"/>
        </w:tabs>
        <w:spacing w:line="400" w:lineRule="exact"/>
        <w:rPr>
          <w:b/>
          <w:color w:val="auto"/>
          <w:sz w:val="28"/>
          <w:szCs w:val="18"/>
          <w:highlight w:val="none"/>
        </w:rPr>
      </w:pPr>
      <w:r>
        <w:rPr>
          <w:b/>
          <w:color w:val="auto"/>
          <w:sz w:val="28"/>
          <w:szCs w:val="18"/>
          <w:highlight w:val="none"/>
        </w:rPr>
        <w:t>1</w:t>
      </w:r>
      <w:r>
        <w:rPr>
          <w:rFonts w:hint="eastAsia"/>
          <w:b/>
          <w:color w:val="auto"/>
          <w:sz w:val="28"/>
          <w:szCs w:val="18"/>
          <w:highlight w:val="none"/>
        </w:rPr>
        <w:t>7</w:t>
      </w:r>
      <w:r>
        <w:rPr>
          <w:b/>
          <w:color w:val="auto"/>
          <w:sz w:val="28"/>
          <w:szCs w:val="18"/>
          <w:highlight w:val="none"/>
        </w:rPr>
        <w:t>、供应商可结合本项目自身情况自行提交其它相关证明材料</w:t>
      </w:r>
      <w:r>
        <w:rPr>
          <w:b/>
          <w:color w:val="auto"/>
          <w:kern w:val="0"/>
          <w:sz w:val="28"/>
          <w:szCs w:val="28"/>
          <w:highlight w:val="none"/>
        </w:rPr>
        <w:t>（如有，请提供）</w:t>
      </w:r>
      <w:r>
        <w:rPr>
          <w:b/>
          <w:color w:val="auto"/>
          <w:sz w:val="28"/>
          <w:szCs w:val="18"/>
          <w:highlight w:val="none"/>
        </w:rPr>
        <w:t>。</w:t>
      </w:r>
    </w:p>
    <w:p>
      <w:pPr>
        <w:spacing w:line="360" w:lineRule="exact"/>
        <w:rPr>
          <w:b/>
          <w:color w:val="auto"/>
          <w:sz w:val="32"/>
          <w:szCs w:val="32"/>
          <w:highlight w:val="none"/>
        </w:rPr>
      </w:pPr>
    </w:p>
    <w:p>
      <w:pPr>
        <w:snapToGrid w:val="0"/>
        <w:spacing w:line="380" w:lineRule="exact"/>
        <w:ind w:firstLine="826" w:firstLineChars="257"/>
        <w:outlineLvl w:val="4"/>
        <w:rPr>
          <w:b/>
          <w:color w:val="auto"/>
          <w:sz w:val="32"/>
          <w:szCs w:val="32"/>
          <w:highlight w:val="none"/>
        </w:rPr>
      </w:pPr>
    </w:p>
    <w:p>
      <w:pPr>
        <w:snapToGrid w:val="0"/>
        <w:spacing w:line="380" w:lineRule="exact"/>
        <w:ind w:firstLine="826" w:firstLineChars="257"/>
        <w:outlineLvl w:val="4"/>
        <w:rPr>
          <w:b/>
          <w:color w:val="auto"/>
          <w:sz w:val="32"/>
          <w:szCs w:val="32"/>
          <w:highlight w:val="none"/>
        </w:rPr>
      </w:pPr>
    </w:p>
    <w:sectPr>
      <w:headerReference r:id="rId10" w:type="default"/>
      <w:footerReference r:id="rId11" w:type="default"/>
      <w:pgSz w:w="11906" w:h="16838"/>
      <w:pgMar w:top="1440" w:right="936" w:bottom="1440" w:left="141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华文新魏">
    <w:altName w:val="宋体"/>
    <w:panose1 w:val="02010800040101010101"/>
    <w:charset w:val="86"/>
    <w:family w:val="auto"/>
    <w:pitch w:val="default"/>
    <w:sig w:usb0="00000000" w:usb1="00000000" w:usb2="00000000" w:usb3="00000000" w:csb0="00040000" w:csb1="00000000"/>
  </w:font>
  <w:font w:name="Monospaced Numbe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23825" cy="140335"/>
              <wp:effectExtent l="0" t="0" r="0" b="0"/>
              <wp:wrapNone/>
              <wp:docPr id="4" name="文本框 16"/>
              <wp:cNvGraphicFramePr/>
              <a:graphic xmlns:a="http://schemas.openxmlformats.org/drawingml/2006/main">
                <a:graphicData uri="http://schemas.microsoft.com/office/word/2010/wordprocessingShape">
                  <wps:wsp>
                    <wps:cNvSpPr txBox="1"/>
                    <wps:spPr>
                      <a:xfrm>
                        <a:off x="0" y="0"/>
                        <a:ext cx="123825" cy="140335"/>
                      </a:xfrm>
                      <a:prstGeom prst="rect">
                        <a:avLst/>
                      </a:prstGeom>
                      <a:noFill/>
                      <a:ln w="9525">
                        <a:noFill/>
                      </a:ln>
                      <a:effectLst/>
                    </wps:spPr>
                    <wps:txbx>
                      <w:txbxContent>
                        <w:p>
                          <w:pPr>
                            <w:pStyle w:val="28"/>
                          </w:pPr>
                          <w:r>
                            <w:fldChar w:fldCharType="begin"/>
                          </w:r>
                          <w:r>
                            <w:instrText xml:space="preserve"> PAGE  \* MERGEFORMAT </w:instrText>
                          </w:r>
                          <w:r>
                            <w:fldChar w:fldCharType="separate"/>
                          </w:r>
                          <w:r>
                            <w:t>24</w:t>
                          </w:r>
                          <w:r>
                            <w:fldChar w:fldCharType="end"/>
                          </w:r>
                        </w:p>
                      </w:txbxContent>
                    </wps:txbx>
                    <wps:bodyPr vert="horz" wrap="none" lIns="0" tIns="0" rIns="0" bIns="0" anchor="t">
                      <a:spAutoFit/>
                    </wps:bodyPr>
                  </wps:wsp>
                </a:graphicData>
              </a:graphic>
            </wp:anchor>
          </w:drawing>
        </mc:Choice>
        <mc:Fallback>
          <w:pict>
            <v:shape id="文本框 16" o:spid="_x0000_s1026" o:spt="202" type="#_x0000_t202" style="position:absolute;left:0pt;margin-top:0pt;height:11.05pt;width:9.75pt;mso-position-horizontal:center;mso-position-horizontal-relative:margin;mso-wrap-style:none;z-index:251658240;mso-width-relative:page;mso-height-relative:page;" filled="f" stroked="f" coordsize="21600,21600" o:gfxdata="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QOmH7RAAAAAwEAAA8AAAAAAAAAAQAgAAAAIgAAAGRycy9kb3ducmV2Lnht&#10;bFBLAQIUABQAAAAIAIdO4kDNnSPVxwEAAGwDAAAOAAAAAAAAAAEAIAAAACABAABkcnMvZTJvRG9j&#10;LnhtbFBLBQYAAAAABgAGAFkBAABZ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6675" cy="140335"/>
              <wp:effectExtent l="0" t="0" r="0" b="0"/>
              <wp:wrapNone/>
              <wp:docPr id="5" name="文本框 17"/>
              <wp:cNvGraphicFramePr/>
              <a:graphic xmlns:a="http://schemas.openxmlformats.org/drawingml/2006/main">
                <a:graphicData uri="http://schemas.microsoft.com/office/word/2010/wordprocessingShape">
                  <wps:wsp>
                    <wps:cNvSpPr txBox="1"/>
                    <wps:spPr>
                      <a:xfrm>
                        <a:off x="0" y="0"/>
                        <a:ext cx="66675" cy="140335"/>
                      </a:xfrm>
                      <a:prstGeom prst="rect">
                        <a:avLst/>
                      </a:prstGeom>
                      <a:noFill/>
                      <a:ln w="9525">
                        <a:noFill/>
                      </a:ln>
                      <a:effectLst/>
                    </wps:spPr>
                    <wps:txbx>
                      <w:txbxContent>
                        <w:p>
                          <w:pPr>
                            <w:pStyle w:val="28"/>
                          </w:pPr>
                          <w:r>
                            <w:fldChar w:fldCharType="begin"/>
                          </w:r>
                          <w:r>
                            <w:instrText xml:space="preserve"> PAGE  \* MERGEFORMAT </w:instrText>
                          </w:r>
                          <w:r>
                            <w:fldChar w:fldCharType="separate"/>
                          </w:r>
                          <w:r>
                            <w:t>3</w:t>
                          </w:r>
                          <w:r>
                            <w:fldChar w:fldCharType="end"/>
                          </w:r>
                        </w:p>
                      </w:txbxContent>
                    </wps:txbx>
                    <wps:bodyPr vert="horz" wrap="none" lIns="0" tIns="0" rIns="0" bIns="0" anchor="t">
                      <a:spAutoFit/>
                    </wps:bodyPr>
                  </wps:wsp>
                </a:graphicData>
              </a:graphic>
            </wp:anchor>
          </w:drawing>
        </mc:Choice>
        <mc:Fallback>
          <w:pict>
            <v:shape id="文本框 17" o:spid="_x0000_s1026" o:spt="202" type="#_x0000_t202" style="position:absolute;left:0pt;margin-top:0pt;height:11.05pt;width:5.25pt;mso-position-horizontal:center;mso-position-horizontal-relative:margin;mso-wrap-style:none;z-index:251659264;mso-width-relative:page;mso-height-relative:page;" filled="f" stroked="f" coordsize="21600,21600" o:gfxdata="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EbgnLQAAAAAwEAAA8AAAAAAAAAAQAgAAAAIgAAAGRycy9kb3ducmV2Lnht&#10;bFBLAQIUABQAAAAIAIdO4kDouGtEyAEAAGsDAAAOAAAAAAAAAAEAIAAAAB8BAABkcnMvZTJvRG9j&#10;LnhtbFBLBQYAAAAABgAGAFkBAABZ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spacing w:before="120" w:after="1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23825" cy="140335"/>
              <wp:effectExtent l="0" t="0" r="0" b="0"/>
              <wp:wrapNone/>
              <wp:docPr id="7" name="文本框 18"/>
              <wp:cNvGraphicFramePr/>
              <a:graphic xmlns:a="http://schemas.openxmlformats.org/drawingml/2006/main">
                <a:graphicData uri="http://schemas.microsoft.com/office/word/2010/wordprocessingShape">
                  <wps:wsp>
                    <wps:cNvSpPr txBox="1"/>
                    <wps:spPr>
                      <a:xfrm>
                        <a:off x="0" y="0"/>
                        <a:ext cx="123825" cy="140335"/>
                      </a:xfrm>
                      <a:prstGeom prst="rect">
                        <a:avLst/>
                      </a:prstGeom>
                      <a:noFill/>
                      <a:ln w="9525">
                        <a:noFill/>
                      </a:ln>
                      <a:effectLst/>
                    </wps:spPr>
                    <wps:txbx>
                      <w:txbxContent>
                        <w:p>
                          <w:pPr>
                            <w:pStyle w:val="28"/>
                          </w:pPr>
                          <w:r>
                            <w:fldChar w:fldCharType="begin"/>
                          </w:r>
                          <w:r>
                            <w:instrText xml:space="preserve"> PAGE  \* MERGEFORMAT </w:instrText>
                          </w:r>
                          <w:r>
                            <w:fldChar w:fldCharType="separate"/>
                          </w:r>
                          <w:r>
                            <w:t>34</w:t>
                          </w:r>
                          <w:r>
                            <w:fldChar w:fldCharType="end"/>
                          </w:r>
                        </w:p>
                      </w:txbxContent>
                    </wps:txbx>
                    <wps:bodyPr vert="horz" wrap="none" lIns="0" tIns="0" rIns="0" bIns="0" anchor="t">
                      <a:spAutoFit/>
                    </wps:bodyPr>
                  </wps:wsp>
                </a:graphicData>
              </a:graphic>
            </wp:anchor>
          </w:drawing>
        </mc:Choice>
        <mc:Fallback>
          <w:pict>
            <v:shape id="文本框 18" o:spid="_x0000_s1026" o:spt="202" type="#_x0000_t202" style="position:absolute;left:0pt;margin-top:0pt;height:11.05pt;width:9.75pt;mso-position-horizontal:center;mso-position-horizontal-relative:margin;mso-wrap-style:none;z-index:251660288;mso-width-relative:page;mso-height-relative:page;" filled="f" stroked="f" coordsize="21600,21600" o:gfxdata="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A6YftEAAAADAQAADwAAAAAAAAABACAAAAAiAAAAZHJzL2Rvd25yZXYueG1s&#10;UEsBAhQAFAAAAAgAh07iQEkzoSbGAQAAbAMAAA4AAAAAAAAAAQAgAAAAIAEAAGRycy9lMm9Eb2Mu&#10;eG1sUEsFBgAAAAAGAAYAWQEAAFgFA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spacing w:before="120" w:after="12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23825" cy="140335"/>
              <wp:effectExtent l="0" t="0" r="0" b="0"/>
              <wp:wrapNone/>
              <wp:docPr id="8" name="文本框 19"/>
              <wp:cNvGraphicFramePr/>
              <a:graphic xmlns:a="http://schemas.openxmlformats.org/drawingml/2006/main">
                <a:graphicData uri="http://schemas.microsoft.com/office/word/2010/wordprocessingShape">
                  <wps:wsp>
                    <wps:cNvSpPr txBox="1"/>
                    <wps:spPr>
                      <a:xfrm>
                        <a:off x="0" y="0"/>
                        <a:ext cx="123825" cy="140335"/>
                      </a:xfrm>
                      <a:prstGeom prst="rect">
                        <a:avLst/>
                      </a:prstGeom>
                      <a:noFill/>
                      <a:ln w="9525">
                        <a:noFill/>
                      </a:ln>
                      <a:effectLst/>
                    </wps:spPr>
                    <wps:txbx>
                      <w:txbxContent>
                        <w:p>
                          <w:pPr>
                            <w:pStyle w:val="28"/>
                          </w:pPr>
                          <w:r>
                            <w:fldChar w:fldCharType="begin"/>
                          </w:r>
                          <w:r>
                            <w:instrText xml:space="preserve"> PAGE  \* MERGEFORMAT </w:instrText>
                          </w:r>
                          <w:r>
                            <w:fldChar w:fldCharType="separate"/>
                          </w:r>
                          <w:r>
                            <w:t>38</w:t>
                          </w:r>
                          <w:r>
                            <w:fldChar w:fldCharType="end"/>
                          </w:r>
                        </w:p>
                      </w:txbxContent>
                    </wps:txbx>
                    <wps:bodyPr vert="horz" wrap="none" lIns="0" tIns="0" rIns="0" bIns="0" anchor="t">
                      <a:spAutoFit/>
                    </wps:bodyPr>
                  </wps:wsp>
                </a:graphicData>
              </a:graphic>
            </wp:anchor>
          </w:drawing>
        </mc:Choice>
        <mc:Fallback>
          <w:pict>
            <v:shape id="文本框 19" o:spid="_x0000_s1026" o:spt="202" type="#_x0000_t202" style="position:absolute;left:0pt;margin-top:0pt;height:11.05pt;width:9.75pt;mso-position-horizontal:center;mso-position-horizontal-relative:margin;mso-wrap-style:none;z-index:251661312;mso-width-relative:page;mso-height-relative:page;" filled="f" stroked="f" coordsize="21600,21600" o:gfxdata="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QOmH7RAAAAAwEAAA8AAAAAAAAAAQAgAAAAIgAAAGRycy9kb3ducmV2Lnht&#10;bFBLAQIUABQAAAAIAIdO4kAawUxcxwEAAGwDAAAOAAAAAAAAAAEAIAAAACABAABkcnMvZTJvRG9j&#10;LnhtbFBLBQYAAAAABgAGAFkBAABZ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0ED1F8"/>
    <w:multiLevelType w:val="singleLevel"/>
    <w:tmpl w:val="870ED1F8"/>
    <w:lvl w:ilvl="0" w:tentative="0">
      <w:start w:val="3"/>
      <w:numFmt w:val="chineseCounting"/>
      <w:suff w:val="nothing"/>
      <w:lvlText w:val="第%1章、"/>
      <w:lvlJc w:val="left"/>
      <w:rPr>
        <w:rFonts w:hint="eastAsia"/>
      </w:rPr>
    </w:lvl>
  </w:abstractNum>
  <w:abstractNum w:abstractNumId="1">
    <w:nsid w:val="2B092D39"/>
    <w:multiLevelType w:val="multilevel"/>
    <w:tmpl w:val="2B092D39"/>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661C7FDE"/>
    <w:multiLevelType w:val="multilevel"/>
    <w:tmpl w:val="661C7FDE"/>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71D81328"/>
    <w:multiLevelType w:val="singleLevel"/>
    <w:tmpl w:val="71D81328"/>
    <w:lvl w:ilvl="0" w:tentative="0">
      <w:start w:val="13"/>
      <w:numFmt w:val="decimal"/>
      <w:suff w:val="nothing"/>
      <w:lvlText w:val="%1、"/>
      <w:lvlJc w:val="left"/>
    </w:lvl>
  </w:abstractNum>
  <w:num w:numId="1">
    <w:abstractNumId w:val="0"/>
  </w:num>
  <w:num w:numId="2">
    <w:abstractNumId w:val="2"/>
    <w:lvlOverride w:ilvl="0">
      <w:startOverride w:val="2"/>
    </w:lvlOverride>
  </w:num>
  <w:num w:numId="3">
    <w:abstractNumId w:val="1"/>
    <w:lvlOverride w:ilvl="0">
      <w:startOverride w:val="2"/>
    </w:lvlOverride>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bany">
    <w15:presenceInfo w15:providerId="None" w15:userId="xba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63D"/>
    <w:rsid w:val="000000D2"/>
    <w:rsid w:val="00000719"/>
    <w:rsid w:val="000008F3"/>
    <w:rsid w:val="00002467"/>
    <w:rsid w:val="0000341F"/>
    <w:rsid w:val="000036BE"/>
    <w:rsid w:val="00003E5F"/>
    <w:rsid w:val="00003FA1"/>
    <w:rsid w:val="000041A5"/>
    <w:rsid w:val="00005D46"/>
    <w:rsid w:val="00006B33"/>
    <w:rsid w:val="0000776E"/>
    <w:rsid w:val="000101A1"/>
    <w:rsid w:val="00011AAB"/>
    <w:rsid w:val="00011F49"/>
    <w:rsid w:val="00017220"/>
    <w:rsid w:val="000222A0"/>
    <w:rsid w:val="000233FC"/>
    <w:rsid w:val="0002422F"/>
    <w:rsid w:val="00026A8B"/>
    <w:rsid w:val="00030E87"/>
    <w:rsid w:val="00031C1B"/>
    <w:rsid w:val="00032977"/>
    <w:rsid w:val="0003353C"/>
    <w:rsid w:val="000336B5"/>
    <w:rsid w:val="00033BA9"/>
    <w:rsid w:val="00034898"/>
    <w:rsid w:val="00034915"/>
    <w:rsid w:val="0003549A"/>
    <w:rsid w:val="0003697E"/>
    <w:rsid w:val="00036EC3"/>
    <w:rsid w:val="000370A2"/>
    <w:rsid w:val="0004264E"/>
    <w:rsid w:val="000428F4"/>
    <w:rsid w:val="00043CE1"/>
    <w:rsid w:val="0004456C"/>
    <w:rsid w:val="00044814"/>
    <w:rsid w:val="00045520"/>
    <w:rsid w:val="00045825"/>
    <w:rsid w:val="00045BA7"/>
    <w:rsid w:val="000460DE"/>
    <w:rsid w:val="00046DB2"/>
    <w:rsid w:val="00050D20"/>
    <w:rsid w:val="00051C40"/>
    <w:rsid w:val="0005259E"/>
    <w:rsid w:val="00052618"/>
    <w:rsid w:val="00052E3F"/>
    <w:rsid w:val="00053F32"/>
    <w:rsid w:val="00055072"/>
    <w:rsid w:val="000558D9"/>
    <w:rsid w:val="00055F1B"/>
    <w:rsid w:val="0005611E"/>
    <w:rsid w:val="000566A9"/>
    <w:rsid w:val="000578A9"/>
    <w:rsid w:val="00060635"/>
    <w:rsid w:val="00061652"/>
    <w:rsid w:val="00061663"/>
    <w:rsid w:val="00061CAC"/>
    <w:rsid w:val="00063964"/>
    <w:rsid w:val="000645A5"/>
    <w:rsid w:val="000652C8"/>
    <w:rsid w:val="00071092"/>
    <w:rsid w:val="0007174C"/>
    <w:rsid w:val="00072133"/>
    <w:rsid w:val="000733EC"/>
    <w:rsid w:val="0007372A"/>
    <w:rsid w:val="000755C6"/>
    <w:rsid w:val="00075C28"/>
    <w:rsid w:val="00075DBD"/>
    <w:rsid w:val="00076DA5"/>
    <w:rsid w:val="00080096"/>
    <w:rsid w:val="00081CCA"/>
    <w:rsid w:val="000826A7"/>
    <w:rsid w:val="0008280D"/>
    <w:rsid w:val="00083BEB"/>
    <w:rsid w:val="00084ADC"/>
    <w:rsid w:val="00084B64"/>
    <w:rsid w:val="000868AE"/>
    <w:rsid w:val="000873C7"/>
    <w:rsid w:val="0009024E"/>
    <w:rsid w:val="00090931"/>
    <w:rsid w:val="000913BF"/>
    <w:rsid w:val="00092728"/>
    <w:rsid w:val="000937A9"/>
    <w:rsid w:val="00093E27"/>
    <w:rsid w:val="0009478D"/>
    <w:rsid w:val="00094F28"/>
    <w:rsid w:val="0009626A"/>
    <w:rsid w:val="0009690B"/>
    <w:rsid w:val="00097619"/>
    <w:rsid w:val="000A3F31"/>
    <w:rsid w:val="000A5CA1"/>
    <w:rsid w:val="000B025D"/>
    <w:rsid w:val="000B05E0"/>
    <w:rsid w:val="000B2991"/>
    <w:rsid w:val="000B46EE"/>
    <w:rsid w:val="000B77E7"/>
    <w:rsid w:val="000C07AD"/>
    <w:rsid w:val="000C11F0"/>
    <w:rsid w:val="000C3151"/>
    <w:rsid w:val="000C57DC"/>
    <w:rsid w:val="000C5D4D"/>
    <w:rsid w:val="000C6480"/>
    <w:rsid w:val="000C779D"/>
    <w:rsid w:val="000D0174"/>
    <w:rsid w:val="000D0890"/>
    <w:rsid w:val="000D127E"/>
    <w:rsid w:val="000D2331"/>
    <w:rsid w:val="000D42EA"/>
    <w:rsid w:val="000D4565"/>
    <w:rsid w:val="000D4602"/>
    <w:rsid w:val="000E3ADD"/>
    <w:rsid w:val="000E6FE2"/>
    <w:rsid w:val="000F0C62"/>
    <w:rsid w:val="000F49D6"/>
    <w:rsid w:val="000F5D12"/>
    <w:rsid w:val="0010376C"/>
    <w:rsid w:val="0010534F"/>
    <w:rsid w:val="00107633"/>
    <w:rsid w:val="00110B31"/>
    <w:rsid w:val="0011386D"/>
    <w:rsid w:val="00115271"/>
    <w:rsid w:val="001177FB"/>
    <w:rsid w:val="00117EF6"/>
    <w:rsid w:val="00121DDF"/>
    <w:rsid w:val="001236B3"/>
    <w:rsid w:val="00123F99"/>
    <w:rsid w:val="0012631C"/>
    <w:rsid w:val="00130E8A"/>
    <w:rsid w:val="00131EDB"/>
    <w:rsid w:val="001330C6"/>
    <w:rsid w:val="00133DAD"/>
    <w:rsid w:val="00134120"/>
    <w:rsid w:val="001355FD"/>
    <w:rsid w:val="00136114"/>
    <w:rsid w:val="0014048A"/>
    <w:rsid w:val="00140771"/>
    <w:rsid w:val="001409FD"/>
    <w:rsid w:val="00140D20"/>
    <w:rsid w:val="00143682"/>
    <w:rsid w:val="00143714"/>
    <w:rsid w:val="00144A1F"/>
    <w:rsid w:val="00150460"/>
    <w:rsid w:val="00150F01"/>
    <w:rsid w:val="00152364"/>
    <w:rsid w:val="00153538"/>
    <w:rsid w:val="00153604"/>
    <w:rsid w:val="001548C7"/>
    <w:rsid w:val="0015671F"/>
    <w:rsid w:val="001570AE"/>
    <w:rsid w:val="00157CD1"/>
    <w:rsid w:val="001608BB"/>
    <w:rsid w:val="00162FD6"/>
    <w:rsid w:val="00163C56"/>
    <w:rsid w:val="0016440A"/>
    <w:rsid w:val="00164BBE"/>
    <w:rsid w:val="00165710"/>
    <w:rsid w:val="00166E03"/>
    <w:rsid w:val="001674B5"/>
    <w:rsid w:val="001678B5"/>
    <w:rsid w:val="00167BFF"/>
    <w:rsid w:val="001703BD"/>
    <w:rsid w:val="001703C3"/>
    <w:rsid w:val="001711E0"/>
    <w:rsid w:val="00171A21"/>
    <w:rsid w:val="001738E6"/>
    <w:rsid w:val="001766C5"/>
    <w:rsid w:val="00177D09"/>
    <w:rsid w:val="001804A5"/>
    <w:rsid w:val="00181A83"/>
    <w:rsid w:val="00181CEA"/>
    <w:rsid w:val="001833FE"/>
    <w:rsid w:val="00184B7C"/>
    <w:rsid w:val="00187130"/>
    <w:rsid w:val="0019161B"/>
    <w:rsid w:val="001916B5"/>
    <w:rsid w:val="001921F3"/>
    <w:rsid w:val="00192C4E"/>
    <w:rsid w:val="001937A0"/>
    <w:rsid w:val="00195144"/>
    <w:rsid w:val="00196A43"/>
    <w:rsid w:val="001A11DD"/>
    <w:rsid w:val="001A129A"/>
    <w:rsid w:val="001A1C07"/>
    <w:rsid w:val="001A22F1"/>
    <w:rsid w:val="001A2549"/>
    <w:rsid w:val="001A2A10"/>
    <w:rsid w:val="001A2C85"/>
    <w:rsid w:val="001A34F5"/>
    <w:rsid w:val="001A5B8D"/>
    <w:rsid w:val="001A6477"/>
    <w:rsid w:val="001A7AFE"/>
    <w:rsid w:val="001B18AF"/>
    <w:rsid w:val="001B2BC7"/>
    <w:rsid w:val="001B2F14"/>
    <w:rsid w:val="001B7F00"/>
    <w:rsid w:val="001C00F3"/>
    <w:rsid w:val="001C0377"/>
    <w:rsid w:val="001C3CF2"/>
    <w:rsid w:val="001C4DDA"/>
    <w:rsid w:val="001C6B55"/>
    <w:rsid w:val="001D147C"/>
    <w:rsid w:val="001D1BB1"/>
    <w:rsid w:val="001D2D3E"/>
    <w:rsid w:val="001D37F7"/>
    <w:rsid w:val="001D4419"/>
    <w:rsid w:val="001D5850"/>
    <w:rsid w:val="001D6827"/>
    <w:rsid w:val="001E1BDA"/>
    <w:rsid w:val="001E43A5"/>
    <w:rsid w:val="001E52C7"/>
    <w:rsid w:val="001E5407"/>
    <w:rsid w:val="001F0E35"/>
    <w:rsid w:val="001F2A45"/>
    <w:rsid w:val="001F5D90"/>
    <w:rsid w:val="001F6773"/>
    <w:rsid w:val="002029A5"/>
    <w:rsid w:val="0020317C"/>
    <w:rsid w:val="00205A1E"/>
    <w:rsid w:val="002061F5"/>
    <w:rsid w:val="00206839"/>
    <w:rsid w:val="002127DF"/>
    <w:rsid w:val="00212F2E"/>
    <w:rsid w:val="00213157"/>
    <w:rsid w:val="002137AD"/>
    <w:rsid w:val="002138E0"/>
    <w:rsid w:val="002169CB"/>
    <w:rsid w:val="002177E0"/>
    <w:rsid w:val="002201FB"/>
    <w:rsid w:val="00221080"/>
    <w:rsid w:val="002225FD"/>
    <w:rsid w:val="00225D54"/>
    <w:rsid w:val="00225D57"/>
    <w:rsid w:val="002306CE"/>
    <w:rsid w:val="00230D0A"/>
    <w:rsid w:val="002330A1"/>
    <w:rsid w:val="00233BA5"/>
    <w:rsid w:val="0023703F"/>
    <w:rsid w:val="002371BA"/>
    <w:rsid w:val="0024043E"/>
    <w:rsid w:val="002410D1"/>
    <w:rsid w:val="0024221F"/>
    <w:rsid w:val="002429E5"/>
    <w:rsid w:val="002437E3"/>
    <w:rsid w:val="002444DC"/>
    <w:rsid w:val="00246940"/>
    <w:rsid w:val="00247E75"/>
    <w:rsid w:val="00251BFA"/>
    <w:rsid w:val="00252A44"/>
    <w:rsid w:val="00252D64"/>
    <w:rsid w:val="00253E9E"/>
    <w:rsid w:val="0025550A"/>
    <w:rsid w:val="00256200"/>
    <w:rsid w:val="002563B6"/>
    <w:rsid w:val="002608CA"/>
    <w:rsid w:val="00260BED"/>
    <w:rsid w:val="00261F15"/>
    <w:rsid w:val="0026338A"/>
    <w:rsid w:val="00264A6A"/>
    <w:rsid w:val="00266CBA"/>
    <w:rsid w:val="00267BD3"/>
    <w:rsid w:val="002713CD"/>
    <w:rsid w:val="002726E4"/>
    <w:rsid w:val="002741CC"/>
    <w:rsid w:val="0027702D"/>
    <w:rsid w:val="00280064"/>
    <w:rsid w:val="00280347"/>
    <w:rsid w:val="002811D5"/>
    <w:rsid w:val="00283E65"/>
    <w:rsid w:val="002843DE"/>
    <w:rsid w:val="00285CD0"/>
    <w:rsid w:val="00287811"/>
    <w:rsid w:val="00287B12"/>
    <w:rsid w:val="00291370"/>
    <w:rsid w:val="00291F91"/>
    <w:rsid w:val="002927FD"/>
    <w:rsid w:val="00293F83"/>
    <w:rsid w:val="00295210"/>
    <w:rsid w:val="002955D9"/>
    <w:rsid w:val="00297BAF"/>
    <w:rsid w:val="00297C81"/>
    <w:rsid w:val="002A0121"/>
    <w:rsid w:val="002A064F"/>
    <w:rsid w:val="002A0BF6"/>
    <w:rsid w:val="002A1CB2"/>
    <w:rsid w:val="002A2FC2"/>
    <w:rsid w:val="002A3BD9"/>
    <w:rsid w:val="002B0BAA"/>
    <w:rsid w:val="002B27D4"/>
    <w:rsid w:val="002B4799"/>
    <w:rsid w:val="002B49CF"/>
    <w:rsid w:val="002B6104"/>
    <w:rsid w:val="002C1BFD"/>
    <w:rsid w:val="002C1FAD"/>
    <w:rsid w:val="002C215B"/>
    <w:rsid w:val="002C2C67"/>
    <w:rsid w:val="002C3613"/>
    <w:rsid w:val="002C37FE"/>
    <w:rsid w:val="002C4562"/>
    <w:rsid w:val="002C49ED"/>
    <w:rsid w:val="002C7904"/>
    <w:rsid w:val="002D0789"/>
    <w:rsid w:val="002D0D2B"/>
    <w:rsid w:val="002D3906"/>
    <w:rsid w:val="002D57D7"/>
    <w:rsid w:val="002D7872"/>
    <w:rsid w:val="002D7F12"/>
    <w:rsid w:val="002E1922"/>
    <w:rsid w:val="002E20F1"/>
    <w:rsid w:val="002E29BB"/>
    <w:rsid w:val="002E4567"/>
    <w:rsid w:val="002E4638"/>
    <w:rsid w:val="002E7F42"/>
    <w:rsid w:val="002F2A86"/>
    <w:rsid w:val="002F4270"/>
    <w:rsid w:val="00301DBB"/>
    <w:rsid w:val="003036E5"/>
    <w:rsid w:val="00304E9E"/>
    <w:rsid w:val="00307269"/>
    <w:rsid w:val="00311EC1"/>
    <w:rsid w:val="003126B9"/>
    <w:rsid w:val="00313704"/>
    <w:rsid w:val="00313F41"/>
    <w:rsid w:val="0031475C"/>
    <w:rsid w:val="003160DE"/>
    <w:rsid w:val="0031661A"/>
    <w:rsid w:val="00316B76"/>
    <w:rsid w:val="00316EEA"/>
    <w:rsid w:val="00317C80"/>
    <w:rsid w:val="003206C0"/>
    <w:rsid w:val="003258CD"/>
    <w:rsid w:val="00326F5C"/>
    <w:rsid w:val="0033097E"/>
    <w:rsid w:val="00330A82"/>
    <w:rsid w:val="00332DF9"/>
    <w:rsid w:val="00334B55"/>
    <w:rsid w:val="00336F48"/>
    <w:rsid w:val="0034064E"/>
    <w:rsid w:val="00342475"/>
    <w:rsid w:val="003426B9"/>
    <w:rsid w:val="00343005"/>
    <w:rsid w:val="0034421F"/>
    <w:rsid w:val="00344DA0"/>
    <w:rsid w:val="00344EB5"/>
    <w:rsid w:val="003452C7"/>
    <w:rsid w:val="003459F6"/>
    <w:rsid w:val="00345AED"/>
    <w:rsid w:val="00345F70"/>
    <w:rsid w:val="003463E7"/>
    <w:rsid w:val="0034644B"/>
    <w:rsid w:val="00346BF4"/>
    <w:rsid w:val="003472BD"/>
    <w:rsid w:val="003479F1"/>
    <w:rsid w:val="003507F2"/>
    <w:rsid w:val="00351029"/>
    <w:rsid w:val="00351206"/>
    <w:rsid w:val="003513F7"/>
    <w:rsid w:val="003516E5"/>
    <w:rsid w:val="00353062"/>
    <w:rsid w:val="0035315F"/>
    <w:rsid w:val="00356479"/>
    <w:rsid w:val="003602CE"/>
    <w:rsid w:val="00360E94"/>
    <w:rsid w:val="00364D25"/>
    <w:rsid w:val="00365C3D"/>
    <w:rsid w:val="00370F2C"/>
    <w:rsid w:val="00371BA2"/>
    <w:rsid w:val="00373019"/>
    <w:rsid w:val="00373434"/>
    <w:rsid w:val="00373A50"/>
    <w:rsid w:val="00380537"/>
    <w:rsid w:val="003822E7"/>
    <w:rsid w:val="003834C2"/>
    <w:rsid w:val="00385D58"/>
    <w:rsid w:val="0038695B"/>
    <w:rsid w:val="003914F7"/>
    <w:rsid w:val="00391B64"/>
    <w:rsid w:val="00391C59"/>
    <w:rsid w:val="003920CF"/>
    <w:rsid w:val="0039273C"/>
    <w:rsid w:val="003937E6"/>
    <w:rsid w:val="00393E8F"/>
    <w:rsid w:val="00394FDA"/>
    <w:rsid w:val="003966AE"/>
    <w:rsid w:val="00397F99"/>
    <w:rsid w:val="003A537F"/>
    <w:rsid w:val="003B3BF8"/>
    <w:rsid w:val="003B42E0"/>
    <w:rsid w:val="003B4852"/>
    <w:rsid w:val="003B74B9"/>
    <w:rsid w:val="003C1DAA"/>
    <w:rsid w:val="003C6BDA"/>
    <w:rsid w:val="003D3BEB"/>
    <w:rsid w:val="003D54BC"/>
    <w:rsid w:val="003D5E1A"/>
    <w:rsid w:val="003D7625"/>
    <w:rsid w:val="003E05B7"/>
    <w:rsid w:val="003E064F"/>
    <w:rsid w:val="003E1371"/>
    <w:rsid w:val="003E3E2F"/>
    <w:rsid w:val="003E4A0E"/>
    <w:rsid w:val="003E4C22"/>
    <w:rsid w:val="003E5101"/>
    <w:rsid w:val="003E5E80"/>
    <w:rsid w:val="003E6987"/>
    <w:rsid w:val="003F1349"/>
    <w:rsid w:val="003F179F"/>
    <w:rsid w:val="003F1C40"/>
    <w:rsid w:val="003F2D6C"/>
    <w:rsid w:val="003F313A"/>
    <w:rsid w:val="003F3F2A"/>
    <w:rsid w:val="003F4DDE"/>
    <w:rsid w:val="003F70A1"/>
    <w:rsid w:val="003F7424"/>
    <w:rsid w:val="003F7664"/>
    <w:rsid w:val="003F7F0D"/>
    <w:rsid w:val="00401DC8"/>
    <w:rsid w:val="00402B87"/>
    <w:rsid w:val="004032E3"/>
    <w:rsid w:val="00403D4A"/>
    <w:rsid w:val="004106A9"/>
    <w:rsid w:val="00412D97"/>
    <w:rsid w:val="00413A6A"/>
    <w:rsid w:val="00414B47"/>
    <w:rsid w:val="004155AD"/>
    <w:rsid w:val="00417908"/>
    <w:rsid w:val="004200AA"/>
    <w:rsid w:val="00421090"/>
    <w:rsid w:val="0042121F"/>
    <w:rsid w:val="004224F4"/>
    <w:rsid w:val="00422557"/>
    <w:rsid w:val="00423C24"/>
    <w:rsid w:val="00424A42"/>
    <w:rsid w:val="00424F6F"/>
    <w:rsid w:val="00425124"/>
    <w:rsid w:val="004266E8"/>
    <w:rsid w:val="00432F72"/>
    <w:rsid w:val="004332EB"/>
    <w:rsid w:val="004425D0"/>
    <w:rsid w:val="0044299C"/>
    <w:rsid w:val="00442C10"/>
    <w:rsid w:val="0044356B"/>
    <w:rsid w:val="00444839"/>
    <w:rsid w:val="0045168D"/>
    <w:rsid w:val="00452D71"/>
    <w:rsid w:val="00452E99"/>
    <w:rsid w:val="00455EF1"/>
    <w:rsid w:val="0045629B"/>
    <w:rsid w:val="00456A62"/>
    <w:rsid w:val="004604CE"/>
    <w:rsid w:val="00461A94"/>
    <w:rsid w:val="004622DA"/>
    <w:rsid w:val="004632C6"/>
    <w:rsid w:val="004635B7"/>
    <w:rsid w:val="00465955"/>
    <w:rsid w:val="004716E1"/>
    <w:rsid w:val="00474042"/>
    <w:rsid w:val="004745B3"/>
    <w:rsid w:val="00474DE4"/>
    <w:rsid w:val="004758B6"/>
    <w:rsid w:val="004758FF"/>
    <w:rsid w:val="0047604C"/>
    <w:rsid w:val="00477C44"/>
    <w:rsid w:val="004843E4"/>
    <w:rsid w:val="00484FD7"/>
    <w:rsid w:val="00485525"/>
    <w:rsid w:val="004906CE"/>
    <w:rsid w:val="004925F2"/>
    <w:rsid w:val="00492B21"/>
    <w:rsid w:val="004939EE"/>
    <w:rsid w:val="004944D6"/>
    <w:rsid w:val="004966A1"/>
    <w:rsid w:val="004966C1"/>
    <w:rsid w:val="00496CD3"/>
    <w:rsid w:val="004979E5"/>
    <w:rsid w:val="00497D59"/>
    <w:rsid w:val="004A4126"/>
    <w:rsid w:val="004A4871"/>
    <w:rsid w:val="004A5C3D"/>
    <w:rsid w:val="004A5C74"/>
    <w:rsid w:val="004A68E4"/>
    <w:rsid w:val="004A7890"/>
    <w:rsid w:val="004B0756"/>
    <w:rsid w:val="004B1012"/>
    <w:rsid w:val="004B12A9"/>
    <w:rsid w:val="004B1EA9"/>
    <w:rsid w:val="004B21E3"/>
    <w:rsid w:val="004B76F2"/>
    <w:rsid w:val="004B7725"/>
    <w:rsid w:val="004C09E7"/>
    <w:rsid w:val="004C1392"/>
    <w:rsid w:val="004C5094"/>
    <w:rsid w:val="004D364A"/>
    <w:rsid w:val="004D410C"/>
    <w:rsid w:val="004D6B76"/>
    <w:rsid w:val="004E0CF9"/>
    <w:rsid w:val="004E141F"/>
    <w:rsid w:val="004E14CE"/>
    <w:rsid w:val="004E2435"/>
    <w:rsid w:val="004E2D7F"/>
    <w:rsid w:val="004E32B7"/>
    <w:rsid w:val="004E4609"/>
    <w:rsid w:val="004E664A"/>
    <w:rsid w:val="004F038B"/>
    <w:rsid w:val="004F1A85"/>
    <w:rsid w:val="004F2431"/>
    <w:rsid w:val="004F3C4E"/>
    <w:rsid w:val="004F54B4"/>
    <w:rsid w:val="004F6A5B"/>
    <w:rsid w:val="004F6CF8"/>
    <w:rsid w:val="005021F8"/>
    <w:rsid w:val="00503238"/>
    <w:rsid w:val="00503757"/>
    <w:rsid w:val="00504872"/>
    <w:rsid w:val="00504D24"/>
    <w:rsid w:val="00506794"/>
    <w:rsid w:val="00507469"/>
    <w:rsid w:val="00511109"/>
    <w:rsid w:val="00512151"/>
    <w:rsid w:val="005121AF"/>
    <w:rsid w:val="005171B6"/>
    <w:rsid w:val="0052568A"/>
    <w:rsid w:val="00525837"/>
    <w:rsid w:val="00525B00"/>
    <w:rsid w:val="00525F9C"/>
    <w:rsid w:val="005327DA"/>
    <w:rsid w:val="0053281C"/>
    <w:rsid w:val="0053789F"/>
    <w:rsid w:val="00542936"/>
    <w:rsid w:val="00542B57"/>
    <w:rsid w:val="005438DF"/>
    <w:rsid w:val="00547666"/>
    <w:rsid w:val="00550891"/>
    <w:rsid w:val="00554D50"/>
    <w:rsid w:val="00556546"/>
    <w:rsid w:val="005601A1"/>
    <w:rsid w:val="00561D96"/>
    <w:rsid w:val="00563C4E"/>
    <w:rsid w:val="00564B46"/>
    <w:rsid w:val="00567ECF"/>
    <w:rsid w:val="0057042F"/>
    <w:rsid w:val="0057057F"/>
    <w:rsid w:val="00572090"/>
    <w:rsid w:val="005754E0"/>
    <w:rsid w:val="00577F8D"/>
    <w:rsid w:val="00580925"/>
    <w:rsid w:val="005902EC"/>
    <w:rsid w:val="00590CFA"/>
    <w:rsid w:val="005917F3"/>
    <w:rsid w:val="0059221C"/>
    <w:rsid w:val="00592D44"/>
    <w:rsid w:val="00596BB2"/>
    <w:rsid w:val="00596EB8"/>
    <w:rsid w:val="005A075F"/>
    <w:rsid w:val="005A1575"/>
    <w:rsid w:val="005A3CE3"/>
    <w:rsid w:val="005A5F8C"/>
    <w:rsid w:val="005A6695"/>
    <w:rsid w:val="005A6C6D"/>
    <w:rsid w:val="005A6E51"/>
    <w:rsid w:val="005A7E35"/>
    <w:rsid w:val="005B05C9"/>
    <w:rsid w:val="005B30C6"/>
    <w:rsid w:val="005B3E43"/>
    <w:rsid w:val="005B7DC5"/>
    <w:rsid w:val="005C0F5C"/>
    <w:rsid w:val="005C24AC"/>
    <w:rsid w:val="005C3351"/>
    <w:rsid w:val="005C423E"/>
    <w:rsid w:val="005C4931"/>
    <w:rsid w:val="005C6266"/>
    <w:rsid w:val="005C6483"/>
    <w:rsid w:val="005C66C9"/>
    <w:rsid w:val="005C67E9"/>
    <w:rsid w:val="005C7CD8"/>
    <w:rsid w:val="005D2665"/>
    <w:rsid w:val="005D290C"/>
    <w:rsid w:val="005D4A11"/>
    <w:rsid w:val="005D779A"/>
    <w:rsid w:val="005E144A"/>
    <w:rsid w:val="005E1D66"/>
    <w:rsid w:val="005E3D2A"/>
    <w:rsid w:val="005E3E73"/>
    <w:rsid w:val="005E4118"/>
    <w:rsid w:val="005E5907"/>
    <w:rsid w:val="005E644A"/>
    <w:rsid w:val="005F07FC"/>
    <w:rsid w:val="005F1725"/>
    <w:rsid w:val="005F1C0D"/>
    <w:rsid w:val="005F3032"/>
    <w:rsid w:val="005F427B"/>
    <w:rsid w:val="005F4D04"/>
    <w:rsid w:val="005F7D43"/>
    <w:rsid w:val="0060028B"/>
    <w:rsid w:val="00603E6D"/>
    <w:rsid w:val="00604383"/>
    <w:rsid w:val="00604E58"/>
    <w:rsid w:val="006101BB"/>
    <w:rsid w:val="006112F4"/>
    <w:rsid w:val="00611C2B"/>
    <w:rsid w:val="00612B6A"/>
    <w:rsid w:val="00613C14"/>
    <w:rsid w:val="00616DBC"/>
    <w:rsid w:val="006174B3"/>
    <w:rsid w:val="00620AA1"/>
    <w:rsid w:val="00624062"/>
    <w:rsid w:val="006250E6"/>
    <w:rsid w:val="00631F34"/>
    <w:rsid w:val="00631FF5"/>
    <w:rsid w:val="00632207"/>
    <w:rsid w:val="006350B9"/>
    <w:rsid w:val="00635741"/>
    <w:rsid w:val="00635E72"/>
    <w:rsid w:val="00636C65"/>
    <w:rsid w:val="006427C8"/>
    <w:rsid w:val="0064305B"/>
    <w:rsid w:val="006435F6"/>
    <w:rsid w:val="00643E07"/>
    <w:rsid w:val="0064765B"/>
    <w:rsid w:val="006507CF"/>
    <w:rsid w:val="00650C4D"/>
    <w:rsid w:val="00651EBF"/>
    <w:rsid w:val="00652C05"/>
    <w:rsid w:val="00653411"/>
    <w:rsid w:val="00656305"/>
    <w:rsid w:val="006571EC"/>
    <w:rsid w:val="00662EA2"/>
    <w:rsid w:val="006642D2"/>
    <w:rsid w:val="006646A5"/>
    <w:rsid w:val="0066543A"/>
    <w:rsid w:val="00670E01"/>
    <w:rsid w:val="00676544"/>
    <w:rsid w:val="006766BD"/>
    <w:rsid w:val="00677A85"/>
    <w:rsid w:val="00680702"/>
    <w:rsid w:val="00680CEA"/>
    <w:rsid w:val="00682937"/>
    <w:rsid w:val="00683417"/>
    <w:rsid w:val="00684B36"/>
    <w:rsid w:val="00685C58"/>
    <w:rsid w:val="0068681A"/>
    <w:rsid w:val="00686ABD"/>
    <w:rsid w:val="00687B28"/>
    <w:rsid w:val="0069035C"/>
    <w:rsid w:val="006903C9"/>
    <w:rsid w:val="00691AA6"/>
    <w:rsid w:val="006956A3"/>
    <w:rsid w:val="006A136F"/>
    <w:rsid w:val="006A48D3"/>
    <w:rsid w:val="006A4B62"/>
    <w:rsid w:val="006A4CE9"/>
    <w:rsid w:val="006B0279"/>
    <w:rsid w:val="006B0B2F"/>
    <w:rsid w:val="006B2814"/>
    <w:rsid w:val="006B436A"/>
    <w:rsid w:val="006B4A49"/>
    <w:rsid w:val="006B5550"/>
    <w:rsid w:val="006B669C"/>
    <w:rsid w:val="006B7207"/>
    <w:rsid w:val="006C0138"/>
    <w:rsid w:val="006C0BCB"/>
    <w:rsid w:val="006C0F1E"/>
    <w:rsid w:val="006C286B"/>
    <w:rsid w:val="006C2C0B"/>
    <w:rsid w:val="006C303C"/>
    <w:rsid w:val="006C43DB"/>
    <w:rsid w:val="006C462D"/>
    <w:rsid w:val="006C4C2F"/>
    <w:rsid w:val="006C68A4"/>
    <w:rsid w:val="006C734B"/>
    <w:rsid w:val="006D06DE"/>
    <w:rsid w:val="006D08D6"/>
    <w:rsid w:val="006D1DA0"/>
    <w:rsid w:val="006D5B86"/>
    <w:rsid w:val="006D6910"/>
    <w:rsid w:val="006E1CDB"/>
    <w:rsid w:val="006E2BE2"/>
    <w:rsid w:val="006E4830"/>
    <w:rsid w:val="006E6D96"/>
    <w:rsid w:val="006E760D"/>
    <w:rsid w:val="006E7A96"/>
    <w:rsid w:val="006F0331"/>
    <w:rsid w:val="006F2F5C"/>
    <w:rsid w:val="006F3264"/>
    <w:rsid w:val="006F5744"/>
    <w:rsid w:val="006F5F18"/>
    <w:rsid w:val="006F6E8E"/>
    <w:rsid w:val="006F782F"/>
    <w:rsid w:val="006F7D87"/>
    <w:rsid w:val="007020AB"/>
    <w:rsid w:val="0070517F"/>
    <w:rsid w:val="00705430"/>
    <w:rsid w:val="007064ED"/>
    <w:rsid w:val="00707296"/>
    <w:rsid w:val="00710915"/>
    <w:rsid w:val="00711434"/>
    <w:rsid w:val="007123B9"/>
    <w:rsid w:val="00712C91"/>
    <w:rsid w:val="00713805"/>
    <w:rsid w:val="00713A2F"/>
    <w:rsid w:val="00714682"/>
    <w:rsid w:val="007158A7"/>
    <w:rsid w:val="00717141"/>
    <w:rsid w:val="00717835"/>
    <w:rsid w:val="007204B5"/>
    <w:rsid w:val="00720608"/>
    <w:rsid w:val="00723D0A"/>
    <w:rsid w:val="007247CA"/>
    <w:rsid w:val="00724862"/>
    <w:rsid w:val="00725369"/>
    <w:rsid w:val="007268D4"/>
    <w:rsid w:val="00726BF2"/>
    <w:rsid w:val="00732FC7"/>
    <w:rsid w:val="00735E1F"/>
    <w:rsid w:val="00737672"/>
    <w:rsid w:val="00737D3C"/>
    <w:rsid w:val="0074080B"/>
    <w:rsid w:val="00740D9A"/>
    <w:rsid w:val="00742FA4"/>
    <w:rsid w:val="00743475"/>
    <w:rsid w:val="00743C68"/>
    <w:rsid w:val="00743CC0"/>
    <w:rsid w:val="00744690"/>
    <w:rsid w:val="0074779F"/>
    <w:rsid w:val="00750C42"/>
    <w:rsid w:val="00752689"/>
    <w:rsid w:val="0075369E"/>
    <w:rsid w:val="00755740"/>
    <w:rsid w:val="00762DC7"/>
    <w:rsid w:val="00764B2C"/>
    <w:rsid w:val="00765413"/>
    <w:rsid w:val="007659E4"/>
    <w:rsid w:val="00765D00"/>
    <w:rsid w:val="007662D4"/>
    <w:rsid w:val="00767013"/>
    <w:rsid w:val="0077120D"/>
    <w:rsid w:val="00771B07"/>
    <w:rsid w:val="0077685F"/>
    <w:rsid w:val="00782C4A"/>
    <w:rsid w:val="007836AF"/>
    <w:rsid w:val="007872D3"/>
    <w:rsid w:val="00790202"/>
    <w:rsid w:val="00791C21"/>
    <w:rsid w:val="0079205D"/>
    <w:rsid w:val="007921F4"/>
    <w:rsid w:val="0079428D"/>
    <w:rsid w:val="007943BC"/>
    <w:rsid w:val="00795669"/>
    <w:rsid w:val="00797E52"/>
    <w:rsid w:val="007A0B66"/>
    <w:rsid w:val="007A16CC"/>
    <w:rsid w:val="007A1831"/>
    <w:rsid w:val="007A1E13"/>
    <w:rsid w:val="007A27C6"/>
    <w:rsid w:val="007A2DC0"/>
    <w:rsid w:val="007A44DA"/>
    <w:rsid w:val="007A7B47"/>
    <w:rsid w:val="007B0F26"/>
    <w:rsid w:val="007B207E"/>
    <w:rsid w:val="007B2948"/>
    <w:rsid w:val="007B458A"/>
    <w:rsid w:val="007B6824"/>
    <w:rsid w:val="007B78A2"/>
    <w:rsid w:val="007C18E4"/>
    <w:rsid w:val="007C216A"/>
    <w:rsid w:val="007C2E12"/>
    <w:rsid w:val="007C4550"/>
    <w:rsid w:val="007C53C2"/>
    <w:rsid w:val="007C6793"/>
    <w:rsid w:val="007C6911"/>
    <w:rsid w:val="007C6C3B"/>
    <w:rsid w:val="007D0C8D"/>
    <w:rsid w:val="007D16A2"/>
    <w:rsid w:val="007D1ABF"/>
    <w:rsid w:val="007D2857"/>
    <w:rsid w:val="007D4E58"/>
    <w:rsid w:val="007D5B56"/>
    <w:rsid w:val="007D5F36"/>
    <w:rsid w:val="007D6F92"/>
    <w:rsid w:val="007E0ECE"/>
    <w:rsid w:val="007E2A2C"/>
    <w:rsid w:val="007E377B"/>
    <w:rsid w:val="007E4F15"/>
    <w:rsid w:val="007E5219"/>
    <w:rsid w:val="007E5870"/>
    <w:rsid w:val="007E7516"/>
    <w:rsid w:val="007E7544"/>
    <w:rsid w:val="007F367D"/>
    <w:rsid w:val="007F3F22"/>
    <w:rsid w:val="007F4759"/>
    <w:rsid w:val="007F5AAE"/>
    <w:rsid w:val="0080036D"/>
    <w:rsid w:val="00803618"/>
    <w:rsid w:val="00803AB6"/>
    <w:rsid w:val="00804AB4"/>
    <w:rsid w:val="00804B77"/>
    <w:rsid w:val="0080505F"/>
    <w:rsid w:val="00806659"/>
    <w:rsid w:val="00806D03"/>
    <w:rsid w:val="00807410"/>
    <w:rsid w:val="008079D9"/>
    <w:rsid w:val="008122B6"/>
    <w:rsid w:val="0082041A"/>
    <w:rsid w:val="0082125E"/>
    <w:rsid w:val="008218C0"/>
    <w:rsid w:val="00821F38"/>
    <w:rsid w:val="00823DC4"/>
    <w:rsid w:val="00823F4F"/>
    <w:rsid w:val="00824DAD"/>
    <w:rsid w:val="008266F8"/>
    <w:rsid w:val="00827440"/>
    <w:rsid w:val="00830BC1"/>
    <w:rsid w:val="0083288B"/>
    <w:rsid w:val="008341FD"/>
    <w:rsid w:val="0083559B"/>
    <w:rsid w:val="00840103"/>
    <w:rsid w:val="00840F1A"/>
    <w:rsid w:val="00843510"/>
    <w:rsid w:val="008450F2"/>
    <w:rsid w:val="008474E5"/>
    <w:rsid w:val="00850074"/>
    <w:rsid w:val="00852B10"/>
    <w:rsid w:val="008536C0"/>
    <w:rsid w:val="00853866"/>
    <w:rsid w:val="0085582F"/>
    <w:rsid w:val="00855DBF"/>
    <w:rsid w:val="0085613B"/>
    <w:rsid w:val="00856911"/>
    <w:rsid w:val="00857270"/>
    <w:rsid w:val="0085757B"/>
    <w:rsid w:val="008615CC"/>
    <w:rsid w:val="0086182E"/>
    <w:rsid w:val="008624DF"/>
    <w:rsid w:val="008628F0"/>
    <w:rsid w:val="00862AA8"/>
    <w:rsid w:val="00864E6A"/>
    <w:rsid w:val="00866492"/>
    <w:rsid w:val="00866BCF"/>
    <w:rsid w:val="0087039E"/>
    <w:rsid w:val="0087088A"/>
    <w:rsid w:val="00871F6E"/>
    <w:rsid w:val="00873344"/>
    <w:rsid w:val="008747BE"/>
    <w:rsid w:val="0087663D"/>
    <w:rsid w:val="00876B33"/>
    <w:rsid w:val="008778EF"/>
    <w:rsid w:val="00881B66"/>
    <w:rsid w:val="00883B05"/>
    <w:rsid w:val="008852DA"/>
    <w:rsid w:val="0088650E"/>
    <w:rsid w:val="00887BFF"/>
    <w:rsid w:val="00887FA7"/>
    <w:rsid w:val="00891E85"/>
    <w:rsid w:val="008952B6"/>
    <w:rsid w:val="00895CD0"/>
    <w:rsid w:val="00896B56"/>
    <w:rsid w:val="0089730C"/>
    <w:rsid w:val="008A4E43"/>
    <w:rsid w:val="008B00AE"/>
    <w:rsid w:val="008B061D"/>
    <w:rsid w:val="008B0648"/>
    <w:rsid w:val="008B4B1C"/>
    <w:rsid w:val="008B6BA2"/>
    <w:rsid w:val="008C117D"/>
    <w:rsid w:val="008C2661"/>
    <w:rsid w:val="008C335D"/>
    <w:rsid w:val="008C3FFF"/>
    <w:rsid w:val="008C505E"/>
    <w:rsid w:val="008D0D16"/>
    <w:rsid w:val="008D1E72"/>
    <w:rsid w:val="008D5525"/>
    <w:rsid w:val="008D5D98"/>
    <w:rsid w:val="008D7400"/>
    <w:rsid w:val="008E0493"/>
    <w:rsid w:val="008E0596"/>
    <w:rsid w:val="008E2BA1"/>
    <w:rsid w:val="008E3952"/>
    <w:rsid w:val="008E3BAB"/>
    <w:rsid w:val="008E41D9"/>
    <w:rsid w:val="008E6631"/>
    <w:rsid w:val="008E76C1"/>
    <w:rsid w:val="008F037E"/>
    <w:rsid w:val="008F071F"/>
    <w:rsid w:val="008F336F"/>
    <w:rsid w:val="008F3804"/>
    <w:rsid w:val="008F52E1"/>
    <w:rsid w:val="008F680F"/>
    <w:rsid w:val="008F6D4A"/>
    <w:rsid w:val="008F7444"/>
    <w:rsid w:val="008F7A34"/>
    <w:rsid w:val="0090101E"/>
    <w:rsid w:val="009027B9"/>
    <w:rsid w:val="00903DB6"/>
    <w:rsid w:val="009043B2"/>
    <w:rsid w:val="0090469B"/>
    <w:rsid w:val="00910DCF"/>
    <w:rsid w:val="0091403E"/>
    <w:rsid w:val="00914884"/>
    <w:rsid w:val="009156C9"/>
    <w:rsid w:val="009160B6"/>
    <w:rsid w:val="009213BA"/>
    <w:rsid w:val="00921409"/>
    <w:rsid w:val="009214B0"/>
    <w:rsid w:val="00922053"/>
    <w:rsid w:val="00922851"/>
    <w:rsid w:val="0092305A"/>
    <w:rsid w:val="0092481F"/>
    <w:rsid w:val="00925B3F"/>
    <w:rsid w:val="0092610B"/>
    <w:rsid w:val="0092618C"/>
    <w:rsid w:val="00926F96"/>
    <w:rsid w:val="009277C4"/>
    <w:rsid w:val="00927881"/>
    <w:rsid w:val="009304C7"/>
    <w:rsid w:val="00932458"/>
    <w:rsid w:val="0093255A"/>
    <w:rsid w:val="00932D05"/>
    <w:rsid w:val="00934439"/>
    <w:rsid w:val="009357E7"/>
    <w:rsid w:val="00935D73"/>
    <w:rsid w:val="00935E87"/>
    <w:rsid w:val="00943148"/>
    <w:rsid w:val="009438A0"/>
    <w:rsid w:val="009440BD"/>
    <w:rsid w:val="00944237"/>
    <w:rsid w:val="00944C0A"/>
    <w:rsid w:val="00946C8F"/>
    <w:rsid w:val="00947C69"/>
    <w:rsid w:val="0095154E"/>
    <w:rsid w:val="00952439"/>
    <w:rsid w:val="009546BA"/>
    <w:rsid w:val="00960E23"/>
    <w:rsid w:val="0096342D"/>
    <w:rsid w:val="00963647"/>
    <w:rsid w:val="00964A98"/>
    <w:rsid w:val="0096503C"/>
    <w:rsid w:val="009650B2"/>
    <w:rsid w:val="00965C4D"/>
    <w:rsid w:val="00967FD8"/>
    <w:rsid w:val="0097347D"/>
    <w:rsid w:val="00973C5F"/>
    <w:rsid w:val="00974659"/>
    <w:rsid w:val="00974770"/>
    <w:rsid w:val="0097641A"/>
    <w:rsid w:val="00976F6C"/>
    <w:rsid w:val="009772A2"/>
    <w:rsid w:val="0098051D"/>
    <w:rsid w:val="00982001"/>
    <w:rsid w:val="00983087"/>
    <w:rsid w:val="0099133E"/>
    <w:rsid w:val="0099181D"/>
    <w:rsid w:val="00991C2B"/>
    <w:rsid w:val="00994097"/>
    <w:rsid w:val="009948E4"/>
    <w:rsid w:val="00994C35"/>
    <w:rsid w:val="009A20A7"/>
    <w:rsid w:val="009A7BCD"/>
    <w:rsid w:val="009A7EB0"/>
    <w:rsid w:val="009B0169"/>
    <w:rsid w:val="009B0659"/>
    <w:rsid w:val="009B3839"/>
    <w:rsid w:val="009B547C"/>
    <w:rsid w:val="009B559B"/>
    <w:rsid w:val="009B57C5"/>
    <w:rsid w:val="009B5CE3"/>
    <w:rsid w:val="009B60DC"/>
    <w:rsid w:val="009B797C"/>
    <w:rsid w:val="009C0C5A"/>
    <w:rsid w:val="009C410C"/>
    <w:rsid w:val="009C41EF"/>
    <w:rsid w:val="009C4B73"/>
    <w:rsid w:val="009C561F"/>
    <w:rsid w:val="009C62C7"/>
    <w:rsid w:val="009C6DDB"/>
    <w:rsid w:val="009C75A0"/>
    <w:rsid w:val="009D100F"/>
    <w:rsid w:val="009D2A7D"/>
    <w:rsid w:val="009D6EA9"/>
    <w:rsid w:val="009D7ECB"/>
    <w:rsid w:val="009E0423"/>
    <w:rsid w:val="009E1939"/>
    <w:rsid w:val="009E289B"/>
    <w:rsid w:val="009E3526"/>
    <w:rsid w:val="009E36F8"/>
    <w:rsid w:val="009E454F"/>
    <w:rsid w:val="009E6159"/>
    <w:rsid w:val="009F1971"/>
    <w:rsid w:val="009F7032"/>
    <w:rsid w:val="009F7DFB"/>
    <w:rsid w:val="00A00194"/>
    <w:rsid w:val="00A014CC"/>
    <w:rsid w:val="00A02A25"/>
    <w:rsid w:val="00A07761"/>
    <w:rsid w:val="00A0786B"/>
    <w:rsid w:val="00A11623"/>
    <w:rsid w:val="00A11C1A"/>
    <w:rsid w:val="00A12F10"/>
    <w:rsid w:val="00A1402D"/>
    <w:rsid w:val="00A1485B"/>
    <w:rsid w:val="00A16337"/>
    <w:rsid w:val="00A16BEF"/>
    <w:rsid w:val="00A16D54"/>
    <w:rsid w:val="00A17E7E"/>
    <w:rsid w:val="00A17EE0"/>
    <w:rsid w:val="00A20CE9"/>
    <w:rsid w:val="00A2131D"/>
    <w:rsid w:val="00A21900"/>
    <w:rsid w:val="00A21B3B"/>
    <w:rsid w:val="00A2377A"/>
    <w:rsid w:val="00A26F42"/>
    <w:rsid w:val="00A30103"/>
    <w:rsid w:val="00A3281A"/>
    <w:rsid w:val="00A3381E"/>
    <w:rsid w:val="00A3415F"/>
    <w:rsid w:val="00A359B9"/>
    <w:rsid w:val="00A3656A"/>
    <w:rsid w:val="00A36A3C"/>
    <w:rsid w:val="00A37D5E"/>
    <w:rsid w:val="00A37DC8"/>
    <w:rsid w:val="00A409E3"/>
    <w:rsid w:val="00A43BBA"/>
    <w:rsid w:val="00A44B3E"/>
    <w:rsid w:val="00A500CE"/>
    <w:rsid w:val="00A51364"/>
    <w:rsid w:val="00A51556"/>
    <w:rsid w:val="00A520AA"/>
    <w:rsid w:val="00A56A9D"/>
    <w:rsid w:val="00A56B74"/>
    <w:rsid w:val="00A6127C"/>
    <w:rsid w:val="00A61FC0"/>
    <w:rsid w:val="00A623CB"/>
    <w:rsid w:val="00A62491"/>
    <w:rsid w:val="00A664DD"/>
    <w:rsid w:val="00A70739"/>
    <w:rsid w:val="00A71BC7"/>
    <w:rsid w:val="00A74283"/>
    <w:rsid w:val="00A758EE"/>
    <w:rsid w:val="00A7622D"/>
    <w:rsid w:val="00A803F6"/>
    <w:rsid w:val="00A82DF7"/>
    <w:rsid w:val="00A84FD5"/>
    <w:rsid w:val="00A85D9A"/>
    <w:rsid w:val="00A86776"/>
    <w:rsid w:val="00A86CC5"/>
    <w:rsid w:val="00A90F78"/>
    <w:rsid w:val="00A90F7E"/>
    <w:rsid w:val="00A9163D"/>
    <w:rsid w:val="00A91BEF"/>
    <w:rsid w:val="00A93DB3"/>
    <w:rsid w:val="00A951A2"/>
    <w:rsid w:val="00A957CD"/>
    <w:rsid w:val="00AA0445"/>
    <w:rsid w:val="00AA2113"/>
    <w:rsid w:val="00AA2B70"/>
    <w:rsid w:val="00AA3E27"/>
    <w:rsid w:val="00AA3F44"/>
    <w:rsid w:val="00AA5A7D"/>
    <w:rsid w:val="00AB71D5"/>
    <w:rsid w:val="00AC1133"/>
    <w:rsid w:val="00AC1423"/>
    <w:rsid w:val="00AC1FAE"/>
    <w:rsid w:val="00AC2365"/>
    <w:rsid w:val="00AC2860"/>
    <w:rsid w:val="00AC3229"/>
    <w:rsid w:val="00AC394C"/>
    <w:rsid w:val="00AC3BD7"/>
    <w:rsid w:val="00AC4C04"/>
    <w:rsid w:val="00AC79D1"/>
    <w:rsid w:val="00AD1608"/>
    <w:rsid w:val="00AD1A06"/>
    <w:rsid w:val="00AD1B49"/>
    <w:rsid w:val="00AD2E17"/>
    <w:rsid w:val="00AD3116"/>
    <w:rsid w:val="00AD3338"/>
    <w:rsid w:val="00AD3E3B"/>
    <w:rsid w:val="00AD4AE9"/>
    <w:rsid w:val="00AD5ED0"/>
    <w:rsid w:val="00AD6718"/>
    <w:rsid w:val="00AD7BD2"/>
    <w:rsid w:val="00AE1321"/>
    <w:rsid w:val="00AE4830"/>
    <w:rsid w:val="00AE4A84"/>
    <w:rsid w:val="00AE63A7"/>
    <w:rsid w:val="00AE778F"/>
    <w:rsid w:val="00AE7B35"/>
    <w:rsid w:val="00AF2622"/>
    <w:rsid w:val="00AF3AE6"/>
    <w:rsid w:val="00AF7F6E"/>
    <w:rsid w:val="00B0072D"/>
    <w:rsid w:val="00B02295"/>
    <w:rsid w:val="00B034A0"/>
    <w:rsid w:val="00B04C84"/>
    <w:rsid w:val="00B063A9"/>
    <w:rsid w:val="00B11CA9"/>
    <w:rsid w:val="00B11CE5"/>
    <w:rsid w:val="00B132D3"/>
    <w:rsid w:val="00B159F2"/>
    <w:rsid w:val="00B15C21"/>
    <w:rsid w:val="00B2007B"/>
    <w:rsid w:val="00B2185B"/>
    <w:rsid w:val="00B23A91"/>
    <w:rsid w:val="00B24C40"/>
    <w:rsid w:val="00B25950"/>
    <w:rsid w:val="00B26616"/>
    <w:rsid w:val="00B338B4"/>
    <w:rsid w:val="00B35FC7"/>
    <w:rsid w:val="00B42EA5"/>
    <w:rsid w:val="00B4381A"/>
    <w:rsid w:val="00B46DEE"/>
    <w:rsid w:val="00B503DA"/>
    <w:rsid w:val="00B52FAE"/>
    <w:rsid w:val="00B53676"/>
    <w:rsid w:val="00B544BA"/>
    <w:rsid w:val="00B54798"/>
    <w:rsid w:val="00B55E66"/>
    <w:rsid w:val="00B56E6B"/>
    <w:rsid w:val="00B56E8E"/>
    <w:rsid w:val="00B63F3F"/>
    <w:rsid w:val="00B64B32"/>
    <w:rsid w:val="00B64DA3"/>
    <w:rsid w:val="00B65B09"/>
    <w:rsid w:val="00B66375"/>
    <w:rsid w:val="00B66A00"/>
    <w:rsid w:val="00B67047"/>
    <w:rsid w:val="00B728DC"/>
    <w:rsid w:val="00B76DA3"/>
    <w:rsid w:val="00B8016B"/>
    <w:rsid w:val="00B82CF0"/>
    <w:rsid w:val="00B83086"/>
    <w:rsid w:val="00B83C3F"/>
    <w:rsid w:val="00B842FC"/>
    <w:rsid w:val="00B85F9E"/>
    <w:rsid w:val="00B90072"/>
    <w:rsid w:val="00B91430"/>
    <w:rsid w:val="00B929FA"/>
    <w:rsid w:val="00B94943"/>
    <w:rsid w:val="00BA0159"/>
    <w:rsid w:val="00BA2602"/>
    <w:rsid w:val="00BA4C65"/>
    <w:rsid w:val="00BA711F"/>
    <w:rsid w:val="00BA736F"/>
    <w:rsid w:val="00BA7C3E"/>
    <w:rsid w:val="00BB0DC4"/>
    <w:rsid w:val="00BB18B9"/>
    <w:rsid w:val="00BB2AD7"/>
    <w:rsid w:val="00BB39AC"/>
    <w:rsid w:val="00BB4CEB"/>
    <w:rsid w:val="00BB52AF"/>
    <w:rsid w:val="00BB60DA"/>
    <w:rsid w:val="00BB6776"/>
    <w:rsid w:val="00BC4ABC"/>
    <w:rsid w:val="00BC5A59"/>
    <w:rsid w:val="00BC629D"/>
    <w:rsid w:val="00BC6E75"/>
    <w:rsid w:val="00BC7429"/>
    <w:rsid w:val="00BC7946"/>
    <w:rsid w:val="00BC796F"/>
    <w:rsid w:val="00BD083A"/>
    <w:rsid w:val="00BD49E9"/>
    <w:rsid w:val="00BD61A3"/>
    <w:rsid w:val="00BD6281"/>
    <w:rsid w:val="00BD6A36"/>
    <w:rsid w:val="00BD6B24"/>
    <w:rsid w:val="00BD7178"/>
    <w:rsid w:val="00BD7339"/>
    <w:rsid w:val="00BE0445"/>
    <w:rsid w:val="00BE089F"/>
    <w:rsid w:val="00BE2039"/>
    <w:rsid w:val="00BE386D"/>
    <w:rsid w:val="00BE410A"/>
    <w:rsid w:val="00BE7DEB"/>
    <w:rsid w:val="00BF0B9D"/>
    <w:rsid w:val="00BF0F69"/>
    <w:rsid w:val="00BF65D9"/>
    <w:rsid w:val="00C0329D"/>
    <w:rsid w:val="00C03595"/>
    <w:rsid w:val="00C05EAD"/>
    <w:rsid w:val="00C07E2E"/>
    <w:rsid w:val="00C10486"/>
    <w:rsid w:val="00C10D37"/>
    <w:rsid w:val="00C116C8"/>
    <w:rsid w:val="00C1482A"/>
    <w:rsid w:val="00C14C8F"/>
    <w:rsid w:val="00C15BA4"/>
    <w:rsid w:val="00C16094"/>
    <w:rsid w:val="00C161DB"/>
    <w:rsid w:val="00C2140C"/>
    <w:rsid w:val="00C2186A"/>
    <w:rsid w:val="00C22AD1"/>
    <w:rsid w:val="00C24110"/>
    <w:rsid w:val="00C24263"/>
    <w:rsid w:val="00C261C5"/>
    <w:rsid w:val="00C30B6D"/>
    <w:rsid w:val="00C315ED"/>
    <w:rsid w:val="00C330A6"/>
    <w:rsid w:val="00C33558"/>
    <w:rsid w:val="00C348F4"/>
    <w:rsid w:val="00C34C83"/>
    <w:rsid w:val="00C37F86"/>
    <w:rsid w:val="00C40535"/>
    <w:rsid w:val="00C409D8"/>
    <w:rsid w:val="00C4118F"/>
    <w:rsid w:val="00C453AF"/>
    <w:rsid w:val="00C4563D"/>
    <w:rsid w:val="00C46C49"/>
    <w:rsid w:val="00C522CE"/>
    <w:rsid w:val="00C534A3"/>
    <w:rsid w:val="00C55CE2"/>
    <w:rsid w:val="00C56E55"/>
    <w:rsid w:val="00C571CD"/>
    <w:rsid w:val="00C57EA7"/>
    <w:rsid w:val="00C61846"/>
    <w:rsid w:val="00C624C8"/>
    <w:rsid w:val="00C64D44"/>
    <w:rsid w:val="00C65874"/>
    <w:rsid w:val="00C70349"/>
    <w:rsid w:val="00C70E40"/>
    <w:rsid w:val="00C71DB6"/>
    <w:rsid w:val="00C72BFE"/>
    <w:rsid w:val="00C753F4"/>
    <w:rsid w:val="00C77A85"/>
    <w:rsid w:val="00C77AA0"/>
    <w:rsid w:val="00C80E86"/>
    <w:rsid w:val="00C844A8"/>
    <w:rsid w:val="00C84AB8"/>
    <w:rsid w:val="00C875C9"/>
    <w:rsid w:val="00C9037F"/>
    <w:rsid w:val="00C911EC"/>
    <w:rsid w:val="00C93DDF"/>
    <w:rsid w:val="00C9648D"/>
    <w:rsid w:val="00CA0062"/>
    <w:rsid w:val="00CA0797"/>
    <w:rsid w:val="00CA0D15"/>
    <w:rsid w:val="00CA37D5"/>
    <w:rsid w:val="00CA4613"/>
    <w:rsid w:val="00CA74C0"/>
    <w:rsid w:val="00CB082B"/>
    <w:rsid w:val="00CB08C3"/>
    <w:rsid w:val="00CB08CE"/>
    <w:rsid w:val="00CB284E"/>
    <w:rsid w:val="00CB2975"/>
    <w:rsid w:val="00CB4E51"/>
    <w:rsid w:val="00CB649D"/>
    <w:rsid w:val="00CC0F35"/>
    <w:rsid w:val="00CC1E8F"/>
    <w:rsid w:val="00CC2035"/>
    <w:rsid w:val="00CC2AC8"/>
    <w:rsid w:val="00CC620F"/>
    <w:rsid w:val="00CD3623"/>
    <w:rsid w:val="00CD4C3D"/>
    <w:rsid w:val="00CD5292"/>
    <w:rsid w:val="00CD5FB3"/>
    <w:rsid w:val="00CD6CC4"/>
    <w:rsid w:val="00CE1B81"/>
    <w:rsid w:val="00CE2520"/>
    <w:rsid w:val="00CE3510"/>
    <w:rsid w:val="00CE3772"/>
    <w:rsid w:val="00CE37DA"/>
    <w:rsid w:val="00CE4497"/>
    <w:rsid w:val="00CE7620"/>
    <w:rsid w:val="00CE7EF0"/>
    <w:rsid w:val="00CE7F02"/>
    <w:rsid w:val="00CF0E80"/>
    <w:rsid w:val="00CF12C6"/>
    <w:rsid w:val="00CF160F"/>
    <w:rsid w:val="00CF1E2F"/>
    <w:rsid w:val="00CF34DB"/>
    <w:rsid w:val="00CF5849"/>
    <w:rsid w:val="00CF7D49"/>
    <w:rsid w:val="00D01DC4"/>
    <w:rsid w:val="00D033E1"/>
    <w:rsid w:val="00D055F9"/>
    <w:rsid w:val="00D05C09"/>
    <w:rsid w:val="00D06BF0"/>
    <w:rsid w:val="00D1052D"/>
    <w:rsid w:val="00D110D9"/>
    <w:rsid w:val="00D133BA"/>
    <w:rsid w:val="00D14318"/>
    <w:rsid w:val="00D16BEE"/>
    <w:rsid w:val="00D171C4"/>
    <w:rsid w:val="00D1736B"/>
    <w:rsid w:val="00D22BED"/>
    <w:rsid w:val="00D23586"/>
    <w:rsid w:val="00D27FEB"/>
    <w:rsid w:val="00D328B9"/>
    <w:rsid w:val="00D32E28"/>
    <w:rsid w:val="00D32E83"/>
    <w:rsid w:val="00D342D8"/>
    <w:rsid w:val="00D347AB"/>
    <w:rsid w:val="00D350F7"/>
    <w:rsid w:val="00D36005"/>
    <w:rsid w:val="00D37EB8"/>
    <w:rsid w:val="00D4081F"/>
    <w:rsid w:val="00D4180F"/>
    <w:rsid w:val="00D41B6C"/>
    <w:rsid w:val="00D41FAA"/>
    <w:rsid w:val="00D426BF"/>
    <w:rsid w:val="00D43653"/>
    <w:rsid w:val="00D44195"/>
    <w:rsid w:val="00D477F2"/>
    <w:rsid w:val="00D51A2B"/>
    <w:rsid w:val="00D51B64"/>
    <w:rsid w:val="00D52DF5"/>
    <w:rsid w:val="00D52F1F"/>
    <w:rsid w:val="00D53ECC"/>
    <w:rsid w:val="00D54FA5"/>
    <w:rsid w:val="00D56370"/>
    <w:rsid w:val="00D5691D"/>
    <w:rsid w:val="00D56AA8"/>
    <w:rsid w:val="00D57DC0"/>
    <w:rsid w:val="00D57ED8"/>
    <w:rsid w:val="00D62C54"/>
    <w:rsid w:val="00D636E2"/>
    <w:rsid w:val="00D6378A"/>
    <w:rsid w:val="00D64CD8"/>
    <w:rsid w:val="00D65A5F"/>
    <w:rsid w:val="00D66250"/>
    <w:rsid w:val="00D67F7B"/>
    <w:rsid w:val="00D713C6"/>
    <w:rsid w:val="00D71736"/>
    <w:rsid w:val="00D71D3E"/>
    <w:rsid w:val="00D72098"/>
    <w:rsid w:val="00D77181"/>
    <w:rsid w:val="00D77280"/>
    <w:rsid w:val="00D823FE"/>
    <w:rsid w:val="00D82C0D"/>
    <w:rsid w:val="00D844F5"/>
    <w:rsid w:val="00D860A0"/>
    <w:rsid w:val="00D86E8E"/>
    <w:rsid w:val="00D91B60"/>
    <w:rsid w:val="00D91F03"/>
    <w:rsid w:val="00D92F22"/>
    <w:rsid w:val="00D9424D"/>
    <w:rsid w:val="00D94B9F"/>
    <w:rsid w:val="00D954FE"/>
    <w:rsid w:val="00D95804"/>
    <w:rsid w:val="00D97620"/>
    <w:rsid w:val="00D97AE8"/>
    <w:rsid w:val="00D97B2C"/>
    <w:rsid w:val="00DA0C27"/>
    <w:rsid w:val="00DA2106"/>
    <w:rsid w:val="00DA3BCD"/>
    <w:rsid w:val="00DA3C7E"/>
    <w:rsid w:val="00DA3D6B"/>
    <w:rsid w:val="00DA4112"/>
    <w:rsid w:val="00DA4138"/>
    <w:rsid w:val="00DA5D53"/>
    <w:rsid w:val="00DA6CA0"/>
    <w:rsid w:val="00DA6D3A"/>
    <w:rsid w:val="00DA751D"/>
    <w:rsid w:val="00DB0BAF"/>
    <w:rsid w:val="00DB1DCB"/>
    <w:rsid w:val="00DB21C4"/>
    <w:rsid w:val="00DB4EB2"/>
    <w:rsid w:val="00DB5ACD"/>
    <w:rsid w:val="00DB7EAA"/>
    <w:rsid w:val="00DC294B"/>
    <w:rsid w:val="00DC2FEC"/>
    <w:rsid w:val="00DC39C1"/>
    <w:rsid w:val="00DC5F67"/>
    <w:rsid w:val="00DC6808"/>
    <w:rsid w:val="00DC688E"/>
    <w:rsid w:val="00DC6E1F"/>
    <w:rsid w:val="00DC786C"/>
    <w:rsid w:val="00DD0CAA"/>
    <w:rsid w:val="00DD2990"/>
    <w:rsid w:val="00DD3283"/>
    <w:rsid w:val="00DD3592"/>
    <w:rsid w:val="00DD3C7C"/>
    <w:rsid w:val="00DD40CF"/>
    <w:rsid w:val="00DD4107"/>
    <w:rsid w:val="00DD7B2C"/>
    <w:rsid w:val="00DE21A8"/>
    <w:rsid w:val="00DE2650"/>
    <w:rsid w:val="00DE59AB"/>
    <w:rsid w:val="00DE638F"/>
    <w:rsid w:val="00DE79F3"/>
    <w:rsid w:val="00DF39BE"/>
    <w:rsid w:val="00DF6F11"/>
    <w:rsid w:val="00DF7464"/>
    <w:rsid w:val="00DF7842"/>
    <w:rsid w:val="00E00E7F"/>
    <w:rsid w:val="00E0369A"/>
    <w:rsid w:val="00E04BF2"/>
    <w:rsid w:val="00E0509E"/>
    <w:rsid w:val="00E0671E"/>
    <w:rsid w:val="00E1053C"/>
    <w:rsid w:val="00E10D98"/>
    <w:rsid w:val="00E11FF3"/>
    <w:rsid w:val="00E1230E"/>
    <w:rsid w:val="00E14175"/>
    <w:rsid w:val="00E14269"/>
    <w:rsid w:val="00E148A6"/>
    <w:rsid w:val="00E14A96"/>
    <w:rsid w:val="00E15B6E"/>
    <w:rsid w:val="00E16104"/>
    <w:rsid w:val="00E21C0C"/>
    <w:rsid w:val="00E21F30"/>
    <w:rsid w:val="00E241B3"/>
    <w:rsid w:val="00E24BC6"/>
    <w:rsid w:val="00E26743"/>
    <w:rsid w:val="00E3072B"/>
    <w:rsid w:val="00E34FA9"/>
    <w:rsid w:val="00E3589B"/>
    <w:rsid w:val="00E37565"/>
    <w:rsid w:val="00E37BE2"/>
    <w:rsid w:val="00E44006"/>
    <w:rsid w:val="00E44741"/>
    <w:rsid w:val="00E46EF8"/>
    <w:rsid w:val="00E474DA"/>
    <w:rsid w:val="00E47EB8"/>
    <w:rsid w:val="00E56CD2"/>
    <w:rsid w:val="00E570B9"/>
    <w:rsid w:val="00E60266"/>
    <w:rsid w:val="00E62C5A"/>
    <w:rsid w:val="00E62E2C"/>
    <w:rsid w:val="00E63363"/>
    <w:rsid w:val="00E63487"/>
    <w:rsid w:val="00E63B25"/>
    <w:rsid w:val="00E6418E"/>
    <w:rsid w:val="00E65441"/>
    <w:rsid w:val="00E67835"/>
    <w:rsid w:val="00E71594"/>
    <w:rsid w:val="00E72F2D"/>
    <w:rsid w:val="00E73B28"/>
    <w:rsid w:val="00E73B97"/>
    <w:rsid w:val="00E74138"/>
    <w:rsid w:val="00E75173"/>
    <w:rsid w:val="00E75308"/>
    <w:rsid w:val="00E7662C"/>
    <w:rsid w:val="00E779B9"/>
    <w:rsid w:val="00E806E8"/>
    <w:rsid w:val="00E8147D"/>
    <w:rsid w:val="00E82150"/>
    <w:rsid w:val="00E837B8"/>
    <w:rsid w:val="00E8387F"/>
    <w:rsid w:val="00E8518D"/>
    <w:rsid w:val="00E8588B"/>
    <w:rsid w:val="00E86201"/>
    <w:rsid w:val="00E92D01"/>
    <w:rsid w:val="00E93AE4"/>
    <w:rsid w:val="00E9686A"/>
    <w:rsid w:val="00EA01DB"/>
    <w:rsid w:val="00EA0C1E"/>
    <w:rsid w:val="00EA1BCF"/>
    <w:rsid w:val="00EA1DA5"/>
    <w:rsid w:val="00EA2321"/>
    <w:rsid w:val="00EA4972"/>
    <w:rsid w:val="00EA626D"/>
    <w:rsid w:val="00EA653A"/>
    <w:rsid w:val="00EB1C13"/>
    <w:rsid w:val="00EB2F55"/>
    <w:rsid w:val="00EB4066"/>
    <w:rsid w:val="00EB43A8"/>
    <w:rsid w:val="00EC0CF8"/>
    <w:rsid w:val="00EC176C"/>
    <w:rsid w:val="00EC23CE"/>
    <w:rsid w:val="00EC4183"/>
    <w:rsid w:val="00EC5630"/>
    <w:rsid w:val="00ED0689"/>
    <w:rsid w:val="00ED2202"/>
    <w:rsid w:val="00ED23ED"/>
    <w:rsid w:val="00ED3F5D"/>
    <w:rsid w:val="00ED52DF"/>
    <w:rsid w:val="00ED66A2"/>
    <w:rsid w:val="00EE0D1F"/>
    <w:rsid w:val="00EE257D"/>
    <w:rsid w:val="00EE3FE4"/>
    <w:rsid w:val="00EF0DED"/>
    <w:rsid w:val="00EF15EF"/>
    <w:rsid w:val="00EF19E1"/>
    <w:rsid w:val="00EF1D28"/>
    <w:rsid w:val="00EF2DF2"/>
    <w:rsid w:val="00EF3C6F"/>
    <w:rsid w:val="00EF44DB"/>
    <w:rsid w:val="00EF690A"/>
    <w:rsid w:val="00EF6F90"/>
    <w:rsid w:val="00F00D41"/>
    <w:rsid w:val="00F00E64"/>
    <w:rsid w:val="00F0124D"/>
    <w:rsid w:val="00F0179E"/>
    <w:rsid w:val="00F036F0"/>
    <w:rsid w:val="00F037CC"/>
    <w:rsid w:val="00F0541B"/>
    <w:rsid w:val="00F07FA4"/>
    <w:rsid w:val="00F118CF"/>
    <w:rsid w:val="00F14768"/>
    <w:rsid w:val="00F16744"/>
    <w:rsid w:val="00F20F8C"/>
    <w:rsid w:val="00F21F3D"/>
    <w:rsid w:val="00F229E5"/>
    <w:rsid w:val="00F23919"/>
    <w:rsid w:val="00F2408C"/>
    <w:rsid w:val="00F26CFC"/>
    <w:rsid w:val="00F26D9D"/>
    <w:rsid w:val="00F27D23"/>
    <w:rsid w:val="00F31D4A"/>
    <w:rsid w:val="00F33A13"/>
    <w:rsid w:val="00F33A90"/>
    <w:rsid w:val="00F421D1"/>
    <w:rsid w:val="00F42B8F"/>
    <w:rsid w:val="00F439A5"/>
    <w:rsid w:val="00F468DF"/>
    <w:rsid w:val="00F53200"/>
    <w:rsid w:val="00F53881"/>
    <w:rsid w:val="00F57140"/>
    <w:rsid w:val="00F626BB"/>
    <w:rsid w:val="00F640AF"/>
    <w:rsid w:val="00F6722D"/>
    <w:rsid w:val="00F710DC"/>
    <w:rsid w:val="00F746BE"/>
    <w:rsid w:val="00F7770E"/>
    <w:rsid w:val="00F81043"/>
    <w:rsid w:val="00F81459"/>
    <w:rsid w:val="00F82815"/>
    <w:rsid w:val="00F837D6"/>
    <w:rsid w:val="00F8580E"/>
    <w:rsid w:val="00F866BE"/>
    <w:rsid w:val="00F86DB5"/>
    <w:rsid w:val="00F87031"/>
    <w:rsid w:val="00F936B8"/>
    <w:rsid w:val="00F94596"/>
    <w:rsid w:val="00F94CAE"/>
    <w:rsid w:val="00F95D3F"/>
    <w:rsid w:val="00F967A5"/>
    <w:rsid w:val="00F97A30"/>
    <w:rsid w:val="00FA34C6"/>
    <w:rsid w:val="00FA40AC"/>
    <w:rsid w:val="00FA46E4"/>
    <w:rsid w:val="00FA5054"/>
    <w:rsid w:val="00FA53CF"/>
    <w:rsid w:val="00FA5783"/>
    <w:rsid w:val="00FA5B65"/>
    <w:rsid w:val="00FA773E"/>
    <w:rsid w:val="00FB0AB9"/>
    <w:rsid w:val="00FB0B98"/>
    <w:rsid w:val="00FB2C17"/>
    <w:rsid w:val="00FB3027"/>
    <w:rsid w:val="00FB3A33"/>
    <w:rsid w:val="00FB4444"/>
    <w:rsid w:val="00FB56AB"/>
    <w:rsid w:val="00FB5FCE"/>
    <w:rsid w:val="00FB7C27"/>
    <w:rsid w:val="00FC009B"/>
    <w:rsid w:val="00FC2AC2"/>
    <w:rsid w:val="00FC2B01"/>
    <w:rsid w:val="00FC3A35"/>
    <w:rsid w:val="00FC6FDE"/>
    <w:rsid w:val="00FC7865"/>
    <w:rsid w:val="00FD11C9"/>
    <w:rsid w:val="00FD381C"/>
    <w:rsid w:val="00FD5732"/>
    <w:rsid w:val="00FD6E0F"/>
    <w:rsid w:val="00FD78AB"/>
    <w:rsid w:val="00FE0147"/>
    <w:rsid w:val="00FE0662"/>
    <w:rsid w:val="00FE2B15"/>
    <w:rsid w:val="00FE2C0E"/>
    <w:rsid w:val="00FE3E91"/>
    <w:rsid w:val="00FE45CA"/>
    <w:rsid w:val="00FE559F"/>
    <w:rsid w:val="00FE6ACF"/>
    <w:rsid w:val="00FF01FD"/>
    <w:rsid w:val="00FF29E5"/>
    <w:rsid w:val="00FF3DD6"/>
    <w:rsid w:val="00FF6228"/>
    <w:rsid w:val="00FF6914"/>
    <w:rsid w:val="012073D2"/>
    <w:rsid w:val="0147138D"/>
    <w:rsid w:val="01532C24"/>
    <w:rsid w:val="01787024"/>
    <w:rsid w:val="01E06346"/>
    <w:rsid w:val="01E93F1C"/>
    <w:rsid w:val="02217B6C"/>
    <w:rsid w:val="02265BC6"/>
    <w:rsid w:val="023E6E48"/>
    <w:rsid w:val="023F7DC5"/>
    <w:rsid w:val="02622CD7"/>
    <w:rsid w:val="02B74E19"/>
    <w:rsid w:val="02C25EF6"/>
    <w:rsid w:val="030C663A"/>
    <w:rsid w:val="03892FCA"/>
    <w:rsid w:val="04501A8A"/>
    <w:rsid w:val="0465766A"/>
    <w:rsid w:val="04B876BE"/>
    <w:rsid w:val="057654DD"/>
    <w:rsid w:val="05D4049D"/>
    <w:rsid w:val="065D39E1"/>
    <w:rsid w:val="066117EA"/>
    <w:rsid w:val="06C30208"/>
    <w:rsid w:val="07011E42"/>
    <w:rsid w:val="07440111"/>
    <w:rsid w:val="081F34FF"/>
    <w:rsid w:val="08510226"/>
    <w:rsid w:val="0869052C"/>
    <w:rsid w:val="08A15F58"/>
    <w:rsid w:val="0915476C"/>
    <w:rsid w:val="09692BEC"/>
    <w:rsid w:val="0BCE68A2"/>
    <w:rsid w:val="0BEE1BFC"/>
    <w:rsid w:val="0BEE275F"/>
    <w:rsid w:val="0C493935"/>
    <w:rsid w:val="0C59614E"/>
    <w:rsid w:val="0CA45950"/>
    <w:rsid w:val="0DE3722F"/>
    <w:rsid w:val="0DFB4717"/>
    <w:rsid w:val="0E352121"/>
    <w:rsid w:val="0EA448C0"/>
    <w:rsid w:val="0ED24F79"/>
    <w:rsid w:val="0F345BA3"/>
    <w:rsid w:val="0F9E3116"/>
    <w:rsid w:val="10041DE2"/>
    <w:rsid w:val="10562ED3"/>
    <w:rsid w:val="11AE4206"/>
    <w:rsid w:val="11D37E96"/>
    <w:rsid w:val="12006108"/>
    <w:rsid w:val="12452196"/>
    <w:rsid w:val="12837D5F"/>
    <w:rsid w:val="12A73A03"/>
    <w:rsid w:val="12F87F77"/>
    <w:rsid w:val="130C4D10"/>
    <w:rsid w:val="1363327A"/>
    <w:rsid w:val="13CB4D9B"/>
    <w:rsid w:val="14275486"/>
    <w:rsid w:val="14874B4A"/>
    <w:rsid w:val="14964AA6"/>
    <w:rsid w:val="15011905"/>
    <w:rsid w:val="16727788"/>
    <w:rsid w:val="17442DB9"/>
    <w:rsid w:val="1759066D"/>
    <w:rsid w:val="17674272"/>
    <w:rsid w:val="18693172"/>
    <w:rsid w:val="18D229BE"/>
    <w:rsid w:val="1954059A"/>
    <w:rsid w:val="195928F0"/>
    <w:rsid w:val="196B053C"/>
    <w:rsid w:val="19B06130"/>
    <w:rsid w:val="19BC7DCB"/>
    <w:rsid w:val="1A3F729E"/>
    <w:rsid w:val="1A7E1AB2"/>
    <w:rsid w:val="1AE20047"/>
    <w:rsid w:val="1AE74D14"/>
    <w:rsid w:val="1B200AE1"/>
    <w:rsid w:val="1B480219"/>
    <w:rsid w:val="1B792CFE"/>
    <w:rsid w:val="1B7C1D61"/>
    <w:rsid w:val="1BC9669C"/>
    <w:rsid w:val="1C0A7317"/>
    <w:rsid w:val="1C50282D"/>
    <w:rsid w:val="1CB241C1"/>
    <w:rsid w:val="1E48429F"/>
    <w:rsid w:val="1EA435E6"/>
    <w:rsid w:val="1EBA3850"/>
    <w:rsid w:val="1ED010A2"/>
    <w:rsid w:val="1F6762E9"/>
    <w:rsid w:val="1F79498A"/>
    <w:rsid w:val="1F9C5DF3"/>
    <w:rsid w:val="1FF06B07"/>
    <w:rsid w:val="200E198E"/>
    <w:rsid w:val="200E308B"/>
    <w:rsid w:val="204F6EDD"/>
    <w:rsid w:val="215F02AA"/>
    <w:rsid w:val="21F0569A"/>
    <w:rsid w:val="222A701B"/>
    <w:rsid w:val="227D1281"/>
    <w:rsid w:val="229E1B9C"/>
    <w:rsid w:val="22D966E3"/>
    <w:rsid w:val="230B412B"/>
    <w:rsid w:val="23165D38"/>
    <w:rsid w:val="239E143D"/>
    <w:rsid w:val="241930CC"/>
    <w:rsid w:val="25034340"/>
    <w:rsid w:val="25B0246A"/>
    <w:rsid w:val="25B54E10"/>
    <w:rsid w:val="26331BFE"/>
    <w:rsid w:val="26361525"/>
    <w:rsid w:val="263E6655"/>
    <w:rsid w:val="26506CC4"/>
    <w:rsid w:val="265D4F8B"/>
    <w:rsid w:val="26857C12"/>
    <w:rsid w:val="26FA5BA3"/>
    <w:rsid w:val="27556BF5"/>
    <w:rsid w:val="279168B4"/>
    <w:rsid w:val="27966ED9"/>
    <w:rsid w:val="27DA5B92"/>
    <w:rsid w:val="28024270"/>
    <w:rsid w:val="284515C5"/>
    <w:rsid w:val="28937C1B"/>
    <w:rsid w:val="29C77492"/>
    <w:rsid w:val="2A1B771C"/>
    <w:rsid w:val="2A355745"/>
    <w:rsid w:val="2A867CDB"/>
    <w:rsid w:val="2A8E4FE2"/>
    <w:rsid w:val="2AE92E8C"/>
    <w:rsid w:val="2AF12AF5"/>
    <w:rsid w:val="2B757ECD"/>
    <w:rsid w:val="2B9A58DB"/>
    <w:rsid w:val="2BE93591"/>
    <w:rsid w:val="2C11506B"/>
    <w:rsid w:val="2C6E5401"/>
    <w:rsid w:val="2C8A1E1F"/>
    <w:rsid w:val="2D416F94"/>
    <w:rsid w:val="2D800D96"/>
    <w:rsid w:val="2D8639BE"/>
    <w:rsid w:val="2DBE7BC9"/>
    <w:rsid w:val="2DF54B3F"/>
    <w:rsid w:val="2E5D0CE1"/>
    <w:rsid w:val="2F182471"/>
    <w:rsid w:val="2F234995"/>
    <w:rsid w:val="30623B75"/>
    <w:rsid w:val="306B519A"/>
    <w:rsid w:val="30835B92"/>
    <w:rsid w:val="30AA577B"/>
    <w:rsid w:val="31150F53"/>
    <w:rsid w:val="3167603F"/>
    <w:rsid w:val="31800D59"/>
    <w:rsid w:val="31E6703A"/>
    <w:rsid w:val="32063C8D"/>
    <w:rsid w:val="329A3F01"/>
    <w:rsid w:val="33251005"/>
    <w:rsid w:val="33392F35"/>
    <w:rsid w:val="337C77DB"/>
    <w:rsid w:val="345F07E5"/>
    <w:rsid w:val="34890916"/>
    <w:rsid w:val="34E0733D"/>
    <w:rsid w:val="356263B6"/>
    <w:rsid w:val="357E5877"/>
    <w:rsid w:val="35860398"/>
    <w:rsid w:val="358C5502"/>
    <w:rsid w:val="35DE4A6E"/>
    <w:rsid w:val="362348C7"/>
    <w:rsid w:val="36804B7F"/>
    <w:rsid w:val="36DF5796"/>
    <w:rsid w:val="36E62C68"/>
    <w:rsid w:val="36F337A6"/>
    <w:rsid w:val="370B5EA7"/>
    <w:rsid w:val="37C8784B"/>
    <w:rsid w:val="37D30034"/>
    <w:rsid w:val="37E27120"/>
    <w:rsid w:val="38947B17"/>
    <w:rsid w:val="39123D4E"/>
    <w:rsid w:val="395A68C7"/>
    <w:rsid w:val="39624394"/>
    <w:rsid w:val="39792A40"/>
    <w:rsid w:val="399D4611"/>
    <w:rsid w:val="39A13FDD"/>
    <w:rsid w:val="3ACC3463"/>
    <w:rsid w:val="3ACD5A28"/>
    <w:rsid w:val="3AE1297B"/>
    <w:rsid w:val="3B216204"/>
    <w:rsid w:val="3B333632"/>
    <w:rsid w:val="3B42286C"/>
    <w:rsid w:val="3B511AF6"/>
    <w:rsid w:val="3B5D465A"/>
    <w:rsid w:val="3C453393"/>
    <w:rsid w:val="3C6A4F6C"/>
    <w:rsid w:val="3C885697"/>
    <w:rsid w:val="3CC9414B"/>
    <w:rsid w:val="3D1B26B3"/>
    <w:rsid w:val="3D483470"/>
    <w:rsid w:val="3D9A18BA"/>
    <w:rsid w:val="3EAE4FAE"/>
    <w:rsid w:val="3F1D3B7B"/>
    <w:rsid w:val="3F2E10B4"/>
    <w:rsid w:val="3F2F110F"/>
    <w:rsid w:val="3F386988"/>
    <w:rsid w:val="3F88114C"/>
    <w:rsid w:val="3FBA70FD"/>
    <w:rsid w:val="3FD505E3"/>
    <w:rsid w:val="3FE65C1C"/>
    <w:rsid w:val="3FEE68F8"/>
    <w:rsid w:val="3FEF2549"/>
    <w:rsid w:val="3FF43B50"/>
    <w:rsid w:val="3FF7224B"/>
    <w:rsid w:val="3FFB24A8"/>
    <w:rsid w:val="402862F0"/>
    <w:rsid w:val="40437F2D"/>
    <w:rsid w:val="40F9286F"/>
    <w:rsid w:val="41CC5E9F"/>
    <w:rsid w:val="42181C01"/>
    <w:rsid w:val="4246413A"/>
    <w:rsid w:val="42D52372"/>
    <w:rsid w:val="42D74ACB"/>
    <w:rsid w:val="430248D0"/>
    <w:rsid w:val="43170E3F"/>
    <w:rsid w:val="43425844"/>
    <w:rsid w:val="434E02B5"/>
    <w:rsid w:val="438111DE"/>
    <w:rsid w:val="43B56C37"/>
    <w:rsid w:val="44B0663B"/>
    <w:rsid w:val="45774548"/>
    <w:rsid w:val="46103A1C"/>
    <w:rsid w:val="46761149"/>
    <w:rsid w:val="46916512"/>
    <w:rsid w:val="46DE412F"/>
    <w:rsid w:val="47270031"/>
    <w:rsid w:val="4781378B"/>
    <w:rsid w:val="47B80FDE"/>
    <w:rsid w:val="47FB6552"/>
    <w:rsid w:val="48404515"/>
    <w:rsid w:val="485965B8"/>
    <w:rsid w:val="48DF4F28"/>
    <w:rsid w:val="49A22212"/>
    <w:rsid w:val="49AA3C55"/>
    <w:rsid w:val="4AEF6C0F"/>
    <w:rsid w:val="4B656487"/>
    <w:rsid w:val="4C073E51"/>
    <w:rsid w:val="4C3B0AA6"/>
    <w:rsid w:val="4C680FB7"/>
    <w:rsid w:val="4D404DD2"/>
    <w:rsid w:val="4E15647B"/>
    <w:rsid w:val="4E692B99"/>
    <w:rsid w:val="4E693B02"/>
    <w:rsid w:val="4E961997"/>
    <w:rsid w:val="4ED42BE1"/>
    <w:rsid w:val="4EE05DE7"/>
    <w:rsid w:val="4F475F38"/>
    <w:rsid w:val="4F764402"/>
    <w:rsid w:val="4F974B2D"/>
    <w:rsid w:val="4FA8689F"/>
    <w:rsid w:val="502379F8"/>
    <w:rsid w:val="50552471"/>
    <w:rsid w:val="5081226E"/>
    <w:rsid w:val="50B04B0A"/>
    <w:rsid w:val="5181184F"/>
    <w:rsid w:val="52BD36ED"/>
    <w:rsid w:val="52DF65D9"/>
    <w:rsid w:val="53E07AD0"/>
    <w:rsid w:val="541A22E6"/>
    <w:rsid w:val="54407C91"/>
    <w:rsid w:val="545B4365"/>
    <w:rsid w:val="549507B0"/>
    <w:rsid w:val="54E072EE"/>
    <w:rsid w:val="555F75B0"/>
    <w:rsid w:val="55B2218A"/>
    <w:rsid w:val="55CD562C"/>
    <w:rsid w:val="56F87636"/>
    <w:rsid w:val="5702343C"/>
    <w:rsid w:val="574A4666"/>
    <w:rsid w:val="58103B9E"/>
    <w:rsid w:val="585C7357"/>
    <w:rsid w:val="58602499"/>
    <w:rsid w:val="59BC41C0"/>
    <w:rsid w:val="5A1F4FC1"/>
    <w:rsid w:val="5A6854D6"/>
    <w:rsid w:val="5A7656B4"/>
    <w:rsid w:val="5A96762A"/>
    <w:rsid w:val="5AB8609C"/>
    <w:rsid w:val="5AC7520A"/>
    <w:rsid w:val="5BF223D5"/>
    <w:rsid w:val="5DAF35E9"/>
    <w:rsid w:val="5DD511B4"/>
    <w:rsid w:val="5E0B51F0"/>
    <w:rsid w:val="5E4740F2"/>
    <w:rsid w:val="5E6928C6"/>
    <w:rsid w:val="5E9D1AB1"/>
    <w:rsid w:val="5EB5727C"/>
    <w:rsid w:val="60311348"/>
    <w:rsid w:val="60975E6C"/>
    <w:rsid w:val="60DD4E54"/>
    <w:rsid w:val="60EC3212"/>
    <w:rsid w:val="6104250E"/>
    <w:rsid w:val="610D62B7"/>
    <w:rsid w:val="61D813BF"/>
    <w:rsid w:val="62D4689C"/>
    <w:rsid w:val="62FC09F3"/>
    <w:rsid w:val="631270A2"/>
    <w:rsid w:val="632A3402"/>
    <w:rsid w:val="6335348C"/>
    <w:rsid w:val="64184C8C"/>
    <w:rsid w:val="647A5870"/>
    <w:rsid w:val="648C3F8C"/>
    <w:rsid w:val="6582678B"/>
    <w:rsid w:val="65EE51A2"/>
    <w:rsid w:val="660B06B9"/>
    <w:rsid w:val="66704597"/>
    <w:rsid w:val="667F09D4"/>
    <w:rsid w:val="67847F11"/>
    <w:rsid w:val="680C0733"/>
    <w:rsid w:val="681A7133"/>
    <w:rsid w:val="6838096D"/>
    <w:rsid w:val="68905180"/>
    <w:rsid w:val="68E637ED"/>
    <w:rsid w:val="693A30B2"/>
    <w:rsid w:val="695A5F00"/>
    <w:rsid w:val="69735414"/>
    <w:rsid w:val="69856E31"/>
    <w:rsid w:val="69ED1E23"/>
    <w:rsid w:val="6AEA0AF6"/>
    <w:rsid w:val="6B23631B"/>
    <w:rsid w:val="6B4C21EF"/>
    <w:rsid w:val="6B502890"/>
    <w:rsid w:val="6B5D7E8C"/>
    <w:rsid w:val="6C1C115C"/>
    <w:rsid w:val="6C833762"/>
    <w:rsid w:val="6CD63FDD"/>
    <w:rsid w:val="6D282CA2"/>
    <w:rsid w:val="6D3651D9"/>
    <w:rsid w:val="6D3E2A81"/>
    <w:rsid w:val="6D674E80"/>
    <w:rsid w:val="6DAC0AE7"/>
    <w:rsid w:val="6DF27BBC"/>
    <w:rsid w:val="6E653DCB"/>
    <w:rsid w:val="6ED31988"/>
    <w:rsid w:val="6EF040B3"/>
    <w:rsid w:val="701C070E"/>
    <w:rsid w:val="712335EA"/>
    <w:rsid w:val="71310B94"/>
    <w:rsid w:val="71903C59"/>
    <w:rsid w:val="71F16F3E"/>
    <w:rsid w:val="72AA58EC"/>
    <w:rsid w:val="72C4130A"/>
    <w:rsid w:val="72DB3E7D"/>
    <w:rsid w:val="73474FC2"/>
    <w:rsid w:val="73710E73"/>
    <w:rsid w:val="737D2865"/>
    <w:rsid w:val="73964CF8"/>
    <w:rsid w:val="73C16107"/>
    <w:rsid w:val="73EA4CF4"/>
    <w:rsid w:val="740F3317"/>
    <w:rsid w:val="74663E55"/>
    <w:rsid w:val="74772E97"/>
    <w:rsid w:val="74F95404"/>
    <w:rsid w:val="75111E9E"/>
    <w:rsid w:val="75482575"/>
    <w:rsid w:val="7567257E"/>
    <w:rsid w:val="75683C3F"/>
    <w:rsid w:val="75C26A17"/>
    <w:rsid w:val="75D34606"/>
    <w:rsid w:val="76512412"/>
    <w:rsid w:val="76AF4C4E"/>
    <w:rsid w:val="76E76BA4"/>
    <w:rsid w:val="76EC4177"/>
    <w:rsid w:val="77736979"/>
    <w:rsid w:val="778A3850"/>
    <w:rsid w:val="77C362DF"/>
    <w:rsid w:val="77D07534"/>
    <w:rsid w:val="77D2507E"/>
    <w:rsid w:val="783C720C"/>
    <w:rsid w:val="78CB6318"/>
    <w:rsid w:val="78DD18D6"/>
    <w:rsid w:val="790118AA"/>
    <w:rsid w:val="793A0243"/>
    <w:rsid w:val="794C2FCD"/>
    <w:rsid w:val="795A17AF"/>
    <w:rsid w:val="79767240"/>
    <w:rsid w:val="797F35F9"/>
    <w:rsid w:val="79ED08FA"/>
    <w:rsid w:val="7A07105C"/>
    <w:rsid w:val="7A895BFC"/>
    <w:rsid w:val="7AC574E2"/>
    <w:rsid w:val="7B570BAB"/>
    <w:rsid w:val="7B6654BF"/>
    <w:rsid w:val="7B997290"/>
    <w:rsid w:val="7BA47C86"/>
    <w:rsid w:val="7C4349A7"/>
    <w:rsid w:val="7C4F7C82"/>
    <w:rsid w:val="7CB337D4"/>
    <w:rsid w:val="7D155E65"/>
    <w:rsid w:val="7D2C2E29"/>
    <w:rsid w:val="7D2E7DDD"/>
    <w:rsid w:val="7D4F3817"/>
    <w:rsid w:val="7D956C94"/>
    <w:rsid w:val="7DE07011"/>
    <w:rsid w:val="7F885F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iPriority="0" w:semiHidden="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qFormat="1"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nhideWhenUsed="0" w:uiPriority="0" w:semiHidden="0" w:name="HTML Preformatted"/>
    <w:lsdException w:qFormat="1" w:uiPriority="0" w:semiHidden="0" w:name="HTML Sample"/>
    <w:lsdException w:qFormat="1" w:uiPriority="0" w:semiHidden="0" w:name="HTML Typewriter"/>
    <w:lsdException w:qFormat="1"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7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59"/>
    <w:qFormat/>
    <w:uiPriority w:val="0"/>
    <w:pPr>
      <w:keepNext/>
      <w:keepLines/>
      <w:spacing w:before="260" w:after="260" w:line="416" w:lineRule="auto"/>
      <w:outlineLvl w:val="2"/>
    </w:pPr>
    <w:rPr>
      <w:b/>
      <w:bCs/>
      <w:sz w:val="32"/>
      <w:szCs w:val="32"/>
    </w:rPr>
  </w:style>
  <w:style w:type="paragraph" w:styleId="6">
    <w:name w:val="heading 4"/>
    <w:basedOn w:val="1"/>
    <w:next w:val="1"/>
    <w:link w:val="255"/>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210"/>
    <w:qFormat/>
    <w:uiPriority w:val="0"/>
    <w:pPr>
      <w:keepNext/>
      <w:keepLines/>
      <w:spacing w:before="280" w:after="290" w:line="376" w:lineRule="auto"/>
      <w:outlineLvl w:val="4"/>
    </w:pPr>
    <w:rPr>
      <w:b/>
      <w:bCs/>
      <w:sz w:val="28"/>
      <w:szCs w:val="28"/>
    </w:rPr>
  </w:style>
  <w:style w:type="paragraph" w:styleId="8">
    <w:name w:val="heading 6"/>
    <w:basedOn w:val="1"/>
    <w:next w:val="1"/>
    <w:link w:val="218"/>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225"/>
    <w:qFormat/>
    <w:uiPriority w:val="0"/>
    <w:pPr>
      <w:keepNext/>
      <w:keepLines/>
      <w:spacing w:before="240" w:after="64" w:line="320" w:lineRule="auto"/>
      <w:outlineLvl w:val="6"/>
    </w:pPr>
    <w:rPr>
      <w:b/>
      <w:bCs/>
      <w:sz w:val="24"/>
    </w:rPr>
  </w:style>
  <w:style w:type="paragraph" w:styleId="10">
    <w:name w:val="heading 8"/>
    <w:basedOn w:val="1"/>
    <w:next w:val="1"/>
    <w:link w:val="217"/>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231"/>
    <w:qFormat/>
    <w:uiPriority w:val="0"/>
    <w:pPr>
      <w:keepNext/>
      <w:keepLines/>
      <w:spacing w:before="240" w:after="64" w:line="320" w:lineRule="auto"/>
      <w:outlineLvl w:val="8"/>
    </w:pPr>
    <w:rPr>
      <w:rFonts w:ascii="Arial" w:hAnsi="Arial" w:eastAsia="黑体"/>
      <w:sz w:val="28"/>
      <w:szCs w:val="21"/>
    </w:rPr>
  </w:style>
  <w:style w:type="character" w:default="1" w:styleId="45">
    <w:name w:val="Default Paragraph Font"/>
    <w:unhideWhenUsed/>
    <w:qFormat/>
    <w:uiPriority w:val="1"/>
  </w:style>
  <w:style w:type="table" w:default="1" w:styleId="43">
    <w:name w:val="Normal Table"/>
    <w:unhideWhenUsed/>
    <w:qFormat/>
    <w:uiPriority w:val="99"/>
    <w:tblPr>
      <w:tblCellMar>
        <w:top w:w="0" w:type="dxa"/>
        <w:left w:w="108" w:type="dxa"/>
        <w:bottom w:w="0" w:type="dxa"/>
        <w:right w:w="108" w:type="dxa"/>
      </w:tblCellMar>
    </w:tblPr>
  </w:style>
  <w:style w:type="paragraph" w:styleId="2">
    <w:name w:val="Body Text"/>
    <w:basedOn w:val="1"/>
    <w:link w:val="256"/>
    <w:qFormat/>
    <w:uiPriority w:val="0"/>
    <w:rPr>
      <w:rFonts w:ascii="金山简黑体" w:hAnsi="Courier New" w:eastAsia="金山简黑体"/>
      <w:b/>
      <w:spacing w:val="-8"/>
      <w:sz w:val="44"/>
      <w:szCs w:val="20"/>
    </w:rPr>
  </w:style>
  <w:style w:type="paragraph" w:styleId="12">
    <w:name w:val="toc 7"/>
    <w:basedOn w:val="1"/>
    <w:next w:val="1"/>
    <w:unhideWhenUsed/>
    <w:qFormat/>
    <w:uiPriority w:val="0"/>
    <w:pPr>
      <w:ind w:left="1260"/>
      <w:jc w:val="left"/>
    </w:pPr>
    <w:rPr>
      <w:rFonts w:ascii="Calibri" w:hAnsi="Calibri"/>
      <w:sz w:val="18"/>
      <w:szCs w:val="18"/>
    </w:rPr>
  </w:style>
  <w:style w:type="paragraph" w:styleId="13">
    <w:name w:val="index 8"/>
    <w:basedOn w:val="1"/>
    <w:next w:val="1"/>
    <w:unhideWhenUsed/>
    <w:qFormat/>
    <w:uiPriority w:val="0"/>
    <w:pPr>
      <w:ind w:left="2940"/>
    </w:pPr>
  </w:style>
  <w:style w:type="paragraph" w:styleId="14">
    <w:name w:val="Normal Indent"/>
    <w:basedOn w:val="1"/>
    <w:link w:val="226"/>
    <w:qFormat/>
    <w:uiPriority w:val="0"/>
    <w:pPr>
      <w:ind w:firstLine="420"/>
    </w:pPr>
    <w:rPr>
      <w:szCs w:val="20"/>
    </w:rPr>
  </w:style>
  <w:style w:type="paragraph" w:styleId="15">
    <w:name w:val="Document Map"/>
    <w:basedOn w:val="1"/>
    <w:link w:val="206"/>
    <w:qFormat/>
    <w:uiPriority w:val="0"/>
    <w:pPr>
      <w:shd w:val="clear" w:color="auto" w:fill="000080"/>
    </w:pPr>
  </w:style>
  <w:style w:type="paragraph" w:styleId="16">
    <w:name w:val="annotation text"/>
    <w:basedOn w:val="1"/>
    <w:link w:val="229"/>
    <w:qFormat/>
    <w:uiPriority w:val="0"/>
    <w:pPr>
      <w:jc w:val="left"/>
    </w:pPr>
  </w:style>
  <w:style w:type="paragraph" w:styleId="17">
    <w:name w:val="Body Text 3"/>
    <w:basedOn w:val="1"/>
    <w:link w:val="252"/>
    <w:qFormat/>
    <w:uiPriority w:val="0"/>
    <w:rPr>
      <w:b/>
      <w:bCs/>
    </w:rPr>
  </w:style>
  <w:style w:type="paragraph" w:styleId="18">
    <w:name w:val="Body Text Indent"/>
    <w:basedOn w:val="1"/>
    <w:link w:val="260"/>
    <w:qFormat/>
    <w:uiPriority w:val="0"/>
    <w:pPr>
      <w:spacing w:line="200" w:lineRule="exact"/>
      <w:ind w:firstLine="301"/>
    </w:pPr>
    <w:rPr>
      <w:rFonts w:ascii="宋体" w:hAnsi="Courier New"/>
      <w:spacing w:val="-4"/>
      <w:sz w:val="18"/>
      <w:szCs w:val="20"/>
    </w:rPr>
  </w:style>
  <w:style w:type="paragraph" w:styleId="19">
    <w:name w:val="List 2"/>
    <w:basedOn w:val="1"/>
    <w:qFormat/>
    <w:uiPriority w:val="0"/>
    <w:pPr>
      <w:ind w:left="100" w:leftChars="200" w:hanging="200" w:hangingChars="200"/>
    </w:pPr>
    <w:rPr>
      <w:rFonts w:ascii="宋体" w:hAnsi="Courier New"/>
      <w:szCs w:val="20"/>
    </w:rPr>
  </w:style>
  <w:style w:type="paragraph" w:styleId="20">
    <w:name w:val="Block Text"/>
    <w:basedOn w:val="1"/>
    <w:qFormat/>
    <w:uiPriority w:val="0"/>
    <w:pPr>
      <w:autoSpaceDE w:val="0"/>
      <w:autoSpaceDN w:val="0"/>
      <w:spacing w:line="500" w:lineRule="exact"/>
      <w:ind w:left="391" w:right="246"/>
    </w:pPr>
    <w:rPr>
      <w:rFonts w:ascii="仿宋_GB2312" w:eastAsia="仿宋_GB2312" w:cs="仿宋_GB2312"/>
      <w:sz w:val="24"/>
    </w:rPr>
  </w:style>
  <w:style w:type="paragraph" w:styleId="21">
    <w:name w:val="toc 5"/>
    <w:basedOn w:val="1"/>
    <w:next w:val="1"/>
    <w:unhideWhenUsed/>
    <w:qFormat/>
    <w:uiPriority w:val="0"/>
    <w:pPr>
      <w:ind w:left="840"/>
      <w:jc w:val="left"/>
    </w:pPr>
    <w:rPr>
      <w:rFonts w:ascii="Calibri" w:hAnsi="Calibri"/>
      <w:sz w:val="18"/>
      <w:szCs w:val="18"/>
    </w:rPr>
  </w:style>
  <w:style w:type="paragraph" w:styleId="22">
    <w:name w:val="toc 3"/>
    <w:basedOn w:val="1"/>
    <w:next w:val="1"/>
    <w:qFormat/>
    <w:uiPriority w:val="39"/>
    <w:pPr>
      <w:ind w:left="840" w:leftChars="400"/>
    </w:pPr>
  </w:style>
  <w:style w:type="paragraph" w:styleId="23">
    <w:name w:val="Plain Text"/>
    <w:basedOn w:val="1"/>
    <w:next w:val="1"/>
    <w:link w:val="230"/>
    <w:qFormat/>
    <w:uiPriority w:val="0"/>
    <w:rPr>
      <w:rFonts w:ascii="宋体" w:hAnsi="Courier New"/>
      <w:szCs w:val="20"/>
    </w:rPr>
  </w:style>
  <w:style w:type="paragraph" w:styleId="24">
    <w:name w:val="toc 8"/>
    <w:basedOn w:val="1"/>
    <w:next w:val="1"/>
    <w:unhideWhenUsed/>
    <w:qFormat/>
    <w:uiPriority w:val="0"/>
    <w:pPr>
      <w:ind w:left="1470"/>
      <w:jc w:val="left"/>
    </w:pPr>
    <w:rPr>
      <w:rFonts w:ascii="Calibri" w:hAnsi="Calibri"/>
      <w:sz w:val="18"/>
      <w:szCs w:val="18"/>
    </w:rPr>
  </w:style>
  <w:style w:type="paragraph" w:styleId="25">
    <w:name w:val="Date"/>
    <w:basedOn w:val="1"/>
    <w:next w:val="1"/>
    <w:link w:val="270"/>
    <w:qFormat/>
    <w:uiPriority w:val="0"/>
    <w:pPr>
      <w:ind w:left="100" w:leftChars="2500"/>
    </w:pPr>
    <w:rPr>
      <w:rFonts w:ascii="宋体" w:hAnsi="Courier New"/>
      <w:bCs/>
      <w:sz w:val="24"/>
      <w:szCs w:val="20"/>
    </w:rPr>
  </w:style>
  <w:style w:type="paragraph" w:styleId="26">
    <w:name w:val="Body Text Indent 2"/>
    <w:basedOn w:val="1"/>
    <w:link w:val="273"/>
    <w:qFormat/>
    <w:uiPriority w:val="0"/>
    <w:pPr>
      <w:ind w:firstLine="412" w:firstLineChars="196"/>
    </w:pPr>
  </w:style>
  <w:style w:type="paragraph" w:styleId="27">
    <w:name w:val="Balloon Text"/>
    <w:basedOn w:val="1"/>
    <w:link w:val="207"/>
    <w:qFormat/>
    <w:uiPriority w:val="0"/>
    <w:rPr>
      <w:sz w:val="18"/>
      <w:szCs w:val="18"/>
    </w:rPr>
  </w:style>
  <w:style w:type="paragraph" w:styleId="28">
    <w:name w:val="footer"/>
    <w:basedOn w:val="1"/>
    <w:link w:val="265"/>
    <w:qFormat/>
    <w:uiPriority w:val="0"/>
    <w:pPr>
      <w:tabs>
        <w:tab w:val="center" w:pos="4153"/>
        <w:tab w:val="right" w:pos="8306"/>
      </w:tabs>
      <w:snapToGrid w:val="0"/>
      <w:jc w:val="left"/>
    </w:pPr>
    <w:rPr>
      <w:sz w:val="18"/>
      <w:szCs w:val="18"/>
    </w:rPr>
  </w:style>
  <w:style w:type="paragraph" w:styleId="29">
    <w:name w:val="header"/>
    <w:basedOn w:val="1"/>
    <w:link w:val="267"/>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style>
  <w:style w:type="paragraph" w:styleId="31">
    <w:name w:val="toc 4"/>
    <w:basedOn w:val="1"/>
    <w:next w:val="1"/>
    <w:unhideWhenUsed/>
    <w:qFormat/>
    <w:uiPriority w:val="0"/>
    <w:pPr>
      <w:ind w:left="630"/>
      <w:jc w:val="left"/>
    </w:pPr>
    <w:rPr>
      <w:rFonts w:ascii="Calibri" w:hAnsi="Calibri"/>
      <w:sz w:val="18"/>
      <w:szCs w:val="18"/>
    </w:rPr>
  </w:style>
  <w:style w:type="paragraph" w:styleId="32">
    <w:name w:val="toc 6"/>
    <w:basedOn w:val="1"/>
    <w:next w:val="1"/>
    <w:unhideWhenUsed/>
    <w:qFormat/>
    <w:uiPriority w:val="0"/>
    <w:pPr>
      <w:ind w:left="1050"/>
      <w:jc w:val="left"/>
    </w:pPr>
    <w:rPr>
      <w:rFonts w:ascii="Calibri" w:hAnsi="Calibri"/>
      <w:sz w:val="18"/>
      <w:szCs w:val="18"/>
    </w:rPr>
  </w:style>
  <w:style w:type="paragraph" w:styleId="33">
    <w:name w:val="Body Text Indent 3"/>
    <w:basedOn w:val="1"/>
    <w:link w:val="232"/>
    <w:qFormat/>
    <w:uiPriority w:val="0"/>
    <w:pPr>
      <w:ind w:firstLine="420"/>
    </w:pPr>
    <w:rPr>
      <w:color w:val="000000"/>
    </w:rPr>
  </w:style>
  <w:style w:type="paragraph" w:styleId="34">
    <w:name w:val="toc 2"/>
    <w:basedOn w:val="1"/>
    <w:next w:val="1"/>
    <w:qFormat/>
    <w:uiPriority w:val="39"/>
    <w:pPr>
      <w:ind w:left="420" w:leftChars="200"/>
    </w:pPr>
  </w:style>
  <w:style w:type="paragraph" w:styleId="35">
    <w:name w:val="toc 9"/>
    <w:basedOn w:val="1"/>
    <w:next w:val="1"/>
    <w:unhideWhenUsed/>
    <w:qFormat/>
    <w:uiPriority w:val="0"/>
    <w:pPr>
      <w:ind w:left="1680"/>
      <w:jc w:val="left"/>
    </w:pPr>
    <w:rPr>
      <w:rFonts w:ascii="Calibri" w:hAnsi="Calibri"/>
      <w:sz w:val="18"/>
      <w:szCs w:val="18"/>
    </w:rPr>
  </w:style>
  <w:style w:type="paragraph" w:styleId="36">
    <w:name w:val="Body Text 2"/>
    <w:basedOn w:val="1"/>
    <w:link w:val="249"/>
    <w:qFormat/>
    <w:uiPriority w:val="0"/>
    <w:pPr>
      <w:jc w:val="center"/>
    </w:pPr>
    <w:rPr>
      <w:rFonts w:ascii="宋体" w:hAnsi="宋体"/>
      <w:color w:val="0000FF"/>
      <w:szCs w:val="18"/>
    </w:rPr>
  </w:style>
  <w:style w:type="paragraph" w:styleId="37">
    <w:name w:val="List 4"/>
    <w:basedOn w:val="1"/>
    <w:qFormat/>
    <w:uiPriority w:val="0"/>
    <w:pPr>
      <w:ind w:left="100" w:leftChars="600" w:hanging="200" w:hangingChars="200"/>
    </w:pPr>
  </w:style>
  <w:style w:type="paragraph" w:styleId="38">
    <w:name w:val="HTML Preformatted"/>
    <w:basedOn w:val="1"/>
    <w:link w:val="27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39">
    <w:name w:val="Normal (Web)"/>
    <w:basedOn w:val="1"/>
    <w:qFormat/>
    <w:uiPriority w:val="99"/>
    <w:pPr>
      <w:spacing w:line="360" w:lineRule="auto"/>
    </w:pPr>
    <w:rPr>
      <w:rFonts w:eastAsia="仿宋_GB2312"/>
      <w:sz w:val="24"/>
    </w:rPr>
  </w:style>
  <w:style w:type="paragraph" w:styleId="40">
    <w:name w:val="index 1"/>
    <w:basedOn w:val="1"/>
    <w:next w:val="1"/>
    <w:qFormat/>
    <w:uiPriority w:val="0"/>
    <w:pPr>
      <w:spacing w:line="240" w:lineRule="exact"/>
      <w:ind w:firstLine="420" w:firstLineChars="200"/>
    </w:pPr>
    <w:rPr>
      <w:rFonts w:ascii="宋体" w:hAnsi="宋体"/>
      <w:bCs/>
      <w:szCs w:val="21"/>
    </w:rPr>
  </w:style>
  <w:style w:type="paragraph" w:styleId="41">
    <w:name w:val="Title"/>
    <w:basedOn w:val="1"/>
    <w:next w:val="1"/>
    <w:link w:val="221"/>
    <w:qFormat/>
    <w:uiPriority w:val="0"/>
    <w:pPr>
      <w:spacing w:before="240" w:after="60"/>
      <w:jc w:val="center"/>
      <w:outlineLvl w:val="0"/>
    </w:pPr>
    <w:rPr>
      <w:rFonts w:ascii="Cambria" w:hAnsi="Cambria"/>
      <w:b/>
      <w:bCs/>
      <w:sz w:val="32"/>
      <w:szCs w:val="32"/>
    </w:rPr>
  </w:style>
  <w:style w:type="paragraph" w:styleId="42">
    <w:name w:val="annotation subject"/>
    <w:basedOn w:val="16"/>
    <w:next w:val="16"/>
    <w:link w:val="235"/>
    <w:qFormat/>
    <w:uiPriority w:val="0"/>
  </w:style>
  <w:style w:type="table" w:styleId="44">
    <w:name w:val="Table Grid"/>
    <w:basedOn w:val="4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99"/>
  </w:style>
  <w:style w:type="character" w:styleId="48">
    <w:name w:val="FollowedHyperlink"/>
    <w:qFormat/>
    <w:uiPriority w:val="0"/>
    <w:rPr>
      <w:color w:val="800080"/>
      <w:u w:val="none"/>
    </w:rPr>
  </w:style>
  <w:style w:type="character" w:styleId="49">
    <w:name w:val="Emphasis"/>
    <w:qFormat/>
    <w:uiPriority w:val="0"/>
    <w:rPr>
      <w:color w:val="CC0000"/>
    </w:rPr>
  </w:style>
  <w:style w:type="character" w:styleId="50">
    <w:name w:val="line number"/>
    <w:basedOn w:val="45"/>
    <w:qFormat/>
    <w:uiPriority w:val="0"/>
  </w:style>
  <w:style w:type="character" w:styleId="51">
    <w:name w:val="HTML Definition"/>
    <w:unhideWhenUsed/>
    <w:qFormat/>
    <w:uiPriority w:val="0"/>
  </w:style>
  <w:style w:type="character" w:styleId="52">
    <w:name w:val="HTML Typewriter"/>
    <w:unhideWhenUsed/>
    <w:qFormat/>
    <w:uiPriority w:val="0"/>
    <w:rPr>
      <w:rFonts w:ascii="monospace" w:hAnsi="monospace" w:eastAsia="monospace" w:cs="monospace"/>
      <w:sz w:val="20"/>
    </w:rPr>
  </w:style>
  <w:style w:type="character" w:styleId="53">
    <w:name w:val="HTML Acronym"/>
    <w:basedOn w:val="45"/>
    <w:unhideWhenUsed/>
    <w:qFormat/>
    <w:uiPriority w:val="0"/>
  </w:style>
  <w:style w:type="character" w:styleId="54">
    <w:name w:val="HTML Variable"/>
    <w:unhideWhenUsed/>
    <w:qFormat/>
    <w:uiPriority w:val="0"/>
  </w:style>
  <w:style w:type="character" w:styleId="55">
    <w:name w:val="Hyperlink"/>
    <w:qFormat/>
    <w:uiPriority w:val="99"/>
    <w:rPr>
      <w:rFonts w:hint="default" w:ascii="Arial" w:hAnsi="Arial" w:cs="Arial"/>
      <w:color w:val="003399"/>
      <w:sz w:val="18"/>
      <w:szCs w:val="18"/>
      <w:u w:val="none"/>
    </w:rPr>
  </w:style>
  <w:style w:type="character" w:styleId="56">
    <w:name w:val="HTML Code"/>
    <w:unhideWhenUsed/>
    <w:qFormat/>
    <w:uiPriority w:val="0"/>
    <w:rPr>
      <w:rFonts w:hint="default" w:ascii="monospace" w:hAnsi="monospace" w:eastAsia="monospace" w:cs="monospace"/>
      <w:sz w:val="20"/>
    </w:rPr>
  </w:style>
  <w:style w:type="character" w:styleId="57">
    <w:name w:val="annotation reference"/>
    <w:qFormat/>
    <w:uiPriority w:val="0"/>
    <w:rPr>
      <w:sz w:val="21"/>
      <w:szCs w:val="21"/>
    </w:rPr>
  </w:style>
  <w:style w:type="character" w:styleId="58">
    <w:name w:val="HTML Cite"/>
    <w:unhideWhenUsed/>
    <w:qFormat/>
    <w:uiPriority w:val="0"/>
  </w:style>
  <w:style w:type="character" w:styleId="59">
    <w:name w:val="HTML Keyboard"/>
    <w:unhideWhenUsed/>
    <w:qFormat/>
    <w:uiPriority w:val="0"/>
    <w:rPr>
      <w:rFonts w:hint="default" w:ascii="monospace" w:hAnsi="monospace" w:eastAsia="monospace" w:cs="monospace"/>
      <w:sz w:val="20"/>
    </w:rPr>
  </w:style>
  <w:style w:type="character" w:styleId="60">
    <w:name w:val="HTML Sample"/>
    <w:unhideWhenUsed/>
    <w:qFormat/>
    <w:uiPriority w:val="0"/>
    <w:rPr>
      <w:rFonts w:hint="default" w:ascii="monospace" w:hAnsi="monospace" w:eastAsia="monospace" w:cs="monospace"/>
    </w:rPr>
  </w:style>
  <w:style w:type="paragraph" w:customStyle="1" w:styleId="61">
    <w:name w:val="font7"/>
    <w:basedOn w:val="1"/>
    <w:qFormat/>
    <w:uiPriority w:val="0"/>
    <w:pPr>
      <w:widowControl/>
      <w:spacing w:before="100" w:beforeAutospacing="1" w:after="100" w:afterAutospacing="1"/>
      <w:jc w:val="left"/>
    </w:pPr>
    <w:rPr>
      <w:rFonts w:hint="eastAsia" w:ascii="宋体" w:hAnsi="宋体" w:cs="Arial Unicode MS"/>
      <w:color w:val="000000"/>
      <w:kern w:val="0"/>
      <w:sz w:val="18"/>
      <w:szCs w:val="18"/>
    </w:rPr>
  </w:style>
  <w:style w:type="paragraph" w:customStyle="1" w:styleId="6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63">
    <w:name w:val="Char Char1 Char Char Char Char Char Char"/>
    <w:basedOn w:val="1"/>
    <w:qFormat/>
    <w:uiPriority w:val="0"/>
    <w:pPr>
      <w:widowControl/>
      <w:adjustRightInd w:val="0"/>
      <w:snapToGrid w:val="0"/>
      <w:spacing w:beforeLines="25" w:line="240" w:lineRule="exact"/>
      <w:ind w:firstLine="560" w:firstLineChars="192"/>
      <w:jc w:val="left"/>
    </w:pPr>
    <w:rPr>
      <w:szCs w:val="20"/>
    </w:rPr>
  </w:style>
  <w:style w:type="paragraph" w:customStyle="1" w:styleId="64">
    <w:name w:val="font9"/>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65">
    <w:name w:val="正文（雅黑四号）"/>
    <w:basedOn w:val="1"/>
    <w:link w:val="281"/>
    <w:qFormat/>
    <w:uiPriority w:val="0"/>
    <w:pPr>
      <w:autoSpaceDE w:val="0"/>
      <w:autoSpaceDN w:val="0"/>
      <w:adjustRightInd w:val="0"/>
      <w:spacing w:line="240" w:lineRule="atLeast"/>
      <w:ind w:firstLine="200" w:firstLineChars="200"/>
      <w:jc w:val="left"/>
    </w:pPr>
    <w:rPr>
      <w:rFonts w:ascii="微软雅黑" w:hAnsi="微软雅黑" w:eastAsia="微软雅黑"/>
      <w:kern w:val="0"/>
      <w:sz w:val="24"/>
      <w:szCs w:val="28"/>
    </w:rPr>
  </w:style>
  <w:style w:type="paragraph" w:customStyle="1" w:styleId="66">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68">
    <w:name w:val="font11"/>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69">
    <w:name w:val="表格"/>
    <w:basedOn w:val="1"/>
    <w:qFormat/>
    <w:uiPriority w:val="0"/>
    <w:pPr>
      <w:spacing w:line="400" w:lineRule="exact"/>
    </w:pPr>
    <w:rPr>
      <w:sz w:val="24"/>
    </w:rPr>
  </w:style>
  <w:style w:type="paragraph" w:customStyle="1" w:styleId="70">
    <w:name w:val="Char Char Char Char Char Char"/>
    <w:basedOn w:val="1"/>
    <w:qFormat/>
    <w:uiPriority w:val="0"/>
    <w:rPr>
      <w:rFonts w:ascii="仿宋_GB2312" w:eastAsia="仿宋_GB2312" w:cs="仿宋_GB2312"/>
      <w:b/>
      <w:bCs/>
      <w:sz w:val="32"/>
      <w:szCs w:val="32"/>
    </w:rPr>
  </w:style>
  <w:style w:type="paragraph" w:customStyle="1" w:styleId="7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7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73">
    <w:name w:val="正文文本缩进 31"/>
    <w:basedOn w:val="1"/>
    <w:link w:val="220"/>
    <w:qFormat/>
    <w:uiPriority w:val="0"/>
    <w:pPr>
      <w:spacing w:after="120"/>
      <w:ind w:left="420" w:leftChars="200"/>
    </w:pPr>
    <w:rPr>
      <w:kern w:val="0"/>
      <w:sz w:val="16"/>
      <w:szCs w:val="16"/>
    </w:rPr>
  </w:style>
  <w:style w:type="paragraph" w:customStyle="1" w:styleId="74">
    <w:name w:val="纯文本1"/>
    <w:basedOn w:val="1"/>
    <w:qFormat/>
    <w:uiPriority w:val="0"/>
    <w:rPr>
      <w:rFonts w:ascii="宋体" w:hAnsi="Courier New"/>
      <w:szCs w:val="22"/>
    </w:rPr>
  </w:style>
  <w:style w:type="paragraph" w:customStyle="1" w:styleId="75">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76">
    <w:name w:val="Table Paragraph"/>
    <w:basedOn w:val="1"/>
    <w:qFormat/>
    <w:uiPriority w:val="1"/>
    <w:pPr>
      <w:jc w:val="left"/>
    </w:pPr>
    <w:rPr>
      <w:rFonts w:ascii="宋体" w:hAnsi="宋体" w:cs="宋体"/>
      <w:kern w:val="0"/>
      <w:sz w:val="22"/>
      <w:szCs w:val="22"/>
      <w:lang w:eastAsia="en-US"/>
    </w:rPr>
  </w:style>
  <w:style w:type="paragraph" w:customStyle="1" w:styleId="7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78">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Arial Unicode MS" w:hAnsi="Arial Unicode MS"/>
      <w:kern w:val="0"/>
      <w:sz w:val="20"/>
      <w:szCs w:val="20"/>
    </w:rPr>
  </w:style>
  <w:style w:type="paragraph" w:customStyle="1" w:styleId="79">
    <w:name w:val="Char Char Char1 Char Char Char Char"/>
    <w:basedOn w:val="15"/>
    <w:qFormat/>
    <w:uiPriority w:val="0"/>
    <w:pPr>
      <w:spacing w:line="360" w:lineRule="auto"/>
    </w:pPr>
    <w:rPr>
      <w:sz w:val="24"/>
      <w:szCs w:val="20"/>
    </w:rPr>
  </w:style>
  <w:style w:type="paragraph" w:customStyle="1" w:styleId="80">
    <w:name w:val="font18"/>
    <w:basedOn w:val="1"/>
    <w:qFormat/>
    <w:uiPriority w:val="0"/>
    <w:pPr>
      <w:widowControl/>
      <w:spacing w:before="100" w:beforeAutospacing="1" w:after="100" w:afterAutospacing="1"/>
      <w:jc w:val="left"/>
    </w:pPr>
    <w:rPr>
      <w:rFonts w:hint="eastAsia" w:ascii="仿宋_GB2312" w:hAnsi="Arial Unicode MS" w:eastAsia="仿宋_GB2312"/>
      <w:color w:val="FF0000"/>
      <w:kern w:val="0"/>
      <w:sz w:val="20"/>
      <w:szCs w:val="20"/>
    </w:rPr>
  </w:style>
  <w:style w:type="paragraph" w:customStyle="1" w:styleId="81">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b/>
      <w:bCs/>
      <w:kern w:val="0"/>
      <w:sz w:val="20"/>
      <w:szCs w:val="20"/>
    </w:rPr>
  </w:style>
  <w:style w:type="paragraph" w:customStyle="1" w:styleId="83">
    <w:name w:val="pa-1"/>
    <w:basedOn w:val="1"/>
    <w:qFormat/>
    <w:uiPriority w:val="0"/>
    <w:pPr>
      <w:widowControl/>
      <w:spacing w:line="240" w:lineRule="atLeast"/>
    </w:pPr>
    <w:rPr>
      <w:rFonts w:ascii="宋体" w:hAnsi="宋体" w:cs="宋体"/>
      <w:kern w:val="0"/>
      <w:sz w:val="24"/>
    </w:rPr>
  </w:style>
  <w:style w:type="paragraph" w:customStyle="1" w:styleId="84">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85">
    <w:name w:val="px12black"/>
    <w:basedOn w:val="1"/>
    <w:qFormat/>
    <w:uiPriority w:val="0"/>
    <w:pPr>
      <w:widowControl/>
      <w:spacing w:before="100" w:beforeAutospacing="1" w:after="100" w:afterAutospacing="1"/>
      <w:jc w:val="left"/>
    </w:pPr>
    <w:rPr>
      <w:rFonts w:ascii="宋体" w:hAnsi="宋体" w:cs="宋体"/>
      <w:sz w:val="24"/>
    </w:rPr>
  </w:style>
  <w:style w:type="paragraph" w:customStyle="1" w:styleId="86">
    <w:name w:val="A正文小四"/>
    <w:basedOn w:val="1"/>
    <w:link w:val="204"/>
    <w:qFormat/>
    <w:uiPriority w:val="0"/>
    <w:pPr>
      <w:spacing w:line="360" w:lineRule="auto"/>
      <w:ind w:firstLine="200" w:firstLineChars="200"/>
    </w:pPr>
    <w:rPr>
      <w:sz w:val="24"/>
    </w:rPr>
  </w:style>
  <w:style w:type="paragraph" w:customStyle="1" w:styleId="8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88">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9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szCs w:val="20"/>
    </w:rPr>
  </w:style>
  <w:style w:type="paragraph" w:customStyle="1" w:styleId="91">
    <w:name w:val="Char Char"/>
    <w:basedOn w:val="1"/>
    <w:qFormat/>
    <w:uiPriority w:val="0"/>
    <w:rPr>
      <w:rFonts w:ascii="仿宋_GB2312" w:eastAsia="仿宋_GB2312"/>
      <w:b/>
      <w:sz w:val="32"/>
      <w:szCs w:val="32"/>
    </w:rPr>
  </w:style>
  <w:style w:type="paragraph" w:customStyle="1" w:styleId="92">
    <w:name w:val="列出段落11"/>
    <w:basedOn w:val="1"/>
    <w:qFormat/>
    <w:uiPriority w:val="0"/>
    <w:pPr>
      <w:ind w:firstLine="420" w:firstLineChars="200"/>
    </w:pPr>
    <w:rPr>
      <w:szCs w:val="21"/>
    </w:rPr>
  </w:style>
  <w:style w:type="paragraph" w:customStyle="1" w:styleId="93">
    <w:name w:val="方案正文"/>
    <w:basedOn w:val="1"/>
    <w:link w:val="254"/>
    <w:qFormat/>
    <w:uiPriority w:val="0"/>
    <w:pPr>
      <w:spacing w:line="360" w:lineRule="auto"/>
      <w:ind w:firstLine="420"/>
      <w:jc w:val="left"/>
    </w:pPr>
    <w:rPr>
      <w:rFonts w:eastAsia="仿宋_GB2312"/>
      <w:sz w:val="24"/>
      <w:szCs w:val="20"/>
    </w:rPr>
  </w:style>
  <w:style w:type="paragraph" w:customStyle="1" w:styleId="9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
    <w:name w:val="table"/>
    <w:basedOn w:val="1"/>
    <w:qFormat/>
    <w:uiPriority w:val="0"/>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9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9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99">
    <w:name w:val="xl92"/>
    <w:basedOn w:val="1"/>
    <w:qFormat/>
    <w:uiPriority w:val="0"/>
    <w:pPr>
      <w:widowControl/>
      <w:spacing w:before="100" w:beforeAutospacing="1" w:after="100" w:afterAutospacing="1"/>
      <w:jc w:val="center"/>
    </w:pPr>
    <w:rPr>
      <w:rFonts w:ascii="新宋体" w:hAnsi="新宋体" w:eastAsia="新宋体" w:cs="宋体"/>
      <w:b/>
      <w:bCs/>
      <w:kern w:val="0"/>
      <w:sz w:val="36"/>
      <w:szCs w:val="36"/>
    </w:rPr>
  </w:style>
  <w:style w:type="paragraph" w:customStyle="1" w:styleId="100">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0"/>
      <w:szCs w:val="20"/>
    </w:rPr>
  </w:style>
  <w:style w:type="paragraph" w:customStyle="1" w:styleId="101">
    <w:name w:val="标题 61"/>
    <w:basedOn w:val="1"/>
    <w:qFormat/>
    <w:uiPriority w:val="1"/>
    <w:pPr>
      <w:ind w:left="148" w:right="144"/>
      <w:jc w:val="left"/>
      <w:outlineLvl w:val="6"/>
    </w:pPr>
    <w:rPr>
      <w:rFonts w:ascii="微软雅黑" w:hAnsi="微软雅黑" w:eastAsia="微软雅黑" w:cs="微软雅黑"/>
      <w:b/>
      <w:bCs/>
      <w:kern w:val="0"/>
      <w:sz w:val="24"/>
      <w:lang w:eastAsia="en-US"/>
    </w:rPr>
  </w:style>
  <w:style w:type="paragraph" w:customStyle="1" w:styleId="10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3">
    <w:name w:val="Char Char Char2"/>
    <w:basedOn w:val="1"/>
    <w:qFormat/>
    <w:uiPriority w:val="0"/>
    <w:rPr>
      <w:rFonts w:ascii="Tahoma" w:hAnsi="Tahoma"/>
      <w:sz w:val="24"/>
      <w:szCs w:val="20"/>
    </w:rPr>
  </w:style>
  <w:style w:type="paragraph" w:customStyle="1" w:styleId="104">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纯文本11"/>
    <w:basedOn w:val="1"/>
    <w:next w:val="1"/>
    <w:qFormat/>
    <w:uiPriority w:val="0"/>
    <w:pPr>
      <w:shd w:val="clear" w:color="auto" w:fill="FFFFFF"/>
      <w:autoSpaceDE w:val="0"/>
      <w:autoSpaceDN w:val="0"/>
      <w:adjustRightInd w:val="0"/>
      <w:jc w:val="left"/>
    </w:pPr>
    <w:rPr>
      <w:rFonts w:ascii="Arial" w:hAnsi="Arial" w:cs="Arial"/>
      <w:kern w:val="0"/>
      <w:sz w:val="20"/>
      <w:szCs w:val="20"/>
      <w:shd w:val="clear" w:color="auto" w:fill="FFFFFF"/>
    </w:rPr>
  </w:style>
  <w:style w:type="paragraph" w:customStyle="1" w:styleId="106">
    <w:name w:val="-"/>
    <w:basedOn w:val="1"/>
    <w:qFormat/>
    <w:uiPriority w:val="0"/>
    <w:pPr>
      <w:spacing w:line="360" w:lineRule="auto"/>
    </w:pPr>
    <w:rPr>
      <w:rFonts w:ascii="Arial" w:hAnsi="Arial" w:cs="Arial"/>
      <w:b/>
      <w:bCs/>
      <w:sz w:val="24"/>
      <w:szCs w:val="32"/>
    </w:rPr>
  </w:style>
  <w:style w:type="paragraph" w:customStyle="1" w:styleId="107">
    <w:name w:val="Char1 Char Char Char Char Char Char"/>
    <w:basedOn w:val="1"/>
    <w:qFormat/>
    <w:uiPriority w:val="0"/>
    <w:rPr>
      <w:rFonts w:ascii="Tahoma" w:hAnsi="Tahoma"/>
      <w:sz w:val="24"/>
      <w:szCs w:val="20"/>
    </w:rPr>
  </w:style>
  <w:style w:type="paragraph" w:customStyle="1" w:styleId="108">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9">
    <w:name w:val="Char Char Char1"/>
    <w:basedOn w:val="1"/>
    <w:qFormat/>
    <w:uiPriority w:val="0"/>
    <w:rPr>
      <w:rFonts w:ascii="Tahoma" w:hAnsi="Tahoma" w:cs="宋体"/>
      <w:sz w:val="24"/>
    </w:rPr>
  </w:style>
  <w:style w:type="paragraph" w:customStyle="1" w:styleId="11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11">
    <w:name w:val="font8"/>
    <w:basedOn w:val="1"/>
    <w:qFormat/>
    <w:uiPriority w:val="0"/>
    <w:pPr>
      <w:widowControl/>
      <w:spacing w:before="100" w:beforeAutospacing="1" w:after="100" w:afterAutospacing="1"/>
      <w:jc w:val="left"/>
    </w:pPr>
    <w:rPr>
      <w:rFonts w:hint="eastAsia" w:ascii="仿宋_GB2312" w:hAnsi="Arial Unicode MS" w:eastAsia="仿宋_GB2312"/>
      <w:kern w:val="0"/>
      <w:sz w:val="20"/>
      <w:szCs w:val="20"/>
    </w:rPr>
  </w:style>
  <w:style w:type="paragraph" w:customStyle="1" w:styleId="112">
    <w:name w:val="Char Char Char Char Char Char Char"/>
    <w:basedOn w:val="1"/>
    <w:qFormat/>
    <w:uiPriority w:val="0"/>
    <w:rPr>
      <w:szCs w:val="20"/>
    </w:rPr>
  </w:style>
  <w:style w:type="paragraph" w:customStyle="1" w:styleId="11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1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15">
    <w:name w:val="正文（绿盟科技）"/>
    <w:qFormat/>
    <w:uiPriority w:val="0"/>
    <w:pPr>
      <w:spacing w:line="300" w:lineRule="auto"/>
    </w:pPr>
    <w:rPr>
      <w:rFonts w:ascii="Arial" w:hAnsi="Arial" w:eastAsia="宋体" w:cs="宋体"/>
      <w:sz w:val="21"/>
      <w:szCs w:val="21"/>
      <w:lang w:val="en-US" w:eastAsia="zh-CN" w:bidi="ar-SA"/>
    </w:rPr>
  </w:style>
  <w:style w:type="paragraph" w:customStyle="1" w:styleId="116">
    <w:name w:val="font17"/>
    <w:basedOn w:val="1"/>
    <w:qFormat/>
    <w:uiPriority w:val="0"/>
    <w:pPr>
      <w:widowControl/>
      <w:spacing w:before="100" w:beforeAutospacing="1" w:after="100" w:afterAutospacing="1"/>
      <w:jc w:val="left"/>
    </w:pPr>
    <w:rPr>
      <w:rFonts w:ascii="Arial" w:hAnsi="Arial" w:cs="Arial"/>
      <w:color w:val="FF0000"/>
      <w:kern w:val="0"/>
      <w:sz w:val="20"/>
      <w:szCs w:val="20"/>
    </w:rPr>
  </w:style>
  <w:style w:type="paragraph" w:customStyle="1" w:styleId="117">
    <w:name w:val="font10"/>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18">
    <w:name w:val="标题 21"/>
    <w:basedOn w:val="1"/>
    <w:qFormat/>
    <w:uiPriority w:val="1"/>
    <w:pPr>
      <w:spacing w:before="1"/>
      <w:ind w:left="148" w:right="144"/>
      <w:jc w:val="left"/>
      <w:outlineLvl w:val="2"/>
    </w:pPr>
    <w:rPr>
      <w:rFonts w:ascii="宋体" w:hAnsi="宋体" w:cs="宋体"/>
      <w:kern w:val="0"/>
      <w:sz w:val="32"/>
      <w:szCs w:val="32"/>
      <w:lang w:eastAsia="en-US"/>
    </w:rPr>
  </w:style>
  <w:style w:type="paragraph" w:customStyle="1" w:styleId="119">
    <w:name w:val="font16"/>
    <w:basedOn w:val="1"/>
    <w:qFormat/>
    <w:uiPriority w:val="0"/>
    <w:pPr>
      <w:widowControl/>
      <w:spacing w:before="100" w:beforeAutospacing="1" w:after="100" w:afterAutospacing="1"/>
      <w:jc w:val="left"/>
    </w:pPr>
    <w:rPr>
      <w:color w:val="FF0000"/>
      <w:kern w:val="0"/>
      <w:sz w:val="20"/>
      <w:szCs w:val="20"/>
    </w:rPr>
  </w:style>
  <w:style w:type="paragraph" w:customStyle="1" w:styleId="120">
    <w:name w:val="0"/>
    <w:basedOn w:val="1"/>
    <w:qFormat/>
    <w:uiPriority w:val="0"/>
    <w:pPr>
      <w:widowControl/>
      <w:snapToGrid w:val="0"/>
      <w:spacing w:line="365" w:lineRule="atLeast"/>
      <w:ind w:left="1"/>
      <w:textAlignment w:val="bottom"/>
    </w:pPr>
    <w:rPr>
      <w:kern w:val="0"/>
      <w:sz w:val="20"/>
      <w:szCs w:val="20"/>
    </w:rPr>
  </w:style>
  <w:style w:type="paragraph" w:customStyle="1" w:styleId="121">
    <w:name w:val="font15"/>
    <w:basedOn w:val="1"/>
    <w:qFormat/>
    <w:uiPriority w:val="0"/>
    <w:pPr>
      <w:widowControl/>
      <w:spacing w:before="100" w:beforeAutospacing="1" w:after="100" w:afterAutospacing="1"/>
      <w:jc w:val="left"/>
    </w:pPr>
    <w:rPr>
      <w:b/>
      <w:bCs/>
      <w:color w:val="000000"/>
      <w:kern w:val="0"/>
      <w:sz w:val="20"/>
      <w:szCs w:val="20"/>
    </w:rPr>
  </w:style>
  <w:style w:type="paragraph" w:customStyle="1" w:styleId="122">
    <w:name w:val="List Paragraph1"/>
    <w:basedOn w:val="1"/>
    <w:qFormat/>
    <w:uiPriority w:val="0"/>
    <w:pPr>
      <w:ind w:firstLine="420" w:firstLineChars="200"/>
    </w:pPr>
    <w:rPr>
      <w:rFonts w:ascii="Calibri" w:hAnsi="Calibri" w:cs="Calibri"/>
      <w:szCs w:val="21"/>
    </w:rPr>
  </w:style>
  <w:style w:type="paragraph" w:customStyle="1" w:styleId="123">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2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6">
    <w:name w:val="p0"/>
    <w:basedOn w:val="1"/>
    <w:qFormat/>
    <w:uiPriority w:val="0"/>
    <w:pPr>
      <w:widowControl/>
    </w:pPr>
    <w:rPr>
      <w:rFonts w:hint="eastAsia"/>
      <w:szCs w:val="20"/>
    </w:rPr>
  </w:style>
  <w:style w:type="paragraph" w:customStyle="1" w:styleId="127">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2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29">
    <w:name w:val="Char Char Char Char Char Char1 Char"/>
    <w:basedOn w:val="15"/>
    <w:qFormat/>
    <w:uiPriority w:val="0"/>
    <w:rPr>
      <w:rFonts w:ascii="Tahoma" w:hAnsi="Tahoma"/>
      <w:sz w:val="24"/>
    </w:rPr>
  </w:style>
  <w:style w:type="paragraph" w:customStyle="1" w:styleId="130">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3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20"/>
      <w:szCs w:val="20"/>
    </w:rPr>
  </w:style>
  <w:style w:type="paragraph" w:customStyle="1" w:styleId="132">
    <w:name w:val="font12"/>
    <w:basedOn w:val="1"/>
    <w:qFormat/>
    <w:uiPriority w:val="0"/>
    <w:pPr>
      <w:widowControl/>
      <w:spacing w:before="100" w:beforeAutospacing="1" w:after="100" w:afterAutospacing="1"/>
      <w:jc w:val="left"/>
    </w:pPr>
    <w:rPr>
      <w:rFonts w:hint="eastAsia" w:ascii="宋体" w:hAnsi="宋体"/>
      <w:color w:val="333333"/>
      <w:kern w:val="0"/>
      <w:sz w:val="20"/>
      <w:szCs w:val="20"/>
    </w:rPr>
  </w:style>
  <w:style w:type="paragraph" w:customStyle="1" w:styleId="13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3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35">
    <w:name w:val="样式 宋体 三号 加粗 居中 行距: 最小值 12 磅"/>
    <w:basedOn w:val="1"/>
    <w:qFormat/>
    <w:uiPriority w:val="0"/>
    <w:pPr>
      <w:spacing w:line="240" w:lineRule="atLeast"/>
      <w:jc w:val="center"/>
    </w:pPr>
    <w:rPr>
      <w:rFonts w:ascii="宋体" w:hAnsi="宋体" w:cs="宋体"/>
      <w:b/>
      <w:bCs/>
      <w:szCs w:val="21"/>
    </w:rPr>
  </w:style>
  <w:style w:type="paragraph" w:customStyle="1" w:styleId="136">
    <w:name w:val="font6"/>
    <w:basedOn w:val="1"/>
    <w:qFormat/>
    <w:uiPriority w:val="0"/>
    <w:pPr>
      <w:widowControl/>
      <w:spacing w:before="100" w:beforeAutospacing="1" w:after="100" w:afterAutospacing="1"/>
      <w:jc w:val="left"/>
    </w:pPr>
    <w:rPr>
      <w:rFonts w:hint="eastAsia" w:ascii="宋体" w:hAnsi="宋体" w:cs="Arial Unicode MS"/>
      <w:b/>
      <w:bCs/>
      <w:color w:val="000000"/>
      <w:kern w:val="0"/>
      <w:sz w:val="18"/>
      <w:szCs w:val="18"/>
    </w:rPr>
  </w:style>
  <w:style w:type="paragraph" w:customStyle="1" w:styleId="137">
    <w:name w:val="中等深浅网格 21"/>
    <w:basedOn w:val="1"/>
    <w:qFormat/>
    <w:uiPriority w:val="0"/>
    <w:rPr>
      <w:szCs w:val="32"/>
    </w:rPr>
  </w:style>
  <w:style w:type="paragraph" w:customStyle="1" w:styleId="138">
    <w:name w:val="xl32"/>
    <w:basedOn w:val="1"/>
    <w:qFormat/>
    <w:uiPriority w:val="0"/>
    <w:pPr>
      <w:widowControl/>
      <w:shd w:val="clear" w:color="auto" w:fill="FFFFFF"/>
      <w:spacing w:before="100" w:beforeAutospacing="1" w:after="100" w:afterAutospacing="1"/>
      <w:jc w:val="center"/>
    </w:pPr>
    <w:rPr>
      <w:rFonts w:ascii="Arial Unicode MS" w:hAnsi="Arial Unicode MS"/>
      <w:kern w:val="0"/>
      <w:sz w:val="20"/>
      <w:szCs w:val="20"/>
    </w:rPr>
  </w:style>
  <w:style w:type="paragraph" w:customStyle="1" w:styleId="13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40">
    <w:name w:val="Char Char Char1 Char Char Char Char Char Char"/>
    <w:basedOn w:val="1"/>
    <w:qFormat/>
    <w:uiPriority w:val="0"/>
    <w:pPr>
      <w:spacing w:line="240" w:lineRule="atLeast"/>
    </w:pPr>
    <w:rPr>
      <w:sz w:val="24"/>
      <w:szCs w:val="20"/>
    </w:rPr>
  </w:style>
  <w:style w:type="paragraph" w:customStyle="1" w:styleId="14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2">
    <w:name w:val="样式1"/>
    <w:basedOn w:val="1"/>
    <w:qFormat/>
    <w:uiPriority w:val="0"/>
    <w:rPr>
      <w:szCs w:val="20"/>
    </w:rPr>
  </w:style>
  <w:style w:type="paragraph" w:customStyle="1" w:styleId="143">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144">
    <w:name w:val="表格文字"/>
    <w:basedOn w:val="1"/>
    <w:qFormat/>
    <w:uiPriority w:val="0"/>
    <w:pPr>
      <w:jc w:val="left"/>
    </w:pPr>
    <w:rPr>
      <w:bCs/>
      <w:spacing w:val="10"/>
      <w:sz w:val="24"/>
    </w:rPr>
  </w:style>
  <w:style w:type="paragraph" w:customStyle="1" w:styleId="14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48">
    <w:name w:val="Body text (7)1"/>
    <w:basedOn w:val="1"/>
    <w:link w:val="278"/>
    <w:qFormat/>
    <w:uiPriority w:val="0"/>
    <w:pPr>
      <w:shd w:val="clear" w:color="auto" w:fill="FFFFFF"/>
      <w:spacing w:line="298" w:lineRule="exact"/>
      <w:jc w:val="distribute"/>
    </w:pPr>
    <w:rPr>
      <w:rFonts w:ascii="宋体"/>
      <w:kern w:val="0"/>
      <w:sz w:val="22"/>
      <w:szCs w:val="22"/>
    </w:rPr>
  </w:style>
  <w:style w:type="paragraph" w:customStyle="1" w:styleId="149">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50">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52">
    <w:name w:val="1"/>
    <w:basedOn w:val="1"/>
    <w:next w:val="23"/>
    <w:qFormat/>
    <w:uiPriority w:val="0"/>
    <w:rPr>
      <w:rFonts w:ascii="宋体" w:hAnsi="Courier New"/>
      <w:szCs w:val="20"/>
    </w:rPr>
  </w:style>
  <w:style w:type="paragraph" w:customStyle="1" w:styleId="15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54">
    <w:name w:val="列出段落1"/>
    <w:basedOn w:val="1"/>
    <w:semiHidden/>
    <w:qFormat/>
    <w:uiPriority w:val="0"/>
    <w:pPr>
      <w:ind w:firstLine="420" w:firstLineChars="200"/>
    </w:pPr>
    <w:rPr>
      <w:rFonts w:ascii="Calibri" w:hAnsi="Calibri" w:cs="宋体"/>
      <w:szCs w:val="21"/>
    </w:rPr>
  </w:style>
  <w:style w:type="paragraph" w:customStyle="1" w:styleId="155">
    <w:name w:val="Char Char1 Char Char Char Char"/>
    <w:basedOn w:val="15"/>
    <w:qFormat/>
    <w:uiPriority w:val="0"/>
    <w:rPr>
      <w:rFonts w:ascii="Tahoma" w:hAnsi="Tahoma"/>
      <w:sz w:val="24"/>
    </w:rPr>
  </w:style>
  <w:style w:type="paragraph" w:customStyle="1" w:styleId="156">
    <w:name w:val="标题 11"/>
    <w:basedOn w:val="1"/>
    <w:qFormat/>
    <w:uiPriority w:val="1"/>
    <w:pPr>
      <w:spacing w:line="459" w:lineRule="exact"/>
      <w:ind w:left="3237" w:right="144"/>
      <w:jc w:val="center"/>
      <w:outlineLvl w:val="1"/>
    </w:pPr>
    <w:rPr>
      <w:rFonts w:ascii="微软雅黑" w:hAnsi="微软雅黑" w:eastAsia="微软雅黑" w:cs="微软雅黑"/>
      <w:b/>
      <w:bCs/>
      <w:kern w:val="0"/>
      <w:sz w:val="32"/>
      <w:szCs w:val="32"/>
      <w:lang w:eastAsia="en-US"/>
    </w:rPr>
  </w:style>
  <w:style w:type="paragraph" w:customStyle="1" w:styleId="157">
    <w:name w:val="font14"/>
    <w:basedOn w:val="1"/>
    <w:qFormat/>
    <w:uiPriority w:val="0"/>
    <w:pPr>
      <w:widowControl/>
      <w:spacing w:before="100" w:beforeAutospacing="1" w:after="100" w:afterAutospacing="1"/>
      <w:jc w:val="left"/>
    </w:pPr>
    <w:rPr>
      <w:rFonts w:hint="eastAsia" w:ascii="宋体" w:hAnsi="宋体"/>
      <w:b/>
      <w:bCs/>
      <w:color w:val="000000"/>
      <w:kern w:val="0"/>
      <w:sz w:val="20"/>
      <w:szCs w:val="20"/>
    </w:rPr>
  </w:style>
  <w:style w:type="paragraph" w:customStyle="1" w:styleId="158">
    <w:name w:val="标题 51"/>
    <w:basedOn w:val="1"/>
    <w:qFormat/>
    <w:uiPriority w:val="1"/>
    <w:pPr>
      <w:spacing w:before="15"/>
      <w:ind w:left="665"/>
      <w:jc w:val="left"/>
      <w:outlineLvl w:val="5"/>
    </w:pPr>
    <w:rPr>
      <w:rFonts w:ascii="宋体" w:hAnsi="宋体" w:cs="宋体"/>
      <w:kern w:val="0"/>
      <w:sz w:val="28"/>
      <w:szCs w:val="28"/>
      <w:lang w:eastAsia="en-US"/>
    </w:rPr>
  </w:style>
  <w:style w:type="paragraph" w:customStyle="1" w:styleId="159">
    <w:name w:val="列出段落2"/>
    <w:basedOn w:val="1"/>
    <w:qFormat/>
    <w:uiPriority w:val="0"/>
    <w:pPr>
      <w:ind w:firstLine="420" w:firstLineChars="200"/>
    </w:pPr>
    <w:rPr>
      <w:rFonts w:ascii="Calibri" w:hAnsi="Calibri"/>
      <w:szCs w:val="22"/>
    </w:rPr>
  </w:style>
  <w:style w:type="paragraph" w:customStyle="1" w:styleId="160">
    <w:name w:val="font13"/>
    <w:basedOn w:val="1"/>
    <w:qFormat/>
    <w:uiPriority w:val="0"/>
    <w:pPr>
      <w:widowControl/>
      <w:spacing w:before="100" w:beforeAutospacing="1" w:after="100" w:afterAutospacing="1"/>
      <w:jc w:val="left"/>
    </w:pPr>
    <w:rPr>
      <w:rFonts w:hint="eastAsia" w:ascii="宋体" w:hAnsi="宋体"/>
      <w:color w:val="FF0000"/>
      <w:kern w:val="0"/>
      <w:sz w:val="20"/>
      <w:szCs w:val="20"/>
    </w:rPr>
  </w:style>
  <w:style w:type="paragraph" w:customStyle="1" w:styleId="161">
    <w:name w:val="xl93"/>
    <w:basedOn w:val="1"/>
    <w:qFormat/>
    <w:uiPriority w:val="0"/>
    <w:pPr>
      <w:widowControl/>
      <w:spacing w:before="100" w:beforeAutospacing="1" w:after="100" w:afterAutospacing="1"/>
      <w:jc w:val="center"/>
    </w:pPr>
    <w:rPr>
      <w:b/>
      <w:bCs/>
      <w:kern w:val="0"/>
      <w:sz w:val="36"/>
      <w:szCs w:val="36"/>
    </w:rPr>
  </w:style>
  <w:style w:type="paragraph" w:customStyle="1" w:styleId="162">
    <w:name w:val="TOC 标题1"/>
    <w:basedOn w:val="3"/>
    <w:next w:val="1"/>
    <w:unhideWhenUsed/>
    <w:qFormat/>
    <w:uiPriority w:val="0"/>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6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64">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szCs w:val="20"/>
    </w:rPr>
  </w:style>
  <w:style w:type="paragraph" w:customStyle="1" w:styleId="165">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66">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67">
    <w:name w:val="Char Char Char1 Char8"/>
    <w:basedOn w:val="1"/>
    <w:qFormat/>
    <w:uiPriority w:val="0"/>
    <w:pPr>
      <w:spacing w:line="360" w:lineRule="auto"/>
      <w:ind w:firstLine="200" w:firstLineChars="200"/>
    </w:pPr>
    <w:rPr>
      <w:rFonts w:ascii="宋体" w:hAnsi="宋体" w:cs="宋体"/>
      <w:sz w:val="24"/>
    </w:rPr>
  </w:style>
  <w:style w:type="paragraph" w:customStyle="1" w:styleId="16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16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1">
    <w:name w:val="_Style 1"/>
    <w:basedOn w:val="1"/>
    <w:qFormat/>
    <w:uiPriority w:val="34"/>
    <w:pPr>
      <w:ind w:firstLine="420" w:firstLineChars="200"/>
    </w:pPr>
    <w:rPr>
      <w:rFonts w:ascii="Calibri" w:hAnsi="Calibri"/>
      <w:szCs w:val="22"/>
    </w:rPr>
  </w:style>
  <w:style w:type="paragraph" w:customStyle="1" w:styleId="172">
    <w:name w:val="Char2"/>
    <w:basedOn w:val="1"/>
    <w:qFormat/>
    <w:uiPriority w:val="0"/>
    <w:rPr>
      <w:rFonts w:ascii="Tahoma" w:hAnsi="Tahoma"/>
      <w:sz w:val="24"/>
      <w:szCs w:val="20"/>
    </w:rPr>
  </w:style>
  <w:style w:type="paragraph" w:customStyle="1" w:styleId="173">
    <w:name w:val="p121"/>
    <w:basedOn w:val="1"/>
    <w:qFormat/>
    <w:uiPriority w:val="0"/>
    <w:pPr>
      <w:widowControl/>
      <w:spacing w:before="100" w:beforeAutospacing="1" w:after="100" w:afterAutospacing="1"/>
      <w:jc w:val="left"/>
    </w:pPr>
    <w:rPr>
      <w:rFonts w:ascii="宋体" w:hAnsi="宋体"/>
      <w:color w:val="000000"/>
      <w:kern w:val="0"/>
      <w:sz w:val="24"/>
      <w:szCs w:val="20"/>
    </w:rPr>
  </w:style>
  <w:style w:type="paragraph" w:customStyle="1" w:styleId="17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6">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8">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9">
    <w:name w:val="xl31"/>
    <w:basedOn w:val="1"/>
    <w:qFormat/>
    <w:uiPriority w:val="0"/>
    <w:pPr>
      <w:widowControl/>
      <w:shd w:val="clear" w:color="auto" w:fill="FFFFFF"/>
      <w:spacing w:before="100" w:beforeAutospacing="1" w:after="100" w:afterAutospacing="1"/>
      <w:jc w:val="left"/>
    </w:pPr>
    <w:rPr>
      <w:rFonts w:ascii="Arial Unicode MS" w:hAnsi="Arial Unicode MS"/>
      <w:kern w:val="0"/>
      <w:sz w:val="20"/>
      <w:szCs w:val="20"/>
    </w:rPr>
  </w:style>
  <w:style w:type="paragraph" w:customStyle="1" w:styleId="180">
    <w:name w:val="font19"/>
    <w:basedOn w:val="1"/>
    <w:qFormat/>
    <w:uiPriority w:val="0"/>
    <w:pPr>
      <w:widowControl/>
      <w:spacing w:before="100" w:beforeAutospacing="1" w:after="100" w:afterAutospacing="1"/>
      <w:jc w:val="left"/>
    </w:pPr>
    <w:rPr>
      <w:rFonts w:ascii="Helv" w:hAnsi="Helv"/>
      <w:color w:val="000000"/>
      <w:kern w:val="0"/>
      <w:sz w:val="20"/>
      <w:szCs w:val="20"/>
      <w:u w:val="single"/>
    </w:rPr>
  </w:style>
  <w:style w:type="paragraph" w:customStyle="1" w:styleId="181">
    <w:name w:val="xl94"/>
    <w:basedOn w:val="1"/>
    <w:qFormat/>
    <w:uiPriority w:val="0"/>
    <w:pPr>
      <w:widowControl/>
      <w:spacing w:before="100" w:beforeAutospacing="1" w:after="100" w:afterAutospacing="1"/>
      <w:jc w:val="center"/>
    </w:pPr>
    <w:rPr>
      <w:b/>
      <w:bCs/>
      <w:kern w:val="0"/>
      <w:sz w:val="36"/>
      <w:szCs w:val="36"/>
    </w:rPr>
  </w:style>
  <w:style w:type="paragraph" w:customStyle="1" w:styleId="182">
    <w:name w:val="style1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8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8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7">
    <w:name w:val="列出段落111"/>
    <w:basedOn w:val="1"/>
    <w:link w:val="244"/>
    <w:qFormat/>
    <w:uiPriority w:val="0"/>
    <w:pPr>
      <w:ind w:firstLine="420" w:firstLineChars="200"/>
    </w:pPr>
  </w:style>
  <w:style w:type="paragraph" w:customStyle="1" w:styleId="188">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9">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b/>
      <w:bCs/>
      <w:kern w:val="0"/>
      <w:sz w:val="20"/>
      <w:szCs w:val="20"/>
    </w:rPr>
  </w:style>
  <w:style w:type="paragraph" w:customStyle="1" w:styleId="190">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0"/>
      <w:szCs w:val="20"/>
    </w:rPr>
  </w:style>
  <w:style w:type="paragraph" w:customStyle="1" w:styleId="191">
    <w:name w:val="_Style 76"/>
    <w:basedOn w:val="1"/>
    <w:qFormat/>
    <w:uiPriority w:val="34"/>
    <w:pPr>
      <w:ind w:firstLine="420" w:firstLineChars="200"/>
    </w:pPr>
  </w:style>
  <w:style w:type="paragraph" w:customStyle="1" w:styleId="192">
    <w:name w:val="Char Char8"/>
    <w:basedOn w:val="1"/>
    <w:qFormat/>
    <w:uiPriority w:val="0"/>
    <w:pPr>
      <w:widowControl/>
      <w:spacing w:after="160" w:line="240" w:lineRule="exact"/>
      <w:jc w:val="left"/>
    </w:pPr>
    <w:rPr>
      <w:rFonts w:ascii="Verdana" w:hAnsi="Verdana" w:eastAsia="仿宋_GB2312" w:cs="仿宋_GB2312"/>
      <w:sz w:val="24"/>
      <w:lang w:eastAsia="en-US"/>
    </w:rPr>
  </w:style>
  <w:style w:type="paragraph" w:customStyle="1" w:styleId="19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94">
    <w:name w:val="Char Char Char"/>
    <w:basedOn w:val="1"/>
    <w:qFormat/>
    <w:uiPriority w:val="0"/>
    <w:rPr>
      <w:rFonts w:ascii="Tahoma" w:hAnsi="Tahoma"/>
      <w:sz w:val="24"/>
      <w:szCs w:val="20"/>
    </w:rPr>
  </w:style>
  <w:style w:type="paragraph" w:customStyle="1" w:styleId="195">
    <w:name w:val="Char"/>
    <w:basedOn w:val="1"/>
    <w:qFormat/>
    <w:uiPriority w:val="0"/>
    <w:pPr>
      <w:widowControl/>
      <w:adjustRightInd w:val="0"/>
      <w:snapToGrid w:val="0"/>
      <w:spacing w:after="160" w:line="240" w:lineRule="exact"/>
      <w:jc w:val="left"/>
    </w:pPr>
    <w:rPr>
      <w:szCs w:val="20"/>
    </w:rPr>
  </w:style>
  <w:style w:type="paragraph" w:customStyle="1" w:styleId="19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19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9">
    <w:name w:val="标题A"/>
    <w:basedOn w:val="1"/>
    <w:qFormat/>
    <w:uiPriority w:val="0"/>
    <w:pPr>
      <w:autoSpaceDE w:val="0"/>
      <w:autoSpaceDN w:val="0"/>
      <w:adjustRightInd w:val="0"/>
      <w:ind w:left="720" w:right="-866"/>
      <w:jc w:val="left"/>
      <w:textAlignment w:val="baseline"/>
    </w:pPr>
    <w:rPr>
      <w:rFonts w:hAnsi="Arial" w:eastAsia="黑体"/>
      <w:i/>
      <w:kern w:val="0"/>
      <w:sz w:val="28"/>
      <w:szCs w:val="20"/>
    </w:rPr>
  </w:style>
  <w:style w:type="paragraph" w:customStyle="1" w:styleId="200">
    <w:name w:val="标题 41"/>
    <w:basedOn w:val="1"/>
    <w:qFormat/>
    <w:uiPriority w:val="1"/>
    <w:pPr>
      <w:spacing w:line="415" w:lineRule="exact"/>
      <w:ind w:left="3237" w:right="144"/>
      <w:jc w:val="left"/>
      <w:outlineLvl w:val="4"/>
    </w:pPr>
    <w:rPr>
      <w:rFonts w:ascii="微软雅黑" w:hAnsi="微软雅黑" w:eastAsia="微软雅黑" w:cs="微软雅黑"/>
      <w:b/>
      <w:bCs/>
      <w:kern w:val="0"/>
      <w:sz w:val="28"/>
      <w:szCs w:val="28"/>
      <w:lang w:eastAsia="en-US"/>
    </w:rPr>
  </w:style>
  <w:style w:type="paragraph" w:customStyle="1" w:styleId="201">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20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20"/>
      <w:szCs w:val="20"/>
    </w:rPr>
  </w:style>
  <w:style w:type="character" w:customStyle="1" w:styleId="203">
    <w:name w:val="批注主题 Char1"/>
    <w:qFormat/>
    <w:uiPriority w:val="0"/>
    <w:rPr>
      <w:kern w:val="2"/>
      <w:sz w:val="21"/>
      <w:szCs w:val="24"/>
    </w:rPr>
  </w:style>
  <w:style w:type="character" w:customStyle="1" w:styleId="204">
    <w:name w:val="A正文小四 Char"/>
    <w:link w:val="86"/>
    <w:qFormat/>
    <w:locked/>
    <w:uiPriority w:val="0"/>
    <w:rPr>
      <w:kern w:val="2"/>
      <w:sz w:val="24"/>
      <w:szCs w:val="24"/>
    </w:rPr>
  </w:style>
  <w:style w:type="character" w:customStyle="1" w:styleId="205">
    <w:name w:val="font"/>
    <w:basedOn w:val="45"/>
    <w:qFormat/>
    <w:uiPriority w:val="0"/>
  </w:style>
  <w:style w:type="character" w:customStyle="1" w:styleId="206">
    <w:name w:val="文档结构图 Char"/>
    <w:link w:val="15"/>
    <w:qFormat/>
    <w:uiPriority w:val="0"/>
    <w:rPr>
      <w:kern w:val="2"/>
      <w:sz w:val="21"/>
      <w:szCs w:val="24"/>
      <w:shd w:val="clear" w:color="auto" w:fill="000080"/>
    </w:rPr>
  </w:style>
  <w:style w:type="character" w:customStyle="1" w:styleId="207">
    <w:name w:val="批注框文本 Char"/>
    <w:link w:val="27"/>
    <w:qFormat/>
    <w:locked/>
    <w:uiPriority w:val="0"/>
    <w:rPr>
      <w:kern w:val="2"/>
      <w:sz w:val="18"/>
      <w:szCs w:val="18"/>
    </w:rPr>
  </w:style>
  <w:style w:type="character" w:customStyle="1" w:styleId="208">
    <w:name w:val="Body text (7)"/>
    <w:qFormat/>
    <w:uiPriority w:val="0"/>
    <w:rPr>
      <w:rFonts w:ascii="宋体"/>
      <w:sz w:val="22"/>
      <w:szCs w:val="22"/>
      <w:shd w:val="clear" w:color="auto" w:fill="FFFFFF"/>
    </w:rPr>
  </w:style>
  <w:style w:type="character" w:customStyle="1" w:styleId="209">
    <w:name w:val="HTML 预设格式 Char2"/>
    <w:semiHidden/>
    <w:qFormat/>
    <w:uiPriority w:val="0"/>
    <w:rPr>
      <w:rFonts w:ascii="Courier New" w:hAnsi="Courier New" w:cs="Courier New"/>
      <w:kern w:val="2"/>
    </w:rPr>
  </w:style>
  <w:style w:type="character" w:customStyle="1" w:styleId="210">
    <w:name w:val="标题 5 Char"/>
    <w:link w:val="7"/>
    <w:qFormat/>
    <w:uiPriority w:val="0"/>
    <w:rPr>
      <w:b/>
      <w:bCs/>
      <w:kern w:val="2"/>
      <w:sz w:val="28"/>
      <w:szCs w:val="28"/>
    </w:rPr>
  </w:style>
  <w:style w:type="character" w:customStyle="1" w:styleId="211">
    <w:name w:val="marklong"/>
    <w:basedOn w:val="45"/>
    <w:qFormat/>
    <w:uiPriority w:val="0"/>
  </w:style>
  <w:style w:type="character" w:customStyle="1" w:styleId="212">
    <w:name w:val="apple-converted-space"/>
    <w:basedOn w:val="45"/>
    <w:qFormat/>
    <w:uiPriority w:val="0"/>
  </w:style>
  <w:style w:type="character" w:customStyle="1" w:styleId="213">
    <w:name w:val="font71"/>
    <w:qFormat/>
    <w:uiPriority w:val="0"/>
    <w:rPr>
      <w:rFonts w:hint="eastAsia" w:ascii="宋体" w:hAnsi="宋体" w:eastAsia="宋体" w:cs="宋体"/>
      <w:color w:val="000000"/>
      <w:sz w:val="21"/>
      <w:szCs w:val="21"/>
      <w:u w:val="none"/>
    </w:rPr>
  </w:style>
  <w:style w:type="character" w:customStyle="1" w:styleId="214">
    <w:name w:val="标题 Char1"/>
    <w:qFormat/>
    <w:uiPriority w:val="0"/>
    <w:rPr>
      <w:rFonts w:ascii="Cambria" w:hAnsi="Cambria" w:cs="Times New Roman"/>
      <w:b/>
      <w:bCs/>
      <w:kern w:val="2"/>
      <w:sz w:val="32"/>
      <w:szCs w:val="32"/>
    </w:rPr>
  </w:style>
  <w:style w:type="character" w:customStyle="1" w:styleId="215">
    <w:name w:val="正文文本缩进 Char1"/>
    <w:semiHidden/>
    <w:qFormat/>
    <w:uiPriority w:val="0"/>
    <w:rPr>
      <w:kern w:val="2"/>
      <w:sz w:val="21"/>
      <w:szCs w:val="24"/>
    </w:rPr>
  </w:style>
  <w:style w:type="character" w:customStyle="1" w:styleId="216">
    <w:name w:val="正文文本缩进 2 Char1"/>
    <w:semiHidden/>
    <w:qFormat/>
    <w:uiPriority w:val="0"/>
    <w:rPr>
      <w:kern w:val="2"/>
      <w:sz w:val="21"/>
      <w:szCs w:val="24"/>
    </w:rPr>
  </w:style>
  <w:style w:type="character" w:customStyle="1" w:styleId="217">
    <w:name w:val="标题 8 Char"/>
    <w:link w:val="10"/>
    <w:qFormat/>
    <w:uiPriority w:val="0"/>
    <w:rPr>
      <w:rFonts w:ascii="Arial" w:hAnsi="Arial" w:eastAsia="黑体"/>
      <w:kern w:val="2"/>
      <w:sz w:val="24"/>
      <w:szCs w:val="24"/>
    </w:rPr>
  </w:style>
  <w:style w:type="character" w:customStyle="1" w:styleId="218">
    <w:name w:val="标题 6 Char"/>
    <w:link w:val="8"/>
    <w:qFormat/>
    <w:uiPriority w:val="0"/>
    <w:rPr>
      <w:rFonts w:ascii="Arial" w:hAnsi="Arial" w:eastAsia="黑体"/>
      <w:b/>
      <w:bCs/>
      <w:kern w:val="2"/>
      <w:sz w:val="24"/>
      <w:szCs w:val="24"/>
    </w:rPr>
  </w:style>
  <w:style w:type="character" w:customStyle="1" w:styleId="219">
    <w:name w:val="标题 Char2"/>
    <w:qFormat/>
    <w:uiPriority w:val="0"/>
    <w:rPr>
      <w:rFonts w:ascii="Cambria" w:hAnsi="Cambria" w:cs="Times New Roman"/>
      <w:b/>
      <w:bCs/>
      <w:kern w:val="2"/>
      <w:sz w:val="32"/>
      <w:szCs w:val="32"/>
    </w:rPr>
  </w:style>
  <w:style w:type="character" w:customStyle="1" w:styleId="220">
    <w:name w:val="正文文本缩进 3 Char Char"/>
    <w:link w:val="73"/>
    <w:qFormat/>
    <w:uiPriority w:val="0"/>
    <w:rPr>
      <w:sz w:val="16"/>
      <w:szCs w:val="16"/>
    </w:rPr>
  </w:style>
  <w:style w:type="character" w:customStyle="1" w:styleId="221">
    <w:name w:val="标题 Char"/>
    <w:link w:val="41"/>
    <w:qFormat/>
    <w:uiPriority w:val="0"/>
    <w:rPr>
      <w:rFonts w:ascii="Cambria" w:hAnsi="Cambria"/>
      <w:b/>
      <w:bCs/>
      <w:kern w:val="2"/>
      <w:sz w:val="32"/>
      <w:szCs w:val="32"/>
    </w:rPr>
  </w:style>
  <w:style w:type="character" w:customStyle="1" w:styleId="222">
    <w:name w:val="style141"/>
    <w:qFormat/>
    <w:uiPriority w:val="0"/>
    <w:rPr>
      <w:color w:val="76738E"/>
      <w:sz w:val="18"/>
      <w:szCs w:val="18"/>
    </w:rPr>
  </w:style>
  <w:style w:type="character" w:customStyle="1" w:styleId="223">
    <w:name w:val="ca-51"/>
    <w:qFormat/>
    <w:uiPriority w:val="0"/>
    <w:rPr>
      <w:rFonts w:hint="default" w:ascii="Times New Roman" w:hAnsi="Times New Roman" w:cs="Times New Roman"/>
      <w:sz w:val="21"/>
      <w:szCs w:val="21"/>
    </w:rPr>
  </w:style>
  <w:style w:type="character" w:customStyle="1" w:styleId="224">
    <w:name w:val="apple-style-span"/>
    <w:basedOn w:val="45"/>
    <w:qFormat/>
    <w:uiPriority w:val="0"/>
  </w:style>
  <w:style w:type="character" w:customStyle="1" w:styleId="225">
    <w:name w:val="标题 7 Char"/>
    <w:link w:val="9"/>
    <w:qFormat/>
    <w:uiPriority w:val="0"/>
    <w:rPr>
      <w:b/>
      <w:bCs/>
      <w:kern w:val="2"/>
      <w:sz w:val="24"/>
      <w:szCs w:val="24"/>
    </w:rPr>
  </w:style>
  <w:style w:type="character" w:customStyle="1" w:styleId="226">
    <w:name w:val="正文缩进 Char"/>
    <w:link w:val="14"/>
    <w:qFormat/>
    <w:uiPriority w:val="0"/>
    <w:rPr>
      <w:kern w:val="2"/>
      <w:sz w:val="21"/>
    </w:rPr>
  </w:style>
  <w:style w:type="character" w:customStyle="1" w:styleId="227">
    <w:name w:val="profont1"/>
    <w:qFormat/>
    <w:uiPriority w:val="0"/>
    <w:rPr>
      <w:rFonts w:ascii="Verdana" w:cs="Verdana"/>
      <w:b/>
      <w:bCs/>
    </w:rPr>
  </w:style>
  <w:style w:type="character" w:customStyle="1" w:styleId="228">
    <w:name w:val="标题 1 Char"/>
    <w:link w:val="3"/>
    <w:qFormat/>
    <w:uiPriority w:val="0"/>
    <w:rPr>
      <w:b/>
      <w:bCs/>
      <w:kern w:val="44"/>
      <w:sz w:val="44"/>
      <w:szCs w:val="44"/>
    </w:rPr>
  </w:style>
  <w:style w:type="character" w:customStyle="1" w:styleId="229">
    <w:name w:val="批注文字 Char1"/>
    <w:link w:val="16"/>
    <w:qFormat/>
    <w:uiPriority w:val="0"/>
    <w:rPr>
      <w:kern w:val="2"/>
      <w:sz w:val="21"/>
      <w:szCs w:val="24"/>
    </w:rPr>
  </w:style>
  <w:style w:type="character" w:customStyle="1" w:styleId="230">
    <w:name w:val="纯文本 Char"/>
    <w:link w:val="23"/>
    <w:qFormat/>
    <w:uiPriority w:val="0"/>
    <w:rPr>
      <w:rFonts w:ascii="宋体" w:hAnsi="Courier New"/>
      <w:kern w:val="2"/>
      <w:sz w:val="21"/>
    </w:rPr>
  </w:style>
  <w:style w:type="character" w:customStyle="1" w:styleId="231">
    <w:name w:val="标题 9 Char"/>
    <w:link w:val="11"/>
    <w:qFormat/>
    <w:uiPriority w:val="0"/>
    <w:rPr>
      <w:rFonts w:ascii="Arial" w:hAnsi="Arial" w:eastAsia="黑体"/>
      <w:kern w:val="2"/>
      <w:sz w:val="28"/>
      <w:szCs w:val="21"/>
    </w:rPr>
  </w:style>
  <w:style w:type="character" w:customStyle="1" w:styleId="232">
    <w:name w:val="正文文本缩进 3 Char"/>
    <w:link w:val="33"/>
    <w:qFormat/>
    <w:locked/>
    <w:uiPriority w:val="0"/>
    <w:rPr>
      <w:color w:val="000000"/>
      <w:kern w:val="2"/>
      <w:sz w:val="21"/>
      <w:szCs w:val="24"/>
    </w:rPr>
  </w:style>
  <w:style w:type="character" w:customStyle="1" w:styleId="233">
    <w:name w:val="headline-content"/>
    <w:basedOn w:val="45"/>
    <w:qFormat/>
    <w:uiPriority w:val="0"/>
  </w:style>
  <w:style w:type="character" w:customStyle="1" w:styleId="234">
    <w:name w:val="正文文本 Char2"/>
    <w:semiHidden/>
    <w:qFormat/>
    <w:uiPriority w:val="0"/>
    <w:rPr>
      <w:kern w:val="2"/>
      <w:sz w:val="21"/>
      <w:szCs w:val="24"/>
    </w:rPr>
  </w:style>
  <w:style w:type="character" w:customStyle="1" w:styleId="235">
    <w:name w:val="批注主题 Char"/>
    <w:link w:val="42"/>
    <w:qFormat/>
    <w:uiPriority w:val="0"/>
    <w:rPr>
      <w:kern w:val="2"/>
      <w:sz w:val="21"/>
      <w:szCs w:val="24"/>
    </w:rPr>
  </w:style>
  <w:style w:type="character" w:customStyle="1" w:styleId="236">
    <w:name w:val="正文（雅黑四号） Char Char"/>
    <w:qFormat/>
    <w:uiPriority w:val="0"/>
    <w:rPr>
      <w:rFonts w:ascii="微软雅黑" w:hAnsi="微软雅黑" w:eastAsia="微软雅黑"/>
      <w:sz w:val="24"/>
      <w:szCs w:val="28"/>
      <w:lang w:bidi="ar-SA"/>
    </w:rPr>
  </w:style>
  <w:style w:type="character" w:customStyle="1" w:styleId="237">
    <w:name w:val="Footer Char"/>
    <w:qFormat/>
    <w:locked/>
    <w:uiPriority w:val="0"/>
    <w:rPr>
      <w:rFonts w:cs="Times New Roman"/>
      <w:sz w:val="18"/>
      <w:szCs w:val="18"/>
    </w:rPr>
  </w:style>
  <w:style w:type="character" w:customStyle="1" w:styleId="238">
    <w:name w:val="批注文字 Char"/>
    <w:qFormat/>
    <w:uiPriority w:val="0"/>
    <w:rPr>
      <w:kern w:val="2"/>
      <w:sz w:val="21"/>
      <w:szCs w:val="24"/>
    </w:rPr>
  </w:style>
  <w:style w:type="character" w:customStyle="1" w:styleId="239">
    <w:name w:val="普通文字1 Char1"/>
    <w:qFormat/>
    <w:uiPriority w:val="0"/>
    <w:rPr>
      <w:rFonts w:ascii="宋体" w:hAnsi="Courier New"/>
      <w:kern w:val="2"/>
      <w:sz w:val="24"/>
    </w:rPr>
  </w:style>
  <w:style w:type="character" w:customStyle="1" w:styleId="240">
    <w:name w:val="正文文本 Char"/>
    <w:qFormat/>
    <w:uiPriority w:val="0"/>
    <w:rPr>
      <w:rFonts w:eastAsia="宋体"/>
      <w:sz w:val="30"/>
      <w:szCs w:val="24"/>
      <w:lang w:bidi="ar-SA"/>
    </w:rPr>
  </w:style>
  <w:style w:type="character" w:customStyle="1" w:styleId="241">
    <w:name w:val="f141"/>
    <w:qFormat/>
    <w:uiPriority w:val="0"/>
    <w:rPr>
      <w:sz w:val="21"/>
      <w:szCs w:val="21"/>
    </w:rPr>
  </w:style>
  <w:style w:type="character" w:customStyle="1" w:styleId="242">
    <w:name w:val="ca-21"/>
    <w:qFormat/>
    <w:uiPriority w:val="0"/>
    <w:rPr>
      <w:rFonts w:hint="eastAsia" w:ascii="宋体" w:hAnsi="宋体" w:eastAsia="宋体"/>
      <w:sz w:val="21"/>
      <w:szCs w:val="21"/>
    </w:rPr>
  </w:style>
  <w:style w:type="character" w:customStyle="1" w:styleId="243">
    <w:name w:val="mark13"/>
    <w:basedOn w:val="45"/>
    <w:qFormat/>
    <w:uiPriority w:val="0"/>
  </w:style>
  <w:style w:type="character" w:customStyle="1" w:styleId="244">
    <w:name w:val="列出段落 Char"/>
    <w:link w:val="187"/>
    <w:qFormat/>
    <w:uiPriority w:val="0"/>
    <w:rPr>
      <w:kern w:val="2"/>
      <w:sz w:val="21"/>
      <w:szCs w:val="24"/>
    </w:rPr>
  </w:style>
  <w:style w:type="character" w:customStyle="1" w:styleId="245">
    <w:name w:val="日期 Char1"/>
    <w:qFormat/>
    <w:uiPriority w:val="0"/>
    <w:rPr>
      <w:kern w:val="2"/>
      <w:sz w:val="21"/>
      <w:szCs w:val="24"/>
    </w:rPr>
  </w:style>
  <w:style w:type="character" w:customStyle="1" w:styleId="246">
    <w:name w:val="style1"/>
    <w:basedOn w:val="45"/>
    <w:qFormat/>
    <w:uiPriority w:val="0"/>
  </w:style>
  <w:style w:type="character" w:customStyle="1" w:styleId="247">
    <w:name w:val="ca-71"/>
    <w:qFormat/>
    <w:uiPriority w:val="0"/>
    <w:rPr>
      <w:rFonts w:hint="default" w:ascii="Times New Roman" w:hAnsi="Times New Roman" w:cs="Times New Roman"/>
      <w:b/>
      <w:bCs/>
      <w:spacing w:val="-20"/>
      <w:sz w:val="21"/>
      <w:szCs w:val="21"/>
    </w:rPr>
  </w:style>
  <w:style w:type="character" w:customStyle="1" w:styleId="248">
    <w:name w:val="正文文本缩进 3 Char1"/>
    <w:semiHidden/>
    <w:qFormat/>
    <w:uiPriority w:val="0"/>
    <w:rPr>
      <w:kern w:val="2"/>
      <w:sz w:val="16"/>
      <w:szCs w:val="16"/>
    </w:rPr>
  </w:style>
  <w:style w:type="character" w:customStyle="1" w:styleId="249">
    <w:name w:val="正文文本 2 Char"/>
    <w:link w:val="36"/>
    <w:qFormat/>
    <w:uiPriority w:val="0"/>
    <w:rPr>
      <w:rFonts w:ascii="宋体" w:hAnsi="宋体"/>
      <w:color w:val="0000FF"/>
      <w:kern w:val="2"/>
      <w:sz w:val="21"/>
      <w:szCs w:val="18"/>
    </w:rPr>
  </w:style>
  <w:style w:type="character" w:customStyle="1" w:styleId="250">
    <w:name w:val="批注框文本 Char1"/>
    <w:semiHidden/>
    <w:qFormat/>
    <w:uiPriority w:val="0"/>
    <w:rPr>
      <w:kern w:val="2"/>
      <w:sz w:val="18"/>
      <w:szCs w:val="18"/>
    </w:rPr>
  </w:style>
  <w:style w:type="character" w:customStyle="1" w:styleId="251">
    <w:name w:val="ca-61"/>
    <w:qFormat/>
    <w:uiPriority w:val="0"/>
    <w:rPr>
      <w:rFonts w:hint="eastAsia" w:ascii="宋体" w:hAnsi="宋体" w:eastAsia="宋体"/>
      <w:b/>
      <w:bCs/>
      <w:spacing w:val="-20"/>
      <w:sz w:val="21"/>
      <w:szCs w:val="21"/>
    </w:rPr>
  </w:style>
  <w:style w:type="character" w:customStyle="1" w:styleId="252">
    <w:name w:val="正文文本 3 Char"/>
    <w:link w:val="17"/>
    <w:qFormat/>
    <w:uiPriority w:val="0"/>
    <w:rPr>
      <w:b/>
      <w:bCs/>
      <w:kern w:val="2"/>
      <w:sz w:val="21"/>
      <w:szCs w:val="24"/>
    </w:rPr>
  </w:style>
  <w:style w:type="character" w:customStyle="1" w:styleId="253">
    <w:name w:val="文档结构图 Char1"/>
    <w:semiHidden/>
    <w:qFormat/>
    <w:uiPriority w:val="0"/>
    <w:rPr>
      <w:rFonts w:ascii="宋体"/>
      <w:kern w:val="2"/>
      <w:sz w:val="18"/>
      <w:szCs w:val="18"/>
    </w:rPr>
  </w:style>
  <w:style w:type="character" w:customStyle="1" w:styleId="254">
    <w:name w:val="方案正文 Char"/>
    <w:link w:val="93"/>
    <w:qFormat/>
    <w:uiPriority w:val="0"/>
    <w:rPr>
      <w:rFonts w:eastAsia="仿宋_GB2312" w:cs="宋体"/>
      <w:kern w:val="2"/>
      <w:sz w:val="24"/>
    </w:rPr>
  </w:style>
  <w:style w:type="character" w:customStyle="1" w:styleId="255">
    <w:name w:val="标题 4 Char"/>
    <w:link w:val="6"/>
    <w:qFormat/>
    <w:uiPriority w:val="0"/>
    <w:rPr>
      <w:rFonts w:ascii="Arial" w:hAnsi="Arial" w:eastAsia="黑体"/>
      <w:b/>
      <w:bCs/>
      <w:kern w:val="2"/>
      <w:sz w:val="28"/>
      <w:szCs w:val="28"/>
    </w:rPr>
  </w:style>
  <w:style w:type="character" w:customStyle="1" w:styleId="256">
    <w:name w:val="正文文本 Char1"/>
    <w:link w:val="2"/>
    <w:qFormat/>
    <w:uiPriority w:val="0"/>
    <w:rPr>
      <w:rFonts w:ascii="金山简黑体" w:hAnsi="Courier New" w:eastAsia="金山简黑体"/>
      <w:b/>
      <w:spacing w:val="-8"/>
      <w:kern w:val="2"/>
      <w:sz w:val="44"/>
    </w:rPr>
  </w:style>
  <w:style w:type="character" w:customStyle="1" w:styleId="257">
    <w:name w:val="H1 Char"/>
    <w:qFormat/>
    <w:uiPriority w:val="0"/>
    <w:rPr>
      <w:rFonts w:eastAsia="黑体"/>
      <w:b/>
      <w:kern w:val="44"/>
      <w:sz w:val="28"/>
      <w:lang w:val="en-US" w:eastAsia="zh-CN" w:bidi="ar-SA"/>
    </w:rPr>
  </w:style>
  <w:style w:type="character" w:customStyle="1" w:styleId="258">
    <w:name w:val="style91"/>
    <w:qFormat/>
    <w:uiPriority w:val="0"/>
    <w:rPr>
      <w:color w:val="000000"/>
    </w:rPr>
  </w:style>
  <w:style w:type="character" w:customStyle="1" w:styleId="259">
    <w:name w:val="标题 3 Char"/>
    <w:link w:val="5"/>
    <w:qFormat/>
    <w:uiPriority w:val="0"/>
    <w:rPr>
      <w:b/>
      <w:bCs/>
      <w:kern w:val="2"/>
      <w:sz w:val="32"/>
      <w:szCs w:val="32"/>
    </w:rPr>
  </w:style>
  <w:style w:type="character" w:customStyle="1" w:styleId="260">
    <w:name w:val="正文文本缩进 Char"/>
    <w:link w:val="18"/>
    <w:qFormat/>
    <w:uiPriority w:val="0"/>
    <w:rPr>
      <w:rFonts w:ascii="宋体" w:hAnsi="Courier New"/>
      <w:spacing w:val="-4"/>
      <w:kern w:val="2"/>
      <w:sz w:val="18"/>
    </w:rPr>
  </w:style>
  <w:style w:type="character" w:customStyle="1" w:styleId="261">
    <w:name w:val="bottom1"/>
    <w:qFormat/>
    <w:uiPriority w:val="0"/>
    <w:rPr>
      <w:rFonts w:ascii="??" w:cs="??"/>
      <w:sz w:val="20"/>
      <w:szCs w:val="20"/>
    </w:rPr>
  </w:style>
  <w:style w:type="character" w:customStyle="1" w:styleId="262">
    <w:name w:val="H2 Char"/>
    <w:qFormat/>
    <w:uiPriority w:val="0"/>
    <w:rPr>
      <w:rFonts w:ascii="Times New Roman" w:hAnsi="Times New Roman" w:eastAsia="黑体" w:cs="Times New Roman"/>
      <w:b/>
      <w:kern w:val="0"/>
      <w:sz w:val="28"/>
      <w:szCs w:val="20"/>
    </w:rPr>
  </w:style>
  <w:style w:type="character" w:customStyle="1" w:styleId="263">
    <w:name w:val="u3"/>
    <w:basedOn w:val="45"/>
    <w:qFormat/>
    <w:uiPriority w:val="0"/>
  </w:style>
  <w:style w:type="character" w:customStyle="1" w:styleId="264">
    <w:name w:val="Char Char1"/>
    <w:qFormat/>
    <w:uiPriority w:val="0"/>
    <w:rPr>
      <w:rFonts w:eastAsia="宋体"/>
      <w:b/>
      <w:kern w:val="44"/>
      <w:sz w:val="44"/>
      <w:lang w:val="en-US" w:eastAsia="zh-CN"/>
    </w:rPr>
  </w:style>
  <w:style w:type="character" w:customStyle="1" w:styleId="265">
    <w:name w:val="页脚 Char"/>
    <w:link w:val="28"/>
    <w:qFormat/>
    <w:uiPriority w:val="0"/>
    <w:rPr>
      <w:kern w:val="2"/>
      <w:sz w:val="18"/>
      <w:szCs w:val="18"/>
    </w:rPr>
  </w:style>
  <w:style w:type="character" w:customStyle="1" w:styleId="266">
    <w:name w:val="blacktext"/>
    <w:basedOn w:val="45"/>
    <w:qFormat/>
    <w:uiPriority w:val="0"/>
  </w:style>
  <w:style w:type="character" w:customStyle="1" w:styleId="267">
    <w:name w:val="页眉 Char"/>
    <w:link w:val="29"/>
    <w:qFormat/>
    <w:uiPriority w:val="0"/>
    <w:rPr>
      <w:kern w:val="2"/>
      <w:sz w:val="18"/>
      <w:szCs w:val="18"/>
    </w:rPr>
  </w:style>
  <w:style w:type="character" w:customStyle="1" w:styleId="268">
    <w:name w:val="纯文本 Char1"/>
    <w:qFormat/>
    <w:uiPriority w:val="0"/>
    <w:rPr>
      <w:rFonts w:ascii="宋体" w:hAnsi="Courier New" w:eastAsia="宋体"/>
      <w:kern w:val="2"/>
      <w:sz w:val="21"/>
      <w:lang w:val="en-US" w:eastAsia="zh-CN" w:bidi="ar-SA"/>
    </w:rPr>
  </w:style>
  <w:style w:type="character" w:customStyle="1" w:styleId="269">
    <w:name w:val="HTML 预设格式 Char1"/>
    <w:qFormat/>
    <w:uiPriority w:val="0"/>
    <w:rPr>
      <w:rFonts w:ascii="Courier New" w:hAnsi="Courier New" w:cs="Courier New"/>
      <w:kern w:val="2"/>
    </w:rPr>
  </w:style>
  <w:style w:type="character" w:customStyle="1" w:styleId="270">
    <w:name w:val="日期 Char"/>
    <w:link w:val="25"/>
    <w:qFormat/>
    <w:locked/>
    <w:uiPriority w:val="0"/>
    <w:rPr>
      <w:rFonts w:ascii="宋体" w:hAnsi="Courier New"/>
      <w:bCs/>
      <w:kern w:val="2"/>
      <w:sz w:val="24"/>
    </w:rPr>
  </w:style>
  <w:style w:type="character" w:customStyle="1" w:styleId="271">
    <w:name w:val="标题 2 Char"/>
    <w:link w:val="4"/>
    <w:qFormat/>
    <w:uiPriority w:val="0"/>
    <w:rPr>
      <w:rFonts w:ascii="Arial" w:hAnsi="Arial" w:eastAsia="黑体"/>
      <w:b/>
      <w:bCs/>
      <w:kern w:val="2"/>
      <w:sz w:val="32"/>
      <w:szCs w:val="32"/>
    </w:rPr>
  </w:style>
  <w:style w:type="character" w:customStyle="1" w:styleId="272">
    <w:name w:val="标题 3 Char1"/>
    <w:qFormat/>
    <w:uiPriority w:val="0"/>
    <w:rPr>
      <w:rFonts w:eastAsia="宋体"/>
      <w:b/>
      <w:bCs/>
      <w:kern w:val="2"/>
      <w:sz w:val="32"/>
      <w:szCs w:val="32"/>
      <w:lang w:val="en-US" w:eastAsia="zh-CN" w:bidi="ar-SA"/>
    </w:rPr>
  </w:style>
  <w:style w:type="character" w:customStyle="1" w:styleId="273">
    <w:name w:val="正文文本缩进 2 Char"/>
    <w:link w:val="26"/>
    <w:qFormat/>
    <w:locked/>
    <w:uiPriority w:val="0"/>
    <w:rPr>
      <w:kern w:val="2"/>
      <w:sz w:val="21"/>
      <w:szCs w:val="24"/>
    </w:rPr>
  </w:style>
  <w:style w:type="character" w:customStyle="1" w:styleId="274">
    <w:name w:val="wj1"/>
    <w:qFormat/>
    <w:uiPriority w:val="0"/>
    <w:rPr>
      <w:color w:val="000000"/>
      <w:sz w:val="18"/>
      <w:szCs w:val="18"/>
      <w:u w:val="none"/>
    </w:rPr>
  </w:style>
  <w:style w:type="character" w:customStyle="1" w:styleId="275">
    <w:name w:val="PIM 4 Char"/>
    <w:qFormat/>
    <w:uiPriority w:val="0"/>
    <w:rPr>
      <w:rFonts w:ascii="Arial" w:hAnsi="Times New Roman" w:eastAsia="黑体"/>
      <w:sz w:val="28"/>
    </w:rPr>
  </w:style>
  <w:style w:type="character" w:customStyle="1" w:styleId="276">
    <w:name w:val="HTML 预设格式 Char"/>
    <w:link w:val="38"/>
    <w:qFormat/>
    <w:uiPriority w:val="0"/>
    <w:rPr>
      <w:rFonts w:ascii="Arial" w:hAnsi="Arial" w:cs="Arial"/>
      <w:sz w:val="21"/>
      <w:szCs w:val="21"/>
    </w:rPr>
  </w:style>
  <w:style w:type="character" w:customStyle="1" w:styleId="277">
    <w:name w:val="gray s"/>
    <w:basedOn w:val="45"/>
    <w:qFormat/>
    <w:uiPriority w:val="0"/>
  </w:style>
  <w:style w:type="character" w:customStyle="1" w:styleId="278">
    <w:name w:val="Body text (7)_"/>
    <w:link w:val="148"/>
    <w:qFormat/>
    <w:locked/>
    <w:uiPriority w:val="0"/>
    <w:rPr>
      <w:rFonts w:ascii="宋体"/>
      <w:sz w:val="22"/>
      <w:szCs w:val="22"/>
      <w:shd w:val="clear" w:color="auto" w:fill="FFFFFF"/>
    </w:rPr>
  </w:style>
  <w:style w:type="character" w:customStyle="1" w:styleId="279">
    <w:name w:val="style111"/>
    <w:qFormat/>
    <w:uiPriority w:val="0"/>
    <w:rPr>
      <w:sz w:val="22"/>
      <w:szCs w:val="22"/>
    </w:rPr>
  </w:style>
  <w:style w:type="character" w:customStyle="1" w:styleId="280">
    <w:name w:val="mark16"/>
    <w:basedOn w:val="45"/>
    <w:qFormat/>
    <w:uiPriority w:val="0"/>
  </w:style>
  <w:style w:type="character" w:customStyle="1" w:styleId="281">
    <w:name w:val="正文（雅黑四号） Char"/>
    <w:link w:val="65"/>
    <w:qFormat/>
    <w:uiPriority w:val="0"/>
    <w:rPr>
      <w:rFonts w:ascii="微软雅黑" w:hAnsi="微软雅黑" w:eastAsia="微软雅黑"/>
      <w:sz w:val="24"/>
      <w:szCs w:val="28"/>
    </w:rPr>
  </w:style>
  <w:style w:type="character" w:customStyle="1" w:styleId="282">
    <w:name w:val="font01"/>
    <w:qFormat/>
    <w:uiPriority w:val="0"/>
    <w:rPr>
      <w:rFonts w:hint="eastAsia" w:ascii="宋体" w:hAnsi="宋体" w:eastAsia="宋体" w:cs="宋体"/>
      <w:color w:val="000000"/>
      <w:sz w:val="22"/>
      <w:szCs w:val="22"/>
      <w:u w:val="none"/>
    </w:rPr>
  </w:style>
  <w:style w:type="character" w:customStyle="1" w:styleId="283">
    <w:name w:val="unnamed11"/>
    <w:qFormat/>
    <w:uiPriority w:val="0"/>
    <w:rPr>
      <w:sz w:val="20"/>
      <w:szCs w:val="20"/>
    </w:rPr>
  </w:style>
  <w:style w:type="character" w:customStyle="1" w:styleId="284">
    <w:name w:val="ant-select-tree-switcher"/>
    <w:basedOn w:val="45"/>
    <w:uiPriority w:val="0"/>
  </w:style>
  <w:style w:type="character" w:customStyle="1" w:styleId="285">
    <w:name w:val="ant-tree-iconele"/>
    <w:basedOn w:val="45"/>
    <w:uiPriority w:val="0"/>
  </w:style>
  <w:style w:type="character" w:customStyle="1" w:styleId="286">
    <w:name w:val="last-child"/>
    <w:basedOn w:val="45"/>
    <w:uiPriority w:val="0"/>
  </w:style>
  <w:style w:type="character" w:customStyle="1" w:styleId="287">
    <w:name w:val="last-child1"/>
    <w:basedOn w:val="45"/>
    <w:uiPriority w:val="0"/>
  </w:style>
  <w:style w:type="character" w:customStyle="1" w:styleId="288">
    <w:name w:val="last-child2"/>
    <w:basedOn w:val="45"/>
    <w:uiPriority w:val="0"/>
  </w:style>
  <w:style w:type="character" w:customStyle="1" w:styleId="289">
    <w:name w:val="last-child3"/>
    <w:basedOn w:val="45"/>
    <w:uiPriority w:val="0"/>
  </w:style>
  <w:style w:type="character" w:customStyle="1" w:styleId="290">
    <w:name w:val="ant-select-tree-checkbox"/>
    <w:basedOn w:val="45"/>
    <w:uiPriority w:val="0"/>
  </w:style>
  <w:style w:type="character" w:customStyle="1" w:styleId="291">
    <w:name w:val="first-child9"/>
    <w:basedOn w:val="45"/>
    <w:uiPriority w:val="0"/>
  </w:style>
  <w:style w:type="character" w:customStyle="1" w:styleId="292">
    <w:name w:val="label"/>
    <w:basedOn w:val="45"/>
    <w:uiPriority w:val="0"/>
  </w:style>
  <w:style w:type="character" w:customStyle="1" w:styleId="293">
    <w:name w:val="ant-tree-checkbox"/>
    <w:basedOn w:val="45"/>
    <w:uiPriority w:val="0"/>
  </w:style>
  <w:style w:type="character" w:customStyle="1" w:styleId="294">
    <w:name w:val="ant-tree-icon_loading"/>
    <w:basedOn w:val="45"/>
    <w:uiPriority w:val="0"/>
    <w:rPr>
      <w:shd w:val="clear" w:fill="FFFFFF"/>
    </w:rPr>
  </w:style>
  <w:style w:type="character" w:customStyle="1" w:styleId="295">
    <w:name w:val="ant-tree-switcher"/>
    <w:basedOn w:val="45"/>
    <w:uiPriority w:val="0"/>
  </w:style>
  <w:style w:type="character" w:customStyle="1" w:styleId="296">
    <w:name w:val="last-of-type"/>
    <w:basedOn w:val="45"/>
    <w:uiPriority w:val="0"/>
    <w:rPr>
      <w:color w:val="FF4A44"/>
      <w:sz w:val="27"/>
      <w:szCs w:val="27"/>
    </w:rPr>
  </w:style>
  <w:style w:type="character" w:customStyle="1" w:styleId="297">
    <w:name w:val="content8"/>
    <w:basedOn w:val="45"/>
    <w:uiPriority w:val="0"/>
  </w:style>
  <w:style w:type="character" w:customStyle="1" w:styleId="298">
    <w:name w:val="all-fit-info"/>
    <w:basedOn w:val="45"/>
    <w:uiPriority w:val="0"/>
    <w:rPr>
      <w:color w:val="939393"/>
    </w:rPr>
  </w:style>
  <w:style w:type="character" w:customStyle="1" w:styleId="299">
    <w:name w:val="all-fit-info1"/>
    <w:basedOn w:val="45"/>
    <w:uiPriority w:val="0"/>
    <w:rPr>
      <w:color w:val="939393"/>
    </w:rPr>
  </w:style>
  <w:style w:type="character" w:customStyle="1" w:styleId="300">
    <w:name w:val="all-fit-info2"/>
    <w:basedOn w:val="45"/>
    <w:uiPriority w:val="0"/>
    <w:rPr>
      <w:color w:val="939393"/>
    </w:rPr>
  </w:style>
  <w:style w:type="character" w:customStyle="1" w:styleId="301">
    <w:name w:val="ant-select-tree-iconele"/>
    <w:basedOn w:val="45"/>
    <w:uiPriority w:val="0"/>
  </w:style>
  <w:style w:type="character" w:customStyle="1" w:styleId="302">
    <w:name w:val="ant-radio+*"/>
    <w:basedOn w:val="45"/>
    <w:uiPriority w:val="0"/>
  </w:style>
  <w:style w:type="character" w:customStyle="1" w:styleId="303">
    <w:name w:val="change-camera-place"/>
    <w:basedOn w:val="45"/>
    <w:uiPriority w:val="0"/>
    <w:rPr>
      <w:color w:val="3177FD"/>
    </w:rPr>
  </w:style>
  <w:style w:type="character" w:customStyle="1" w:styleId="304">
    <w:name w:val="tag-type"/>
    <w:basedOn w:val="45"/>
    <w:uiPriority w:val="0"/>
    <w:rPr>
      <w:color w:val="FFFFFF"/>
      <w:sz w:val="18"/>
      <w:szCs w:val="18"/>
      <w:shd w:val="clear" w:fill="317FFD"/>
    </w:rPr>
  </w:style>
  <w:style w:type="character" w:customStyle="1" w:styleId="305">
    <w:name w:val="tag-type1"/>
    <w:basedOn w:val="45"/>
    <w:uiPriority w:val="0"/>
    <w:rPr>
      <w:color w:val="FFFFFF"/>
      <w:sz w:val="18"/>
      <w:szCs w:val="18"/>
      <w:shd w:val="clear" w:fill="317FFD"/>
    </w:rPr>
  </w:style>
  <w:style w:type="character" w:customStyle="1" w:styleId="306">
    <w:name w:val="ant-badge-status-dot2"/>
    <w:basedOn w:val="45"/>
    <w:qFormat/>
    <w:uiPriority w:val="0"/>
    <w:rPr>
      <w:shd w:val="clear" w:fill="FFFFFF"/>
    </w:rPr>
  </w:style>
  <w:style w:type="character" w:customStyle="1" w:styleId="307">
    <w:name w:val="temp6"/>
    <w:basedOn w:val="45"/>
    <w:qFormat/>
    <w:uiPriority w:val="0"/>
  </w:style>
  <w:style w:type="character" w:customStyle="1" w:styleId="308">
    <w:name w:val="temp7"/>
    <w:basedOn w:val="45"/>
    <w:uiPriority w:val="0"/>
  </w:style>
  <w:style w:type="character" w:customStyle="1" w:styleId="309">
    <w:name w:val="temp8"/>
    <w:basedOn w:val="45"/>
    <w:uiPriority w:val="0"/>
  </w:style>
  <w:style w:type="character" w:customStyle="1" w:styleId="310">
    <w:name w:val="info-content"/>
    <w:basedOn w:val="45"/>
    <w:uiPriority w:val="0"/>
    <w:rPr>
      <w:color w:val="808080"/>
    </w:rPr>
  </w:style>
  <w:style w:type="character" w:customStyle="1" w:styleId="311">
    <w:name w:val="info-label"/>
    <w:basedOn w:val="45"/>
    <w:uiPriority w:val="0"/>
    <w:rPr>
      <w:b/>
    </w:rPr>
  </w:style>
  <w:style w:type="character" w:customStyle="1" w:styleId="312">
    <w:name w:val="current"/>
    <w:basedOn w:val="45"/>
    <w:uiPriority w:val="0"/>
    <w:rPr>
      <w:color w:val="00C1DE"/>
    </w:rPr>
  </w:style>
  <w:style w:type="character" w:customStyle="1" w:styleId="313">
    <w:name w:val="current1"/>
    <w:basedOn w:val="45"/>
    <w:uiPriority w:val="0"/>
    <w:rPr>
      <w:color w:val="00C1D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38</Pages>
  <Words>4304</Words>
  <Characters>24537</Characters>
  <Lines>204</Lines>
  <Paragraphs>57</Paragraphs>
  <TotalTime>7</TotalTime>
  <ScaleCrop>false</ScaleCrop>
  <LinksUpToDate>false</LinksUpToDate>
  <CharactersWithSpaces>28784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2020-07-24T07:48:00Z</dcterms:created>
  <dc:creator>Administrator</dc:creator>
  <cp:lastModifiedBy>怀念什么</cp:lastModifiedBy>
  <cp:lastPrinted>2018-08-08T00:30:00Z</cp:lastPrinted>
  <dcterms:modified xsi:type="dcterms:W3CDTF">2020-09-14T01:38:50Z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