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val="0"/>
        <w:autoSpaceDN w:val="0"/>
        <w:bidi w:val="0"/>
        <w:adjustRightInd/>
        <w:snapToGrid w:val="0"/>
        <w:spacing w:after="0" w:line="700" w:lineRule="exact"/>
        <w:ind w:left="0" w:right="0" w:firstLine="0"/>
        <w:jc w:val="center"/>
        <w:textAlignment w:val="auto"/>
        <w:rPr>
          <w:rFonts w:hint="eastAsia" w:ascii="宋体" w:hAnsi="宋体" w:eastAsia="宋体" w:cs="宋体"/>
          <w:color w:val="auto"/>
          <w:sz w:val="44"/>
          <w:szCs w:val="24"/>
          <w:u w:val="single" w:color="000000"/>
          <w:lang w:eastAsia="zh-CN"/>
        </w:rPr>
      </w:pPr>
      <w:r>
        <w:rPr>
          <w:rFonts w:hint="eastAsia" w:ascii="宋体" w:hAnsi="宋体" w:eastAsia="宋体" w:cs="宋体"/>
          <w:color w:val="auto"/>
          <w:spacing w:val="-1"/>
          <w:sz w:val="44"/>
          <w:szCs w:val="24"/>
          <w:u w:val="single" w:color="000000"/>
          <w:lang w:eastAsia="zh-CN"/>
        </w:rPr>
        <w:t>莲山镇2021年第一批市级财政专项扶贫资金项目（一标段）</w:t>
      </w:r>
    </w:p>
    <w:p>
      <w:pPr>
        <w:autoSpaceDE w:val="0"/>
        <w:autoSpaceDN w:val="0"/>
        <w:snapToGrid w:val="0"/>
        <w:spacing w:before="1021" w:after="0" w:line="900" w:lineRule="exact"/>
        <w:ind w:left="2580" w:right="0" w:firstLine="0"/>
        <w:jc w:val="left"/>
        <w:textAlignment w:val="auto"/>
        <w:rPr>
          <w:rFonts w:hint="default" w:ascii="宋体" w:hAnsi="宋体" w:eastAsia="宋体" w:cs="宋体"/>
          <w:color w:val="auto"/>
          <w:sz w:val="72"/>
        </w:rPr>
      </w:pPr>
      <w:r>
        <w:rPr>
          <w:rFonts w:hint="default" w:ascii="宋体" w:hAnsi="宋体" w:eastAsia="宋体" w:cs="宋体"/>
          <w:color w:val="auto"/>
          <w:sz w:val="72"/>
        </w:rPr>
        <w:t>招 标 文 件</w:t>
      </w: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600" w:lineRule="exact"/>
        <w:ind w:left="0" w:right="0" w:firstLine="0"/>
        <w:jc w:val="center"/>
        <w:textAlignment w:val="auto"/>
        <w:rPr>
          <w:rFonts w:hint="eastAsia" w:eastAsia="宋体" w:cs="Times New Roman"/>
          <w:color w:val="auto"/>
          <w:sz w:val="28"/>
          <w:u w:val="single" w:color="000000"/>
          <w:lang w:eastAsia="zh-CN"/>
        </w:rPr>
      </w:pPr>
      <w:r>
        <w:rPr>
          <w:rFonts w:hint="default" w:ascii="宋体" w:hAnsi="宋体" w:eastAsia="宋体" w:cs="宋体"/>
          <w:color w:val="auto"/>
          <w:sz w:val="28"/>
        </w:rPr>
        <w:t>项目编号：</w:t>
      </w:r>
      <w:r>
        <w:rPr>
          <w:rFonts w:hint="default" w:ascii="宋体" w:hAnsi="宋体" w:eastAsia="宋体" w:cs="宋体"/>
          <w:color w:val="auto"/>
          <w:sz w:val="28"/>
          <w:highlight w:val="none"/>
          <w:u w:val="single" w:color="000000"/>
        </w:rPr>
        <w:t xml:space="preserve"> </w:t>
      </w:r>
      <w:r>
        <w:rPr>
          <w:rFonts w:hint="eastAsia" w:eastAsia="宋体" w:cs="Times New Roman"/>
          <w:color w:val="auto"/>
          <w:sz w:val="28"/>
          <w:highlight w:val="none"/>
          <w:u w:val="single" w:color="000000"/>
          <w:lang w:eastAsia="zh-CN"/>
        </w:rPr>
        <w:t xml:space="preserve">HZZC2021-G2-230199-GXHS </w:t>
      </w:r>
    </w:p>
    <w:p>
      <w:pPr>
        <w:autoSpaceDE w:val="0"/>
        <w:autoSpaceDN w:val="0"/>
        <w:snapToGrid w:val="0"/>
        <w:spacing w:before="1255" w:after="0" w:line="350" w:lineRule="exact"/>
        <w:ind w:left="1927" w:right="0" w:firstLine="0"/>
        <w:jc w:val="left"/>
        <w:textAlignment w:val="auto"/>
        <w:rPr>
          <w:rFonts w:hint="eastAsia" w:eastAsia="宋体" w:cs="Times New Roman"/>
          <w:color w:val="auto"/>
          <w:sz w:val="28"/>
          <w:u w:val="single" w:color="000000"/>
          <w:lang w:eastAsia="zh-CN"/>
        </w:rPr>
      </w:pPr>
    </w:p>
    <w:p>
      <w:pPr>
        <w:autoSpaceDE w:val="0"/>
        <w:autoSpaceDN w:val="0"/>
        <w:snapToGrid w:val="0"/>
        <w:spacing w:before="1770" w:after="0" w:line="400" w:lineRule="exact"/>
        <w:ind w:left="377" w:right="0" w:firstLine="960" w:firstLineChars="300"/>
        <w:jc w:val="left"/>
        <w:textAlignment w:val="auto"/>
        <w:rPr>
          <w:rFonts w:hint="eastAsia" w:ascii="宋体" w:hAnsi="宋体" w:eastAsia="宋体" w:cs="宋体"/>
          <w:color w:val="auto"/>
          <w:sz w:val="32"/>
          <w:lang w:eastAsia="zh-CN"/>
        </w:rPr>
      </w:pPr>
      <w:r>
        <w:rPr>
          <w:rFonts w:hint="default" w:ascii="宋体" w:hAnsi="宋体" w:eastAsia="宋体" w:cs="宋体"/>
          <w:color w:val="auto"/>
          <w:sz w:val="32"/>
        </w:rPr>
        <w:t>招 标 人：</w:t>
      </w:r>
      <w:r>
        <w:rPr>
          <w:rFonts w:hint="eastAsia" w:ascii="宋体" w:hAnsi="宋体" w:eastAsia="宋体" w:cs="宋体"/>
          <w:color w:val="auto"/>
          <w:sz w:val="32"/>
          <w:lang w:eastAsia="zh-CN"/>
        </w:rPr>
        <w:t>富川瑶族自治县莲山镇人民政府</w:t>
      </w:r>
    </w:p>
    <w:p>
      <w:pPr>
        <w:autoSpaceDE w:val="0"/>
        <w:autoSpaceDN w:val="0"/>
        <w:snapToGrid w:val="0"/>
        <w:spacing w:before="680" w:after="0" w:line="400" w:lineRule="exact"/>
        <w:ind w:left="377" w:right="0" w:firstLine="960" w:firstLineChars="300"/>
        <w:jc w:val="left"/>
        <w:textAlignment w:val="auto"/>
        <w:rPr>
          <w:rFonts w:hint="default" w:ascii="宋体" w:hAnsi="宋体" w:eastAsia="宋体" w:cs="宋体"/>
          <w:color w:val="auto"/>
          <w:sz w:val="32"/>
        </w:rPr>
      </w:pPr>
      <w:r>
        <w:rPr>
          <w:rFonts w:hint="default" w:ascii="宋体" w:hAnsi="宋体" w:eastAsia="宋体" w:cs="宋体"/>
          <w:color w:val="auto"/>
          <w:sz w:val="32"/>
        </w:rPr>
        <w:t>招标代理机构：</w:t>
      </w:r>
      <w:r>
        <w:rPr>
          <w:rFonts w:hint="eastAsia" w:ascii="宋体" w:hAnsi="宋体" w:eastAsia="宋体" w:cs="宋体"/>
          <w:color w:val="auto"/>
          <w:sz w:val="32"/>
          <w:lang w:eastAsia="zh-CN"/>
        </w:rPr>
        <w:t>广西华盛工程咨询有限公司</w:t>
      </w:r>
    </w:p>
    <w:p>
      <w:pPr>
        <w:autoSpaceDE w:val="0"/>
        <w:autoSpaceDN w:val="0"/>
        <w:snapToGrid w:val="0"/>
        <w:spacing w:before="680" w:after="0" w:line="400" w:lineRule="exact"/>
        <w:ind w:right="0" w:firstLine="1280" w:firstLineChars="400"/>
        <w:jc w:val="left"/>
        <w:textAlignment w:val="auto"/>
        <w:rPr>
          <w:rFonts w:hint="default" w:ascii="宋体" w:hAnsi="宋体" w:eastAsia="宋体" w:cs="宋体"/>
          <w:color w:val="auto"/>
          <w:sz w:val="32"/>
          <w:u w:val="none" w:color="auto"/>
        </w:rPr>
      </w:pPr>
      <w:r>
        <w:rPr>
          <w:rFonts w:hint="default" w:ascii="宋体" w:hAnsi="宋体" w:eastAsia="宋体" w:cs="宋体"/>
          <w:color w:val="auto"/>
          <w:sz w:val="32"/>
        </w:rPr>
        <w:t>发布日</w:t>
      </w:r>
      <w:r>
        <w:rPr>
          <w:rFonts w:hint="default" w:ascii="宋体" w:hAnsi="宋体" w:eastAsia="宋体" w:cs="宋体"/>
          <w:color w:val="auto"/>
          <w:sz w:val="32"/>
          <w:szCs w:val="22"/>
        </w:rPr>
        <w:t>期：</w:t>
      </w:r>
      <w:r>
        <w:rPr>
          <w:rFonts w:hint="eastAsia" w:ascii="宋体" w:hAnsi="宋体" w:eastAsia="宋体" w:cs="宋体"/>
          <w:color w:val="auto"/>
          <w:sz w:val="32"/>
          <w:szCs w:val="22"/>
          <w:lang w:val="en-US" w:eastAsia="zh-CN"/>
        </w:rPr>
        <w:t>2021年8月3日</w:t>
      </w:r>
    </w:p>
    <w:p>
      <w:pPr>
        <w:rPr>
          <w:rFonts w:hint="default" w:ascii="宋体" w:hAnsi="宋体" w:eastAsia="宋体" w:cs="宋体"/>
          <w:color w:val="auto"/>
          <w:sz w:val="32"/>
          <w:u w:val="none" w:color="auto"/>
        </w:rPr>
        <w:sectPr>
          <w:footnotePr>
            <w:numStart w:val="0"/>
          </w:footnotePr>
          <w:endnotePr>
            <w:numFmt w:val="decimal"/>
            <w:numStart w:val="0"/>
          </w:endnotePr>
          <w:pgSz w:w="11906" w:h="16838"/>
          <w:pgMar w:top="1440" w:right="1393" w:bottom="1440" w:left="1393" w:header="0" w:footer="0" w:gutter="0"/>
          <w:pgBorders>
            <w:top w:val="none" w:sz="0" w:space="0"/>
            <w:left w:val="none" w:sz="0" w:space="0"/>
            <w:bottom w:val="none" w:sz="0" w:space="0"/>
            <w:right w:val="none" w:sz="0" w:space="0"/>
          </w:pgBorders>
          <w:pgNumType w:fmt="decimal" w:start="0"/>
          <w:cols w:space="720" w:num="1"/>
          <w:docGrid w:linePitch="0" w:charSpace="0"/>
        </w:sectPr>
      </w:pPr>
      <w:r>
        <w:rPr>
          <w:rFonts w:hint="default" w:ascii="宋体" w:hAnsi="宋体" w:eastAsia="宋体" w:cs="宋体"/>
          <w:color w:val="auto"/>
          <w:sz w:val="32"/>
          <w:u w:val="none" w:color="auto"/>
        </w:rPr>
        <w:br w:type="page"/>
      </w:r>
    </w:p>
    <w:p>
      <w:pPr>
        <w:rPr>
          <w:rFonts w:hint="default"/>
          <w:color w:val="auto"/>
        </w:rPr>
      </w:pPr>
    </w:p>
    <w:sdt>
      <w:sdtPr>
        <w:rPr>
          <w:rFonts w:ascii="宋体" w:hAnsi="宋体" w:eastAsia="宋体" w:cs="Times New Roman"/>
          <w:color w:val="auto"/>
          <w:spacing w:val="0"/>
          <w:w w:val="100"/>
          <w:position w:val="0"/>
          <w:sz w:val="21"/>
          <w:highlight w:val="none"/>
          <w:u w:val="none"/>
          <w:vertAlign w:val="baseline"/>
        </w:rPr>
        <w:id w:val="147475447"/>
        <w15:color w:val="DBDBDB"/>
        <w:docPartObj>
          <w:docPartGallery w:val="Table of Contents"/>
          <w:docPartUnique/>
        </w:docPartObj>
      </w:sdtPr>
      <w:sdtEndPr>
        <w:rPr>
          <w:rFonts w:ascii="Times New Roman" w:hAnsi="Times New Roman" w:eastAsia="宋体" w:cs="Times New Roman"/>
          <w:color w:val="auto"/>
          <w:spacing w:val="0"/>
          <w:w w:val="100"/>
          <w:position w:val="0"/>
          <w:sz w:val="20"/>
          <w:szCs w:val="20"/>
          <w:highlight w:val="none"/>
          <w:u w:val="none"/>
          <w:vertAlign w:val="baseline"/>
        </w:rPr>
      </w:sdtEndPr>
      <w:sdtContent>
        <w:p>
          <w:pPr>
            <w:spacing w:before="0" w:beforeLines="0" w:after="0" w:afterLines="0" w:line="240" w:lineRule="auto"/>
            <w:ind w:left="0" w:leftChars="0" w:right="0" w:rightChars="0" w:firstLine="0" w:firstLineChars="0"/>
            <w:jc w:val="center"/>
            <w:rPr>
              <w:color w:val="auto"/>
            </w:rPr>
          </w:pPr>
          <w:bookmarkStart w:id="0" w:name="_Toc18643_WPSOffice_Type2"/>
          <w:r>
            <w:rPr>
              <w:rFonts w:ascii="宋体" w:hAnsi="宋体" w:eastAsia="宋体"/>
              <w:color w:val="auto"/>
              <w:sz w:val="21"/>
            </w:rPr>
            <w:t>目录</w:t>
          </w:r>
        </w:p>
        <w:p>
          <w:pPr>
            <w:pStyle w:val="8"/>
            <w:tabs>
              <w:tab w:val="right" w:leader="dot" w:pos="9746"/>
            </w:tabs>
            <w:rPr>
              <w:color w:val="auto"/>
            </w:rPr>
          </w:pPr>
          <w:r>
            <w:rPr>
              <w:b/>
              <w:bCs/>
              <w:color w:val="auto"/>
            </w:rPr>
            <w:fldChar w:fldCharType="begin"/>
          </w:r>
          <w:r>
            <w:rPr>
              <w:color w:val="auto"/>
            </w:rPr>
            <w:instrText xml:space="preserve"> HYPERLINK \l _Toc17390_WPSOffice_Level1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e7df282f-1062-4811-8e35-c5cb824d1359}"/>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第一章 招标公告</w:t>
              </w:r>
            </w:sdtContent>
          </w:sdt>
          <w:r>
            <w:rPr>
              <w:b/>
              <w:bCs/>
              <w:color w:val="auto"/>
            </w:rPr>
            <w:tab/>
          </w:r>
          <w:r>
            <w:rPr>
              <w:rFonts w:hint="eastAsia"/>
              <w:b/>
              <w:bCs/>
              <w:color w:val="auto"/>
              <w:lang w:val="en-US" w:eastAsia="zh-CN"/>
            </w:rPr>
            <w:t>3</w:t>
          </w:r>
          <w:r>
            <w:rPr>
              <w:b/>
              <w:bCs/>
              <w:color w:val="auto"/>
            </w:rPr>
            <w:fldChar w:fldCharType="end"/>
          </w:r>
        </w:p>
        <w:p>
          <w:pPr>
            <w:pStyle w:val="9"/>
            <w:tabs>
              <w:tab w:val="right" w:leader="dot" w:pos="9746"/>
            </w:tabs>
            <w:rPr>
              <w:color w:val="auto"/>
            </w:rPr>
          </w:pPr>
          <w:r>
            <w:rPr>
              <w:color w:val="auto"/>
            </w:rPr>
            <w:fldChar w:fldCharType="begin"/>
          </w:r>
          <w:r>
            <w:rPr>
              <w:color w:val="auto"/>
            </w:rPr>
            <w:instrText xml:space="preserve"> HYPERLINK \l _Toc8446_WPSOffice_Level2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60853645-69ab-4303-914d-5687f7f04431}"/>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宋体" w:hAnsi="宋体" w:eastAsia="宋体" w:cs="宋体"/>
                  <w:color w:val="auto"/>
                </w:rPr>
                <w:t xml:space="preserve">1. </w:t>
              </w:r>
              <w:r>
                <w:rPr>
                  <w:rFonts w:hint="eastAsia" w:ascii="黑体" w:hAnsi="黑体" w:eastAsia="黑体" w:cs="黑体"/>
                  <w:color w:val="auto"/>
                </w:rPr>
                <w:t>项目基本情况</w:t>
              </w:r>
            </w:sdtContent>
          </w:sdt>
          <w:r>
            <w:rPr>
              <w:color w:val="auto"/>
            </w:rPr>
            <w:tab/>
          </w:r>
          <w:r>
            <w:rPr>
              <w:rFonts w:hint="eastAsia"/>
              <w:color w:val="auto"/>
              <w:lang w:val="en-US" w:eastAsia="zh-CN"/>
            </w:rPr>
            <w:t>3</w:t>
          </w:r>
          <w:r>
            <w:rPr>
              <w:color w:val="auto"/>
            </w:rPr>
            <w:fldChar w:fldCharType="end"/>
          </w:r>
        </w:p>
        <w:p>
          <w:pPr>
            <w:pStyle w:val="9"/>
            <w:tabs>
              <w:tab w:val="right" w:leader="dot" w:pos="9746"/>
            </w:tabs>
            <w:rPr>
              <w:color w:val="auto"/>
            </w:rPr>
          </w:pPr>
          <w:r>
            <w:rPr>
              <w:color w:val="auto"/>
            </w:rPr>
            <w:fldChar w:fldCharType="begin"/>
          </w:r>
          <w:r>
            <w:rPr>
              <w:color w:val="auto"/>
            </w:rPr>
            <w:instrText xml:space="preserve"> HYPERLINK \l _Toc11420_WPSOffice_Level2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0c719f0b-fbb5-401b-8c04-6049aa07754c}"/>
              </w:placeholder>
              <w15:color w:val="509DF3"/>
            </w:sdtPr>
            <w:sdtEndPr>
              <w:rPr>
                <w:rFonts w:hint="default" w:ascii="黑体" w:hAnsi="黑体" w:eastAsia="黑体" w:cs="黑体"/>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2. </w:t>
              </w:r>
              <w:r>
                <w:rPr>
                  <w:rFonts w:hint="eastAsia" w:ascii="黑体" w:hAnsi="黑体" w:eastAsia="黑体" w:cs="黑体"/>
                  <w:color w:val="auto"/>
                </w:rPr>
                <w:t>申请人的资格要求</w:t>
              </w:r>
            </w:sdtContent>
          </w:sdt>
          <w:r>
            <w:rPr>
              <w:color w:val="auto"/>
            </w:rPr>
            <w:tab/>
          </w:r>
          <w:r>
            <w:rPr>
              <w:rFonts w:hint="eastAsia"/>
              <w:color w:val="auto"/>
              <w:lang w:val="en-US" w:eastAsia="zh-CN"/>
            </w:rPr>
            <w:t>3</w:t>
          </w:r>
          <w:r>
            <w:rPr>
              <w:color w:val="auto"/>
            </w:rPr>
            <w:fldChar w:fldCharType="end"/>
          </w:r>
        </w:p>
        <w:p>
          <w:pPr>
            <w:pStyle w:val="9"/>
            <w:tabs>
              <w:tab w:val="right" w:leader="dot" w:pos="9746"/>
            </w:tabs>
            <w:rPr>
              <w:color w:val="auto"/>
            </w:rPr>
          </w:pPr>
          <w:r>
            <w:rPr>
              <w:color w:val="auto"/>
            </w:rPr>
            <w:fldChar w:fldCharType="begin"/>
          </w:r>
          <w:r>
            <w:rPr>
              <w:color w:val="auto"/>
            </w:rPr>
            <w:instrText xml:space="preserve"> HYPERLINK \l _Toc14227_WPSOffice_Level2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9fe7798b-2ec6-4b26-97d3-e8bde409ad3c}"/>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3. </w:t>
              </w:r>
              <w:r>
                <w:rPr>
                  <w:rFonts w:hint="eastAsia" w:ascii="黑体" w:hAnsi="黑体" w:eastAsia="黑体" w:cs="黑体"/>
                  <w:color w:val="auto"/>
                </w:rPr>
                <w:t>获取招标文件</w:t>
              </w:r>
            </w:sdtContent>
          </w:sdt>
          <w:r>
            <w:rPr>
              <w:color w:val="auto"/>
            </w:rPr>
            <w:tab/>
          </w:r>
          <w:r>
            <w:rPr>
              <w:rFonts w:hint="eastAsia"/>
              <w:color w:val="auto"/>
              <w:lang w:val="en-US" w:eastAsia="zh-CN"/>
            </w:rPr>
            <w:t>3</w:t>
          </w:r>
          <w:r>
            <w:rPr>
              <w:color w:val="auto"/>
            </w:rPr>
            <w:fldChar w:fldCharType="end"/>
          </w:r>
        </w:p>
        <w:p>
          <w:pPr>
            <w:pStyle w:val="9"/>
            <w:tabs>
              <w:tab w:val="right" w:leader="dot" w:pos="9746"/>
            </w:tabs>
            <w:rPr>
              <w:color w:val="auto"/>
            </w:rPr>
          </w:pPr>
          <w:r>
            <w:rPr>
              <w:color w:val="auto"/>
            </w:rPr>
            <w:fldChar w:fldCharType="begin"/>
          </w:r>
          <w:r>
            <w:rPr>
              <w:color w:val="auto"/>
            </w:rPr>
            <w:instrText xml:space="preserve"> HYPERLINK \l _Toc17128_WPSOffice_Level2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d06c765b-677b-465d-b9eb-4c2dd36eac25}"/>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4. </w:t>
              </w:r>
              <w:r>
                <w:rPr>
                  <w:rFonts w:hint="eastAsia" w:ascii="黑体" w:hAnsi="黑体" w:eastAsia="黑体" w:cs="黑体"/>
                  <w:color w:val="auto"/>
                </w:rPr>
                <w:t>提交投标文件截止时间、开标时间和地点</w:t>
              </w:r>
            </w:sdtContent>
          </w:sdt>
          <w:r>
            <w:rPr>
              <w:color w:val="auto"/>
            </w:rPr>
            <w:tab/>
          </w:r>
          <w:r>
            <w:rPr>
              <w:rFonts w:hint="eastAsia"/>
              <w:color w:val="auto"/>
              <w:lang w:val="en-US" w:eastAsia="zh-CN"/>
            </w:rPr>
            <w:t>4</w:t>
          </w:r>
          <w:r>
            <w:rPr>
              <w:color w:val="auto"/>
            </w:rPr>
            <w:fldChar w:fldCharType="end"/>
          </w:r>
        </w:p>
        <w:p>
          <w:pPr>
            <w:pStyle w:val="9"/>
            <w:tabs>
              <w:tab w:val="right" w:leader="dot" w:pos="9746"/>
            </w:tabs>
            <w:rPr>
              <w:color w:val="auto"/>
            </w:rPr>
          </w:pPr>
          <w:r>
            <w:rPr>
              <w:color w:val="auto"/>
            </w:rPr>
            <w:fldChar w:fldCharType="begin"/>
          </w:r>
          <w:r>
            <w:rPr>
              <w:color w:val="auto"/>
            </w:rPr>
            <w:instrText xml:space="preserve"> HYPERLINK \l _Toc15145_WPSOffice_Level2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629d1900-a8f3-42e4-a295-22b0a2a5c6ab}"/>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5. </w:t>
              </w:r>
              <w:r>
                <w:rPr>
                  <w:rFonts w:hint="eastAsia" w:ascii="Arial" w:hAnsi="Arial" w:cs="Arial"/>
                  <w:color w:val="auto"/>
                  <w:lang w:eastAsia="zh-CN"/>
                </w:rPr>
                <w:t>公告期限</w:t>
              </w:r>
            </w:sdtContent>
          </w:sdt>
          <w:r>
            <w:rPr>
              <w:color w:val="auto"/>
            </w:rPr>
            <w:tab/>
          </w:r>
          <w:r>
            <w:rPr>
              <w:rFonts w:hint="eastAsia"/>
              <w:color w:val="auto"/>
              <w:lang w:val="en-US" w:eastAsia="zh-CN"/>
            </w:rPr>
            <w:t>4</w:t>
          </w:r>
          <w:r>
            <w:rPr>
              <w:color w:val="auto"/>
            </w:rPr>
            <w:fldChar w:fldCharType="end"/>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_Toc26328_WPSOffice_Level2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ccdf26b8-8a10-4476-9ca3-ddc46aa983fd}"/>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6. </w:t>
              </w:r>
              <w:r>
                <w:rPr>
                  <w:rFonts w:hint="eastAsia" w:ascii="Arial" w:hAnsi="Arial" w:cs="Arial"/>
                  <w:color w:val="auto"/>
                  <w:lang w:eastAsia="zh-CN"/>
                </w:rPr>
                <w:t>其他补充事宜</w:t>
              </w:r>
            </w:sdtContent>
          </w:sdt>
          <w:r>
            <w:rPr>
              <w:color w:val="auto"/>
            </w:rPr>
            <w:tab/>
          </w:r>
          <w:r>
            <w:rPr>
              <w:color w:val="auto"/>
            </w:rPr>
            <w:fldChar w:fldCharType="end"/>
          </w:r>
          <w:r>
            <w:rPr>
              <w:rFonts w:hint="eastAsia"/>
              <w:color w:val="auto"/>
              <w:lang w:val="en-US" w:eastAsia="zh-CN"/>
            </w:rPr>
            <w:t>4</w:t>
          </w:r>
        </w:p>
        <w:p>
          <w:pPr>
            <w:pStyle w:val="9"/>
            <w:tabs>
              <w:tab w:val="right" w:leader="dot" w:pos="9746"/>
            </w:tabs>
            <w:rPr>
              <w:color w:val="auto"/>
            </w:rPr>
          </w:pPr>
          <w:r>
            <w:rPr>
              <w:color w:val="auto"/>
            </w:rPr>
            <w:fldChar w:fldCharType="begin"/>
          </w:r>
          <w:r>
            <w:rPr>
              <w:color w:val="auto"/>
            </w:rPr>
            <w:instrText xml:space="preserve"> HYPERLINK \l _Toc23945_WPSOffice_Level2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28da305a-32c8-46ab-86d3-8bf790565b99}"/>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eastAsia" w:ascii="黑体" w:hAnsi="黑体" w:eastAsia="黑体" w:cs="黑体"/>
                  <w:color w:val="auto"/>
                  <w:lang w:val="en-US" w:eastAsia="zh-CN"/>
                </w:rPr>
                <w:t>7</w:t>
              </w:r>
              <w:r>
                <w:rPr>
                  <w:rFonts w:hint="eastAsia" w:ascii="黑体" w:hAnsi="黑体" w:eastAsia="黑体" w:cs="黑体"/>
                  <w:color w:val="auto"/>
                </w:rPr>
                <w:t>.</w:t>
              </w:r>
              <w:r>
                <w:rPr>
                  <w:rFonts w:hint="default" w:ascii="黑体" w:hAnsi="黑体" w:eastAsia="黑体" w:cs="黑体"/>
                  <w:color w:val="auto"/>
                </w:rPr>
                <w:t>联系方式</w:t>
              </w:r>
            </w:sdtContent>
          </w:sdt>
          <w:r>
            <w:rPr>
              <w:color w:val="auto"/>
            </w:rPr>
            <w:tab/>
          </w:r>
          <w:r>
            <w:rPr>
              <w:rFonts w:hint="eastAsia"/>
              <w:color w:val="auto"/>
              <w:lang w:val="en-US" w:eastAsia="zh-CN"/>
            </w:rPr>
            <w:t>5</w:t>
          </w:r>
          <w:r>
            <w:rPr>
              <w:color w:val="auto"/>
            </w:rPr>
            <w:fldChar w:fldCharType="end"/>
          </w:r>
        </w:p>
        <w:p>
          <w:pPr>
            <w:pStyle w:val="8"/>
            <w:tabs>
              <w:tab w:val="right" w:leader="dot" w:pos="9746"/>
            </w:tabs>
            <w:rPr>
              <w:color w:val="auto"/>
            </w:rPr>
          </w:pPr>
          <w:r>
            <w:rPr>
              <w:b/>
              <w:bCs/>
              <w:color w:val="auto"/>
            </w:rPr>
            <w:fldChar w:fldCharType="begin"/>
          </w:r>
          <w:r>
            <w:rPr>
              <w:color w:val="auto"/>
            </w:rPr>
            <w:instrText xml:space="preserve"> HYPERLINK \l _Toc18643_WPSOffice_Level1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810cab8c-3a2b-459d-a70b-281abb18c4e5}"/>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第二章 投标人须知</w:t>
              </w:r>
            </w:sdtContent>
          </w:sdt>
          <w:r>
            <w:rPr>
              <w:b/>
              <w:bCs/>
              <w:color w:val="auto"/>
            </w:rPr>
            <w:tab/>
          </w:r>
          <w:r>
            <w:rPr>
              <w:rFonts w:hint="eastAsia"/>
              <w:b/>
              <w:bCs/>
              <w:color w:val="auto"/>
              <w:lang w:val="en-US" w:eastAsia="zh-CN"/>
            </w:rPr>
            <w:t>6</w:t>
          </w:r>
          <w:r>
            <w:rPr>
              <w:b/>
              <w:bCs/>
              <w:color w:val="auto"/>
            </w:rPr>
            <w:fldChar w:fldCharType="end"/>
          </w:r>
        </w:p>
        <w:p>
          <w:pPr>
            <w:pStyle w:val="9"/>
            <w:tabs>
              <w:tab w:val="right" w:leader="dot" w:pos="9746"/>
            </w:tabs>
            <w:rPr>
              <w:color w:val="auto"/>
            </w:rPr>
          </w:pPr>
          <w:r>
            <w:rPr>
              <w:color w:val="auto"/>
            </w:rPr>
            <w:fldChar w:fldCharType="begin"/>
          </w:r>
          <w:r>
            <w:rPr>
              <w:color w:val="auto"/>
            </w:rPr>
            <w:instrText xml:space="preserve"> HYPERLINK \l _Toc22318_WPSOffice_Level2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f559381f-73bf-4e14-aaa1-96345707a3d6}"/>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黑体" w:cs="Times New Roman"/>
                  <w:color w:val="auto"/>
                </w:rPr>
                <w:t>投标人须知前附表</w:t>
              </w:r>
            </w:sdtContent>
          </w:sdt>
          <w:r>
            <w:rPr>
              <w:color w:val="auto"/>
            </w:rPr>
            <w:tab/>
          </w:r>
          <w:r>
            <w:rPr>
              <w:rFonts w:hint="eastAsia"/>
              <w:color w:val="auto"/>
              <w:lang w:val="en-US" w:eastAsia="zh-CN"/>
            </w:rPr>
            <w:t>6</w:t>
          </w:r>
          <w:r>
            <w:rPr>
              <w:color w:val="auto"/>
            </w:rPr>
            <w:fldChar w:fldCharType="end"/>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_Toc7026_WPSOffice_Level2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399356b9-fa01-4480-a14e-e1155ddd1d46}"/>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黑体" w:cs="Times New Roman"/>
                  <w:color w:val="auto"/>
                </w:rPr>
                <w:t>投标人须知正文部分</w:t>
              </w:r>
            </w:sdtContent>
          </w:sdt>
          <w:r>
            <w:rPr>
              <w:color w:val="auto"/>
            </w:rPr>
            <w:tab/>
          </w:r>
          <w:r>
            <w:rPr>
              <w:rFonts w:hint="eastAsia"/>
              <w:color w:val="auto"/>
              <w:lang w:val="en-US" w:eastAsia="zh-CN"/>
            </w:rPr>
            <w:t>1</w:t>
          </w:r>
          <w:r>
            <w:rPr>
              <w:color w:val="auto"/>
            </w:rPr>
            <w:fldChar w:fldCharType="end"/>
          </w:r>
          <w:r>
            <w:rPr>
              <w:rFonts w:hint="eastAsia"/>
              <w:color w:val="auto"/>
              <w:lang w:val="en-US" w:eastAsia="zh-CN"/>
            </w:rPr>
            <w:t>5</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_Toc8184_WPSOffice_Level2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cdefe28f-a6f2-4c90-8ff8-45e52e043d34}"/>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1 </w:t>
              </w:r>
              <w:r>
                <w:rPr>
                  <w:rFonts w:hint="default" w:ascii="黑体" w:hAnsi="黑体" w:eastAsia="黑体" w:cs="黑体"/>
                  <w:color w:val="auto"/>
                </w:rPr>
                <w:t>总则</w:t>
              </w:r>
            </w:sdtContent>
          </w:sdt>
          <w:r>
            <w:rPr>
              <w:color w:val="auto"/>
            </w:rPr>
            <w:tab/>
          </w:r>
          <w:r>
            <w:rPr>
              <w:rFonts w:hint="eastAsia"/>
              <w:color w:val="auto"/>
              <w:lang w:val="en-US" w:eastAsia="zh-CN"/>
            </w:rPr>
            <w:t>1</w:t>
          </w:r>
          <w:r>
            <w:rPr>
              <w:color w:val="auto"/>
            </w:rPr>
            <w:fldChar w:fldCharType="end"/>
          </w:r>
          <w:r>
            <w:rPr>
              <w:rFonts w:hint="eastAsia"/>
              <w:color w:val="auto"/>
              <w:lang w:val="en-US" w:eastAsia="zh-CN"/>
            </w:rPr>
            <w:t>5</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_Toc12191_WPSOffice_Level2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05f5746d-1402-4c6c-a93c-05661d620b56}"/>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2 </w:t>
              </w:r>
              <w:r>
                <w:rPr>
                  <w:rFonts w:hint="default" w:ascii="黑体" w:hAnsi="黑体" w:eastAsia="黑体" w:cs="黑体"/>
                  <w:color w:val="auto"/>
                </w:rPr>
                <w:t>招标文件</w:t>
              </w:r>
            </w:sdtContent>
          </w:sdt>
          <w:r>
            <w:rPr>
              <w:color w:val="auto"/>
            </w:rPr>
            <w:tab/>
          </w:r>
          <w:r>
            <w:rPr>
              <w:rFonts w:hint="eastAsia"/>
              <w:color w:val="auto"/>
              <w:lang w:val="en-US" w:eastAsia="zh-CN"/>
            </w:rPr>
            <w:t>1</w:t>
          </w:r>
          <w:r>
            <w:rPr>
              <w:color w:val="auto"/>
            </w:rPr>
            <w:fldChar w:fldCharType="end"/>
          </w:r>
          <w:r>
            <w:rPr>
              <w:rFonts w:hint="eastAsia"/>
              <w:color w:val="auto"/>
              <w:lang w:val="en-US" w:eastAsia="zh-CN"/>
            </w:rPr>
            <w:t>7</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_Toc13682_WPSOffice_Level2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4720fe13-29f2-46a7-95bf-37d3fa5dad1d}"/>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3 </w:t>
              </w:r>
              <w:r>
                <w:rPr>
                  <w:rFonts w:hint="default" w:ascii="黑体" w:hAnsi="黑体" w:eastAsia="黑体" w:cs="黑体"/>
                  <w:color w:val="auto"/>
                </w:rPr>
                <w:t>投标文件</w:t>
              </w:r>
            </w:sdtContent>
          </w:sdt>
          <w:r>
            <w:rPr>
              <w:color w:val="auto"/>
            </w:rPr>
            <w:tab/>
          </w:r>
          <w:r>
            <w:rPr>
              <w:rFonts w:hint="eastAsia"/>
              <w:color w:val="auto"/>
              <w:lang w:val="en-US" w:eastAsia="zh-CN"/>
            </w:rPr>
            <w:t>1</w:t>
          </w:r>
          <w:r>
            <w:rPr>
              <w:color w:val="auto"/>
            </w:rPr>
            <w:fldChar w:fldCharType="end"/>
          </w:r>
          <w:r>
            <w:rPr>
              <w:rFonts w:hint="eastAsia"/>
              <w:color w:val="auto"/>
              <w:lang w:val="en-US" w:eastAsia="zh-CN"/>
            </w:rPr>
            <w:t>8</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_Toc8277_WPSOffice_Level2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d2babd68-e079-4bdf-a687-1f09c18f8151}"/>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4 </w:t>
              </w:r>
              <w:r>
                <w:rPr>
                  <w:rFonts w:hint="default" w:ascii="黑体" w:hAnsi="黑体" w:eastAsia="黑体" w:cs="黑体"/>
                  <w:color w:val="auto"/>
                </w:rPr>
                <w:t>投标</w:t>
              </w:r>
            </w:sdtContent>
          </w:sdt>
          <w:r>
            <w:rPr>
              <w:color w:val="auto"/>
            </w:rPr>
            <w:tab/>
          </w:r>
          <w:r>
            <w:rPr>
              <w:rFonts w:hint="eastAsia"/>
              <w:color w:val="auto"/>
              <w:lang w:val="en-US" w:eastAsia="zh-CN"/>
            </w:rPr>
            <w:t>1</w:t>
          </w:r>
          <w:r>
            <w:rPr>
              <w:color w:val="auto"/>
            </w:rPr>
            <w:fldChar w:fldCharType="end"/>
          </w:r>
          <w:r>
            <w:rPr>
              <w:rFonts w:hint="eastAsia"/>
              <w:color w:val="auto"/>
              <w:lang w:val="en-US" w:eastAsia="zh-CN"/>
            </w:rPr>
            <w:t>9</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_Toc23177_WPSOffice_Level2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f27151ae-8302-43eb-8600-8aa5541c8e16}"/>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5 </w:t>
              </w:r>
              <w:r>
                <w:rPr>
                  <w:rFonts w:hint="default" w:ascii="黑体" w:hAnsi="黑体" w:eastAsia="黑体" w:cs="黑体"/>
                  <w:color w:val="auto"/>
                </w:rPr>
                <w:t>开标</w:t>
              </w:r>
            </w:sdtContent>
          </w:sdt>
          <w:r>
            <w:rPr>
              <w:color w:val="auto"/>
            </w:rPr>
            <w:tab/>
          </w:r>
          <w:r>
            <w:rPr>
              <w:rFonts w:hint="eastAsia"/>
              <w:color w:val="auto"/>
              <w:lang w:val="en-US" w:eastAsia="zh-CN"/>
            </w:rPr>
            <w:t>2</w:t>
          </w:r>
          <w:r>
            <w:rPr>
              <w:color w:val="auto"/>
            </w:rPr>
            <w:fldChar w:fldCharType="end"/>
          </w:r>
          <w:r>
            <w:rPr>
              <w:rFonts w:hint="eastAsia"/>
              <w:color w:val="auto"/>
              <w:lang w:val="en-US" w:eastAsia="zh-CN"/>
            </w:rPr>
            <w:t>0</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_Toc11140_WPSOffice_Level2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c8d091e1-cf61-4014-bf3b-ca34f3a2122c}"/>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6 </w:t>
              </w:r>
              <w:r>
                <w:rPr>
                  <w:rFonts w:hint="default" w:ascii="黑体" w:hAnsi="黑体" w:eastAsia="黑体" w:cs="黑体"/>
                  <w:color w:val="auto"/>
                </w:rPr>
                <w:t>评标</w:t>
              </w:r>
            </w:sdtContent>
          </w:sdt>
          <w:r>
            <w:rPr>
              <w:color w:val="auto"/>
            </w:rPr>
            <w:tab/>
          </w:r>
          <w:r>
            <w:rPr>
              <w:rFonts w:hint="eastAsia"/>
              <w:color w:val="auto"/>
              <w:lang w:val="en-US" w:eastAsia="zh-CN"/>
            </w:rPr>
            <w:t>2</w:t>
          </w:r>
          <w:r>
            <w:rPr>
              <w:color w:val="auto"/>
            </w:rPr>
            <w:fldChar w:fldCharType="end"/>
          </w:r>
          <w:r>
            <w:rPr>
              <w:rFonts w:hint="eastAsia"/>
              <w:color w:val="auto"/>
              <w:lang w:val="en-US" w:eastAsia="zh-CN"/>
            </w:rPr>
            <w:t>1</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_Toc10563_WPSOffice_Level2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71f3af52-1551-406b-bf54-c80bb56e1464}"/>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7 </w:t>
              </w:r>
              <w:r>
                <w:rPr>
                  <w:rFonts w:hint="default" w:ascii="黑体" w:hAnsi="黑体" w:eastAsia="黑体" w:cs="黑体"/>
                  <w:color w:val="auto"/>
                </w:rPr>
                <w:t>合同授予</w:t>
              </w:r>
            </w:sdtContent>
          </w:sdt>
          <w:r>
            <w:rPr>
              <w:color w:val="auto"/>
            </w:rPr>
            <w:tab/>
          </w:r>
          <w:r>
            <w:rPr>
              <w:rFonts w:hint="eastAsia"/>
              <w:color w:val="auto"/>
              <w:lang w:val="en-US" w:eastAsia="zh-CN"/>
            </w:rPr>
            <w:t>2</w:t>
          </w:r>
          <w:r>
            <w:rPr>
              <w:color w:val="auto"/>
            </w:rPr>
            <w:fldChar w:fldCharType="end"/>
          </w:r>
          <w:r>
            <w:rPr>
              <w:rFonts w:hint="eastAsia"/>
              <w:color w:val="auto"/>
              <w:lang w:val="en-US" w:eastAsia="zh-CN"/>
            </w:rPr>
            <w:t>2</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_Toc20388_WPSOffice_Level2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a09844c1-6e9d-4ce6-8512-3095e7eea738}"/>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8 </w:t>
              </w:r>
              <w:r>
                <w:rPr>
                  <w:rFonts w:hint="default" w:ascii="黑体" w:hAnsi="黑体" w:eastAsia="黑体" w:cs="黑体"/>
                  <w:color w:val="auto"/>
                </w:rPr>
                <w:t>重新招标和不再招标</w:t>
              </w:r>
            </w:sdtContent>
          </w:sdt>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_Toc26775_WPSOffice_Level2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dfa1d8a6-8c14-4db1-8716-4f6e5a368f72}"/>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9 </w:t>
              </w:r>
              <w:r>
                <w:rPr>
                  <w:rFonts w:hint="default" w:ascii="黑体" w:hAnsi="黑体" w:eastAsia="黑体" w:cs="黑体"/>
                  <w:color w:val="auto"/>
                </w:rPr>
                <w:t>纪律和监督</w:t>
              </w:r>
            </w:sdtContent>
          </w:sdt>
          <w:r>
            <w:rPr>
              <w:color w:val="auto"/>
            </w:rPr>
            <w:tab/>
          </w:r>
          <w:r>
            <w:rPr>
              <w:rFonts w:hint="eastAsia"/>
              <w:color w:val="auto"/>
              <w:lang w:val="en-US" w:eastAsia="zh-CN"/>
            </w:rPr>
            <w:t>2</w:t>
          </w:r>
          <w:r>
            <w:rPr>
              <w:color w:val="auto"/>
            </w:rPr>
            <w:fldChar w:fldCharType="end"/>
          </w:r>
          <w:r>
            <w:rPr>
              <w:rFonts w:hint="eastAsia"/>
              <w:color w:val="auto"/>
              <w:lang w:val="en-US" w:eastAsia="zh-CN"/>
            </w:rPr>
            <w:t>3</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_Toc30892_WPSOffice_Level2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8672881a-8899-40ca-964d-2dd4436f89a5}"/>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10 </w:t>
              </w:r>
              <w:r>
                <w:rPr>
                  <w:rFonts w:hint="default" w:ascii="黑体" w:hAnsi="黑体" w:eastAsia="黑体" w:cs="黑体"/>
                  <w:color w:val="auto"/>
                </w:rPr>
                <w:t>需要补充的其他内容</w:t>
              </w:r>
            </w:sdtContent>
          </w:sdt>
          <w:r>
            <w:rPr>
              <w:color w:val="auto"/>
            </w:rPr>
            <w:tab/>
          </w:r>
          <w:r>
            <w:rPr>
              <w:rFonts w:hint="eastAsia"/>
              <w:color w:val="auto"/>
              <w:lang w:val="en-US" w:eastAsia="zh-CN"/>
            </w:rPr>
            <w:t>2</w:t>
          </w:r>
          <w:r>
            <w:rPr>
              <w:color w:val="auto"/>
            </w:rPr>
            <w:fldChar w:fldCharType="end"/>
          </w:r>
          <w:r>
            <w:rPr>
              <w:rFonts w:hint="eastAsia"/>
              <w:color w:val="auto"/>
              <w:lang w:val="en-US" w:eastAsia="zh-CN"/>
            </w:rPr>
            <w:t>4</w:t>
          </w:r>
        </w:p>
        <w:p>
          <w:pPr>
            <w:pStyle w:val="8"/>
            <w:tabs>
              <w:tab w:val="right" w:leader="dot" w:pos="9746"/>
            </w:tabs>
            <w:rPr>
              <w:rFonts w:hint="eastAsia" w:eastAsia="宋体"/>
              <w:color w:val="auto"/>
              <w:lang w:val="en-US" w:eastAsia="zh-CN"/>
            </w:rPr>
          </w:pPr>
          <w:r>
            <w:rPr>
              <w:b/>
              <w:bCs/>
              <w:color w:val="auto"/>
            </w:rPr>
            <w:fldChar w:fldCharType="begin"/>
          </w:r>
          <w:r>
            <w:rPr>
              <w:color w:val="auto"/>
            </w:rPr>
            <w:instrText xml:space="preserve"> HYPERLINK \l _Toc7002_WPSOffice_Level1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eb83c17b-443f-4aa0-ad6b-8383108ada19}"/>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第三章 评标办法（综合评估法）</w:t>
              </w:r>
            </w:sdtContent>
          </w:sdt>
          <w:r>
            <w:rPr>
              <w:b/>
              <w:bCs/>
              <w:color w:val="auto"/>
            </w:rPr>
            <w:tab/>
          </w:r>
          <w:r>
            <w:rPr>
              <w:rFonts w:hint="eastAsia"/>
              <w:b/>
              <w:bCs/>
              <w:color w:val="auto"/>
              <w:lang w:val="en-US" w:eastAsia="zh-CN"/>
            </w:rPr>
            <w:t>2</w:t>
          </w:r>
          <w:r>
            <w:rPr>
              <w:b/>
              <w:bCs/>
              <w:color w:val="auto"/>
            </w:rPr>
            <w:fldChar w:fldCharType="end"/>
          </w:r>
          <w:r>
            <w:rPr>
              <w:rFonts w:hint="eastAsia"/>
              <w:b/>
              <w:bCs/>
              <w:color w:val="auto"/>
              <w:lang w:val="en-US" w:eastAsia="zh-CN"/>
            </w:rPr>
            <w:t>6</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_Toc31250_WPSOffice_Level2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bdaef0d2-5c7d-4ffe-8b2d-cc83cc6d80d5}"/>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黑体" w:cs="Times New Roman"/>
                  <w:color w:val="auto"/>
                </w:rPr>
                <w:t>评标办法前附表</w:t>
              </w:r>
            </w:sdtContent>
          </w:sdt>
          <w:r>
            <w:rPr>
              <w:color w:val="auto"/>
            </w:rPr>
            <w:tab/>
          </w:r>
          <w:r>
            <w:rPr>
              <w:rFonts w:hint="eastAsia"/>
              <w:color w:val="auto"/>
              <w:lang w:val="en-US" w:eastAsia="zh-CN"/>
            </w:rPr>
            <w:t>2</w:t>
          </w:r>
          <w:r>
            <w:rPr>
              <w:color w:val="auto"/>
            </w:rPr>
            <w:fldChar w:fldCharType="end"/>
          </w:r>
          <w:r>
            <w:rPr>
              <w:rFonts w:hint="eastAsia"/>
              <w:color w:val="auto"/>
              <w:lang w:val="en-US" w:eastAsia="zh-CN"/>
            </w:rPr>
            <w:t>6</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_Toc22941_WPSOffice_Level2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f9b9996b-467c-438e-9329-04b8c07c337e}"/>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黑体" w:cs="Times New Roman"/>
                  <w:color w:val="auto"/>
                </w:rPr>
                <w:t>评标办法（综合评估法）正文部分</w:t>
              </w:r>
            </w:sdtContent>
          </w:sdt>
          <w:r>
            <w:rPr>
              <w:color w:val="auto"/>
            </w:rPr>
            <w:tab/>
          </w:r>
          <w:r>
            <w:rPr>
              <w:rFonts w:hint="eastAsia"/>
              <w:color w:val="auto"/>
              <w:lang w:val="en-US" w:eastAsia="zh-CN"/>
            </w:rPr>
            <w:t>3</w:t>
          </w:r>
          <w:r>
            <w:rPr>
              <w:color w:val="auto"/>
            </w:rPr>
            <w:fldChar w:fldCharType="end"/>
          </w:r>
          <w:r>
            <w:rPr>
              <w:rFonts w:hint="eastAsia"/>
              <w:color w:val="auto"/>
              <w:lang w:val="en-US" w:eastAsia="zh-CN"/>
            </w:rPr>
            <w:t>2</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_Toc26038_WPSOffice_Level2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6fb9c615-217f-458d-bdea-045041f2fa5e}"/>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1 </w:t>
              </w:r>
              <w:r>
                <w:rPr>
                  <w:rFonts w:hint="default" w:ascii="黑体" w:hAnsi="黑体" w:eastAsia="黑体" w:cs="黑体"/>
                  <w:color w:val="auto"/>
                </w:rPr>
                <w:t>评标方法</w:t>
              </w:r>
            </w:sdtContent>
          </w:sdt>
          <w:r>
            <w:rPr>
              <w:color w:val="auto"/>
            </w:rPr>
            <w:tab/>
          </w:r>
          <w:r>
            <w:rPr>
              <w:rFonts w:hint="eastAsia"/>
              <w:color w:val="auto"/>
              <w:lang w:val="en-US" w:eastAsia="zh-CN"/>
            </w:rPr>
            <w:t>3</w:t>
          </w:r>
          <w:r>
            <w:rPr>
              <w:color w:val="auto"/>
            </w:rPr>
            <w:fldChar w:fldCharType="end"/>
          </w:r>
          <w:r>
            <w:rPr>
              <w:rFonts w:hint="eastAsia"/>
              <w:color w:val="auto"/>
              <w:lang w:val="en-US" w:eastAsia="zh-CN"/>
            </w:rPr>
            <w:t>2</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_Toc32622_WPSOffice_Level2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b3e5d044-a480-4d83-a896-6d840b1563eb}"/>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2 </w:t>
              </w:r>
              <w:r>
                <w:rPr>
                  <w:rFonts w:hint="default" w:ascii="黑体" w:hAnsi="黑体" w:eastAsia="黑体" w:cs="黑体"/>
                  <w:color w:val="auto"/>
                </w:rPr>
                <w:t>评审标准</w:t>
              </w:r>
            </w:sdtContent>
          </w:sdt>
          <w:r>
            <w:rPr>
              <w:color w:val="auto"/>
            </w:rPr>
            <w:tab/>
          </w:r>
          <w:r>
            <w:rPr>
              <w:rFonts w:hint="eastAsia"/>
              <w:color w:val="auto"/>
              <w:lang w:val="en-US" w:eastAsia="zh-CN"/>
            </w:rPr>
            <w:t>3</w:t>
          </w:r>
          <w:r>
            <w:rPr>
              <w:color w:val="auto"/>
            </w:rPr>
            <w:fldChar w:fldCharType="end"/>
          </w:r>
          <w:r>
            <w:rPr>
              <w:rFonts w:hint="eastAsia"/>
              <w:color w:val="auto"/>
              <w:lang w:val="en-US" w:eastAsia="zh-CN"/>
            </w:rPr>
            <w:t>2</w:t>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_Toc32175_WPSOffice_Level2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1c855a25-ef3b-4e23-adf1-cecd20e38239}"/>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Arial" w:cs="Arial"/>
                  <w:color w:val="auto"/>
                </w:rPr>
                <w:t xml:space="preserve">3 </w:t>
              </w:r>
              <w:r>
                <w:rPr>
                  <w:rFonts w:hint="default" w:ascii="黑体" w:hAnsi="黑体" w:eastAsia="黑体" w:cs="黑体"/>
                  <w:color w:val="auto"/>
                </w:rPr>
                <w:t>评标程序</w:t>
              </w:r>
            </w:sdtContent>
          </w:sdt>
          <w:r>
            <w:rPr>
              <w:color w:val="auto"/>
            </w:rPr>
            <w:tab/>
          </w:r>
          <w:r>
            <w:rPr>
              <w:rFonts w:hint="eastAsia"/>
              <w:color w:val="auto"/>
              <w:lang w:val="en-US" w:eastAsia="zh-CN"/>
            </w:rPr>
            <w:t>3</w:t>
          </w:r>
          <w:r>
            <w:rPr>
              <w:color w:val="auto"/>
            </w:rPr>
            <w:fldChar w:fldCharType="end"/>
          </w:r>
          <w:r>
            <w:rPr>
              <w:rFonts w:hint="eastAsia"/>
              <w:color w:val="auto"/>
              <w:lang w:val="en-US" w:eastAsia="zh-CN"/>
            </w:rPr>
            <w:t>2</w:t>
          </w:r>
        </w:p>
        <w:p>
          <w:pPr>
            <w:pStyle w:val="8"/>
            <w:tabs>
              <w:tab w:val="right" w:leader="dot" w:pos="9746"/>
            </w:tabs>
            <w:rPr>
              <w:rFonts w:hint="eastAsia" w:eastAsia="宋体"/>
              <w:color w:val="auto"/>
              <w:lang w:val="en-US" w:eastAsia="zh-CN"/>
            </w:rPr>
          </w:pPr>
          <w:r>
            <w:rPr>
              <w:b/>
              <w:bCs/>
              <w:color w:val="auto"/>
            </w:rPr>
            <w:fldChar w:fldCharType="begin"/>
          </w:r>
          <w:r>
            <w:rPr>
              <w:color w:val="auto"/>
            </w:rPr>
            <w:instrText xml:space="preserve"> HYPERLINK \l _Toc8446_WPSOffice_Level1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d50c9b40-2a08-4c25-8e8e-7595ec33df13}"/>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第四章 合同条款及格式</w:t>
              </w:r>
            </w:sdtContent>
          </w:sdt>
          <w:r>
            <w:rPr>
              <w:b/>
              <w:bCs/>
              <w:color w:val="auto"/>
            </w:rPr>
            <w:tab/>
          </w:r>
          <w:r>
            <w:rPr>
              <w:rFonts w:hint="eastAsia"/>
              <w:b/>
              <w:bCs/>
              <w:color w:val="auto"/>
              <w:lang w:val="en-US" w:eastAsia="zh-CN"/>
            </w:rPr>
            <w:t>3</w:t>
          </w:r>
          <w:r>
            <w:rPr>
              <w:b/>
              <w:bCs/>
              <w:color w:val="auto"/>
            </w:rPr>
            <w:fldChar w:fldCharType="end"/>
          </w:r>
          <w:r>
            <w:rPr>
              <w:rFonts w:hint="eastAsia"/>
              <w:b/>
              <w:bCs/>
              <w:color w:val="auto"/>
              <w:lang w:val="en-US" w:eastAsia="zh-CN"/>
            </w:rPr>
            <w:t>9</w:t>
          </w:r>
        </w:p>
        <w:p>
          <w:pPr>
            <w:pStyle w:val="9"/>
            <w:tabs>
              <w:tab w:val="right" w:leader="dot" w:pos="9746"/>
            </w:tabs>
            <w:rPr>
              <w:color w:val="auto"/>
            </w:rPr>
          </w:pPr>
          <w:r>
            <w:rPr>
              <w:color w:val="auto"/>
            </w:rPr>
            <w:fldChar w:fldCharType="begin"/>
          </w:r>
          <w:r>
            <w:rPr>
              <w:color w:val="auto"/>
            </w:rPr>
            <w:instrText xml:space="preserve"> HYPERLINK \l _Toc20578_WPSOffice_Level2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8a4d8b66-08ea-4c1a-b4de-18ea6c438f05}"/>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黑体" w:cs="Times New Roman"/>
                  <w:color w:val="auto"/>
                </w:rPr>
                <w:t>第一部分 合同协议书</w:t>
              </w:r>
            </w:sdtContent>
          </w:sdt>
          <w:r>
            <w:rPr>
              <w:color w:val="auto"/>
            </w:rPr>
            <w:tab/>
          </w:r>
          <w:bookmarkStart w:id="1" w:name="_Toc20578_WPSOffice_Level2Page"/>
          <w:r>
            <w:rPr>
              <w:color w:val="auto"/>
            </w:rPr>
            <w:t>36</w:t>
          </w:r>
          <w:bookmarkEnd w:id="1"/>
          <w:r>
            <w:rPr>
              <w:color w:val="auto"/>
            </w:rPr>
            <w:fldChar w:fldCharType="end"/>
          </w:r>
        </w:p>
        <w:p>
          <w:pPr>
            <w:pStyle w:val="9"/>
            <w:tabs>
              <w:tab w:val="right" w:leader="dot" w:pos="9746"/>
            </w:tabs>
            <w:rPr>
              <w:rFonts w:hint="eastAsia" w:eastAsia="宋体"/>
              <w:color w:val="auto"/>
              <w:lang w:val="en-US" w:eastAsia="zh-CN"/>
            </w:rPr>
          </w:pPr>
          <w:r>
            <w:rPr>
              <w:color w:val="auto"/>
            </w:rPr>
            <w:fldChar w:fldCharType="begin"/>
          </w:r>
          <w:r>
            <w:rPr>
              <w:color w:val="auto"/>
            </w:rPr>
            <w:instrText xml:space="preserve"> HYPERLINK \l _Toc8404_WPSOffice_Level2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e508de7a-c378-4698-af11-35ff0e85227e}"/>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黑体" w:cs="Times New Roman"/>
                  <w:color w:val="auto"/>
                </w:rPr>
                <w:t>第二部分 通用合同条款</w:t>
              </w:r>
            </w:sdtContent>
          </w:sdt>
          <w:r>
            <w:rPr>
              <w:color w:val="auto"/>
            </w:rPr>
            <w:tab/>
          </w:r>
          <w:r>
            <w:rPr>
              <w:rFonts w:hint="eastAsia"/>
              <w:color w:val="auto"/>
              <w:lang w:val="en-US" w:eastAsia="zh-CN"/>
            </w:rPr>
            <w:t>4</w:t>
          </w:r>
          <w:r>
            <w:rPr>
              <w:color w:val="auto"/>
            </w:rPr>
            <w:fldChar w:fldCharType="end"/>
          </w:r>
          <w:r>
            <w:rPr>
              <w:rFonts w:hint="eastAsia"/>
              <w:color w:val="auto"/>
              <w:lang w:val="en-US" w:eastAsia="zh-CN"/>
            </w:rPr>
            <w:t>2</w:t>
          </w:r>
        </w:p>
        <w:p>
          <w:pPr>
            <w:pStyle w:val="9"/>
            <w:tabs>
              <w:tab w:val="right" w:leader="dot" w:pos="9746"/>
            </w:tabs>
            <w:rPr>
              <w:rFonts w:hint="eastAsia" w:eastAsia="宋体"/>
              <w:color w:val="auto"/>
              <w:lang w:eastAsia="zh-CN"/>
            </w:rPr>
          </w:pPr>
          <w:r>
            <w:rPr>
              <w:color w:val="auto"/>
            </w:rPr>
            <w:fldChar w:fldCharType="begin"/>
          </w:r>
          <w:r>
            <w:rPr>
              <w:color w:val="auto"/>
            </w:rPr>
            <w:instrText xml:space="preserve"> HYPERLINK \l _Toc786_WPSOffice_Level2 </w:instrText>
          </w:r>
          <w:r>
            <w:rPr>
              <w:color w:val="auto"/>
            </w:rPr>
            <w:fldChar w:fldCharType="separate"/>
          </w:r>
          <w:sdt>
            <w:sdtPr>
              <w:rPr>
                <w:rFonts w:ascii="Times New Roman" w:hAnsi="Times New Roman" w:eastAsia="Times New Roman" w:cs="Times New Roman"/>
                <w:b/>
                <w:color w:val="auto"/>
                <w:spacing w:val="0"/>
                <w:w w:val="100"/>
                <w:kern w:val="44"/>
                <w:position w:val="0"/>
                <w:sz w:val="36"/>
                <w:highlight w:val="none"/>
                <w:u w:val="none"/>
                <w:vertAlign w:val="baseline"/>
              </w:rPr>
              <w:id w:val="147475447"/>
              <w:placeholder>
                <w:docPart w:val="{1cd9464b-1b45-41e0-80eb-5d52a6320565}"/>
              </w:placeholder>
              <w15:color w:val="509DF3"/>
            </w:sdtPr>
            <w:sdtEndPr>
              <w:rPr>
                <w:rFonts w:ascii="Times New Roman" w:hAnsi="Times New Roman" w:eastAsia="Times New Roman" w:cs="Times New Roman"/>
                <w:b/>
                <w:color w:val="auto"/>
                <w:spacing w:val="0"/>
                <w:w w:val="100"/>
                <w:kern w:val="44"/>
                <w:position w:val="0"/>
                <w:sz w:val="36"/>
                <w:highlight w:val="none"/>
                <w:u w:val="none"/>
                <w:vertAlign w:val="baseline"/>
              </w:rPr>
            </w:sdtEndPr>
            <w:sdtContent>
              <w:r>
                <w:rPr>
                  <w:rFonts w:hint="default" w:ascii="Arial" w:hAnsi="Arial" w:eastAsia="黑体" w:cs="Times New Roman"/>
                  <w:color w:val="auto"/>
                </w:rPr>
                <w:t>第三部分 专用合同条款</w:t>
              </w:r>
            </w:sdtContent>
          </w:sdt>
          <w:r>
            <w:rPr>
              <w:color w:val="auto"/>
            </w:rPr>
            <w:tab/>
          </w:r>
          <w:r>
            <w:rPr>
              <w:rFonts w:hint="eastAsia"/>
              <w:color w:val="auto"/>
              <w:lang w:val="en-US" w:eastAsia="zh-CN"/>
            </w:rPr>
            <w:t>4</w:t>
          </w:r>
          <w:r>
            <w:rPr>
              <w:color w:val="auto"/>
            </w:rPr>
            <w:fldChar w:fldCharType="end"/>
          </w:r>
          <w:r>
            <w:rPr>
              <w:rFonts w:hint="eastAsia"/>
              <w:color w:val="auto"/>
              <w:lang w:val="en-US" w:eastAsia="zh-CN"/>
            </w:rPr>
            <w:t>2</w:t>
          </w:r>
        </w:p>
        <w:p>
          <w:pPr>
            <w:pStyle w:val="8"/>
            <w:tabs>
              <w:tab w:val="right" w:leader="dot" w:pos="9746"/>
            </w:tabs>
            <w:rPr>
              <w:rFonts w:hint="eastAsia" w:eastAsia="宋体"/>
              <w:color w:val="auto"/>
              <w:lang w:val="en-US" w:eastAsia="zh-CN"/>
            </w:rPr>
          </w:pPr>
          <w:r>
            <w:rPr>
              <w:b/>
              <w:bCs/>
              <w:color w:val="auto"/>
            </w:rPr>
            <w:fldChar w:fldCharType="begin"/>
          </w:r>
          <w:r>
            <w:rPr>
              <w:color w:val="auto"/>
            </w:rPr>
            <w:instrText xml:space="preserve"> HYPERLINK \l _Toc11420_WPSOffice_Level1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ce9b843d-4ea5-4776-8ca6-723c3c603d05}"/>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第五章 工程量清单</w:t>
              </w:r>
            </w:sdtContent>
          </w:sdt>
          <w:r>
            <w:rPr>
              <w:b/>
              <w:bCs/>
              <w:color w:val="auto"/>
            </w:rPr>
            <w:tab/>
          </w:r>
          <w:r>
            <w:rPr>
              <w:rFonts w:hint="eastAsia"/>
              <w:b/>
              <w:bCs/>
              <w:color w:val="auto"/>
              <w:lang w:val="en-US" w:eastAsia="zh-CN"/>
            </w:rPr>
            <w:t>6</w:t>
          </w:r>
          <w:r>
            <w:rPr>
              <w:b/>
              <w:bCs/>
              <w:color w:val="auto"/>
            </w:rPr>
            <w:fldChar w:fldCharType="end"/>
          </w:r>
          <w:r>
            <w:rPr>
              <w:rFonts w:hint="eastAsia"/>
              <w:b/>
              <w:bCs/>
              <w:color w:val="auto"/>
              <w:lang w:val="en-US" w:eastAsia="zh-CN"/>
            </w:rPr>
            <w:t>6</w:t>
          </w:r>
        </w:p>
        <w:p>
          <w:pPr>
            <w:pStyle w:val="8"/>
            <w:tabs>
              <w:tab w:val="right" w:leader="dot" w:pos="9746"/>
            </w:tabs>
            <w:rPr>
              <w:rFonts w:hint="eastAsia" w:eastAsia="宋体"/>
              <w:color w:val="auto"/>
              <w:lang w:val="en-US" w:eastAsia="zh-CN"/>
            </w:rPr>
          </w:pPr>
          <w:r>
            <w:rPr>
              <w:b/>
              <w:bCs/>
              <w:color w:val="auto"/>
            </w:rPr>
            <w:fldChar w:fldCharType="begin"/>
          </w:r>
          <w:r>
            <w:rPr>
              <w:color w:val="auto"/>
            </w:rPr>
            <w:instrText xml:space="preserve"> HYPERLINK \l _Toc17128_WPSOffice_Level1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11600fd4-16f0-4595-b703-584d6f61360c}"/>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w:t>
              </w:r>
              <w:r>
                <w:rPr>
                  <w:rFonts w:hint="eastAsia" w:cs="Times New Roman"/>
                  <w:b/>
                  <w:bCs/>
                  <w:color w:val="auto"/>
                  <w:lang w:eastAsia="zh-CN"/>
                </w:rPr>
                <w:t>六</w:t>
              </w:r>
              <w:r>
                <w:rPr>
                  <w:rFonts w:hint="default" w:ascii="Times New Roman" w:hAnsi="Times New Roman" w:eastAsia="Times New Roman" w:cs="Times New Roman"/>
                  <w:b/>
                  <w:bCs/>
                  <w:color w:val="auto"/>
                </w:rPr>
                <w:t>章 技术标准和要求</w:t>
              </w:r>
            </w:sdtContent>
          </w:sdt>
          <w:r>
            <w:rPr>
              <w:b/>
              <w:bCs/>
              <w:color w:val="auto"/>
            </w:rPr>
            <w:tab/>
          </w:r>
          <w:r>
            <w:rPr>
              <w:rFonts w:hint="eastAsia"/>
              <w:b/>
              <w:bCs/>
              <w:color w:val="auto"/>
              <w:lang w:val="en-US" w:eastAsia="zh-CN"/>
            </w:rPr>
            <w:t>6</w:t>
          </w:r>
          <w:r>
            <w:rPr>
              <w:b/>
              <w:bCs/>
              <w:color w:val="auto"/>
            </w:rPr>
            <w:fldChar w:fldCharType="end"/>
          </w:r>
          <w:r>
            <w:rPr>
              <w:rFonts w:hint="eastAsia"/>
              <w:b/>
              <w:bCs/>
              <w:color w:val="auto"/>
              <w:lang w:val="en-US" w:eastAsia="zh-CN"/>
            </w:rPr>
            <w:t>9</w:t>
          </w:r>
        </w:p>
        <w:p>
          <w:pPr>
            <w:pStyle w:val="8"/>
            <w:tabs>
              <w:tab w:val="right" w:leader="dot" w:pos="9746"/>
            </w:tabs>
            <w:rPr>
              <w:rFonts w:hint="eastAsia" w:eastAsia="宋体"/>
              <w:color w:val="auto"/>
              <w:lang w:val="en-US" w:eastAsia="zh-CN"/>
            </w:rPr>
          </w:pPr>
          <w:r>
            <w:rPr>
              <w:b/>
              <w:bCs/>
              <w:color w:val="auto"/>
            </w:rPr>
            <w:fldChar w:fldCharType="begin"/>
          </w:r>
          <w:r>
            <w:rPr>
              <w:color w:val="auto"/>
            </w:rPr>
            <w:instrText xml:space="preserve"> HYPERLINK \l _Toc15145_WPSOffice_Level1 </w:instrText>
          </w:r>
          <w:r>
            <w:rPr>
              <w:b/>
              <w:bCs/>
              <w:color w:val="auto"/>
            </w:rPr>
            <w:fldChar w:fldCharType="separate"/>
          </w:r>
          <w:sdt>
            <w:sdtPr>
              <w:rPr>
                <w:rFonts w:ascii="Times New Roman" w:hAnsi="Times New Roman" w:eastAsia="Times New Roman" w:cs="Times New Roman"/>
                <w:b/>
                <w:bCs/>
                <w:color w:val="auto"/>
                <w:spacing w:val="0"/>
                <w:w w:val="100"/>
                <w:kern w:val="44"/>
                <w:position w:val="0"/>
                <w:sz w:val="36"/>
                <w:highlight w:val="none"/>
                <w:u w:val="none"/>
                <w:vertAlign w:val="baseline"/>
              </w:rPr>
              <w:id w:val="147475447"/>
              <w:placeholder>
                <w:docPart w:val="{69616587-b83a-4d14-9ffb-6a7a967319d7}"/>
              </w:placeholder>
              <w15:color w:val="509DF3"/>
            </w:sdtPr>
            <w:sdtEndPr>
              <w:rPr>
                <w:rFonts w:ascii="Times New Roman" w:hAnsi="Times New Roman" w:eastAsia="Times New Roman" w:cs="Times New Roman"/>
                <w:b/>
                <w:bCs/>
                <w:color w:val="auto"/>
                <w:spacing w:val="0"/>
                <w:w w:val="100"/>
                <w:kern w:val="44"/>
                <w:position w:val="0"/>
                <w:sz w:val="36"/>
                <w:highlight w:val="none"/>
                <w:u w:val="none"/>
                <w:vertAlign w:val="baseline"/>
              </w:rPr>
            </w:sdtEndPr>
            <w:sdtContent>
              <w:r>
                <w:rPr>
                  <w:rFonts w:hint="default" w:ascii="Times New Roman" w:hAnsi="Times New Roman" w:eastAsia="Times New Roman" w:cs="Times New Roman"/>
                  <w:b/>
                  <w:bCs/>
                  <w:color w:val="auto"/>
                </w:rPr>
                <w:t>第</w:t>
              </w:r>
              <w:r>
                <w:rPr>
                  <w:rFonts w:hint="eastAsia" w:cs="Times New Roman"/>
                  <w:b/>
                  <w:bCs/>
                  <w:color w:val="auto"/>
                  <w:lang w:eastAsia="zh-CN"/>
                </w:rPr>
                <w:t>七</w:t>
              </w:r>
              <w:r>
                <w:rPr>
                  <w:rFonts w:hint="default" w:ascii="Times New Roman" w:hAnsi="Times New Roman" w:eastAsia="Times New Roman" w:cs="Times New Roman"/>
                  <w:b/>
                  <w:bCs/>
                  <w:color w:val="auto"/>
                </w:rPr>
                <w:t>章 投标文件格式</w:t>
              </w:r>
            </w:sdtContent>
          </w:sdt>
          <w:r>
            <w:rPr>
              <w:b/>
              <w:bCs/>
              <w:color w:val="auto"/>
            </w:rPr>
            <w:tab/>
          </w:r>
          <w:r>
            <w:rPr>
              <w:rFonts w:hint="eastAsia"/>
              <w:b/>
              <w:bCs/>
              <w:color w:val="auto"/>
              <w:lang w:val="en-US" w:eastAsia="zh-CN"/>
            </w:rPr>
            <w:t>7</w:t>
          </w:r>
          <w:r>
            <w:rPr>
              <w:b/>
              <w:bCs/>
              <w:color w:val="auto"/>
            </w:rPr>
            <w:fldChar w:fldCharType="end"/>
          </w:r>
          <w:r>
            <w:rPr>
              <w:rFonts w:hint="eastAsia"/>
              <w:b/>
              <w:bCs/>
              <w:color w:val="auto"/>
              <w:lang w:val="en-US" w:eastAsia="zh-CN"/>
            </w:rPr>
            <w:t>0</w:t>
          </w:r>
        </w:p>
        <w:bookmarkEnd w:id="0"/>
        <w:p>
          <w:pPr>
            <w:pStyle w:val="9"/>
            <w:tabs>
              <w:tab w:val="right" w:leader="dot" w:pos="9746"/>
            </w:tabs>
            <w:rPr>
              <w:color w:val="auto"/>
            </w:rPr>
          </w:pPr>
        </w:p>
      </w:sdtContent>
    </w:sdt>
    <w:p>
      <w:pPr>
        <w:pStyle w:val="2"/>
        <w:bidi w:val="0"/>
        <w:rPr>
          <w:rFonts w:hint="default"/>
          <w:color w:val="auto"/>
        </w:rPr>
        <w:sectPr>
          <w:footerReference r:id="rId3" w:type="default"/>
          <w:footnotePr>
            <w:numStart w:val="0"/>
          </w:footnotePr>
          <w:endnotePr>
            <w:numFmt w:val="decimal"/>
            <w:numStart w:val="0"/>
          </w:endnotePr>
          <w:pgSz w:w="11906" w:h="16838"/>
          <w:pgMar w:top="1139" w:right="1080" w:bottom="649" w:left="1080" w:header="0" w:footer="567" w:gutter="0"/>
          <w:pgBorders>
            <w:top w:val="none" w:sz="0" w:space="0"/>
            <w:left w:val="none" w:sz="0" w:space="0"/>
            <w:bottom w:val="none" w:sz="0" w:space="0"/>
            <w:right w:val="none" w:sz="0" w:space="0"/>
          </w:pgBorders>
          <w:pgNumType w:fmt="upperRoman" w:start="1"/>
          <w:cols w:space="720" w:num="1"/>
          <w:docGrid w:linePitch="0" w:charSpace="0"/>
        </w:sectPr>
      </w:pPr>
    </w:p>
    <w:p>
      <w:pPr>
        <w:pStyle w:val="2"/>
        <w:bidi w:val="0"/>
        <w:rPr>
          <w:rFonts w:hint="default"/>
          <w:color w:val="auto"/>
        </w:rPr>
      </w:pPr>
      <w:r>
        <w:rPr>
          <w:rFonts w:hint="default"/>
          <w:color w:val="auto"/>
        </w:rPr>
        <w:t>第一卷</w:t>
      </w:r>
    </w:p>
    <w:p>
      <w:pPr>
        <w:pStyle w:val="2"/>
        <w:bidi w:val="0"/>
        <w:rPr>
          <w:rFonts w:hint="default"/>
          <w:color w:val="auto"/>
        </w:rPr>
      </w:pPr>
      <w:bookmarkStart w:id="2" w:name="_Toc17390_WPSOffice_Level1"/>
      <w:bookmarkStart w:id="3" w:name="_Toc11010_WPSOffice_Level1"/>
      <w:r>
        <w:rPr>
          <w:rFonts w:hint="default"/>
          <w:color w:val="auto"/>
        </w:rPr>
        <w:t>第一章 招标公告</w:t>
      </w:r>
      <w:bookmarkEnd w:id="2"/>
      <w:bookmarkEnd w:id="3"/>
    </w:p>
    <w:p>
      <w:pPr>
        <w:pStyle w:val="2"/>
        <w:keepNext/>
        <w:keepLines/>
        <w:pageBreakBefore w:val="0"/>
        <w:widowControl w:val="0"/>
        <w:tabs>
          <w:tab w:val="left" w:pos="0"/>
          <w:tab w:val="left" w:pos="3165"/>
          <w:tab w:val="center" w:pos="4153"/>
        </w:tabs>
        <w:kinsoku/>
        <w:wordWrap/>
        <w:overflowPunct/>
        <w:topLinePunct w:val="0"/>
        <w:autoSpaceDE w:val="0"/>
        <w:autoSpaceDN w:val="0"/>
        <w:bidi w:val="0"/>
        <w:adjustRightInd w:val="0"/>
        <w:snapToGrid/>
        <w:spacing w:before="0" w:after="0" w:line="560" w:lineRule="exact"/>
        <w:jc w:val="center"/>
        <w:textAlignment w:val="auto"/>
        <w:rPr>
          <w:rFonts w:ascii="华文中宋" w:hAnsi="华文中宋" w:eastAsia="华文中宋"/>
          <w:color w:val="auto"/>
          <w:sz w:val="36"/>
          <w:szCs w:val="36"/>
        </w:rPr>
      </w:pPr>
      <w:r>
        <w:rPr>
          <w:rFonts w:hint="eastAsia" w:ascii="华文中宋" w:hAnsi="华文中宋" w:eastAsia="华文中宋"/>
          <w:color w:val="auto"/>
          <w:sz w:val="36"/>
          <w:szCs w:val="36"/>
          <w:lang w:eastAsia="zh-CN"/>
        </w:rPr>
        <w:t>莲山镇2021年第一批市级财政专项扶贫资金项目（一标段）</w:t>
      </w:r>
      <w:r>
        <w:rPr>
          <w:rFonts w:hint="eastAsia" w:ascii="华文中宋" w:hAnsi="华文中宋" w:eastAsia="华文中宋"/>
          <w:color w:val="auto"/>
          <w:sz w:val="36"/>
          <w:szCs w:val="36"/>
        </w:rPr>
        <w:t>（项目编号：</w:t>
      </w:r>
      <w:r>
        <w:rPr>
          <w:rFonts w:hint="eastAsia" w:ascii="华文中宋" w:hAnsi="华文中宋" w:eastAsia="华文中宋"/>
          <w:color w:val="auto"/>
          <w:sz w:val="36"/>
          <w:szCs w:val="36"/>
          <w:lang w:eastAsia="zh-CN"/>
        </w:rPr>
        <w:t>HZZC2021-G2-230199-GXHS</w:t>
      </w:r>
      <w:r>
        <w:rPr>
          <w:rFonts w:hint="eastAsia" w:ascii="华文中宋" w:hAnsi="华文中宋" w:eastAsia="华文中宋"/>
          <w:color w:val="auto"/>
          <w:sz w:val="36"/>
          <w:szCs w:val="36"/>
        </w:rPr>
        <w:t>）施工招标公告</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olor w:val="auto"/>
          <w:sz w:val="28"/>
          <w:szCs w:val="28"/>
        </w:rPr>
      </w:pPr>
      <w:r>
        <w:rPr>
          <w:rFonts w:hint="eastAsia" w:ascii="仿宋" w:hAnsi="仿宋" w:eastAsia="仿宋"/>
          <w:color w:val="auto"/>
          <w:sz w:val="28"/>
          <w:szCs w:val="28"/>
          <w:u w:val="single"/>
        </w:rPr>
        <w:t xml:space="preserve">  </w:t>
      </w:r>
      <w:r>
        <w:rPr>
          <w:rFonts w:hint="eastAsia" w:ascii="仿宋" w:hAnsi="仿宋" w:eastAsia="仿宋"/>
          <w:color w:val="auto"/>
          <w:sz w:val="28"/>
          <w:szCs w:val="28"/>
          <w:u w:val="single"/>
          <w:lang w:eastAsia="zh-CN"/>
        </w:rPr>
        <w:t>莲山镇2021年第一批市级财政专项扶贫资金项目（一标段）</w:t>
      </w:r>
      <w:r>
        <w:rPr>
          <w:rFonts w:hint="eastAsia" w:ascii="仿宋" w:hAnsi="仿宋" w:eastAsia="仿宋"/>
          <w:color w:val="auto"/>
          <w:sz w:val="28"/>
          <w:szCs w:val="28"/>
        </w:rPr>
        <w:t xml:space="preserve"> 招标项目的潜在投标人应在</w:t>
      </w:r>
      <w:r>
        <w:rPr>
          <w:rFonts w:hint="eastAsia" w:ascii="仿宋" w:hAnsi="仿宋" w:eastAsia="仿宋" w:cs="仿宋"/>
          <w:i w:val="0"/>
          <w:caps w:val="0"/>
          <w:color w:val="auto"/>
          <w:spacing w:val="0"/>
          <w:sz w:val="27"/>
          <w:szCs w:val="27"/>
          <w:u w:val="single"/>
        </w:rPr>
        <w:t>全国公共资源交易平台（广西·贺州）http://ggzy.jgswj.gxzf.gov.cn/hzggzy/下载招标文件</w:t>
      </w:r>
      <w:r>
        <w:rPr>
          <w:rFonts w:hint="eastAsia" w:ascii="仿宋" w:hAnsi="仿宋" w:eastAsia="仿宋"/>
          <w:color w:val="auto"/>
          <w:sz w:val="28"/>
          <w:szCs w:val="28"/>
        </w:rPr>
        <w:t>，并于</w:t>
      </w:r>
      <w:r>
        <w:rPr>
          <w:rFonts w:hint="eastAsia" w:ascii="仿宋" w:hAnsi="仿宋" w:eastAsia="仿宋"/>
          <w:bCs/>
          <w:color w:val="auto"/>
          <w:sz w:val="28"/>
          <w:szCs w:val="28"/>
          <w:u w:val="single"/>
          <w:lang w:val="en-US" w:eastAsia="zh-CN"/>
        </w:rPr>
        <w:t>2021年8月24日09点00分</w:t>
      </w:r>
      <w:r>
        <w:rPr>
          <w:rFonts w:hint="eastAsia" w:ascii="仿宋" w:hAnsi="仿宋" w:eastAsia="仿宋"/>
          <w:bCs/>
          <w:color w:val="auto"/>
          <w:sz w:val="28"/>
          <w:szCs w:val="28"/>
          <w:u w:val="single"/>
        </w:rPr>
        <w:t>（</w:t>
      </w:r>
      <w:r>
        <w:rPr>
          <w:rFonts w:hint="eastAsia" w:ascii="仿宋" w:hAnsi="仿宋" w:eastAsia="仿宋"/>
          <w:bCs/>
          <w:color w:val="auto"/>
          <w:sz w:val="28"/>
          <w:szCs w:val="28"/>
        </w:rPr>
        <w:t>北京时间）前递交投标</w:t>
      </w:r>
      <w:r>
        <w:rPr>
          <w:rFonts w:ascii="仿宋" w:hAnsi="仿宋" w:eastAsia="仿宋"/>
          <w:bCs/>
          <w:color w:val="auto"/>
          <w:sz w:val="28"/>
          <w:szCs w:val="28"/>
        </w:rPr>
        <w:t>文件</w:t>
      </w:r>
      <w:r>
        <w:rPr>
          <w:rFonts w:hint="eastAsia" w:ascii="仿宋" w:hAnsi="仿宋" w:eastAsia="仿宋"/>
          <w:color w:val="auto"/>
          <w:sz w:val="28"/>
          <w:szCs w:val="28"/>
        </w:rPr>
        <w:t>。</w:t>
      </w:r>
    </w:p>
    <w:p>
      <w:pPr>
        <w:rPr>
          <w:color w:val="auto"/>
          <w:sz w:val="28"/>
          <w:szCs w:val="28"/>
        </w:rPr>
      </w:pPr>
    </w:p>
    <w:p>
      <w:pPr>
        <w:pStyle w:val="3"/>
        <w:spacing w:line="360" w:lineRule="auto"/>
        <w:ind w:firstLine="560" w:firstLineChars="200"/>
        <w:jc w:val="both"/>
        <w:rPr>
          <w:rFonts w:ascii="黑体" w:hAnsi="黑体" w:cs="宋体"/>
          <w:b w:val="0"/>
          <w:color w:val="auto"/>
          <w:sz w:val="28"/>
          <w:szCs w:val="28"/>
        </w:rPr>
      </w:pPr>
      <w:bookmarkStart w:id="4" w:name="_Toc35393621"/>
      <w:bookmarkStart w:id="5" w:name="_Toc28359002"/>
      <w:bookmarkStart w:id="6" w:name="_Toc35393790"/>
      <w:bookmarkStart w:id="7" w:name="_Toc28359079"/>
      <w:bookmarkStart w:id="8" w:name="_Hlk24379207"/>
      <w:r>
        <w:rPr>
          <w:rFonts w:hint="eastAsia" w:ascii="黑体" w:hAnsi="黑体" w:cs="宋体"/>
          <w:b w:val="0"/>
          <w:color w:val="auto"/>
          <w:sz w:val="28"/>
          <w:szCs w:val="28"/>
        </w:rPr>
        <w:t>一、项目基本情况</w:t>
      </w:r>
      <w:bookmarkEnd w:id="4"/>
      <w:bookmarkEnd w:id="5"/>
      <w:bookmarkEnd w:id="6"/>
      <w:bookmarkEnd w:id="7"/>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项目编号：</w:t>
      </w:r>
      <w:r>
        <w:rPr>
          <w:rFonts w:hint="eastAsia" w:ascii="仿宋" w:hAnsi="仿宋" w:eastAsia="仿宋"/>
          <w:color w:val="auto"/>
          <w:sz w:val="28"/>
          <w:szCs w:val="28"/>
          <w:lang w:eastAsia="zh-CN"/>
        </w:rPr>
        <w:t xml:space="preserve">HZZC2021-G2-230199-GXHS </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项目名称：</w:t>
      </w:r>
      <w:r>
        <w:rPr>
          <w:rFonts w:hint="eastAsia" w:ascii="仿宋" w:hAnsi="仿宋" w:eastAsia="仿宋"/>
          <w:color w:val="auto"/>
          <w:sz w:val="28"/>
          <w:szCs w:val="28"/>
          <w:lang w:eastAsia="zh-CN"/>
        </w:rPr>
        <w:t>莲山镇2021年第一批市级财政专项扶贫资金项目（一标段）</w:t>
      </w:r>
    </w:p>
    <w:bookmarkEnd w:id="8"/>
    <w:p>
      <w:pPr>
        <w:ind w:firstLine="560" w:firstLineChars="200"/>
        <w:rPr>
          <w:rFonts w:hint="default" w:ascii="仿宋" w:hAnsi="仿宋" w:eastAsia="仿宋"/>
          <w:color w:val="auto"/>
          <w:sz w:val="28"/>
          <w:szCs w:val="28"/>
          <w:lang w:val="en-US" w:eastAsia="zh-CN"/>
        </w:rPr>
      </w:pPr>
      <w:r>
        <w:rPr>
          <w:rFonts w:hint="eastAsia" w:ascii="仿宋" w:hAnsi="仿宋" w:eastAsia="仿宋"/>
          <w:color w:val="auto"/>
          <w:sz w:val="28"/>
          <w:szCs w:val="28"/>
        </w:rPr>
        <w:t>预算金额：</w:t>
      </w:r>
      <w:r>
        <w:rPr>
          <w:rFonts w:hint="eastAsia" w:ascii="仿宋" w:hAnsi="仿宋" w:eastAsia="仿宋"/>
          <w:color w:val="auto"/>
          <w:sz w:val="28"/>
          <w:szCs w:val="28"/>
          <w:lang w:val="en-US" w:eastAsia="zh-CN"/>
        </w:rPr>
        <w:t>壹佰伍拾肆万伍仟肆佰肆拾伍元柒角叁分</w:t>
      </w:r>
      <w:r>
        <w:rPr>
          <w:rFonts w:hint="eastAsia" w:ascii="仿宋" w:hAnsi="仿宋" w:eastAsia="仿宋"/>
          <w:color w:val="auto"/>
          <w:sz w:val="28"/>
          <w:szCs w:val="28"/>
          <w:lang w:eastAsia="zh-CN"/>
        </w:rPr>
        <w:t>（</w:t>
      </w:r>
      <w:r>
        <w:rPr>
          <w:rFonts w:hint="eastAsia" w:ascii="仿宋" w:hAnsi="仿宋" w:eastAsia="仿宋"/>
          <w:color w:val="auto"/>
          <w:sz w:val="28"/>
          <w:szCs w:val="28"/>
          <w:lang w:val="en-US" w:eastAsia="zh-CN"/>
        </w:rPr>
        <w:t>1545445.73</w:t>
      </w:r>
      <w:r>
        <w:rPr>
          <w:rFonts w:hint="eastAsia" w:ascii="仿宋" w:hAnsi="仿宋" w:eastAsia="仿宋"/>
          <w:color w:val="auto"/>
          <w:sz w:val="28"/>
          <w:szCs w:val="28"/>
          <w:lang w:eastAsia="zh-CN"/>
        </w:rPr>
        <w:t>元）</w:t>
      </w:r>
    </w:p>
    <w:p>
      <w:pPr>
        <w:ind w:firstLine="560" w:firstLineChars="200"/>
        <w:rPr>
          <w:rFonts w:ascii="仿宋" w:hAnsi="仿宋" w:eastAsia="仿宋"/>
          <w:color w:val="auto"/>
          <w:sz w:val="28"/>
          <w:szCs w:val="28"/>
        </w:rPr>
      </w:pPr>
      <w:r>
        <w:rPr>
          <w:rFonts w:hint="eastAsia" w:ascii="仿宋" w:hAnsi="仿宋" w:eastAsia="仿宋"/>
          <w:color w:val="auto"/>
          <w:sz w:val="28"/>
          <w:szCs w:val="28"/>
        </w:rPr>
        <w:t>最高限价：</w:t>
      </w:r>
      <w:r>
        <w:rPr>
          <w:rFonts w:hint="eastAsia" w:ascii="仿宋" w:hAnsi="仿宋" w:eastAsia="仿宋"/>
          <w:color w:val="auto"/>
          <w:sz w:val="28"/>
          <w:szCs w:val="28"/>
          <w:lang w:eastAsia="zh-CN"/>
        </w:rPr>
        <w:t>壹佰伍拾肆万伍仟肆佰肆拾伍元柒角叁分（1545445.73元）</w:t>
      </w:r>
    </w:p>
    <w:p>
      <w:pPr>
        <w:ind w:firstLine="560" w:firstLineChars="200"/>
        <w:rPr>
          <w:rFonts w:hint="eastAsia" w:ascii="仿宋" w:hAnsi="仿宋" w:eastAsia="仿宋"/>
          <w:color w:val="auto"/>
          <w:sz w:val="28"/>
          <w:szCs w:val="28"/>
          <w:lang w:eastAsia="zh-CN"/>
        </w:rPr>
      </w:pPr>
      <w:r>
        <w:rPr>
          <w:rFonts w:hint="eastAsia" w:ascii="仿宋" w:hAnsi="仿宋" w:eastAsia="仿宋"/>
          <w:color w:val="auto"/>
          <w:sz w:val="28"/>
          <w:szCs w:val="28"/>
        </w:rPr>
        <w:t>采购需求：</w:t>
      </w:r>
      <w:r>
        <w:rPr>
          <w:rFonts w:hint="eastAsia" w:ascii="仿宋" w:hAnsi="仿宋" w:eastAsia="仿宋"/>
          <w:color w:val="auto"/>
          <w:sz w:val="28"/>
          <w:szCs w:val="28"/>
          <w:lang w:eastAsia="zh-CN"/>
        </w:rPr>
        <w:t>莲山镇2021年第一批市级财政专项扶贫资金项目（一标段），详见工程量清单及招标文件。</w:t>
      </w:r>
    </w:p>
    <w:p>
      <w:pPr>
        <w:ind w:firstLine="560" w:firstLineChars="200"/>
        <w:rPr>
          <w:rFonts w:hint="eastAsia" w:ascii="仿宋" w:hAnsi="仿宋" w:eastAsia="仿宋"/>
          <w:color w:val="auto"/>
          <w:sz w:val="28"/>
          <w:szCs w:val="28"/>
          <w:u w:val="single"/>
          <w:lang w:eastAsia="zh-CN"/>
        </w:rPr>
      </w:pPr>
      <w:r>
        <w:rPr>
          <w:rFonts w:hint="eastAsia" w:ascii="仿宋" w:hAnsi="仿宋" w:eastAsia="仿宋"/>
          <w:color w:val="auto"/>
          <w:sz w:val="28"/>
          <w:szCs w:val="28"/>
          <w:lang w:eastAsia="zh-CN"/>
        </w:rPr>
        <w:t>工期</w:t>
      </w:r>
      <w:r>
        <w:rPr>
          <w:rFonts w:hint="eastAsia" w:ascii="仿宋" w:hAnsi="仿宋" w:eastAsia="仿宋"/>
          <w:color w:val="auto"/>
          <w:sz w:val="28"/>
          <w:szCs w:val="28"/>
        </w:rPr>
        <w:t>：</w:t>
      </w:r>
      <w:r>
        <w:rPr>
          <w:rFonts w:hint="eastAsia" w:ascii="仿宋" w:hAnsi="仿宋" w:eastAsia="仿宋"/>
          <w:color w:val="auto"/>
          <w:sz w:val="28"/>
          <w:szCs w:val="28"/>
          <w:lang w:eastAsia="zh-CN"/>
        </w:rPr>
        <w:t>90日历天</w:t>
      </w:r>
      <w:r>
        <w:rPr>
          <w:rFonts w:hint="eastAsia" w:ascii="仿宋" w:hAnsi="仿宋" w:eastAsia="仿宋"/>
          <w:color w:val="auto"/>
          <w:sz w:val="28"/>
          <w:szCs w:val="28"/>
        </w:rPr>
        <w:t>，具体开工日期以开工令为准</w:t>
      </w:r>
      <w:r>
        <w:rPr>
          <w:rFonts w:hint="eastAsia" w:ascii="仿宋" w:hAnsi="仿宋" w:eastAsia="仿宋"/>
          <w:color w:val="auto"/>
          <w:sz w:val="28"/>
          <w:szCs w:val="28"/>
          <w:lang w:eastAsia="zh-CN"/>
        </w:rPr>
        <w:t>。</w:t>
      </w:r>
    </w:p>
    <w:p>
      <w:pPr>
        <w:spacing w:line="360" w:lineRule="auto"/>
        <w:ind w:firstLine="560" w:firstLineChars="200"/>
        <w:rPr>
          <w:rFonts w:hint="eastAsia" w:ascii="仿宋" w:hAnsi="仿宋" w:eastAsia="仿宋"/>
          <w:color w:val="auto"/>
          <w:sz w:val="28"/>
          <w:szCs w:val="28"/>
        </w:rPr>
      </w:pPr>
      <w:r>
        <w:rPr>
          <w:rFonts w:hint="eastAsia" w:ascii="仿宋" w:hAnsi="仿宋" w:eastAsia="仿宋"/>
          <w:color w:val="auto"/>
          <w:sz w:val="28"/>
          <w:szCs w:val="28"/>
        </w:rPr>
        <w:t>本项目</w:t>
      </w:r>
      <w:r>
        <w:rPr>
          <w:rFonts w:hint="eastAsia" w:ascii="仿宋" w:hAnsi="仿宋" w:eastAsia="仿宋"/>
          <w:color w:val="auto"/>
          <w:sz w:val="28"/>
          <w:szCs w:val="28"/>
          <w:lang w:eastAsia="zh-CN"/>
        </w:rPr>
        <w:t>不</w:t>
      </w:r>
      <w:r>
        <w:rPr>
          <w:rFonts w:hint="eastAsia" w:ascii="仿宋" w:hAnsi="仿宋" w:eastAsia="仿宋"/>
          <w:color w:val="auto"/>
          <w:sz w:val="28"/>
          <w:szCs w:val="28"/>
        </w:rPr>
        <w:t>接受联合体投标。</w:t>
      </w:r>
    </w:p>
    <w:p>
      <w:pPr>
        <w:pStyle w:val="3"/>
        <w:spacing w:line="360" w:lineRule="auto"/>
        <w:ind w:firstLine="560" w:firstLineChars="200"/>
        <w:jc w:val="both"/>
        <w:rPr>
          <w:rFonts w:ascii="黑体" w:hAnsi="黑体" w:cs="宋体"/>
          <w:b w:val="0"/>
          <w:color w:val="auto"/>
          <w:sz w:val="28"/>
          <w:szCs w:val="28"/>
        </w:rPr>
      </w:pPr>
      <w:bookmarkStart w:id="9" w:name="_Toc35393622"/>
      <w:bookmarkStart w:id="10" w:name="_Toc28359003"/>
      <w:bookmarkStart w:id="11" w:name="_Toc28359080"/>
      <w:bookmarkStart w:id="12" w:name="_Toc35393791"/>
      <w:r>
        <w:rPr>
          <w:rFonts w:hint="eastAsia" w:ascii="黑体" w:hAnsi="黑体" w:cs="宋体"/>
          <w:b w:val="0"/>
          <w:color w:val="auto"/>
          <w:sz w:val="28"/>
          <w:szCs w:val="28"/>
        </w:rPr>
        <w:t>二、申请人的资格要求：</w:t>
      </w:r>
      <w:bookmarkEnd w:id="9"/>
      <w:bookmarkEnd w:id="10"/>
      <w:bookmarkEnd w:id="11"/>
      <w:bookmarkEnd w:id="12"/>
    </w:p>
    <w:p>
      <w:pPr>
        <w:ind w:firstLine="560" w:firstLineChars="200"/>
        <w:rPr>
          <w:rFonts w:ascii="仿宋" w:hAnsi="仿宋" w:eastAsia="仿宋"/>
          <w:color w:val="auto"/>
          <w:sz w:val="28"/>
          <w:szCs w:val="28"/>
        </w:rPr>
      </w:pPr>
      <w:r>
        <w:rPr>
          <w:rFonts w:hint="eastAsia" w:ascii="仿宋" w:hAnsi="仿宋" w:eastAsia="仿宋"/>
          <w:color w:val="auto"/>
          <w:sz w:val="28"/>
          <w:szCs w:val="28"/>
        </w:rPr>
        <w:t>1.满足《中华人民共和国政府采购法》第二十二条规定；</w:t>
      </w:r>
    </w:p>
    <w:p>
      <w:pPr>
        <w:ind w:firstLine="560" w:firstLineChars="200"/>
        <w:rPr>
          <w:rFonts w:hint="eastAsia" w:ascii="仿宋" w:hAnsi="仿宋" w:eastAsia="仿宋"/>
          <w:color w:val="auto"/>
          <w:sz w:val="28"/>
          <w:szCs w:val="28"/>
          <w:lang w:eastAsia="zh-CN"/>
        </w:rPr>
      </w:pPr>
      <w:bookmarkStart w:id="13" w:name="_Toc28359081"/>
      <w:bookmarkStart w:id="14" w:name="_Toc28359004"/>
      <w:r>
        <w:rPr>
          <w:rFonts w:ascii="仿宋" w:hAnsi="仿宋" w:eastAsia="仿宋"/>
          <w:color w:val="auto"/>
          <w:sz w:val="28"/>
          <w:szCs w:val="28"/>
        </w:rPr>
        <w:t>2</w:t>
      </w:r>
      <w:r>
        <w:rPr>
          <w:rFonts w:hint="eastAsia" w:ascii="仿宋" w:hAnsi="仿宋" w:eastAsia="仿宋"/>
          <w:color w:val="auto"/>
          <w:sz w:val="28"/>
          <w:szCs w:val="28"/>
        </w:rPr>
        <w:t>.落实政府采购政策需满足的资格要求：</w:t>
      </w:r>
      <w:r>
        <w:rPr>
          <w:rFonts w:hint="eastAsia" w:ascii="仿宋" w:hAnsi="仿宋" w:eastAsia="仿宋"/>
          <w:color w:val="auto"/>
          <w:sz w:val="28"/>
          <w:szCs w:val="28"/>
          <w:u w:val="single"/>
          <w:lang w:eastAsia="zh-CN"/>
        </w:rPr>
        <w:t>无；</w:t>
      </w:r>
    </w:p>
    <w:p>
      <w:pPr>
        <w:ind w:firstLine="560" w:firstLineChars="200"/>
        <w:rPr>
          <w:rFonts w:hint="eastAsia" w:ascii="仿宋" w:hAnsi="仿宋" w:eastAsia="仿宋"/>
          <w:color w:val="auto"/>
          <w:sz w:val="28"/>
          <w:szCs w:val="28"/>
        </w:rPr>
      </w:pPr>
      <w:r>
        <w:rPr>
          <w:rFonts w:hint="eastAsia" w:ascii="仿宋" w:hAnsi="仿宋" w:eastAsia="仿宋"/>
          <w:color w:val="auto"/>
          <w:sz w:val="28"/>
          <w:szCs w:val="28"/>
        </w:rPr>
        <w:t>3.本项目的特定资格要求：</w:t>
      </w:r>
    </w:p>
    <w:p>
      <w:pPr>
        <w:ind w:firstLine="560" w:firstLineChars="200"/>
        <w:rPr>
          <w:rFonts w:hint="eastAsia" w:ascii="仿宋" w:hAnsi="仿宋" w:eastAsia="仿宋"/>
          <w:color w:val="auto"/>
          <w:sz w:val="28"/>
          <w:szCs w:val="28"/>
          <w:u w:val="single"/>
        </w:rPr>
      </w:pPr>
      <w:r>
        <w:rPr>
          <w:rFonts w:hint="eastAsia" w:ascii="仿宋" w:hAnsi="仿宋" w:eastAsia="仿宋"/>
          <w:color w:val="auto"/>
          <w:sz w:val="28"/>
          <w:szCs w:val="28"/>
          <w:u w:val="single"/>
        </w:rPr>
        <w:t>3.1具有国内独立法人资格，须具备市政公用工程施工总承包叁级以上（含叁级）资质，并在人员、设备、资金等方面具备相应的施工能力；；</w:t>
      </w:r>
    </w:p>
    <w:p>
      <w:pPr>
        <w:ind w:firstLine="560" w:firstLineChars="200"/>
        <w:rPr>
          <w:rFonts w:ascii="仿宋" w:hAnsi="仿宋" w:eastAsia="仿宋"/>
          <w:i/>
          <w:iCs/>
          <w:color w:val="auto"/>
          <w:sz w:val="28"/>
          <w:szCs w:val="28"/>
          <w:u w:val="single"/>
        </w:rPr>
      </w:pPr>
      <w:r>
        <w:rPr>
          <w:rFonts w:hint="eastAsia" w:ascii="仿宋" w:hAnsi="仿宋" w:eastAsia="仿宋"/>
          <w:color w:val="auto"/>
          <w:sz w:val="28"/>
          <w:szCs w:val="28"/>
          <w:u w:val="single"/>
        </w:rPr>
        <w:t>3.2 投标人拟派项目经理须具备市政公用专业贰级以上（含贰级）注册建造师执业资格，具备安全生产考核合格证书（B类）且项目经理未在其他在施工建设项目、已中标未开工项目或已列为其他项目中标候选人第一名的项目担任项目经理；</w:t>
      </w:r>
    </w:p>
    <w:p>
      <w:pPr>
        <w:pStyle w:val="3"/>
        <w:spacing w:line="360" w:lineRule="auto"/>
        <w:ind w:firstLine="560" w:firstLineChars="200"/>
        <w:jc w:val="both"/>
        <w:rPr>
          <w:rFonts w:ascii="黑体" w:hAnsi="黑体" w:cs="宋体"/>
          <w:b w:val="0"/>
          <w:color w:val="auto"/>
          <w:sz w:val="28"/>
          <w:szCs w:val="28"/>
        </w:rPr>
      </w:pPr>
      <w:bookmarkStart w:id="15" w:name="_Toc35393623"/>
      <w:bookmarkStart w:id="16" w:name="_Toc35393792"/>
      <w:r>
        <w:rPr>
          <w:rFonts w:hint="eastAsia" w:ascii="黑体" w:hAnsi="黑体" w:cs="宋体"/>
          <w:b w:val="0"/>
          <w:color w:val="auto"/>
          <w:sz w:val="28"/>
          <w:szCs w:val="28"/>
        </w:rPr>
        <w:t>三、获取招标文件</w:t>
      </w:r>
      <w:bookmarkEnd w:id="13"/>
      <w:bookmarkEnd w:id="14"/>
      <w:bookmarkEnd w:id="15"/>
      <w:bookmarkEnd w:id="16"/>
    </w:p>
    <w:p>
      <w:pPr>
        <w:spacing w:line="360" w:lineRule="auto"/>
        <w:ind w:firstLine="540"/>
        <w:rPr>
          <w:rFonts w:hint="eastAsia"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地点：网上在线获取。</w:t>
      </w:r>
    </w:p>
    <w:p>
      <w:pPr>
        <w:spacing w:line="360" w:lineRule="auto"/>
        <w:ind w:firstLine="540"/>
        <w:rPr>
          <w:rFonts w:hint="default" w:ascii="sans-serif" w:hAnsi="sans-serif" w:eastAsia="sans-serif" w:cs="sans-serif"/>
          <w:i w:val="0"/>
          <w:caps w:val="0"/>
          <w:color w:val="auto"/>
          <w:spacing w:val="0"/>
          <w:sz w:val="27"/>
          <w:szCs w:val="27"/>
          <w:lang w:val="en-US"/>
        </w:rPr>
      </w:pPr>
      <w:r>
        <w:rPr>
          <w:rFonts w:hint="eastAsia" w:ascii="仿宋" w:hAnsi="仿宋" w:eastAsia="仿宋" w:cs="宋体"/>
          <w:b w:val="0"/>
          <w:color w:val="auto"/>
          <w:spacing w:val="0"/>
          <w:w w:val="100"/>
          <w:position w:val="0"/>
          <w:sz w:val="28"/>
          <w:szCs w:val="28"/>
          <w:highlight w:val="none"/>
          <w:u w:val="none"/>
          <w:vertAlign w:val="baseline"/>
          <w:lang w:val="en-US" w:eastAsia="zh-CN"/>
        </w:rPr>
        <w:t>方式：发布之时起至本项目投标截止时间前自行登录网址：全国公共资源交易平台（广西·贺州）http://ggzy.jgswj.gxzf.gov.cn/hzggzy下载招标文件。</w:t>
      </w:r>
    </w:p>
    <w:p>
      <w:pPr>
        <w:spacing w:line="360" w:lineRule="auto"/>
        <w:ind w:firstLine="540"/>
        <w:rPr>
          <w:rFonts w:hint="default"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售价：每标段300元/套，投标人签到时现场缴纳，现场不交费视为报名不成功，其投标文件不予接收。</w:t>
      </w:r>
    </w:p>
    <w:p>
      <w:pPr>
        <w:pStyle w:val="3"/>
        <w:spacing w:line="360" w:lineRule="auto"/>
        <w:ind w:firstLine="560" w:firstLineChars="200"/>
        <w:jc w:val="both"/>
        <w:rPr>
          <w:rFonts w:ascii="黑体" w:hAnsi="黑体" w:cs="宋体"/>
          <w:b w:val="0"/>
          <w:color w:val="auto"/>
          <w:sz w:val="28"/>
          <w:szCs w:val="28"/>
        </w:rPr>
      </w:pPr>
      <w:bookmarkStart w:id="17" w:name="_Toc28359082"/>
      <w:bookmarkStart w:id="18" w:name="_Toc28359005"/>
      <w:bookmarkStart w:id="19" w:name="_Toc35393793"/>
      <w:bookmarkStart w:id="20" w:name="_Toc35393624"/>
      <w:r>
        <w:rPr>
          <w:rFonts w:hint="eastAsia" w:ascii="黑体" w:hAnsi="黑体" w:cs="宋体"/>
          <w:b w:val="0"/>
          <w:color w:val="auto"/>
          <w:sz w:val="28"/>
          <w:szCs w:val="28"/>
        </w:rPr>
        <w:t>四、提交投标文件</w:t>
      </w:r>
      <w:bookmarkEnd w:id="17"/>
      <w:bookmarkEnd w:id="18"/>
      <w:r>
        <w:rPr>
          <w:rFonts w:hint="eastAsia" w:ascii="黑体" w:hAnsi="黑体" w:cs="宋体"/>
          <w:b w:val="0"/>
          <w:color w:val="auto"/>
          <w:sz w:val="28"/>
          <w:szCs w:val="28"/>
        </w:rPr>
        <w:t>截止时间、开标时间和地点</w:t>
      </w:r>
      <w:bookmarkEnd w:id="19"/>
      <w:bookmarkEnd w:id="20"/>
    </w:p>
    <w:p>
      <w:pPr>
        <w:pStyle w:val="3"/>
        <w:spacing w:line="360" w:lineRule="auto"/>
        <w:ind w:firstLine="560" w:firstLineChars="200"/>
        <w:jc w:val="both"/>
        <w:rPr>
          <w:rFonts w:hint="eastAsia" w:ascii="仿宋" w:hAnsi="仿宋" w:eastAsia="仿宋" w:cs="宋体"/>
          <w:b w:val="0"/>
          <w:color w:val="auto"/>
          <w:spacing w:val="0"/>
          <w:w w:val="100"/>
          <w:position w:val="0"/>
          <w:sz w:val="28"/>
          <w:szCs w:val="28"/>
          <w:highlight w:val="none"/>
          <w:u w:val="none"/>
          <w:vertAlign w:val="baseline"/>
          <w:lang w:val="en-US" w:eastAsia="zh-CN"/>
        </w:rPr>
      </w:pPr>
      <w:bookmarkStart w:id="21" w:name="_Toc35393625"/>
      <w:bookmarkStart w:id="22" w:name="_Toc28359084"/>
      <w:bookmarkStart w:id="23" w:name="_Toc35393794"/>
      <w:bookmarkStart w:id="24" w:name="_Toc28359007"/>
      <w:r>
        <w:rPr>
          <w:rFonts w:hint="eastAsia" w:ascii="仿宋" w:hAnsi="仿宋" w:eastAsia="仿宋" w:cs="宋体"/>
          <w:b w:val="0"/>
          <w:color w:val="auto"/>
          <w:spacing w:val="0"/>
          <w:w w:val="100"/>
          <w:position w:val="0"/>
          <w:sz w:val="28"/>
          <w:szCs w:val="28"/>
          <w:highlight w:val="none"/>
          <w:u w:val="none"/>
          <w:vertAlign w:val="baseline"/>
          <w:lang w:val="en-US" w:eastAsia="zh-CN"/>
        </w:rPr>
        <w:t>1.截止时间/开标时间：2021年8月24日09点00分（北京时间）</w:t>
      </w:r>
    </w:p>
    <w:p>
      <w:pPr>
        <w:pStyle w:val="3"/>
        <w:spacing w:line="360" w:lineRule="auto"/>
        <w:ind w:firstLine="560" w:firstLineChars="200"/>
        <w:jc w:val="both"/>
        <w:rPr>
          <w:rFonts w:hint="eastAsia"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2.地点：贺州市公共资源交易中心交易大厅（贺州市鞍山西路83-1号四楼）。（具体开标室根据电子屏幕显示的安排）。</w:t>
      </w:r>
    </w:p>
    <w:p>
      <w:pPr>
        <w:pStyle w:val="3"/>
        <w:spacing w:line="360" w:lineRule="auto"/>
        <w:ind w:firstLine="560" w:firstLineChars="200"/>
        <w:jc w:val="both"/>
        <w:rPr>
          <w:rFonts w:hint="eastAsia"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3.逾期送达的或者未送达指定地点的投标文件，招标人不予受理。</w:t>
      </w:r>
    </w:p>
    <w:p>
      <w:pPr>
        <w:pStyle w:val="3"/>
        <w:spacing w:line="360" w:lineRule="auto"/>
        <w:ind w:firstLine="560" w:firstLineChars="200"/>
        <w:jc w:val="both"/>
        <w:rPr>
          <w:rFonts w:hint="eastAsia" w:ascii="仿宋" w:hAnsi="仿宋" w:eastAsia="仿宋" w:cs="宋体"/>
          <w:b w:val="0"/>
          <w:color w:val="auto"/>
          <w:spacing w:val="0"/>
          <w:w w:val="100"/>
          <w:position w:val="0"/>
          <w:sz w:val="28"/>
          <w:szCs w:val="28"/>
          <w:highlight w:val="none"/>
          <w:u w:val="none"/>
          <w:vertAlign w:val="baseline"/>
          <w:lang w:val="en-US" w:eastAsia="zh-CN"/>
        </w:rPr>
      </w:pPr>
      <w:r>
        <w:rPr>
          <w:rFonts w:hint="eastAsia" w:ascii="仿宋" w:hAnsi="仿宋" w:eastAsia="仿宋" w:cs="宋体"/>
          <w:b w:val="0"/>
          <w:color w:val="auto"/>
          <w:spacing w:val="0"/>
          <w:w w:val="100"/>
          <w:position w:val="0"/>
          <w:sz w:val="28"/>
          <w:szCs w:val="28"/>
          <w:highlight w:val="none"/>
          <w:u w:val="none"/>
          <w:vertAlign w:val="baseline"/>
          <w:lang w:val="en-US" w:eastAsia="zh-CN"/>
        </w:rPr>
        <w:t>4.投标文件必须由企业法定代表人或其授权的委托代理人本人递交，否则招标人不予受理。</w:t>
      </w:r>
    </w:p>
    <w:p>
      <w:pPr>
        <w:pStyle w:val="3"/>
        <w:spacing w:line="360" w:lineRule="auto"/>
        <w:ind w:firstLine="560" w:firstLineChars="200"/>
        <w:jc w:val="both"/>
        <w:rPr>
          <w:rFonts w:ascii="黑体" w:hAnsi="黑体" w:cs="宋体"/>
          <w:b w:val="0"/>
          <w:color w:val="auto"/>
          <w:sz w:val="28"/>
          <w:szCs w:val="28"/>
        </w:rPr>
      </w:pPr>
      <w:r>
        <w:rPr>
          <w:rFonts w:hint="eastAsia" w:ascii="黑体" w:hAnsi="黑体" w:cs="宋体"/>
          <w:b w:val="0"/>
          <w:color w:val="auto"/>
          <w:sz w:val="28"/>
          <w:szCs w:val="28"/>
        </w:rPr>
        <w:t>五、公告期限</w:t>
      </w:r>
      <w:bookmarkEnd w:id="21"/>
      <w:bookmarkEnd w:id="22"/>
      <w:bookmarkEnd w:id="23"/>
      <w:bookmarkEnd w:id="24"/>
    </w:p>
    <w:p>
      <w:pPr>
        <w:ind w:firstLine="560" w:firstLineChars="200"/>
        <w:rPr>
          <w:rFonts w:ascii="仿宋" w:hAnsi="仿宋" w:eastAsia="仿宋" w:cs="宋体"/>
          <w:color w:val="auto"/>
          <w:kern w:val="0"/>
          <w:sz w:val="28"/>
          <w:szCs w:val="28"/>
        </w:rPr>
      </w:pPr>
      <w:r>
        <w:rPr>
          <w:rFonts w:hint="eastAsia" w:ascii="仿宋" w:hAnsi="仿宋" w:eastAsia="仿宋" w:cs="宋体"/>
          <w:color w:val="auto"/>
          <w:kern w:val="0"/>
          <w:sz w:val="28"/>
          <w:szCs w:val="28"/>
        </w:rPr>
        <w:t>自本公告发布之日起5个工作日。</w:t>
      </w:r>
    </w:p>
    <w:p>
      <w:pPr>
        <w:pStyle w:val="3"/>
        <w:spacing w:line="360" w:lineRule="auto"/>
        <w:ind w:firstLine="560" w:firstLineChars="200"/>
        <w:jc w:val="both"/>
        <w:rPr>
          <w:rFonts w:ascii="黑体" w:hAnsi="黑体" w:cs="宋体"/>
          <w:b w:val="0"/>
          <w:color w:val="auto"/>
          <w:sz w:val="28"/>
          <w:szCs w:val="28"/>
        </w:rPr>
      </w:pPr>
      <w:bookmarkStart w:id="25" w:name="_Toc35393795"/>
      <w:bookmarkStart w:id="26" w:name="_Toc35393626"/>
      <w:r>
        <w:rPr>
          <w:rFonts w:hint="eastAsia" w:ascii="黑体" w:hAnsi="黑体" w:cs="宋体"/>
          <w:b w:val="0"/>
          <w:color w:val="auto"/>
          <w:sz w:val="28"/>
          <w:szCs w:val="28"/>
        </w:rPr>
        <w:t>六、其他补充事宜</w:t>
      </w:r>
      <w:bookmarkEnd w:id="25"/>
      <w:bookmarkEnd w:id="26"/>
    </w:p>
    <w:p>
      <w:pPr>
        <w:pStyle w:val="10"/>
        <w:rPr>
          <w:rFonts w:hint="eastAsia"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1.本次招标公告同时在中国政府采购网、广西壮族自治区政府采购网、全国公共资源交易平台（广西·贺州）发布。</w:t>
      </w:r>
    </w:p>
    <w:p>
      <w:pPr>
        <w:pStyle w:val="10"/>
        <w:ind w:left="0" w:leftChars="0" w:firstLine="560" w:firstLineChars="200"/>
        <w:rPr>
          <w:rFonts w:hint="eastAsia"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2.《中华人民共和国政府采购法》、《中华人民共和国政府采购法实施条例》、《政府采购促进中小企业发展暂行办法(财库[2011]181号)》、《关于政府采购支持监狱企业发展有关问题的通知(财库[2014]68号)》、《关于促进残疾人就业政府采购政策的通知(财库[2017]141号)》、《贺州市财政局关于印发2020年优化营商环境政府采购专项实施方案的通知(贺财采[2020]18号)》:评审时小型、微型企业产品的价格给予10%的扣除，监狱企业、残疾人福利性单位视同小型、微型 企业，其产品在评审时给予相同的价格扣除。</w:t>
      </w:r>
    </w:p>
    <w:p>
      <w:pPr>
        <w:pStyle w:val="10"/>
        <w:ind w:left="495" w:firstLine="0" w:firstLineChars="0"/>
        <w:rPr>
          <w:rFonts w:hint="default"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3.</w:t>
      </w:r>
      <w:r>
        <w:rPr>
          <w:rFonts w:hint="default" w:ascii="仿宋" w:hAnsi="仿宋" w:eastAsia="仿宋" w:cs="宋体"/>
          <w:color w:val="auto"/>
          <w:spacing w:val="0"/>
          <w:w w:val="100"/>
          <w:position w:val="0"/>
          <w:sz w:val="28"/>
          <w:szCs w:val="28"/>
          <w:highlight w:val="none"/>
          <w:u w:val="none"/>
          <w:vertAlign w:val="baseline"/>
          <w:lang w:val="en-US" w:eastAsia="zh-CN"/>
        </w:rPr>
        <w:t>投标保证金：</w:t>
      </w:r>
      <w:r>
        <w:rPr>
          <w:rFonts w:hint="eastAsia" w:ascii="仿宋" w:hAnsi="仿宋" w:eastAsia="仿宋" w:cs="宋体"/>
          <w:color w:val="auto"/>
          <w:spacing w:val="0"/>
          <w:w w:val="100"/>
          <w:position w:val="0"/>
          <w:sz w:val="28"/>
          <w:szCs w:val="28"/>
          <w:highlight w:val="none"/>
          <w:u w:val="none"/>
          <w:vertAlign w:val="baseline"/>
          <w:lang w:val="en-US" w:eastAsia="zh-CN"/>
        </w:rPr>
        <w:t>壹万伍仟元整（¥15000.00）</w:t>
      </w:r>
      <w:r>
        <w:rPr>
          <w:rFonts w:hint="default" w:ascii="仿宋" w:hAnsi="仿宋" w:eastAsia="仿宋" w:cs="宋体"/>
          <w:color w:val="auto"/>
          <w:spacing w:val="0"/>
          <w:w w:val="100"/>
          <w:position w:val="0"/>
          <w:sz w:val="28"/>
          <w:szCs w:val="28"/>
          <w:highlight w:val="none"/>
          <w:u w:val="none"/>
          <w:vertAlign w:val="baseline"/>
          <w:lang w:val="en-US" w:eastAsia="zh-CN"/>
        </w:rPr>
        <w:t>。</w:t>
      </w:r>
    </w:p>
    <w:p>
      <w:pPr>
        <w:pStyle w:val="10"/>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必须在投标截止时间前采用无条件银行保函、担保或保证保险、支票、汇票、本票或基本账户转账（电汇）等非现金形式缴纳或提交保证金（否则视为无效投标保证金），采用基本账户转账（电汇）方式的，须递交至以下账户，并将保证金缴纳证明材料复印件装订于投标文件中（银行汇出户名称必须与投标单位名称一致，否则</w:t>
      </w:r>
      <w:r>
        <w:rPr>
          <w:rFonts w:hint="eastAsia" w:ascii="仿宋" w:hAnsi="仿宋" w:eastAsia="仿宋" w:cs="宋体"/>
          <w:color w:val="auto"/>
          <w:spacing w:val="0"/>
          <w:w w:val="100"/>
          <w:position w:val="0"/>
          <w:sz w:val="28"/>
          <w:szCs w:val="28"/>
          <w:highlight w:val="none"/>
          <w:u w:val="none"/>
          <w:vertAlign w:val="baseline"/>
          <w:lang w:val="en-US" w:eastAsia="zh-CN"/>
        </w:rPr>
        <w:t>投标</w:t>
      </w:r>
      <w:r>
        <w:rPr>
          <w:rFonts w:hint="default" w:ascii="仿宋" w:hAnsi="仿宋" w:eastAsia="仿宋" w:cs="宋体"/>
          <w:color w:val="auto"/>
          <w:spacing w:val="0"/>
          <w:w w:val="100"/>
          <w:position w:val="0"/>
          <w:sz w:val="28"/>
          <w:szCs w:val="28"/>
          <w:highlight w:val="none"/>
          <w:u w:val="none"/>
          <w:vertAlign w:val="baseline"/>
          <w:lang w:val="en-US" w:eastAsia="zh-CN"/>
        </w:rPr>
        <w:t>无效）</w:t>
      </w:r>
      <w:r>
        <w:rPr>
          <w:rFonts w:hint="eastAsia" w:ascii="仿宋" w:hAnsi="仿宋" w:eastAsia="仿宋" w:cs="宋体"/>
          <w:color w:val="auto"/>
          <w:spacing w:val="0"/>
          <w:w w:val="100"/>
          <w:position w:val="0"/>
          <w:sz w:val="28"/>
          <w:szCs w:val="28"/>
          <w:highlight w:val="none"/>
          <w:u w:val="none"/>
          <w:vertAlign w:val="baseline"/>
          <w:lang w:val="en-US" w:eastAsia="zh-CN"/>
        </w:rPr>
        <w:t>。（备注：对风险较低、规模较小的采购项目，受疫情影响的中小微企业（在提供真实可信证明材料的前提下），不收取投标保证金和履约保证金。）</w:t>
      </w:r>
    </w:p>
    <w:p>
      <w:pPr>
        <w:pStyle w:val="10"/>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开户名：贺州市公共资源交易中心     </w:t>
      </w:r>
    </w:p>
    <w:p>
      <w:pPr>
        <w:pStyle w:val="10"/>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账号：</w:t>
      </w:r>
      <w:r>
        <w:rPr>
          <w:rFonts w:hint="eastAsia" w:ascii="仿宋" w:hAnsi="仿宋" w:eastAsia="仿宋" w:cs="宋体"/>
          <w:color w:val="auto"/>
          <w:spacing w:val="0"/>
          <w:w w:val="100"/>
          <w:position w:val="0"/>
          <w:sz w:val="28"/>
          <w:szCs w:val="28"/>
          <w:highlight w:val="none"/>
          <w:u w:val="none"/>
          <w:vertAlign w:val="baseline"/>
          <w:lang w:val="en-US" w:eastAsia="zh-CN"/>
        </w:rPr>
        <w:t xml:space="preserve">945009010008838888 </w:t>
      </w:r>
      <w:r>
        <w:rPr>
          <w:rFonts w:hint="default" w:ascii="仿宋" w:hAnsi="仿宋" w:eastAsia="仿宋" w:cs="宋体"/>
          <w:color w:val="auto"/>
          <w:spacing w:val="0"/>
          <w:w w:val="100"/>
          <w:position w:val="0"/>
          <w:sz w:val="28"/>
          <w:szCs w:val="28"/>
          <w:highlight w:val="none"/>
          <w:u w:val="none"/>
          <w:vertAlign w:val="baseline"/>
          <w:lang w:val="en-US" w:eastAsia="zh-CN"/>
        </w:rPr>
        <w:t xml:space="preserve">   </w:t>
      </w:r>
    </w:p>
    <w:p>
      <w:pPr>
        <w:pStyle w:val="10"/>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开户行：</w:t>
      </w:r>
      <w:r>
        <w:rPr>
          <w:rFonts w:hint="eastAsia" w:ascii="仿宋" w:hAnsi="仿宋" w:eastAsia="仿宋" w:cs="宋体"/>
          <w:color w:val="auto"/>
          <w:spacing w:val="0"/>
          <w:w w:val="100"/>
          <w:position w:val="0"/>
          <w:sz w:val="28"/>
          <w:szCs w:val="28"/>
          <w:highlight w:val="none"/>
          <w:u w:val="none"/>
          <w:vertAlign w:val="baseline"/>
          <w:lang w:val="en-US" w:eastAsia="zh-CN"/>
        </w:rPr>
        <w:t>邮政储蓄银行贺州市分行营业部</w:t>
      </w:r>
    </w:p>
    <w:p>
      <w:pPr>
        <w:pStyle w:val="10"/>
        <w:rPr>
          <w:rFonts w:hint="default" w:ascii="仿宋" w:hAnsi="仿宋" w:eastAsia="仿宋" w:cs="宋体"/>
          <w:color w:val="auto"/>
          <w:spacing w:val="0"/>
          <w:w w:val="100"/>
          <w:position w:val="0"/>
          <w:sz w:val="28"/>
          <w:szCs w:val="28"/>
          <w:highlight w:val="none"/>
          <w:u w:val="none"/>
          <w:vertAlign w:val="baseline"/>
          <w:lang w:val="en-US" w:eastAsia="zh-CN"/>
        </w:rPr>
      </w:pPr>
      <w:r>
        <w:rPr>
          <w:rFonts w:hint="default" w:ascii="仿宋" w:hAnsi="仿宋" w:eastAsia="仿宋" w:cs="宋体"/>
          <w:color w:val="auto"/>
          <w:spacing w:val="0"/>
          <w:w w:val="100"/>
          <w:position w:val="0"/>
          <w:sz w:val="28"/>
          <w:szCs w:val="28"/>
          <w:highlight w:val="none"/>
          <w:u w:val="none"/>
          <w:vertAlign w:val="baseline"/>
          <w:lang w:val="en-US" w:eastAsia="zh-CN"/>
        </w:rPr>
        <w:t>备注：投标单位应在转账底单空白处备注所投标项目的项目编号或项目名称。投标单位未标注</w:t>
      </w:r>
      <w:r>
        <w:rPr>
          <w:rFonts w:hint="eastAsia" w:ascii="仿宋" w:hAnsi="仿宋" w:eastAsia="仿宋" w:cs="宋体"/>
          <w:color w:val="auto"/>
          <w:spacing w:val="0"/>
          <w:w w:val="100"/>
          <w:position w:val="0"/>
          <w:sz w:val="28"/>
          <w:szCs w:val="28"/>
          <w:highlight w:val="none"/>
          <w:u w:val="none"/>
          <w:vertAlign w:val="baseline"/>
          <w:lang w:val="en-US" w:eastAsia="zh-CN"/>
        </w:rPr>
        <w:t>项目</w:t>
      </w:r>
      <w:r>
        <w:rPr>
          <w:rFonts w:hint="default" w:ascii="仿宋" w:hAnsi="仿宋" w:eastAsia="仿宋" w:cs="宋体"/>
          <w:color w:val="auto"/>
          <w:spacing w:val="0"/>
          <w:w w:val="100"/>
          <w:position w:val="0"/>
          <w:sz w:val="28"/>
          <w:szCs w:val="28"/>
          <w:highlight w:val="none"/>
          <w:u w:val="none"/>
          <w:vertAlign w:val="baseline"/>
          <w:lang w:val="en-US" w:eastAsia="zh-CN"/>
        </w:rPr>
        <w:t>编号或项目名称的，视为无法判定其所投标项目，投标文件作无效处理。</w:t>
      </w:r>
    </w:p>
    <w:p>
      <w:pPr>
        <w:pStyle w:val="10"/>
        <w:numPr>
          <w:ilvl w:val="0"/>
          <w:numId w:val="0"/>
        </w:numPr>
        <w:ind w:firstLine="560" w:firstLineChars="200"/>
        <w:rPr>
          <w:rFonts w:hint="default"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4.</w:t>
      </w:r>
      <w:r>
        <w:rPr>
          <w:rFonts w:hint="default" w:ascii="仿宋" w:hAnsi="仿宋" w:eastAsia="仿宋" w:cs="宋体"/>
          <w:color w:val="auto"/>
          <w:spacing w:val="0"/>
          <w:w w:val="100"/>
          <w:position w:val="0"/>
          <w:sz w:val="28"/>
          <w:szCs w:val="28"/>
          <w:highlight w:val="none"/>
          <w:u w:val="none"/>
          <w:vertAlign w:val="baseline"/>
          <w:lang w:val="en-US" w:eastAsia="zh-CN"/>
        </w:rPr>
        <w:t>为配合采购人执行政府采购项目及备案，未在政采云注册的供应商请在获取采购文件后登录政采云平台（网址：http://www.zcygov.cn）进行注册，如在操作过程中遇到问题或需技术支持，请致电政采云客服热线：400-881-7190。</w:t>
      </w:r>
    </w:p>
    <w:p>
      <w:pPr>
        <w:pStyle w:val="10"/>
        <w:numPr>
          <w:ilvl w:val="0"/>
          <w:numId w:val="0"/>
        </w:numPr>
        <w:ind w:firstLine="560" w:firstLineChars="200"/>
        <w:rPr>
          <w:rFonts w:hint="default" w:ascii="仿宋" w:hAnsi="仿宋" w:eastAsia="仿宋" w:cs="宋体"/>
          <w:color w:val="auto"/>
          <w:spacing w:val="0"/>
          <w:w w:val="100"/>
          <w:position w:val="0"/>
          <w:sz w:val="28"/>
          <w:szCs w:val="28"/>
          <w:highlight w:val="none"/>
          <w:u w:val="none"/>
          <w:vertAlign w:val="baseline"/>
          <w:lang w:val="en-US" w:eastAsia="zh-CN"/>
        </w:rPr>
      </w:pPr>
      <w:r>
        <w:rPr>
          <w:rFonts w:hint="eastAsia" w:ascii="仿宋" w:hAnsi="仿宋" w:eastAsia="仿宋" w:cs="宋体"/>
          <w:color w:val="auto"/>
          <w:spacing w:val="0"/>
          <w:w w:val="100"/>
          <w:position w:val="0"/>
          <w:sz w:val="28"/>
          <w:szCs w:val="28"/>
          <w:highlight w:val="none"/>
          <w:u w:val="none"/>
          <w:vertAlign w:val="baseline"/>
          <w:lang w:val="en-US" w:eastAsia="zh-CN"/>
        </w:rPr>
        <w:t>5.</w:t>
      </w:r>
      <w:r>
        <w:rPr>
          <w:rFonts w:hint="default" w:ascii="仿宋" w:hAnsi="仿宋" w:eastAsia="仿宋" w:cs="宋体"/>
          <w:color w:val="auto"/>
          <w:spacing w:val="0"/>
          <w:w w:val="100"/>
          <w:position w:val="0"/>
          <w:sz w:val="28"/>
          <w:szCs w:val="28"/>
          <w:highlight w:val="none"/>
          <w:u w:val="none"/>
          <w:vertAlign w:val="baseline"/>
          <w:lang w:val="en-US" w:eastAsia="zh-CN"/>
        </w:rPr>
        <w:t>监督管理部门：富川瑶族自治县财政局政府采购管理办公室，联系电话：0774-7882324。</w:t>
      </w:r>
    </w:p>
    <w:p>
      <w:pPr>
        <w:pStyle w:val="3"/>
        <w:spacing w:line="360" w:lineRule="auto"/>
        <w:ind w:firstLine="560" w:firstLineChars="200"/>
        <w:jc w:val="both"/>
        <w:rPr>
          <w:rFonts w:ascii="黑体" w:hAnsi="黑体" w:cs="宋体"/>
          <w:b w:val="0"/>
          <w:color w:val="auto"/>
          <w:sz w:val="28"/>
          <w:szCs w:val="28"/>
        </w:rPr>
      </w:pPr>
      <w:bookmarkStart w:id="27" w:name="_Toc28359008"/>
      <w:bookmarkStart w:id="28" w:name="_Toc35393627"/>
      <w:bookmarkStart w:id="29" w:name="_Toc35393796"/>
      <w:bookmarkStart w:id="30" w:name="_Toc28359085"/>
      <w:r>
        <w:rPr>
          <w:rFonts w:hint="eastAsia" w:ascii="黑体" w:hAnsi="黑体" w:cs="宋体"/>
          <w:b w:val="0"/>
          <w:color w:val="auto"/>
          <w:sz w:val="28"/>
          <w:szCs w:val="28"/>
        </w:rPr>
        <w:t>七、对本次招标提出询问，请按</w:t>
      </w:r>
      <w:r>
        <w:rPr>
          <w:rFonts w:ascii="黑体" w:hAnsi="黑体" w:cs="宋体"/>
          <w:b w:val="0"/>
          <w:color w:val="auto"/>
          <w:sz w:val="28"/>
          <w:szCs w:val="28"/>
        </w:rPr>
        <w:t>以下方式</w:t>
      </w:r>
      <w:r>
        <w:rPr>
          <w:rFonts w:hint="eastAsia" w:ascii="黑体" w:hAnsi="黑体" w:cs="宋体"/>
          <w:b w:val="0"/>
          <w:color w:val="auto"/>
          <w:sz w:val="28"/>
          <w:szCs w:val="28"/>
        </w:rPr>
        <w:t>联系。</w:t>
      </w:r>
      <w:bookmarkEnd w:id="27"/>
      <w:bookmarkEnd w:id="28"/>
      <w:bookmarkEnd w:id="29"/>
      <w:bookmarkEnd w:id="30"/>
    </w:p>
    <w:p>
      <w:pPr>
        <w:widowControl/>
        <w:jc w:val="left"/>
        <w:rPr>
          <w:rFonts w:ascii="仿宋_GB2312" w:eastAsia="仿宋_GB2312"/>
          <w:color w:val="auto"/>
          <w:sz w:val="28"/>
          <w:szCs w:val="28"/>
        </w:rPr>
      </w:pPr>
      <w:r>
        <w:rPr>
          <w:rFonts w:hint="eastAsia" w:ascii="仿宋" w:hAnsi="仿宋" w:eastAsia="仿宋" w:cs="宋体"/>
          <w:color w:val="auto"/>
          <w:sz w:val="28"/>
          <w:szCs w:val="28"/>
        </w:rPr>
        <w:t>　　　1.采购人信息</w:t>
      </w:r>
    </w:p>
    <w:p>
      <w:pPr>
        <w:spacing w:line="360" w:lineRule="auto"/>
        <w:ind w:left="1240" w:leftChars="371" w:hanging="350" w:hangingChars="125"/>
        <w:jc w:val="left"/>
        <w:rPr>
          <w:rFonts w:hint="eastAsia" w:ascii="仿宋" w:hAnsi="仿宋" w:eastAsia="仿宋"/>
          <w:color w:val="auto"/>
          <w:sz w:val="28"/>
          <w:szCs w:val="28"/>
          <w:lang w:eastAsia="zh-CN"/>
        </w:rPr>
      </w:pPr>
      <w:r>
        <w:rPr>
          <w:rFonts w:hint="eastAsia" w:ascii="仿宋" w:hAnsi="仿宋" w:eastAsia="仿宋"/>
          <w:color w:val="auto"/>
          <w:sz w:val="28"/>
          <w:szCs w:val="28"/>
        </w:rPr>
        <w:t>名 称：</w:t>
      </w:r>
      <w:r>
        <w:rPr>
          <w:rFonts w:hint="eastAsia" w:ascii="仿宋" w:hAnsi="仿宋" w:eastAsia="仿宋"/>
          <w:color w:val="auto"/>
          <w:sz w:val="28"/>
          <w:szCs w:val="28"/>
          <w:u w:val="single"/>
          <w:lang w:eastAsia="zh-CN"/>
        </w:rPr>
        <w:t>富川瑶族自治县莲山镇人民政府</w:t>
      </w:r>
    </w:p>
    <w:p>
      <w:pPr>
        <w:spacing w:line="360" w:lineRule="auto"/>
        <w:ind w:left="1240" w:leftChars="371" w:hanging="350" w:hangingChars="125"/>
        <w:jc w:val="left"/>
        <w:rPr>
          <w:rFonts w:ascii="仿宋" w:hAnsi="仿宋" w:eastAsia="仿宋"/>
          <w:color w:val="auto"/>
          <w:sz w:val="28"/>
          <w:szCs w:val="28"/>
        </w:rPr>
      </w:pPr>
      <w:r>
        <w:rPr>
          <w:rFonts w:hint="eastAsia" w:ascii="仿宋" w:hAnsi="仿宋" w:eastAsia="仿宋"/>
          <w:color w:val="auto"/>
          <w:sz w:val="28"/>
          <w:szCs w:val="28"/>
        </w:rPr>
        <w:t>地址：</w:t>
      </w:r>
      <w:r>
        <w:rPr>
          <w:rFonts w:hint="eastAsia" w:ascii="仿宋" w:hAnsi="仿宋" w:eastAsia="仿宋"/>
          <w:color w:val="auto"/>
          <w:sz w:val="28"/>
          <w:szCs w:val="28"/>
          <w:u w:val="single"/>
          <w:lang w:eastAsia="zh-CN"/>
        </w:rPr>
        <w:t>富川瑶族自治县莲山镇人民政府</w:t>
      </w:r>
    </w:p>
    <w:p>
      <w:pPr>
        <w:spacing w:line="360" w:lineRule="auto"/>
        <w:ind w:left="1240" w:leftChars="371" w:hanging="350" w:hangingChars="125"/>
        <w:jc w:val="left"/>
        <w:rPr>
          <w:rFonts w:hint="eastAsia" w:ascii="仿宋" w:hAnsi="仿宋" w:eastAsia="仿宋"/>
          <w:color w:val="auto"/>
          <w:sz w:val="28"/>
          <w:szCs w:val="28"/>
          <w:u w:val="single"/>
          <w:lang w:val="en-US" w:eastAsia="zh-CN"/>
        </w:rPr>
      </w:pPr>
      <w:r>
        <w:rPr>
          <w:rFonts w:hint="eastAsia" w:ascii="仿宋" w:hAnsi="仿宋" w:eastAsia="仿宋"/>
          <w:color w:val="auto"/>
          <w:sz w:val="28"/>
          <w:szCs w:val="28"/>
        </w:rPr>
        <w:t>联系方式：</w:t>
      </w:r>
      <w:bookmarkStart w:id="31" w:name="_Toc28359086"/>
      <w:bookmarkStart w:id="32" w:name="_Toc28359009"/>
      <w:r>
        <w:rPr>
          <w:rFonts w:hint="eastAsia" w:ascii="仿宋" w:hAnsi="仿宋" w:eastAsia="仿宋"/>
          <w:color w:val="auto"/>
          <w:sz w:val="28"/>
          <w:szCs w:val="28"/>
          <w:u w:val="single"/>
          <w:lang w:val="en-US" w:eastAsia="zh-CN"/>
        </w:rPr>
        <w:t>李万鹏/ 0774-7976013</w:t>
      </w:r>
    </w:p>
    <w:p>
      <w:pPr>
        <w:spacing w:line="360" w:lineRule="auto"/>
        <w:ind w:left="1240" w:leftChars="371" w:hanging="350" w:hangingChars="125"/>
        <w:jc w:val="left"/>
        <w:rPr>
          <w:rFonts w:ascii="仿宋" w:hAnsi="仿宋" w:eastAsia="仿宋"/>
          <w:color w:val="auto"/>
          <w:sz w:val="28"/>
          <w:szCs w:val="28"/>
        </w:rPr>
      </w:pPr>
      <w:r>
        <w:rPr>
          <w:rFonts w:hint="eastAsia" w:ascii="仿宋" w:hAnsi="仿宋" w:eastAsia="仿宋" w:cs="宋体"/>
          <w:color w:val="auto"/>
          <w:sz w:val="28"/>
          <w:szCs w:val="28"/>
        </w:rPr>
        <w:t>2.采购代理机构信息</w:t>
      </w:r>
      <w:bookmarkEnd w:id="31"/>
      <w:bookmarkEnd w:id="32"/>
    </w:p>
    <w:p>
      <w:pPr>
        <w:spacing w:line="360" w:lineRule="auto"/>
        <w:ind w:firstLine="840" w:firstLineChars="300"/>
        <w:rPr>
          <w:rFonts w:ascii="仿宋" w:hAnsi="仿宋" w:eastAsia="仿宋"/>
          <w:color w:val="auto"/>
          <w:sz w:val="28"/>
          <w:szCs w:val="28"/>
        </w:rPr>
      </w:pPr>
      <w:r>
        <w:rPr>
          <w:rFonts w:hint="eastAsia" w:ascii="仿宋" w:hAnsi="仿宋" w:eastAsia="仿宋"/>
          <w:color w:val="auto"/>
          <w:sz w:val="28"/>
          <w:szCs w:val="28"/>
        </w:rPr>
        <w:t>名 称：</w:t>
      </w:r>
      <w:r>
        <w:rPr>
          <w:rFonts w:hint="eastAsia" w:ascii="仿宋" w:hAnsi="仿宋" w:eastAsia="仿宋"/>
          <w:color w:val="auto"/>
          <w:sz w:val="28"/>
          <w:szCs w:val="28"/>
          <w:u w:val="single"/>
        </w:rPr>
        <w:t>广西华盛工程咨询有限公司</w:t>
      </w:r>
    </w:p>
    <w:p>
      <w:pPr>
        <w:spacing w:line="360" w:lineRule="auto"/>
        <w:ind w:firstLine="840" w:firstLineChars="300"/>
        <w:rPr>
          <w:rFonts w:hint="eastAsia" w:ascii="仿宋" w:hAnsi="仿宋" w:eastAsia="仿宋"/>
          <w:color w:val="auto"/>
          <w:sz w:val="28"/>
          <w:szCs w:val="28"/>
          <w:lang w:eastAsia="zh-CN"/>
        </w:rPr>
      </w:pPr>
      <w:r>
        <w:rPr>
          <w:rFonts w:hint="eastAsia" w:ascii="仿宋" w:hAnsi="仿宋" w:eastAsia="仿宋"/>
          <w:color w:val="auto"/>
          <w:sz w:val="28"/>
          <w:szCs w:val="28"/>
        </w:rPr>
        <w:t>地　址：</w:t>
      </w:r>
      <w:r>
        <w:rPr>
          <w:rFonts w:hint="eastAsia" w:ascii="仿宋" w:hAnsi="仿宋" w:eastAsia="仿宋"/>
          <w:color w:val="auto"/>
          <w:sz w:val="28"/>
          <w:szCs w:val="28"/>
          <w:u w:val="single"/>
        </w:rPr>
        <w:t>富川县富阳镇城东开发区</w:t>
      </w:r>
      <w:r>
        <w:rPr>
          <w:rFonts w:hint="eastAsia" w:ascii="仿宋" w:hAnsi="仿宋" w:eastAsia="仿宋"/>
          <w:color w:val="auto"/>
          <w:sz w:val="28"/>
          <w:szCs w:val="28"/>
          <w:u w:val="single"/>
          <w:lang w:eastAsia="zh-CN"/>
        </w:rPr>
        <w:t>摩托车城附近</w:t>
      </w:r>
    </w:p>
    <w:p>
      <w:pPr>
        <w:spacing w:line="360" w:lineRule="auto"/>
        <w:ind w:firstLine="840" w:firstLineChars="300"/>
        <w:rPr>
          <w:rFonts w:hint="default" w:ascii="仿宋" w:hAnsi="仿宋" w:eastAsia="仿宋"/>
          <w:color w:val="auto"/>
          <w:sz w:val="28"/>
          <w:szCs w:val="28"/>
          <w:lang w:val="en-US" w:eastAsia="zh-CN"/>
        </w:rPr>
      </w:pPr>
      <w:r>
        <w:rPr>
          <w:rFonts w:hint="eastAsia" w:ascii="仿宋" w:hAnsi="仿宋" w:eastAsia="仿宋"/>
          <w:color w:val="auto"/>
          <w:sz w:val="28"/>
          <w:szCs w:val="28"/>
        </w:rPr>
        <w:t>联系方式：</w:t>
      </w:r>
      <w:bookmarkStart w:id="33" w:name="_Toc28359087"/>
      <w:bookmarkStart w:id="34" w:name="_Toc28359010"/>
      <w:r>
        <w:rPr>
          <w:rFonts w:hint="eastAsia" w:ascii="仿宋" w:hAnsi="仿宋" w:eastAsia="仿宋"/>
          <w:color w:val="auto"/>
          <w:sz w:val="28"/>
          <w:szCs w:val="28"/>
          <w:u w:val="single"/>
          <w:lang w:eastAsia="zh-CN"/>
        </w:rPr>
        <w:t>毛园</w:t>
      </w:r>
      <w:r>
        <w:rPr>
          <w:rFonts w:hint="eastAsia" w:ascii="仿宋" w:hAnsi="仿宋" w:eastAsia="仿宋"/>
          <w:color w:val="auto"/>
          <w:sz w:val="28"/>
          <w:szCs w:val="28"/>
          <w:u w:val="single"/>
          <w:lang w:val="en-US" w:eastAsia="zh-CN"/>
        </w:rPr>
        <w:t>/0774-7886708</w:t>
      </w:r>
    </w:p>
    <w:p>
      <w:pPr>
        <w:spacing w:line="360" w:lineRule="auto"/>
        <w:ind w:firstLine="840" w:firstLineChars="300"/>
        <w:rPr>
          <w:rFonts w:ascii="仿宋" w:hAnsi="仿宋" w:eastAsia="仿宋"/>
          <w:color w:val="auto"/>
          <w:sz w:val="28"/>
          <w:szCs w:val="28"/>
          <w:u w:val="single"/>
        </w:rPr>
      </w:pPr>
      <w:r>
        <w:rPr>
          <w:rFonts w:hint="eastAsia" w:ascii="仿宋" w:hAnsi="仿宋" w:eastAsia="仿宋" w:cs="宋体"/>
          <w:color w:val="auto"/>
          <w:sz w:val="28"/>
          <w:szCs w:val="28"/>
        </w:rPr>
        <w:t>3.项目</w:t>
      </w:r>
      <w:r>
        <w:rPr>
          <w:rFonts w:ascii="仿宋" w:hAnsi="仿宋" w:eastAsia="仿宋" w:cs="宋体"/>
          <w:color w:val="auto"/>
          <w:sz w:val="28"/>
          <w:szCs w:val="28"/>
        </w:rPr>
        <w:t>联系方式</w:t>
      </w:r>
      <w:bookmarkEnd w:id="33"/>
      <w:bookmarkEnd w:id="34"/>
    </w:p>
    <w:p>
      <w:pPr>
        <w:pStyle w:val="4"/>
        <w:spacing w:line="360" w:lineRule="auto"/>
        <w:ind w:firstLine="840" w:firstLineChars="300"/>
        <w:rPr>
          <w:rFonts w:hint="eastAsia" w:ascii="仿宋" w:hAnsi="仿宋" w:eastAsia="仿宋"/>
          <w:color w:val="auto"/>
          <w:sz w:val="28"/>
          <w:szCs w:val="28"/>
          <w:lang w:eastAsia="zh-CN"/>
        </w:rPr>
      </w:pPr>
      <w:r>
        <w:rPr>
          <w:rFonts w:hint="eastAsia" w:ascii="仿宋" w:hAnsi="仿宋" w:eastAsia="仿宋"/>
          <w:color w:val="auto"/>
          <w:sz w:val="28"/>
          <w:szCs w:val="28"/>
        </w:rPr>
        <w:t>项目联系人：</w:t>
      </w:r>
      <w:r>
        <w:rPr>
          <w:rFonts w:hint="eastAsia" w:ascii="仿宋" w:hAnsi="仿宋" w:eastAsia="仿宋"/>
          <w:color w:val="auto"/>
          <w:sz w:val="28"/>
          <w:szCs w:val="28"/>
          <w:u w:val="single"/>
          <w:lang w:eastAsia="zh-CN"/>
        </w:rPr>
        <w:t>毛园</w:t>
      </w:r>
    </w:p>
    <w:p>
      <w:pPr>
        <w:spacing w:line="360" w:lineRule="auto"/>
        <w:ind w:firstLine="840" w:firstLineChars="300"/>
        <w:rPr>
          <w:rFonts w:ascii="仿宋" w:hAnsi="仿宋" w:eastAsia="仿宋"/>
          <w:color w:val="auto"/>
          <w:sz w:val="28"/>
          <w:szCs w:val="28"/>
          <w:u w:val="single"/>
        </w:rPr>
      </w:pPr>
      <w:r>
        <w:rPr>
          <w:rFonts w:hint="eastAsia" w:ascii="仿宋" w:hAnsi="仿宋" w:eastAsia="仿宋"/>
          <w:color w:val="auto"/>
          <w:sz w:val="28"/>
          <w:szCs w:val="28"/>
        </w:rPr>
        <w:t>电　话：</w:t>
      </w:r>
      <w:r>
        <w:rPr>
          <w:rFonts w:hint="eastAsia" w:ascii="仿宋" w:hAnsi="仿宋" w:eastAsia="仿宋"/>
          <w:color w:val="auto"/>
          <w:sz w:val="28"/>
          <w:szCs w:val="28"/>
          <w:u w:val="single"/>
          <w:lang w:eastAsia="zh-CN"/>
        </w:rPr>
        <w:t>毛园</w:t>
      </w:r>
      <w:r>
        <w:rPr>
          <w:rFonts w:hint="eastAsia" w:ascii="仿宋" w:hAnsi="仿宋" w:eastAsia="仿宋"/>
          <w:color w:val="auto"/>
          <w:sz w:val="28"/>
          <w:szCs w:val="28"/>
          <w:u w:val="single"/>
          <w:lang w:val="en-US" w:eastAsia="zh-CN"/>
        </w:rPr>
        <w:t>/0774-7886708</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color w:val="auto"/>
          <w:sz w:val="28"/>
          <w:szCs w:val="24"/>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eastAsia" w:ascii="宋体" w:hAnsi="宋体" w:eastAsia="宋体" w:cs="宋体"/>
          <w:color w:val="auto"/>
          <w:sz w:val="28"/>
          <w:szCs w:val="24"/>
          <w:lang w:eastAsia="zh-CN"/>
        </w:rPr>
      </w:pPr>
      <w:r>
        <w:rPr>
          <w:rFonts w:hint="eastAsia" w:ascii="宋体" w:hAnsi="宋体" w:eastAsia="宋体" w:cs="宋体"/>
          <w:color w:val="auto"/>
          <w:sz w:val="28"/>
          <w:szCs w:val="24"/>
          <w:lang w:eastAsia="zh-CN"/>
        </w:rPr>
        <w:t>招标人：富川瑶族自治县莲山镇人民政府</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color w:val="auto"/>
          <w:sz w:val="28"/>
          <w:szCs w:val="24"/>
        </w:rPr>
      </w:pPr>
      <w:r>
        <w:rPr>
          <w:rFonts w:hint="eastAsia" w:ascii="宋体" w:hAnsi="宋体" w:eastAsia="宋体" w:cs="宋体"/>
          <w:color w:val="auto"/>
          <w:sz w:val="28"/>
          <w:szCs w:val="24"/>
          <w:lang w:eastAsia="zh-CN"/>
        </w:rPr>
        <w:t>招标代理机构：广西华盛工程咨询有限公司</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color w:val="auto"/>
          <w:sz w:val="28"/>
          <w:szCs w:val="32"/>
          <w:lang w:eastAsia="zh-CN"/>
        </w:rPr>
      </w:pPr>
      <w:r>
        <w:rPr>
          <w:rFonts w:hint="eastAsia" w:ascii="宋体" w:hAnsi="宋体" w:eastAsia="宋体" w:cs="宋体"/>
          <w:color w:val="auto"/>
          <w:sz w:val="28"/>
          <w:szCs w:val="32"/>
          <w:lang w:val="en-US" w:eastAsia="zh-CN"/>
        </w:rPr>
        <w:t>2021年8月3日</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jc w:val="right"/>
        <w:textAlignment w:val="auto"/>
        <w:rPr>
          <w:rFonts w:hint="default" w:ascii="宋体" w:hAnsi="宋体" w:eastAsia="宋体" w:cs="宋体"/>
          <w:color w:val="auto"/>
          <w:sz w:val="21"/>
          <w:szCs w:val="22"/>
          <w:lang w:eastAsia="zh-CN"/>
        </w:rPr>
        <w:sectPr>
          <w:footerReference r:id="rId4" w:type="default"/>
          <w:footnotePr>
            <w:numStart w:val="0"/>
          </w:footnotePr>
          <w:endnotePr>
            <w:numFmt w:val="decimal"/>
            <w:numStart w:val="0"/>
          </w:endnotePr>
          <w:pgSz w:w="11906" w:h="16838"/>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pStyle w:val="2"/>
        <w:bidi w:val="0"/>
        <w:rPr>
          <w:rFonts w:hint="default"/>
          <w:color w:val="auto"/>
        </w:rPr>
      </w:pPr>
      <w:bookmarkStart w:id="35" w:name="_Toc1066_WPSOffice_Level1"/>
      <w:bookmarkStart w:id="36" w:name="_Toc18643_WPSOffice_Level1"/>
      <w:r>
        <w:rPr>
          <w:rFonts w:hint="default"/>
          <w:color w:val="auto"/>
        </w:rPr>
        <w:t>第二章 投标人须知</w:t>
      </w:r>
      <w:bookmarkEnd w:id="35"/>
      <w:bookmarkEnd w:id="36"/>
    </w:p>
    <w:p>
      <w:pPr>
        <w:pStyle w:val="3"/>
        <w:bidi w:val="0"/>
        <w:rPr>
          <w:rFonts w:hint="default"/>
          <w:color w:val="auto"/>
        </w:rPr>
      </w:pPr>
      <w:bookmarkStart w:id="37" w:name="_Toc31188_WPSOffice_Level2"/>
      <w:bookmarkStart w:id="38" w:name="_Toc22318_WPSOffice_Level2"/>
      <w:r>
        <w:rPr>
          <w:rFonts w:hint="default"/>
          <w:color w:val="auto"/>
        </w:rPr>
        <w:t>投标人须知前附表</w:t>
      </w:r>
      <w:bookmarkEnd w:id="37"/>
      <w:bookmarkEnd w:id="38"/>
    </w:p>
    <w:tbl>
      <w:tblPr>
        <w:tblStyle w:val="6"/>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shd w:val="clear" w:color="000000" w:fill="E6E6E6"/>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shd w:val="clear" w:color="000000" w:fill="E6E6E6"/>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shd w:val="clear" w:color="000000" w:fill="E6E6E6"/>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1207" w:type="dxa"/>
            <w:vAlign w:val="top"/>
          </w:tcPr>
          <w:p>
            <w:pPr>
              <w:autoSpaceDE w:val="0"/>
              <w:autoSpaceDN w:val="0"/>
              <w:snapToGrid w:val="0"/>
              <w:spacing w:before="84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1.1.2</w:t>
            </w:r>
          </w:p>
        </w:tc>
        <w:tc>
          <w:tcPr>
            <w:tcW w:w="2596" w:type="dxa"/>
            <w:vAlign w:val="top"/>
          </w:tcPr>
          <w:p>
            <w:pPr>
              <w:autoSpaceDE w:val="0"/>
              <w:autoSpaceDN w:val="0"/>
              <w:snapToGrid w:val="0"/>
              <w:spacing w:before="82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w:t>
            </w:r>
          </w:p>
        </w:tc>
        <w:tc>
          <w:tcPr>
            <w:tcW w:w="6333" w:type="dxa"/>
            <w:vAlign w:val="top"/>
          </w:tcPr>
          <w:p>
            <w:pPr>
              <w:autoSpaceDE w:val="0"/>
              <w:autoSpaceDN w:val="0"/>
              <w:snapToGrid w:val="0"/>
              <w:spacing w:before="3"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名称：</w:t>
            </w:r>
            <w:r>
              <w:rPr>
                <w:rFonts w:hint="eastAsia" w:ascii="宋体" w:hAnsi="宋体" w:eastAsia="宋体" w:cs="宋体"/>
                <w:color w:val="auto"/>
                <w:sz w:val="21"/>
                <w:lang w:eastAsia="zh-CN"/>
              </w:rPr>
              <w:t>富川瑶族自治县莲山镇人民政府</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val="en-US" w:eastAsia="zh-CN"/>
              </w:rPr>
            </w:pPr>
            <w:r>
              <w:rPr>
                <w:rFonts w:hint="default" w:ascii="宋体" w:hAnsi="宋体" w:eastAsia="宋体" w:cs="宋体"/>
                <w:color w:val="auto"/>
                <w:sz w:val="21"/>
              </w:rPr>
              <w:t>地址：</w:t>
            </w:r>
            <w:r>
              <w:rPr>
                <w:rFonts w:hint="eastAsia" w:ascii="宋体" w:hAnsi="宋体" w:eastAsia="宋体" w:cs="宋体"/>
                <w:color w:val="auto"/>
                <w:sz w:val="21"/>
                <w:lang w:eastAsia="zh-CN"/>
              </w:rPr>
              <w:t>富川瑶族自治县莲山镇人民政府</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联系人：</w:t>
            </w:r>
            <w:r>
              <w:rPr>
                <w:rFonts w:hint="eastAsia" w:ascii="宋体" w:hAnsi="宋体" w:eastAsia="宋体" w:cs="宋体"/>
                <w:color w:val="auto"/>
                <w:sz w:val="21"/>
                <w:lang w:val="en-US" w:eastAsia="zh-CN"/>
              </w:rPr>
              <w:t>李万鹏</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电话：</w:t>
            </w:r>
            <w:r>
              <w:rPr>
                <w:rFonts w:hint="eastAsia" w:ascii="宋体" w:hAnsi="宋体" w:eastAsia="宋体" w:cs="宋体"/>
                <w:color w:val="auto"/>
                <w:sz w:val="21"/>
                <w:lang w:val="en-US" w:eastAsia="zh-CN"/>
              </w:rPr>
              <w:t>0774-7976013</w:t>
            </w:r>
          </w:p>
          <w:p>
            <w:pPr>
              <w:autoSpaceDE w:val="0"/>
              <w:autoSpaceDN w:val="0"/>
              <w:snapToGrid w:val="0"/>
              <w:spacing w:before="146" w:after="0" w:line="263" w:lineRule="exact"/>
              <w:ind w:left="103" w:right="0" w:firstLine="0"/>
              <w:jc w:val="left"/>
              <w:textAlignment w:val="auto"/>
              <w:rPr>
                <w:rFonts w:hint="eastAsia" w:ascii="Times New Roman" w:hAnsi="Times New Roman" w:eastAsia="宋体" w:cs="Times New Roman"/>
                <w:color w:val="auto"/>
                <w:sz w:val="21"/>
                <w:lang w:eastAsia="zh-CN"/>
              </w:rPr>
            </w:pPr>
            <w:r>
              <w:rPr>
                <w:rFonts w:hint="default" w:ascii="宋体" w:hAnsi="宋体" w:eastAsia="宋体" w:cs="宋体"/>
                <w:color w:val="auto"/>
                <w:sz w:val="21"/>
                <w:lang w:eastAsia="zh-CN"/>
              </w:rPr>
              <w:t>传真：</w:t>
            </w:r>
            <w:r>
              <w:rPr>
                <w:rFonts w:hint="eastAsia" w:ascii="宋体" w:hAnsi="宋体" w:eastAsia="宋体" w:cs="宋体"/>
                <w:color w:val="auto"/>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1207" w:type="dxa"/>
            <w:vAlign w:val="top"/>
          </w:tcPr>
          <w:p>
            <w:pPr>
              <w:autoSpaceDE w:val="0"/>
              <w:autoSpaceDN w:val="0"/>
              <w:snapToGrid w:val="0"/>
              <w:spacing w:before="84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1.1.3</w:t>
            </w:r>
          </w:p>
        </w:tc>
        <w:tc>
          <w:tcPr>
            <w:tcW w:w="2596" w:type="dxa"/>
            <w:vAlign w:val="top"/>
          </w:tcPr>
          <w:p>
            <w:pPr>
              <w:autoSpaceDE w:val="0"/>
              <w:autoSpaceDN w:val="0"/>
              <w:snapToGrid w:val="0"/>
              <w:spacing w:before="82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招标代理机构</w:t>
            </w:r>
          </w:p>
        </w:tc>
        <w:tc>
          <w:tcPr>
            <w:tcW w:w="6333" w:type="dxa"/>
            <w:vAlign w:val="top"/>
          </w:tcPr>
          <w:p>
            <w:pPr>
              <w:autoSpaceDE w:val="0"/>
              <w:autoSpaceDN w:val="0"/>
              <w:snapToGrid w:val="0"/>
              <w:spacing w:before="3"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名称：</w:t>
            </w:r>
            <w:r>
              <w:rPr>
                <w:rFonts w:hint="eastAsia" w:ascii="宋体" w:hAnsi="宋体" w:eastAsia="宋体" w:cs="宋体"/>
                <w:color w:val="auto"/>
                <w:sz w:val="21"/>
                <w:lang w:eastAsia="zh-CN"/>
              </w:rPr>
              <w:t>广西华盛工程咨询有限公司</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地址：</w:t>
            </w:r>
            <w:r>
              <w:rPr>
                <w:rFonts w:hint="eastAsia" w:ascii="宋体" w:hAnsi="宋体" w:eastAsia="宋体" w:cs="宋体"/>
                <w:color w:val="auto"/>
                <w:sz w:val="21"/>
                <w:lang w:eastAsia="zh-CN"/>
              </w:rPr>
              <w:t>富川县富阳镇城东开发区摩托车城附近</w:t>
            </w:r>
          </w:p>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联系人：</w:t>
            </w:r>
            <w:r>
              <w:rPr>
                <w:rFonts w:hint="eastAsia" w:ascii="宋体" w:hAnsi="宋体" w:eastAsia="宋体" w:cs="宋体"/>
                <w:color w:val="auto"/>
                <w:sz w:val="21"/>
                <w:lang w:eastAsia="zh-CN"/>
              </w:rPr>
              <w:t>毛园</w:t>
            </w:r>
          </w:p>
          <w:p>
            <w:pPr>
              <w:autoSpaceDE w:val="0"/>
              <w:autoSpaceDN w:val="0"/>
              <w:snapToGrid w:val="0"/>
              <w:spacing w:before="146" w:after="0" w:line="263" w:lineRule="exact"/>
              <w:ind w:left="103" w:right="0" w:firstLine="0"/>
              <w:jc w:val="left"/>
              <w:textAlignment w:val="auto"/>
              <w:rPr>
                <w:rFonts w:hint="eastAsia" w:ascii="Times New Roman" w:hAnsi="Times New Roman" w:eastAsia="宋体" w:cs="Times New Roman"/>
                <w:color w:val="auto"/>
                <w:sz w:val="21"/>
                <w:lang w:eastAsia="zh-CN"/>
              </w:rPr>
            </w:pPr>
            <w:r>
              <w:rPr>
                <w:rFonts w:hint="default" w:ascii="宋体" w:hAnsi="宋体" w:eastAsia="宋体" w:cs="宋体"/>
                <w:color w:val="auto"/>
                <w:sz w:val="21"/>
              </w:rPr>
              <w:t>电话：</w:t>
            </w:r>
            <w:r>
              <w:rPr>
                <w:rFonts w:hint="default" w:ascii="Times New Roman" w:hAnsi="Times New Roman" w:eastAsia="Times New Roman" w:cs="Times New Roman"/>
                <w:color w:val="auto"/>
                <w:sz w:val="21"/>
              </w:rPr>
              <w:t>0774-</w:t>
            </w:r>
            <w:r>
              <w:rPr>
                <w:rFonts w:hint="eastAsia" w:eastAsia="宋体" w:cs="Times New Roman"/>
                <w:color w:val="auto"/>
                <w:sz w:val="21"/>
                <w:lang w:eastAsia="zh-CN"/>
              </w:rPr>
              <w:t>7886708</w:t>
            </w:r>
          </w:p>
          <w:p>
            <w:pPr>
              <w:autoSpaceDE w:val="0"/>
              <w:autoSpaceDN w:val="0"/>
              <w:snapToGrid w:val="0"/>
              <w:spacing w:before="146" w:after="0" w:line="263" w:lineRule="exact"/>
              <w:ind w:left="103" w:right="0" w:firstLine="0"/>
              <w:jc w:val="left"/>
              <w:textAlignment w:val="auto"/>
              <w:rPr>
                <w:rFonts w:hint="eastAsia" w:ascii="Times New Roman" w:hAnsi="Times New Roman" w:eastAsia="宋体" w:cs="Times New Roman"/>
                <w:color w:val="auto"/>
                <w:sz w:val="21"/>
                <w:lang w:eastAsia="zh-CN"/>
              </w:rPr>
            </w:pPr>
            <w:r>
              <w:rPr>
                <w:rFonts w:hint="default" w:ascii="宋体" w:hAnsi="宋体" w:eastAsia="宋体" w:cs="宋体"/>
                <w:color w:val="auto"/>
                <w:sz w:val="21"/>
              </w:rPr>
              <w:t>传真：</w:t>
            </w:r>
            <w:r>
              <w:rPr>
                <w:rFonts w:hint="eastAsia" w:eastAsia="宋体" w:cs="Times New Roman"/>
                <w:color w:val="auto"/>
                <w:sz w:val="21"/>
                <w:lang w:val="en-US"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1.1.4</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项目名称及项目编号</w:t>
            </w:r>
          </w:p>
        </w:tc>
        <w:tc>
          <w:tcPr>
            <w:tcW w:w="6333" w:type="dxa"/>
            <w:vAlign w:val="top"/>
          </w:tcPr>
          <w:p>
            <w:pPr>
              <w:autoSpaceDE w:val="0"/>
              <w:autoSpaceDN w:val="0"/>
              <w:snapToGrid w:val="0"/>
              <w:spacing w:before="3" w:after="0" w:line="263" w:lineRule="exact"/>
              <w:ind w:left="103" w:right="0" w:firstLine="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lang w:eastAsia="zh-CN"/>
              </w:rPr>
              <w:t>莲山镇2021年第一批市级财政专项扶贫资金项目（一标段）</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（项目编号：</w:t>
            </w:r>
            <w:r>
              <w:rPr>
                <w:rFonts w:hint="eastAsia" w:eastAsia="宋体" w:cs="Times New Roman"/>
                <w:color w:val="auto"/>
                <w:sz w:val="21"/>
                <w:lang w:eastAsia="zh-CN"/>
              </w:rPr>
              <w:t xml:space="preserve">HZZC2021-G2-230199-GXHS </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1.1.5</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建设地点</w:t>
            </w:r>
          </w:p>
        </w:tc>
        <w:tc>
          <w:tcPr>
            <w:tcW w:w="6333" w:type="dxa"/>
            <w:vAlign w:val="top"/>
          </w:tcPr>
          <w:p>
            <w:pPr>
              <w:autoSpaceDE w:val="0"/>
              <w:autoSpaceDN w:val="0"/>
              <w:snapToGrid w:val="0"/>
              <w:spacing w:before="83" w:after="0" w:line="263"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富川瑶族自治县</w:t>
            </w:r>
            <w:r>
              <w:rPr>
                <w:rFonts w:hint="eastAsia" w:ascii="宋体" w:hAnsi="宋体" w:eastAsia="宋体" w:cs="宋体"/>
                <w:color w:val="auto"/>
                <w:sz w:val="21"/>
                <w:lang w:eastAsia="zh-CN"/>
              </w:rPr>
              <w:t>境内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1.2.1</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资金来源</w:t>
            </w:r>
          </w:p>
        </w:tc>
        <w:tc>
          <w:tcPr>
            <w:tcW w:w="6333" w:type="dxa"/>
            <w:vAlign w:val="top"/>
          </w:tcPr>
          <w:p>
            <w:pPr>
              <w:autoSpaceDE w:val="0"/>
              <w:autoSpaceDN w:val="0"/>
              <w:snapToGrid w:val="0"/>
              <w:spacing w:before="83" w:after="0" w:line="263" w:lineRule="exact"/>
              <w:ind w:left="103" w:right="0" w:firstLine="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lang w:eastAsia="zh-CN"/>
              </w:rPr>
              <w:t>上级财政资金</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1.2.2</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出资比例</w:t>
            </w:r>
          </w:p>
        </w:tc>
        <w:tc>
          <w:tcPr>
            <w:tcW w:w="6333"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1.2.3</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资金落实情况</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已落实</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1.2.4</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highlight w:val="yellow"/>
              </w:rPr>
            </w:pPr>
            <w:r>
              <w:rPr>
                <w:rFonts w:hint="default" w:ascii="宋体" w:hAnsi="宋体" w:eastAsia="宋体" w:cs="宋体"/>
                <w:color w:val="auto"/>
                <w:sz w:val="21"/>
                <w:highlight w:val="none"/>
              </w:rPr>
              <w:t>本工程增值税计税方法</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highlight w:val="yellow"/>
              </w:rPr>
            </w:pPr>
            <w:r>
              <w:rPr>
                <w:color w:val="auto"/>
                <w:sz w:val="21"/>
                <w:highlight w:val="yellow"/>
              </w:rPr>
              <mc:AlternateContent>
                <mc:Choice Requires="wps">
                  <w:drawing>
                    <wp:anchor distT="0" distB="0" distL="114300" distR="114300" simplePos="0" relativeHeight="251660288" behindDoc="0" locked="0" layoutInCell="1" allowOverlap="1">
                      <wp:simplePos x="0" y="0"/>
                      <wp:positionH relativeFrom="column">
                        <wp:posOffset>24765</wp:posOffset>
                      </wp:positionH>
                      <wp:positionV relativeFrom="paragraph">
                        <wp:posOffset>51435</wp:posOffset>
                      </wp:positionV>
                      <wp:extent cx="1545590" cy="243205"/>
                      <wp:effectExtent l="0" t="0" r="16510" b="4445"/>
                      <wp:wrapNone/>
                      <wp:docPr id="1" name="文本框 123"/>
                      <wp:cNvGraphicFramePr/>
                      <a:graphic xmlns:a="http://schemas.openxmlformats.org/drawingml/2006/main">
                        <a:graphicData uri="http://schemas.microsoft.com/office/word/2010/wordprocessingShape">
                          <wps:wsp>
                            <wps:cNvSpPr txBox="1"/>
                            <wps:spPr>
                              <a:xfrm>
                                <a:off x="0" y="0"/>
                                <a:ext cx="1545590" cy="243205"/>
                              </a:xfrm>
                              <a:prstGeom prst="rect">
                                <a:avLst/>
                              </a:prstGeom>
                              <a:solidFill>
                                <a:srgbClr val="FFFFFF"/>
                              </a:solidFill>
                              <a:ln>
                                <a:noFill/>
                              </a:ln>
                            </wps:spPr>
                            <wps:txbx>
                              <w:txbxContent>
                                <w:p>
                                  <w:pPr>
                                    <w:rPr>
                                      <w:color w:val="auto"/>
                                    </w:rPr>
                                  </w:pPr>
                                  <w:r>
                                    <w:rPr>
                                      <w:rFonts w:hint="default" w:ascii="宋体" w:hAnsi="宋体" w:eastAsia="宋体" w:cs="宋体"/>
                                      <w:color w:val="auto"/>
                                      <w:sz w:val="21"/>
                                    </w:rPr>
                                    <w:t>简易计税法</w:t>
                                  </w:r>
                                </w:p>
                              </w:txbxContent>
                            </wps:txbx>
                            <wps:bodyPr upright="0"/>
                          </wps:wsp>
                        </a:graphicData>
                      </a:graphic>
                    </wp:anchor>
                  </w:drawing>
                </mc:Choice>
                <mc:Fallback>
                  <w:pict>
                    <v:shape id="文本框 123" o:spid="_x0000_s1026" o:spt="202" type="#_x0000_t202" style="position:absolute;left:0pt;margin-left:1.95pt;margin-top:4.05pt;height:19.15pt;width:121.7pt;z-index:251660288;mso-width-relative:page;mso-height-relative:page;" fillcolor="#FFFFFF" filled="t" stroked="f" coordsize="21600,21600" o:gfxdata="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gy2xA1QAAAAYBAAAPAAAAAAAAAAEAIAAAACIAAABkcnMvZG93bnJldi54bWxQ&#10;SwECFAAUAAAACACHTuJAWg9PzcEBAAB5AwAADgAAAAAAAAABACAAAAAkAQAAZHJzL2Uyb0RvYy54&#10;bWxQSwUGAAAAAAYABgBZAQAAVwUAAAAA&#10;">
                      <v:fill on="t" focussize="0,0"/>
                      <v:stroke on="f"/>
                      <v:imagedata o:title=""/>
                      <o:lock v:ext="edit" aspectratio="f"/>
                      <v:textbox>
                        <w:txbxContent>
                          <w:p>
                            <w:pPr>
                              <w:rPr>
                                <w:color w:val="auto"/>
                              </w:rPr>
                            </w:pPr>
                            <w:r>
                              <w:rPr>
                                <w:rFonts w:hint="default" w:ascii="宋体" w:hAnsi="宋体" w:eastAsia="宋体" w:cs="宋体"/>
                                <w:color w:val="auto"/>
                                <w:sz w:val="21"/>
                              </w:rPr>
                              <w:t>简易计税法</w:t>
                            </w:r>
                          </w:p>
                        </w:txbxContent>
                      </v:textbox>
                    </v:shape>
                  </w:pict>
                </mc:Fallback>
              </mc:AlternateContent>
            </w:r>
            <w:r>
              <w:rPr>
                <w:rFonts w:hint="default" w:ascii="宋体" w:hAnsi="宋体" w:eastAsia="宋体" w:cs="宋体"/>
                <w:color w:val="auto"/>
                <w:sz w:val="21"/>
                <w:highlight w:val="yellow"/>
              </w:rPr>
              <w:sym w:font="Wingdings 2" w:char="0052"/>
            </w:r>
            <w:r>
              <w:rPr>
                <w:rFonts w:hint="default" w:ascii="宋体" w:hAnsi="宋体" w:eastAsia="宋体" w:cs="宋体"/>
                <w:color w:val="auto"/>
                <w:sz w:val="21"/>
                <w:highlight w:val="yellow"/>
              </w:rPr>
              <w:t>一般计税法</w:t>
            </w:r>
            <w:r>
              <w:rPr>
                <w:rFonts w:hint="default" w:ascii="宋体" w:hAnsi="宋体" w:eastAsia="宋体" w:cs="宋体"/>
                <w:color w:val="auto"/>
                <w:spacing w:val="420"/>
                <w:sz w:val="21"/>
                <w:highlight w:val="yellow"/>
              </w:rPr>
              <w:t xml:space="preserve"> </w:t>
            </w:r>
            <w:r>
              <w:rPr>
                <w:rFonts w:hint="default" w:ascii="宋体" w:hAnsi="宋体" w:eastAsia="宋体" w:cs="宋体"/>
                <w:color w:val="auto"/>
                <w:spacing w:val="-105"/>
                <w:position w:val="1"/>
                <w:sz w:val="21"/>
                <w:highlight w:val="yellow"/>
              </w:rPr>
              <w:t>√</w:t>
            </w:r>
            <w:r>
              <w:rPr>
                <w:rFonts w:hint="default" w:ascii="宋体" w:hAnsi="宋体" w:eastAsia="宋体" w:cs="宋体"/>
                <w:color w:val="auto"/>
                <w:position w:val="1"/>
                <w:sz w:val="21"/>
                <w:highlight w:val="yellow"/>
              </w:rPr>
              <w:sym w:font="Wingdings 2" w:char="0052"/>
            </w:r>
            <w:r>
              <w:rPr>
                <w:rFonts w:hint="default" w:ascii="宋体" w:hAnsi="宋体" w:eastAsia="宋体" w:cs="宋体"/>
                <w:color w:val="auto"/>
                <w:position w:val="1"/>
                <w:sz w:val="21"/>
                <w:highlight w:val="yellow"/>
              </w:rPr>
              <w:t>简易计税法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1207" w:type="dxa"/>
            <w:vAlign w:val="top"/>
          </w:tcPr>
          <w:p>
            <w:pPr>
              <w:autoSpaceDE w:val="0"/>
              <w:autoSpaceDN w:val="0"/>
              <w:snapToGrid w:val="0"/>
              <w:spacing w:before="636"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1.3.1</w:t>
            </w:r>
          </w:p>
        </w:tc>
        <w:tc>
          <w:tcPr>
            <w:tcW w:w="2596" w:type="dxa"/>
            <w:vAlign w:val="top"/>
          </w:tcPr>
          <w:p>
            <w:pPr>
              <w:autoSpaceDE w:val="0"/>
              <w:autoSpaceDN w:val="0"/>
              <w:snapToGrid w:val="0"/>
              <w:spacing w:before="61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招标范围</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before="146" w:after="0" w:line="420" w:lineRule="exact"/>
              <w:ind w:left="102" w:right="0" w:firstLine="0"/>
              <w:jc w:val="left"/>
              <w:textAlignment w:val="auto"/>
              <w:rPr>
                <w:rFonts w:hint="eastAsia" w:ascii="宋体" w:hAnsi="宋体" w:eastAsia="宋体" w:cs="宋体"/>
                <w:color w:val="auto"/>
                <w:sz w:val="21"/>
                <w:u w:val="single" w:color="000000"/>
                <w:lang w:eastAsia="zh-CN"/>
              </w:rPr>
            </w:pPr>
            <w:r>
              <w:rPr>
                <w:rFonts w:hint="default" w:ascii="宋体" w:hAnsi="宋体" w:eastAsia="宋体" w:cs="宋体"/>
                <w:color w:val="auto"/>
                <w:sz w:val="21"/>
              </w:rPr>
              <w:t>招标范围：</w:t>
            </w:r>
            <w:r>
              <w:rPr>
                <w:rFonts w:hint="eastAsia" w:ascii="宋体" w:hAnsi="宋体" w:eastAsia="宋体" w:cs="宋体"/>
                <w:color w:val="auto"/>
                <w:sz w:val="21"/>
                <w:u w:val="single"/>
                <w:lang w:eastAsia="zh-CN"/>
              </w:rPr>
              <w:t>详见</w:t>
            </w:r>
            <w:r>
              <w:rPr>
                <w:rFonts w:hint="default" w:ascii="宋体" w:hAnsi="宋体" w:eastAsia="宋体" w:cs="宋体"/>
                <w:color w:val="auto"/>
                <w:sz w:val="21"/>
                <w:u w:val="single" w:color="000000"/>
              </w:rPr>
              <w:t>工程量清单及施工图</w:t>
            </w:r>
            <w:r>
              <w:rPr>
                <w:rFonts w:hint="eastAsia" w:ascii="宋体" w:hAnsi="宋体" w:eastAsia="宋体" w:cs="宋体"/>
                <w:color w:val="auto"/>
                <w:sz w:val="21"/>
                <w:u w:val="single" w:color="000000"/>
                <w:lang w:eastAsia="zh-CN"/>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62"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1.3.2</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要求工期</w:t>
            </w:r>
          </w:p>
        </w:tc>
        <w:tc>
          <w:tcPr>
            <w:tcW w:w="6333" w:type="dxa"/>
            <w:vAlign w:val="top"/>
          </w:tcPr>
          <w:p>
            <w:pPr>
              <w:autoSpaceDE w:val="0"/>
              <w:autoSpaceDN w:val="0"/>
              <w:snapToGrid w:val="0"/>
              <w:spacing w:before="146" w:after="0" w:line="240" w:lineRule="auto"/>
              <w:ind w:left="103"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90日历天，具体开工日期以开工令为准</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1.3.3</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质量要求</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质量标准：</w:t>
            </w:r>
            <w:r>
              <w:rPr>
                <w:rFonts w:hint="eastAsia" w:ascii="宋体" w:hAnsi="宋体" w:eastAsia="宋体" w:cs="宋体"/>
                <w:color w:val="auto"/>
                <w:sz w:val="21"/>
                <w:lang w:eastAsia="zh-CN"/>
              </w:rPr>
              <w:t>验收合格</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950" w:hRule="exact"/>
        </w:trPr>
        <w:tc>
          <w:tcPr>
            <w:tcW w:w="1207" w:type="dxa"/>
            <w:vAlign w:val="top"/>
          </w:tcPr>
          <w:p>
            <w:pPr>
              <w:autoSpaceDE w:val="0"/>
              <w:autoSpaceDN w:val="0"/>
              <w:snapToGrid w:val="0"/>
              <w:spacing w:before="599"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1.4.1</w:t>
            </w:r>
          </w:p>
        </w:tc>
        <w:tc>
          <w:tcPr>
            <w:tcW w:w="2596" w:type="dxa"/>
            <w:vAlign w:val="top"/>
          </w:tcPr>
          <w:p>
            <w:pPr>
              <w:autoSpaceDE w:val="0"/>
              <w:autoSpaceDN w:val="0"/>
              <w:snapToGrid w:val="0"/>
              <w:spacing w:before="258" w:after="0" w:line="409" w:lineRule="exact"/>
              <w:ind w:left="103" w:right="17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投标人资质条</w:t>
            </w:r>
            <w:r>
              <w:rPr>
                <w:rFonts w:hint="default" w:ascii="宋体" w:hAnsi="宋体" w:eastAsia="宋体" w:cs="宋体"/>
                <w:color w:val="auto"/>
                <w:sz w:val="21"/>
              </w:rPr>
              <w:t>件、能力、诚信要求</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资质条件：具有国内独立法人资格，须具备市政公用工程施工总承包叁级以上（含叁级）资质，并在人员、设备、资金等方面具备相应的施工能力；</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财务要求：</w:t>
            </w:r>
            <w:r>
              <w:rPr>
                <w:rFonts w:hint="eastAsia" w:ascii="宋体" w:hAnsi="宋体" w:eastAsia="宋体" w:cs="宋体"/>
                <w:color w:val="auto"/>
                <w:sz w:val="21"/>
                <w:lang w:eastAsia="zh-CN"/>
              </w:rPr>
              <w:t>近三年经审计的财务报表【备注：对于从取得营业执照</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时间起到投标截止时间为止不足要求年数的企业，只需提交企业取得营业执照年份至所要求最近年份经审计的财务报表】</w:t>
            </w:r>
            <w:r>
              <w:rPr>
                <w:rFonts w:hint="default" w:ascii="宋体" w:hAnsi="宋体" w:eastAsia="宋体" w:cs="宋体"/>
                <w:color w:val="auto"/>
                <w:sz w:val="21"/>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业绩要求：无要求。</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20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诚信要求：</w:t>
            </w:r>
            <w:r>
              <w:rPr>
                <w:rFonts w:hint="default" w:ascii="宋体" w:hAnsi="宋体" w:eastAsia="宋体" w:cs="宋体"/>
                <w:color w:val="auto"/>
                <w:sz w:val="21"/>
              </w:rPr>
              <w:t>在最近一年</w:t>
            </w:r>
            <w:r>
              <w:rPr>
                <w:rFonts w:hint="default" w:ascii="Times New Roman" w:hAnsi="Times New Roman" w:eastAsia="Times New Roman" w:cs="Times New Roman"/>
                <w:color w:val="auto"/>
                <w:sz w:val="21"/>
              </w:rPr>
              <w:t>(</w:t>
            </w:r>
            <w:bookmarkStart w:id="267" w:name="_GoBack"/>
            <w:bookmarkEnd w:id="267"/>
            <w:r>
              <w:rPr>
                <w:rFonts w:hint="default" w:ascii="宋体" w:hAnsi="宋体" w:eastAsia="宋体" w:cs="宋体"/>
                <w:color w:val="auto"/>
                <w:sz w:val="21"/>
              </w:rPr>
              <w:t>开标之日前一年</w:t>
            </w:r>
            <w:r>
              <w:rPr>
                <w:rFonts w:hint="default" w:ascii="Times New Roman" w:hAnsi="Times New Roman" w:eastAsia="Times New Roman" w:cs="Times New Roman"/>
                <w:color w:val="auto"/>
                <w:sz w:val="21"/>
              </w:rPr>
              <w:t>)</w:t>
            </w:r>
            <w:r>
              <w:rPr>
                <w:rFonts w:hint="default" w:ascii="宋体" w:hAnsi="宋体" w:eastAsia="宋体" w:cs="宋体"/>
                <w:color w:val="auto"/>
                <w:sz w:val="21"/>
              </w:rPr>
              <w:t>内无骗取中标或重大安全事故或重大工程质量事故或停业处罚记录。</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资格：须具备市政公用专业贰级以上（含贰级）注册建造师执业资格，具备安全生产考核合格证书（B类）且项目经理未在其他在施工建设项目、已中标未开工项目或已列为其他项目中标候选人第一名的项目担任项目经理；</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安全员要求：安全员安全生产考核合格证书（</w:t>
            </w:r>
            <w:r>
              <w:rPr>
                <w:rFonts w:hint="default" w:ascii="Times New Roman" w:hAnsi="Times New Roman" w:eastAsia="Times New Roman" w:cs="Times New Roman"/>
                <w:color w:val="auto"/>
                <w:spacing w:val="52"/>
                <w:sz w:val="21"/>
              </w:rPr>
              <w:t>C</w:t>
            </w:r>
            <w:r>
              <w:rPr>
                <w:rFonts w:hint="default" w:ascii="宋体" w:hAnsi="宋体" w:eastAsia="宋体" w:cs="宋体"/>
                <w:color w:val="auto"/>
                <w:sz w:val="21"/>
              </w:rPr>
              <w:t>类）。</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其他要求：（</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）拟派驻本项目的技术负责人应具有工程师及以上专业技术职称。</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）安全员、施工员、质量员、材料员应具有相应岗位资格证</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130" w:firstLine="0"/>
              <w:jc w:val="both"/>
              <w:textAlignment w:val="auto"/>
              <w:rPr>
                <w:rFonts w:hint="default" w:ascii="宋体" w:hAnsi="宋体" w:eastAsia="宋体" w:cs="宋体"/>
                <w:color w:val="auto"/>
                <w:sz w:val="21"/>
              </w:rPr>
            </w:pPr>
            <w:r>
              <w:rPr>
                <w:rFonts w:hint="default" w:ascii="宋体" w:hAnsi="宋体" w:eastAsia="宋体" w:cs="宋体"/>
                <w:color w:val="auto"/>
                <w:sz w:val="21"/>
              </w:rPr>
              <w:t>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1.4.2</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是否接受联合体投标</w:t>
            </w:r>
          </w:p>
        </w:tc>
        <w:tc>
          <w:tcPr>
            <w:tcW w:w="6333" w:type="dxa"/>
            <w:vAlign w:val="top"/>
          </w:tcPr>
          <w:p>
            <w:pPr>
              <w:autoSpaceDE w:val="0"/>
              <w:autoSpaceDN w:val="0"/>
              <w:snapToGrid w:val="0"/>
              <w:spacing w:before="-10" w:after="0" w:line="280" w:lineRule="exact"/>
              <w:ind w:left="103" w:leftChars="0" w:right="0" w:rightChars="0" w:firstLine="0" w:firstLineChars="0"/>
              <w:jc w:val="left"/>
              <w:textAlignment w:val="auto"/>
              <w:rPr>
                <w:rFonts w:hint="default" w:ascii="宋体" w:hAnsi="宋体" w:eastAsia="宋体" w:cs="宋体"/>
                <w:color w:val="auto"/>
                <w:sz w:val="21"/>
              </w:rPr>
            </w:pPr>
            <w:r>
              <w:rPr>
                <w:color w:val="auto"/>
                <w:sz w:val="21"/>
              </w:rPr>
              <mc:AlternateContent>
                <mc:Choice Requires="wps">
                  <w:drawing>
                    <wp:anchor distT="0" distB="0" distL="114300" distR="114300" simplePos="0" relativeHeight="251669504" behindDoc="0" locked="0" layoutInCell="1" allowOverlap="1">
                      <wp:simplePos x="0" y="0"/>
                      <wp:positionH relativeFrom="column">
                        <wp:posOffset>24765</wp:posOffset>
                      </wp:positionH>
                      <wp:positionV relativeFrom="paragraph">
                        <wp:posOffset>28575</wp:posOffset>
                      </wp:positionV>
                      <wp:extent cx="2244090" cy="274955"/>
                      <wp:effectExtent l="0" t="0" r="3810" b="10795"/>
                      <wp:wrapNone/>
                      <wp:docPr id="11" name="文本框 124"/>
                      <wp:cNvGraphicFramePr/>
                      <a:graphic xmlns:a="http://schemas.openxmlformats.org/drawingml/2006/main">
                        <a:graphicData uri="http://schemas.microsoft.com/office/word/2010/wordprocessingShape">
                          <wps:wsp>
                            <wps:cNvSpPr txBox="1"/>
                            <wps:spPr>
                              <a:xfrm>
                                <a:off x="0" y="0"/>
                                <a:ext cx="2244090" cy="274955"/>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 ☑不接受 □接受 </w:t>
                                  </w:r>
                                </w:p>
                                <w:p/>
                              </w:txbxContent>
                            </wps:txbx>
                            <wps:bodyPr upright="1"/>
                          </wps:wsp>
                        </a:graphicData>
                      </a:graphic>
                    </wp:anchor>
                  </w:drawing>
                </mc:Choice>
                <mc:Fallback>
                  <w:pict>
                    <v:shape id="文本框 124" o:spid="_x0000_s1026" o:spt="202" type="#_x0000_t202" style="position:absolute;left:0pt;margin-left:1.95pt;margin-top:2.25pt;height:21.65pt;width:176.7pt;z-index:251669504;mso-width-relative:page;mso-height-relative:page;" fillcolor="#FFFFFF" filled="t" stroked="f" coordsize="21600,21600" o:gfxdata="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C7eQAQ1AAAAAYBAAAPAAAAAAAAAAEAIAAAACIAAABkcnMvZG93bnJldi54bWxQ&#10;SwECFAAUAAAACACHTuJANW6bHsIBAAB6AwAADgAAAAAAAAABACAAAAAjAQAAZHJzL2Uyb0RvYy54&#10;bWxQSwUGAAAAAAYABgBZAQAAVwU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 ☑不接受 □接受 </w:t>
                            </w:r>
                          </w:p>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sym w:font="Wingdings 2" w:char="00A3"/>
            </w:r>
            <w:r>
              <w:rPr>
                <w:rFonts w:hint="default" w:ascii="宋体" w:hAnsi="宋体" w:eastAsia="宋体" w:cs="宋体"/>
                <w:color w:val="auto"/>
                <w:position w:val="1"/>
                <w:sz w:val="21"/>
              </w:rPr>
              <w:t>不接受</w:t>
            </w:r>
            <w:r>
              <w:rPr>
                <w:rFonts w:hint="default" w:ascii="宋体" w:hAnsi="宋体" w:eastAsia="宋体" w:cs="宋体"/>
                <w:color w:val="auto"/>
                <w:spacing w:val="53"/>
                <w:sz w:val="21"/>
              </w:rPr>
              <w:t xml:space="preserve"> </w:t>
            </w:r>
            <w:r>
              <w:rPr>
                <w:rFonts w:hint="default" w:ascii="宋体" w:hAnsi="宋体" w:eastAsia="宋体" w:cs="宋体"/>
                <w:color w:val="auto"/>
                <w:sz w:val="21"/>
              </w:rPr>
              <w:t>□接受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1.9.1</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踏勘现场</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不组织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1.10</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投标预备会</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不召开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1.11</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分</w:t>
            </w:r>
            <w:r>
              <w:rPr>
                <w:rFonts w:hint="default" w:ascii="宋体" w:hAnsi="宋体" w:eastAsia="宋体" w:cs="宋体"/>
                <w:color w:val="auto"/>
                <w:spacing w:val="53"/>
                <w:sz w:val="21"/>
              </w:rPr>
              <w:t xml:space="preserve"> </w:t>
            </w:r>
            <w:r>
              <w:rPr>
                <w:rFonts w:hint="default" w:ascii="宋体" w:hAnsi="宋体" w:eastAsia="宋体" w:cs="宋体"/>
                <w:color w:val="auto"/>
                <w:sz w:val="21"/>
              </w:rPr>
              <w:t>包</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13"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1.12</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偏</w:t>
            </w:r>
            <w:r>
              <w:rPr>
                <w:rFonts w:hint="default" w:ascii="宋体" w:hAnsi="宋体" w:eastAsia="宋体" w:cs="宋体"/>
                <w:color w:val="auto"/>
                <w:spacing w:val="53"/>
                <w:sz w:val="21"/>
              </w:rPr>
              <w:t xml:space="preserve"> </w:t>
            </w:r>
            <w:r>
              <w:rPr>
                <w:rFonts w:hint="default" w:ascii="宋体" w:hAnsi="宋体" w:eastAsia="宋体" w:cs="宋体"/>
                <w:color w:val="auto"/>
                <w:sz w:val="21"/>
              </w:rPr>
              <w:t>离</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0" w:hRule="exact"/>
        </w:trPr>
        <w:tc>
          <w:tcPr>
            <w:tcW w:w="1207" w:type="dxa"/>
            <w:vAlign w:val="top"/>
          </w:tcPr>
          <w:p>
            <w:pPr>
              <w:autoSpaceDE w:val="0"/>
              <w:autoSpaceDN w:val="0"/>
              <w:snapToGrid w:val="0"/>
              <w:spacing w:before="0" w:after="0" w:line="240" w:lineRule="auto"/>
              <w:ind w:left="103" w:right="0" w:firstLine="0"/>
              <w:jc w:val="left"/>
              <w:textAlignment w:val="auto"/>
              <w:rPr>
                <w:rFonts w:hint="default" w:ascii="Times New Roman" w:hAnsi="Times New Roman" w:eastAsia="Times New Roman" w:cs="Times New Roman"/>
                <w:color w:val="auto"/>
                <w:sz w:val="21"/>
              </w:rPr>
            </w:pPr>
          </w:p>
          <w:p>
            <w:pPr>
              <w:autoSpaceDE w:val="0"/>
              <w:autoSpaceDN w:val="0"/>
              <w:snapToGrid w:val="0"/>
              <w:spacing w:before="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2.1.1</w:t>
            </w: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w:t>
            </w:r>
          </w:p>
        </w:tc>
        <w:tc>
          <w:tcPr>
            <w:tcW w:w="2596" w:type="dxa"/>
            <w:vAlign w:val="top"/>
          </w:tcPr>
          <w:p>
            <w:pPr>
              <w:autoSpaceDE w:val="0"/>
              <w:autoSpaceDN w:val="0"/>
              <w:snapToGrid w:val="0"/>
              <w:spacing w:before="252"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构成招标文件的其他材料</w:t>
            </w:r>
          </w:p>
        </w:tc>
        <w:tc>
          <w:tcPr>
            <w:tcW w:w="6333" w:type="dxa"/>
            <w:vAlign w:val="top"/>
          </w:tcPr>
          <w:p>
            <w:pPr>
              <w:autoSpaceDE w:val="0"/>
              <w:autoSpaceDN w:val="0"/>
              <w:snapToGrid w:val="0"/>
              <w:spacing w:before="184"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招标文件的澄清、修改、补充通知等内容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62" w:hRule="exact"/>
        </w:trPr>
        <w:tc>
          <w:tcPr>
            <w:tcW w:w="1207" w:type="dxa"/>
            <w:vAlign w:val="top"/>
          </w:tcPr>
          <w:p>
            <w:pPr>
              <w:autoSpaceDE w:val="0"/>
              <w:autoSpaceDN w:val="0"/>
              <w:snapToGrid w:val="0"/>
              <w:spacing w:before="227"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2.2.1</w:t>
            </w:r>
          </w:p>
        </w:tc>
        <w:tc>
          <w:tcPr>
            <w:tcW w:w="2596"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投标人要求澄清招标文件</w:t>
            </w:r>
          </w:p>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pacing w:val="-1"/>
                <w:sz w:val="21"/>
              </w:rPr>
            </w:pPr>
            <w:r>
              <w:rPr>
                <w:rFonts w:hint="default" w:ascii="宋体" w:hAnsi="宋体" w:eastAsia="宋体" w:cs="宋体"/>
                <w:color w:val="auto"/>
                <w:sz w:val="21"/>
              </w:rPr>
              <w:t>的截止时间</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投标截止时</w:t>
            </w:r>
            <w:r>
              <w:rPr>
                <w:rFonts w:hint="default" w:ascii="宋体" w:hAnsi="宋体" w:eastAsia="宋体" w:cs="宋体"/>
                <w:color w:val="auto"/>
                <w:spacing w:val="26"/>
                <w:sz w:val="21"/>
              </w:rPr>
              <w:t>间</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日前。投标人不在规定期限内提出，招标人有权</w:t>
            </w:r>
          </w:p>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不予答复，或答复后投标截止时间由招标人确定是否顺延。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0" w:hRule="exact"/>
        </w:trPr>
        <w:tc>
          <w:tcPr>
            <w:tcW w:w="1207" w:type="dxa"/>
            <w:vAlign w:val="top"/>
          </w:tcPr>
          <w:p>
            <w:pPr>
              <w:autoSpaceDE w:val="0"/>
              <w:autoSpaceDN w:val="0"/>
              <w:snapToGrid w:val="0"/>
              <w:spacing w:before="102" w:after="0" w:line="240" w:lineRule="auto"/>
              <w:ind w:left="103" w:leftChars="0" w:right="0" w:rightChars="0" w:firstLine="0" w:firstLineChars="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2.2.2</w:t>
            </w:r>
          </w:p>
        </w:tc>
        <w:tc>
          <w:tcPr>
            <w:tcW w:w="2596" w:type="dxa"/>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投标截止时间</w:t>
            </w:r>
          </w:p>
        </w:tc>
        <w:tc>
          <w:tcPr>
            <w:tcW w:w="6333" w:type="dxa"/>
            <w:vAlign w:val="top"/>
          </w:tcPr>
          <w:p>
            <w:pPr>
              <w:autoSpaceDE w:val="0"/>
              <w:autoSpaceDN w:val="0"/>
              <w:snapToGrid w:val="0"/>
              <w:spacing w:before="83" w:after="0" w:line="263" w:lineRule="exact"/>
              <w:ind w:left="103" w:leftChars="0" w:right="0" w:rightChars="0" w:firstLine="0" w:firstLineChars="0"/>
              <w:jc w:val="left"/>
              <w:textAlignment w:val="auto"/>
              <w:rPr>
                <w:rFonts w:hint="eastAsia" w:ascii="宋体" w:hAnsi="宋体" w:eastAsia="宋体" w:cs="宋体"/>
                <w:color w:val="auto"/>
                <w:sz w:val="21"/>
                <w:lang w:eastAsia="zh-CN"/>
              </w:rPr>
            </w:pPr>
            <w:r>
              <w:rPr>
                <w:rFonts w:hint="eastAsia" w:ascii="宋体" w:hAnsi="宋体" w:eastAsia="宋体" w:cs="宋体"/>
                <w:color w:val="auto"/>
                <w:sz w:val="21"/>
                <w:szCs w:val="22"/>
                <w:lang w:val="en-US" w:eastAsia="zh-CN"/>
              </w:rPr>
              <w:t>2021年8月24日09时00分整</w:t>
            </w:r>
          </w:p>
        </w:tc>
      </w:tr>
    </w:tbl>
    <w:p>
      <w:pPr>
        <w:numPr>
          <w:ilvl w:val="0"/>
          <w:numId w:val="0"/>
        </w:numPr>
        <w:autoSpaceDE w:val="0"/>
        <w:autoSpaceDN w:val="0"/>
        <w:snapToGrid w:val="0"/>
        <w:spacing w:before="291" w:after="0" w:line="240" w:lineRule="auto"/>
        <w:ind w:left="3748" w:leftChars="0" w:right="0" w:rightChars="0"/>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p>
    <w:tbl>
      <w:tblPr>
        <w:tblStyle w:val="6"/>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招标文件澄清发布方式</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在招标公告发布的同一媒介上公示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1207" w:type="dxa"/>
            <w:vAlign w:val="top"/>
          </w:tcPr>
          <w:p>
            <w:pPr>
              <w:autoSpaceDE w:val="0"/>
              <w:autoSpaceDN w:val="0"/>
              <w:snapToGrid w:val="0"/>
              <w:spacing w:before="43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2.2.3</w:t>
            </w:r>
          </w:p>
        </w:tc>
        <w:tc>
          <w:tcPr>
            <w:tcW w:w="2596" w:type="dxa"/>
            <w:vAlign w:val="top"/>
          </w:tcPr>
          <w:p>
            <w:pPr>
              <w:autoSpaceDE w:val="0"/>
              <w:autoSpaceDN w:val="0"/>
              <w:snapToGrid w:val="0"/>
              <w:spacing w:before="91" w:after="0" w:line="409" w:lineRule="exact"/>
              <w:ind w:left="103" w:right="17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投标人确认收</w:t>
            </w:r>
            <w:r>
              <w:rPr>
                <w:rFonts w:hint="default" w:ascii="宋体" w:hAnsi="宋体" w:eastAsia="宋体" w:cs="宋体"/>
                <w:color w:val="auto"/>
                <w:sz w:val="21"/>
              </w:rPr>
              <w:t>到澄清的方式</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不需要确认。澄清文件在本章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款规定的网站上发布之日</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起，视为投标</w:t>
            </w:r>
            <w:r>
              <w:rPr>
                <w:rFonts w:hint="default" w:ascii="宋体" w:hAnsi="宋体" w:eastAsia="宋体" w:cs="宋体"/>
                <w:color w:val="auto"/>
                <w:sz w:val="21"/>
              </w:rPr>
              <w:t>人已收到该澄清。投标人未及时关注招标人在网站上发布的澄清文件造成的损失，由投标人自行负责。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1857" w:hRule="exact"/>
        </w:trPr>
        <w:tc>
          <w:tcPr>
            <w:tcW w:w="1207" w:type="dxa"/>
            <w:vAlign w:val="top"/>
          </w:tcPr>
          <w:p>
            <w:pPr>
              <w:autoSpaceDE w:val="0"/>
              <w:autoSpaceDN w:val="0"/>
              <w:snapToGrid w:val="0"/>
              <w:spacing w:before="574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3.1.1</w:t>
            </w:r>
          </w:p>
        </w:tc>
        <w:tc>
          <w:tcPr>
            <w:tcW w:w="2596" w:type="dxa"/>
            <w:vAlign w:val="top"/>
          </w:tcPr>
          <w:p>
            <w:pPr>
              <w:autoSpaceDE w:val="0"/>
              <w:autoSpaceDN w:val="0"/>
              <w:snapToGrid w:val="0"/>
              <w:spacing w:before="579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构成投标文件的材料</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投标文件的组成部分：资格审查部分、商务标部分、技术标部分、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投标文件电子版（如有）组成</w:t>
            </w:r>
          </w:p>
          <w:p>
            <w:pPr>
              <w:autoSpaceDE w:val="0"/>
              <w:autoSpaceDN w:val="0"/>
              <w:snapToGrid w:val="0"/>
              <w:spacing w:before="29" w:after="0" w:line="409" w:lineRule="exact"/>
              <w:ind w:left="103" w:right="151" w:firstLine="0"/>
              <w:jc w:val="left"/>
              <w:textAlignment w:val="auto"/>
              <w:rPr>
                <w:rFonts w:hint="default" w:ascii="宋体" w:hAnsi="宋体" w:eastAsia="宋体" w:cs="宋体"/>
                <w:color w:val="auto"/>
                <w:sz w:val="21"/>
              </w:rPr>
            </w:pPr>
            <w:r>
              <w:rPr>
                <w:rFonts w:hint="default" w:ascii="宋体" w:hAnsi="宋体" w:eastAsia="宋体" w:cs="宋体"/>
                <w:b/>
                <w:color w:val="auto"/>
                <w:sz w:val="21"/>
              </w:rPr>
              <w:t>资格审查部分</w:t>
            </w:r>
            <w:r>
              <w:rPr>
                <w:rFonts w:hint="default" w:ascii="楷体" w:hAnsi="楷体" w:eastAsia="楷体" w:cs="楷体"/>
                <w:color w:val="auto"/>
                <w:sz w:val="21"/>
              </w:rPr>
              <w:t>【备注：以下复印件均须加盖投标人单位公章】</w:t>
            </w:r>
            <w:r>
              <w:rPr>
                <w:rFonts w:hint="default" w:ascii="宋体" w:hAnsi="宋体" w:eastAsia="宋体" w:cs="宋体"/>
                <w:color w:val="auto"/>
                <w:sz w:val="21"/>
              </w:rPr>
              <w:t>：</w:t>
            </w:r>
          </w:p>
          <w:p>
            <w:pPr>
              <w:autoSpaceDE w:val="0"/>
              <w:autoSpaceDN w:val="0"/>
              <w:snapToGrid w:val="0"/>
              <w:spacing w:before="29" w:after="0" w:line="409" w:lineRule="exact"/>
              <w:ind w:left="103" w:right="151"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）法定代表人身份证明原件及身份证复印件（法定代表人签署</w:t>
            </w:r>
          </w:p>
          <w:p>
            <w:pPr>
              <w:autoSpaceDE w:val="0"/>
              <w:autoSpaceDN w:val="0"/>
              <w:snapToGrid w:val="0"/>
              <w:spacing w:before="0" w:after="0" w:line="408"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投标文件时提供）或者投标文件签署授权委托书（原件），附：法定代表人身份证明原件及身份证复印件、委托代理人的身份证等材料的复印件（委托代理人签署投标文件时提供）；</w:t>
            </w:r>
          </w:p>
          <w:p>
            <w:pPr>
              <w:autoSpaceDE w:val="0"/>
              <w:autoSpaceDN w:val="0"/>
              <w:snapToGrid w:val="0"/>
              <w:spacing w:before="0" w:after="0" w:line="408"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）投标人</w:t>
            </w:r>
            <w:r>
              <w:rPr>
                <w:rFonts w:hint="default" w:ascii="宋体" w:hAnsi="宋体" w:eastAsia="宋体" w:cs="宋体"/>
                <w:color w:val="auto"/>
                <w:sz w:val="21"/>
              </w:rPr>
              <w:t>基本情况表（有效的企业营业执照、企业资质证书副本和安全生产许可证副本等复印件）；</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）联合体投标协议书（如有）；</w:t>
            </w:r>
          </w:p>
          <w:p>
            <w:pPr>
              <w:autoSpaceDE w:val="0"/>
              <w:autoSpaceDN w:val="0"/>
              <w:snapToGrid w:val="0"/>
              <w:spacing w:before="29" w:after="0" w:line="408"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w:t>
            </w:r>
            <w:r>
              <w:rPr>
                <w:rFonts w:hint="eastAsia" w:ascii="宋体" w:hAnsi="宋体" w:eastAsia="宋体" w:cs="宋体"/>
                <w:color w:val="auto"/>
                <w:spacing w:val="-1"/>
                <w:sz w:val="21"/>
                <w:lang w:eastAsia="zh-CN"/>
              </w:rPr>
              <w:t>保证金缴纳证明材料</w:t>
            </w:r>
            <w:r>
              <w:rPr>
                <w:rFonts w:hint="default" w:ascii="宋体" w:hAnsi="宋体" w:eastAsia="宋体" w:cs="宋体"/>
                <w:color w:val="auto"/>
                <w:sz w:val="21"/>
              </w:rPr>
              <w:t>复印件、</w:t>
            </w:r>
            <w:r>
              <w:rPr>
                <w:rFonts w:hint="eastAsia" w:ascii="宋体" w:hAnsi="宋体" w:eastAsia="宋体" w:cs="宋体"/>
                <w:color w:val="auto"/>
                <w:sz w:val="21"/>
                <w:lang w:eastAsia="zh-CN"/>
              </w:rPr>
              <w:t>公司开户许可证复印件（或基本存款账户信息复印件）</w:t>
            </w:r>
            <w:r>
              <w:rPr>
                <w:rFonts w:hint="default" w:ascii="宋体" w:hAnsi="宋体" w:eastAsia="宋体" w:cs="宋体"/>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）建设工程项目管理承诺书；</w:t>
            </w:r>
          </w:p>
          <w:p>
            <w:pPr>
              <w:autoSpaceDE w:val="0"/>
              <w:autoSpaceDN w:val="0"/>
              <w:snapToGrid w:val="0"/>
              <w:spacing w:before="29" w:after="0" w:line="408"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）项目经</w:t>
            </w:r>
            <w:r>
              <w:rPr>
                <w:rFonts w:hint="default" w:ascii="宋体" w:hAnsi="宋体" w:eastAsia="宋体" w:cs="宋体"/>
                <w:color w:val="auto"/>
                <w:sz w:val="21"/>
              </w:rPr>
              <w:t>理简历表：注册建造师注册证书和安全生产考核合格证书（</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类）的复印件；</w:t>
            </w:r>
          </w:p>
          <w:p>
            <w:pPr>
              <w:autoSpaceDE w:val="0"/>
              <w:autoSpaceDN w:val="0"/>
              <w:snapToGrid w:val="0"/>
              <w:spacing w:before="0" w:after="0" w:line="408" w:lineRule="exact"/>
              <w:ind w:left="103" w:right="252"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）安全员</w:t>
            </w:r>
            <w:r>
              <w:rPr>
                <w:rFonts w:hint="default" w:ascii="宋体" w:hAnsi="宋体" w:eastAsia="宋体" w:cs="宋体"/>
                <w:color w:val="auto"/>
                <w:sz w:val="21"/>
              </w:rPr>
              <w:t>简历表：安全员安全生产考核合格证书（</w:t>
            </w:r>
            <w:r>
              <w:rPr>
                <w:rFonts w:hint="default" w:ascii="Times New Roman" w:hAnsi="Times New Roman" w:eastAsia="Times New Roman" w:cs="Times New Roman"/>
                <w:color w:val="auto"/>
                <w:spacing w:val="52"/>
                <w:sz w:val="21"/>
              </w:rPr>
              <w:t>C</w:t>
            </w:r>
            <w:r>
              <w:rPr>
                <w:rFonts w:hint="default" w:ascii="宋体" w:hAnsi="宋体" w:eastAsia="宋体" w:cs="宋体"/>
                <w:color w:val="auto"/>
                <w:sz w:val="21"/>
              </w:rPr>
              <w:t>类）的复印件；</w:t>
            </w:r>
          </w:p>
          <w:p>
            <w:pPr>
              <w:autoSpaceDE w:val="0"/>
              <w:autoSpaceDN w:val="0"/>
              <w:snapToGrid w:val="0"/>
              <w:spacing w:before="0" w:after="0" w:line="408" w:lineRule="exact"/>
              <w:ind w:left="103" w:right="55"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w:t>
            </w:r>
            <w:r>
              <w:rPr>
                <w:rFonts w:hint="eastAsia" w:ascii="宋体" w:hAnsi="宋体" w:eastAsia="宋体" w:cs="宋体"/>
                <w:color w:val="auto"/>
                <w:sz w:val="21"/>
                <w:lang w:eastAsia="zh-CN"/>
              </w:rPr>
              <w:t>委托代理人、项目经理、技术负责人和主要管理人员近半年连续三个月在现任职单位依法缴纳社会保险的证明材料复印件</w:t>
            </w:r>
            <w:r>
              <w:rPr>
                <w:rFonts w:hint="default" w:ascii="宋体" w:hAnsi="宋体" w:eastAsia="宋体" w:cs="宋体"/>
                <w:color w:val="auto"/>
                <w:sz w:val="21"/>
              </w:rPr>
              <w:t>；</w:t>
            </w:r>
          </w:p>
          <w:p>
            <w:pPr>
              <w:autoSpaceDE w:val="0"/>
              <w:autoSpaceDN w:val="0"/>
              <w:snapToGrid w:val="0"/>
              <w:spacing w:before="0" w:after="0" w:line="409" w:lineRule="exact"/>
              <w:ind w:left="103" w:right="55"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）资格审查需要的其他材料：项目管理机构配备情况表、拟投入施工机械设备情况表、企业近年财务状况表、近年发生的诉讼和仲裁情况（如有）等。</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商务标部分：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）投标函；</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）投标函附录；</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）投标报价表；</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）已标价工程量清单。</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技术标部分：</w:t>
            </w:r>
          </w:p>
        </w:tc>
      </w:tr>
    </w:tbl>
    <w:p>
      <w:pPr>
        <w:numPr>
          <w:ilvl w:val="0"/>
          <w:numId w:val="0"/>
        </w:numPr>
        <w:autoSpaceDE w:val="0"/>
        <w:autoSpaceDN w:val="0"/>
        <w:snapToGrid w:val="0"/>
        <w:spacing w:before="392" w:after="0" w:line="240" w:lineRule="auto"/>
        <w:ind w:left="3748" w:leftChars="0" w:right="0" w:rightChars="0"/>
        <w:jc w:val="left"/>
        <w:textAlignment w:val="auto"/>
        <w:rPr>
          <w:rFonts w:hint="default" w:ascii="宋体" w:hAnsi="宋体" w:eastAsia="宋体" w:cs="宋体"/>
          <w:b/>
          <w:color w:val="auto"/>
          <w:sz w:val="21"/>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b/>
          <w:color w:val="auto"/>
          <w:sz w:val="21"/>
        </w:rPr>
        <w:drawing>
          <wp:anchor distT="0" distB="0" distL="0" distR="0" simplePos="0" relativeHeight="251659264" behindDoc="1" locked="0" layoutInCell="1" allowOverlap="1">
            <wp:simplePos x="0" y="0"/>
            <wp:positionH relativeFrom="page">
              <wp:posOffset>617220</wp:posOffset>
            </wp:positionH>
            <wp:positionV relativeFrom="page">
              <wp:posOffset>723265</wp:posOffset>
            </wp:positionV>
            <wp:extent cx="766445" cy="366395"/>
            <wp:effectExtent l="0" t="0" r="14605" b="14605"/>
            <wp:wrapNone/>
            <wp:docPr id="1036" name="1036"/>
            <wp:cNvGraphicFramePr/>
            <a:graphic xmlns:a="http://schemas.openxmlformats.org/drawingml/2006/main">
              <a:graphicData uri="http://schemas.openxmlformats.org/drawingml/2006/picture">
                <pic:pic xmlns:pic="http://schemas.openxmlformats.org/drawingml/2006/picture">
                  <pic:nvPicPr>
                    <pic:cNvPr id="1036" name="1036"/>
                    <pic:cNvPicPr/>
                  </pic:nvPicPr>
                  <pic:blipFill>
                    <a:blip r:embed="rId7">
                      <a:clrChange>
                        <a:clrFrom>
                          <a:srgbClr val="FFFFFF"/>
                        </a:clrFrom>
                        <a:clrTo>
                          <a:srgbClr val="FFFFFF">
                            <a:alpha val="0"/>
                          </a:srgbClr>
                        </a:clrTo>
                      </a:clrChange>
                    </a:blip>
                    <a:stretch>
                      <a:fillRect/>
                    </a:stretch>
                  </pic:blipFill>
                  <pic:spPr>
                    <a:xfrm>
                      <a:off x="0" y="0"/>
                      <a:ext cx="766445" cy="366395"/>
                    </a:xfrm>
                    <a:prstGeom prst="rect">
                      <a:avLst/>
                    </a:prstGeom>
                    <a:ln>
                      <a:noFill/>
                    </a:ln>
                  </pic:spPr>
                </pic:pic>
              </a:graphicData>
            </a:graphic>
          </wp:anchor>
        </w:drawing>
      </w:r>
      <w:r>
        <w:rPr>
          <w:rFonts w:hint="default" w:ascii="宋体" w:hAnsi="宋体" w:eastAsia="宋体" w:cs="宋体"/>
          <w:b/>
          <w:color w:val="auto"/>
          <w:sz w:val="21"/>
        </w:rPr>
        <w:drawing>
          <wp:anchor distT="0" distB="0" distL="0" distR="0" simplePos="0" relativeHeight="251659264" behindDoc="1" locked="0" layoutInCell="1" allowOverlap="1">
            <wp:simplePos x="0" y="0"/>
            <wp:positionH relativeFrom="page">
              <wp:posOffset>1383665</wp:posOffset>
            </wp:positionH>
            <wp:positionV relativeFrom="page">
              <wp:posOffset>723265</wp:posOffset>
            </wp:positionV>
            <wp:extent cx="1648460" cy="366395"/>
            <wp:effectExtent l="0" t="0" r="8890" b="14605"/>
            <wp:wrapNone/>
            <wp:docPr id="1037" name="1037"/>
            <wp:cNvGraphicFramePr/>
            <a:graphic xmlns:a="http://schemas.openxmlformats.org/drawingml/2006/main">
              <a:graphicData uri="http://schemas.openxmlformats.org/drawingml/2006/picture">
                <pic:pic xmlns:pic="http://schemas.openxmlformats.org/drawingml/2006/picture">
                  <pic:nvPicPr>
                    <pic:cNvPr id="1037" name="1037"/>
                    <pic:cNvPicPr/>
                  </pic:nvPicPr>
                  <pic:blipFill>
                    <a:blip r:embed="rId8">
                      <a:clrChange>
                        <a:clrFrom>
                          <a:srgbClr val="FFFFFF"/>
                        </a:clrFrom>
                        <a:clrTo>
                          <a:srgbClr val="FFFFFF">
                            <a:alpha val="0"/>
                          </a:srgbClr>
                        </a:clrTo>
                      </a:clrChange>
                    </a:blip>
                    <a:stretch>
                      <a:fillRect/>
                    </a:stretch>
                  </pic:blipFill>
                  <pic:spPr>
                    <a:xfrm>
                      <a:off x="0" y="0"/>
                      <a:ext cx="1648460" cy="366395"/>
                    </a:xfrm>
                    <a:prstGeom prst="rect">
                      <a:avLst/>
                    </a:prstGeom>
                    <a:ln>
                      <a:noFill/>
                    </a:ln>
                  </pic:spPr>
                </pic:pic>
              </a:graphicData>
            </a:graphic>
          </wp:anchor>
        </w:drawing>
      </w:r>
      <w:r>
        <w:rPr>
          <w:rFonts w:hint="default" w:ascii="宋体" w:hAnsi="宋体" w:eastAsia="宋体" w:cs="宋体"/>
          <w:b/>
          <w:color w:val="auto"/>
          <w:sz w:val="21"/>
        </w:rPr>
        <w:drawing>
          <wp:anchor distT="0" distB="0" distL="0" distR="0" simplePos="0" relativeHeight="251659264" behindDoc="1" locked="0" layoutInCell="1" allowOverlap="1">
            <wp:simplePos x="0" y="0"/>
            <wp:positionH relativeFrom="page">
              <wp:posOffset>3032125</wp:posOffset>
            </wp:positionH>
            <wp:positionV relativeFrom="page">
              <wp:posOffset>723265</wp:posOffset>
            </wp:positionV>
            <wp:extent cx="4021455" cy="366395"/>
            <wp:effectExtent l="0" t="0" r="17145" b="14605"/>
            <wp:wrapNone/>
            <wp:docPr id="1038" name="1038"/>
            <wp:cNvGraphicFramePr/>
            <a:graphic xmlns:a="http://schemas.openxmlformats.org/drawingml/2006/main">
              <a:graphicData uri="http://schemas.openxmlformats.org/drawingml/2006/picture">
                <pic:pic xmlns:pic="http://schemas.openxmlformats.org/drawingml/2006/picture">
                  <pic:nvPicPr>
                    <pic:cNvPr id="1038" name="1038"/>
                    <pic:cNvPicPr/>
                  </pic:nvPicPr>
                  <pic:blipFill>
                    <a:blip r:embed="rId9">
                      <a:clrChange>
                        <a:clrFrom>
                          <a:srgbClr val="FFFFFF"/>
                        </a:clrFrom>
                        <a:clrTo>
                          <a:srgbClr val="FFFFFF">
                            <a:alpha val="0"/>
                          </a:srgbClr>
                        </a:clrTo>
                      </a:clrChange>
                    </a:blip>
                    <a:stretch>
                      <a:fillRect/>
                    </a:stretch>
                  </pic:blipFill>
                  <pic:spPr>
                    <a:xfrm>
                      <a:off x="0" y="0"/>
                      <a:ext cx="4021455" cy="366395"/>
                    </a:xfrm>
                    <a:prstGeom prst="rect">
                      <a:avLst/>
                    </a:prstGeom>
                    <a:ln>
                      <a:noFill/>
                    </a:ln>
                  </pic:spPr>
                </pic:pic>
              </a:graphicData>
            </a:graphic>
          </wp:anchor>
        </w:drawing>
      </w:r>
      <w:r>
        <w:rPr>
          <w:rFonts w:hint="default" w:ascii="宋体" w:hAnsi="宋体" w:eastAsia="宋体" w:cs="宋体"/>
          <w:b/>
          <w:color w:val="auto"/>
          <w:sz w:val="21"/>
        </w:rPr>
        <w:t xml:space="preserve"> </w:t>
      </w:r>
    </w:p>
    <w:tbl>
      <w:tblPr>
        <w:tblStyle w:val="6"/>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59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）施工组织设计；</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）拟分包计划表；</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）项目管理机构。</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投标文件电子版（如有）：</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具体见“投标人须知前附表”</w:t>
            </w:r>
            <w:r>
              <w:rPr>
                <w:rFonts w:hint="default" w:ascii="Times New Roman" w:hAnsi="Times New Roman" w:eastAsia="Times New Roman" w:cs="Times New Roman"/>
                <w:color w:val="auto"/>
                <w:sz w:val="21"/>
              </w:rPr>
              <w:t>10.</w:t>
            </w:r>
            <w:r>
              <w:rPr>
                <w:rFonts w:hint="default" w:ascii="Times New Roman" w:hAnsi="Times New Roman" w:eastAsia="Times New Roman" w:cs="Times New Roman"/>
                <w:color w:val="auto"/>
                <w:spacing w:val="53"/>
                <w:sz w:val="21"/>
              </w:rPr>
              <w:t>4</w:t>
            </w:r>
            <w:r>
              <w:rPr>
                <w:rFonts w:hint="default" w:ascii="宋体" w:hAnsi="宋体" w:eastAsia="宋体" w:cs="宋体"/>
                <w:color w:val="auto"/>
                <w:sz w:val="21"/>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22" w:hRule="exact"/>
        </w:trPr>
        <w:tc>
          <w:tcPr>
            <w:tcW w:w="1207" w:type="dxa"/>
            <w:vMerge w:val="restart"/>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b w:val="0"/>
                <w:i w:val="0"/>
                <w:strike w:val="0"/>
                <w:color w:val="auto"/>
                <w:sz w:val="21"/>
                <w:szCs w:val="22"/>
              </w:rPr>
            </w:pPr>
            <w:r>
              <w:rPr>
                <w:rFonts w:hint="default" w:ascii="Times New Roman" w:hAnsi="Times New Roman" w:eastAsia="Times New Roman" w:cs="Times New Roman"/>
                <w:b w:val="0"/>
                <w:i w:val="0"/>
                <w:strike w:val="0"/>
                <w:color w:val="auto"/>
                <w:sz w:val="21"/>
                <w:szCs w:val="22"/>
                <w:lang w:val="en-US" w:eastAsia="zh-CN"/>
              </w:rPr>
              <w:t xml:space="preserve">3.1.4 </w:t>
            </w:r>
          </w:p>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center"/>
              <w:textAlignment w:val="auto"/>
              <w:rPr>
                <w:rFonts w:hint="default"/>
                <w:color w:val="auto"/>
              </w:rPr>
            </w:pPr>
            <w:r>
              <w:rPr>
                <w:rFonts w:hint="eastAsia" w:ascii="宋体" w:hAnsi="宋体" w:eastAsia="宋体" w:cs="宋体"/>
                <w:b w:val="0"/>
                <w:i w:val="0"/>
                <w:strike w:val="0"/>
                <w:color w:val="auto"/>
                <w:sz w:val="21"/>
                <w:szCs w:val="22"/>
                <w:lang w:val="en-US" w:eastAsia="zh-CN"/>
              </w:rPr>
              <w:t>近年财务状况的年份要求</w:t>
            </w:r>
          </w:p>
        </w:tc>
        <w:tc>
          <w:tcPr>
            <w:tcW w:w="6333" w:type="dxa"/>
            <w:vAlign w:val="top"/>
          </w:tcPr>
          <w:p>
            <w:pPr>
              <w:keepNext w:val="0"/>
              <w:keepLines w:val="0"/>
              <w:pageBreakBefore w:val="0"/>
              <w:widowControl w:val="0"/>
              <w:shd w:val="clear" w:fill="FFFFFF" w:themeFill="background1"/>
              <w:kinsoku/>
              <w:wordWrap/>
              <w:overflowPunct/>
              <w:topLinePunct w:val="0"/>
              <w:autoSpaceDE w:val="0"/>
              <w:autoSpaceDN w:val="0"/>
              <w:bidi w:val="0"/>
              <w:adjustRightInd/>
              <w:snapToGrid w:val="0"/>
              <w:spacing w:after="0" w:line="400" w:lineRule="exact"/>
              <w:ind w:left="103" w:right="0" w:firstLine="0"/>
              <w:jc w:val="left"/>
              <w:textAlignment w:val="auto"/>
              <w:rPr>
                <w:rFonts w:hint="eastAsia"/>
                <w:color w:val="auto"/>
                <w:lang w:eastAsia="zh-CN"/>
              </w:rPr>
            </w:pPr>
            <w:r>
              <w:rPr>
                <w:rFonts w:hint="eastAsia" w:ascii="宋体" w:hAnsi="宋体" w:eastAsia="宋体" w:cs="宋体"/>
                <w:b w:val="0"/>
                <w:i w:val="0"/>
                <w:strike w:val="0"/>
                <w:color w:val="auto"/>
                <w:sz w:val="21"/>
                <w:szCs w:val="22"/>
                <w:u w:val="single"/>
                <w:lang w:val="en-US" w:eastAsia="zh-CN"/>
              </w:rPr>
              <w:t>三 年</w:t>
            </w:r>
            <w:r>
              <w:rPr>
                <w:rFonts w:hint="eastAsia" w:ascii="宋体" w:hAnsi="宋体" w:eastAsia="宋体" w:cs="宋体"/>
                <w:b w:val="0"/>
                <w:i w:val="0"/>
                <w:strike w:val="0"/>
                <w:color w:val="auto"/>
                <w:sz w:val="21"/>
                <w:szCs w:val="22"/>
                <w:lang w:val="en-US" w:eastAsia="zh-CN"/>
              </w:rPr>
              <w:t xml:space="preserve">，指 </w:t>
            </w:r>
            <w:r>
              <w:rPr>
                <w:rFonts w:hint="eastAsia" w:ascii="宋体" w:hAnsi="宋体" w:eastAsia="宋体" w:cs="宋体"/>
                <w:b w:val="0"/>
                <w:i w:val="0"/>
                <w:strike w:val="0"/>
                <w:color w:val="auto"/>
                <w:sz w:val="21"/>
                <w:szCs w:val="22"/>
                <w:u w:val="single"/>
                <w:lang w:val="en-US" w:eastAsia="zh-CN"/>
              </w:rPr>
              <w:t xml:space="preserve">2018 </w:t>
            </w:r>
            <w:r>
              <w:rPr>
                <w:rFonts w:hint="eastAsia" w:ascii="宋体" w:hAnsi="宋体" w:eastAsia="宋体" w:cs="宋体"/>
                <w:b w:val="0"/>
                <w:i w:val="0"/>
                <w:strike w:val="0"/>
                <w:color w:val="auto"/>
                <w:sz w:val="21"/>
                <w:szCs w:val="22"/>
                <w:lang w:val="en-US" w:eastAsia="zh-CN"/>
              </w:rPr>
              <w:t xml:space="preserve">年度、 </w:t>
            </w:r>
            <w:r>
              <w:rPr>
                <w:rFonts w:hint="default" w:ascii="宋体" w:hAnsi="宋体" w:eastAsia="宋体" w:cs="宋体"/>
                <w:b w:val="0"/>
                <w:i w:val="0"/>
                <w:strike w:val="0"/>
                <w:color w:val="auto"/>
                <w:sz w:val="21"/>
                <w:szCs w:val="22"/>
                <w:u w:val="single"/>
                <w:lang w:val="en-US" w:eastAsia="zh-CN"/>
              </w:rPr>
              <w:t>20</w:t>
            </w:r>
            <w:r>
              <w:rPr>
                <w:rFonts w:hint="eastAsia" w:ascii="宋体" w:hAnsi="宋体" w:eastAsia="宋体" w:cs="宋体"/>
                <w:b w:val="0"/>
                <w:i w:val="0"/>
                <w:strike w:val="0"/>
                <w:color w:val="auto"/>
                <w:sz w:val="21"/>
                <w:szCs w:val="22"/>
                <w:u w:val="single"/>
                <w:lang w:val="en-US" w:eastAsia="zh-CN"/>
              </w:rPr>
              <w:t>19</w:t>
            </w:r>
            <w:r>
              <w:rPr>
                <w:rFonts w:hint="default" w:ascii="宋体" w:hAnsi="宋体" w:eastAsia="宋体" w:cs="宋体"/>
                <w:b w:val="0"/>
                <w:i w:val="0"/>
                <w:strike w:val="0"/>
                <w:color w:val="auto"/>
                <w:sz w:val="21"/>
                <w:szCs w:val="22"/>
                <w:u w:val="single"/>
                <w:lang w:val="en-US" w:eastAsia="zh-CN"/>
              </w:rPr>
              <w:t xml:space="preserve"> </w:t>
            </w:r>
            <w:r>
              <w:rPr>
                <w:rFonts w:hint="eastAsia" w:ascii="宋体" w:hAnsi="宋体" w:eastAsia="宋体" w:cs="宋体"/>
                <w:b w:val="0"/>
                <w:i w:val="0"/>
                <w:strike w:val="0"/>
                <w:color w:val="auto"/>
                <w:sz w:val="21"/>
                <w:szCs w:val="22"/>
                <w:lang w:val="en-US" w:eastAsia="zh-CN"/>
              </w:rPr>
              <w:t xml:space="preserve">年度和 </w:t>
            </w:r>
            <w:r>
              <w:rPr>
                <w:rFonts w:hint="default" w:ascii="宋体" w:hAnsi="宋体" w:eastAsia="宋体" w:cs="宋体"/>
                <w:b w:val="0"/>
                <w:i w:val="0"/>
                <w:strike w:val="0"/>
                <w:color w:val="auto"/>
                <w:sz w:val="21"/>
                <w:szCs w:val="22"/>
                <w:u w:val="single"/>
                <w:lang w:val="en-US" w:eastAsia="zh-CN"/>
              </w:rPr>
              <w:t>20</w:t>
            </w:r>
            <w:r>
              <w:rPr>
                <w:rFonts w:hint="eastAsia" w:ascii="宋体" w:hAnsi="宋体" w:eastAsia="宋体" w:cs="宋体"/>
                <w:b w:val="0"/>
                <w:i w:val="0"/>
                <w:strike w:val="0"/>
                <w:color w:val="auto"/>
                <w:sz w:val="21"/>
                <w:szCs w:val="22"/>
                <w:u w:val="single"/>
                <w:lang w:val="en-US" w:eastAsia="zh-CN"/>
              </w:rPr>
              <w:t>20</w:t>
            </w:r>
            <w:r>
              <w:rPr>
                <w:rFonts w:hint="default" w:ascii="宋体" w:hAnsi="宋体" w:eastAsia="宋体" w:cs="宋体"/>
                <w:b w:val="0"/>
                <w:i w:val="0"/>
                <w:strike w:val="0"/>
                <w:color w:val="auto"/>
                <w:sz w:val="21"/>
                <w:szCs w:val="22"/>
                <w:u w:val="single"/>
                <w:lang w:val="en-US" w:eastAsia="zh-CN"/>
              </w:rPr>
              <w:t xml:space="preserve"> </w:t>
            </w:r>
            <w:r>
              <w:rPr>
                <w:rFonts w:hint="eastAsia" w:ascii="宋体" w:hAnsi="宋体" w:eastAsia="宋体" w:cs="宋体"/>
                <w:b w:val="0"/>
                <w:i w:val="0"/>
                <w:strike w:val="0"/>
                <w:color w:val="auto"/>
                <w:sz w:val="21"/>
                <w:szCs w:val="22"/>
                <w:lang w:val="en-US" w:eastAsia="zh-CN"/>
              </w:rPr>
              <w:t xml:space="preserve">年度 （对于从取得营业执照时间起到投标截止时间为止不足要求年数的 企业，只需提交企业取得营业执照年份至所要求最近年份经审计的 财务报表）。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近年完成的类似项目的年</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份要求</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20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none" w:color="auto"/>
              </w:rPr>
              <w:t xml:space="preserve">三 </w:t>
            </w:r>
            <w:r>
              <w:rPr>
                <w:rFonts w:hint="default" w:ascii="宋体" w:hAnsi="宋体" w:eastAsia="宋体" w:cs="宋体"/>
                <w:color w:val="auto"/>
                <w:sz w:val="21"/>
              </w:rPr>
              <w:t>年，指项目竣工时间至投标截止时间止不超过</w:t>
            </w:r>
            <w:r>
              <w:rPr>
                <w:rFonts w:hint="default" w:ascii="宋体" w:hAnsi="宋体" w:eastAsia="宋体" w:cs="宋体"/>
                <w:color w:val="auto"/>
                <w:sz w:val="21"/>
                <w:u w:val="none" w:color="auto"/>
              </w:rPr>
              <w:t xml:space="preserve"> 三 </w:t>
            </w:r>
            <w:r>
              <w:rPr>
                <w:rFonts w:hint="default" w:ascii="宋体" w:hAnsi="宋体" w:eastAsia="宋体" w:cs="宋体"/>
                <w:color w:val="auto"/>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近年发生的诉讼及仲裁情</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况的年份要求</w:t>
            </w:r>
          </w:p>
        </w:tc>
        <w:tc>
          <w:tcPr>
            <w:tcW w:w="6333" w:type="dxa"/>
            <w:vAlign w:val="center"/>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20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none" w:color="auto"/>
              </w:rPr>
              <w:t xml:space="preserve">三 </w:t>
            </w:r>
            <w:r>
              <w:rPr>
                <w:rFonts w:hint="default" w:ascii="宋体" w:hAnsi="宋体" w:eastAsia="宋体" w:cs="宋体"/>
                <w:color w:val="auto"/>
                <w:sz w:val="21"/>
              </w:rPr>
              <w:t>年，指诉讼及仲裁判决时间至投标截止时间止不超过</w:t>
            </w:r>
            <w:r>
              <w:rPr>
                <w:rFonts w:hint="default" w:ascii="宋体" w:hAnsi="宋体" w:eastAsia="宋体" w:cs="宋体"/>
                <w:color w:val="auto"/>
                <w:sz w:val="21"/>
                <w:u w:val="none" w:color="auto"/>
              </w:rPr>
              <w:t xml:space="preserve"> 三 </w:t>
            </w:r>
            <w:r>
              <w:rPr>
                <w:rFonts w:hint="default" w:ascii="宋体" w:hAnsi="宋体" w:eastAsia="宋体" w:cs="宋体"/>
                <w:color w:val="auto"/>
                <w:sz w:val="21"/>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0"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3.3.1</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投标有效期</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sz w:val="21"/>
              </w:rPr>
            </w:pPr>
            <w:r>
              <w:rPr>
                <w:color w:val="auto"/>
                <w:sz w:val="21"/>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11430</wp:posOffset>
                      </wp:positionV>
                      <wp:extent cx="3989705" cy="328295"/>
                      <wp:effectExtent l="4445" t="4445" r="6350" b="10160"/>
                      <wp:wrapNone/>
                      <wp:docPr id="2" name="文本框 125"/>
                      <wp:cNvGraphicFramePr/>
                      <a:graphic xmlns:a="http://schemas.openxmlformats.org/drawingml/2006/main">
                        <a:graphicData uri="http://schemas.microsoft.com/office/word/2010/wordprocessingShape">
                          <wps:wsp>
                            <wps:cNvSpPr txBox="1"/>
                            <wps:spPr>
                              <a:xfrm>
                                <a:off x="0" y="0"/>
                                <a:ext cx="3989705" cy="3282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w:t>
                                  </w:r>
                                  <w:r>
                                    <w:rPr>
                                      <w:rFonts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45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60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90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天 </w:t>
                                  </w:r>
                                </w:p>
                              </w:txbxContent>
                            </wps:txbx>
                            <wps:bodyPr upright="1"/>
                          </wps:wsp>
                        </a:graphicData>
                      </a:graphic>
                    </wp:anchor>
                  </w:drawing>
                </mc:Choice>
                <mc:Fallback>
                  <w:pict>
                    <v:shape id="文本框 125" o:spid="_x0000_s1026" o:spt="202" type="#_x0000_t202" style="position:absolute;left:0pt;margin-left:0.3pt;margin-top:0.9pt;height:25.85pt;width:314.15pt;z-index:251660288;mso-width-relative:page;mso-height-relative:page;" fillcolor="#FFFFFF" filled="t" stroked="t" coordsize="21600,21600" o:gfxdata="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ItdIPzUAAAABQEAAA8AAAAAAAAAAQAgAAAA&#10;IgAAAGRycy9kb3ducmV2LnhtbFBLAQIUABQAAAAIAIdO4kC7XiR1DwIAADgEAAAOAAAAAAAAAAEA&#10;IAAAACMBAABkcnMvZTJvRG9jLnhtbFBLBQYAAAAABgAGAFkBAACkBQAAAAA=&#10;">
                      <v:fill on="t" focussize="0,0"/>
                      <v:stroke color="#000000" joinstyle="miter"/>
                      <v:imagedata o:title=""/>
                      <o:lock v:ext="edit" aspectratio="f"/>
                      <v:textbo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w:t>
                            </w:r>
                            <w:r>
                              <w:rPr>
                                <w:rFonts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45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60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天 ☑</w:t>
                            </w:r>
                            <w:r>
                              <w:rPr>
                                <w:rFonts w:hint="default" w:ascii="TimesNewRomanPSMT" w:hAnsi="TimesNewRomanPSMT" w:eastAsia="TimesNewRomanPSMT" w:cs="TimesNewRomanPSMT"/>
                                <w:b w:val="0"/>
                                <w:i w:val="0"/>
                                <w:strike w:val="0"/>
                                <w:color w:val="000000"/>
                                <w:spacing w:val="0"/>
                                <w:w w:val="100"/>
                                <w:kern w:val="0"/>
                                <w:position w:val="0"/>
                                <w:sz w:val="21"/>
                                <w:szCs w:val="21"/>
                                <w:highlight w:val="none"/>
                                <w:u w:val="none"/>
                                <w:vertAlign w:val="baseline"/>
                                <w:lang w:val="en-US" w:eastAsia="zh-CN" w:bidi="ar"/>
                              </w:rPr>
                              <w:t xml:space="preserve">90 </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天 </w:t>
                            </w:r>
                          </w:p>
                        </w:txbxContent>
                      </v:textbox>
                    </v:shape>
                  </w:pict>
                </mc:Fallback>
              </mc:AlternateContent>
            </w: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天</w:t>
            </w:r>
            <w:r>
              <w:rPr>
                <w:rFonts w:hint="default" w:ascii="宋体" w:hAnsi="宋体" w:eastAsia="宋体" w:cs="宋体"/>
                <w:color w:val="auto"/>
                <w:spacing w:val="158"/>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r>
              <w:rPr>
                <w:rFonts w:hint="default" w:ascii="宋体" w:hAnsi="宋体" w:eastAsia="宋体" w:cs="宋体"/>
                <w:color w:val="auto"/>
                <w:spacing w:val="158"/>
                <w:sz w:val="21"/>
              </w:rPr>
              <w:t xml:space="preserve"> </w: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w:t>
            </w:r>
            <w:r>
              <w:rPr>
                <w:rFonts w:hint="default" w:ascii="Times New Roman" w:hAnsi="Times New Roman" w:eastAsia="Times New Roman" w:cs="Times New Roman"/>
                <w:color w:val="auto"/>
                <w:sz w:val="21"/>
              </w:rPr>
              <w:t>9</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64" w:hRule="exact"/>
        </w:trPr>
        <w:tc>
          <w:tcPr>
            <w:tcW w:w="1207" w:type="dxa"/>
            <w:vAlign w:val="top"/>
          </w:tcPr>
          <w:p>
            <w:pPr>
              <w:autoSpaceDE w:val="0"/>
              <w:autoSpaceDN w:val="0"/>
              <w:snapToGrid w:val="0"/>
              <w:spacing w:before="3700"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3.4.1</w:t>
            </w:r>
          </w:p>
        </w:tc>
        <w:tc>
          <w:tcPr>
            <w:tcW w:w="2596" w:type="dxa"/>
            <w:vAlign w:val="top"/>
          </w:tcPr>
          <w:p>
            <w:pPr>
              <w:autoSpaceDE w:val="0"/>
              <w:autoSpaceDN w:val="0"/>
              <w:snapToGrid w:val="0"/>
              <w:spacing w:before="368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投标保证金</w:t>
            </w:r>
          </w:p>
        </w:tc>
        <w:tc>
          <w:tcPr>
            <w:tcW w:w="6333" w:type="dxa"/>
            <w:vAlign w:val="top"/>
          </w:tcPr>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420" w:firstLineChars="200"/>
              <w:jc w:val="left"/>
              <w:textAlignment w:val="auto"/>
              <w:rPr>
                <w:rFonts w:hint="default" w:ascii="宋体" w:hAnsi="宋体" w:eastAsia="宋体" w:cs="宋体"/>
                <w:color w:val="auto"/>
                <w:sz w:val="21"/>
                <w:lang w:val="en-US" w:eastAsia="zh-CN"/>
              </w:rPr>
            </w:pPr>
            <w:r>
              <w:rPr>
                <w:rFonts w:hint="eastAsia" w:ascii="宋体" w:hAnsi="宋体" w:eastAsia="宋体" w:cs="宋体"/>
                <w:color w:val="auto"/>
                <w:sz w:val="21"/>
                <w:lang w:eastAsia="zh-CN"/>
              </w:rPr>
              <w:t>投标保证金金额：壹万伍仟元整（15000.00元）</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投标保证金的提交方式：</w:t>
            </w:r>
            <w:r>
              <w:rPr>
                <w:rFonts w:hint="eastAsia" w:ascii="宋体" w:hAnsi="宋体" w:eastAsia="宋体" w:cs="宋体"/>
                <w:color w:val="auto"/>
                <w:sz w:val="21"/>
                <w:lang w:eastAsia="zh-CN"/>
              </w:rPr>
              <w:t>投标人</w:t>
            </w:r>
            <w:r>
              <w:rPr>
                <w:rFonts w:hint="default" w:ascii="宋体" w:hAnsi="宋体" w:eastAsia="宋体" w:cs="宋体"/>
                <w:color w:val="auto"/>
                <w:sz w:val="21"/>
              </w:rPr>
              <w:t>应将</w:t>
            </w:r>
            <w:r>
              <w:rPr>
                <w:rFonts w:hint="eastAsia" w:ascii="宋体" w:hAnsi="宋体" w:eastAsia="宋体" w:cs="宋体"/>
                <w:color w:val="auto"/>
                <w:sz w:val="21"/>
                <w:lang w:eastAsia="zh-CN"/>
              </w:rPr>
              <w:t>投标保证金</w:t>
            </w:r>
            <w:r>
              <w:rPr>
                <w:rFonts w:hint="default" w:ascii="宋体" w:hAnsi="宋体" w:eastAsia="宋体" w:cs="宋体"/>
                <w:color w:val="auto"/>
                <w:sz w:val="21"/>
              </w:rPr>
              <w:t>以支票、汇票、本票、转账、电汇或者金融机构出具的保函等非现金形式提交至以下账户，并于</w:t>
            </w:r>
            <w:r>
              <w:rPr>
                <w:rFonts w:hint="eastAsia" w:ascii="宋体" w:hAnsi="宋体" w:eastAsia="宋体" w:cs="宋体"/>
                <w:color w:val="auto"/>
                <w:sz w:val="21"/>
                <w:lang w:eastAsia="zh-CN"/>
              </w:rPr>
              <w:t>投标文件</w:t>
            </w:r>
            <w:r>
              <w:rPr>
                <w:rFonts w:hint="default" w:ascii="宋体" w:hAnsi="宋体" w:eastAsia="宋体" w:cs="宋体"/>
                <w:color w:val="auto"/>
                <w:sz w:val="21"/>
              </w:rPr>
              <w:t>提交截止时间前到账，到账时间以银行确认的到账时间为准（注：若以支票、汇票、本票方式提交的，交款人必须是</w:t>
            </w:r>
            <w:r>
              <w:rPr>
                <w:rFonts w:hint="eastAsia" w:ascii="宋体" w:hAnsi="宋体" w:eastAsia="宋体" w:cs="宋体"/>
                <w:color w:val="auto"/>
                <w:sz w:val="21"/>
                <w:lang w:eastAsia="zh-CN"/>
              </w:rPr>
              <w:t>投标人</w:t>
            </w:r>
            <w:r>
              <w:rPr>
                <w:rFonts w:hint="default" w:ascii="宋体" w:hAnsi="宋体" w:eastAsia="宋体" w:cs="宋体"/>
                <w:color w:val="auto"/>
                <w:sz w:val="21"/>
              </w:rPr>
              <w:t>；若以转账、电汇方式提交的，必须从</w:t>
            </w:r>
            <w:r>
              <w:rPr>
                <w:rFonts w:hint="eastAsia" w:ascii="宋体" w:hAnsi="宋体" w:eastAsia="宋体" w:cs="宋体"/>
                <w:color w:val="auto"/>
                <w:sz w:val="21"/>
                <w:lang w:eastAsia="zh-CN"/>
              </w:rPr>
              <w:t>投标人</w:t>
            </w:r>
            <w:r>
              <w:rPr>
                <w:rFonts w:hint="default" w:ascii="宋体" w:hAnsi="宋体" w:eastAsia="宋体" w:cs="宋体"/>
                <w:color w:val="auto"/>
                <w:sz w:val="21"/>
              </w:rPr>
              <w:t>银行账户转出；若以现金方式交纳或者没有足额交纳的视为无效竞标。办理</w:t>
            </w:r>
            <w:r>
              <w:rPr>
                <w:rFonts w:hint="eastAsia" w:ascii="宋体" w:hAnsi="宋体" w:eastAsia="宋体" w:cs="宋体"/>
                <w:color w:val="auto"/>
                <w:sz w:val="21"/>
                <w:lang w:eastAsia="zh-CN"/>
              </w:rPr>
              <w:t>投标保证金</w:t>
            </w:r>
            <w:r>
              <w:rPr>
                <w:rFonts w:hint="default" w:ascii="宋体" w:hAnsi="宋体" w:eastAsia="宋体" w:cs="宋体"/>
                <w:color w:val="auto"/>
                <w:sz w:val="21"/>
              </w:rPr>
              <w:t>手续时，需在交纳凭据上注明项目名称</w:t>
            </w:r>
            <w:r>
              <w:rPr>
                <w:rFonts w:hint="eastAsia" w:ascii="宋体" w:hAnsi="宋体" w:eastAsia="宋体" w:cs="宋体"/>
                <w:color w:val="auto"/>
                <w:sz w:val="21"/>
                <w:lang w:val="en-US" w:eastAsia="zh-CN"/>
              </w:rPr>
              <w:t>+标段</w:t>
            </w:r>
            <w:r>
              <w:rPr>
                <w:rFonts w:hint="default" w:ascii="宋体" w:hAnsi="宋体" w:eastAsia="宋体" w:cs="宋体"/>
                <w:color w:val="auto"/>
                <w:sz w:val="21"/>
              </w:rPr>
              <w:t>或项目编号</w:t>
            </w:r>
            <w:r>
              <w:rPr>
                <w:rFonts w:hint="eastAsia" w:ascii="宋体" w:hAnsi="宋体" w:eastAsia="宋体" w:cs="宋体"/>
                <w:color w:val="auto"/>
                <w:sz w:val="21"/>
                <w:lang w:val="en-US" w:eastAsia="zh-CN"/>
              </w:rPr>
              <w:t>+标段</w:t>
            </w:r>
            <w:r>
              <w:rPr>
                <w:rFonts w:hint="default" w:ascii="宋体" w:hAnsi="宋体" w:eastAsia="宋体" w:cs="宋体"/>
                <w:color w:val="auto"/>
                <w:sz w:val="21"/>
              </w:rPr>
              <w:t>，否者视为无效）。</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开户名：贺州市公共资源交易中心     </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账号：</w:t>
            </w:r>
            <w:r>
              <w:rPr>
                <w:rFonts w:hint="eastAsia" w:ascii="宋体" w:hAnsi="宋体" w:eastAsia="宋体" w:cs="宋体"/>
                <w:color w:val="auto"/>
                <w:sz w:val="21"/>
                <w:lang w:eastAsia="zh-CN"/>
              </w:rPr>
              <w:t xml:space="preserve">945009010008838888 </w:t>
            </w:r>
            <w:r>
              <w:rPr>
                <w:rFonts w:hint="default" w:ascii="宋体" w:hAnsi="宋体" w:eastAsia="宋体" w:cs="宋体"/>
                <w:color w:val="auto"/>
                <w:sz w:val="21"/>
              </w:rPr>
              <w:t xml:space="preserve">   </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开户行：</w:t>
            </w:r>
            <w:r>
              <w:rPr>
                <w:rFonts w:hint="eastAsia" w:ascii="宋体" w:hAnsi="宋体" w:eastAsia="宋体" w:cs="宋体"/>
                <w:color w:val="auto"/>
                <w:sz w:val="21"/>
                <w:lang w:eastAsia="zh-CN"/>
              </w:rPr>
              <w:t>邮政储蓄银行贺州市分行营业部</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注：</w:t>
            </w:r>
            <w:r>
              <w:rPr>
                <w:rFonts w:hint="eastAsia" w:ascii="宋体" w:hAnsi="宋体" w:eastAsia="宋体" w:cs="宋体"/>
                <w:color w:val="auto"/>
                <w:sz w:val="21"/>
                <w:szCs w:val="22"/>
                <w:lang w:eastAsia="zh-CN"/>
              </w:rPr>
              <w:t>对</w:t>
            </w:r>
            <w:r>
              <w:rPr>
                <w:rFonts w:hint="eastAsia" w:ascii="宋体" w:hAnsi="宋体" w:eastAsia="宋体" w:cs="宋体"/>
                <w:color w:val="auto"/>
                <w:sz w:val="21"/>
                <w:szCs w:val="22"/>
              </w:rPr>
              <w:t>风险较低</w:t>
            </w:r>
            <w:r>
              <w:rPr>
                <w:rFonts w:hint="eastAsia" w:ascii="宋体" w:hAnsi="宋体" w:eastAsia="宋体" w:cs="宋体"/>
                <w:color w:val="auto"/>
                <w:sz w:val="21"/>
                <w:szCs w:val="22"/>
                <w:lang w:eastAsia="zh-CN"/>
              </w:rPr>
              <w:t>、规模较小</w:t>
            </w:r>
            <w:r>
              <w:rPr>
                <w:rFonts w:hint="eastAsia" w:ascii="宋体" w:hAnsi="宋体" w:eastAsia="宋体" w:cs="宋体"/>
                <w:color w:val="auto"/>
                <w:sz w:val="21"/>
                <w:szCs w:val="22"/>
              </w:rPr>
              <w:t>的采购项目</w:t>
            </w:r>
            <w:r>
              <w:rPr>
                <w:rFonts w:hint="eastAsia" w:ascii="宋体" w:hAnsi="宋体" w:eastAsia="宋体" w:cs="宋体"/>
                <w:color w:val="auto"/>
                <w:sz w:val="21"/>
                <w:szCs w:val="22"/>
                <w:lang w:eastAsia="zh-CN"/>
              </w:rPr>
              <w:t>，受疫情影响的中小微企业（</w:t>
            </w:r>
            <w:r>
              <w:rPr>
                <w:rFonts w:hint="eastAsia" w:ascii="宋体" w:hAnsi="宋体" w:eastAsia="宋体" w:cs="宋体"/>
                <w:color w:val="auto"/>
                <w:sz w:val="21"/>
                <w:szCs w:val="22"/>
              </w:rPr>
              <w:t>在提供真实可信证明材料的前提下</w:t>
            </w:r>
            <w:r>
              <w:rPr>
                <w:rFonts w:hint="eastAsia" w:ascii="宋体" w:hAnsi="宋体" w:eastAsia="宋体" w:cs="宋体"/>
                <w:color w:val="auto"/>
                <w:sz w:val="21"/>
                <w:szCs w:val="22"/>
                <w:lang w:eastAsia="zh-CN"/>
              </w:rPr>
              <w:t>）</w:t>
            </w:r>
            <w:r>
              <w:rPr>
                <w:rFonts w:hint="eastAsia" w:ascii="宋体" w:hAnsi="宋体" w:eastAsia="宋体" w:cs="宋体"/>
                <w:color w:val="auto"/>
                <w:sz w:val="21"/>
                <w:szCs w:val="22"/>
              </w:rPr>
              <w:t>，</w:t>
            </w:r>
            <w:r>
              <w:rPr>
                <w:rFonts w:hint="eastAsia" w:ascii="宋体" w:hAnsi="宋体" w:eastAsia="宋体" w:cs="宋体"/>
                <w:color w:val="auto"/>
                <w:sz w:val="21"/>
                <w:szCs w:val="22"/>
                <w:lang w:eastAsia="zh-CN"/>
              </w:rPr>
              <w:t>停止收取投标</w:t>
            </w:r>
            <w:r>
              <w:rPr>
                <w:rFonts w:hint="eastAsia" w:ascii="宋体" w:hAnsi="宋体" w:eastAsia="宋体" w:cs="宋体"/>
                <w:color w:val="auto"/>
                <w:sz w:val="21"/>
                <w:szCs w:val="22"/>
              </w:rPr>
              <w:t>保证金</w:t>
            </w:r>
            <w:r>
              <w:rPr>
                <w:rFonts w:hint="eastAsia" w:ascii="宋体" w:hAnsi="宋体" w:eastAsia="宋体" w:cs="宋体"/>
                <w:color w:val="auto"/>
                <w:sz w:val="21"/>
                <w:szCs w:val="22"/>
                <w:lang w:eastAsia="zh-CN"/>
              </w:rPr>
              <w:t>和履约保证金。</w:t>
            </w:r>
          </w:p>
        </w:tc>
      </w:tr>
    </w:tbl>
    <w:p>
      <w:pPr>
        <w:numPr>
          <w:ilvl w:val="0"/>
          <w:numId w:val="0"/>
        </w:numPr>
        <w:autoSpaceDE w:val="0"/>
        <w:autoSpaceDN w:val="0"/>
        <w:snapToGrid w:val="0"/>
        <w:spacing w:before="362" w:after="0" w:line="240" w:lineRule="auto"/>
        <w:ind w:left="3748" w:leftChars="0" w:right="0" w:rightChars="0"/>
        <w:jc w:val="left"/>
        <w:textAlignment w:val="auto"/>
        <w:rPr>
          <w:rFonts w:hint="default" w:ascii="Times New Roman" w:hAnsi="Times New Roman" w:eastAsia="Times New Roman" w:cs="Times New Roman"/>
          <w:color w:val="auto"/>
          <w:sz w:val="21"/>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Times New Roman" w:hAnsi="Times New Roman" w:eastAsia="Times New Roman" w:cs="Times New Roman"/>
          <w:color w:val="auto"/>
          <w:sz w:val="21"/>
        </w:rPr>
        <w:drawing>
          <wp:anchor distT="0" distB="0" distL="0" distR="0" simplePos="0" relativeHeight="251659264" behindDoc="1" locked="0" layoutInCell="1" allowOverlap="1">
            <wp:simplePos x="0" y="0"/>
            <wp:positionH relativeFrom="page">
              <wp:posOffset>617220</wp:posOffset>
            </wp:positionH>
            <wp:positionV relativeFrom="page">
              <wp:posOffset>723265</wp:posOffset>
            </wp:positionV>
            <wp:extent cx="766445" cy="366395"/>
            <wp:effectExtent l="0" t="0" r="14605" b="14605"/>
            <wp:wrapNone/>
            <wp:docPr id="1039" name="1039"/>
            <wp:cNvGraphicFramePr/>
            <a:graphic xmlns:a="http://schemas.openxmlformats.org/drawingml/2006/main">
              <a:graphicData uri="http://schemas.openxmlformats.org/drawingml/2006/picture">
                <pic:pic xmlns:pic="http://schemas.openxmlformats.org/drawingml/2006/picture">
                  <pic:nvPicPr>
                    <pic:cNvPr id="1039" name="1039"/>
                    <pic:cNvPicPr/>
                  </pic:nvPicPr>
                  <pic:blipFill>
                    <a:blip r:embed="rId7">
                      <a:clrChange>
                        <a:clrFrom>
                          <a:srgbClr val="FFFFFF"/>
                        </a:clrFrom>
                        <a:clrTo>
                          <a:srgbClr val="FFFFFF">
                            <a:alpha val="0"/>
                          </a:srgbClr>
                        </a:clrTo>
                      </a:clrChange>
                    </a:blip>
                    <a:stretch>
                      <a:fillRect/>
                    </a:stretch>
                  </pic:blipFill>
                  <pic:spPr>
                    <a:xfrm>
                      <a:off x="0" y="0"/>
                      <a:ext cx="766445" cy="366395"/>
                    </a:xfrm>
                    <a:prstGeom prst="rect">
                      <a:avLst/>
                    </a:prstGeom>
                    <a:ln>
                      <a:noFill/>
                    </a:ln>
                  </pic:spPr>
                </pic:pic>
              </a:graphicData>
            </a:graphic>
          </wp:anchor>
        </w:drawing>
      </w:r>
      <w:r>
        <w:rPr>
          <w:rFonts w:hint="default" w:ascii="Times New Roman" w:hAnsi="Times New Roman" w:eastAsia="Times New Roman" w:cs="Times New Roman"/>
          <w:color w:val="auto"/>
          <w:sz w:val="21"/>
        </w:rPr>
        <w:drawing>
          <wp:anchor distT="0" distB="0" distL="0" distR="0" simplePos="0" relativeHeight="251659264" behindDoc="1" locked="0" layoutInCell="1" allowOverlap="1">
            <wp:simplePos x="0" y="0"/>
            <wp:positionH relativeFrom="page">
              <wp:posOffset>1383665</wp:posOffset>
            </wp:positionH>
            <wp:positionV relativeFrom="page">
              <wp:posOffset>723265</wp:posOffset>
            </wp:positionV>
            <wp:extent cx="1648460" cy="366395"/>
            <wp:effectExtent l="0" t="0" r="8890" b="14605"/>
            <wp:wrapNone/>
            <wp:docPr id="1040" name="1040"/>
            <wp:cNvGraphicFramePr/>
            <a:graphic xmlns:a="http://schemas.openxmlformats.org/drawingml/2006/main">
              <a:graphicData uri="http://schemas.openxmlformats.org/drawingml/2006/picture">
                <pic:pic xmlns:pic="http://schemas.openxmlformats.org/drawingml/2006/picture">
                  <pic:nvPicPr>
                    <pic:cNvPr id="1040" name="1040"/>
                    <pic:cNvPicPr/>
                  </pic:nvPicPr>
                  <pic:blipFill>
                    <a:blip r:embed="rId8">
                      <a:clrChange>
                        <a:clrFrom>
                          <a:srgbClr val="FFFFFF"/>
                        </a:clrFrom>
                        <a:clrTo>
                          <a:srgbClr val="FFFFFF">
                            <a:alpha val="0"/>
                          </a:srgbClr>
                        </a:clrTo>
                      </a:clrChange>
                    </a:blip>
                    <a:stretch>
                      <a:fillRect/>
                    </a:stretch>
                  </pic:blipFill>
                  <pic:spPr>
                    <a:xfrm>
                      <a:off x="0" y="0"/>
                      <a:ext cx="1648460" cy="366395"/>
                    </a:xfrm>
                    <a:prstGeom prst="rect">
                      <a:avLst/>
                    </a:prstGeom>
                    <a:ln>
                      <a:noFill/>
                    </a:ln>
                  </pic:spPr>
                </pic:pic>
              </a:graphicData>
            </a:graphic>
          </wp:anchor>
        </w:drawing>
      </w:r>
      <w:r>
        <w:rPr>
          <w:rFonts w:hint="default" w:ascii="Times New Roman" w:hAnsi="Times New Roman" w:eastAsia="Times New Roman" w:cs="Times New Roman"/>
          <w:color w:val="auto"/>
          <w:sz w:val="21"/>
        </w:rPr>
        <w:drawing>
          <wp:anchor distT="0" distB="0" distL="0" distR="0" simplePos="0" relativeHeight="251659264" behindDoc="1" locked="0" layoutInCell="1" allowOverlap="1">
            <wp:simplePos x="0" y="0"/>
            <wp:positionH relativeFrom="page">
              <wp:posOffset>3032125</wp:posOffset>
            </wp:positionH>
            <wp:positionV relativeFrom="page">
              <wp:posOffset>723265</wp:posOffset>
            </wp:positionV>
            <wp:extent cx="4021455" cy="366395"/>
            <wp:effectExtent l="0" t="0" r="17145" b="14605"/>
            <wp:wrapNone/>
            <wp:docPr id="1041" name="1041"/>
            <wp:cNvGraphicFramePr/>
            <a:graphic xmlns:a="http://schemas.openxmlformats.org/drawingml/2006/main">
              <a:graphicData uri="http://schemas.openxmlformats.org/drawingml/2006/picture">
                <pic:pic xmlns:pic="http://schemas.openxmlformats.org/drawingml/2006/picture">
                  <pic:nvPicPr>
                    <pic:cNvPr id="1041" name="1041"/>
                    <pic:cNvPicPr/>
                  </pic:nvPicPr>
                  <pic:blipFill>
                    <a:blip r:embed="rId9">
                      <a:clrChange>
                        <a:clrFrom>
                          <a:srgbClr val="FFFFFF"/>
                        </a:clrFrom>
                        <a:clrTo>
                          <a:srgbClr val="FFFFFF">
                            <a:alpha val="0"/>
                          </a:srgbClr>
                        </a:clrTo>
                      </a:clrChange>
                    </a:blip>
                    <a:stretch>
                      <a:fillRect/>
                    </a:stretch>
                  </pic:blipFill>
                  <pic:spPr>
                    <a:xfrm>
                      <a:off x="0" y="0"/>
                      <a:ext cx="4021455" cy="366395"/>
                    </a:xfrm>
                    <a:prstGeom prst="rect">
                      <a:avLst/>
                    </a:prstGeom>
                    <a:ln>
                      <a:noFill/>
                    </a:ln>
                  </pic:spPr>
                </pic:pic>
              </a:graphicData>
            </a:graphic>
          </wp:anchor>
        </w:drawing>
      </w:r>
      <w:r>
        <w:rPr>
          <w:rFonts w:hint="default" w:ascii="Times New Roman" w:hAnsi="Times New Roman" w:eastAsia="Times New Roman" w:cs="Times New Roman"/>
          <w:color w:val="auto"/>
          <w:sz w:val="21"/>
        </w:rPr>
        <mc:AlternateContent>
          <mc:Choice Requires="wps">
            <w:drawing>
              <wp:anchor distT="0" distB="0" distL="114300" distR="114300" simplePos="0" relativeHeight="251659264" behindDoc="1" locked="0" layoutInCell="1" allowOverlap="1">
                <wp:simplePos x="0" y="0"/>
                <wp:positionH relativeFrom="page">
                  <wp:posOffset>5649595</wp:posOffset>
                </wp:positionH>
                <wp:positionV relativeFrom="page">
                  <wp:posOffset>2550160</wp:posOffset>
                </wp:positionV>
                <wp:extent cx="1068705" cy="0"/>
                <wp:effectExtent l="0" t="0" r="0" b="0"/>
                <wp:wrapNone/>
                <wp:docPr id="1042" name="1042"/>
                <wp:cNvGraphicFramePr/>
                <a:graphic xmlns:a="http://schemas.openxmlformats.org/drawingml/2006/main">
                  <a:graphicData uri="http://schemas.microsoft.com/office/word/2010/wordprocessingShape">
                    <wps:wsp>
                      <wps:cNvCnPr/>
                      <wps:spPr>
                        <a:xfrm>
                          <a:off x="0" y="0"/>
                          <a:ext cx="106870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42" o:spid="_x0000_s1026" o:spt="20" style="position:absolute;left:0pt;margin-left:444.85pt;margin-top:200.8pt;height:0pt;width:84.15pt;mso-position-horizontal-relative:page;mso-position-vertical-relative:page;z-index:-251657216;mso-width-relative:page;mso-height-relative:page;" fillcolor="#FFFFFF" filled="t" stroked="t" coordsize="21600,21600" o:gfxdata="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&#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Z6uf3YAAAADAEAAA8AAAAAAAAAAQAgAAAAIgAAAGRy&#10;cy9kb3ducmV2LnhtbFBLAQIUABQAAAAIAIdO4kDX1xfeBQIAAEAEAAAOAAAAAAAAAAEAIAAAACcB&#10;AABkcnMvZTJvRG9jLnhtbFBLBQYAAAAABgAGAFkBAACeBQAAAAA=&#10;">
                <v:fill on="t" opacity="0f" focussize="0,0"/>
                <v:stroke weight="0.5pt" color="#000000" joinstyle="round" endcap="round"/>
                <v:imagedata o:title=""/>
                <o:lock v:ext="edit" aspectratio="f"/>
              </v:line>
            </w:pict>
          </mc:Fallback>
        </mc:AlternateContent>
      </w:r>
      <w:r>
        <w:rPr>
          <w:rFonts w:hint="default" w:ascii="Times New Roman" w:hAnsi="Times New Roman" w:eastAsia="Times New Roman" w:cs="Times New Roman"/>
          <w:color w:val="auto"/>
          <w:sz w:val="21"/>
        </w:rPr>
        <w:t xml:space="preserve"> </w:t>
      </w:r>
    </w:p>
    <w:tbl>
      <w:tblPr>
        <w:tblStyle w:val="6"/>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2"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3.5</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是否允许递交备选投标方</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案</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706"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43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3.6.3</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签字和（或）盖章要求</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9" w:after="0" w:line="408" w:lineRule="exact"/>
              <w:ind w:left="103" w:right="130" w:firstLine="0"/>
              <w:jc w:val="both"/>
              <w:textAlignment w:val="auto"/>
              <w:rPr>
                <w:rFonts w:hint="default" w:ascii="宋体" w:hAnsi="宋体" w:eastAsia="宋体" w:cs="宋体"/>
                <w:color w:val="auto"/>
                <w:sz w:val="21"/>
              </w:rPr>
            </w:pPr>
            <w:r>
              <w:rPr>
                <w:rFonts w:hint="default" w:ascii="宋体" w:hAnsi="宋体" w:eastAsia="宋体" w:cs="宋体"/>
                <w:color w:val="auto"/>
                <w:sz w:val="21"/>
              </w:rPr>
              <w:t>投标文件应由投标人逐页加盖投标人单位公章，且经</w:t>
            </w:r>
            <w:r>
              <w:rPr>
                <w:rFonts w:hint="default" w:ascii="宋体" w:hAnsi="宋体" w:eastAsia="宋体" w:cs="宋体"/>
                <w:color w:val="auto"/>
                <w:spacing w:val="-1"/>
                <w:sz w:val="21"/>
              </w:rPr>
              <w:t>法定代表人在</w:t>
            </w:r>
            <w:r>
              <w:rPr>
                <w:rFonts w:hint="default" w:ascii="宋体" w:hAnsi="宋体" w:eastAsia="宋体" w:cs="宋体"/>
                <w:color w:val="auto"/>
                <w:sz w:val="21"/>
              </w:rPr>
              <w:t>凡规定签章处签字（或盖章）或其委托代理人本人在凡规定签章处签字，</w:t>
            </w:r>
            <w:r>
              <w:rPr>
                <w:rFonts w:hint="eastAsia" w:ascii="宋体" w:hAnsi="宋体" w:eastAsia="宋体" w:cs="宋体"/>
                <w:color w:val="auto"/>
                <w:sz w:val="21"/>
                <w:lang w:val="en-US" w:eastAsia="zh-CN"/>
              </w:rPr>
              <w:t>副本可以使正本的复印件；</w:t>
            </w:r>
            <w:r>
              <w:rPr>
                <w:rFonts w:hint="default" w:ascii="宋体" w:hAnsi="宋体" w:eastAsia="宋体" w:cs="宋体"/>
                <w:color w:val="auto"/>
                <w:sz w:val="21"/>
              </w:rPr>
              <w:t>正本需盖骑缝章，否则作否决投标处理。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3.6.4</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投标文件副本份数</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83" w:after="0" w:line="263" w:lineRule="exact"/>
              <w:ind w:left="20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 xml:space="preserve">五 </w:t>
            </w:r>
            <w:r>
              <w:rPr>
                <w:rFonts w:hint="default" w:ascii="宋体" w:hAnsi="宋体" w:eastAsia="宋体" w:cs="宋体"/>
                <w:color w:val="auto"/>
                <w:sz w:val="21"/>
              </w:rPr>
              <w:t>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227"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65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3.6.5</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63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装订要求</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按照投标人须知</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项规定的投标文件组成内容，投标文件应</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按以下要求装订：</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□不分册装订</w:t>
            </w:r>
          </w:p>
          <w:p>
            <w:pPr>
              <w:autoSpaceDE w:val="0"/>
              <w:autoSpaceDN w:val="0"/>
              <w:snapToGrid w:val="0"/>
              <w:spacing w:before="132" w:after="0" w:line="280" w:lineRule="exact"/>
              <w:ind w:left="103"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w:t>
            </w:r>
            <w:r>
              <w:rPr>
                <w:rFonts w:hint="default" w:ascii="宋体" w:hAnsi="宋体" w:eastAsia="宋体" w:cs="宋体"/>
                <w:color w:val="auto"/>
                <w:position w:val="1"/>
                <w:sz w:val="21"/>
              </w:rPr>
              <w:t>分册装订，共分</w:t>
            </w:r>
            <w:r>
              <w:rPr>
                <w:rFonts w:hint="default" w:ascii="宋体" w:hAnsi="宋体" w:eastAsia="宋体" w:cs="宋体"/>
                <w:color w:val="auto"/>
                <w:sz w:val="21"/>
                <w:u w:val="single" w:color="000000"/>
              </w:rPr>
              <w:t xml:space="preserve"> </w:t>
            </w:r>
            <w:r>
              <w:rPr>
                <w:rFonts w:hint="eastAsia" w:ascii="宋体" w:hAnsi="宋体" w:eastAsia="宋体" w:cs="宋体"/>
                <w:b/>
                <w:color w:val="auto"/>
                <w:sz w:val="21"/>
                <w:u w:val="single" w:color="000000"/>
                <w:lang w:eastAsia="zh-CN"/>
              </w:rPr>
              <w:t>三</w:t>
            </w:r>
            <w:r>
              <w:rPr>
                <w:rFonts w:hint="default" w:ascii="宋体" w:hAnsi="宋体" w:eastAsia="宋体" w:cs="宋体"/>
                <w:b/>
                <w:color w:val="auto"/>
                <w:sz w:val="21"/>
                <w:u w:val="single" w:color="000000"/>
              </w:rPr>
              <w:t xml:space="preserve"> </w:t>
            </w:r>
            <w:r>
              <w:rPr>
                <w:rFonts w:hint="default" w:ascii="宋体" w:hAnsi="宋体" w:eastAsia="宋体" w:cs="宋体"/>
                <w:color w:val="auto"/>
                <w:sz w:val="21"/>
              </w:rPr>
              <w:t>册，分别为：</w:t>
            </w:r>
          </w:p>
          <w:p>
            <w:pPr>
              <w:autoSpaceDE w:val="0"/>
              <w:autoSpaceDN w:val="0"/>
              <w:snapToGrid w:val="0"/>
              <w:spacing w:before="14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资格审查部分；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商务标部分；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技术标部分。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投标文件每册装订应牢固、不易拆散和换页，不得采用活页装订。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870"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249"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4.1.1</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229"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包装、密封</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投标人应将所有投标文件的资格审查部分、商务标部分、技术标部</w:t>
            </w:r>
          </w:p>
          <w:p>
            <w:pPr>
              <w:autoSpaceDE w:val="0"/>
              <w:autoSpaceDN w:val="0"/>
              <w:snapToGrid w:val="0"/>
              <w:spacing w:before="29" w:after="0" w:line="409"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分、投标文件电子版（如有）分别密封</w:t>
            </w:r>
            <w:r>
              <w:rPr>
                <w:rFonts w:hint="default" w:ascii="宋体" w:hAnsi="宋体" w:eastAsia="宋体" w:cs="宋体"/>
                <w:color w:val="auto"/>
                <w:spacing w:val="-1"/>
                <w:sz w:val="21"/>
              </w:rPr>
              <w:t>在</w:t>
            </w:r>
            <w:r>
              <w:rPr>
                <w:rFonts w:hint="default" w:ascii="宋体" w:hAnsi="宋体" w:eastAsia="宋体" w:cs="宋体"/>
                <w:color w:val="auto"/>
                <w:spacing w:val="40"/>
                <w:sz w:val="21"/>
                <w:u w:val="single" w:color="000000"/>
              </w:rPr>
              <w:t xml:space="preserve"> </w:t>
            </w:r>
            <w:r>
              <w:rPr>
                <w:rFonts w:hint="eastAsia" w:ascii="宋体" w:hAnsi="宋体" w:eastAsia="宋体" w:cs="宋体"/>
                <w:b/>
                <w:color w:val="auto"/>
                <w:spacing w:val="-1"/>
                <w:sz w:val="21"/>
                <w:u w:val="single" w:color="000000"/>
                <w:lang w:eastAsia="zh-CN"/>
              </w:rPr>
              <w:t>四</w:t>
            </w:r>
            <w:r>
              <w:rPr>
                <w:rFonts w:hint="default" w:ascii="宋体" w:hAnsi="宋体" w:eastAsia="宋体" w:cs="宋体"/>
                <w:b/>
                <w:color w:val="auto"/>
                <w:spacing w:val="41"/>
                <w:sz w:val="21"/>
                <w:u w:val="single" w:color="000000"/>
              </w:rPr>
              <w:t xml:space="preserve"> </w:t>
            </w:r>
            <w:r>
              <w:rPr>
                <w:rFonts w:hint="default" w:ascii="宋体" w:hAnsi="宋体" w:eastAsia="宋体" w:cs="宋体"/>
                <w:color w:val="auto"/>
                <w:spacing w:val="-1"/>
                <w:sz w:val="21"/>
              </w:rPr>
              <w:t>个密</w:t>
            </w:r>
            <w:r>
              <w:rPr>
                <w:rFonts w:hint="default" w:ascii="宋体" w:hAnsi="宋体" w:eastAsia="宋体" w:cs="宋体"/>
                <w:color w:val="auto"/>
                <w:sz w:val="21"/>
              </w:rPr>
              <w:t>封袋内，密封袋上清楚地标明</w:t>
            </w:r>
            <w:r>
              <w:rPr>
                <w:rFonts w:hint="default" w:ascii="Times New Roman" w:hAnsi="Times New Roman" w:eastAsia="Times New Roman" w:cs="Times New Roman"/>
                <w:color w:val="auto"/>
                <w:sz w:val="21"/>
              </w:rPr>
              <w:t>“</w:t>
            </w:r>
            <w:r>
              <w:rPr>
                <w:rFonts w:hint="default" w:ascii="宋体" w:hAnsi="宋体" w:eastAsia="宋体" w:cs="宋体"/>
                <w:color w:val="auto"/>
                <w:sz w:val="21"/>
              </w:rPr>
              <w:t>资格审查部分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商务标部分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技术标部分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或投标文件电子版。</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提交投标文件时应为</w:t>
            </w:r>
            <w:r>
              <w:rPr>
                <w:rFonts w:hint="default" w:ascii="宋体" w:hAnsi="宋体" w:eastAsia="宋体" w:cs="宋体"/>
                <w:color w:val="auto"/>
                <w:sz w:val="21"/>
                <w:u w:val="single" w:color="000000"/>
              </w:rPr>
              <w:t xml:space="preserve"> </w:t>
            </w:r>
            <w:r>
              <w:rPr>
                <w:rFonts w:hint="eastAsia" w:ascii="宋体" w:hAnsi="宋体" w:eastAsia="宋体" w:cs="宋体"/>
                <w:b/>
                <w:color w:val="auto"/>
                <w:sz w:val="21"/>
                <w:u w:val="single" w:color="000000"/>
                <w:lang w:eastAsia="zh-CN"/>
              </w:rPr>
              <w:t>四</w:t>
            </w:r>
            <w:r>
              <w:rPr>
                <w:rFonts w:hint="default" w:ascii="宋体" w:hAnsi="宋体" w:eastAsia="宋体" w:cs="宋体"/>
                <w:b/>
                <w:color w:val="auto"/>
                <w:sz w:val="21"/>
                <w:u w:val="single" w:color="000000"/>
              </w:rPr>
              <w:t xml:space="preserve"> </w:t>
            </w:r>
            <w:r>
              <w:rPr>
                <w:rFonts w:hint="default" w:ascii="宋体" w:hAnsi="宋体" w:eastAsia="宋体" w:cs="宋体"/>
                <w:color w:val="auto"/>
                <w:sz w:val="21"/>
              </w:rPr>
              <w:t>个密封袋。</w:t>
            </w:r>
          </w:p>
          <w:p>
            <w:pPr>
              <w:autoSpaceDE w:val="0"/>
              <w:autoSpaceDN w:val="0"/>
              <w:snapToGrid w:val="0"/>
              <w:spacing w:before="29" w:after="0" w:line="408" w:lineRule="exact"/>
              <w:ind w:left="103" w:right="34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投标文件密封</w:t>
            </w:r>
            <w:r>
              <w:rPr>
                <w:rFonts w:hint="default" w:ascii="宋体" w:hAnsi="宋体" w:eastAsia="宋体" w:cs="宋体"/>
                <w:color w:val="auto"/>
                <w:sz w:val="21"/>
              </w:rPr>
              <w:t>袋的封口处应加贴封条并加盖密封章及公章以示密封。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323"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45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4.1.2</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43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封套上写明</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项目编号：</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招标人名称：</w:t>
            </w:r>
          </w:p>
          <w:p>
            <w:pPr>
              <w:shd w:val="clear" w:fill="FFFFFF" w:themeFill="background1"/>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标段（如有多个标段时）：</w:t>
            </w:r>
          </w:p>
          <w:p>
            <w:pPr>
              <w:autoSpaceDE w:val="0"/>
              <w:autoSpaceDN w:val="0"/>
              <w:snapToGrid w:val="0"/>
              <w:spacing w:before="29" w:after="0" w:line="409" w:lineRule="exact"/>
              <w:ind w:right="1075"/>
              <w:jc w:val="both"/>
              <w:textAlignment w:val="auto"/>
              <w:rPr>
                <w:rFonts w:hint="default" w:ascii="宋体" w:hAnsi="宋体" w:eastAsia="宋体" w:cs="宋体"/>
                <w:color w:val="auto"/>
                <w:sz w:val="21"/>
                <w:u w:val="none"/>
              </w:rPr>
            </w:pPr>
            <w:r>
              <w:rPr>
                <w:rFonts w:hint="eastAsia" w:ascii="宋体" w:hAnsi="宋体" w:eastAsia="宋体" w:cs="宋体"/>
                <w:color w:val="FFFFFF" w:themeColor="background1"/>
                <w:spacing w:val="-1"/>
                <w:sz w:val="21"/>
                <w:u w:val="none"/>
                <w:lang w:val="en-US" w:eastAsia="zh-CN"/>
                <w14:textFill>
                  <w14:solidFill>
                    <w14:schemeClr w14:val="bg1"/>
                  </w14:solidFill>
                </w14:textFill>
              </w:rPr>
              <w:t>1</w:t>
            </w:r>
            <w:r>
              <w:rPr>
                <w:rFonts w:hint="eastAsia" w:ascii="宋体" w:hAnsi="宋体" w:eastAsia="宋体" w:cs="宋体"/>
                <w:color w:val="auto"/>
                <w:spacing w:val="-1"/>
                <w:sz w:val="21"/>
                <w:u w:val="single"/>
                <w:lang w:val="en-US" w:eastAsia="zh-CN"/>
              </w:rPr>
              <w:t xml:space="preserve">                    </w:t>
            </w:r>
            <w:r>
              <w:rPr>
                <w:rFonts w:hint="default" w:ascii="宋体" w:hAnsi="宋体" w:eastAsia="宋体" w:cs="宋体"/>
                <w:color w:val="auto"/>
                <w:spacing w:val="-1"/>
                <w:sz w:val="21"/>
                <w:u w:val="none"/>
              </w:rPr>
              <w:t>（项目名称）</w:t>
            </w:r>
            <w:r>
              <w:rPr>
                <w:rFonts w:hint="default" w:ascii="宋体" w:hAnsi="宋体" w:eastAsia="宋体" w:cs="宋体"/>
                <w:color w:val="auto"/>
                <w:sz w:val="21"/>
                <w:u w:val="none"/>
              </w:rPr>
              <w:t>施工招标投标文件</w:t>
            </w:r>
          </w:p>
          <w:p>
            <w:pPr>
              <w:autoSpaceDE w:val="0"/>
              <w:autoSpaceDN w:val="0"/>
              <w:snapToGrid w:val="0"/>
              <w:spacing w:before="29" w:after="0" w:line="409" w:lineRule="exact"/>
              <w:ind w:right="1075" w:firstLine="210" w:firstLineChars="100"/>
              <w:jc w:val="both"/>
              <w:textAlignment w:val="auto"/>
              <w:rPr>
                <w:rFonts w:hint="default" w:ascii="宋体" w:hAnsi="宋体" w:eastAsia="宋体" w:cs="宋体"/>
                <w:color w:val="auto"/>
                <w:sz w:val="21"/>
              </w:rPr>
            </w:pPr>
            <w:r>
              <w:rPr>
                <w:rFonts w:hint="default" w:ascii="宋体" w:hAnsi="宋体" w:eastAsia="宋体" w:cs="宋体"/>
                <w:color w:val="auto"/>
                <w:sz w:val="21"/>
                <w:u w:val="none"/>
              </w:rPr>
              <w:t>投标人地址</w:t>
            </w:r>
            <w:r>
              <w:rPr>
                <w:rFonts w:hint="default" w:ascii="宋体" w:hAnsi="宋体" w:eastAsia="宋体" w:cs="宋体"/>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投标人名称：</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szCs w:val="22"/>
              </w:rPr>
              <w:t>在</w:t>
            </w:r>
            <w:r>
              <w:rPr>
                <w:rFonts w:hint="eastAsia" w:ascii="宋体" w:hAnsi="宋体" w:eastAsia="宋体" w:cs="宋体"/>
                <w:color w:val="auto"/>
                <w:sz w:val="21"/>
                <w:szCs w:val="22"/>
                <w:lang w:val="en-US" w:eastAsia="zh-CN"/>
              </w:rPr>
              <w:t>2021年8月24日09时00分</w:t>
            </w:r>
            <w:r>
              <w:rPr>
                <w:rFonts w:hint="default" w:ascii="宋体" w:hAnsi="宋体" w:eastAsia="宋体" w:cs="宋体"/>
                <w:color w:val="auto"/>
                <w:sz w:val="21"/>
                <w:szCs w:val="22"/>
              </w:rPr>
              <w:t>前不得开启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4.2.2</w:t>
            </w:r>
          </w:p>
        </w:tc>
        <w:tc>
          <w:tcPr>
            <w:tcW w:w="2596"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递交投标文件地点</w:t>
            </w:r>
          </w:p>
        </w:tc>
        <w:tc>
          <w:tcPr>
            <w:tcW w:w="6333" w:type="dxa"/>
            <w:tcBorders>
              <w:top w:val="single" w:color="000000" w:sz="8" w:space="0"/>
              <w:left w:val="single" w:color="000000" w:sz="8" w:space="0"/>
              <w:bottom w:val="single" w:color="000000" w:sz="8" w:space="0"/>
              <w:right w:val="single" w:color="000000" w:sz="8" w:space="0"/>
            </w:tcBorders>
            <w:shd w:val="clear" w:color="auto" w:fill="FFFFFF"/>
            <w:vAlign w:val="top"/>
          </w:tcPr>
          <w:p>
            <w:pPr>
              <w:autoSpaceDE w:val="0"/>
              <w:autoSpaceDN w:val="0"/>
              <w:snapToGrid w:val="0"/>
              <w:spacing w:before="146" w:after="0" w:line="263" w:lineRule="exact"/>
              <w:ind w:left="103" w:right="0" w:firstLine="0"/>
              <w:jc w:val="left"/>
              <w:textAlignment w:val="auto"/>
              <w:rPr>
                <w:rFonts w:hint="eastAsia" w:ascii="宋体" w:hAnsi="宋体" w:eastAsia="宋体" w:cs="宋体"/>
                <w:color w:val="auto"/>
                <w:sz w:val="21"/>
                <w:u w:val="single" w:color="000000"/>
                <w:lang w:eastAsia="zh-CN"/>
              </w:rPr>
            </w:pPr>
            <w:r>
              <w:rPr>
                <w:rFonts w:hint="eastAsia" w:ascii="宋体" w:hAnsi="宋体" w:eastAsia="宋体" w:cs="宋体"/>
                <w:color w:val="auto"/>
                <w:sz w:val="21"/>
                <w:u w:val="single" w:color="000000"/>
                <w:lang w:eastAsia="zh-CN"/>
              </w:rPr>
              <w:t>贺州市公共资源交易中心交易大厅（具体安排见当天交易中心电子显示屏）</w:t>
            </w:r>
          </w:p>
        </w:tc>
      </w:tr>
    </w:tbl>
    <w:p>
      <w:pPr>
        <w:numPr>
          <w:ilvl w:val="0"/>
          <w:numId w:val="1"/>
        </w:numPr>
        <w:autoSpaceDE w:val="0"/>
        <w:autoSpaceDN w:val="0"/>
        <w:snapToGrid w:val="0"/>
        <w:spacing w:before="184" w:after="0" w:line="240" w:lineRule="auto"/>
        <w:ind w:left="420" w:right="0" w:firstLine="3328"/>
        <w:jc w:val="left"/>
        <w:textAlignment w:val="auto"/>
        <w:rPr>
          <w:rFonts w:hint="default" w:ascii="宋体" w:hAnsi="宋体" w:eastAsia="宋体" w:cs="宋体"/>
          <w:color w:val="auto"/>
          <w:sz w:val="21"/>
          <w:u w:val="single" w:color="000000"/>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u w:val="single" w:color="000000"/>
        </w:rPr>
        <w:drawing>
          <wp:anchor distT="0" distB="0" distL="0" distR="0" simplePos="0" relativeHeight="251659264" behindDoc="1" locked="0" layoutInCell="1" allowOverlap="1">
            <wp:simplePos x="0" y="0"/>
            <wp:positionH relativeFrom="page">
              <wp:posOffset>617220</wp:posOffset>
            </wp:positionH>
            <wp:positionV relativeFrom="page">
              <wp:posOffset>723265</wp:posOffset>
            </wp:positionV>
            <wp:extent cx="766445" cy="366395"/>
            <wp:effectExtent l="0" t="0" r="14605" b="14605"/>
            <wp:wrapNone/>
            <wp:docPr id="1043" name="1043"/>
            <wp:cNvGraphicFramePr/>
            <a:graphic xmlns:a="http://schemas.openxmlformats.org/drawingml/2006/main">
              <a:graphicData uri="http://schemas.openxmlformats.org/drawingml/2006/picture">
                <pic:pic xmlns:pic="http://schemas.openxmlformats.org/drawingml/2006/picture">
                  <pic:nvPicPr>
                    <pic:cNvPr id="1043" name="1043"/>
                    <pic:cNvPicPr/>
                  </pic:nvPicPr>
                  <pic:blipFill>
                    <a:blip r:embed="rId7">
                      <a:clrChange>
                        <a:clrFrom>
                          <a:srgbClr val="FFFFFF"/>
                        </a:clrFrom>
                        <a:clrTo>
                          <a:srgbClr val="FFFFFF">
                            <a:alpha val="0"/>
                          </a:srgbClr>
                        </a:clrTo>
                      </a:clrChange>
                    </a:blip>
                    <a:stretch>
                      <a:fillRect/>
                    </a:stretch>
                  </pic:blipFill>
                  <pic:spPr>
                    <a:xfrm>
                      <a:off x="0" y="0"/>
                      <a:ext cx="766445" cy="366395"/>
                    </a:xfrm>
                    <a:prstGeom prst="rect">
                      <a:avLst/>
                    </a:prstGeom>
                    <a:ln>
                      <a:noFill/>
                    </a:ln>
                  </pic:spPr>
                </pic:pic>
              </a:graphicData>
            </a:graphic>
          </wp:anchor>
        </w:drawing>
      </w:r>
      <w:r>
        <w:rPr>
          <w:rFonts w:hint="default" w:ascii="宋体" w:hAnsi="宋体" w:eastAsia="宋体" w:cs="宋体"/>
          <w:color w:val="auto"/>
          <w:sz w:val="21"/>
          <w:u w:val="single" w:color="000000"/>
        </w:rPr>
        <w:drawing>
          <wp:anchor distT="0" distB="0" distL="0" distR="0" simplePos="0" relativeHeight="251659264" behindDoc="1" locked="0" layoutInCell="1" allowOverlap="1">
            <wp:simplePos x="0" y="0"/>
            <wp:positionH relativeFrom="page">
              <wp:posOffset>1383665</wp:posOffset>
            </wp:positionH>
            <wp:positionV relativeFrom="page">
              <wp:posOffset>723265</wp:posOffset>
            </wp:positionV>
            <wp:extent cx="1648460" cy="366395"/>
            <wp:effectExtent l="0" t="0" r="8890" b="14605"/>
            <wp:wrapNone/>
            <wp:docPr id="1044" name="1044"/>
            <wp:cNvGraphicFramePr/>
            <a:graphic xmlns:a="http://schemas.openxmlformats.org/drawingml/2006/main">
              <a:graphicData uri="http://schemas.openxmlformats.org/drawingml/2006/picture">
                <pic:pic xmlns:pic="http://schemas.openxmlformats.org/drawingml/2006/picture">
                  <pic:nvPicPr>
                    <pic:cNvPr id="1044" name="1044"/>
                    <pic:cNvPicPr/>
                  </pic:nvPicPr>
                  <pic:blipFill>
                    <a:blip r:embed="rId8">
                      <a:clrChange>
                        <a:clrFrom>
                          <a:srgbClr val="FFFFFF"/>
                        </a:clrFrom>
                        <a:clrTo>
                          <a:srgbClr val="FFFFFF">
                            <a:alpha val="0"/>
                          </a:srgbClr>
                        </a:clrTo>
                      </a:clrChange>
                    </a:blip>
                    <a:stretch>
                      <a:fillRect/>
                    </a:stretch>
                  </pic:blipFill>
                  <pic:spPr>
                    <a:xfrm>
                      <a:off x="0" y="0"/>
                      <a:ext cx="1648460" cy="366395"/>
                    </a:xfrm>
                    <a:prstGeom prst="rect">
                      <a:avLst/>
                    </a:prstGeom>
                    <a:ln>
                      <a:noFill/>
                    </a:ln>
                  </pic:spPr>
                </pic:pic>
              </a:graphicData>
            </a:graphic>
          </wp:anchor>
        </w:drawing>
      </w:r>
      <w:r>
        <w:rPr>
          <w:rFonts w:hint="default" w:ascii="宋体" w:hAnsi="宋体" w:eastAsia="宋体" w:cs="宋体"/>
          <w:color w:val="auto"/>
          <w:sz w:val="21"/>
          <w:u w:val="single" w:color="000000"/>
        </w:rPr>
        <w:drawing>
          <wp:anchor distT="0" distB="0" distL="0" distR="0" simplePos="0" relativeHeight="251659264" behindDoc="1" locked="0" layoutInCell="1" allowOverlap="1">
            <wp:simplePos x="0" y="0"/>
            <wp:positionH relativeFrom="page">
              <wp:posOffset>3032125</wp:posOffset>
            </wp:positionH>
            <wp:positionV relativeFrom="page">
              <wp:posOffset>723265</wp:posOffset>
            </wp:positionV>
            <wp:extent cx="4021455" cy="366395"/>
            <wp:effectExtent l="0" t="0" r="17145" b="14605"/>
            <wp:wrapNone/>
            <wp:docPr id="1045" name="1045"/>
            <wp:cNvGraphicFramePr/>
            <a:graphic xmlns:a="http://schemas.openxmlformats.org/drawingml/2006/main">
              <a:graphicData uri="http://schemas.openxmlformats.org/drawingml/2006/picture">
                <pic:pic xmlns:pic="http://schemas.openxmlformats.org/drawingml/2006/picture">
                  <pic:nvPicPr>
                    <pic:cNvPr id="1045" name="1045"/>
                    <pic:cNvPicPr/>
                  </pic:nvPicPr>
                  <pic:blipFill>
                    <a:blip r:embed="rId9">
                      <a:clrChange>
                        <a:clrFrom>
                          <a:srgbClr val="FFFFFF"/>
                        </a:clrFrom>
                        <a:clrTo>
                          <a:srgbClr val="FFFFFF">
                            <a:alpha val="0"/>
                          </a:srgbClr>
                        </a:clrTo>
                      </a:clrChange>
                    </a:blip>
                    <a:stretch>
                      <a:fillRect/>
                    </a:stretch>
                  </pic:blipFill>
                  <pic:spPr>
                    <a:xfrm>
                      <a:off x="0" y="0"/>
                      <a:ext cx="4021455" cy="366395"/>
                    </a:xfrm>
                    <a:prstGeom prst="rect">
                      <a:avLst/>
                    </a:prstGeom>
                    <a:ln>
                      <a:noFill/>
                    </a:ln>
                  </pic:spPr>
                </pic:pic>
              </a:graphicData>
            </a:graphic>
          </wp:anchor>
        </w:drawing>
      </w:r>
      <w:r>
        <w:rPr>
          <w:rFonts w:hint="default" w:ascii="宋体" w:hAnsi="宋体" w:eastAsia="宋体" w:cs="宋体"/>
          <w:color w:val="auto"/>
          <w:sz w:val="21"/>
          <w:u w:val="single" w:color="000000"/>
        </w:rPr>
        <mc:AlternateContent>
          <mc:Choice Requires="wps">
            <w:drawing>
              <wp:anchor distT="0" distB="0" distL="114300" distR="114300" simplePos="0" relativeHeight="251659264" behindDoc="1" locked="0" layoutInCell="1" allowOverlap="1">
                <wp:simplePos x="0" y="0"/>
                <wp:positionH relativeFrom="page">
                  <wp:posOffset>3100705</wp:posOffset>
                </wp:positionH>
                <wp:positionV relativeFrom="page">
                  <wp:posOffset>8489950</wp:posOffset>
                </wp:positionV>
                <wp:extent cx="1400175" cy="0"/>
                <wp:effectExtent l="0" t="0" r="0" b="0"/>
                <wp:wrapNone/>
                <wp:docPr id="1046" name="1046"/>
                <wp:cNvGraphicFramePr/>
                <a:graphic xmlns:a="http://schemas.openxmlformats.org/drawingml/2006/main">
                  <a:graphicData uri="http://schemas.microsoft.com/office/word/2010/wordprocessingShape">
                    <wps:wsp>
                      <wps:cNvCnPr/>
                      <wps:spPr>
                        <a:xfrm>
                          <a:off x="0" y="0"/>
                          <a:ext cx="140017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46" o:spid="_x0000_s1026" o:spt="20" style="position:absolute;left:0pt;margin-left:244.15pt;margin-top:668.5pt;height:0pt;width:110.25pt;mso-position-horizontal-relative:page;mso-position-vertical-relative:page;z-index:-251657216;mso-width-relative:page;mso-height-relative:page;" fillcolor="#FFFFFF" filled="t" stroked="t" coordsize="21600,21600" o:gfxdata="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k1Wt61gAAAA0BAAAPAAAAAAAAAAEAIAAAACIAAABkcnMv&#10;ZG93bnJldi54bWxQSwECFAAUAAAACACHTuJA8fZXVAUCAABABAAADgAAAAAAAAABACAAAAAlAQAA&#10;ZHJzL2Uyb0RvYy54bWxQSwUGAAAAAAYABgBZAQAAnAUAAAAA&#10;">
                <v:fill on="t" opacity="0f" focussize="0,0"/>
                <v:stroke weight="0.5pt" color="#000000" joinstyle="round" endcap="round"/>
                <v:imagedata o:title=""/>
                <o:lock v:ext="edit" aspectratio="f"/>
              </v:line>
            </w:pict>
          </mc:Fallback>
        </mc:AlternateContent>
      </w:r>
    </w:p>
    <w:tbl>
      <w:tblPr>
        <w:tblStyle w:val="6"/>
        <w:tblW w:w="10136"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207"/>
        <w:gridCol w:w="2596"/>
        <w:gridCol w:w="633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4.2.3</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是否退还投标文件</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1207" w:type="dxa"/>
            <w:vAlign w:val="top"/>
          </w:tcPr>
          <w:p>
            <w:pPr>
              <w:autoSpaceDE w:val="0"/>
              <w:autoSpaceDN w:val="0"/>
              <w:snapToGrid w:val="0"/>
              <w:spacing w:before="43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5.1</w:t>
            </w:r>
          </w:p>
        </w:tc>
        <w:tc>
          <w:tcPr>
            <w:tcW w:w="2596" w:type="dxa"/>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开标时间和地点</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开标时间：同投标截止时间</w:t>
            </w:r>
          </w:p>
          <w:p>
            <w:pPr>
              <w:autoSpaceDE w:val="0"/>
              <w:autoSpaceDN w:val="0"/>
              <w:snapToGrid w:val="0"/>
              <w:spacing w:before="29" w:after="0" w:line="408" w:lineRule="exact"/>
              <w:ind w:left="103" w:right="340" w:firstLine="0"/>
              <w:jc w:val="both"/>
              <w:textAlignment w:val="auto"/>
              <w:rPr>
                <w:rFonts w:hint="eastAsia" w:ascii="宋体" w:hAnsi="宋体" w:eastAsia="宋体" w:cs="宋体"/>
                <w:color w:val="auto"/>
                <w:sz w:val="21"/>
                <w:u w:val="single" w:color="000000"/>
                <w:lang w:eastAsia="zh-CN"/>
              </w:rPr>
            </w:pPr>
            <w:r>
              <w:rPr>
                <w:rFonts w:hint="default" w:ascii="宋体" w:hAnsi="宋体" w:eastAsia="宋体" w:cs="宋体"/>
                <w:color w:val="auto"/>
                <w:spacing w:val="-1"/>
                <w:sz w:val="21"/>
              </w:rPr>
              <w:t>开标地点：</w:t>
            </w:r>
            <w:r>
              <w:rPr>
                <w:rFonts w:hint="eastAsia" w:ascii="宋体" w:hAnsi="宋体" w:eastAsia="宋体" w:cs="宋体"/>
                <w:color w:val="auto"/>
                <w:spacing w:val="-1"/>
                <w:sz w:val="21"/>
                <w:u w:val="single" w:color="000000"/>
                <w:lang w:eastAsia="zh-CN"/>
              </w:rPr>
              <w:t>贺州市公共资源交易中心交易大厅（具体安排见当天交易中心电子显示屏）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24" w:hRule="exact"/>
        </w:trPr>
        <w:tc>
          <w:tcPr>
            <w:tcW w:w="1207" w:type="dxa"/>
            <w:vAlign w:val="top"/>
          </w:tcPr>
          <w:p>
            <w:pPr>
              <w:autoSpaceDE w:val="0"/>
              <w:autoSpaceDN w:val="0"/>
              <w:snapToGrid w:val="0"/>
              <w:spacing w:before="636"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5.2</w:t>
            </w:r>
          </w:p>
        </w:tc>
        <w:tc>
          <w:tcPr>
            <w:tcW w:w="2596" w:type="dxa"/>
            <w:vAlign w:val="top"/>
          </w:tcPr>
          <w:p>
            <w:pPr>
              <w:autoSpaceDE w:val="0"/>
              <w:autoSpaceDN w:val="0"/>
              <w:snapToGrid w:val="0"/>
              <w:spacing w:before="61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开标程序</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rPr>
            </w:pPr>
            <w:r>
              <w:rPr>
                <w:color w:val="auto"/>
                <w:sz w:val="21"/>
              </w:rPr>
              <mc:AlternateContent>
                <mc:Choice Requires="wps">
                  <w:drawing>
                    <wp:anchor distT="0" distB="0" distL="114300" distR="114300" simplePos="0" relativeHeight="251661312" behindDoc="0" locked="0" layoutInCell="1" allowOverlap="1">
                      <wp:simplePos x="0" y="0"/>
                      <wp:positionH relativeFrom="column">
                        <wp:posOffset>14605</wp:posOffset>
                      </wp:positionH>
                      <wp:positionV relativeFrom="paragraph">
                        <wp:posOffset>39370</wp:posOffset>
                      </wp:positionV>
                      <wp:extent cx="3978910" cy="814705"/>
                      <wp:effectExtent l="0" t="0" r="2540" b="4445"/>
                      <wp:wrapNone/>
                      <wp:docPr id="3" name="文本框 126"/>
                      <wp:cNvGraphicFramePr/>
                      <a:graphic xmlns:a="http://schemas.openxmlformats.org/drawingml/2006/main">
                        <a:graphicData uri="http://schemas.microsoft.com/office/word/2010/wordprocessingShape">
                          <wps:wsp>
                            <wps:cNvSpPr txBox="1"/>
                            <wps:spPr>
                              <a:xfrm>
                                <a:off x="0" y="0"/>
                                <a:ext cx="3978910" cy="814705"/>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☑采用方式一：技术标明标开标程序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开标顺序：随机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□采用方式二：技术标暗标开标程序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开标顺序：随机</w:t>
                                  </w:r>
                                </w:p>
                              </w:txbxContent>
                            </wps:txbx>
                            <wps:bodyPr upright="1"/>
                          </wps:wsp>
                        </a:graphicData>
                      </a:graphic>
                    </wp:anchor>
                  </w:drawing>
                </mc:Choice>
                <mc:Fallback>
                  <w:pict>
                    <v:shape id="文本框 126" o:spid="_x0000_s1026" o:spt="202" type="#_x0000_t202" style="position:absolute;left:0pt;margin-left:1.15pt;margin-top:3.1pt;height:64.15pt;width:313.3pt;z-index:251661312;mso-width-relative:page;mso-height-relative:page;" fillcolor="#FFFFFF" filled="t" stroked="f" coordsize="21600,21600" o:gfxdata="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DbusKvVAAAABwEAAA8AAAAAAAAAAQAgAAAAIgAAAGRycy9kb3ducmV2Lnht&#10;bFBLAQIUABQAAAAIAIdO4kCH5P8hwwEAAHkDAAAOAAAAAAAAAAEAIAAAACQBAABkcnMvZTJvRG9j&#10;LnhtbFBLBQYAAAAABgAGAFkBAABZBQ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☑采用方式一：技术标明标开标程序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开标顺序：随机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□采用方式二：技术标暗标开标程序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开标顺序：随机</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□采用方式一：技术标明标开标程序</w:t>
            </w:r>
          </w:p>
          <w:p>
            <w:pPr>
              <w:autoSpaceDE w:val="0"/>
              <w:autoSpaceDN w:val="0"/>
              <w:snapToGrid w:val="0"/>
              <w:spacing w:before="143"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开标顺序：随机</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□采用方式二：技术标暗标开标程序</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开标顺序：随机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31"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6.1.1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评标委员会的组建</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评标委员会构成：</w:t>
            </w:r>
            <w:r>
              <w:rPr>
                <w:rFonts w:hint="default" w:ascii="宋体" w:hAnsi="宋体" w:eastAsia="宋体" w:cs="宋体"/>
                <w:color w:val="auto"/>
                <w:sz w:val="21"/>
                <w:u w:val="single" w:color="000000"/>
              </w:rPr>
              <w:t xml:space="preserve"> </w:t>
            </w:r>
            <w:r>
              <w:rPr>
                <w:rFonts w:hint="eastAsia" w:eastAsia="宋体" w:cs="Times New Roman"/>
                <w:color w:val="auto"/>
                <w:sz w:val="21"/>
                <w:u w:val="single" w:color="000000"/>
                <w:lang w:val="en-US" w:eastAsia="zh-CN"/>
              </w:rPr>
              <w:t xml:space="preserve">5 </w:t>
            </w:r>
            <w:r>
              <w:rPr>
                <w:rFonts w:hint="default" w:ascii="宋体" w:hAnsi="宋体" w:eastAsia="宋体" w:cs="宋体"/>
                <w:color w:val="auto"/>
                <w:sz w:val="21"/>
              </w:rPr>
              <w:t>人，其中招标人代表</w:t>
            </w:r>
            <w:r>
              <w:rPr>
                <w:rFonts w:hint="eastAsia" w:eastAsia="宋体" w:cs="Times New Roman"/>
                <w:color w:val="auto"/>
                <w:spacing w:val="53"/>
                <w:sz w:val="21"/>
                <w:u w:val="single" w:color="000000"/>
                <w:lang w:val="en-US" w:eastAsia="zh-CN"/>
              </w:rPr>
              <w:t>1</w:t>
            </w:r>
            <w:r>
              <w:rPr>
                <w:rFonts w:hint="default" w:ascii="宋体" w:hAnsi="宋体" w:eastAsia="宋体" w:cs="宋体"/>
                <w:color w:val="auto"/>
                <w:sz w:val="21"/>
              </w:rPr>
              <w:t>人，专家</w:t>
            </w:r>
            <w:r>
              <w:rPr>
                <w:rFonts w:hint="eastAsia" w:eastAsia="宋体" w:cs="Times New Roman"/>
                <w:color w:val="auto"/>
                <w:spacing w:val="53"/>
                <w:sz w:val="21"/>
                <w:u w:val="single" w:color="000000"/>
                <w:lang w:val="en-US" w:eastAsia="zh-CN"/>
              </w:rPr>
              <w:t>4</w:t>
            </w:r>
            <w:r>
              <w:rPr>
                <w:rFonts w:hint="default" w:ascii="宋体" w:hAnsi="宋体" w:eastAsia="宋体" w:cs="宋体"/>
                <w:color w:val="auto"/>
                <w:sz w:val="21"/>
              </w:rPr>
              <w:t>人。</w:t>
            </w:r>
          </w:p>
          <w:p>
            <w:pPr>
              <w:autoSpaceDE w:val="0"/>
              <w:autoSpaceDN w:val="0"/>
              <w:snapToGrid w:val="0"/>
              <w:spacing w:before="139" w:after="0" w:line="280"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sz w:val="21"/>
              </w:rPr>
              <w:t>评标专家分工：</w:t>
            </w:r>
            <w:r>
              <w:rPr>
                <w:rFonts w:hint="eastAsia" w:ascii="宋体" w:hAnsi="宋体" w:eastAsia="宋体" w:cs="宋体"/>
                <w:color w:val="auto"/>
                <w:position w:val="1"/>
                <w:sz w:val="21"/>
                <w:lang w:eastAsia="zh-CN"/>
              </w:rPr>
              <w:t>不</w:t>
            </w:r>
            <w:r>
              <w:rPr>
                <w:rFonts w:hint="default" w:ascii="宋体" w:hAnsi="宋体" w:eastAsia="宋体" w:cs="宋体"/>
                <w:color w:val="auto"/>
                <w:position w:val="1"/>
                <w:sz w:val="21"/>
              </w:rPr>
              <w:t>分技术、经济类。</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评标专家确定方式：</w:t>
            </w:r>
            <w:r>
              <w:rPr>
                <w:rFonts w:hint="default" w:ascii="宋体" w:hAnsi="宋体" w:eastAsia="宋体" w:cs="宋体"/>
                <w:color w:val="auto"/>
                <w:spacing w:val="53"/>
                <w:sz w:val="21"/>
                <w:u w:val="single" w:color="000000"/>
              </w:rPr>
              <w:t xml:space="preserve"> </w:t>
            </w:r>
            <w:r>
              <w:rPr>
                <w:rFonts w:hint="eastAsia" w:ascii="宋体" w:hAnsi="宋体" w:eastAsia="宋体" w:cs="宋体"/>
                <w:color w:val="auto"/>
                <w:sz w:val="21"/>
                <w:szCs w:val="22"/>
                <w:u w:val="single" w:color="000000"/>
                <w:lang w:eastAsia="zh-CN"/>
              </w:rPr>
              <w:t>政采云平台</w:t>
            </w:r>
            <w:r>
              <w:rPr>
                <w:rFonts w:hint="default" w:ascii="宋体" w:hAnsi="宋体" w:eastAsia="宋体" w:cs="宋体"/>
                <w:color w:val="auto"/>
                <w:sz w:val="21"/>
                <w:szCs w:val="22"/>
                <w:u w:val="single" w:color="000000"/>
              </w:rPr>
              <w:t>随</w:t>
            </w:r>
            <w:r>
              <w:rPr>
                <w:rFonts w:hint="default" w:ascii="宋体" w:hAnsi="宋体" w:eastAsia="宋体" w:cs="宋体"/>
                <w:color w:val="auto"/>
                <w:sz w:val="21"/>
                <w:u w:val="single" w:color="000000"/>
              </w:rPr>
              <w:t>机抽取</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6.3</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评标方式</w:t>
            </w: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□经评审的合理低价法</w:t>
            </w:r>
          </w:p>
          <w:p>
            <w:pPr>
              <w:autoSpaceDE w:val="0"/>
              <w:autoSpaceDN w:val="0"/>
              <w:snapToGrid w:val="0"/>
              <w:spacing w:before="132" w:after="0" w:line="280" w:lineRule="exact"/>
              <w:ind w:left="103" w:right="0" w:firstLine="0"/>
              <w:jc w:val="left"/>
              <w:textAlignment w:val="auto"/>
              <w:rPr>
                <w:rFonts w:hint="default" w:ascii="宋体" w:hAnsi="宋体" w:eastAsia="宋体" w:cs="宋体"/>
                <w:color w:val="auto"/>
                <w:position w:val="1"/>
                <w:sz w:val="21"/>
              </w:rPr>
            </w:pPr>
            <w:r>
              <w:rPr>
                <w:rFonts w:hint="eastAsia" w:ascii="宋体" w:hAnsi="宋体" w:eastAsia="宋体" w:cs="宋体"/>
                <w:color w:val="auto"/>
                <w:sz w:val="21"/>
                <w:lang w:eastAsia="zh-CN"/>
              </w:rPr>
              <w:t>☑</w:t>
            </w:r>
            <w:r>
              <w:rPr>
                <w:rFonts w:hint="default" w:ascii="宋体" w:hAnsi="宋体" w:eastAsia="宋体" w:cs="宋体"/>
                <w:color w:val="auto"/>
                <w:position w:val="1"/>
                <w:sz w:val="21"/>
              </w:rPr>
              <w:t>综合评估法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1"/>
                <w:numId w:val="2"/>
              </w:numPr>
              <w:tabs>
                <w:tab w:val="left" w:pos="-655355"/>
              </w:tabs>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position w:val="1"/>
                <w:sz w:val="21"/>
              </w:rPr>
              <w:t xml:space="preserve"> </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评标资料封存方式</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rPr>
            </w:pPr>
            <w:r>
              <w:rPr>
                <w:color w:val="auto"/>
                <w:sz w:val="21"/>
              </w:rPr>
              <mc:AlternateContent>
                <mc:Choice Requires="wps">
                  <w:drawing>
                    <wp:anchor distT="0" distB="0" distL="114300" distR="114300" simplePos="0" relativeHeight="251662336" behindDoc="0" locked="0" layoutInCell="1" allowOverlap="1">
                      <wp:simplePos x="0" y="0"/>
                      <wp:positionH relativeFrom="column">
                        <wp:posOffset>14605</wp:posOffset>
                      </wp:positionH>
                      <wp:positionV relativeFrom="paragraph">
                        <wp:posOffset>49530</wp:posOffset>
                      </wp:positionV>
                      <wp:extent cx="3502660" cy="274955"/>
                      <wp:effectExtent l="0" t="0" r="2540" b="10795"/>
                      <wp:wrapNone/>
                      <wp:docPr id="4" name="文本框 127"/>
                      <wp:cNvGraphicFramePr/>
                      <a:graphic xmlns:a="http://schemas.openxmlformats.org/drawingml/2006/main">
                        <a:graphicData uri="http://schemas.microsoft.com/office/word/2010/wordprocessingShape">
                          <wps:wsp>
                            <wps:cNvSpPr txBox="1"/>
                            <wps:spPr>
                              <a:xfrm>
                                <a:off x="0" y="0"/>
                                <a:ext cx="3502660" cy="274955"/>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当地招投标监督管理部门封存 </w:t>
                                  </w:r>
                                </w:p>
                                <w:p/>
                              </w:txbxContent>
                            </wps:txbx>
                            <wps:bodyPr upright="1"/>
                          </wps:wsp>
                        </a:graphicData>
                      </a:graphic>
                    </wp:anchor>
                  </w:drawing>
                </mc:Choice>
                <mc:Fallback>
                  <w:pict>
                    <v:shape id="文本框 127" o:spid="_x0000_s1026" o:spt="202" type="#_x0000_t202" style="position:absolute;left:0pt;margin-left:1.15pt;margin-top:3.9pt;height:21.65pt;width:275.8pt;z-index:251662336;mso-width-relative:page;mso-height-relative:page;" fillcolor="#FFFFFF" filled="t" stroked="f" coordsize="21600,21600" o:gfxdata="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os5XM9QAAAAGAQAADwAAAAAAAAABACAAAAAiAAAAZHJzL2Rvd25yZXYueG1s&#10;UEsBAhQAFAAAAAgAh07iQMpyN7jDAQAAeQMAAA4AAAAAAAAAAQAgAAAAIwEAAGRycy9lMm9Eb2Mu&#10;eG1sUEsFBgAAAAAGAAYAWQEAAFgFA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当地招投标监督管理部门封存 </w:t>
                            </w:r>
                          </w:p>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sym w:font="Wingdings 2" w:char="00A3"/>
            </w:r>
            <w:r>
              <w:rPr>
                <w:rFonts w:hint="default" w:ascii="宋体" w:hAnsi="宋体" w:eastAsia="宋体" w:cs="宋体"/>
                <w:color w:val="auto"/>
                <w:position w:val="1"/>
                <w:sz w:val="21"/>
              </w:rPr>
              <w:t>当地招投标监督管理部门封存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2"/>
                <w:numId w:val="2"/>
              </w:numPr>
              <w:autoSpaceDE w:val="0"/>
              <w:autoSpaceDN w:val="0"/>
              <w:snapToGrid w:val="0"/>
              <w:spacing w:before="83" w:after="0" w:line="240" w:lineRule="auto"/>
              <w:ind w:left="103" w:right="0" w:firstLine="0"/>
              <w:jc w:val="left"/>
              <w:textAlignment w:val="auto"/>
              <w:rPr>
                <w:rFonts w:hint="default" w:ascii="Times New Roman" w:hAnsi="Times New Roman" w:eastAsia="宋体" w:cs="Times New Roman"/>
                <w:color w:val="auto"/>
                <w:sz w:val="21"/>
              </w:rPr>
            </w:pPr>
            <w:r>
              <w:rPr>
                <w:rFonts w:hint="default" w:ascii="宋体" w:hAnsi="宋体" w:eastAsia="宋体" w:cs="宋体"/>
                <w:color w:val="auto"/>
                <w:position w:val="1"/>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封存的其它材料</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6.6.1</w:t>
            </w:r>
          </w:p>
        </w:tc>
        <w:tc>
          <w:tcPr>
            <w:tcW w:w="2596"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中标</w:t>
            </w:r>
            <w:r>
              <w:rPr>
                <w:rFonts w:hint="eastAsia" w:ascii="宋体" w:hAnsi="宋体" w:eastAsia="宋体" w:cs="宋体"/>
                <w:color w:val="auto"/>
                <w:sz w:val="21"/>
                <w:lang w:eastAsia="zh-CN"/>
              </w:rPr>
              <w:t>结果</w:t>
            </w:r>
            <w:r>
              <w:rPr>
                <w:rFonts w:hint="default" w:ascii="宋体" w:hAnsi="宋体" w:eastAsia="宋体" w:cs="宋体"/>
                <w:color w:val="auto"/>
                <w:sz w:val="21"/>
              </w:rPr>
              <w:t>公示的媒介</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rPr>
            </w:pPr>
            <w:r>
              <w:rPr>
                <w:color w:val="auto"/>
                <w:sz w:val="21"/>
              </w:rPr>
              <mc:AlternateContent>
                <mc:Choice Requires="wps">
                  <w:drawing>
                    <wp:anchor distT="0" distB="0" distL="114300" distR="114300" simplePos="0" relativeHeight="251663360" behindDoc="0" locked="0" layoutInCell="1" allowOverlap="1">
                      <wp:simplePos x="0" y="0"/>
                      <wp:positionH relativeFrom="column">
                        <wp:posOffset>14605</wp:posOffset>
                      </wp:positionH>
                      <wp:positionV relativeFrom="paragraph">
                        <wp:posOffset>36195</wp:posOffset>
                      </wp:positionV>
                      <wp:extent cx="3947160" cy="444500"/>
                      <wp:effectExtent l="0" t="0" r="15240" b="12700"/>
                      <wp:wrapNone/>
                      <wp:docPr id="5" name="文本框 128"/>
                      <wp:cNvGraphicFramePr/>
                      <a:graphic xmlns:a="http://schemas.openxmlformats.org/drawingml/2006/main">
                        <a:graphicData uri="http://schemas.microsoft.com/office/word/2010/wordprocessingShape">
                          <wps:wsp>
                            <wps:cNvSpPr txBox="1"/>
                            <wps:spPr>
                              <a:xfrm>
                                <a:off x="0" y="0"/>
                                <a:ext cx="3947160" cy="444500"/>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在招标公告发布的同一媒介上公示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□在交易中心网站上公示 </w:t>
                                  </w:r>
                                </w:p>
                                <w:p/>
                              </w:txbxContent>
                            </wps:txbx>
                            <wps:bodyPr upright="1"/>
                          </wps:wsp>
                        </a:graphicData>
                      </a:graphic>
                    </wp:anchor>
                  </w:drawing>
                </mc:Choice>
                <mc:Fallback>
                  <w:pict>
                    <v:shape id="文本框 128" o:spid="_x0000_s1026" o:spt="202" type="#_x0000_t202" style="position:absolute;left:0pt;margin-left:1.15pt;margin-top:2.85pt;height:35pt;width:310.8pt;z-index:251663360;mso-width-relative:page;mso-height-relative:page;" fillcolor="#FFFFFF" filled="t" stroked="f" coordsize="21600,21600" o:gfxdata="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Ai55ETUAAAABgEAAA8AAAAAAAAAAQAgAAAAIgAAAGRycy9kb3ducmV2Lnht&#10;bFBLAQIUABQAAAAIAIdO4kDYq/fHxAEAAHkDAAAOAAAAAAAAAAEAIAAAACMBAABkcnMvZTJvRG9j&#10;LnhtbFBLBQYAAAAABgAGAFkBAABZBQ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在招标公告发布的同一媒介上公示 </w:t>
                            </w:r>
                          </w:p>
                          <w:p>
                            <w:pPr>
                              <w:keepNext w:val="0"/>
                              <w:keepLines w:val="0"/>
                              <w:widowControl/>
                              <w:suppressLineNumbers w:val="0"/>
                              <w:jc w:val="left"/>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 xml:space="preserve">□在交易中心网站上公示 </w:t>
                            </w:r>
                          </w:p>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□在招标公告发布的同一媒介上公示</w:t>
            </w:r>
          </w:p>
          <w:p>
            <w:pPr>
              <w:autoSpaceDE w:val="0"/>
              <w:autoSpaceDN w:val="0"/>
              <w:snapToGrid w:val="0"/>
              <w:spacing w:before="143"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□在交易中心网站上公示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227"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7.1</w:t>
            </w:r>
          </w:p>
        </w:tc>
        <w:tc>
          <w:tcPr>
            <w:tcW w:w="2596"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是否授权评标委员会确定</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中标人</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sz w:val="21"/>
                <w:u w:val="single" w:color="000000"/>
              </w:rPr>
            </w:pPr>
            <w:r>
              <w:rPr>
                <w:color w:val="auto"/>
                <w:sz w:val="21"/>
              </w:rPr>
              <mc:AlternateContent>
                <mc:Choice Requires="wps">
                  <w:drawing>
                    <wp:anchor distT="0" distB="0" distL="114300" distR="114300" simplePos="0" relativeHeight="251664384" behindDoc="0" locked="0" layoutInCell="1" allowOverlap="1">
                      <wp:simplePos x="0" y="0"/>
                      <wp:positionH relativeFrom="column">
                        <wp:posOffset>78105</wp:posOffset>
                      </wp:positionH>
                      <wp:positionV relativeFrom="paragraph">
                        <wp:posOffset>50800</wp:posOffset>
                      </wp:positionV>
                      <wp:extent cx="2645410" cy="412750"/>
                      <wp:effectExtent l="0" t="0" r="2540" b="6350"/>
                      <wp:wrapNone/>
                      <wp:docPr id="6" name="文本框 129"/>
                      <wp:cNvGraphicFramePr/>
                      <a:graphic xmlns:a="http://schemas.openxmlformats.org/drawingml/2006/main">
                        <a:graphicData uri="http://schemas.microsoft.com/office/word/2010/wordprocessingShape">
                          <wps:wsp>
                            <wps:cNvSpPr txBox="1"/>
                            <wps:spPr>
                              <a:xfrm>
                                <a:off x="0" y="0"/>
                                <a:ext cx="2645410" cy="412750"/>
                              </a:xfrm>
                              <a:prstGeom prst="rect">
                                <a:avLst/>
                              </a:prstGeom>
                              <a:solidFill>
                                <a:srgbClr val="FFFFFF"/>
                              </a:solidFill>
                              <a:ln>
                                <a:noFill/>
                              </a:ln>
                            </wps:spPr>
                            <wps:txbx>
                              <w:txbxContent>
                                <w:p>
                                  <w:pPr>
                                    <w:keepNext w:val="0"/>
                                    <w:keepLines w:val="0"/>
                                    <w:widowControl/>
                                    <w:suppressLineNumbers w:val="0"/>
                                    <w:jc w:val="left"/>
                                    <w:rPr>
                                      <w:rFonts w:hint="default"/>
                                      <w:lang w:val="en-US"/>
                                    </w:rPr>
                                  </w:pPr>
                                  <w:r>
                                    <w:rPr>
                                      <w:rFonts w:hint="eastAsia" w:ascii="宋体" w:hAnsi="宋体" w:eastAsia="宋体" w:cs="宋体"/>
                                      <w:sz w:val="21"/>
                                      <w:lang w:eastAsia="zh-CN"/>
                                    </w:rPr>
                                    <w:t>是</w:t>
                                  </w:r>
                                </w:p>
                              </w:txbxContent>
                            </wps:txbx>
                            <wps:bodyPr upright="1"/>
                          </wps:wsp>
                        </a:graphicData>
                      </a:graphic>
                    </wp:anchor>
                  </w:drawing>
                </mc:Choice>
                <mc:Fallback>
                  <w:pict>
                    <v:shape id="文本框 129" o:spid="_x0000_s1026" o:spt="202" type="#_x0000_t202" style="position:absolute;left:0pt;margin-left:6.15pt;margin-top:4pt;height:32.5pt;width:208.3pt;z-index:251664384;mso-width-relative:page;mso-height-relative:page;" fillcolor="#FFFFFF" filled="t" stroked="f" coordsize="21600,21600" o:gfxdata="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Bdv2oX1QAAAAcBAAAPAAAAAAAAAAEAIAAAACIAAABkcnMvZG93bnJldi54&#10;bWxQSwECFAAUAAAACACHTuJAS0X8mMQBAAB5AwAADgAAAAAAAAABACAAAAAkAQAAZHJzL2Uyb0Rv&#10;Yy54bWxQSwUGAAAAAAYABgBZAQAAWgUAAAAA&#10;">
                      <v:fill on="t" focussize="0,0"/>
                      <v:stroke on="f"/>
                      <v:imagedata o:title=""/>
                      <o:lock v:ext="edit" aspectratio="f"/>
                      <v:textbox>
                        <w:txbxContent>
                          <w:p>
                            <w:pPr>
                              <w:keepNext w:val="0"/>
                              <w:keepLines w:val="0"/>
                              <w:widowControl/>
                              <w:suppressLineNumbers w:val="0"/>
                              <w:jc w:val="left"/>
                              <w:rPr>
                                <w:rFonts w:hint="default"/>
                                <w:lang w:val="en-US"/>
                              </w:rPr>
                            </w:pPr>
                            <w:r>
                              <w:rPr>
                                <w:rFonts w:hint="eastAsia" w:ascii="宋体" w:hAnsi="宋体" w:eastAsia="宋体" w:cs="宋体"/>
                                <w:sz w:val="21"/>
                                <w:lang w:eastAsia="zh-CN"/>
                              </w:rPr>
                              <w:t>是</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□否，推荐的中标候选人数：</w:t>
            </w:r>
            <w:r>
              <w:rPr>
                <w:rFonts w:hint="default" w:ascii="宋体" w:hAnsi="宋体" w:eastAsia="宋体" w:cs="宋体"/>
                <w:color w:val="auto"/>
                <w:sz w:val="21"/>
                <w:u w:val="single" w:color="000000"/>
              </w:rPr>
              <w:t xml:space="preserve"> </w:t>
            </w:r>
            <w:r>
              <w:rPr>
                <w:rFonts w:hint="default" w:ascii="Times New Roman" w:hAnsi="Times New Roman" w:eastAsia="Times New Roman" w:cs="Times New Roman"/>
                <w:color w:val="auto"/>
                <w:spacing w:val="53"/>
                <w:sz w:val="21"/>
                <w:u w:val="single" w:color="000000"/>
              </w:rPr>
              <w:t>3</w:t>
            </w:r>
            <w:r>
              <w:rPr>
                <w:rFonts w:hint="default" w:ascii="宋体" w:hAnsi="宋体" w:eastAsia="宋体" w:cs="宋体"/>
                <w:color w:val="auto"/>
                <w:sz w:val="21"/>
                <w:u w:val="single" w:color="000000"/>
              </w:rPr>
              <w:t>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63"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7.3.1</w:t>
            </w: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履约保证金</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sz w:val="21"/>
              </w:rPr>
            </w:pPr>
            <w:r>
              <w:rPr>
                <w:color w:val="auto"/>
                <w:sz w:val="21"/>
              </w:rPr>
              <mc:AlternateContent>
                <mc:Choice Requires="wps">
                  <w:drawing>
                    <wp:anchor distT="0" distB="0" distL="114300" distR="114300" simplePos="0" relativeHeight="251665408" behindDoc="0" locked="0" layoutInCell="1" allowOverlap="1">
                      <wp:simplePos x="0" y="0"/>
                      <wp:positionH relativeFrom="column">
                        <wp:posOffset>14605</wp:posOffset>
                      </wp:positionH>
                      <wp:positionV relativeFrom="paragraph">
                        <wp:posOffset>43180</wp:posOffset>
                      </wp:positionV>
                      <wp:extent cx="3978910" cy="419100"/>
                      <wp:effectExtent l="0" t="0" r="2540" b="0"/>
                      <wp:wrapNone/>
                      <wp:docPr id="7" name="文本框 130"/>
                      <wp:cNvGraphicFramePr/>
                      <a:graphic xmlns:a="http://schemas.openxmlformats.org/drawingml/2006/main">
                        <a:graphicData uri="http://schemas.microsoft.com/office/word/2010/wordprocessingShape">
                          <wps:wsp>
                            <wps:cNvSpPr txBox="1"/>
                            <wps:spPr>
                              <a:xfrm>
                                <a:off x="0" y="0"/>
                                <a:ext cx="3978910" cy="419100"/>
                              </a:xfrm>
                              <a:prstGeom prst="rect">
                                <a:avLst/>
                              </a:prstGeom>
                              <a:solidFill>
                                <a:srgbClr val="FFFFFF"/>
                              </a:solid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无。</w:t>
                                  </w:r>
                                </w:p>
                              </w:txbxContent>
                            </wps:txbx>
                            <wps:bodyPr upright="1"/>
                          </wps:wsp>
                        </a:graphicData>
                      </a:graphic>
                    </wp:anchor>
                  </w:drawing>
                </mc:Choice>
                <mc:Fallback>
                  <w:pict>
                    <v:shape id="文本框 130" o:spid="_x0000_s1026" o:spt="202" type="#_x0000_t202" style="position:absolute;left:0pt;margin-left:1.15pt;margin-top:3.4pt;height:33pt;width:313.3pt;z-index:251665408;mso-width-relative:page;mso-height-relative:page;" fillcolor="#FFFFFF" filled="t" stroked="f" coordsize="21600,21600" o:gfxdata="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L3LP5/UAAAABgEAAA8AAAAAAAAAAQAgAAAAIgAAAGRycy9kb3ducmV2LnhtbFBL&#10;AQIUABQAAAAIAIdO4kCQ2S0EwQEAAHkDAAAOAAAAAAAAAAEAIAAAACMBAABkcnMvZTJvRG9jLnht&#10;bFBLBQYAAAAABgAGAFkBAABWBQAAAAA=&#10;">
                      <v:fill on="t"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无。</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□是</w:t>
            </w:r>
            <w:r>
              <w:rPr>
                <w:rFonts w:hint="default" w:ascii="宋体" w:hAnsi="宋体" w:eastAsia="宋体" w:cs="宋体"/>
                <w:color w:val="auto"/>
                <w:spacing w:val="53"/>
                <w:sz w:val="21"/>
              </w:rPr>
              <w:t xml:space="preserve"> </w:t>
            </w:r>
            <w:r>
              <w:rPr>
                <w:rFonts w:hint="default" w:ascii="宋体" w:hAnsi="宋体" w:eastAsia="宋体" w:cs="宋体"/>
                <w:color w:val="auto"/>
                <w:sz w:val="21"/>
              </w:rPr>
              <w:t>履约保证金的形式：现金形式</w:t>
            </w:r>
          </w:p>
          <w:p>
            <w:pPr>
              <w:autoSpaceDE w:val="0"/>
              <w:autoSpaceDN w:val="0"/>
              <w:snapToGrid w:val="0"/>
              <w:spacing w:before="26" w:after="0" w:line="409" w:lineRule="exact"/>
              <w:ind w:left="103" w:right="130" w:firstLine="0"/>
              <w:jc w:val="both"/>
              <w:textAlignment w:val="auto"/>
              <w:rPr>
                <w:rFonts w:hint="default" w:ascii="Times New Roman" w:hAnsi="Times New Roman" w:eastAsia="Times New Roman" w:cs="Times New Roman"/>
                <w:color w:val="auto"/>
                <w:sz w:val="21"/>
                <w:u w:val="single" w:color="000000"/>
              </w:rPr>
            </w:pPr>
            <w:r>
              <w:rPr>
                <w:rFonts w:hint="default" w:ascii="宋体" w:hAnsi="宋体" w:eastAsia="宋体" w:cs="宋体"/>
                <w:color w:val="auto"/>
                <w:spacing w:val="-1"/>
                <w:sz w:val="21"/>
              </w:rPr>
              <w:t>履约保证金的</w:t>
            </w:r>
            <w:r>
              <w:rPr>
                <w:rFonts w:hint="default" w:ascii="宋体" w:hAnsi="宋体" w:eastAsia="宋体" w:cs="宋体"/>
                <w:color w:val="auto"/>
                <w:sz w:val="21"/>
              </w:rPr>
              <w:t>金额：</w:t>
            </w:r>
            <w:r>
              <w:rPr>
                <w:rFonts w:hint="default" w:ascii="宋体" w:hAnsi="宋体" w:eastAsia="宋体" w:cs="宋体"/>
                <w:color w:val="auto"/>
                <w:sz w:val="21"/>
                <w:u w:val="single" w:color="000000"/>
              </w:rPr>
              <w:t xml:space="preserve">合同价款扣除建安劳保费、发包人材料价款、暂估专业工程、暂列金额后的 </w:t>
            </w:r>
            <w:r>
              <w:rPr>
                <w:rFonts w:hint="default" w:ascii="Times New Roman" w:hAnsi="Times New Roman" w:eastAsia="Times New Roman" w:cs="Times New Roman"/>
                <w:color w:val="auto"/>
                <w:sz w:val="21"/>
                <w:u w:val="single" w:color="000000"/>
              </w:rPr>
              <w:t>5%</w:t>
            </w:r>
          </w:p>
          <w:p>
            <w:pPr>
              <w:autoSpaceDE w:val="0"/>
              <w:autoSpaceDN w:val="0"/>
              <w:snapToGrid w:val="0"/>
              <w:spacing w:before="0" w:after="0" w:line="409" w:lineRule="exact"/>
              <w:ind w:left="103" w:right="2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投标人在收到</w:t>
            </w:r>
            <w:r>
              <w:rPr>
                <w:rFonts w:hint="default" w:ascii="宋体" w:hAnsi="宋体" w:eastAsia="宋体" w:cs="宋体"/>
                <w:color w:val="auto"/>
                <w:sz w:val="21"/>
              </w:rPr>
              <w:t>中标通知书后，须</w:t>
            </w:r>
            <w:r>
              <w:rPr>
                <w:rFonts w:hint="default" w:ascii="宋体" w:hAnsi="宋体" w:eastAsia="宋体" w:cs="宋体"/>
                <w:color w:val="auto"/>
                <w:spacing w:val="26"/>
                <w:sz w:val="21"/>
              </w:rPr>
              <w:t>在</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rPr>
              <w:t>日内向招标人足额提交履约保证金，否则招标人可以取消其中标资格。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0"/>
                <w:numId w:val="3"/>
              </w:numPr>
              <w:tabs>
                <w:tab w:val="left" w:pos="475"/>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需要补充的其他内容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3"/>
              </w:numPr>
              <w:tabs>
                <w:tab w:val="left" w:pos="580"/>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词语定义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2"/>
                <w:numId w:val="3"/>
              </w:numPr>
              <w:tabs>
                <w:tab w:val="left" w:pos="-655355"/>
              </w:tabs>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 xml:space="preserve"> </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类似项目</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类似项目是指：</w:t>
            </w:r>
            <w:r>
              <w:rPr>
                <w:rFonts w:hint="default" w:ascii="Times New Roman" w:hAnsi="Times New Roman" w:eastAsia="Times New Roman" w:cs="Times New Roman"/>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2"/>
                <w:numId w:val="3"/>
              </w:numPr>
              <w:tabs>
                <w:tab w:val="left" w:pos="-655355"/>
              </w:tabs>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 xml:space="preserve"> </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不良行为记录</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不良行为记录是指：</w:t>
            </w:r>
            <w:r>
              <w:rPr>
                <w:rFonts w:hint="default" w:ascii="Times New Roman" w:hAnsi="Times New Roman" w:eastAsia="Times New Roman" w:cs="Times New Roman"/>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numPr>
                <w:ilvl w:val="1"/>
                <w:numId w:val="4"/>
              </w:numPr>
              <w:tabs>
                <w:tab w:val="left" w:pos="580"/>
              </w:tabs>
              <w:autoSpaceDE w:val="0"/>
              <w:autoSpaceDN w:val="0"/>
              <w:snapToGrid w:val="0"/>
              <w:spacing w:before="102"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b/>
                <w:color w:val="auto"/>
                <w:sz w:val="21"/>
              </w:rPr>
              <w:t xml:space="preserve"> </w:t>
            </w:r>
          </w:p>
        </w:tc>
        <w:tc>
          <w:tcPr>
            <w:tcW w:w="2596" w:type="dxa"/>
            <w:vAlign w:val="top"/>
          </w:tcPr>
          <w:p>
            <w:pPr>
              <w:autoSpaceDE w:val="0"/>
              <w:autoSpaceDN w:val="0"/>
              <w:snapToGrid w:val="0"/>
              <w:spacing w:before="18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农民工工资保证金</w:t>
            </w:r>
          </w:p>
        </w:tc>
        <w:tc>
          <w:tcPr>
            <w:tcW w:w="6333" w:type="dxa"/>
            <w:vAlign w:val="top"/>
          </w:tcPr>
          <w:p>
            <w:pPr>
              <w:autoSpaceDE w:val="0"/>
              <w:autoSpaceDN w:val="0"/>
              <w:snapToGrid w:val="0"/>
              <w:spacing w:before="18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按桂劳社发[2009]5</w:t>
            </w:r>
            <w:r>
              <w:rPr>
                <w:rFonts w:hint="default" w:ascii="宋体" w:hAnsi="宋体" w:eastAsia="宋体" w:cs="宋体"/>
                <w:color w:val="auto"/>
                <w:spacing w:val="53"/>
                <w:sz w:val="21"/>
              </w:rPr>
              <w:t>0</w:t>
            </w:r>
            <w:r>
              <w:rPr>
                <w:rFonts w:hint="default" w:ascii="宋体" w:hAnsi="宋体" w:eastAsia="宋体" w:cs="宋体"/>
                <w:color w:val="auto"/>
                <w:sz w:val="21"/>
              </w:rPr>
              <w:t>号执行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4"/>
              </w:numPr>
              <w:tabs>
                <w:tab w:val="left" w:pos="580"/>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招标控制价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40" w:hRule="exact"/>
        </w:trPr>
        <w:tc>
          <w:tcPr>
            <w:tcW w:w="1207"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40" w:lineRule="auto"/>
              <w:ind w:left="0" w:right="0" w:firstLine="0"/>
              <w:jc w:val="left"/>
              <w:textAlignment w:val="auto"/>
              <w:rPr>
                <w:rFonts w:hint="default" w:ascii="宋体" w:hAnsi="宋体" w:eastAsia="宋体" w:cs="宋体"/>
                <w:color w:val="auto"/>
                <w:sz w:val="21"/>
              </w:rPr>
            </w:pPr>
          </w:p>
        </w:tc>
        <w:tc>
          <w:tcPr>
            <w:tcW w:w="2596" w:type="dxa"/>
            <w:vAlign w:val="center"/>
          </w:tcPr>
          <w:p>
            <w:pPr>
              <w:keepNext w:val="0"/>
              <w:keepLines w:val="0"/>
              <w:pageBreakBefore w:val="0"/>
              <w:widowControl w:val="0"/>
              <w:kinsoku/>
              <w:wordWrap/>
              <w:overflowPunct/>
              <w:topLinePunct w:val="0"/>
              <w:autoSpaceDE w:val="0"/>
              <w:autoSpaceDN w:val="0"/>
              <w:bidi w:val="0"/>
              <w:adjustRightInd/>
              <w:snapToGrid w:val="0"/>
              <w:spacing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招标控制价</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b/>
                <w:color w:val="auto"/>
                <w:sz w:val="21"/>
              </w:rPr>
            </w:pPr>
            <w:r>
              <w:rPr>
                <w:color w:val="auto"/>
                <w:sz w:val="21"/>
              </w:rPr>
              <mc:AlternateContent>
                <mc:Choice Requires="wps">
                  <w:drawing>
                    <wp:anchor distT="0" distB="0" distL="114300" distR="114300" simplePos="0" relativeHeight="251666432" behindDoc="0" locked="0" layoutInCell="1" allowOverlap="1">
                      <wp:simplePos x="0" y="0"/>
                      <wp:positionH relativeFrom="column">
                        <wp:posOffset>120015</wp:posOffset>
                      </wp:positionH>
                      <wp:positionV relativeFrom="paragraph">
                        <wp:posOffset>91440</wp:posOffset>
                      </wp:positionV>
                      <wp:extent cx="3861435" cy="1356995"/>
                      <wp:effectExtent l="0" t="0" r="5715" b="14605"/>
                      <wp:wrapNone/>
                      <wp:docPr id="8" name="文本框 131"/>
                      <wp:cNvGraphicFramePr/>
                      <a:graphic xmlns:a="http://schemas.openxmlformats.org/drawingml/2006/main">
                        <a:graphicData uri="http://schemas.microsoft.com/office/word/2010/wordprocessingShape">
                          <wps:wsp>
                            <wps:cNvSpPr txBox="1"/>
                            <wps:spPr>
                              <a:xfrm>
                                <a:off x="0" y="0"/>
                                <a:ext cx="3861435" cy="1356995"/>
                              </a:xfrm>
                              <a:prstGeom prst="rect">
                                <a:avLst/>
                              </a:prstGeom>
                              <a:solidFill>
                                <a:srgbClr val="FFFFFF"/>
                              </a:solid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color w:val="auto"/>
                                      <w:sz w:val="21"/>
                                      <w:lang w:eastAsia="zh-CN"/>
                                    </w:rPr>
                                    <w:t>☑</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设招标控制价：壹佰伍拾肆万伍仟肆佰肆拾伍元柒角叁分（1545445.73元），其中：</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莲山镇罗山村委牛背岭村主干道风貌提升工程</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：1164927.69元；</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莲山镇洋狮村委村集体经济加工车间</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：380518.04元。</w:t>
                                  </w:r>
                                </w:p>
                              </w:txbxContent>
                            </wps:txbx>
                            <wps:bodyPr upright="1"/>
                          </wps:wsp>
                        </a:graphicData>
                      </a:graphic>
                    </wp:anchor>
                  </w:drawing>
                </mc:Choice>
                <mc:Fallback>
                  <w:pict>
                    <v:shape id="文本框 131" o:spid="_x0000_s1026" o:spt="202" type="#_x0000_t202" style="position:absolute;left:0pt;margin-left:9.45pt;margin-top:7.2pt;height:106.85pt;width:304.05pt;z-index:251666432;mso-width-relative:page;mso-height-relative:page;" fillcolor="#FFFFFF" filled="t" stroked="f" coordsize="21600,21600" o:gfxdata="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CkycKXXAAAACQEAAA8AAAAAAAAAAQAgAAAAIgAAAGRycy9kb3ducmV2&#10;LnhtbFBLAQIUABQAAAAIAIdO4kAGUHVaxAEAAHoDAAAOAAAAAAAAAAEAIAAAACYBAABkcnMvZTJv&#10;RG9jLnhtbFBLBQYAAAAABgAGAFkBAABcBQAAAAA=&#10;">
                      <v:fill on="t"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eastAsia" w:ascii="宋体" w:hAnsi="宋体" w:eastAsia="宋体" w:cs="宋体"/>
                                <w:color w:val="auto"/>
                                <w:sz w:val="21"/>
                                <w:lang w:eastAsia="zh-CN"/>
                              </w:rPr>
                              <w:t>☑</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设招标控制价：壹佰伍拾肆万伍仟肆佰肆拾伍元柒角叁分（1545445.73元），其中：</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莲山镇罗山村委牛背岭村主干道风貌提升工程</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：1164927.69元；</w:t>
                            </w:r>
                          </w:p>
                          <w:p>
                            <w:pPr>
                              <w:keepNext w:val="0"/>
                              <w:keepLines w:val="0"/>
                              <w:pageBreakBefore w:val="0"/>
                              <w:widowControl/>
                              <w:suppressLineNumbers w:val="0"/>
                              <w:kinsoku/>
                              <w:wordWrap/>
                              <w:overflowPunct/>
                              <w:topLinePunct w:val="0"/>
                              <w:autoSpaceDE/>
                              <w:autoSpaceDN/>
                              <w:bidi w:val="0"/>
                              <w:adjustRightInd/>
                              <w:snapToGrid/>
                              <w:spacing w:line="480" w:lineRule="exact"/>
                              <w:jc w:val="left"/>
                              <w:textAlignment w:val="auto"/>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pPr>
                            <w:r>
                              <w:rPr>
                                <w:rFonts w:hint="default" w:ascii="宋体" w:hAnsi="宋体" w:eastAsia="宋体" w:cs="宋体"/>
                                <w:b w:val="0"/>
                                <w:i w:val="0"/>
                                <w:strike w:val="0"/>
                                <w:color w:val="auto"/>
                                <w:spacing w:val="0"/>
                                <w:w w:val="100"/>
                                <w:kern w:val="0"/>
                                <w:position w:val="0"/>
                                <w:sz w:val="21"/>
                                <w:szCs w:val="21"/>
                                <w:highlight w:val="none"/>
                                <w:u w:val="none"/>
                                <w:vertAlign w:val="baseline"/>
                                <w:lang w:val="en-US" w:eastAsia="zh-CN" w:bidi="ar"/>
                              </w:rPr>
                              <w:t>莲山镇洋狮村委村集体经济加工车间</w:t>
                            </w:r>
                            <w:r>
                              <w:rPr>
                                <w:rFonts w:hint="eastAsia" w:ascii="宋体" w:hAnsi="宋体" w:eastAsia="宋体" w:cs="宋体"/>
                                <w:b w:val="0"/>
                                <w:i w:val="0"/>
                                <w:strike w:val="0"/>
                                <w:color w:val="auto"/>
                                <w:spacing w:val="0"/>
                                <w:w w:val="100"/>
                                <w:kern w:val="0"/>
                                <w:position w:val="0"/>
                                <w:sz w:val="21"/>
                                <w:szCs w:val="21"/>
                                <w:highlight w:val="none"/>
                                <w:u w:val="none"/>
                                <w:vertAlign w:val="baseline"/>
                                <w:lang w:val="en-US" w:eastAsia="zh-CN" w:bidi="ar"/>
                              </w:rPr>
                              <w:t>：380518.04元。</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sym w:font="Wingdings 2" w:char="0052"/>
            </w:r>
            <w:r>
              <w:rPr>
                <w:rFonts w:hint="default" w:ascii="宋体" w:hAnsi="宋体" w:eastAsia="宋体" w:cs="宋体"/>
                <w:color w:val="auto"/>
                <w:position w:val="1"/>
                <w:sz w:val="21"/>
              </w:rPr>
              <w:t>设招标控制价：</w:t>
            </w:r>
            <w:r>
              <w:rPr>
                <w:rFonts w:hint="default" w:ascii="宋体" w:hAnsi="宋体" w:eastAsia="宋体" w:cs="宋体"/>
                <w:b/>
                <w:color w:val="auto"/>
                <w:sz w:val="21"/>
              </w:rPr>
              <w:t>壹仟零捌拾捌万贰仟捌佰玖拾叁元整</w:t>
            </w:r>
          </w:p>
          <w:p>
            <w:pPr>
              <w:autoSpaceDE w:val="0"/>
              <w:autoSpaceDN w:val="0"/>
              <w:snapToGrid w:val="0"/>
              <w:spacing w:before="14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10882893.00</w:t>
            </w:r>
            <w:r>
              <w:rPr>
                <w:rFonts w:hint="default" w:ascii="宋体" w:hAnsi="宋体" w:eastAsia="宋体" w:cs="宋体"/>
                <w:b/>
                <w:color w:val="auto"/>
                <w:sz w:val="21"/>
              </w:rPr>
              <w:t>），其中：</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第一标段招标控制价为人民币：壹佰贰拾伍万伍仟叁佰伍拾玖元壹角柒分（￥</w:t>
            </w:r>
            <w:r>
              <w:rPr>
                <w:rFonts w:hint="default" w:ascii="Times New Roman" w:hAnsi="Times New Roman" w:eastAsia="Times New Roman" w:cs="Times New Roman"/>
                <w:b/>
                <w:color w:val="auto"/>
                <w:sz w:val="21"/>
              </w:rPr>
              <w:t>1255359.17</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第二标段招标控制价为人民币：伍拾贰万柒仟陆佰伍拾伍元整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527655.00</w:t>
            </w:r>
            <w:r>
              <w:rPr>
                <w:rFonts w:hint="default" w:ascii="宋体" w:hAnsi="宋体" w:eastAsia="宋体" w:cs="宋体"/>
                <w:b/>
                <w:color w:val="auto"/>
                <w:sz w:val="21"/>
              </w:rPr>
              <w:t>）；</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第三标段招标控制价为人民币：壹佰叁拾玖万零壹佰叁拾柒元整（￥</w:t>
            </w:r>
            <w:r>
              <w:rPr>
                <w:rFonts w:hint="default" w:ascii="Times New Roman" w:hAnsi="Times New Roman" w:eastAsia="Times New Roman" w:cs="Times New Roman"/>
                <w:b/>
                <w:color w:val="auto"/>
                <w:sz w:val="21"/>
              </w:rPr>
              <w:t>1390137.00</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第四标段招标控制价为人民币：陆拾柒万壹仟壹佰贰拾捌元整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671128.00</w:t>
            </w:r>
            <w:r>
              <w:rPr>
                <w:rFonts w:hint="default" w:ascii="宋体" w:hAnsi="宋体" w:eastAsia="宋体" w:cs="宋体"/>
                <w:b/>
                <w:color w:val="auto"/>
                <w:sz w:val="21"/>
              </w:rPr>
              <w:t>）；</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第五标段招标控制价为人民币：贰佰壹拾贰万壹仟壹佰零玖元整（￥</w:t>
            </w:r>
            <w:r>
              <w:rPr>
                <w:rFonts w:hint="default" w:ascii="Times New Roman" w:hAnsi="Times New Roman" w:eastAsia="Times New Roman" w:cs="Times New Roman"/>
                <w:b/>
                <w:color w:val="auto"/>
                <w:sz w:val="21"/>
              </w:rPr>
              <w:t>2121109.00</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第六标段招标控制价为人民币：玖拾伍万叁仟壹佰捌拾肆元整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953184.00</w:t>
            </w:r>
            <w:r>
              <w:rPr>
                <w:rFonts w:hint="default" w:ascii="宋体" w:hAnsi="宋体" w:eastAsia="宋体" w:cs="宋体"/>
                <w:b/>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第七标段招标控制价为人民币：玖拾叁万玖仟伍佰捌拾肆元整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939584.00</w:t>
            </w:r>
            <w:r>
              <w:rPr>
                <w:rFonts w:hint="default" w:ascii="宋体" w:hAnsi="宋体" w:eastAsia="宋体" w:cs="宋体"/>
                <w:b/>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第八标段招标控制价为人民币：玖拾玖万捌仟玖佰叁拾玖元整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998939.00</w:t>
            </w:r>
            <w:r>
              <w:rPr>
                <w:rFonts w:hint="default" w:ascii="宋体" w:hAnsi="宋体" w:eastAsia="宋体" w:cs="宋体"/>
                <w:b/>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第九标段招标控制价为人民币：捌拾玖万零肆佰伍拾捌元整</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890458.00</w:t>
            </w:r>
            <w:r>
              <w:rPr>
                <w:rFonts w:hint="default" w:ascii="宋体" w:hAnsi="宋体" w:eastAsia="宋体" w:cs="宋体"/>
                <w:b/>
                <w:color w:val="auto"/>
                <w:sz w:val="21"/>
              </w:rPr>
              <w:t>）</w:t>
            </w:r>
          </w:p>
          <w:p>
            <w:pPr>
              <w:autoSpaceDE w:val="0"/>
              <w:autoSpaceDN w:val="0"/>
              <w:snapToGrid w:val="0"/>
              <w:spacing w:before="29" w:after="0" w:line="408" w:lineRule="exact"/>
              <w:ind w:left="103" w:right="300" w:firstLine="0"/>
              <w:jc w:val="both"/>
              <w:textAlignment w:val="auto"/>
              <w:rPr>
                <w:rFonts w:hint="default" w:ascii="宋体" w:hAnsi="宋体" w:eastAsia="宋体" w:cs="宋体"/>
                <w:b/>
                <w:color w:val="auto"/>
                <w:sz w:val="21"/>
              </w:rPr>
            </w:pPr>
            <w:r>
              <w:rPr>
                <w:rFonts w:hint="default" w:ascii="宋体" w:hAnsi="宋体" w:eastAsia="宋体" w:cs="宋体"/>
                <w:b/>
                <w:color w:val="auto"/>
                <w:sz w:val="21"/>
              </w:rPr>
              <w:t>第十标段招标控制价为人民币：壹佰壹拾叁万伍仟叁佰叁拾玖元捌角叁分（￥</w:t>
            </w:r>
            <w:r>
              <w:rPr>
                <w:rFonts w:hint="default" w:ascii="Times New Roman" w:hAnsi="Times New Roman" w:eastAsia="Times New Roman" w:cs="Times New Roman"/>
                <w:b/>
                <w:color w:val="auto"/>
                <w:sz w:val="21"/>
              </w:rPr>
              <w:t>1135339.83</w:t>
            </w:r>
            <w:r>
              <w:rPr>
                <w:rFonts w:hint="default" w:ascii="宋体" w:hAnsi="宋体" w:eastAsia="宋体" w:cs="宋体"/>
                <w:b/>
                <w:color w:val="auto"/>
                <w:sz w:val="21"/>
              </w:rPr>
              <w:t>）</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投标报价高于该控制价的投标无效。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5"/>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 xml:space="preserve">技术标 </w:t>
            </w:r>
            <w:r>
              <w:rPr>
                <w:rFonts w:hint="default" w:ascii="Times New Roman" w:hAnsi="Times New Roman" w:eastAsia="Times New Roman" w:cs="Times New Roman"/>
                <w:color w:val="auto"/>
                <w:sz w:val="21"/>
              </w:rPr>
              <w:t>“</w:t>
            </w:r>
            <w:r>
              <w:rPr>
                <w:rFonts w:hint="default" w:ascii="宋体" w:hAnsi="宋体" w:eastAsia="宋体" w:cs="宋体"/>
                <w:color w:val="auto"/>
                <w:sz w:val="21"/>
              </w:rPr>
              <w:t>暗标</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评审方式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施工组织设计是否采用</w:t>
            </w:r>
          </w:p>
          <w:p>
            <w:pPr>
              <w:autoSpaceDE w:val="0"/>
              <w:autoSpaceDN w:val="0"/>
              <w:snapToGrid w:val="0"/>
              <w:spacing w:before="146" w:after="0" w:line="240" w:lineRule="auto"/>
              <w:ind w:left="103"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w:t>
            </w:r>
            <w:r>
              <w:rPr>
                <w:rFonts w:hint="default" w:ascii="宋体" w:hAnsi="宋体" w:eastAsia="宋体" w:cs="宋体"/>
                <w:color w:val="auto"/>
                <w:sz w:val="21"/>
              </w:rPr>
              <w:t>暗标</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评审方式</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position w:val="1"/>
                <w:sz w:val="21"/>
              </w:rPr>
            </w:pPr>
            <w:r>
              <w:rPr>
                <w:color w:val="auto"/>
                <w:sz w:val="21"/>
              </w:rPr>
              <mc:AlternateContent>
                <mc:Choice Requires="wps">
                  <w:drawing>
                    <wp:anchor distT="0" distB="0" distL="114300" distR="114300" simplePos="0" relativeHeight="251667456" behindDoc="0" locked="0" layoutInCell="1" allowOverlap="1">
                      <wp:simplePos x="0" y="0"/>
                      <wp:positionH relativeFrom="column">
                        <wp:posOffset>35560</wp:posOffset>
                      </wp:positionH>
                      <wp:positionV relativeFrom="paragraph">
                        <wp:posOffset>42545</wp:posOffset>
                      </wp:positionV>
                      <wp:extent cx="1767205" cy="444500"/>
                      <wp:effectExtent l="0" t="0" r="4445" b="12700"/>
                      <wp:wrapNone/>
                      <wp:docPr id="9" name="文本框 132"/>
                      <wp:cNvGraphicFramePr/>
                      <a:graphic xmlns:a="http://schemas.openxmlformats.org/drawingml/2006/main">
                        <a:graphicData uri="http://schemas.microsoft.com/office/word/2010/wordprocessingShape">
                          <wps:wsp>
                            <wps:cNvSpPr txBox="1"/>
                            <wps:spPr>
                              <a:xfrm>
                                <a:off x="0" y="0"/>
                                <a:ext cx="1767205" cy="444500"/>
                              </a:xfrm>
                              <a:prstGeom prst="rect">
                                <a:avLst/>
                              </a:prstGeom>
                              <a:solidFill>
                                <a:srgbClr val="FFFFFF"/>
                              </a:solidFill>
                              <a:ln>
                                <a:noFill/>
                              </a:ln>
                            </wps:spPr>
                            <wps:txb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不采用</w:t>
                                  </w:r>
                                </w:p>
                              </w:txbxContent>
                            </wps:txbx>
                            <wps:bodyPr upright="1"/>
                          </wps:wsp>
                        </a:graphicData>
                      </a:graphic>
                    </wp:anchor>
                  </w:drawing>
                </mc:Choice>
                <mc:Fallback>
                  <w:pict>
                    <v:shape id="文本框 132" o:spid="_x0000_s1026" o:spt="202" type="#_x0000_t202" style="position:absolute;left:0pt;margin-left:2.8pt;margin-top:3.35pt;height:35pt;width:139.15pt;z-index:251667456;mso-width-relative:page;mso-height-relative:page;" fillcolor="#FFFFFF" filled="t" stroked="f" coordsize="21600,21600" o:gfxdata="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BCyiX7UAAAABgEAAA8AAAAAAAAAAQAgAAAAIgAAAGRycy9kb3ducmV2Lnht&#10;bFBLAQIUABQAAAAIAIdO4kDKI9qwxAEAAHkDAAAOAAAAAAAAAAEAIAAAACMBAABkcnMvZTJvRG9j&#10;LnhtbFBLBQYAAAAABgAGAFkBAABZBQAAAAA=&#10;">
                      <v:fill on="t" focussize="0,0"/>
                      <v:stroke on="f"/>
                      <v:imagedata o:title=""/>
                      <o:lock v:ext="edit" aspectratio="f"/>
                      <v:textbox>
                        <w:txbxContent>
                          <w:p>
                            <w:pPr>
                              <w:keepNext w:val="0"/>
                              <w:keepLines w:val="0"/>
                              <w:widowControl/>
                              <w:suppressLineNumbers w:val="0"/>
                              <w:jc w:val="left"/>
                            </w:pPr>
                            <w:r>
                              <w:rPr>
                                <w:rFonts w:hint="eastAsia" w:ascii="宋体" w:hAnsi="宋体" w:eastAsia="宋体" w:cs="宋体"/>
                                <w:sz w:val="21"/>
                                <w:lang w:eastAsia="zh-CN"/>
                              </w:rPr>
                              <w:t>☑</w:t>
                            </w: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不采用</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□不采用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5"/>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position w:val="1"/>
                <w:sz w:val="21"/>
              </w:rPr>
              <w:t>投标文件电子版</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56" w:hRule="exact"/>
        </w:trPr>
        <w:tc>
          <w:tcPr>
            <w:tcW w:w="1207"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position w:val="1"/>
                <w:sz w:val="21"/>
              </w:rPr>
            </w:pPr>
          </w:p>
        </w:tc>
        <w:tc>
          <w:tcPr>
            <w:tcW w:w="2596" w:type="dxa"/>
            <w:vMerge w:val="restart"/>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position w:val="1"/>
                <w:sz w:val="21"/>
              </w:rPr>
            </w:pPr>
            <w:r>
              <w:rPr>
                <w:rFonts w:hint="default" w:ascii="宋体" w:hAnsi="宋体" w:eastAsia="宋体" w:cs="宋体"/>
                <w:color w:val="auto"/>
                <w:position w:val="1"/>
                <w:sz w:val="21"/>
              </w:rPr>
              <w:t>投标人在递交投标文件</w:t>
            </w:r>
          </w:p>
          <w:p>
            <w:pPr>
              <w:autoSpaceDE w:val="0"/>
              <w:autoSpaceDN w:val="0"/>
              <w:snapToGrid w:val="0"/>
              <w:spacing w:before="29" w:after="0" w:line="409" w:lineRule="exact"/>
              <w:ind w:left="103" w:right="17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时，同时递交</w:t>
            </w:r>
            <w:r>
              <w:rPr>
                <w:rFonts w:hint="default" w:ascii="宋体" w:hAnsi="宋体" w:eastAsia="宋体" w:cs="宋体"/>
                <w:color w:val="auto"/>
                <w:sz w:val="21"/>
              </w:rPr>
              <w:t>投标文件电子版</w:t>
            </w:r>
          </w:p>
        </w:tc>
        <w:tc>
          <w:tcPr>
            <w:tcW w:w="6333" w:type="dxa"/>
            <w:tcBorders>
              <w:bottom w:val="nil"/>
            </w:tcBorders>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投标文件电子版内容：</w:t>
            </w:r>
            <w:r>
              <w:rPr>
                <w:rFonts w:hint="default" w:ascii="宋体" w:hAnsi="宋体" w:eastAsia="宋体" w:cs="宋体"/>
                <w:color w:val="auto"/>
                <w:sz w:val="21"/>
                <w:u w:val="single" w:color="000000"/>
              </w:rPr>
              <w:t xml:space="preserve"> 工程量清单报价部分 </w:t>
            </w:r>
            <w:r>
              <w:rPr>
                <w:rFonts w:hint="default" w:ascii="宋体" w:hAnsi="宋体" w:eastAsia="宋体" w:cs="宋体"/>
                <w:color w:val="auto"/>
                <w:sz w:val="21"/>
              </w:rPr>
              <w:t>。</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投标文件电子版份数：</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szCs w:val="22"/>
                <w:u w:val="single" w:color="000000"/>
                <w:lang w:val="en-US" w:eastAsia="zh-CN"/>
              </w:rPr>
              <w:t xml:space="preserve">1 份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9" w:hRule="exact"/>
        </w:trPr>
        <w:tc>
          <w:tcPr>
            <w:tcW w:w="120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59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6333" w:type="dxa"/>
            <w:tcBorders>
              <w:top w:val="nil"/>
            </w:tcBorders>
            <w:vAlign w:val="top"/>
          </w:tcPr>
          <w:p>
            <w:pPr>
              <w:autoSpaceDE w:val="0"/>
              <w:autoSpaceDN w:val="0"/>
              <w:snapToGrid w:val="0"/>
              <w:spacing w:before="159"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投标文件电子版形式：</w:t>
            </w:r>
            <w:r>
              <w:rPr>
                <w:rFonts w:hint="default" w:ascii="宋体" w:hAnsi="宋体" w:eastAsia="宋体" w:cs="宋体"/>
                <w:color w:val="auto"/>
                <w:sz w:val="21"/>
                <w:u w:val="single" w:color="000000"/>
              </w:rPr>
              <w:t xml:space="preserve"> 工程量清单为计价软件格式 </w:t>
            </w: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207"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条款号</w:t>
            </w:r>
          </w:p>
        </w:tc>
        <w:tc>
          <w:tcPr>
            <w:tcW w:w="2596"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条</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款</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名</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称</w:t>
            </w:r>
          </w:p>
        </w:tc>
        <w:tc>
          <w:tcPr>
            <w:tcW w:w="6333"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编</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列</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内</w:t>
            </w:r>
            <w:r>
              <w:rPr>
                <w:rFonts w:hint="default" w:ascii="宋体" w:hAnsi="宋体" w:eastAsia="宋体" w:cs="宋体"/>
                <w:b/>
                <w:color w:val="auto"/>
                <w:spacing w:val="53"/>
                <w:sz w:val="21"/>
              </w:rPr>
              <w:t xml:space="preserve"> </w:t>
            </w:r>
            <w:r>
              <w:rPr>
                <w:rFonts w:hint="default" w:ascii="宋体" w:hAnsi="宋体" w:eastAsia="宋体" w:cs="宋体"/>
                <w:b/>
                <w:color w:val="auto"/>
                <w:sz w:val="21"/>
              </w:rPr>
              <w:t>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59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6333"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投标文件电子版包封、密封、标识要求：同前</w:t>
            </w:r>
            <w:r>
              <w:rPr>
                <w:rFonts w:hint="default" w:ascii="宋体" w:hAnsi="宋体" w:eastAsia="宋体" w:cs="宋体"/>
                <w:color w:val="auto"/>
                <w:spacing w:val="26"/>
                <w:sz w:val="21"/>
              </w:rPr>
              <w:t>述</w:t>
            </w:r>
            <w:r>
              <w:rPr>
                <w:rFonts w:hint="default" w:ascii="Times New Roman" w:hAnsi="Times New Roman" w:eastAsia="Times New Roman" w:cs="Times New Roman"/>
                <w:color w:val="auto"/>
                <w:sz w:val="21"/>
              </w:rPr>
              <w:t>4.1.</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w:t>
            </w:r>
            <w:r>
              <w:rPr>
                <w:rFonts w:hint="default" w:ascii="宋体" w:hAnsi="宋体" w:eastAsia="宋体" w:cs="宋体"/>
                <w:color w:val="auto"/>
                <w:spacing w:val="26"/>
                <w:sz w:val="21"/>
              </w:rPr>
              <w:t>和</w:t>
            </w:r>
            <w:r>
              <w:rPr>
                <w:rFonts w:hint="default" w:ascii="Times New Roman" w:hAnsi="Times New Roman" w:eastAsia="Times New Roman" w:cs="Times New Roman"/>
                <w:color w:val="auto"/>
                <w:sz w:val="21"/>
              </w:rPr>
              <w:t>4.1.</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autoSpaceDE w:val="0"/>
              <w:autoSpaceDN w:val="0"/>
              <w:snapToGrid w:val="0"/>
              <w:spacing w:before="83" w:after="0" w:line="240" w:lineRule="auto"/>
              <w:ind w:left="103"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10.6 </w:t>
            </w:r>
            <w:r>
              <w:rPr>
                <w:rFonts w:hint="default" w:ascii="宋体" w:hAnsi="宋体" w:eastAsia="宋体" w:cs="宋体"/>
                <w:color w:val="auto"/>
                <w:sz w:val="21"/>
              </w:rPr>
              <w:t>知识产权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6"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构成本招标文件各个组成部分的文件，未经招标人书面同意，投标人不得擅自复印和用于非本</w:t>
            </w:r>
          </w:p>
          <w:p>
            <w:pPr>
              <w:autoSpaceDE w:val="0"/>
              <w:autoSpaceDN w:val="0"/>
              <w:snapToGrid w:val="0"/>
              <w:spacing w:before="29" w:after="0" w:line="408" w:lineRule="exact"/>
              <w:ind w:left="103" w:right="20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招标项目所需</w:t>
            </w:r>
            <w:r>
              <w:rPr>
                <w:rFonts w:hint="default" w:ascii="宋体" w:hAnsi="宋体" w:eastAsia="宋体" w:cs="宋体"/>
                <w:color w:val="auto"/>
                <w:sz w:val="21"/>
              </w:rPr>
              <w:t>的其他目的。招标人全部或者部分使用未中标人投标文件中的技术成果或技术方案时，需征得其书面同意，并不得擅自复印或提供给第三人。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6"/>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重新招标的其他情形</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除投标人须知正文</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8</w:t>
            </w:r>
            <w:r>
              <w:rPr>
                <w:rFonts w:hint="default" w:ascii="宋体" w:hAnsi="宋体" w:eastAsia="宋体" w:cs="宋体"/>
                <w:color w:val="auto"/>
                <w:sz w:val="21"/>
              </w:rPr>
              <w:t>条规定的情形外，除非已经产生中标候选人，在投标有效期内同意延长</w:t>
            </w:r>
          </w:p>
          <w:p>
            <w:pPr>
              <w:autoSpaceDE w:val="0"/>
              <w:autoSpaceDN w:val="0"/>
              <w:snapToGrid w:val="0"/>
              <w:spacing w:before="29" w:after="0" w:line="408" w:lineRule="exact"/>
              <w:ind w:left="103" w:right="20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投标有效期的</w:t>
            </w:r>
            <w:r>
              <w:rPr>
                <w:rFonts w:hint="default" w:ascii="宋体" w:hAnsi="宋体" w:eastAsia="宋体" w:cs="宋体"/>
                <w:color w:val="auto"/>
                <w:sz w:val="21"/>
              </w:rPr>
              <w:t>投标人少于三个的，招标人在分析招标失败的原因并采取相应措施后，应当依法重新招标。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6"/>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同义词语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vAlign w:val="top"/>
          </w:tcPr>
          <w:p>
            <w:pPr>
              <w:autoSpaceDE w:val="0"/>
              <w:autoSpaceDN w:val="0"/>
              <w:snapToGrid w:val="0"/>
              <w:spacing w:before="3" w:after="0" w:line="263"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构成招标文件组成部分的</w:t>
            </w:r>
            <w:r>
              <w:rPr>
                <w:rFonts w:hint="default" w:ascii="Times New Roman" w:hAnsi="Times New Roman" w:eastAsia="Times New Roman" w:cs="Times New Roman"/>
                <w:color w:val="auto"/>
                <w:sz w:val="21"/>
              </w:rPr>
              <w:t>“</w:t>
            </w:r>
            <w:r>
              <w:rPr>
                <w:rFonts w:hint="default" w:ascii="宋体" w:hAnsi="宋体" w:eastAsia="宋体" w:cs="宋体"/>
                <w:color w:val="auto"/>
                <w:sz w:val="21"/>
              </w:rPr>
              <w:t>通用合同条款</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专用合同条款</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技术标准和要求</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w:t>
            </w:r>
          </w:p>
          <w:p>
            <w:pPr>
              <w:autoSpaceDE w:val="0"/>
              <w:autoSpaceDN w:val="0"/>
              <w:snapToGrid w:val="0"/>
              <w:spacing w:before="29" w:after="0" w:line="409" w:lineRule="exact"/>
              <w:ind w:left="92" w:right="218"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单</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等章节中出现的措辞</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发包人</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和</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承包人</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，在招标投标阶段应当分别</w:t>
            </w:r>
            <w:r>
              <w:rPr>
                <w:rFonts w:hint="default" w:ascii="宋体" w:hAnsi="宋体" w:eastAsia="宋体" w:cs="宋体"/>
                <w:color w:val="auto"/>
                <w:sz w:val="21"/>
              </w:rPr>
              <w:t>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招标人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w:t>
            </w:r>
            <w:r>
              <w:rPr>
                <w:rFonts w:hint="default" w:ascii="Times New Roman" w:hAnsi="Times New Roman" w:eastAsia="Times New Roman" w:cs="Times New Roman"/>
                <w:color w:val="auto"/>
                <w:sz w:val="21"/>
              </w:rPr>
              <w:t xml:space="preserve">” </w:t>
            </w:r>
            <w:r>
              <w:rPr>
                <w:rFonts w:hint="default" w:ascii="宋体" w:hAnsi="宋体" w:eastAsia="宋体" w:cs="宋体"/>
                <w:color w:val="auto"/>
                <w:sz w:val="21"/>
              </w:rPr>
              <w:t>进行理解。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6"/>
              </w:numPr>
              <w:tabs>
                <w:tab w:val="left" w:pos="528"/>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120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vAlign w:val="top"/>
          </w:tcPr>
          <w:p>
            <w:pPr>
              <w:autoSpaceDE w:val="0"/>
              <w:autoSpaceDN w:val="0"/>
              <w:snapToGrid w:val="0"/>
              <w:spacing w:before="3" w:after="0" w:line="263"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本项目为非报建项目，本项目的招标投标活动及其相关当事人不须接受有管辖权的建设工程招</w:t>
            </w:r>
          </w:p>
          <w:p>
            <w:pPr>
              <w:autoSpaceDE w:val="0"/>
              <w:autoSpaceDN w:val="0"/>
              <w:snapToGrid w:val="0"/>
              <w:spacing w:before="146" w:after="0" w:line="263"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标投标行政监督部门依法实施的监督，只接受招标人招投标监督管理部门的监督。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7"/>
              </w:numPr>
              <w:tabs>
                <w:tab w:val="left" w:pos="685"/>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解释权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61" w:hRule="exact"/>
        </w:trPr>
        <w:tc>
          <w:tcPr>
            <w:tcW w:w="1207" w:type="dxa"/>
            <w:shd w:val="clear" w:color="auto" w:fill="FFFFFF" w:themeFill="background1"/>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29" w:type="dxa"/>
            <w:gridSpan w:val="2"/>
            <w:shd w:val="clear" w:color="auto" w:fill="FFFFFF" w:themeFill="background1"/>
            <w:vAlign w:val="top"/>
          </w:tcPr>
          <w:p>
            <w:pPr>
              <w:autoSpaceDE w:val="0"/>
              <w:autoSpaceDN w:val="0"/>
              <w:snapToGrid w:val="0"/>
              <w:spacing w:before="3" w:after="0" w:line="263"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构成本招标文件的各个组成文件应互为解释，互为说明；如有不明确或不一致，构成合同文件</w:t>
            </w:r>
          </w:p>
          <w:p>
            <w:pPr>
              <w:autoSpaceDE w:val="0"/>
              <w:autoSpaceDN w:val="0"/>
              <w:snapToGrid w:val="0"/>
              <w:spacing w:before="29" w:after="0" w:line="409" w:lineRule="exact"/>
              <w:ind w:left="92" w:right="21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组成内容的，</w:t>
            </w:r>
            <w:r>
              <w:rPr>
                <w:rFonts w:hint="default" w:ascii="宋体" w:hAnsi="宋体" w:eastAsia="宋体" w:cs="宋体"/>
                <w:color w:val="auto"/>
                <w:sz w:val="21"/>
              </w:rPr>
              <w:t>以合同文件约定内容为准，且以专用合同条款约定的合同文件优先顺序解释；除招标文件中有特别规定外，仅适用于招标投标阶段的规定，按招标补遗或澄清文件、招标公</w:t>
            </w:r>
          </w:p>
          <w:p>
            <w:pPr>
              <w:autoSpaceDE w:val="0"/>
              <w:autoSpaceDN w:val="0"/>
              <w:snapToGrid w:val="0"/>
              <w:spacing w:before="0" w:after="0" w:line="409" w:lineRule="exact"/>
              <w:ind w:left="9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告、投标人须知、评</w:t>
            </w:r>
            <w:r>
              <w:rPr>
                <w:rFonts w:hint="default" w:ascii="宋体" w:hAnsi="宋体" w:eastAsia="宋体" w:cs="宋体"/>
                <w:color w:val="auto"/>
                <w:sz w:val="21"/>
              </w:rPr>
              <w:t>标办法、投标文件格式的先后顺序解释；同一组成文件中就同一事项的规</w:t>
            </w:r>
            <w:r>
              <w:rPr>
                <w:rFonts w:hint="default" w:ascii="宋体" w:hAnsi="宋体" w:eastAsia="宋体" w:cs="宋体"/>
                <w:color w:val="auto"/>
                <w:spacing w:val="1"/>
                <w:sz w:val="21"/>
              </w:rPr>
              <w:t>定或约定不一致的，</w:t>
            </w:r>
            <w:r>
              <w:rPr>
                <w:rFonts w:hint="default" w:ascii="宋体" w:hAnsi="宋体" w:eastAsia="宋体" w:cs="宋体"/>
                <w:color w:val="auto"/>
                <w:sz w:val="21"/>
              </w:rPr>
              <w:t>以编排顺序在后者为准；同一组成文件不同版本之间有不一致的，以形成时间在后者为准。按本款前述规定仍不能形成结论的，由招标人负责解释。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0136" w:type="dxa"/>
            <w:gridSpan w:val="3"/>
            <w:vAlign w:val="top"/>
          </w:tcPr>
          <w:p>
            <w:pPr>
              <w:numPr>
                <w:ilvl w:val="1"/>
                <w:numId w:val="7"/>
              </w:numPr>
              <w:tabs>
                <w:tab w:val="left" w:pos="685"/>
              </w:tabs>
              <w:autoSpaceDE w:val="0"/>
              <w:autoSpaceDN w:val="0"/>
              <w:snapToGrid w:val="0"/>
              <w:spacing w:before="83"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招标人补充的其他内容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916" w:hRule="exact"/>
        </w:trPr>
        <w:tc>
          <w:tcPr>
            <w:tcW w:w="1207" w:type="dxa"/>
            <w:vAlign w:val="top"/>
          </w:tcPr>
          <w:p>
            <w:pPr>
              <w:numPr>
                <w:ilvl w:val="2"/>
                <w:numId w:val="7"/>
              </w:numPr>
              <w:tabs>
                <w:tab w:val="left" w:pos="-655355"/>
              </w:tabs>
              <w:autoSpaceDE w:val="0"/>
              <w:autoSpaceDN w:val="0"/>
              <w:snapToGrid w:val="0"/>
              <w:spacing w:before="1044" w:after="0" w:line="240" w:lineRule="auto"/>
              <w:ind w:left="103"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 xml:space="preserve"> </w:t>
            </w:r>
          </w:p>
        </w:tc>
        <w:tc>
          <w:tcPr>
            <w:tcW w:w="2596" w:type="dxa"/>
            <w:vAlign w:val="top"/>
          </w:tcPr>
          <w:p>
            <w:pPr>
              <w:autoSpaceDE w:val="0"/>
              <w:autoSpaceDN w:val="0"/>
              <w:snapToGrid w:val="0"/>
              <w:spacing w:before="703" w:after="0" w:line="408" w:lineRule="exact"/>
              <w:ind w:left="103" w:right="17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招标代理服务</w:t>
            </w:r>
            <w:r>
              <w:rPr>
                <w:rFonts w:hint="default" w:ascii="宋体" w:hAnsi="宋体" w:eastAsia="宋体" w:cs="宋体"/>
                <w:color w:val="auto"/>
                <w:sz w:val="21"/>
              </w:rPr>
              <w:t>费的计算与收取</w:t>
            </w:r>
          </w:p>
        </w:tc>
        <w:tc>
          <w:tcPr>
            <w:tcW w:w="6333" w:type="dxa"/>
            <w:vAlign w:val="top"/>
          </w:tcPr>
          <w:p>
            <w:pPr>
              <w:autoSpaceDE w:val="0"/>
              <w:autoSpaceDN w:val="0"/>
              <w:snapToGrid w:val="0"/>
              <w:spacing w:before="-10" w:after="0" w:line="280" w:lineRule="exact"/>
              <w:ind w:left="103" w:right="0" w:firstLine="0"/>
              <w:jc w:val="left"/>
              <w:textAlignment w:val="auto"/>
              <w:rPr>
                <w:rFonts w:hint="default" w:ascii="宋体" w:hAnsi="宋体" w:eastAsia="宋体" w:cs="宋体"/>
                <w:color w:val="auto"/>
                <w:sz w:val="21"/>
              </w:rPr>
            </w:pPr>
            <w:r>
              <w:rPr>
                <w:color w:val="auto"/>
                <w:sz w:val="21"/>
              </w:rPr>
              <mc:AlternateContent>
                <mc:Choice Requires="wps">
                  <w:drawing>
                    <wp:anchor distT="0" distB="0" distL="114300" distR="114300" simplePos="0" relativeHeight="251668480" behindDoc="0" locked="0" layoutInCell="1" allowOverlap="1">
                      <wp:simplePos x="0" y="0"/>
                      <wp:positionH relativeFrom="column">
                        <wp:posOffset>35560</wp:posOffset>
                      </wp:positionH>
                      <wp:positionV relativeFrom="paragraph">
                        <wp:posOffset>36195</wp:posOffset>
                      </wp:positionV>
                      <wp:extent cx="3947795" cy="1141730"/>
                      <wp:effectExtent l="0" t="0" r="14605" b="1270"/>
                      <wp:wrapNone/>
                      <wp:docPr id="10" name="文本框 133"/>
                      <wp:cNvGraphicFramePr/>
                      <a:graphic xmlns:a="http://schemas.openxmlformats.org/drawingml/2006/main">
                        <a:graphicData uri="http://schemas.microsoft.com/office/word/2010/wordprocessingShape">
                          <wps:wsp>
                            <wps:cNvSpPr txBox="1"/>
                            <wps:spPr>
                              <a:xfrm>
                                <a:off x="0" y="0"/>
                                <a:ext cx="3947795" cy="1141730"/>
                              </a:xfrm>
                              <a:prstGeom prst="rect">
                                <a:avLst/>
                              </a:prstGeom>
                              <a:solidFill>
                                <a:srgbClr val="FFFFFF"/>
                              </a:solidFill>
                              <a:ln>
                                <a:noFill/>
                              </a:ln>
                            </wps:spPr>
                            <wps:txb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根据国家计委《招标代理服务收费管理暂行办法》（计价格［2002］1980号）以及国家发展和改革委员会办公厅《关于招标代理服务收费有关问题的通知》(发改办价格[2003]857号)的规定计取。</w:t>
                                  </w:r>
                                </w:p>
                              </w:txbxContent>
                            </wps:txbx>
                            <wps:bodyPr upright="1"/>
                          </wps:wsp>
                        </a:graphicData>
                      </a:graphic>
                    </wp:anchor>
                  </w:drawing>
                </mc:Choice>
                <mc:Fallback>
                  <w:pict>
                    <v:shape id="文本框 133" o:spid="_x0000_s1026" o:spt="202" type="#_x0000_t202" style="position:absolute;left:0pt;margin-left:2.8pt;margin-top:2.85pt;height:89.9pt;width:310.85pt;z-index:251668480;mso-width-relative:page;mso-height-relative:page;" fillcolor="#FFFFFF" filled="t" stroked="f" coordsize="21600,21600" o:gfxdata="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Y82GP9UAAAAHAQAADwAAAAAAAAABACAAAAAiAAAAZHJzL2Rvd25yZXYu&#10;eG1sUEsBAhQAFAAAAAgAh07iQEOqI6jFAQAAewMAAA4AAAAAAAAAAQAgAAAAJAEAAGRycy9lMm9E&#10;b2MueG1sUEsFBgAAAAAGAAYAWQEAAFs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pPr>
                            <w:r>
                              <w:rPr>
                                <w:rFonts w:hint="eastAsia" w:ascii="宋体" w:hAnsi="宋体" w:eastAsia="宋体" w:cs="宋体"/>
                                <w:b w:val="0"/>
                                <w:i w:val="0"/>
                                <w:strike w:val="0"/>
                                <w:color w:val="000000"/>
                                <w:spacing w:val="0"/>
                                <w:w w:val="100"/>
                                <w:kern w:val="0"/>
                                <w:position w:val="0"/>
                                <w:sz w:val="21"/>
                                <w:szCs w:val="21"/>
                                <w:highlight w:val="none"/>
                                <w:u w:val="none"/>
                                <w:vertAlign w:val="baseline"/>
                                <w:lang w:val="en-US" w:eastAsia="zh-CN" w:bidi="ar"/>
                              </w:rPr>
                              <w:t>根据国家计委《招标代理服务收费管理暂行办法》（计价格［2002］1980号）以及国家发展和改革委员会办公厅《关于招标代理服务收费有关问题的通知》(发改办价格[2003]857号)的规定计取。</w:t>
                            </w:r>
                          </w:p>
                        </w:txbxContent>
                      </v:textbox>
                    </v:shape>
                  </w:pict>
                </mc:Fallback>
              </mc:AlternateContent>
            </w:r>
            <w:r>
              <w:rPr>
                <w:rFonts w:hint="default" w:ascii="宋体" w:hAnsi="宋体" w:eastAsia="宋体" w:cs="宋体"/>
                <w:color w:val="auto"/>
                <w:spacing w:val="-105"/>
                <w:position w:val="1"/>
                <w:sz w:val="21"/>
              </w:rPr>
              <w:t>√</w:t>
            </w:r>
            <w:r>
              <w:rPr>
                <w:rFonts w:hint="default" w:ascii="宋体" w:hAnsi="宋体" w:eastAsia="宋体" w:cs="宋体"/>
                <w:color w:val="auto"/>
                <w:position w:val="1"/>
                <w:sz w:val="21"/>
              </w:rPr>
              <w:t>□中标人支付。（</w:t>
            </w:r>
            <w:r>
              <w:rPr>
                <w:rFonts w:hint="default" w:ascii="宋体" w:hAnsi="宋体" w:eastAsia="宋体" w:cs="宋体"/>
                <w:color w:val="auto"/>
                <w:sz w:val="21"/>
              </w:rPr>
              <w:t>1）本工程招标代理服务费按规定支付。收费标</w:t>
            </w:r>
          </w:p>
          <w:p>
            <w:pPr>
              <w:autoSpaceDE w:val="0"/>
              <w:autoSpaceDN w:val="0"/>
              <w:snapToGrid w:val="0"/>
              <w:spacing w:before="14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准以中标价为计算基数，按差额定率累进法计取，100万元--</w:t>
            </w:r>
          </w:p>
          <w:p>
            <w:pPr>
              <w:autoSpaceDE w:val="0"/>
              <w:autoSpaceDN w:val="0"/>
              <w:snapToGrid w:val="0"/>
              <w:spacing w:before="29" w:after="0" w:line="408" w:lineRule="exact"/>
              <w:ind w:left="103" w:right="130"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1.0%，100～500万元--0.7%，500～1000万元--0.55%，1000～5000</w:t>
            </w:r>
            <w:r>
              <w:rPr>
                <w:rFonts w:hint="default" w:ascii="宋体" w:hAnsi="宋体" w:eastAsia="宋体" w:cs="宋体"/>
                <w:color w:val="auto"/>
                <w:sz w:val="21"/>
              </w:rPr>
              <w:t xml:space="preserve"> 万元--0.35%，5000万元～10000万元---0.20%。</w:t>
            </w:r>
          </w:p>
          <w:p>
            <w:pPr>
              <w:autoSpaceDE w:val="0"/>
              <w:autoSpaceDN w:val="0"/>
              <w:snapToGrid w:val="0"/>
              <w:spacing w:before="0" w:after="0" w:line="408" w:lineRule="exact"/>
              <w:ind w:left="103" w:right="55"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（2）交易服务费：本项目在有形建筑市场开标开标，该市场根据桂价费字[2004]18</w:t>
            </w:r>
            <w:r>
              <w:rPr>
                <w:rFonts w:hint="default" w:ascii="宋体" w:hAnsi="宋体" w:eastAsia="宋体" w:cs="宋体"/>
                <w:color w:val="auto"/>
                <w:spacing w:val="53"/>
                <w:sz w:val="21"/>
              </w:rPr>
              <w:t>0</w:t>
            </w:r>
            <w:r>
              <w:rPr>
                <w:rFonts w:hint="default" w:ascii="宋体" w:hAnsi="宋体" w:eastAsia="宋体" w:cs="宋体"/>
                <w:color w:val="auto"/>
                <w:sz w:val="21"/>
              </w:rPr>
              <w:t>号文收取的相关费用由投标人在报价时自行考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01" w:hRule="exact"/>
        </w:trPr>
        <w:tc>
          <w:tcPr>
            <w:tcW w:w="1207" w:type="dxa"/>
            <w:vAlign w:val="top"/>
          </w:tcPr>
          <w:p>
            <w:pPr>
              <w:autoSpaceDE w:val="0"/>
              <w:autoSpaceDN w:val="0"/>
              <w:snapToGrid w:val="0"/>
              <w:spacing w:before="227" w:after="0" w:line="240" w:lineRule="auto"/>
              <w:ind w:left="103" w:leftChars="0" w:right="0" w:rightChars="0" w:firstLine="0" w:firstLineChars="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10.11.2</w:t>
            </w:r>
          </w:p>
        </w:tc>
        <w:tc>
          <w:tcPr>
            <w:tcW w:w="8929" w:type="dxa"/>
            <w:gridSpan w:val="2"/>
            <w:vAlign w:val="top"/>
          </w:tcPr>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8.监督部门及电话</w:t>
            </w:r>
          </w:p>
          <w:p>
            <w:pPr>
              <w:autoSpaceDE w:val="0"/>
              <w:autoSpaceDN w:val="0"/>
              <w:snapToGrid w:val="0"/>
              <w:spacing w:before="146"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富川瑶族自治县财政局政府采购管理办公室，电话：0774-7882324</w:t>
            </w:r>
          </w:p>
        </w:tc>
      </w:tr>
    </w:tbl>
    <w:p>
      <w:pPr>
        <w:numPr>
          <w:ilvl w:val="0"/>
          <w:numId w:val="0"/>
        </w:numPr>
        <w:autoSpaceDE w:val="0"/>
        <w:autoSpaceDN w:val="0"/>
        <w:snapToGrid w:val="0"/>
        <w:spacing w:before="317" w:after="0" w:line="240" w:lineRule="auto"/>
        <w:ind w:right="0" w:rightChars="0"/>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rPr>
        <w:drawing>
          <wp:anchor distT="0" distB="0" distL="0" distR="0" simplePos="0" relativeHeight="251659264" behindDoc="1" locked="0" layoutInCell="1" allowOverlap="1">
            <wp:simplePos x="0" y="0"/>
            <wp:positionH relativeFrom="page">
              <wp:posOffset>617220</wp:posOffset>
            </wp:positionH>
            <wp:positionV relativeFrom="page">
              <wp:posOffset>723265</wp:posOffset>
            </wp:positionV>
            <wp:extent cx="766445" cy="366395"/>
            <wp:effectExtent l="0" t="0" r="14605" b="14605"/>
            <wp:wrapNone/>
            <wp:docPr id="1056" name="1056"/>
            <wp:cNvGraphicFramePr/>
            <a:graphic xmlns:a="http://schemas.openxmlformats.org/drawingml/2006/main">
              <a:graphicData uri="http://schemas.openxmlformats.org/drawingml/2006/picture">
                <pic:pic xmlns:pic="http://schemas.openxmlformats.org/drawingml/2006/picture">
                  <pic:nvPicPr>
                    <pic:cNvPr id="1056" name="1056"/>
                    <pic:cNvPicPr/>
                  </pic:nvPicPr>
                  <pic:blipFill>
                    <a:blip r:embed="rId7">
                      <a:clrChange>
                        <a:clrFrom>
                          <a:srgbClr val="FFFFFF"/>
                        </a:clrFrom>
                        <a:clrTo>
                          <a:srgbClr val="FFFFFF">
                            <a:alpha val="0"/>
                          </a:srgbClr>
                        </a:clrTo>
                      </a:clrChange>
                    </a:blip>
                    <a:stretch>
                      <a:fillRect/>
                    </a:stretch>
                  </pic:blipFill>
                  <pic:spPr>
                    <a:xfrm>
                      <a:off x="0" y="0"/>
                      <a:ext cx="766445" cy="366395"/>
                    </a:xfrm>
                    <a:prstGeom prst="rect">
                      <a:avLst/>
                    </a:prstGeom>
                    <a:ln>
                      <a:noFill/>
                    </a:ln>
                  </pic:spPr>
                </pic:pic>
              </a:graphicData>
            </a:graphic>
          </wp:anchor>
        </w:drawing>
      </w:r>
      <w:r>
        <w:rPr>
          <w:rFonts w:hint="default" w:ascii="宋体" w:hAnsi="宋体" w:eastAsia="宋体" w:cs="宋体"/>
          <w:color w:val="auto"/>
          <w:sz w:val="21"/>
        </w:rPr>
        <w:drawing>
          <wp:anchor distT="0" distB="0" distL="0" distR="0" simplePos="0" relativeHeight="251659264" behindDoc="1" locked="0" layoutInCell="1" allowOverlap="1">
            <wp:simplePos x="0" y="0"/>
            <wp:positionH relativeFrom="page">
              <wp:posOffset>1383665</wp:posOffset>
            </wp:positionH>
            <wp:positionV relativeFrom="page">
              <wp:posOffset>723265</wp:posOffset>
            </wp:positionV>
            <wp:extent cx="1648460" cy="366395"/>
            <wp:effectExtent l="0" t="0" r="8890" b="14605"/>
            <wp:wrapNone/>
            <wp:docPr id="1057" name="1057"/>
            <wp:cNvGraphicFramePr/>
            <a:graphic xmlns:a="http://schemas.openxmlformats.org/drawingml/2006/main">
              <a:graphicData uri="http://schemas.openxmlformats.org/drawingml/2006/picture">
                <pic:pic xmlns:pic="http://schemas.openxmlformats.org/drawingml/2006/picture">
                  <pic:nvPicPr>
                    <pic:cNvPr id="1057" name="1057"/>
                    <pic:cNvPicPr/>
                  </pic:nvPicPr>
                  <pic:blipFill>
                    <a:blip r:embed="rId8">
                      <a:clrChange>
                        <a:clrFrom>
                          <a:srgbClr val="FFFFFF"/>
                        </a:clrFrom>
                        <a:clrTo>
                          <a:srgbClr val="FFFFFF">
                            <a:alpha val="0"/>
                          </a:srgbClr>
                        </a:clrTo>
                      </a:clrChange>
                    </a:blip>
                    <a:stretch>
                      <a:fillRect/>
                    </a:stretch>
                  </pic:blipFill>
                  <pic:spPr>
                    <a:xfrm>
                      <a:off x="0" y="0"/>
                      <a:ext cx="1648460" cy="366395"/>
                    </a:xfrm>
                    <a:prstGeom prst="rect">
                      <a:avLst/>
                    </a:prstGeom>
                    <a:ln>
                      <a:noFill/>
                    </a:ln>
                  </pic:spPr>
                </pic:pic>
              </a:graphicData>
            </a:graphic>
          </wp:anchor>
        </w:drawing>
      </w:r>
      <w:r>
        <w:rPr>
          <w:rFonts w:hint="default" w:ascii="宋体" w:hAnsi="宋体" w:eastAsia="宋体" w:cs="宋体"/>
          <w:color w:val="auto"/>
          <w:sz w:val="21"/>
        </w:rPr>
        <w:drawing>
          <wp:anchor distT="0" distB="0" distL="0" distR="0" simplePos="0" relativeHeight="251659264" behindDoc="1" locked="0" layoutInCell="1" allowOverlap="1">
            <wp:simplePos x="0" y="0"/>
            <wp:positionH relativeFrom="page">
              <wp:posOffset>3032125</wp:posOffset>
            </wp:positionH>
            <wp:positionV relativeFrom="page">
              <wp:posOffset>723265</wp:posOffset>
            </wp:positionV>
            <wp:extent cx="4021455" cy="366395"/>
            <wp:effectExtent l="0" t="0" r="17145" b="14605"/>
            <wp:wrapNone/>
            <wp:docPr id="1058" name="1058"/>
            <wp:cNvGraphicFramePr/>
            <a:graphic xmlns:a="http://schemas.openxmlformats.org/drawingml/2006/main">
              <a:graphicData uri="http://schemas.openxmlformats.org/drawingml/2006/picture">
                <pic:pic xmlns:pic="http://schemas.openxmlformats.org/drawingml/2006/picture">
                  <pic:nvPicPr>
                    <pic:cNvPr id="1058" name="1058"/>
                    <pic:cNvPicPr/>
                  </pic:nvPicPr>
                  <pic:blipFill>
                    <a:blip r:embed="rId9">
                      <a:clrChange>
                        <a:clrFrom>
                          <a:srgbClr val="FFFFFF"/>
                        </a:clrFrom>
                        <a:clrTo>
                          <a:srgbClr val="FFFFFF">
                            <a:alpha val="0"/>
                          </a:srgbClr>
                        </a:clrTo>
                      </a:clrChange>
                    </a:blip>
                    <a:stretch>
                      <a:fillRect/>
                    </a:stretch>
                  </pic:blipFill>
                  <pic:spPr>
                    <a:xfrm>
                      <a:off x="0" y="0"/>
                      <a:ext cx="4021455" cy="366395"/>
                    </a:xfrm>
                    <a:prstGeom prst="rect">
                      <a:avLst/>
                    </a:prstGeom>
                    <a:ln>
                      <a:noFill/>
                    </a:ln>
                  </pic:spPr>
                </pic:pic>
              </a:graphicData>
            </a:graphic>
          </wp:anchor>
        </w:drawing>
      </w:r>
      <w:r>
        <w:rPr>
          <w:rFonts w:hint="default" w:ascii="宋体" w:hAnsi="宋体" w:eastAsia="宋体" w:cs="宋体"/>
          <w:color w:val="auto"/>
          <w:sz w:val="21"/>
        </w:rPr>
        <w:t xml:space="preserve"> </w:t>
      </w:r>
    </w:p>
    <w:p>
      <w:pPr>
        <w:autoSpaceDE w:val="0"/>
        <w:autoSpaceDN w:val="0"/>
        <w:snapToGrid w:val="0"/>
        <w:spacing w:before="728"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46"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招标人派出评委参加评标的，须符合以下条件之一：（</w:t>
      </w:r>
      <w:r>
        <w:rPr>
          <w:rFonts w:hint="default" w:ascii="Times New Roman" w:hAnsi="Times New Roman" w:eastAsia="Times New Roman" w:cs="Times New Roman"/>
          <w:color w:val="auto"/>
          <w:sz w:val="21"/>
        </w:rPr>
        <w:t>1</w:t>
      </w:r>
      <w:r>
        <w:rPr>
          <w:rFonts w:hint="default" w:ascii="楷体" w:hAnsi="楷体" w:eastAsia="楷体" w:cs="楷体"/>
          <w:color w:val="auto"/>
          <w:sz w:val="21"/>
        </w:rPr>
        <w:t>）必须是本单位具备工程或经济类中级及以</w:t>
      </w:r>
    </w:p>
    <w:p>
      <w:pPr>
        <w:autoSpaceDE w:val="0"/>
        <w:autoSpaceDN w:val="0"/>
        <w:snapToGrid w:val="0"/>
        <w:spacing w:before="29" w:after="0" w:line="408"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pacing w:val="-1"/>
          <w:sz w:val="21"/>
        </w:rPr>
        <w:t>上职称、同时</w:t>
      </w:r>
      <w:r>
        <w:rPr>
          <w:rFonts w:hint="default" w:ascii="楷体" w:hAnsi="楷体" w:eastAsia="楷体" w:cs="楷体"/>
          <w:color w:val="auto"/>
          <w:sz w:val="21"/>
        </w:rPr>
        <w:t>具备与评标工程技术要求相当条件和能力水平的人员出任，如职称证上的工作单位与招标人名称不符的，须附</w:t>
      </w:r>
      <w:r>
        <w:rPr>
          <w:rFonts w:hint="eastAsia" w:ascii="楷体" w:hAnsi="楷体" w:eastAsia="楷体" w:cs="楷体"/>
          <w:color w:val="auto"/>
          <w:sz w:val="21"/>
          <w:lang w:eastAsia="zh-CN"/>
        </w:rPr>
        <w:t>招标人为其缴纳的近半年连续三个月</w:t>
      </w:r>
      <w:r>
        <w:rPr>
          <w:rFonts w:hint="default" w:ascii="楷体" w:hAnsi="楷体" w:eastAsia="楷体" w:cs="楷体"/>
          <w:color w:val="auto"/>
          <w:sz w:val="21"/>
        </w:rPr>
        <w:t>的社会保险证明原件或者工作编制证明文件复印件加盖单位公章；（</w:t>
      </w:r>
      <w:r>
        <w:rPr>
          <w:rFonts w:hint="default" w:ascii="Times New Roman" w:hAnsi="Times New Roman" w:eastAsia="Times New Roman" w:cs="Times New Roman"/>
          <w:color w:val="auto"/>
          <w:sz w:val="21"/>
        </w:rPr>
        <w:t>2</w:t>
      </w:r>
      <w:r>
        <w:rPr>
          <w:rFonts w:hint="default" w:ascii="楷体" w:hAnsi="楷体" w:eastAsia="楷体" w:cs="楷体"/>
          <w:color w:val="auto"/>
          <w:sz w:val="21"/>
        </w:rPr>
        <w:t>）本单位无符合上述条件的人员时，可以委托持《广西壮族自</w:t>
      </w:r>
      <w:r>
        <w:rPr>
          <w:rFonts w:hint="default" w:ascii="楷体" w:hAnsi="楷体" w:eastAsia="楷体" w:cs="楷体"/>
          <w:color w:val="auto"/>
          <w:spacing w:val="-1"/>
          <w:sz w:val="21"/>
        </w:rPr>
        <w:t>治区建设工程</w:t>
      </w:r>
      <w:r>
        <w:rPr>
          <w:rFonts w:hint="default" w:ascii="楷体" w:hAnsi="楷体" w:eastAsia="楷体" w:cs="楷体"/>
          <w:color w:val="auto"/>
          <w:sz w:val="21"/>
        </w:rPr>
        <w:t>招标投标评标专家资格证书》的人员出任，持证人员已退休的，应附退休证明文件复印件加盖单位公章，持证人员在职的，应附现任职单位为其缴纳的</w:t>
      </w:r>
      <w:r>
        <w:rPr>
          <w:rFonts w:hint="eastAsia" w:ascii="楷体" w:hAnsi="楷体" w:eastAsia="楷体" w:cs="楷体"/>
          <w:color w:val="auto"/>
          <w:spacing w:val="26"/>
          <w:sz w:val="21"/>
          <w:lang w:eastAsia="zh-CN"/>
        </w:rPr>
        <w:t>近半年连续三个月</w:t>
      </w:r>
      <w:r>
        <w:rPr>
          <w:rFonts w:hint="default" w:ascii="楷体" w:hAnsi="楷体" w:eastAsia="楷体" w:cs="楷体"/>
          <w:color w:val="auto"/>
          <w:sz w:val="21"/>
        </w:rPr>
        <w:t>的社会保险证明原件或者工作编制证明文件复印件加盖单位公章。</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bookmarkStart w:id="39" w:name="_Toc73_WPSOffice_Level2"/>
      <w:bookmarkStart w:id="40" w:name="_Toc7026_WPSOffice_Level2"/>
      <w:r>
        <w:rPr>
          <w:rFonts w:hint="default"/>
          <w:color w:val="auto"/>
        </w:rPr>
        <w:t>投标人须知正文部分</w:t>
      </w:r>
      <w:bookmarkEnd w:id="39"/>
      <w:bookmarkEnd w:id="40"/>
    </w:p>
    <w:p>
      <w:pPr>
        <w:numPr>
          <w:ilvl w:val="0"/>
          <w:numId w:val="8"/>
        </w:numPr>
        <w:autoSpaceDE w:val="0"/>
        <w:autoSpaceDN w:val="0"/>
        <w:snapToGrid w:val="0"/>
        <w:spacing w:before="833" w:after="0" w:line="240" w:lineRule="auto"/>
        <w:ind w:left="222" w:right="0" w:hanging="222"/>
        <w:jc w:val="left"/>
        <w:textAlignment w:val="auto"/>
        <w:rPr>
          <w:rFonts w:hint="default" w:ascii="Arial" w:hAnsi="Arial" w:eastAsia="Arial" w:cs="Arial"/>
          <w:b/>
          <w:color w:val="auto"/>
          <w:sz w:val="21"/>
        </w:rPr>
      </w:pPr>
      <w:bookmarkStart w:id="41" w:name="_Toc8184_WPSOffice_Level2"/>
      <w:bookmarkStart w:id="42" w:name="_Toc23043_WPSOffice_Level2"/>
      <w:r>
        <w:rPr>
          <w:rFonts w:hint="default" w:ascii="黑体" w:hAnsi="黑体" w:eastAsia="黑体" w:cs="黑体"/>
          <w:b/>
          <w:color w:val="auto"/>
          <w:sz w:val="21"/>
        </w:rPr>
        <w:t>总则</w:t>
      </w:r>
      <w:bookmarkEnd w:id="41"/>
      <w:bookmarkEnd w:id="42"/>
    </w:p>
    <w:p>
      <w:pPr>
        <w:numPr>
          <w:ilvl w:val="1"/>
          <w:numId w:val="8"/>
        </w:numPr>
        <w:autoSpaceDE w:val="0"/>
        <w:autoSpaceDN w:val="0"/>
        <w:snapToGrid w:val="0"/>
        <w:spacing w:before="274"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项目概况</w:t>
      </w:r>
    </w:p>
    <w:p>
      <w:pPr>
        <w:numPr>
          <w:ilvl w:val="2"/>
          <w:numId w:val="8"/>
        </w:numPr>
        <w:autoSpaceDE w:val="0"/>
        <w:autoSpaceDN w:val="0"/>
        <w:snapToGrid w:val="0"/>
        <w:spacing w:before="153"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根据《中华人</w:t>
      </w:r>
      <w:r>
        <w:rPr>
          <w:rFonts w:hint="default" w:ascii="宋体" w:hAnsi="宋体" w:eastAsia="宋体" w:cs="宋体"/>
          <w:color w:val="auto"/>
          <w:sz w:val="21"/>
        </w:rPr>
        <w:t>民共和国招标投标法》等有关法律、法规和规章的规定，本招标项目已具备招标</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条件，现对本标段施工进行招标。</w:t>
      </w:r>
    </w:p>
    <w:p>
      <w:pPr>
        <w:numPr>
          <w:ilvl w:val="2"/>
          <w:numId w:val="9"/>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本招标项目招标人：见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本标段招标代理机构：见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本招标项目名称及项目招标编号：见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本标段建设地点：见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8"/>
        </w:numPr>
        <w:autoSpaceDE w:val="0"/>
        <w:autoSpaceDN w:val="0"/>
        <w:snapToGrid w:val="0"/>
        <w:spacing w:before="153"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资金来源和落实及增值税计税方法情况</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本招标项目的资金来源：见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本招标项目的出资比例：见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本招标项目的资金落实情况：见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本招标项目的增值税计税方法：见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8"/>
        </w:numPr>
        <w:autoSpaceDE w:val="0"/>
        <w:autoSpaceDN w:val="0"/>
        <w:snapToGrid w:val="0"/>
        <w:spacing w:before="153"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招标范围、计划工期和质量要求</w:t>
      </w:r>
    </w:p>
    <w:p>
      <w:pPr>
        <w:numPr>
          <w:ilvl w:val="2"/>
          <w:numId w:val="1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本次招标范围：见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本标段的要求工期：见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1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本标段的质量要求：见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8"/>
        </w:numPr>
        <w:autoSpaceDE w:val="0"/>
        <w:autoSpaceDN w:val="0"/>
        <w:snapToGrid w:val="0"/>
        <w:spacing w:before="153"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投标人资格要求</w:t>
      </w:r>
    </w:p>
    <w:p>
      <w:pPr>
        <w:numPr>
          <w:ilvl w:val="2"/>
          <w:numId w:val="12"/>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投标人应具备承担本项目施工的资质条件、能力、诚信等要求。</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）资质条件：见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）财务要求：见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）业绩要求：见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）诚信要求：见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）项目经理资格：见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）安全员要求：见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）其他要求：见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1.4.2</w:t>
      </w:r>
      <w:r>
        <w:rPr>
          <w:rFonts w:hint="default" w:ascii="Times New Roman" w:hAnsi="Times New Roman" w:eastAsia="Times New Roman" w:cs="Times New Roman"/>
          <w:color w:val="auto"/>
          <w:spacing w:val="186"/>
          <w:sz w:val="21"/>
        </w:rPr>
        <w:t xml:space="preserve"> </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w:t>
      </w:r>
      <w:r>
        <w:rPr>
          <w:rFonts w:hint="default" w:ascii="宋体" w:hAnsi="宋体" w:eastAsia="宋体" w:cs="宋体"/>
          <w:color w:val="auto"/>
          <w:sz w:val="21"/>
        </w:rPr>
        <w:t>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规定接受联合体投标的，除应符合本章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要求外，还应遵守以下规定：</w:t>
      </w:r>
    </w:p>
    <w:p>
      <w:pPr>
        <w:autoSpaceDE w:val="0"/>
        <w:autoSpaceDN w:val="0"/>
        <w:snapToGrid w:val="0"/>
        <w:spacing w:before="29" w:after="0" w:line="408" w:lineRule="exact"/>
        <w:ind w:left="420" w:right="191"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）联合体</w:t>
      </w:r>
      <w:r>
        <w:rPr>
          <w:rFonts w:hint="default" w:ascii="宋体" w:hAnsi="宋体" w:eastAsia="宋体" w:cs="宋体"/>
          <w:color w:val="auto"/>
          <w:sz w:val="21"/>
        </w:rPr>
        <w:t>各方应按招标文件提供的格式签订联合体协议书，明确联合体牵头人和各方权利义务；（</w:t>
      </w:r>
      <w:r>
        <w:rPr>
          <w:rFonts w:hint="default" w:ascii="Times New Roman" w:hAnsi="Times New Roman" w:eastAsia="Times New Roman" w:cs="Times New Roman"/>
          <w:color w:val="auto"/>
          <w:sz w:val="21"/>
        </w:rPr>
        <w:t>2</w:t>
      </w:r>
      <w:r>
        <w:rPr>
          <w:rFonts w:hint="default" w:ascii="宋体" w:hAnsi="宋体" w:eastAsia="宋体" w:cs="宋体"/>
          <w:color w:val="auto"/>
          <w:sz w:val="21"/>
        </w:rPr>
        <w:t>）由同一专业的单位组成的联合体，按照资质等级较低的单位确定资质等级；</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）联合体各方不得再以自己名义单独或参加其他联合体在同一标段中投标。</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1.4.3 </w:t>
      </w:r>
      <w:r>
        <w:rPr>
          <w:rFonts w:hint="default" w:ascii="宋体" w:hAnsi="宋体" w:eastAsia="宋体" w:cs="宋体"/>
          <w:color w:val="auto"/>
          <w:sz w:val="21"/>
        </w:rPr>
        <w:t>投标人不得存在下列情形之一：</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）与招标人存在利害关系可能影响招标公正性的法人、其他组织；；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）为本标段前期准备提供设计或咨询服务的，但设计施工总承包的除外；</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）为本标段的监理人；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）为本标段的代建人；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）为本标段提供招标代理服务的；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）与本标段的监理人或代建人或招标代理机构同为一个法定代表人的；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）与本标段的监理人或代建人或招标代理机构相互控股或参股的；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）与本标段的监理人或代建人或招标代理机构相互任职或工作的；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）被责令停业整顿的；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）被暂停或取消投标资格的；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11</w:t>
      </w:r>
      <w:r>
        <w:rPr>
          <w:rFonts w:hint="default" w:ascii="宋体" w:hAnsi="宋体" w:eastAsia="宋体" w:cs="宋体"/>
          <w:color w:val="auto"/>
          <w:sz w:val="21"/>
        </w:rPr>
        <w:t>）财产被接管或冻结的；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12</w:t>
      </w:r>
      <w:r>
        <w:rPr>
          <w:rFonts w:hint="default" w:ascii="宋体" w:hAnsi="宋体" w:eastAsia="宋体" w:cs="宋体"/>
          <w:color w:val="auto"/>
          <w:sz w:val="21"/>
        </w:rPr>
        <w:t>）有骗取中标或严重违约或工程质量安全问题，正处在停业整顿或暂停投标期间的。</w:t>
      </w:r>
    </w:p>
    <w:p>
      <w:pPr>
        <w:numPr>
          <w:ilvl w:val="2"/>
          <w:numId w:val="13"/>
        </w:numPr>
        <w:autoSpaceDE w:val="0"/>
        <w:autoSpaceDN w:val="0"/>
        <w:snapToGrid w:val="0"/>
        <w:spacing w:before="146"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单位负责人为</w:t>
      </w:r>
      <w:r>
        <w:rPr>
          <w:rFonts w:hint="default" w:ascii="宋体" w:hAnsi="宋体" w:eastAsia="宋体" w:cs="宋体"/>
          <w:color w:val="auto"/>
          <w:sz w:val="21"/>
        </w:rPr>
        <w:t>同一人或者存在控股、管理关系的不同单位，不得参加同一标段投标或者未划分</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标段的同一招标项目投标，违反本规定的，相关投标均无效。</w:t>
      </w:r>
    </w:p>
    <w:p>
      <w:pPr>
        <w:numPr>
          <w:ilvl w:val="1"/>
          <w:numId w:val="8"/>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费用承担</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投标人准备和参加投标活动发生的费用自理。</w:t>
      </w:r>
    </w:p>
    <w:p>
      <w:pPr>
        <w:numPr>
          <w:ilvl w:val="1"/>
          <w:numId w:val="8"/>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保密</w:t>
      </w:r>
    </w:p>
    <w:p>
      <w:pPr>
        <w:autoSpaceDE w:val="0"/>
        <w:autoSpaceDN w:val="0"/>
        <w:snapToGrid w:val="0"/>
        <w:spacing w:before="36"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参与招标投标</w:t>
      </w:r>
      <w:r>
        <w:rPr>
          <w:rFonts w:hint="default" w:ascii="宋体" w:hAnsi="宋体" w:eastAsia="宋体" w:cs="宋体"/>
          <w:color w:val="auto"/>
          <w:sz w:val="21"/>
        </w:rPr>
        <w:t>活动的各方应对招标文件和投标文件中的商业和技术等秘密保密，违者应对由此造成的后果承担法律责任。</w:t>
      </w:r>
    </w:p>
    <w:p>
      <w:pPr>
        <w:numPr>
          <w:ilvl w:val="1"/>
          <w:numId w:val="8"/>
        </w:numPr>
        <w:autoSpaceDE w:val="0"/>
        <w:autoSpaceDN w:val="0"/>
        <w:snapToGrid w:val="0"/>
        <w:spacing w:before="117"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语言文字</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除专用术语外，与招标投标有关的语言均使用中文。必要时专用术语应附有中文注释。</w:t>
      </w:r>
    </w:p>
    <w:p>
      <w:pPr>
        <w:numPr>
          <w:ilvl w:val="1"/>
          <w:numId w:val="8"/>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计量单位</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所有计量均采用中华人民共和国法定计量单位。</w:t>
      </w:r>
    </w:p>
    <w:p>
      <w:pPr>
        <w:numPr>
          <w:ilvl w:val="1"/>
          <w:numId w:val="8"/>
        </w:numPr>
        <w:autoSpaceDE w:val="0"/>
        <w:autoSpaceDN w:val="0"/>
        <w:snapToGrid w:val="0"/>
        <w:spacing w:before="146" w:after="0" w:line="240" w:lineRule="auto"/>
        <w:ind w:left="36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踏勘现场</w:t>
      </w:r>
    </w:p>
    <w:p>
      <w:pPr>
        <w:numPr>
          <w:ilvl w:val="2"/>
          <w:numId w:val="14"/>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投标人根据需要自行踏勘项目现场。</w:t>
      </w:r>
    </w:p>
    <w:p>
      <w:pPr>
        <w:numPr>
          <w:ilvl w:val="2"/>
          <w:numId w:val="14"/>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投标人踏勘现场发生的费用自理。</w:t>
      </w:r>
    </w:p>
    <w:p>
      <w:pPr>
        <w:numPr>
          <w:ilvl w:val="2"/>
          <w:numId w:val="14"/>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投标人自行负责在踏勘现场中所发生的人员伤亡和财产损失。</w:t>
      </w:r>
    </w:p>
    <w:p>
      <w:pPr>
        <w:numPr>
          <w:ilvl w:val="1"/>
          <w:numId w:val="14"/>
        </w:numPr>
        <w:autoSpaceDE w:val="0"/>
        <w:autoSpaceDN w:val="0"/>
        <w:snapToGrid w:val="0"/>
        <w:spacing w:before="153"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投标预备会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不召开。</w:t>
      </w:r>
    </w:p>
    <w:p>
      <w:pPr>
        <w:numPr>
          <w:ilvl w:val="1"/>
          <w:numId w:val="14"/>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分包</w:t>
      </w:r>
    </w:p>
    <w:p>
      <w:pPr>
        <w:autoSpaceDE w:val="0"/>
        <w:autoSpaceDN w:val="0"/>
        <w:snapToGrid w:val="0"/>
        <w:spacing w:before="36" w:after="0" w:line="409" w:lineRule="exact"/>
        <w:ind w:left="0" w:right="1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投标人拟在中标后将中标项目的部分非主体、非关键性工作进行分包的，</w:t>
      </w:r>
      <w:r>
        <w:rPr>
          <w:rFonts w:hint="default" w:ascii="宋体" w:hAnsi="宋体" w:eastAsia="宋体" w:cs="宋体"/>
          <w:color w:val="auto"/>
          <w:sz w:val="21"/>
        </w:rPr>
        <w:t>应符合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 xml:space="preserve">” </w:t>
      </w:r>
      <w:r>
        <w:rPr>
          <w:rFonts w:hint="default" w:ascii="宋体" w:hAnsi="宋体" w:eastAsia="宋体" w:cs="宋体"/>
          <w:color w:val="auto"/>
          <w:sz w:val="21"/>
        </w:rPr>
        <w:t>规定的分包内容、分包金额和接受分包的第三人资质要求等限制性条件。</w:t>
      </w:r>
    </w:p>
    <w:p>
      <w:pPr>
        <w:numPr>
          <w:ilvl w:val="1"/>
          <w:numId w:val="14"/>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偏离</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不允许。</w:t>
      </w:r>
    </w:p>
    <w:p>
      <w:pPr>
        <w:rPr>
          <w:rFonts w:hint="default" w:ascii="宋体" w:hAnsi="宋体" w:eastAsia="宋体" w:cs="宋体"/>
          <w:color w:val="auto"/>
          <w:sz w:val="21"/>
        </w:rPr>
      </w:pPr>
      <w:r>
        <w:rPr>
          <w:rFonts w:hint="default" w:ascii="宋体" w:hAnsi="宋体" w:eastAsia="宋体" w:cs="宋体"/>
          <w:color w:val="auto"/>
          <w:sz w:val="21"/>
        </w:rPr>
        <w:br w:type="page"/>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p>
    <w:p>
      <w:pPr>
        <w:numPr>
          <w:ilvl w:val="0"/>
          <w:numId w:val="14"/>
        </w:numPr>
        <w:autoSpaceDE w:val="0"/>
        <w:autoSpaceDN w:val="0"/>
        <w:snapToGrid w:val="0"/>
        <w:spacing w:before="0" w:after="0" w:line="240" w:lineRule="auto"/>
        <w:ind w:left="222" w:right="0" w:hanging="105"/>
        <w:jc w:val="left"/>
        <w:textAlignment w:val="auto"/>
        <w:rPr>
          <w:rFonts w:hint="default" w:ascii="Arial" w:hAnsi="Arial" w:eastAsia="Arial" w:cs="Arial"/>
          <w:b/>
          <w:color w:val="auto"/>
          <w:sz w:val="21"/>
        </w:rPr>
      </w:pPr>
      <w:bookmarkStart w:id="43" w:name="_Toc23352_WPSOffice_Level2"/>
      <w:bookmarkStart w:id="44" w:name="_Toc12191_WPSOffice_Level2"/>
      <w:r>
        <w:rPr>
          <w:rFonts w:hint="default" w:ascii="黑体" w:hAnsi="黑体" w:eastAsia="黑体" w:cs="黑体"/>
          <w:b/>
          <w:color w:val="auto"/>
          <w:sz w:val="21"/>
        </w:rPr>
        <w:t>招标文件</w:t>
      </w:r>
      <w:bookmarkEnd w:id="43"/>
      <w:bookmarkEnd w:id="44"/>
    </w:p>
    <w:p>
      <w:pPr>
        <w:numPr>
          <w:ilvl w:val="1"/>
          <w:numId w:val="15"/>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招标文件的组成</w:t>
      </w:r>
    </w:p>
    <w:p>
      <w:pPr>
        <w:numPr>
          <w:ilvl w:val="2"/>
          <w:numId w:val="1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本招标文件包括：</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）招标公告（或投标邀请书）；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）投标人须知；</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）评标办法；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）合同条款及格式；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）工程量清单和工程量清单电</w:t>
      </w:r>
      <w:r>
        <w:rPr>
          <w:rFonts w:hint="default" w:ascii="宋体" w:hAnsi="宋体" w:eastAsia="宋体" w:cs="宋体"/>
          <w:color w:val="auto"/>
          <w:spacing w:val="26"/>
          <w:sz w:val="21"/>
        </w:rPr>
        <w:t>子</w:t>
      </w:r>
      <w:r>
        <w:rPr>
          <w:rFonts w:hint="default" w:ascii="Times New Roman" w:hAnsi="Times New Roman" w:eastAsia="Times New Roman" w:cs="Times New Roman"/>
          <w:color w:val="auto"/>
          <w:spacing w:val="53"/>
          <w:sz w:val="21"/>
        </w:rPr>
        <w:t>u</w:t>
      </w:r>
      <w:r>
        <w:rPr>
          <w:rFonts w:hint="default" w:ascii="宋体" w:hAnsi="宋体" w:eastAsia="宋体" w:cs="宋体"/>
          <w:color w:val="auto"/>
          <w:sz w:val="21"/>
        </w:rPr>
        <w:t>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）招标控制价；</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ascii="宋体" w:hAnsi="宋体" w:eastAsia="宋体" w:cs="宋体"/>
          <w:color w:val="auto"/>
          <w:sz w:val="21"/>
          <w:lang w:val="en-US" w:eastAsia="zh-CN"/>
        </w:rPr>
        <w:t>7</w:t>
      </w:r>
      <w:r>
        <w:rPr>
          <w:rFonts w:hint="default" w:ascii="宋体" w:hAnsi="宋体" w:eastAsia="宋体" w:cs="宋体"/>
          <w:color w:val="auto"/>
          <w:sz w:val="21"/>
        </w:rPr>
        <w:t>）技术标准和要求；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eastAsia="宋体" w:cs="Times New Roman"/>
          <w:color w:val="auto"/>
          <w:sz w:val="21"/>
          <w:lang w:val="en-US" w:eastAsia="zh-CN"/>
        </w:rPr>
        <w:t>8</w:t>
      </w:r>
      <w:r>
        <w:rPr>
          <w:rFonts w:hint="default" w:ascii="宋体" w:hAnsi="宋体" w:eastAsia="宋体" w:cs="宋体"/>
          <w:color w:val="auto"/>
          <w:sz w:val="21"/>
        </w:rPr>
        <w:t>）投标文件格式；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eastAsia="宋体" w:cs="Times New Roman"/>
          <w:color w:val="auto"/>
          <w:sz w:val="21"/>
          <w:lang w:val="en-US" w:eastAsia="zh-CN"/>
        </w:rPr>
        <w:t>9</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规定的其他材料。</w:t>
      </w:r>
    </w:p>
    <w:p>
      <w:pPr>
        <w:autoSpaceDE w:val="0"/>
        <w:autoSpaceDN w:val="0"/>
        <w:snapToGrid w:val="0"/>
        <w:spacing w:before="29"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2.1.2</w:t>
      </w:r>
      <w:r>
        <w:rPr>
          <w:rFonts w:hint="default" w:ascii="Times New Roman" w:hAnsi="Times New Roman" w:eastAsia="Times New Roman" w:cs="Times New Roman"/>
          <w:color w:val="auto"/>
          <w:spacing w:val="43"/>
          <w:sz w:val="21"/>
        </w:rPr>
        <w:t xml:space="preserve"> </w:t>
      </w:r>
      <w:r>
        <w:rPr>
          <w:rFonts w:hint="default" w:ascii="宋体" w:hAnsi="宋体" w:eastAsia="宋体" w:cs="宋体"/>
          <w:color w:val="auto"/>
          <w:spacing w:val="-1"/>
          <w:sz w:val="21"/>
        </w:rPr>
        <w:t>根据本章</w:t>
      </w:r>
      <w:r>
        <w:rPr>
          <w:rFonts w:hint="default" w:ascii="宋体" w:hAnsi="宋体" w:eastAsia="宋体" w:cs="宋体"/>
          <w:color w:val="auto"/>
          <w:spacing w:val="25"/>
          <w:sz w:val="21"/>
        </w:rPr>
        <w:t>第</w:t>
      </w:r>
      <w:r>
        <w:rPr>
          <w:rFonts w:hint="default" w:ascii="Times New Roman" w:hAnsi="Times New Roman" w:eastAsia="Times New Roman" w:cs="Times New Roman"/>
          <w:color w:val="auto"/>
          <w:spacing w:val="-1"/>
          <w:sz w:val="21"/>
        </w:rPr>
        <w:t>2</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款和</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款对招标文件所作的澄清、修改，构成招标文件的组成部分。当招标文件及其澄清、修改或补充文件对于同一内容表述不一致时，以最后发出的书面文件为准。</w:t>
      </w:r>
    </w:p>
    <w:p>
      <w:pPr>
        <w:numPr>
          <w:ilvl w:val="1"/>
          <w:numId w:val="15"/>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招标文件的澄清</w:t>
      </w:r>
    </w:p>
    <w:p>
      <w:pPr>
        <w:numPr>
          <w:ilvl w:val="0"/>
          <w:numId w:val="0"/>
        </w:numPr>
        <w:autoSpaceDE w:val="0"/>
        <w:autoSpaceDN w:val="0"/>
        <w:snapToGrid w:val="0"/>
        <w:spacing w:before="153" w:after="0" w:line="240" w:lineRule="auto"/>
        <w:ind w:left="420" w:leftChars="0" w:right="0" w:rightChars="0"/>
        <w:jc w:val="left"/>
        <w:textAlignment w:val="auto"/>
        <w:rPr>
          <w:rFonts w:hint="default" w:ascii="Times New Roman" w:hAnsi="Times New Roman" w:eastAsia="Times New Roman" w:cs="Times New Roman"/>
          <w:color w:val="auto"/>
          <w:sz w:val="21"/>
        </w:rPr>
      </w:pPr>
      <w:r>
        <w:rPr>
          <w:rFonts w:hint="eastAsia" w:ascii="Times New Roman" w:hAnsi="Times New Roman" w:eastAsia="Times New Roman" w:cs="Times New Roman"/>
          <w:color w:val="auto"/>
          <w:sz w:val="21"/>
          <w:szCs w:val="22"/>
          <w:lang w:val="en-US" w:eastAsia="zh-CN"/>
        </w:rPr>
        <w:t xml:space="preserve">2.2.1 </w:t>
      </w:r>
      <w:r>
        <w:rPr>
          <w:rFonts w:hint="default" w:ascii="宋体" w:hAnsi="宋体" w:eastAsia="宋体" w:cs="宋体"/>
          <w:color w:val="auto"/>
          <w:spacing w:val="-1"/>
          <w:sz w:val="21"/>
        </w:rPr>
        <w:t>投标人应仔细</w:t>
      </w:r>
      <w:r>
        <w:rPr>
          <w:rFonts w:hint="default" w:ascii="宋体" w:hAnsi="宋体" w:eastAsia="宋体" w:cs="宋体"/>
          <w:color w:val="auto"/>
          <w:sz w:val="21"/>
        </w:rPr>
        <w:t>阅读和检查招标文件的全部内容。如发现缺页或附件不全，应及时向招标人提</w:t>
      </w:r>
    </w:p>
    <w:p>
      <w:pPr>
        <w:autoSpaceDE w:val="0"/>
        <w:autoSpaceDN w:val="0"/>
        <w:snapToGrid w:val="0"/>
        <w:spacing w:before="36" w:after="0" w:line="409" w:lineRule="exact"/>
        <w:ind w:left="0" w:right="11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出，以便补齐</w:t>
      </w:r>
      <w:r>
        <w:rPr>
          <w:rFonts w:hint="default" w:ascii="宋体" w:hAnsi="宋体" w:eastAsia="宋体" w:cs="宋体"/>
          <w:color w:val="auto"/>
          <w:sz w:val="21"/>
        </w:rPr>
        <w:t>。如有疑问或异议，应在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规定的时间前书面要求（包括信函、电报、传真等可以有形地表现所载内容的形式，下同）招标人对招标文件予以澄清。</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2.2.2</w:t>
      </w:r>
      <w:r>
        <w:rPr>
          <w:rFonts w:hint="eastAsia" w:eastAsia="宋体" w:cs="Times New Roman"/>
          <w:color w:val="auto"/>
          <w:sz w:val="21"/>
          <w:lang w:val="en-US" w:eastAsia="zh-CN"/>
        </w:rPr>
        <w:t xml:space="preserve"> </w:t>
      </w:r>
      <w:r>
        <w:rPr>
          <w:rFonts w:hint="default" w:ascii="宋体" w:hAnsi="宋体" w:eastAsia="宋体" w:cs="宋体"/>
          <w:color w:val="auto"/>
          <w:spacing w:val="-1"/>
          <w:sz w:val="21"/>
        </w:rPr>
        <w:t>招标文件的澄</w:t>
      </w:r>
      <w:r>
        <w:rPr>
          <w:rFonts w:hint="default" w:ascii="宋体" w:hAnsi="宋体" w:eastAsia="宋体" w:cs="宋体"/>
          <w:color w:val="auto"/>
          <w:sz w:val="21"/>
        </w:rPr>
        <w:t>清应在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规定的投标截止时</w:t>
      </w:r>
      <w:r>
        <w:rPr>
          <w:rFonts w:hint="default" w:ascii="宋体" w:hAnsi="宋体" w:eastAsia="宋体" w:cs="宋体"/>
          <w:color w:val="auto"/>
          <w:spacing w:val="26"/>
          <w:sz w:val="21"/>
        </w:rPr>
        <w:t>间</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日前，以</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w:t>
      </w:r>
    </w:p>
    <w:p>
      <w:pPr>
        <w:autoSpaceDE w:val="0"/>
        <w:autoSpaceDN w:val="0"/>
        <w:snapToGrid w:val="0"/>
        <w:spacing w:before="36" w:after="0" w:line="409" w:lineRule="exact"/>
        <w:ind w:left="0" w:right="15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表</w:t>
      </w:r>
      <w:r>
        <w:rPr>
          <w:rFonts w:hint="default" w:ascii="Times New Roman" w:hAnsi="Times New Roman" w:eastAsia="Times New Roman" w:cs="Times New Roman"/>
          <w:color w:val="auto"/>
          <w:spacing w:val="-1"/>
          <w:sz w:val="21"/>
        </w:rPr>
        <w:t>”2.2.</w:t>
      </w:r>
      <w:r>
        <w:rPr>
          <w:rFonts w:hint="default" w:ascii="Times New Roman" w:hAnsi="Times New Roman" w:eastAsia="Times New Roman" w:cs="Times New Roman"/>
          <w:color w:val="auto"/>
          <w:spacing w:val="51"/>
          <w:sz w:val="21"/>
        </w:rPr>
        <w:t>2</w:t>
      </w:r>
      <w:r>
        <w:rPr>
          <w:rFonts w:hint="default" w:ascii="宋体" w:hAnsi="宋体" w:eastAsia="宋体" w:cs="宋体"/>
          <w:color w:val="auto"/>
          <w:spacing w:val="-1"/>
          <w:sz w:val="21"/>
        </w:rPr>
        <w:t>规</w:t>
      </w:r>
      <w:r>
        <w:rPr>
          <w:rFonts w:hint="default" w:ascii="宋体" w:hAnsi="宋体" w:eastAsia="宋体" w:cs="宋体"/>
          <w:color w:val="auto"/>
          <w:sz w:val="21"/>
        </w:rPr>
        <w:t>定的形式向所有购买招标文件的投标人发布，但不指明澄清问题的来源。如果澄清发出的时间距投标截止时间不</w:t>
      </w:r>
      <w:r>
        <w:rPr>
          <w:rFonts w:hint="default" w:ascii="宋体" w:hAnsi="宋体" w:eastAsia="宋体" w:cs="宋体"/>
          <w:color w:val="auto"/>
          <w:spacing w:val="26"/>
          <w:sz w:val="21"/>
        </w:rPr>
        <w:t>足</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日可能影响投标文件编制的，相应延长投标截止时间。</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2.2.3 </w:t>
      </w:r>
      <w:r>
        <w:rPr>
          <w:rFonts w:hint="default" w:ascii="宋体" w:hAnsi="宋体" w:eastAsia="宋体" w:cs="宋体"/>
          <w:color w:val="auto"/>
          <w:sz w:val="21"/>
        </w:rPr>
        <w:t>投标人在收到澄清后，应按“投标人须知前附表”</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规定的形式确认已收到该澄清。</w:t>
      </w:r>
    </w:p>
    <w:p>
      <w:pPr>
        <w:numPr>
          <w:ilvl w:val="1"/>
          <w:numId w:val="15"/>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招标文件的修改</w:t>
      </w:r>
    </w:p>
    <w:p>
      <w:pPr>
        <w:numPr>
          <w:ilvl w:val="2"/>
          <w:numId w:val="16"/>
        </w:numPr>
        <w:autoSpaceDE w:val="0"/>
        <w:autoSpaceDN w:val="0"/>
        <w:snapToGrid w:val="0"/>
        <w:spacing w:before="153" w:after="0" w:line="240" w:lineRule="auto"/>
        <w:ind w:left="1002" w:right="0" w:hanging="582"/>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在投标截止</w:t>
      </w:r>
      <w:r>
        <w:rPr>
          <w:rFonts w:hint="default" w:ascii="宋体" w:hAnsi="宋体" w:eastAsia="宋体" w:cs="宋体"/>
          <w:color w:val="auto"/>
          <w:sz w:val="21"/>
        </w:rPr>
        <w:t>时</w:t>
      </w:r>
      <w:r>
        <w:rPr>
          <w:rFonts w:hint="default" w:ascii="宋体" w:hAnsi="宋体" w:eastAsia="宋体" w:cs="宋体"/>
          <w:color w:val="auto"/>
          <w:spacing w:val="26"/>
          <w:sz w:val="21"/>
        </w:rPr>
        <w:t>间</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日前，招标人可以书面形式修改招标文件，并以</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2"/>
          <w:sz w:val="21"/>
        </w:rPr>
        <w:t>2</w:t>
      </w:r>
      <w:r>
        <w:rPr>
          <w:rFonts w:hint="default" w:ascii="宋体" w:hAnsi="宋体" w:eastAsia="宋体" w:cs="宋体"/>
          <w:color w:val="auto"/>
          <w:sz w:val="21"/>
        </w:rPr>
        <w:t>规</w:t>
      </w:r>
    </w:p>
    <w:p>
      <w:pPr>
        <w:autoSpaceDE w:val="0"/>
        <w:autoSpaceDN w:val="0"/>
        <w:snapToGrid w:val="0"/>
        <w:spacing w:before="36"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定的澄清文件</w:t>
      </w:r>
      <w:r>
        <w:rPr>
          <w:rFonts w:hint="default" w:ascii="宋体" w:hAnsi="宋体" w:eastAsia="宋体" w:cs="宋体"/>
          <w:color w:val="auto"/>
          <w:sz w:val="21"/>
        </w:rPr>
        <w:t>发布的相同形式，通知所有已购买招标文件的投标人。如果修改招标文件的时间距投标截止时间不</w:t>
      </w:r>
      <w:r>
        <w:rPr>
          <w:rFonts w:hint="default" w:ascii="宋体" w:hAnsi="宋体" w:eastAsia="宋体" w:cs="宋体"/>
          <w:color w:val="auto"/>
          <w:spacing w:val="26"/>
          <w:sz w:val="21"/>
        </w:rPr>
        <w:t>足</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日可能影响投标文件编制的，相应延长投标截止时间。</w:t>
      </w:r>
    </w:p>
    <w:p>
      <w:pPr>
        <w:numPr>
          <w:ilvl w:val="2"/>
          <w:numId w:val="17"/>
        </w:numPr>
        <w:autoSpaceDE w:val="0"/>
        <w:autoSpaceDN w:val="0"/>
        <w:snapToGrid w:val="0"/>
        <w:spacing w:before="117" w:after="0" w:line="240" w:lineRule="auto"/>
        <w:ind w:left="1107" w:right="0" w:hanging="68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投标人在收</w:t>
      </w:r>
      <w:r>
        <w:rPr>
          <w:rFonts w:hint="default" w:ascii="宋体" w:hAnsi="宋体" w:eastAsia="宋体" w:cs="宋体"/>
          <w:color w:val="auto"/>
          <w:sz w:val="21"/>
        </w:rPr>
        <w:t>到招标文件的修改后，应按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2"/>
          <w:sz w:val="21"/>
        </w:rPr>
        <w:t>3</w:t>
      </w:r>
      <w:r>
        <w:rPr>
          <w:rFonts w:hint="default" w:ascii="宋体" w:hAnsi="宋体" w:eastAsia="宋体" w:cs="宋体"/>
          <w:color w:val="auto"/>
          <w:sz w:val="21"/>
        </w:rPr>
        <w:t>规定的澄清文件确认的相同形</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式，确认已收到该修改。</w:t>
      </w:r>
    </w:p>
    <w:p>
      <w:pPr>
        <w:numPr>
          <w:ilvl w:val="2"/>
          <w:numId w:val="18"/>
        </w:numPr>
        <w:autoSpaceDE w:val="0"/>
        <w:autoSpaceDN w:val="0"/>
        <w:snapToGrid w:val="0"/>
        <w:spacing w:before="146"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为使投标人在</w:t>
      </w:r>
      <w:r>
        <w:rPr>
          <w:rFonts w:hint="default" w:ascii="宋体" w:hAnsi="宋体" w:eastAsia="宋体" w:cs="宋体"/>
          <w:color w:val="auto"/>
          <w:sz w:val="21"/>
        </w:rPr>
        <w:t>编制投标文件时有充分的时间对招标文件的修改、补充等内容进行研究并做出响</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应，招标人可酌情延长提交投标文件的截止时间，具体时间在招标文件的修改、补充等通知中予以明确。</w:t>
      </w:r>
    </w:p>
    <w:p>
      <w:pPr>
        <w:numPr>
          <w:ilvl w:val="2"/>
          <w:numId w:val="18"/>
        </w:numPr>
        <w:autoSpaceDE w:val="0"/>
        <w:autoSpaceDN w:val="0"/>
        <w:snapToGrid w:val="0"/>
        <w:spacing w:before="146"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招标文件的修</w:t>
      </w:r>
      <w:r>
        <w:rPr>
          <w:rFonts w:hint="default" w:ascii="宋体" w:hAnsi="宋体" w:eastAsia="宋体" w:cs="宋体"/>
          <w:color w:val="auto"/>
          <w:sz w:val="21"/>
        </w:rPr>
        <w:t>改或补充报招投标监督管理部门备案后，发送给所有获得招标文件的投标人。招</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标文件的修改内容作为招标文件的组成部分，具有约束作用。</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numPr>
          <w:ilvl w:val="0"/>
          <w:numId w:val="14"/>
        </w:numPr>
        <w:autoSpaceDE w:val="0"/>
        <w:autoSpaceDN w:val="0"/>
        <w:snapToGrid w:val="0"/>
        <w:spacing w:before="0" w:after="0" w:line="240" w:lineRule="auto"/>
        <w:ind w:left="222" w:right="0" w:hanging="105"/>
        <w:jc w:val="left"/>
        <w:textAlignment w:val="auto"/>
        <w:rPr>
          <w:rFonts w:hint="default" w:ascii="Arial" w:hAnsi="Arial" w:eastAsia="Arial" w:cs="Arial"/>
          <w:b/>
          <w:color w:val="auto"/>
          <w:sz w:val="21"/>
        </w:rPr>
      </w:pPr>
      <w:bookmarkStart w:id="45" w:name="_Toc27487_WPSOffice_Level2"/>
      <w:bookmarkStart w:id="46" w:name="_Toc13682_WPSOffice_Level2"/>
      <w:r>
        <w:rPr>
          <w:rFonts w:hint="default" w:ascii="黑体" w:hAnsi="黑体" w:eastAsia="黑体" w:cs="黑体"/>
          <w:b/>
          <w:color w:val="auto"/>
          <w:sz w:val="21"/>
        </w:rPr>
        <w:t>投标文件</w:t>
      </w:r>
      <w:bookmarkEnd w:id="45"/>
      <w:bookmarkEnd w:id="46"/>
    </w:p>
    <w:p>
      <w:pPr>
        <w:numPr>
          <w:ilvl w:val="1"/>
          <w:numId w:val="19"/>
        </w:numPr>
        <w:tabs>
          <w:tab w:val="left" w:pos="368"/>
        </w:tabs>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投标文件的组成</w:t>
      </w:r>
    </w:p>
    <w:p>
      <w:pPr>
        <w:numPr>
          <w:ilvl w:val="2"/>
          <w:numId w:val="2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投标文件应包括下列内容：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）资格审查部分：具体材料见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）商务标部分：具体材料见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）技术标部分：具体材料见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）投标文件电子版（如有）：具体材料见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21"/>
        </w:numPr>
        <w:autoSpaceDE w:val="0"/>
        <w:autoSpaceDN w:val="0"/>
        <w:snapToGrid w:val="0"/>
        <w:spacing w:before="29"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招标文件</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第</w:t>
      </w:r>
      <w:r>
        <w:rPr>
          <w:rFonts w:hint="eastAsia" w:ascii="宋体" w:hAnsi="宋体" w:eastAsia="宋体" w:cs="宋体"/>
          <w:color w:val="auto"/>
          <w:sz w:val="21"/>
          <w:lang w:eastAsia="zh-CN"/>
        </w:rPr>
        <w:t>七</w:t>
      </w:r>
      <w:r>
        <w:rPr>
          <w:rFonts w:hint="default" w:ascii="宋体" w:hAnsi="宋体" w:eastAsia="宋体" w:cs="宋体"/>
          <w:color w:val="auto"/>
          <w:sz w:val="21"/>
        </w:rPr>
        <w:t>章</w:t>
      </w:r>
      <w:r>
        <w:rPr>
          <w:rFonts w:hint="default" w:ascii="宋体" w:hAnsi="宋体" w:eastAsia="宋体" w:cs="宋体"/>
          <w:color w:val="auto"/>
          <w:spacing w:val="27"/>
          <w:sz w:val="21"/>
        </w:rPr>
        <w:t xml:space="preserve"> </w:t>
      </w:r>
      <w:r>
        <w:rPr>
          <w:rFonts w:hint="default" w:ascii="宋体" w:hAnsi="宋体" w:eastAsia="宋体" w:cs="宋体"/>
          <w:color w:val="auto"/>
          <w:sz w:val="21"/>
        </w:rPr>
        <w:t>投标文件格式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有规定格式要求的，投标人应按规定的格式填写并按要求提交相关的证明材料。</w:t>
      </w:r>
    </w:p>
    <w:p>
      <w:pPr>
        <w:numPr>
          <w:ilvl w:val="2"/>
          <w:numId w:val="19"/>
        </w:numPr>
        <w:autoSpaceDE w:val="0"/>
        <w:autoSpaceDN w:val="0"/>
        <w:snapToGrid w:val="0"/>
        <w:spacing w:before="0"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w:t>
      </w:r>
      <w:r>
        <w:rPr>
          <w:rFonts w:hint="default" w:ascii="宋体" w:hAnsi="宋体" w:eastAsia="宋体" w:cs="宋体"/>
          <w:color w:val="auto"/>
          <w:sz w:val="21"/>
        </w:rPr>
        <w:t>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规定不接受联合体投标的，或投标人没有组成联合体的，投标文件不包括本章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3.1.1</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）中所指的联合体协议书。</w:t>
      </w:r>
    </w:p>
    <w:p>
      <w:pPr>
        <w:numPr>
          <w:ilvl w:val="2"/>
          <w:numId w:val="19"/>
        </w:numPr>
        <w:tabs>
          <w:tab w:val="left" w:pos="945"/>
        </w:tabs>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近年财</w:t>
      </w:r>
      <w:r>
        <w:rPr>
          <w:rFonts w:hint="default" w:ascii="宋体" w:hAnsi="宋体" w:eastAsia="宋体" w:cs="宋体"/>
          <w:color w:val="auto"/>
          <w:sz w:val="21"/>
        </w:rPr>
        <w:t>务状况、完成的类似项目、发生的诉讼及仲裁情况的年份要求：见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19"/>
        </w:numPr>
        <w:tabs>
          <w:tab w:val="left" w:pos="368"/>
        </w:tabs>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投标报价</w:t>
      </w:r>
    </w:p>
    <w:p>
      <w:pPr>
        <w:numPr>
          <w:ilvl w:val="2"/>
          <w:numId w:val="22"/>
        </w:numPr>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投标人应按第五章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工程量清单</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的要求填写相应表格。</w:t>
      </w:r>
    </w:p>
    <w:p>
      <w:pPr>
        <w:keepNext w:val="0"/>
        <w:keepLines w:val="0"/>
        <w:pageBreakBefore w:val="0"/>
        <w:widowControl w:val="0"/>
        <w:numPr>
          <w:ilvl w:val="0"/>
          <w:numId w:val="0"/>
        </w:numPr>
        <w:kinsoku/>
        <w:wordWrap/>
        <w:overflowPunct/>
        <w:topLinePunct w:val="0"/>
        <w:autoSpaceDE w:val="0"/>
        <w:autoSpaceDN w:val="0"/>
        <w:bidi w:val="0"/>
        <w:adjustRightInd/>
        <w:snapToGrid w:val="0"/>
        <w:spacing w:before="153" w:after="0" w:line="420" w:lineRule="exact"/>
        <w:ind w:right="0" w:rightChars="0" w:firstLine="420" w:firstLineChars="200"/>
        <w:jc w:val="left"/>
        <w:textAlignment w:val="auto"/>
        <w:rPr>
          <w:rFonts w:hint="default" w:ascii="宋体" w:hAnsi="宋体" w:eastAsia="宋体" w:cs="宋体"/>
          <w:color w:val="auto"/>
          <w:sz w:val="21"/>
        </w:rPr>
      </w:pPr>
      <w:r>
        <w:rPr>
          <w:rFonts w:hint="eastAsia" w:ascii="宋体" w:hAnsi="宋体" w:eastAsia="宋体" w:cs="宋体"/>
          <w:color w:val="auto"/>
          <w:sz w:val="21"/>
          <w:lang w:val="en-US" w:eastAsia="zh-CN"/>
        </w:rPr>
        <w:t xml:space="preserve">3.2.1.1 </w:t>
      </w:r>
      <w:r>
        <w:rPr>
          <w:rFonts w:hint="default" w:ascii="宋体" w:hAnsi="宋体" w:eastAsia="宋体" w:cs="宋体"/>
          <w:color w:val="auto"/>
          <w:sz w:val="21"/>
        </w:rPr>
        <w:t>本项目招标提供纸质和电子两种形式工程量清单,投标人应使用符合该数据交换标准的计价软</w:t>
      </w:r>
      <w:r>
        <w:rPr>
          <w:rFonts w:hint="default" w:ascii="宋体" w:hAnsi="宋体" w:eastAsia="宋体" w:cs="宋体"/>
          <w:color w:val="auto"/>
          <w:spacing w:val="-1"/>
          <w:sz w:val="21"/>
        </w:rPr>
        <w:t>件导入电子工</w:t>
      </w:r>
      <w:r>
        <w:rPr>
          <w:rFonts w:hint="default" w:ascii="宋体" w:hAnsi="宋体" w:eastAsia="宋体" w:cs="宋体"/>
          <w:color w:val="auto"/>
          <w:sz w:val="21"/>
        </w:rPr>
        <w:t>程量清单，填写单价和计算总额价，完成已标价工程量清单的编制。严禁投标人修改工程量清单的项目结构、标段名称、单项工程名称、单位工程名称、项目编码、项目名称、项目特征、计量单位、工程量、清单顺序和序号。投标人不得对招标工程量清单项目进行增减调整。</w:t>
      </w:r>
    </w:p>
    <w:p>
      <w:pPr>
        <w:numPr>
          <w:ilvl w:val="3"/>
          <w:numId w:val="23"/>
        </w:numPr>
        <w:autoSpaceDE w:val="0"/>
        <w:autoSpaceDN w:val="0"/>
        <w:snapToGrid w:val="0"/>
        <w:spacing w:before="29" w:after="0" w:line="408" w:lineRule="exact"/>
        <w:ind w:left="0" w:right="13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投标人已标价</w:t>
      </w:r>
      <w:r>
        <w:rPr>
          <w:rFonts w:hint="default" w:ascii="宋体" w:hAnsi="宋体" w:eastAsia="宋体" w:cs="宋体"/>
          <w:color w:val="auto"/>
          <w:sz w:val="21"/>
        </w:rPr>
        <w:t>工程量清单纸质投标文件应符合第</w:t>
      </w:r>
      <w:r>
        <w:rPr>
          <w:rFonts w:hint="eastAsia" w:ascii="宋体" w:hAnsi="宋体" w:eastAsia="宋体" w:cs="宋体"/>
          <w:color w:val="auto"/>
          <w:sz w:val="21"/>
          <w:lang w:eastAsia="zh-CN"/>
        </w:rPr>
        <w:t>七</w:t>
      </w:r>
      <w:r>
        <w:rPr>
          <w:rFonts w:hint="default" w:ascii="宋体" w:hAnsi="宋体" w:eastAsia="宋体" w:cs="宋体"/>
          <w:color w:val="auto"/>
          <w:sz w:val="21"/>
        </w:rPr>
        <w:t>章“投标文件格式”的要求，电子文件应提供计价软件本身复制出的工程计价文件和导出的文件后缀名为“.gxtb”的评标交换文件两种格式文</w:t>
      </w:r>
    </w:p>
    <w:p>
      <w:pPr>
        <w:autoSpaceDE w:val="0"/>
        <w:autoSpaceDN w:val="0"/>
        <w:snapToGrid w:val="0"/>
        <w:spacing w:before="11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件，并注明所使用的软件版本号。</w:t>
      </w:r>
    </w:p>
    <w:p>
      <w:pPr>
        <w:numPr>
          <w:ilvl w:val="3"/>
          <w:numId w:val="23"/>
        </w:numPr>
        <w:autoSpaceDE w:val="0"/>
        <w:autoSpaceDN w:val="0"/>
        <w:snapToGrid w:val="0"/>
        <w:spacing w:before="146" w:after="0" w:line="263"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z w:val="21"/>
        </w:rPr>
        <w:t>投标人提交的已标价工程量清单纸质文件应从已编制完成的电子文件中选择符合第八章“投</w:t>
      </w:r>
    </w:p>
    <w:p>
      <w:pPr>
        <w:autoSpaceDE w:val="0"/>
        <w:autoSpaceDN w:val="0"/>
        <w:snapToGrid w:val="0"/>
        <w:spacing w:before="29"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标文件格式”</w:t>
      </w:r>
      <w:r>
        <w:rPr>
          <w:rFonts w:hint="default" w:ascii="宋体" w:hAnsi="宋体" w:eastAsia="宋体" w:cs="宋体"/>
          <w:color w:val="auto"/>
          <w:sz w:val="21"/>
        </w:rPr>
        <w:t>格式要求的相应表格直接打印，纸质文件应当与电子文件一致，不得弄虚作假，如出现纸质</w:t>
      </w:r>
      <w:r>
        <w:rPr>
          <w:rFonts w:hint="default" w:ascii="宋体" w:hAnsi="宋体" w:eastAsia="宋体" w:cs="宋体"/>
          <w:color w:val="auto"/>
          <w:spacing w:val="-1"/>
          <w:sz w:val="21"/>
        </w:rPr>
        <w:t>文件与电子文</w:t>
      </w:r>
      <w:r>
        <w:rPr>
          <w:rFonts w:hint="default" w:ascii="宋体" w:hAnsi="宋体" w:eastAsia="宋体" w:cs="宋体"/>
          <w:color w:val="auto"/>
          <w:sz w:val="21"/>
        </w:rPr>
        <w:t>件不一致时，无论在评标时或合同执行时，招标人均有权以最不利于投标人（或中标人和承包人）的处理。</w:t>
      </w:r>
    </w:p>
    <w:p>
      <w:pPr>
        <w:numPr>
          <w:ilvl w:val="3"/>
          <w:numId w:val="23"/>
        </w:numPr>
        <w:autoSpaceDE w:val="0"/>
        <w:autoSpaceDN w:val="0"/>
        <w:snapToGrid w:val="0"/>
        <w:spacing w:before="0" w:after="0" w:line="409" w:lineRule="exact"/>
        <w:ind w:left="0" w:right="13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投标人已标价</w:t>
      </w:r>
      <w:r>
        <w:rPr>
          <w:rFonts w:hint="default" w:ascii="宋体" w:hAnsi="宋体" w:eastAsia="宋体" w:cs="宋体"/>
          <w:color w:val="auto"/>
          <w:sz w:val="21"/>
        </w:rPr>
        <w:t>工程量清单电子文件应单独拷</w:t>
      </w:r>
      <w:r>
        <w:rPr>
          <w:rFonts w:hint="default" w:ascii="宋体" w:hAnsi="宋体" w:eastAsia="宋体" w:cs="宋体"/>
          <w:color w:val="auto"/>
          <w:spacing w:val="26"/>
          <w:sz w:val="21"/>
        </w:rPr>
        <w:t>入</w:t>
      </w:r>
      <w:r>
        <w:rPr>
          <w:rFonts w:hint="default" w:ascii="宋体" w:hAnsi="宋体" w:eastAsia="宋体" w:cs="宋体"/>
          <w:color w:val="auto"/>
          <w:spacing w:val="53"/>
          <w:sz w:val="21"/>
        </w:rPr>
        <w:t>u</w:t>
      </w:r>
      <w:r>
        <w:rPr>
          <w:rFonts w:hint="default" w:ascii="宋体" w:hAnsi="宋体" w:eastAsia="宋体" w:cs="宋体"/>
          <w:color w:val="auto"/>
          <w:sz w:val="21"/>
        </w:rPr>
        <w:t>盘中，</w:t>
      </w:r>
      <w:r>
        <w:rPr>
          <w:rFonts w:hint="default" w:ascii="宋体" w:hAnsi="宋体" w:eastAsia="宋体" w:cs="宋体"/>
          <w:color w:val="auto"/>
          <w:spacing w:val="26"/>
          <w:sz w:val="21"/>
        </w:rPr>
        <w:t>在</w:t>
      </w:r>
      <w:r>
        <w:rPr>
          <w:rFonts w:hint="default" w:ascii="宋体" w:hAnsi="宋体" w:eastAsia="宋体" w:cs="宋体"/>
          <w:color w:val="auto"/>
          <w:spacing w:val="53"/>
          <w:sz w:val="21"/>
        </w:rPr>
        <w:t>u</w:t>
      </w:r>
      <w:r>
        <w:rPr>
          <w:rFonts w:hint="default" w:ascii="宋体" w:hAnsi="宋体" w:eastAsia="宋体" w:cs="宋体"/>
          <w:color w:val="auto"/>
          <w:sz w:val="21"/>
        </w:rPr>
        <w:t>盘标签上标明工程名称和投标人名称，</w:t>
      </w:r>
    </w:p>
    <w:p>
      <w:pPr>
        <w:numPr>
          <w:ilvl w:val="2"/>
          <w:numId w:val="22"/>
        </w:numPr>
        <w:tabs>
          <w:tab w:val="left" w:pos="950"/>
        </w:tabs>
        <w:autoSpaceDE w:val="0"/>
        <w:autoSpaceDN w:val="0"/>
        <w:snapToGrid w:val="0"/>
        <w:spacing w:before="0"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投标人在投标</w:t>
      </w:r>
      <w:r>
        <w:rPr>
          <w:rFonts w:hint="default" w:ascii="宋体" w:hAnsi="宋体" w:eastAsia="宋体" w:cs="宋体"/>
          <w:color w:val="auto"/>
          <w:sz w:val="21"/>
        </w:rPr>
        <w:t>截止时间前修改投标函中的投标总报价，应同时修改第</w:t>
      </w:r>
      <w:r>
        <w:rPr>
          <w:rFonts w:hint="eastAsia" w:ascii="宋体" w:hAnsi="宋体" w:eastAsia="宋体" w:cs="宋体"/>
          <w:color w:val="auto"/>
          <w:sz w:val="21"/>
          <w:lang w:eastAsia="zh-CN"/>
        </w:rPr>
        <w:t>七</w:t>
      </w:r>
      <w:r>
        <w:rPr>
          <w:rFonts w:hint="default" w:ascii="宋体" w:hAnsi="宋体" w:eastAsia="宋体" w:cs="宋体"/>
          <w:color w:val="auto"/>
          <w:sz w:val="21"/>
        </w:rPr>
        <w:t>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投标文件格式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中的相应报价。此修改须符合本章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款的有关要求。</w:t>
      </w:r>
    </w:p>
    <w:p>
      <w:pPr>
        <w:numPr>
          <w:ilvl w:val="1"/>
          <w:numId w:val="19"/>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投标有效期</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3.3.1 </w:t>
      </w:r>
      <w:r>
        <w:rPr>
          <w:rFonts w:hint="default" w:ascii="宋体" w:hAnsi="宋体" w:eastAsia="宋体" w:cs="宋体"/>
          <w:color w:val="auto"/>
          <w:sz w:val="21"/>
        </w:rPr>
        <w:t>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规定的投标有效期内，投标人不得要求撤销或修改其投标文件。</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3.3.2</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出现特殊情况</w:t>
      </w:r>
      <w:r>
        <w:rPr>
          <w:rFonts w:hint="default" w:ascii="宋体" w:hAnsi="宋体" w:eastAsia="宋体" w:cs="宋体"/>
          <w:color w:val="auto"/>
          <w:sz w:val="21"/>
        </w:rPr>
        <w:t>需要延长投标有效期的，招标人以书面形式通知所有投标人延长投标有效期。投</w:t>
      </w:r>
    </w:p>
    <w:p>
      <w:pPr>
        <w:autoSpaceDE w:val="0"/>
        <w:autoSpaceDN w:val="0"/>
        <w:snapToGrid w:val="0"/>
        <w:spacing w:before="36"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标人同意延长</w:t>
      </w:r>
      <w:r>
        <w:rPr>
          <w:rFonts w:hint="default" w:ascii="宋体" w:hAnsi="宋体" w:eastAsia="宋体" w:cs="宋体"/>
          <w:color w:val="auto"/>
          <w:sz w:val="21"/>
        </w:rPr>
        <w:t>的，应相应延长其投标保证金的有效期，但不得要求或被允许修改或撤销其投标文件；投标人拒绝延长的，其投标失效，但投标人有权收回其投标保证金。</w:t>
      </w:r>
    </w:p>
    <w:p>
      <w:pPr>
        <w:numPr>
          <w:ilvl w:val="1"/>
          <w:numId w:val="19"/>
        </w:numPr>
        <w:tabs>
          <w:tab w:val="left" w:pos="368"/>
        </w:tabs>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投标保证金</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3.4.1</w:t>
      </w:r>
      <w:r>
        <w:rPr>
          <w:rFonts w:hint="default" w:ascii="Times New Roman" w:hAnsi="Times New Roman" w:eastAsia="Times New Roman" w:cs="Times New Roman"/>
          <w:color w:val="auto"/>
          <w:spacing w:val="61"/>
          <w:sz w:val="21"/>
        </w:rPr>
        <w:t xml:space="preserve"> </w:t>
      </w:r>
      <w:r>
        <w:rPr>
          <w:rFonts w:hint="default" w:ascii="宋体" w:hAnsi="宋体" w:eastAsia="宋体" w:cs="宋体"/>
          <w:color w:val="auto"/>
          <w:spacing w:val="-1"/>
          <w:sz w:val="21"/>
        </w:rPr>
        <w:t>投标人必须在</w:t>
      </w:r>
      <w:r>
        <w:rPr>
          <w:rFonts w:hint="default" w:ascii="宋体" w:hAnsi="宋体" w:eastAsia="宋体" w:cs="宋体"/>
          <w:color w:val="auto"/>
          <w:sz w:val="21"/>
        </w:rPr>
        <w:t>投标截止时间前，按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规定的金额、方式和第八章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投标文件格</w:t>
      </w:r>
    </w:p>
    <w:p>
      <w:pPr>
        <w:autoSpaceDE w:val="0"/>
        <w:autoSpaceDN w:val="0"/>
        <w:snapToGrid w:val="0"/>
        <w:spacing w:before="36" w:after="0" w:line="408" w:lineRule="exact"/>
        <w:ind w:left="0" w:right="20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式</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规定的投</w:t>
      </w:r>
      <w:r>
        <w:rPr>
          <w:rFonts w:hint="default" w:ascii="宋体" w:hAnsi="宋体" w:eastAsia="宋体" w:cs="宋体"/>
          <w:color w:val="auto"/>
          <w:sz w:val="21"/>
        </w:rPr>
        <w:t>标保证金格式提交投标保证金。提交投标保证金的证明文件作为其投标文件的组成部分。联合体投标的，其投标保证金由牵头人递交，并应符合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的规定。</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3.4.2 </w:t>
      </w:r>
      <w:r>
        <w:rPr>
          <w:rFonts w:hint="default" w:ascii="宋体" w:hAnsi="宋体" w:eastAsia="宋体" w:cs="宋体"/>
          <w:color w:val="auto"/>
          <w:sz w:val="21"/>
        </w:rPr>
        <w:t>投标人不按本章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项要求提交投标保证金的，其投标文件作否决投标处理。</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3.4.3</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对未中标人</w:t>
      </w:r>
      <w:r>
        <w:rPr>
          <w:rFonts w:hint="default" w:ascii="宋体" w:hAnsi="宋体" w:eastAsia="宋体" w:cs="宋体"/>
          <w:color w:val="auto"/>
          <w:sz w:val="21"/>
        </w:rPr>
        <w:t>交纳的投标保证金（保函原件）应当于中标通知书发出之日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日内退回；对中标</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人交纳的投标保证金（保函原件）应当于合同签订之日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日内退回。</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3.4.4 </w:t>
      </w:r>
      <w:r>
        <w:rPr>
          <w:rFonts w:hint="default" w:ascii="宋体" w:hAnsi="宋体" w:eastAsia="宋体" w:cs="宋体"/>
          <w:color w:val="auto"/>
          <w:sz w:val="21"/>
        </w:rPr>
        <w:t>有下列情形之一的，投标保证金将不予退还：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）投标人在规定的投标有效期内撤销或修改其投标文件；</w:t>
      </w:r>
    </w:p>
    <w:p>
      <w:pPr>
        <w:autoSpaceDE w:val="0"/>
        <w:autoSpaceDN w:val="0"/>
        <w:snapToGrid w:val="0"/>
        <w:spacing w:before="29" w:after="0" w:line="408" w:lineRule="exact"/>
        <w:ind w:left="0" w:right="40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）中标人</w:t>
      </w:r>
      <w:r>
        <w:rPr>
          <w:rFonts w:hint="default" w:ascii="宋体" w:hAnsi="宋体" w:eastAsia="宋体" w:cs="宋体"/>
          <w:color w:val="auto"/>
          <w:sz w:val="21"/>
        </w:rPr>
        <w:t>在收到中标通知书后，无正当理由拒签合同协议书或未按招标文件规定提交履约保证金。</w:t>
      </w:r>
    </w:p>
    <w:p>
      <w:pPr>
        <w:numPr>
          <w:ilvl w:val="1"/>
          <w:numId w:val="19"/>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备选投标方案</w:t>
      </w:r>
    </w:p>
    <w:p>
      <w:pPr>
        <w:autoSpaceDE w:val="0"/>
        <w:autoSpaceDN w:val="0"/>
        <w:snapToGrid w:val="0"/>
        <w:spacing w:before="36"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除“投标人须知前附表”另有规定</w:t>
      </w:r>
      <w:r>
        <w:rPr>
          <w:rFonts w:hint="default" w:ascii="宋体" w:hAnsi="宋体" w:eastAsia="宋体" w:cs="宋体"/>
          <w:color w:val="auto"/>
          <w:spacing w:val="-1"/>
          <w:sz w:val="21"/>
        </w:rPr>
        <w:t>外，投标人不得递交备选投标方案。允许投标人递交备选投标方案</w:t>
      </w:r>
      <w:r>
        <w:rPr>
          <w:rFonts w:hint="default" w:ascii="宋体" w:hAnsi="宋体" w:eastAsia="宋体" w:cs="宋体"/>
          <w:color w:val="auto"/>
          <w:sz w:val="21"/>
        </w:rPr>
        <w:t xml:space="preserve"> </w:t>
      </w:r>
      <w:r>
        <w:rPr>
          <w:rFonts w:hint="default" w:ascii="宋体" w:hAnsi="宋体" w:eastAsia="宋体" w:cs="宋体"/>
          <w:color w:val="auto"/>
          <w:spacing w:val="-1"/>
          <w:sz w:val="21"/>
        </w:rPr>
        <w:t>的，只有中标</w:t>
      </w:r>
      <w:r>
        <w:rPr>
          <w:rFonts w:hint="default" w:ascii="宋体" w:hAnsi="宋体" w:eastAsia="宋体" w:cs="宋体"/>
          <w:color w:val="auto"/>
          <w:sz w:val="21"/>
        </w:rPr>
        <w:t>人所递交的备选投标方案方可予以考虑。评标委员会认为中标人的备选投标方案优于其按照招标文件要求编制的投标方案的，招标人可以接受该备选投标方案。</w:t>
      </w:r>
    </w:p>
    <w:p>
      <w:pPr>
        <w:numPr>
          <w:ilvl w:val="1"/>
          <w:numId w:val="19"/>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投标文件的编制</w:t>
      </w:r>
    </w:p>
    <w:p>
      <w:pPr>
        <w:numPr>
          <w:ilvl w:val="2"/>
          <w:numId w:val="24"/>
        </w:numPr>
        <w:autoSpaceDE w:val="0"/>
        <w:autoSpaceDN w:val="0"/>
        <w:snapToGrid w:val="0"/>
        <w:spacing w:before="153" w:after="0" w:line="240" w:lineRule="auto"/>
        <w:ind w:left="950" w:right="0" w:hanging="5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投标文件应按</w:t>
      </w:r>
      <w:r>
        <w:rPr>
          <w:rFonts w:hint="default" w:ascii="宋体" w:hAnsi="宋体" w:eastAsia="宋体" w:cs="宋体"/>
          <w:color w:val="auto"/>
          <w:sz w:val="21"/>
        </w:rPr>
        <w:t>第</w:t>
      </w:r>
      <w:r>
        <w:rPr>
          <w:rFonts w:hint="eastAsia" w:ascii="宋体" w:hAnsi="宋体" w:eastAsia="宋体" w:cs="宋体"/>
          <w:color w:val="auto"/>
          <w:sz w:val="21"/>
          <w:lang w:eastAsia="zh-CN"/>
        </w:rPr>
        <w:t>七</w:t>
      </w:r>
      <w:r>
        <w:rPr>
          <w:rFonts w:hint="default" w:ascii="宋体" w:hAnsi="宋体" w:eastAsia="宋体" w:cs="宋体"/>
          <w:color w:val="auto"/>
          <w:sz w:val="21"/>
        </w:rPr>
        <w:t>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投标文件格式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进行编写，如有必要，可以增加附页，作为投标文件的组成</w:t>
      </w:r>
    </w:p>
    <w:p>
      <w:pPr>
        <w:autoSpaceDE w:val="0"/>
        <w:autoSpaceDN w:val="0"/>
        <w:snapToGrid w:val="0"/>
        <w:spacing w:before="36"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部分。其中，</w:t>
      </w:r>
      <w:r>
        <w:rPr>
          <w:rFonts w:hint="default" w:ascii="宋体" w:hAnsi="宋体" w:eastAsia="宋体" w:cs="宋体"/>
          <w:color w:val="auto"/>
          <w:sz w:val="21"/>
        </w:rPr>
        <w:t>投标函附录在满足招标文件实质性要求的基础上，可以提出比招标文件要求更有利于招标人的承诺。</w:t>
      </w:r>
    </w:p>
    <w:p>
      <w:pPr>
        <w:numPr>
          <w:ilvl w:val="2"/>
          <w:numId w:val="25"/>
        </w:numPr>
        <w:autoSpaceDE w:val="0"/>
        <w:autoSpaceDN w:val="0"/>
        <w:snapToGrid w:val="0"/>
        <w:spacing w:before="117"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投标文件应</w:t>
      </w:r>
      <w:r>
        <w:rPr>
          <w:rFonts w:hint="default" w:ascii="宋体" w:hAnsi="宋体" w:eastAsia="宋体" w:cs="宋体"/>
          <w:color w:val="auto"/>
          <w:sz w:val="21"/>
        </w:rPr>
        <w:t>当对招标文件有关工期、投标有效期、质量要求、技术标准和要求、招标范围等实</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质性内容作出响应。</w:t>
      </w:r>
    </w:p>
    <w:p>
      <w:pPr>
        <w:autoSpaceDE w:val="0"/>
        <w:autoSpaceDN w:val="0"/>
        <w:snapToGrid w:val="0"/>
        <w:spacing w:before="36" w:after="0" w:line="409" w:lineRule="exact"/>
        <w:ind w:left="0" w:right="0" w:firstLine="420" w:firstLineChars="200"/>
        <w:jc w:val="left"/>
        <w:textAlignment w:val="auto"/>
        <w:rPr>
          <w:rFonts w:hint="default" w:ascii="宋体" w:hAnsi="宋体" w:eastAsia="宋体" w:cs="宋体"/>
          <w:color w:val="auto"/>
          <w:sz w:val="21"/>
        </w:rPr>
      </w:pPr>
      <w:r>
        <w:rPr>
          <w:rFonts w:hint="eastAsia" w:ascii="Times New Roman" w:hAnsi="Times New Roman" w:eastAsia="Times New Roman" w:cs="Times New Roman"/>
          <w:color w:val="auto"/>
          <w:sz w:val="21"/>
          <w:szCs w:val="22"/>
          <w:lang w:val="en-US" w:eastAsia="zh-CN"/>
        </w:rPr>
        <w:t>3.6.3</w:t>
      </w:r>
      <w:r>
        <w:rPr>
          <w:rFonts w:hint="eastAsia" w:cs="Times New Roman"/>
          <w:color w:val="auto"/>
          <w:sz w:val="21"/>
          <w:szCs w:val="22"/>
          <w:lang w:val="en-US" w:eastAsia="zh-CN"/>
        </w:rPr>
        <w:t xml:space="preserve"> </w:t>
      </w:r>
      <w:r>
        <w:rPr>
          <w:rFonts w:hint="default" w:ascii="宋体" w:hAnsi="宋体" w:eastAsia="宋体" w:cs="宋体"/>
          <w:color w:val="auto"/>
          <w:spacing w:val="-1"/>
          <w:sz w:val="21"/>
        </w:rPr>
        <w:t>投标文件应</w:t>
      </w:r>
      <w:r>
        <w:rPr>
          <w:rFonts w:hint="default" w:ascii="宋体" w:hAnsi="宋体" w:eastAsia="宋体" w:cs="宋体"/>
          <w:color w:val="auto"/>
          <w:sz w:val="21"/>
        </w:rPr>
        <w:t>用不褪色的材料书写或打印，投标文件应由投标人逐页加盖投标人单位公章，且经</w:t>
      </w:r>
      <w:r>
        <w:rPr>
          <w:rFonts w:hint="default" w:ascii="宋体" w:hAnsi="宋体" w:eastAsia="宋体" w:cs="宋体"/>
          <w:color w:val="auto"/>
          <w:spacing w:val="-1"/>
          <w:sz w:val="21"/>
        </w:rPr>
        <w:t>法定代表人在</w:t>
      </w:r>
      <w:r>
        <w:rPr>
          <w:rFonts w:hint="default" w:ascii="宋体" w:hAnsi="宋体" w:eastAsia="宋体" w:cs="宋体"/>
          <w:color w:val="auto"/>
          <w:sz w:val="21"/>
        </w:rPr>
        <w:t>凡规定签章处签字（或盖章）或其委托代理人本人在凡规定签章处签字，</w:t>
      </w:r>
      <w:r>
        <w:rPr>
          <w:rFonts w:hint="eastAsia" w:ascii="宋体" w:hAnsi="宋体" w:eastAsia="宋体" w:cs="宋体"/>
          <w:color w:val="auto"/>
          <w:sz w:val="21"/>
          <w:lang w:val="en-US" w:eastAsia="zh-CN"/>
        </w:rPr>
        <w:t>副本可以使正本的复印件；</w:t>
      </w:r>
      <w:r>
        <w:rPr>
          <w:rFonts w:hint="default" w:ascii="宋体" w:hAnsi="宋体" w:eastAsia="宋体" w:cs="宋体"/>
          <w:color w:val="auto"/>
          <w:sz w:val="21"/>
        </w:rPr>
        <w:t>正本需盖骑缝章，否则作否决投标处理。由委托代理人签字的，投标文件应附法定代表人签署的授权委托书。投标文件应尽量避免涂改、行间插字或删除。如果出现上述情况，改动之处应加盖投</w:t>
      </w:r>
      <w:r>
        <w:rPr>
          <w:rFonts w:hint="default" w:ascii="宋体" w:hAnsi="宋体" w:eastAsia="宋体" w:cs="宋体"/>
          <w:color w:val="auto"/>
          <w:spacing w:val="1"/>
          <w:sz w:val="21"/>
        </w:rPr>
        <w:t>标人</w:t>
      </w:r>
      <w:r>
        <w:rPr>
          <w:rFonts w:hint="default" w:ascii="宋体" w:hAnsi="宋体" w:eastAsia="宋体" w:cs="宋体"/>
          <w:color w:val="auto"/>
          <w:sz w:val="21"/>
        </w:rPr>
        <w:t>单位章或由投标人的法定代表人或其委托代理人签字确认。签字或盖章的具体要求见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0" w:after="0" w:line="409"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3.6.4</w:t>
      </w:r>
      <w:r>
        <w:rPr>
          <w:rFonts w:hint="default" w:ascii="Times New Roman" w:hAnsi="Times New Roman" w:eastAsia="Times New Roman" w:cs="Times New Roman"/>
          <w:color w:val="auto"/>
          <w:spacing w:val="14"/>
          <w:sz w:val="21"/>
        </w:rPr>
        <w:t xml:space="preserve"> </w:t>
      </w:r>
      <w:r>
        <w:rPr>
          <w:rFonts w:hint="default" w:ascii="宋体" w:hAnsi="宋体" w:eastAsia="宋体" w:cs="宋体"/>
          <w:color w:val="auto"/>
          <w:spacing w:val="-1"/>
          <w:sz w:val="21"/>
        </w:rPr>
        <w:t>投标文件正本一份，副本份数见</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投标人须知前附表</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。正本和副本的封面</w:t>
      </w:r>
      <w:r>
        <w:rPr>
          <w:rFonts w:hint="default" w:ascii="宋体" w:hAnsi="宋体" w:eastAsia="宋体" w:cs="宋体"/>
          <w:color w:val="auto"/>
          <w:sz w:val="21"/>
        </w:rPr>
        <w:t>上应清楚地标记</w:t>
      </w:r>
      <w:r>
        <w:rPr>
          <w:rFonts w:hint="default" w:ascii="Times New Roman" w:hAnsi="Times New Roman" w:eastAsia="Times New Roman" w:cs="Times New Roman"/>
          <w:color w:val="auto"/>
          <w:sz w:val="21"/>
        </w:rPr>
        <w:t>“</w:t>
      </w:r>
      <w:r>
        <w:rPr>
          <w:rFonts w:hint="default" w:ascii="宋体" w:hAnsi="宋体" w:eastAsia="宋体" w:cs="宋体"/>
          <w:color w:val="auto"/>
          <w:sz w:val="21"/>
        </w:rPr>
        <w:t>正本</w:t>
      </w:r>
      <w:r>
        <w:rPr>
          <w:rFonts w:hint="default" w:ascii="Times New Roman" w:hAnsi="Times New Roman" w:eastAsia="Times New Roman" w:cs="Times New Roman"/>
          <w:color w:val="auto"/>
          <w:sz w:val="21"/>
        </w:rPr>
        <w:t xml:space="preserve">” </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副本</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的字样。</w:t>
      </w:r>
      <w:r>
        <w:rPr>
          <w:rFonts w:hint="eastAsia" w:ascii="宋体" w:hAnsi="宋体" w:eastAsia="宋体" w:cs="宋体"/>
          <w:color w:val="auto"/>
          <w:sz w:val="21"/>
          <w:lang w:eastAsia="zh-CN"/>
        </w:rPr>
        <w:t>副本可使用正本复印，</w:t>
      </w:r>
      <w:r>
        <w:rPr>
          <w:rFonts w:hint="default" w:ascii="宋体" w:hAnsi="宋体" w:eastAsia="宋体" w:cs="宋体"/>
          <w:color w:val="auto"/>
          <w:sz w:val="21"/>
        </w:rPr>
        <w:t>当副本和正本不一致时，以正本为准。</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3.6.5 </w:t>
      </w:r>
      <w:r>
        <w:rPr>
          <w:rFonts w:hint="default" w:ascii="宋体" w:hAnsi="宋体" w:eastAsia="宋体" w:cs="宋体"/>
          <w:color w:val="auto"/>
          <w:sz w:val="21"/>
        </w:rPr>
        <w:t>投标文件应编制目录，具体装订要求见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w:t>
      </w:r>
    </w:p>
    <w:p>
      <w:pPr>
        <w:numPr>
          <w:ilvl w:val="0"/>
          <w:numId w:val="14"/>
        </w:numPr>
        <w:autoSpaceDE w:val="0"/>
        <w:autoSpaceDN w:val="0"/>
        <w:snapToGrid w:val="0"/>
        <w:spacing w:before="213" w:after="0" w:line="240" w:lineRule="auto"/>
        <w:ind w:left="222" w:right="0" w:hanging="105"/>
        <w:jc w:val="left"/>
        <w:textAlignment w:val="auto"/>
        <w:rPr>
          <w:rFonts w:hint="default" w:ascii="Arial" w:hAnsi="Arial" w:eastAsia="Arial" w:cs="Arial"/>
          <w:b/>
          <w:color w:val="auto"/>
          <w:sz w:val="21"/>
        </w:rPr>
      </w:pPr>
      <w:bookmarkStart w:id="47" w:name="_Toc8277_WPSOffice_Level2"/>
      <w:bookmarkStart w:id="48" w:name="_Toc709_WPSOffice_Level2"/>
      <w:r>
        <w:rPr>
          <w:rFonts w:hint="default" w:ascii="黑体" w:hAnsi="黑体" w:eastAsia="黑体" w:cs="黑体"/>
          <w:b/>
          <w:color w:val="auto"/>
          <w:sz w:val="21"/>
        </w:rPr>
        <w:t>投标</w:t>
      </w:r>
      <w:bookmarkEnd w:id="47"/>
      <w:bookmarkEnd w:id="48"/>
    </w:p>
    <w:p>
      <w:pPr>
        <w:numPr>
          <w:ilvl w:val="1"/>
          <w:numId w:val="26"/>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投标文件的密封和标记</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投标文件应按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的要求进行包装，加贴封条并加盖密封章及公章以示密封。</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投标文件封套上应写明的其他内容见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26"/>
        </w:numPr>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投标文件的递交</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投标人应在本章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项规定的投标截止时间前递交投标文件。</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投标人递交投标文件的地点：见“投标人须知前附表”。</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除“投标人须知前附表”另有规定外，投标人所递交的投标文件不予退还。</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招标人收到投标文件后，向投标人出具签收凭证。</w:t>
      </w:r>
    </w:p>
    <w:p>
      <w:pPr>
        <w:numPr>
          <w:ilvl w:val="2"/>
          <w:numId w:val="26"/>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逾期送达的或者未送达指定地点的投标文件，招标人不予受理。</w:t>
      </w:r>
    </w:p>
    <w:p>
      <w:pPr>
        <w:numPr>
          <w:ilvl w:val="1"/>
          <w:numId w:val="26"/>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投标文件的修改与撤回</w:t>
      </w:r>
    </w:p>
    <w:p>
      <w:pPr>
        <w:autoSpaceDE w:val="0"/>
        <w:autoSpaceDN w:val="0"/>
        <w:snapToGrid w:val="0"/>
        <w:spacing w:before="36"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4.3.1</w:t>
      </w:r>
      <w:r>
        <w:rPr>
          <w:rFonts w:hint="default" w:ascii="Times New Roman" w:hAnsi="Times New Roman" w:eastAsia="Times New Roman" w:cs="Times New Roman"/>
          <w:color w:val="auto"/>
          <w:spacing w:val="8"/>
          <w:sz w:val="21"/>
        </w:rPr>
        <w:t xml:space="preserve"> </w:t>
      </w:r>
      <w:r>
        <w:rPr>
          <w:rFonts w:hint="default" w:ascii="宋体" w:hAnsi="宋体" w:eastAsia="宋体" w:cs="宋体"/>
          <w:color w:val="auto"/>
          <w:spacing w:val="-1"/>
          <w:sz w:val="21"/>
        </w:rPr>
        <w:t>在本章</w:t>
      </w:r>
      <w:r>
        <w:rPr>
          <w:rFonts w:hint="default" w:ascii="宋体" w:hAnsi="宋体" w:eastAsia="宋体" w:cs="宋体"/>
          <w:color w:val="auto"/>
          <w:spacing w:val="25"/>
          <w:sz w:val="21"/>
        </w:rPr>
        <w:t>第</w:t>
      </w:r>
      <w:r>
        <w:rPr>
          <w:rFonts w:hint="default" w:ascii="Times New Roman" w:hAnsi="Times New Roman" w:eastAsia="Times New Roman" w:cs="Times New Roman"/>
          <w:color w:val="auto"/>
          <w:spacing w:val="-1"/>
          <w:sz w:val="21"/>
        </w:rPr>
        <w:t>2</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8"/>
          <w:sz w:val="21"/>
        </w:rPr>
        <w:t xml:space="preserve"> </w:t>
      </w:r>
      <w:r>
        <w:rPr>
          <w:rFonts w:hint="default" w:ascii="宋体" w:hAnsi="宋体" w:eastAsia="宋体" w:cs="宋体"/>
          <w:color w:val="auto"/>
          <w:sz w:val="21"/>
        </w:rPr>
        <w:t>款规定的投标截止时间前，投标人可以修改或撤回已递交的投标文件，但应以书面形式通知招标人。</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4.3.2</w:t>
      </w:r>
      <w:r>
        <w:rPr>
          <w:rFonts w:hint="default" w:ascii="Times New Roman" w:hAnsi="Times New Roman" w:eastAsia="Times New Roman" w:cs="Times New Roman"/>
          <w:color w:val="auto"/>
          <w:spacing w:val="43"/>
          <w:sz w:val="21"/>
        </w:rPr>
        <w:t xml:space="preserve"> </w:t>
      </w:r>
      <w:r>
        <w:rPr>
          <w:rFonts w:hint="default" w:ascii="宋体" w:hAnsi="宋体" w:eastAsia="宋体" w:cs="宋体"/>
          <w:color w:val="auto"/>
          <w:spacing w:val="-1"/>
          <w:sz w:val="21"/>
        </w:rPr>
        <w:t>投标人修改或</w:t>
      </w:r>
      <w:r>
        <w:rPr>
          <w:rFonts w:hint="default" w:ascii="宋体" w:hAnsi="宋体" w:eastAsia="宋体" w:cs="宋体"/>
          <w:color w:val="auto"/>
          <w:sz w:val="21"/>
        </w:rPr>
        <w:t>撤回已递交投标文件的书面通知，应按照本章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3.6.</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款的要求签字和盖章。招标人收到书面通知后，向投标人出具签收凭证。</w:t>
      </w:r>
    </w:p>
    <w:p>
      <w:pPr>
        <w:numPr>
          <w:ilvl w:val="2"/>
          <w:numId w:val="27"/>
        </w:numPr>
        <w:autoSpaceDE w:val="0"/>
        <w:autoSpaceDN w:val="0"/>
        <w:snapToGrid w:val="0"/>
        <w:spacing w:before="117" w:after="0" w:line="240" w:lineRule="auto"/>
        <w:ind w:left="1189" w:right="0" w:hanging="769"/>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修改的内容为</w:t>
      </w:r>
      <w:r>
        <w:rPr>
          <w:rFonts w:hint="default" w:ascii="宋体" w:hAnsi="宋体" w:eastAsia="宋体" w:cs="宋体"/>
          <w:color w:val="auto"/>
          <w:sz w:val="21"/>
        </w:rPr>
        <w:t>投标文件的组成部分。修改的投标文件应按照本章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6</w:t>
      </w:r>
      <w:r>
        <w:rPr>
          <w:rFonts w:hint="default" w:ascii="宋体" w:hAnsi="宋体" w:eastAsia="宋体" w:cs="宋体"/>
          <w:color w:val="auto"/>
          <w:sz w:val="21"/>
        </w:rPr>
        <w:t>款和</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4</w:t>
      </w:r>
      <w:r>
        <w:rPr>
          <w:rFonts w:hint="default" w:ascii="宋体" w:hAnsi="宋体" w:eastAsia="宋体" w:cs="宋体"/>
          <w:color w:val="auto"/>
          <w:sz w:val="21"/>
        </w:rPr>
        <w:t>款规定进行编</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制、密封、标记和递交，并标明</w:t>
      </w:r>
      <w:r>
        <w:rPr>
          <w:rFonts w:hint="default" w:ascii="Times New Roman" w:hAnsi="Times New Roman" w:eastAsia="Times New Roman" w:cs="Times New Roman"/>
          <w:color w:val="auto"/>
          <w:sz w:val="21"/>
        </w:rPr>
        <w:t>“</w:t>
      </w:r>
      <w:r>
        <w:rPr>
          <w:rFonts w:hint="default" w:ascii="宋体" w:hAnsi="宋体" w:eastAsia="宋体" w:cs="宋体"/>
          <w:color w:val="auto"/>
          <w:sz w:val="21"/>
        </w:rPr>
        <w:t>修改</w:t>
      </w:r>
      <w:r>
        <w:rPr>
          <w:rFonts w:hint="default" w:ascii="Times New Roman" w:hAnsi="Times New Roman" w:eastAsia="Times New Roman" w:cs="Times New Roman"/>
          <w:color w:val="auto"/>
          <w:sz w:val="21"/>
        </w:rPr>
        <w:t>”</w:t>
      </w:r>
      <w:r>
        <w:rPr>
          <w:rFonts w:hint="default" w:ascii="宋体" w:hAnsi="宋体" w:eastAsia="宋体" w:cs="宋体"/>
          <w:color w:val="auto"/>
          <w:sz w:val="21"/>
        </w:rPr>
        <w:t>字样。</w:t>
      </w:r>
    </w:p>
    <w:p>
      <w:pPr>
        <w:numPr>
          <w:ilvl w:val="0"/>
          <w:numId w:val="14"/>
        </w:numPr>
        <w:autoSpaceDE w:val="0"/>
        <w:autoSpaceDN w:val="0"/>
        <w:snapToGrid w:val="0"/>
        <w:spacing w:before="206" w:after="0" w:line="240" w:lineRule="auto"/>
        <w:ind w:left="222" w:right="0" w:hanging="105"/>
        <w:jc w:val="left"/>
        <w:textAlignment w:val="auto"/>
        <w:rPr>
          <w:rFonts w:hint="default" w:ascii="Arial" w:hAnsi="Arial" w:eastAsia="Arial" w:cs="Arial"/>
          <w:b/>
          <w:color w:val="auto"/>
          <w:sz w:val="21"/>
        </w:rPr>
      </w:pPr>
      <w:bookmarkStart w:id="49" w:name="_Toc7028_WPSOffice_Level2"/>
      <w:bookmarkStart w:id="50" w:name="_Toc23177_WPSOffice_Level2"/>
      <w:r>
        <w:rPr>
          <w:rFonts w:hint="default" w:ascii="黑体" w:hAnsi="黑体" w:eastAsia="黑体" w:cs="黑体"/>
          <w:b/>
          <w:color w:val="auto"/>
          <w:sz w:val="21"/>
        </w:rPr>
        <w:t>开标</w:t>
      </w:r>
      <w:bookmarkEnd w:id="49"/>
      <w:bookmarkEnd w:id="50"/>
    </w:p>
    <w:p>
      <w:pPr>
        <w:numPr>
          <w:ilvl w:val="1"/>
          <w:numId w:val="28"/>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开标时间和地点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招标人在本章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款规定的投标截止时间（开标时间）和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”4.2.</w:t>
      </w:r>
      <w:r>
        <w:rPr>
          <w:rFonts w:hint="default" w:ascii="Times New Roman" w:hAnsi="Times New Roman" w:eastAsia="Times New Roman" w:cs="Times New Roman"/>
          <w:color w:val="auto"/>
          <w:spacing w:val="52"/>
          <w:sz w:val="21"/>
        </w:rPr>
        <w:t>2</w:t>
      </w:r>
      <w:r>
        <w:rPr>
          <w:rFonts w:hint="default" w:ascii="宋体" w:hAnsi="宋体" w:eastAsia="宋体" w:cs="宋体"/>
          <w:color w:val="auto"/>
          <w:sz w:val="21"/>
        </w:rPr>
        <w:t>规定的地点公</w:t>
      </w:r>
    </w:p>
    <w:p>
      <w:pPr>
        <w:autoSpaceDE w:val="0"/>
        <w:autoSpaceDN w:val="0"/>
        <w:snapToGrid w:val="0"/>
        <w:spacing w:before="29"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开开标，并邀</w:t>
      </w:r>
      <w:r>
        <w:rPr>
          <w:rFonts w:hint="default" w:ascii="宋体" w:hAnsi="宋体" w:eastAsia="宋体" w:cs="宋体"/>
          <w:color w:val="auto"/>
          <w:sz w:val="21"/>
        </w:rPr>
        <w:t>请所有投标人的法定代表人或其委托代理人准时参加。投标人的法定代表人或委托代理人应当按时参加开标会。</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招标代理机构的招标代理员必须到场，并向招标人出示本人身份证。</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开标会由招标人或其委托的招标代理机构主持。</w:t>
      </w:r>
    </w:p>
    <w:p>
      <w:pPr>
        <w:numPr>
          <w:ilvl w:val="1"/>
          <w:numId w:val="28"/>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开标程序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主持人按“投标人须知前附表”确定的以下程序进行开标：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方式一：技术标明标开标程序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）宣布在提交投标文件截止时间前收到的投标文件数量；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）宣布开标纪律，开标人、唱标人、记录人、监督人等有关人员名单；</w:t>
      </w:r>
    </w:p>
    <w:p>
      <w:pPr>
        <w:autoSpaceDE w:val="0"/>
        <w:autoSpaceDN w:val="0"/>
        <w:snapToGrid w:val="0"/>
        <w:spacing w:before="29" w:after="0" w:line="409" w:lineRule="exact"/>
        <w:ind w:left="0" w:right="19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）公布在</w:t>
      </w:r>
      <w:r>
        <w:rPr>
          <w:rFonts w:hint="default" w:ascii="宋体" w:hAnsi="宋体" w:eastAsia="宋体" w:cs="宋体"/>
          <w:color w:val="auto"/>
          <w:sz w:val="21"/>
        </w:rPr>
        <w:t>投标截止时间前递交投标文件的投标人名称，点名确认投标人是否派人到场，如其中任何一家投标人代表未到场，则退回其投标文件，并制作记录；</w:t>
      </w:r>
    </w:p>
    <w:p>
      <w:pPr>
        <w:autoSpaceDE w:val="0"/>
        <w:autoSpaceDN w:val="0"/>
        <w:snapToGrid w:val="0"/>
        <w:spacing w:before="117"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w:t>
      </w:r>
      <w:r>
        <w:rPr>
          <w:rFonts w:hint="default" w:ascii="宋体" w:hAnsi="宋体" w:eastAsia="宋体" w:cs="宋体"/>
          <w:b/>
          <w:color w:val="auto"/>
          <w:sz w:val="21"/>
        </w:rPr>
        <w:t>由招标人代表和监督人员检查投标人的资格证件，在开标会现场须提供以下证明材料验证，不</w:t>
      </w:r>
    </w:p>
    <w:p>
      <w:pPr>
        <w:autoSpaceDE w:val="0"/>
        <w:autoSpaceDN w:val="0"/>
        <w:snapToGrid w:val="0"/>
        <w:spacing w:before="146" w:after="0" w:line="263" w:lineRule="exact"/>
        <w:ind w:left="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能提供或提供不齐全的投标无效：</w:t>
      </w:r>
    </w:p>
    <w:p>
      <w:pPr>
        <w:autoSpaceDE w:val="0"/>
        <w:autoSpaceDN w:val="0"/>
        <w:snapToGrid w:val="0"/>
        <w:spacing w:before="29" w:after="0" w:line="409"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①法定代表人身份证明原件及法定</w:t>
      </w:r>
      <w:r>
        <w:rPr>
          <w:rFonts w:hint="default" w:ascii="宋体" w:hAnsi="宋体" w:eastAsia="宋体" w:cs="宋体"/>
          <w:color w:val="auto"/>
          <w:spacing w:val="-1"/>
          <w:sz w:val="21"/>
        </w:rPr>
        <w:t>代表人身份证原件及复印件（复印件须加盖公章）（企业法定代表</w:t>
      </w:r>
      <w:r>
        <w:rPr>
          <w:rFonts w:hint="default" w:ascii="宋体" w:hAnsi="宋体" w:eastAsia="宋体" w:cs="宋体"/>
          <w:color w:val="auto"/>
          <w:sz w:val="21"/>
        </w:rPr>
        <w:t>人参加开标会时提供）或授权委托书原件及受委托的委托代理人身份证原件及复印件（复印件须加盖公章）（委托代理人参加开标会时提供）；</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②保证金缴纳证明材料原件及复印件（复印件须加盖公章）；</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③加盖投标人单位公章的企业</w:t>
      </w:r>
      <w:r>
        <w:rPr>
          <w:rFonts w:hint="eastAsia" w:ascii="宋体" w:hAnsi="宋体" w:eastAsia="宋体" w:cs="宋体"/>
          <w:color w:val="auto"/>
          <w:sz w:val="21"/>
          <w:lang w:eastAsia="zh-CN"/>
        </w:rPr>
        <w:t>公司开户许可证复印件（或基本存款账户信息复印件）</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④加盖投标人单位公章的营业执照复印件。</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）按照</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的规定确定并宣布投标文件开标顺序；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）公布招标控制价及相关内容；</w:t>
      </w:r>
    </w:p>
    <w:p>
      <w:pPr>
        <w:autoSpaceDE w:val="0"/>
        <w:autoSpaceDN w:val="0"/>
        <w:snapToGrid w:val="0"/>
        <w:spacing w:before="29" w:after="0" w:line="408" w:lineRule="exact"/>
        <w:ind w:left="0" w:right="40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）公布投</w:t>
      </w:r>
      <w:r>
        <w:rPr>
          <w:rFonts w:hint="default" w:ascii="宋体" w:hAnsi="宋体" w:eastAsia="宋体" w:cs="宋体"/>
          <w:color w:val="auto"/>
          <w:sz w:val="21"/>
        </w:rPr>
        <w:t>标人名称、标段名称、投标保证金的递交情况、投标报价、质量目标、工期及其他内容，并制作记录；</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）投标人代表随机抽</w:t>
      </w:r>
      <w:r>
        <w:rPr>
          <w:rFonts w:hint="default" w:ascii="宋体" w:hAnsi="宋体" w:eastAsia="宋体" w:cs="宋体"/>
          <w:color w:val="auto"/>
          <w:spacing w:val="26"/>
          <w:sz w:val="21"/>
        </w:rPr>
        <w:t>取</w:t>
      </w:r>
      <w:r>
        <w:rPr>
          <w:rFonts w:hint="default" w:ascii="Times New Roman" w:hAnsi="Times New Roman" w:eastAsia="Times New Roman" w:cs="Times New Roman"/>
          <w:color w:val="auto"/>
          <w:spacing w:val="53"/>
          <w:sz w:val="21"/>
        </w:rPr>
        <w:t>K</w:t>
      </w:r>
      <w:r>
        <w:rPr>
          <w:rFonts w:hint="default" w:ascii="宋体" w:hAnsi="宋体" w:eastAsia="宋体" w:cs="宋体"/>
          <w:color w:val="auto"/>
          <w:sz w:val="21"/>
        </w:rPr>
        <w:t>值（如有）；</w:t>
      </w:r>
    </w:p>
    <w:p>
      <w:pPr>
        <w:autoSpaceDE w:val="0"/>
        <w:autoSpaceDN w:val="0"/>
        <w:snapToGrid w:val="0"/>
        <w:spacing w:before="29" w:after="0" w:line="408" w:lineRule="exact"/>
        <w:ind w:left="420" w:right="401"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9</w:t>
      </w:r>
      <w:r>
        <w:rPr>
          <w:rFonts w:hint="default" w:ascii="宋体" w:hAnsi="宋体" w:eastAsia="宋体" w:cs="宋体"/>
          <w:color w:val="auto"/>
          <w:spacing w:val="-1"/>
          <w:sz w:val="21"/>
        </w:rPr>
        <w:t>）投标人</w:t>
      </w:r>
      <w:r>
        <w:rPr>
          <w:rFonts w:hint="default" w:ascii="宋体" w:hAnsi="宋体" w:eastAsia="宋体" w:cs="宋体"/>
          <w:color w:val="auto"/>
          <w:sz w:val="21"/>
        </w:rPr>
        <w:t>代表、招标人代表、记录人以及有关监督人员在开标记录上签字确认，并存档备查；（</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）开标结束。</w:t>
      </w:r>
    </w:p>
    <w:p>
      <w:pPr>
        <w:numPr>
          <w:ilvl w:val="1"/>
          <w:numId w:val="28"/>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不予开标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符合下列情况之一的投标，招标人拒绝受理或在开标时当场否决其投标，不得进入评标：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）投标文件逾期送达的或者未送达指定地点的；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）投标文件未按招标文件要求密封的；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）投标人法定代表人或其授权的委托代理人未按时出席开标会或“投标人须知前附表”</w:t>
      </w:r>
    </w:p>
    <w:p>
      <w:pPr>
        <w:numPr>
          <w:ilvl w:val="1"/>
          <w:numId w:val="28"/>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开标异议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投标人对开标有异议的，应当在开标现场提出，招标人应当场作出答复，并制作记录。</w:t>
      </w:r>
    </w:p>
    <w:p>
      <w:pPr>
        <w:numPr>
          <w:ilvl w:val="0"/>
          <w:numId w:val="14"/>
        </w:numPr>
        <w:autoSpaceDE w:val="0"/>
        <w:autoSpaceDN w:val="0"/>
        <w:snapToGrid w:val="0"/>
        <w:spacing w:before="124" w:after="0" w:line="240" w:lineRule="auto"/>
        <w:ind w:left="222" w:right="0" w:hanging="105"/>
        <w:jc w:val="left"/>
        <w:textAlignment w:val="auto"/>
        <w:rPr>
          <w:rFonts w:hint="default" w:ascii="Arial" w:hAnsi="Arial" w:eastAsia="Arial" w:cs="Arial"/>
          <w:b/>
          <w:color w:val="auto"/>
          <w:sz w:val="21"/>
        </w:rPr>
      </w:pPr>
      <w:bookmarkStart w:id="51" w:name="_Toc11140_WPSOffice_Level2"/>
      <w:bookmarkStart w:id="52" w:name="_Toc20856_WPSOffice_Level2"/>
      <w:r>
        <w:rPr>
          <w:rFonts w:hint="default" w:ascii="黑体" w:hAnsi="黑体" w:eastAsia="黑体" w:cs="黑体"/>
          <w:b/>
          <w:color w:val="auto"/>
          <w:sz w:val="21"/>
        </w:rPr>
        <w:t>评标</w:t>
      </w:r>
      <w:bookmarkEnd w:id="51"/>
      <w:bookmarkEnd w:id="52"/>
    </w:p>
    <w:p>
      <w:pPr>
        <w:numPr>
          <w:ilvl w:val="1"/>
          <w:numId w:val="29"/>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评标委员会</w:t>
      </w:r>
    </w:p>
    <w:p>
      <w:pPr>
        <w:numPr>
          <w:ilvl w:val="2"/>
          <w:numId w:val="29"/>
        </w:numPr>
        <w:autoSpaceDE w:val="0"/>
        <w:autoSpaceDN w:val="0"/>
        <w:snapToGrid w:val="0"/>
        <w:spacing w:before="153"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评标由招标人</w:t>
      </w:r>
      <w:r>
        <w:rPr>
          <w:rFonts w:hint="default" w:ascii="宋体" w:hAnsi="宋体" w:eastAsia="宋体" w:cs="宋体"/>
          <w:color w:val="auto"/>
          <w:sz w:val="21"/>
        </w:rPr>
        <w:t>依法组建的评标委员会负责。评标委员会成员人数以及技术、经济等方面专家的</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确定方式见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30"/>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有下列情形之一的，不得担任评标委员会成员：</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1285875</wp:posOffset>
                </wp:positionH>
                <wp:positionV relativeFrom="page">
                  <wp:posOffset>5451475</wp:posOffset>
                </wp:positionV>
                <wp:extent cx="2800350" cy="172720"/>
                <wp:effectExtent l="0" t="0" r="0" b="0"/>
                <wp:wrapNone/>
                <wp:docPr id="1063" name="1063"/>
                <wp:cNvGraphicFramePr/>
                <a:graphic xmlns:a="http://schemas.openxmlformats.org/drawingml/2006/main">
                  <a:graphicData uri="http://schemas.microsoft.com/office/word/2010/wordprocessingShape">
                    <wps:wsp>
                      <wps:cNvSpPr/>
                      <wps:spPr>
                        <a:xfrm>
                          <a:off x="0" y="0"/>
                          <a:ext cx="280035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63" o:spid="_x0000_s1026" o:spt="1" style="position:absolute;left:0pt;margin-left:101.25pt;margin-top:429.25pt;height:13.6pt;width:220.5pt;mso-position-horizontal-relative:page;mso-position-vertical-relative:page;z-index:-251657216;mso-width-relative:page;mso-height-relative:page;" fillcolor="#FFFFFF" filled="t" stroked="f" coordsize="21600,21600" o:gfxdata="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nXCu42gAAAAsBAAAPAAAAAAAAAAEAIAAAACIAAABkcnMvZG93bnJldi54bWxQSwECFAAUAAAA&#10;CACHTuJANgzn5ewBAAD7AwAADgAAAAAAAAABACAAAAApAQAAZHJzL2Uyb0RvYy54bWxQSwUGAAAA&#10;AAYABgBZAQAAhwUAAAAA&#10;">
                <v:fill on="t" opacity="0f" focussize="0,0"/>
                <v:stroke on="f"/>
                <v:imagedata o:title=""/>
                <o:lock v:ext="edit" aspectratio="f"/>
                <v:textbox>
                  <w:txbxContent>
                    <w:p/>
                  </w:txbxContent>
                </v:textbox>
              </v:rect>
            </w:pict>
          </mc:Fallback>
        </mc:AlternateConten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（一）投标人或者投标人主要负责人的近亲属；</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（二）招标项目主管部门或者招标投标行政监督部门的工作人员；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（三）与投标人有经济利益关系，可能影响对投标公正评审的人员；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（四）在招标投标活动中从事违法行为而受过行政处罚未满三年或者刑事处罚的人员；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（五）与投标人有其他利害关系的人。</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952500</wp:posOffset>
                </wp:positionH>
                <wp:positionV relativeFrom="page">
                  <wp:posOffset>6748780</wp:posOffset>
                </wp:positionV>
                <wp:extent cx="2266950" cy="172720"/>
                <wp:effectExtent l="0" t="0" r="0" b="0"/>
                <wp:wrapNone/>
                <wp:docPr id="1068" name="1068"/>
                <wp:cNvGraphicFramePr/>
                <a:graphic xmlns:a="http://schemas.openxmlformats.org/drawingml/2006/main">
                  <a:graphicData uri="http://schemas.microsoft.com/office/word/2010/wordprocessingShape">
                    <wps:wsp>
                      <wps:cNvSpPr/>
                      <wps:spPr>
                        <a:xfrm>
                          <a:off x="0" y="0"/>
                          <a:ext cx="226695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68" o:spid="_x0000_s1026" o:spt="1" style="position:absolute;left:0pt;margin-left:75pt;margin-top:531.4pt;height:13.6pt;width:178.5pt;mso-position-horizontal-relative:page;mso-position-vertical-relative:page;z-index:-251657216;mso-width-relative:page;mso-height-relative:page;" fillcolor="#FFFFFF" filled="t" stroked="f" coordsize="21600,21600" o:gfxdata="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8Mcj1wAAAA0BAAAPAAAAAAAAAAEAIAAAACIAAABkcnMvZG93bnJldi54bWxQSwECFAAUAAAACACH&#10;TuJAF/kHt+wBAAD7AwAADgAAAAAAAAABACAAAAAmAQAAZHJzL2Uyb0RvYy54bWxQSwUGAAAAAAYA&#10;BgBZAQAAhAUAAAAA&#10;">
                <v:fill on="t" opacity="0f" focussize="0,0"/>
                <v:stroke on="f"/>
                <v:imagedata o:title=""/>
                <o:lock v:ext="edit" aspectratio="f"/>
                <v:textbox>
                  <w:txbxContent>
                    <w:p/>
                  </w:txbxContent>
                </v:textbox>
              </v:rect>
            </w:pict>
          </mc:Fallback>
        </mc:AlternateContent>
      </w:r>
    </w:p>
    <w:p>
      <w:pPr>
        <w:numPr>
          <w:ilvl w:val="1"/>
          <w:numId w:val="29"/>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评标原则</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评标活动遵循公平、公正、科学和择优的原则。</w:t>
      </w:r>
    </w:p>
    <w:p>
      <w:pPr>
        <w:numPr>
          <w:ilvl w:val="1"/>
          <w:numId w:val="29"/>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评标方式</w:t>
      </w:r>
    </w:p>
    <w:p>
      <w:pPr>
        <w:autoSpaceDE w:val="0"/>
        <w:autoSpaceDN w:val="0"/>
        <w:snapToGrid w:val="0"/>
        <w:spacing w:before="36" w:after="0" w:line="409" w:lineRule="exact"/>
        <w:ind w:left="0" w:right="110"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评标委员会按照第三章</w:t>
      </w:r>
      <w:r>
        <w:rPr>
          <w:rFonts w:hint="default" w:ascii="Times New Roman" w:hAnsi="Times New Roman" w:eastAsia="Times New Roman" w:cs="Times New Roman"/>
          <w:color w:val="auto"/>
          <w:spacing w:val="-2"/>
          <w:sz w:val="21"/>
        </w:rPr>
        <w:t>“</w:t>
      </w:r>
      <w:r>
        <w:rPr>
          <w:rFonts w:hint="default" w:ascii="宋体" w:hAnsi="宋体" w:eastAsia="宋体" w:cs="宋体"/>
          <w:color w:val="auto"/>
          <w:spacing w:val="-2"/>
          <w:sz w:val="21"/>
        </w:rPr>
        <w:t>评标办法</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规定的方法、评审因素、标准和程序对投标文件进行评审。第三章</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z w:val="21"/>
        </w:rPr>
        <w:t>没有规定的方法、评审因素和标准，不作为评标依据。具体评标方式见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29"/>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移交评标资料</w:t>
      </w:r>
    </w:p>
    <w:p>
      <w:pPr>
        <w:autoSpaceDE w:val="0"/>
        <w:autoSpaceDN w:val="0"/>
        <w:snapToGrid w:val="0"/>
        <w:spacing w:before="36" w:after="0" w:line="409"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评标委员会完</w:t>
      </w:r>
      <w:r>
        <w:rPr>
          <w:rFonts w:hint="default" w:ascii="宋体" w:hAnsi="宋体" w:eastAsia="宋体" w:cs="宋体"/>
          <w:color w:val="auto"/>
          <w:sz w:val="21"/>
        </w:rPr>
        <w:t>成评标后，立即向招标人提交书面评标报告和中标候选人名单（授权评标委员会确定中标人时为中标人名单），并同时移交所有评标涉及资料。</w:t>
      </w:r>
    </w:p>
    <w:p>
      <w:pPr>
        <w:numPr>
          <w:ilvl w:val="1"/>
          <w:numId w:val="29"/>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评标资料封存和启封</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6.5.1</w:t>
      </w:r>
      <w:r>
        <w:rPr>
          <w:rFonts w:hint="default" w:ascii="Times New Roman" w:hAnsi="Times New Roman" w:eastAsia="Times New Roman" w:cs="Times New Roman"/>
          <w:color w:val="auto"/>
          <w:spacing w:val="200"/>
          <w:sz w:val="21"/>
        </w:rPr>
        <w:t xml:space="preserve"> </w:t>
      </w:r>
      <w:r>
        <w:rPr>
          <w:rFonts w:hint="default" w:ascii="宋体" w:hAnsi="宋体" w:eastAsia="宋体" w:cs="宋体"/>
          <w:color w:val="auto"/>
          <w:spacing w:val="-1"/>
          <w:sz w:val="21"/>
        </w:rPr>
        <w:t>评标结束至中</w:t>
      </w:r>
      <w:r>
        <w:rPr>
          <w:rFonts w:hint="default" w:ascii="宋体" w:hAnsi="宋体" w:eastAsia="宋体" w:cs="宋体"/>
          <w:color w:val="auto"/>
          <w:sz w:val="21"/>
        </w:rPr>
        <w:t>标通知书发放时，招标人按“投标人须知前附表”规定的封存方式封存评标资</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料，封存资料内容包括：</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）招标项目开评标资料原件：开标记录表、评标报告及其附件（含评标过程中形成的全部评标表</w:t>
      </w:r>
    </w:p>
    <w:p>
      <w:pPr>
        <w:autoSpaceDE w:val="0"/>
        <w:autoSpaceDN w:val="0"/>
        <w:snapToGrid w:val="0"/>
        <w:spacing w:before="29" w:after="0" w:line="408"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格和清标表格</w:t>
      </w:r>
      <w:r>
        <w:rPr>
          <w:rFonts w:hint="default" w:ascii="宋体" w:hAnsi="宋体" w:eastAsia="宋体" w:cs="宋体"/>
          <w:color w:val="auto"/>
          <w:sz w:val="21"/>
        </w:rPr>
        <w:t>）、投标人开标签到表、专家签到表、评标纪律、业主委托书。</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）本项目所有投标人投标文件正本。</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）“投标人须知前附表”要求封存的其它材料。</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6.5.2</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如在封存期间</w:t>
      </w:r>
      <w:r>
        <w:rPr>
          <w:rFonts w:hint="default" w:ascii="宋体" w:hAnsi="宋体" w:eastAsia="宋体" w:cs="宋体"/>
          <w:color w:val="auto"/>
          <w:sz w:val="21"/>
        </w:rPr>
        <w:t>处理招标投标利害当事人提出异议或者投诉时需要启封评标资料的，应按当地招</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投标监督管理部门规定的程序启封。</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6.5.3 </w:t>
      </w:r>
      <w:r>
        <w:rPr>
          <w:rFonts w:hint="default" w:ascii="宋体" w:hAnsi="宋体" w:eastAsia="宋体" w:cs="宋体"/>
          <w:color w:val="auto"/>
          <w:sz w:val="21"/>
        </w:rPr>
        <w:t>评标资料封存和启封应符合当地招投标监督管理部门的规定。</w:t>
      </w:r>
    </w:p>
    <w:p>
      <w:pPr>
        <w:numPr>
          <w:ilvl w:val="1"/>
          <w:numId w:val="29"/>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中标候选人公示</w:t>
      </w:r>
    </w:p>
    <w:p>
      <w:pPr>
        <w:numPr>
          <w:ilvl w:val="2"/>
          <w:numId w:val="29"/>
        </w:numPr>
        <w:autoSpaceDE w:val="0"/>
        <w:autoSpaceDN w:val="0"/>
        <w:snapToGrid w:val="0"/>
        <w:spacing w:before="153"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招标人自收</w:t>
      </w:r>
      <w:r>
        <w:rPr>
          <w:rFonts w:hint="default" w:ascii="宋体" w:hAnsi="宋体" w:eastAsia="宋体" w:cs="宋体"/>
          <w:color w:val="auto"/>
          <w:sz w:val="21"/>
        </w:rPr>
        <w:t>到评标报告之日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2"/>
          <w:sz w:val="21"/>
        </w:rPr>
        <w:t>3</w:t>
      </w:r>
      <w:r>
        <w:rPr>
          <w:rFonts w:hint="default" w:ascii="宋体" w:hAnsi="宋体" w:eastAsia="宋体" w:cs="宋体"/>
          <w:color w:val="auto"/>
          <w:sz w:val="21"/>
        </w:rPr>
        <w:t>日内，必须在“投标人须知前附表”规定的媒介上按照规定的</w:t>
      </w:r>
    </w:p>
    <w:p>
      <w:pPr>
        <w:autoSpaceDE w:val="0"/>
        <w:autoSpaceDN w:val="0"/>
        <w:snapToGrid w:val="0"/>
        <w:spacing w:before="36" w:after="0" w:line="408"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格式公示中标</w:t>
      </w:r>
      <w:r>
        <w:rPr>
          <w:rFonts w:hint="default" w:ascii="宋体" w:hAnsi="宋体" w:eastAsia="宋体" w:cs="宋体"/>
          <w:color w:val="auto"/>
          <w:sz w:val="21"/>
        </w:rPr>
        <w:t>候选人，公示期不少</w:t>
      </w:r>
      <w:r>
        <w:rPr>
          <w:rFonts w:hint="default" w:ascii="宋体" w:hAnsi="宋体" w:eastAsia="宋体" w:cs="宋体"/>
          <w:color w:val="auto"/>
          <w:spacing w:val="26"/>
          <w:sz w:val="21"/>
        </w:rPr>
        <w:t>于</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个工作日。招标人逾期不发出中标候选人公示的，由当地招投标监督管理部门责令招标人及时改正。</w:t>
      </w:r>
    </w:p>
    <w:p>
      <w:pPr>
        <w:numPr>
          <w:ilvl w:val="2"/>
          <w:numId w:val="29"/>
        </w:numPr>
        <w:autoSpaceDE w:val="0"/>
        <w:autoSpaceDN w:val="0"/>
        <w:snapToGrid w:val="0"/>
        <w:spacing w:before="117"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投标人或者其</w:t>
      </w:r>
      <w:r>
        <w:rPr>
          <w:rFonts w:hint="default" w:ascii="宋体" w:hAnsi="宋体" w:eastAsia="宋体" w:cs="宋体"/>
          <w:color w:val="auto"/>
          <w:sz w:val="21"/>
        </w:rPr>
        <w:t>他利害关系人对评标结果有异议的，应当在中标候选人公示期间提出。招标人自</w:t>
      </w:r>
    </w:p>
    <w:p>
      <w:pPr>
        <w:autoSpaceDE w:val="0"/>
        <w:autoSpaceDN w:val="0"/>
        <w:snapToGrid w:val="0"/>
        <w:spacing w:before="36" w:after="0" w:line="409" w:lineRule="exact"/>
        <w:ind w:left="0" w:right="139"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收到异议之日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日内作出答复。对招标人答复不满意或招标人拒不答复的，投标人可按照本章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9.</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条的规定程序向有关行政监督部门投诉。</w:t>
      </w:r>
    </w:p>
    <w:p>
      <w:pPr>
        <w:numPr>
          <w:ilvl w:val="2"/>
          <w:numId w:val="31"/>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招标人对中标候选人有投诉的，按照本章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9.</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条的规定程序执行。</w:t>
      </w:r>
    </w:p>
    <w:p>
      <w:pPr>
        <w:autoSpaceDE w:val="0"/>
        <w:autoSpaceDN w:val="0"/>
        <w:snapToGrid w:val="0"/>
        <w:spacing w:before="153"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6.</w:t>
      </w:r>
      <w:r>
        <w:rPr>
          <w:rFonts w:hint="default" w:ascii="Times New Roman" w:hAnsi="Times New Roman" w:eastAsia="Times New Roman" w:cs="Times New Roman"/>
          <w:b/>
          <w:color w:val="auto"/>
          <w:spacing w:val="53"/>
          <w:sz w:val="21"/>
        </w:rPr>
        <w:t>7</w:t>
      </w:r>
      <w:r>
        <w:rPr>
          <w:rFonts w:hint="default" w:ascii="黑体" w:hAnsi="黑体" w:eastAsia="黑体" w:cs="黑体"/>
          <w:b/>
          <w:color w:val="auto"/>
          <w:sz w:val="21"/>
        </w:rPr>
        <w:t>履约能力审查</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在中标通知书发出前，如果中标候选人的经营、财务状况发生较大变化，可能造成不能履行合同、无</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法按照招标文件要求提交履约保证金等情形，不符合中标条件的，应在中标公示期及时书面告知招标人。</w:t>
      </w:r>
    </w:p>
    <w:p>
      <w:pPr>
        <w:autoSpaceDE w:val="0"/>
        <w:autoSpaceDN w:val="0"/>
        <w:snapToGrid w:val="0"/>
        <w:spacing w:before="29"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如招标人认为</w:t>
      </w:r>
      <w:r>
        <w:rPr>
          <w:rFonts w:hint="default" w:ascii="宋体" w:hAnsi="宋体" w:eastAsia="宋体" w:cs="宋体"/>
          <w:color w:val="auto"/>
          <w:sz w:val="21"/>
        </w:rPr>
        <w:t>中标候选人的经营、财务状况发生较大变化或者存在违法行为可能影响其履约能力的，应当在中标通知书发出前由原评标委员会按照招标文件规定的标准和方法审查确认。</w:t>
      </w:r>
    </w:p>
    <w:p>
      <w:pPr>
        <w:numPr>
          <w:ilvl w:val="0"/>
          <w:numId w:val="14"/>
        </w:numPr>
        <w:autoSpaceDE w:val="0"/>
        <w:autoSpaceDN w:val="0"/>
        <w:snapToGrid w:val="0"/>
        <w:spacing w:before="177" w:after="0" w:line="240" w:lineRule="auto"/>
        <w:ind w:left="222" w:right="0" w:hanging="105"/>
        <w:jc w:val="left"/>
        <w:textAlignment w:val="auto"/>
        <w:rPr>
          <w:rFonts w:hint="default" w:ascii="Arial" w:hAnsi="Arial" w:eastAsia="Arial" w:cs="Arial"/>
          <w:b/>
          <w:color w:val="auto"/>
          <w:sz w:val="21"/>
        </w:rPr>
      </w:pPr>
      <w:bookmarkStart w:id="53" w:name="_Toc10563_WPSOffice_Level2"/>
      <w:bookmarkStart w:id="54" w:name="_Toc6437_WPSOffice_Level2"/>
      <w:r>
        <w:rPr>
          <w:rFonts w:hint="default" w:ascii="黑体" w:hAnsi="黑体" w:eastAsia="黑体" w:cs="黑体"/>
          <w:b/>
          <w:color w:val="auto"/>
          <w:sz w:val="21"/>
        </w:rPr>
        <w:t>合同授予</w:t>
      </w:r>
      <w:bookmarkEnd w:id="53"/>
      <w:bookmarkEnd w:id="54"/>
    </w:p>
    <w:p>
      <w:pPr>
        <w:numPr>
          <w:ilvl w:val="1"/>
          <w:numId w:val="32"/>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定标方式</w:t>
      </w:r>
    </w:p>
    <w:p>
      <w:pPr>
        <w:autoSpaceDE w:val="0"/>
        <w:autoSpaceDN w:val="0"/>
        <w:snapToGrid w:val="0"/>
        <w:spacing w:before="36" w:after="0" w:line="408" w:lineRule="exact"/>
        <w:ind w:left="0" w:right="1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除</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w:t>
      </w:r>
      <w:r>
        <w:rPr>
          <w:rFonts w:hint="default" w:ascii="宋体" w:hAnsi="宋体" w:eastAsia="宋体" w:cs="宋体"/>
          <w:color w:val="auto"/>
          <w:sz w:val="21"/>
        </w:rPr>
        <w:t>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规定评标委员会直接确定中标人外，招标人依据评标委员会推荐的中标候选人确定中标人，评标委员会推荐中标候选人的人数见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32"/>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中标通知及采购结果公告</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招标代理机构将在评标结束五个工作日内将评标结果送采购人，采购人在五个工作日内按照采购结果</w:t>
      </w:r>
    </w:p>
    <w:p>
      <w:pPr>
        <w:autoSpaceDE w:val="0"/>
        <w:autoSpaceDN w:val="0"/>
        <w:snapToGrid w:val="0"/>
        <w:spacing w:before="29"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报告中推荐的</w:t>
      </w:r>
      <w:r>
        <w:rPr>
          <w:rFonts w:hint="default" w:ascii="宋体" w:hAnsi="宋体" w:eastAsia="宋体" w:cs="宋体"/>
          <w:color w:val="auto"/>
          <w:sz w:val="21"/>
        </w:rPr>
        <w:t>排名第一的中标候选供应商为中标供应商；招标代理机构向中标供应商发中标通知书并向未</w:t>
      </w:r>
      <w:r>
        <w:rPr>
          <w:rFonts w:hint="default" w:ascii="宋体" w:hAnsi="宋体" w:eastAsia="宋体" w:cs="宋体"/>
          <w:color w:val="auto"/>
          <w:spacing w:val="-1"/>
          <w:sz w:val="21"/>
        </w:rPr>
        <w:t>中标的供应商</w:t>
      </w:r>
      <w:r>
        <w:rPr>
          <w:rFonts w:hint="default" w:ascii="宋体" w:hAnsi="宋体" w:eastAsia="宋体" w:cs="宋体"/>
          <w:color w:val="auto"/>
          <w:sz w:val="21"/>
        </w:rPr>
        <w:t>发出采购结果通知；同时在中国政府采购网、广西壮族自治区政府采购网及全国公共资源交易平台（广西·贺州）发布采购结果公告。</w:t>
      </w:r>
    </w:p>
    <w:p>
      <w:pPr>
        <w:numPr>
          <w:ilvl w:val="1"/>
          <w:numId w:val="32"/>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履约保证金</w:t>
      </w:r>
    </w:p>
    <w:p>
      <w:pPr>
        <w:numPr>
          <w:ilvl w:val="2"/>
          <w:numId w:val="32"/>
        </w:numPr>
        <w:autoSpaceDE w:val="0"/>
        <w:autoSpaceDN w:val="0"/>
        <w:snapToGrid w:val="0"/>
        <w:spacing w:before="153" w:after="0" w:line="240" w:lineRule="auto"/>
        <w:ind w:left="1066" w:right="0" w:hanging="64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在签订合同前</w:t>
      </w:r>
      <w:r>
        <w:rPr>
          <w:rFonts w:hint="default" w:ascii="宋体" w:hAnsi="宋体" w:eastAsia="宋体" w:cs="宋体"/>
          <w:color w:val="auto"/>
          <w:sz w:val="21"/>
        </w:rPr>
        <w:t>，中标人应按</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规定的金额、担保形式和招标文件第四章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合同</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条款及格式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规定的履约担保格式向招标人提交履约保证金。联合体中标的，其履约保证金由牵头人递</w:t>
      </w:r>
    </w:p>
    <w:p>
      <w:pPr>
        <w:autoSpaceDE w:val="0"/>
        <w:autoSpaceDN w:val="0"/>
        <w:snapToGrid w:val="0"/>
        <w:spacing w:before="29" w:after="0" w:line="409" w:lineRule="exact"/>
        <w:ind w:left="0" w:right="13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交，并应符合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规定的金额、担保形式和招标文件第四章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合同条款及格式</w:t>
      </w:r>
      <w:r>
        <w:rPr>
          <w:rFonts w:hint="default" w:ascii="Times New Roman" w:hAnsi="Times New Roman" w:eastAsia="Times New Roman" w:cs="Times New Roman"/>
          <w:color w:val="auto"/>
          <w:sz w:val="21"/>
        </w:rPr>
        <w:t>”</w:t>
      </w:r>
      <w:r>
        <w:rPr>
          <w:rFonts w:hint="default" w:ascii="宋体" w:hAnsi="宋体" w:eastAsia="宋体" w:cs="宋体"/>
          <w:color w:val="auto"/>
          <w:sz w:val="21"/>
        </w:rPr>
        <w:t>规定的履约担保格式要求。</w:t>
      </w:r>
    </w:p>
    <w:p>
      <w:pPr>
        <w:numPr>
          <w:ilvl w:val="0"/>
          <w:numId w:val="33"/>
        </w:numPr>
        <w:autoSpaceDE w:val="0"/>
        <w:autoSpaceDN w:val="0"/>
        <w:snapToGrid w:val="0"/>
        <w:spacing w:before="284"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7.3.2</w:t>
      </w:r>
      <w:r>
        <w:rPr>
          <w:rFonts w:hint="default" w:ascii="Times New Roman" w:hAnsi="Times New Roman" w:eastAsia="Times New Roman" w:cs="Times New Roman"/>
          <w:color w:val="auto"/>
          <w:spacing w:val="43"/>
          <w:sz w:val="21"/>
        </w:rPr>
        <w:t xml:space="preserve"> </w:t>
      </w:r>
      <w:r>
        <w:rPr>
          <w:rFonts w:hint="default" w:ascii="宋体" w:hAnsi="宋体" w:eastAsia="宋体" w:cs="宋体"/>
          <w:color w:val="auto"/>
          <w:spacing w:val="-1"/>
          <w:sz w:val="21"/>
        </w:rPr>
        <w:t>中标人不能按</w:t>
      </w:r>
      <w:r>
        <w:rPr>
          <w:rFonts w:hint="default" w:ascii="宋体" w:hAnsi="宋体" w:eastAsia="宋体" w:cs="宋体"/>
          <w:color w:val="auto"/>
          <w:sz w:val="21"/>
        </w:rPr>
        <w:t>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7.3.</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项要求提交履约保证金的，视为放弃中标，招标人有权没收其投标保证金，给招标人造成的损失超过投标保证金数额的，中标人还应当对超过部分予以赔偿。</w:t>
      </w:r>
    </w:p>
    <w:p>
      <w:pPr>
        <w:numPr>
          <w:ilvl w:val="1"/>
          <w:numId w:val="32"/>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签订合同</w:t>
      </w:r>
    </w:p>
    <w:p>
      <w:pPr>
        <w:numPr>
          <w:ilvl w:val="2"/>
          <w:numId w:val="34"/>
        </w:numPr>
        <w:autoSpaceDE w:val="0"/>
        <w:autoSpaceDN w:val="0"/>
        <w:snapToGrid w:val="0"/>
        <w:spacing w:before="153" w:after="0" w:line="240" w:lineRule="auto"/>
        <w:ind w:left="1031" w:right="0" w:hanging="611"/>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招标人和中标</w:t>
      </w:r>
      <w:r>
        <w:rPr>
          <w:rFonts w:hint="default" w:ascii="宋体" w:hAnsi="宋体" w:eastAsia="宋体" w:cs="宋体"/>
          <w:color w:val="auto"/>
          <w:sz w:val="21"/>
        </w:rPr>
        <w:t>人应当在投标有效期内以及中标通知书发出之日</w:t>
      </w:r>
      <w:r>
        <w:rPr>
          <w:rFonts w:hint="default" w:ascii="宋体" w:hAnsi="宋体" w:eastAsia="宋体" w:cs="宋体"/>
          <w:color w:val="auto"/>
          <w:spacing w:val="26"/>
          <w:sz w:val="21"/>
        </w:rPr>
        <w:t>起</w:t>
      </w:r>
      <w:r>
        <w:rPr>
          <w:rFonts w:hint="eastAsia" w:eastAsia="宋体" w:cs="Times New Roman"/>
          <w:color w:val="auto"/>
          <w:sz w:val="21"/>
          <w:lang w:val="en-US" w:eastAsia="zh-CN"/>
        </w:rPr>
        <w:t>9</w:t>
      </w:r>
      <w:r>
        <w:rPr>
          <w:rFonts w:hint="default" w:ascii="宋体" w:hAnsi="宋体" w:eastAsia="宋体" w:cs="宋体"/>
          <w:color w:val="auto"/>
          <w:sz w:val="21"/>
        </w:rPr>
        <w:t>天内，根据招标文件和中标</w:t>
      </w:r>
    </w:p>
    <w:p>
      <w:pPr>
        <w:autoSpaceDE w:val="0"/>
        <w:autoSpaceDN w:val="0"/>
        <w:snapToGrid w:val="0"/>
        <w:spacing w:before="36" w:after="0" w:line="408"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人的投标文件</w:t>
      </w:r>
      <w:r>
        <w:rPr>
          <w:rFonts w:hint="default" w:ascii="宋体" w:hAnsi="宋体" w:eastAsia="宋体" w:cs="宋体"/>
          <w:color w:val="auto"/>
          <w:sz w:val="21"/>
        </w:rPr>
        <w:t>订立书面合同。中标人无正当理由拒签合同的，招标人取消其中标资格，招标人有权没收其</w:t>
      </w:r>
      <w:r>
        <w:rPr>
          <w:rFonts w:hint="default" w:ascii="宋体" w:hAnsi="宋体" w:eastAsia="宋体" w:cs="宋体"/>
          <w:color w:val="auto"/>
          <w:spacing w:val="-1"/>
          <w:sz w:val="21"/>
        </w:rPr>
        <w:t>投标保证金；</w:t>
      </w:r>
      <w:r>
        <w:rPr>
          <w:rFonts w:hint="default" w:ascii="宋体" w:hAnsi="宋体" w:eastAsia="宋体" w:cs="宋体"/>
          <w:color w:val="auto"/>
          <w:sz w:val="21"/>
        </w:rPr>
        <w:t>给招标人造成的损失超过投标保证金数额的，中标人还应当对超过部分予以赔偿。对依法必须招标项目的中标人，由有关行政监督部门责令改正。</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7.4.2</w:t>
      </w:r>
      <w:r>
        <w:rPr>
          <w:rFonts w:hint="default" w:ascii="Times New Roman" w:hAnsi="Times New Roman" w:eastAsia="Times New Roman" w:cs="Times New Roman"/>
          <w:color w:val="auto"/>
          <w:spacing w:val="95"/>
          <w:sz w:val="21"/>
        </w:rPr>
        <w:t xml:space="preserve"> </w:t>
      </w:r>
      <w:r>
        <w:rPr>
          <w:rFonts w:hint="default" w:ascii="宋体" w:hAnsi="宋体" w:eastAsia="宋体" w:cs="宋体"/>
          <w:color w:val="auto"/>
          <w:spacing w:val="-1"/>
          <w:sz w:val="21"/>
        </w:rPr>
        <w:t>国有资金占控</w:t>
      </w:r>
      <w:r>
        <w:rPr>
          <w:rFonts w:hint="default" w:ascii="宋体" w:hAnsi="宋体" w:eastAsia="宋体" w:cs="宋体"/>
          <w:color w:val="auto"/>
          <w:sz w:val="21"/>
        </w:rPr>
        <w:t>股或者主导地位的依法必须进行招标的项目，招标人应当确定排名第一的中标候</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选人为中标人。排名第一的中标候选人（或者评标委员会依据招标人的授权直接确定的中标人）放弃中</w:t>
      </w:r>
    </w:p>
    <w:p>
      <w:pPr>
        <w:autoSpaceDE w:val="0"/>
        <w:autoSpaceDN w:val="0"/>
        <w:snapToGrid w:val="0"/>
        <w:spacing w:before="29" w:after="0" w:line="409" w:lineRule="exact"/>
        <w:ind w:left="0" w:right="8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标，或因不可</w:t>
      </w:r>
      <w:r>
        <w:rPr>
          <w:rFonts w:hint="default" w:ascii="宋体" w:hAnsi="宋体" w:eastAsia="宋体" w:cs="宋体"/>
          <w:color w:val="auto"/>
          <w:sz w:val="21"/>
        </w:rPr>
        <w:t>抗力提出不能履行合同，或者被查实存在影响中标结果的违法行为等情形，不符合中标条件</w:t>
      </w:r>
      <w:r>
        <w:rPr>
          <w:rFonts w:hint="default" w:ascii="宋体" w:hAnsi="宋体" w:eastAsia="宋体" w:cs="宋体"/>
          <w:color w:val="auto"/>
          <w:spacing w:val="-1"/>
          <w:sz w:val="21"/>
        </w:rPr>
        <w:t>的，招标人可</w:t>
      </w:r>
      <w:r>
        <w:rPr>
          <w:rFonts w:hint="default" w:ascii="宋体" w:hAnsi="宋体" w:eastAsia="宋体" w:cs="宋体"/>
          <w:color w:val="auto"/>
          <w:sz w:val="21"/>
        </w:rPr>
        <w:t>以按照评标委员会提出的中标候选人名单排序（或者评标结果排序）依次确定其他中标候选</w:t>
      </w:r>
      <w:r>
        <w:rPr>
          <w:rFonts w:hint="default" w:ascii="宋体" w:hAnsi="宋体" w:eastAsia="宋体" w:cs="宋体"/>
          <w:color w:val="auto"/>
          <w:spacing w:val="-1"/>
          <w:sz w:val="21"/>
        </w:rPr>
        <w:t>人为中标人。</w:t>
      </w:r>
      <w:r>
        <w:rPr>
          <w:rFonts w:hint="default" w:ascii="宋体" w:hAnsi="宋体" w:eastAsia="宋体" w:cs="宋体"/>
          <w:color w:val="auto"/>
          <w:sz w:val="21"/>
        </w:rPr>
        <w:t>依次确定的其他中标候选人与招标人预期差距较大，或者对招标人明显不利的，招标人可以重新招标。</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7.4.3</w:t>
      </w:r>
      <w:r>
        <w:rPr>
          <w:rFonts w:hint="eastAsia" w:eastAsia="宋体" w:cs="Times New Roman"/>
          <w:color w:val="auto"/>
          <w:sz w:val="21"/>
          <w:lang w:val="en-US" w:eastAsia="zh-CN"/>
        </w:rPr>
        <w:t xml:space="preserve">   </w:t>
      </w:r>
      <w:r>
        <w:rPr>
          <w:rFonts w:hint="default" w:ascii="宋体" w:hAnsi="宋体" w:eastAsia="宋体" w:cs="宋体"/>
          <w:color w:val="auto"/>
          <w:spacing w:val="-1"/>
          <w:sz w:val="21"/>
        </w:rPr>
        <w:t>发出中标通知</w:t>
      </w:r>
      <w:r>
        <w:rPr>
          <w:rFonts w:hint="default" w:ascii="宋体" w:hAnsi="宋体" w:eastAsia="宋体" w:cs="宋体"/>
          <w:color w:val="auto"/>
          <w:sz w:val="21"/>
        </w:rPr>
        <w:t>书后，招标人无正当理由拒签合同的，由有关行政监督部门给予警告，责令改</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正。同时招标人向中标人退还投标保证金；给中标人造成损失的，还应当赔偿损失。</w:t>
      </w:r>
    </w:p>
    <w:p>
      <w:pPr>
        <w:numPr>
          <w:ilvl w:val="0"/>
          <w:numId w:val="14"/>
        </w:numPr>
        <w:autoSpaceDE w:val="0"/>
        <w:autoSpaceDN w:val="0"/>
        <w:snapToGrid w:val="0"/>
        <w:spacing w:before="206" w:after="0" w:line="240" w:lineRule="auto"/>
        <w:ind w:left="222" w:right="0" w:hanging="105"/>
        <w:jc w:val="left"/>
        <w:textAlignment w:val="auto"/>
        <w:rPr>
          <w:rFonts w:hint="default" w:ascii="Arial" w:hAnsi="Arial" w:eastAsia="Arial" w:cs="Arial"/>
          <w:b/>
          <w:color w:val="auto"/>
          <w:sz w:val="21"/>
        </w:rPr>
      </w:pPr>
      <w:bookmarkStart w:id="55" w:name="_Toc20388_WPSOffice_Level2"/>
      <w:bookmarkStart w:id="56" w:name="_Toc1823_WPSOffice_Level2"/>
      <w:r>
        <w:rPr>
          <w:rFonts w:hint="default" w:ascii="黑体" w:hAnsi="黑体" w:eastAsia="黑体" w:cs="黑体"/>
          <w:b/>
          <w:color w:val="auto"/>
          <w:sz w:val="21"/>
        </w:rPr>
        <w:t>重新招标和不再招标</w:t>
      </w:r>
      <w:bookmarkEnd w:id="55"/>
      <w:bookmarkEnd w:id="56"/>
    </w:p>
    <w:p>
      <w:pPr>
        <w:numPr>
          <w:ilvl w:val="1"/>
          <w:numId w:val="35"/>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重新招标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有下列情形之一的，招标人将重新招标：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）投标截止时，投标人少</w:t>
      </w:r>
      <w:r>
        <w:rPr>
          <w:rFonts w:hint="default" w:ascii="宋体" w:hAnsi="宋体" w:eastAsia="宋体" w:cs="宋体"/>
          <w:color w:val="auto"/>
          <w:spacing w:val="26"/>
          <w:sz w:val="21"/>
        </w:rPr>
        <w:t>于</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个的；</w:t>
      </w:r>
    </w:p>
    <w:p>
      <w:pPr>
        <w:autoSpaceDE w:val="0"/>
        <w:autoSpaceDN w:val="0"/>
        <w:snapToGrid w:val="0"/>
        <w:spacing w:before="29" w:after="0" w:line="408" w:lineRule="exact"/>
        <w:ind w:left="0" w:right="19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）经评标</w:t>
      </w:r>
      <w:r>
        <w:rPr>
          <w:rFonts w:hint="default" w:ascii="宋体" w:hAnsi="宋体" w:eastAsia="宋体" w:cs="宋体"/>
          <w:color w:val="auto"/>
          <w:sz w:val="21"/>
        </w:rPr>
        <w:t>委员会评审，所有投标被否决或者部分投标被否决后，有效投标不</w:t>
      </w:r>
      <w:r>
        <w:rPr>
          <w:rFonts w:hint="default" w:ascii="宋体" w:hAnsi="宋体" w:eastAsia="宋体" w:cs="宋体"/>
          <w:color w:val="auto"/>
          <w:spacing w:val="26"/>
          <w:sz w:val="21"/>
        </w:rPr>
        <w:t>足</w:t>
      </w:r>
      <w:r>
        <w:rPr>
          <w:rFonts w:hint="default" w:ascii="宋体" w:hAnsi="宋体" w:eastAsia="宋体" w:cs="宋体"/>
          <w:color w:val="auto"/>
          <w:spacing w:val="53"/>
          <w:sz w:val="21"/>
        </w:rPr>
        <w:t>3</w:t>
      </w:r>
      <w:r>
        <w:rPr>
          <w:rFonts w:hint="default" w:ascii="宋体" w:hAnsi="宋体" w:eastAsia="宋体" w:cs="宋体"/>
          <w:color w:val="auto"/>
          <w:sz w:val="21"/>
        </w:rPr>
        <w:t>个，导致投标明显缺乏竞争的；</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1285875</wp:posOffset>
                </wp:positionH>
                <wp:positionV relativeFrom="page">
                  <wp:posOffset>5763260</wp:posOffset>
                </wp:positionV>
                <wp:extent cx="4400550" cy="172720"/>
                <wp:effectExtent l="0" t="0" r="0" b="0"/>
                <wp:wrapNone/>
                <wp:docPr id="1069" name="1069"/>
                <wp:cNvGraphicFramePr/>
                <a:graphic xmlns:a="http://schemas.openxmlformats.org/drawingml/2006/main">
                  <a:graphicData uri="http://schemas.microsoft.com/office/word/2010/wordprocessingShape">
                    <wps:wsp>
                      <wps:cNvSpPr/>
                      <wps:spPr>
                        <a:xfrm>
                          <a:off x="0" y="0"/>
                          <a:ext cx="440055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69" o:spid="_x0000_s1026" o:spt="1" style="position:absolute;left:0pt;margin-left:101.25pt;margin-top:453.8pt;height:13.6pt;width:346.5pt;mso-position-horizontal-relative:page;mso-position-vertical-relative:page;z-index:-251657216;mso-width-relative:page;mso-height-relative:page;" fillcolor="#FFFFFF" filled="t" stroked="f" coordsize="21600,21600" o:gfxdata="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1AkwZ2gAAAAsBAAAPAAAAAAAAAAEAIAAAACIAAABkcnMvZG93bnJldi54bWxQSwECFAAUAAAA&#10;CACHTuJAsA+akOwBAAD7AwAADgAAAAAAAAABACAAAAApAQAAZHJzL2Uyb0RvYy54bWxQSwUGAAAA&#10;AAYABgBZAQAAhwUAAAAA&#10;">
                <v:fill on="t" opacity="0f" focussize="0,0"/>
                <v:stroke on="f"/>
                <v:imagedata o:title=""/>
                <o:lock v:ext="edit" aspectratio="f"/>
                <v:textbox>
                  <w:txbxContent>
                    <w:p/>
                  </w:txbxContent>
                </v:textbox>
              </v:rect>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5753100</wp:posOffset>
                </wp:positionH>
                <wp:positionV relativeFrom="page">
                  <wp:posOffset>5763260</wp:posOffset>
                </wp:positionV>
                <wp:extent cx="0" cy="172720"/>
                <wp:effectExtent l="33020" t="33020" r="43180" b="41910"/>
                <wp:wrapNone/>
                <wp:docPr id="1070" name="1070"/>
                <wp:cNvGraphicFramePr/>
                <a:graphic xmlns:a="http://schemas.openxmlformats.org/drawingml/2006/main">
                  <a:graphicData uri="http://schemas.microsoft.com/office/word/2010/wordprocessingShape">
                    <wps:wsp>
                      <wps:cNvCnPr/>
                      <wps:spPr>
                        <a:xfrm>
                          <a:off x="0" y="0"/>
                          <a:ext cx="0" cy="172720"/>
                        </a:xfrm>
                        <a:prstGeom prst="line">
                          <a:avLst/>
                        </a:prstGeom>
                        <a:solidFill>
                          <a:srgbClr val="FFFFFF">
                            <a:alpha val="0"/>
                          </a:srgbClr>
                        </a:solidFill>
                        <a:ln w="66675" cap="rnd">
                          <a:solidFill>
                            <a:srgbClr val="FFFFFF"/>
                          </a:solidFill>
                          <a:prstDash val="solid"/>
                        </a:ln>
                        <a:effectLst/>
                      </wps:spPr>
                      <wps:bodyPr vert="horz" wrap="square" lIns="91440" tIns="45720" rIns="91440" bIns="45720" anchor="t">
                        <a:noAutofit/>
                      </wps:bodyPr>
                    </wps:wsp>
                  </a:graphicData>
                </a:graphic>
              </wp:anchor>
            </w:drawing>
          </mc:Choice>
          <mc:Fallback>
            <w:pict>
              <v:line id="1070" o:spid="_x0000_s1026" o:spt="20" style="position:absolute;left:0pt;margin-left:453pt;margin-top:453.8pt;height:13.6pt;width:0pt;mso-position-horizontal-relative:page;mso-position-vertical-relative:page;z-index:-251657216;mso-width-relative:page;mso-height-relative:page;" fillcolor="#FFFFFF" filled="t" stroked="t" coordsize="21600,21600" o:gfxdata="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zImPnXAAAACwEAAA8AAAAAAAAAAQAgAAAAIgAAAGRycy9kb3du&#10;cmV2LnhtbFBLAQIUABQAAAAIAIdO4kCGQhpKAAIAAEAEAAAOAAAAAAAAAAEAIAAAACYBAABkcnMv&#10;ZTJvRG9jLnhtbFBLBQYAAAAABgAGAFkBAACYBQAAAAA=&#10;">
                <v:fill on="t" opacity="0f" focussize="0,0"/>
                <v:stroke weight="5.25pt" color="#FFFFFF"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5819775</wp:posOffset>
                </wp:positionH>
                <wp:positionV relativeFrom="page">
                  <wp:posOffset>5763260</wp:posOffset>
                </wp:positionV>
                <wp:extent cx="933450" cy="172720"/>
                <wp:effectExtent l="0" t="0" r="0" b="0"/>
                <wp:wrapNone/>
                <wp:docPr id="1071" name="1071"/>
                <wp:cNvGraphicFramePr/>
                <a:graphic xmlns:a="http://schemas.openxmlformats.org/drawingml/2006/main">
                  <a:graphicData uri="http://schemas.microsoft.com/office/word/2010/wordprocessingShape">
                    <wps:wsp>
                      <wps:cNvSpPr/>
                      <wps:spPr>
                        <a:xfrm>
                          <a:off x="0" y="0"/>
                          <a:ext cx="93345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71" o:spid="_x0000_s1026" o:spt="1" style="position:absolute;left:0pt;margin-left:458.25pt;margin-top:453.8pt;height:13.6pt;width:73.5pt;mso-position-horizontal-relative:page;mso-position-vertical-relative:page;z-index:-251657216;mso-width-relative:page;mso-height-relative:page;" fillcolor="#FFFFFF" filled="t" stroked="f" coordsize="21600,21600" o:gfxdata="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Dakthi2gAAAAwBAAAPAAAAAAAAAAEAIAAAACIAAABkcnMvZG93bnJldi54bWxQSwECFAAUAAAA&#10;CACHTuJAAUOjLewBAAD6AwAADgAAAAAAAAABACAAAAApAQAAZHJzL2Uyb0RvYy54bWxQSwUGAAAA&#10;AAYABgBZAQAAhwUAAAAA&#10;">
                <v:fill on="t" opacity="0f" focussize="0,0"/>
                <v:stroke on="f"/>
                <v:imagedata o:title=""/>
                <o:lock v:ext="edit" aspectratio="f"/>
                <v:textbox>
                  <w:txbxContent>
                    <w:p/>
                  </w:txbxContent>
                </v:textbox>
              </v:rect>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6022340</wp:posOffset>
                </wp:positionV>
                <wp:extent cx="800100" cy="172720"/>
                <wp:effectExtent l="0" t="0" r="0" b="0"/>
                <wp:wrapNone/>
                <wp:docPr id="1072" name="1072"/>
                <wp:cNvGraphicFramePr/>
                <a:graphic xmlns:a="http://schemas.openxmlformats.org/drawingml/2006/main">
                  <a:graphicData uri="http://schemas.microsoft.com/office/word/2010/wordprocessingShape">
                    <wps:wsp>
                      <wps:cNvSpPr/>
                      <wps:spPr>
                        <a:xfrm>
                          <a:off x="0" y="0"/>
                          <a:ext cx="800100" cy="172720"/>
                        </a:xfrm>
                        <a:prstGeom prst="rect">
                          <a:avLst/>
                        </a:prstGeom>
                        <a:solidFill>
                          <a:srgbClr val="FFFFFF">
                            <a:alpha val="0"/>
                          </a:srgbClr>
                        </a:solidFill>
                        <a:ln>
                          <a:noFill/>
                        </a:ln>
                        <a:effectLst/>
                      </wps:spPr>
                      <wps:txbx>
                        <w:txbxContent>
                          <w:p/>
                        </w:txbxContent>
                      </wps:txbx>
                      <wps:bodyPr vert="horz" wrap="square" lIns="91440" tIns="45720" rIns="91440" bIns="45720" anchor="t">
                        <a:noAutofit/>
                      </wps:bodyPr>
                    </wps:wsp>
                  </a:graphicData>
                </a:graphic>
              </wp:anchor>
            </w:drawing>
          </mc:Choice>
          <mc:Fallback>
            <w:pict>
              <v:rect id="1072" o:spid="_x0000_s1026" o:spt="1" style="position:absolute;left:0pt;margin-left:54pt;margin-top:474.2pt;height:13.6pt;width:63pt;mso-position-horizontal-relative:page;mso-position-vertical-relative:page;z-index:-251657216;mso-width-relative:page;mso-height-relative:page;" fillcolor="#FFFFFF" filled="t" stroked="f" coordsize="21600,21600" o:gfxdata="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BC&#10;dq8Q2QAAAAsBAAAPAAAAAAAAAAEAIAAAACIAAABkcnMvZG93bnJldi54bWxQSwECFAAUAAAACACH&#10;TuJAjmkvoeoBAAD6AwAADgAAAAAAAAABACAAAAAoAQAAZHJzL2Uyb0RvYy54bWxQSwUGAAAAAAYA&#10;BgBZAQAAhAUAAAAA&#10;">
                <v:fill on="t" opacity="0f" focussize="0,0"/>
                <v:stroke on="f"/>
                <v:imagedata o:title=""/>
                <o:lock v:ext="edit" aspectratio="f"/>
                <v:textbox>
                  <w:txbxContent>
                    <w:p/>
                  </w:txbxContent>
                </v:textbox>
              </v:rect>
            </w:pict>
          </mc:Fallback>
        </mc:AlternateConten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）其他有关法规和文件规定的应当重新招标的情形。</w:t>
      </w:r>
    </w:p>
    <w:p>
      <w:pPr>
        <w:numPr>
          <w:ilvl w:val="1"/>
          <w:numId w:val="3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不再招标</w:t>
      </w:r>
    </w:p>
    <w:p>
      <w:pPr>
        <w:autoSpaceDE w:val="0"/>
        <w:autoSpaceDN w:val="0"/>
        <w:snapToGrid w:val="0"/>
        <w:spacing w:before="36" w:after="0" w:line="408"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重新招标后投</w:t>
      </w:r>
      <w:r>
        <w:rPr>
          <w:rFonts w:hint="default" w:ascii="宋体" w:hAnsi="宋体" w:eastAsia="宋体" w:cs="宋体"/>
          <w:color w:val="auto"/>
          <w:sz w:val="21"/>
        </w:rPr>
        <w:t>标人仍少</w:t>
      </w:r>
      <w:r>
        <w:rPr>
          <w:rFonts w:hint="default" w:ascii="宋体" w:hAnsi="宋体" w:eastAsia="宋体" w:cs="宋体"/>
          <w:color w:val="auto"/>
          <w:spacing w:val="26"/>
          <w:sz w:val="21"/>
        </w:rPr>
        <w:t>于</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个或者所有投标被否决的，属于必须审批或核准的工程建设项目，经原审批或核准部门批准后可不再进行招标。</w:t>
      </w:r>
    </w:p>
    <w:p>
      <w:pPr>
        <w:numPr>
          <w:ilvl w:val="0"/>
          <w:numId w:val="14"/>
        </w:numPr>
        <w:autoSpaceDE w:val="0"/>
        <w:autoSpaceDN w:val="0"/>
        <w:snapToGrid w:val="0"/>
        <w:spacing w:before="177" w:after="0" w:line="240" w:lineRule="auto"/>
        <w:ind w:left="222" w:right="0" w:hanging="105"/>
        <w:jc w:val="left"/>
        <w:textAlignment w:val="auto"/>
        <w:rPr>
          <w:rFonts w:hint="default" w:ascii="Arial" w:hAnsi="Arial" w:eastAsia="Arial" w:cs="Arial"/>
          <w:b/>
          <w:color w:val="auto"/>
          <w:sz w:val="21"/>
        </w:rPr>
      </w:pPr>
      <w:bookmarkStart w:id="57" w:name="_Toc26775_WPSOffice_Level2"/>
      <w:bookmarkStart w:id="58" w:name="_Toc10147_WPSOffice_Level2"/>
      <w:r>
        <w:rPr>
          <w:rFonts w:hint="default" w:ascii="黑体" w:hAnsi="黑体" w:eastAsia="黑体" w:cs="黑体"/>
          <w:b/>
          <w:color w:val="auto"/>
          <w:sz w:val="21"/>
        </w:rPr>
        <w:t>纪律和监督</w:t>
      </w:r>
      <w:bookmarkEnd w:id="57"/>
      <w:bookmarkEnd w:id="58"/>
    </w:p>
    <w:p>
      <w:pPr>
        <w:numPr>
          <w:ilvl w:val="1"/>
          <w:numId w:val="36"/>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对招标人的纪律要求</w:t>
      </w:r>
    </w:p>
    <w:p>
      <w:pPr>
        <w:autoSpaceDE w:val="0"/>
        <w:autoSpaceDN w:val="0"/>
        <w:snapToGrid w:val="0"/>
        <w:spacing w:before="36" w:after="0" w:line="409" w:lineRule="exact"/>
        <w:ind w:left="0" w:right="8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招标人不得泄</w:t>
      </w:r>
      <w:r>
        <w:rPr>
          <w:rFonts w:hint="default" w:ascii="宋体" w:hAnsi="宋体" w:eastAsia="宋体" w:cs="宋体"/>
          <w:color w:val="auto"/>
          <w:sz w:val="21"/>
        </w:rPr>
        <w:t>漏招标投标活动中应当保密的情况和资料，不得与投标人串通损害国家利益、社会公共利益或者他人合法权益。有下列情形之一的，属于招标人与投标人串通投标：</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）招标人在开标前开启投标文件并将有关信息泄露给其他投标人；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）招标人直接或者间接向投标人泄露标底、评标委员会成员等信息；</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）招标人明示或者暗示投标人压低或者抬高投标报价；</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）招标人授意投标人撤换、修改投标文件；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）招标人明示或者暗示投标人为特定投标人中标提供方便；</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）招标人与投标人为谋求特定投标人中标而</w:t>
      </w:r>
      <w:r>
        <w:rPr>
          <w:rFonts w:hint="default" w:ascii="宋体" w:hAnsi="宋体" w:eastAsia="宋体" w:cs="宋体"/>
          <w:color w:val="auto"/>
          <w:spacing w:val="66"/>
          <w:sz w:val="21"/>
        </w:rPr>
        <w:t xml:space="preserve"> </w:t>
      </w:r>
      <w:r>
        <w:rPr>
          <w:rFonts w:hint="default" w:ascii="宋体" w:hAnsi="宋体" w:eastAsia="宋体" w:cs="宋体"/>
          <w:color w:val="auto"/>
          <w:sz w:val="21"/>
        </w:rPr>
        <w:t>采取的其他串通行为。</w:t>
      </w:r>
    </w:p>
    <w:p>
      <w:pPr>
        <w:numPr>
          <w:ilvl w:val="0"/>
          <w:numId w:val="33"/>
        </w:numPr>
        <w:autoSpaceDE w:val="0"/>
        <w:autoSpaceDN w:val="0"/>
        <w:snapToGrid w:val="0"/>
        <w:spacing w:before="133"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6" w:h="16838"/>
          <w:pgMar w:top="1020"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numPr>
          <w:ilvl w:val="1"/>
          <w:numId w:val="36"/>
        </w:numPr>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对投标人的纪律要求</w:t>
      </w:r>
    </w:p>
    <w:p>
      <w:pPr>
        <w:autoSpaceDE w:val="0"/>
        <w:autoSpaceDN w:val="0"/>
        <w:snapToGrid w:val="0"/>
        <w:spacing w:before="153" w:after="0" w:line="263" w:lineRule="exact"/>
        <w:ind w:right="0" w:firstLine="416" w:firstLineChars="20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投标人不得相</w:t>
      </w:r>
      <w:r>
        <w:rPr>
          <w:rFonts w:hint="default" w:ascii="宋体" w:hAnsi="宋体" w:eastAsia="宋体" w:cs="宋体"/>
          <w:color w:val="auto"/>
          <w:sz w:val="21"/>
        </w:rPr>
        <w:t>互串通投标或者与招标人串通投标，不得向招标人或者评标委员会成员行贿谋取中标，</w:t>
      </w:r>
      <w:r>
        <w:rPr>
          <w:rFonts w:hint="default" w:ascii="宋体" w:hAnsi="宋体" w:eastAsia="宋体" w:cs="宋体"/>
          <w:color w:val="auto"/>
          <w:spacing w:val="-1"/>
          <w:sz w:val="21"/>
        </w:rPr>
        <w:t>不得以他人名</w:t>
      </w:r>
      <w:r>
        <w:rPr>
          <w:rFonts w:hint="default" w:ascii="宋体" w:hAnsi="宋体" w:eastAsia="宋体" w:cs="宋体"/>
          <w:color w:val="auto"/>
          <w:sz w:val="21"/>
        </w:rPr>
        <w:t>义投标或者以其他方式弄虚作假骗取中标；投标人不得以任何方式干扰、影响评标工作。有下列情形之一的，属于投标人相互串通投标：</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）投标人之间协商投标报价等投标文件的实质性内容；</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）投标人之间约定中标人；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）投标人之间约定部分投标人放弃投标或者中标；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）属于同一集团、协会、商会等组织成员的投标人按照该组织要求协同投标；</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）投标人之间为谋取中标或者排斥特定投标人而采取的其他联合行动；</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）不同投标人的投标文件由同一单位或者个人编制；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）不同投标人委托同一单位或者个人办理投标事宜；</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）不同投标人的投标文件载明的项目管理成员为同一人；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）不同投标人的投标文件异常一致或者投标报价呈规律性差异；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）不同投标人的投标文件相互混装；</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11</w:t>
      </w:r>
      <w:r>
        <w:rPr>
          <w:rFonts w:hint="default" w:ascii="宋体" w:hAnsi="宋体" w:eastAsia="宋体" w:cs="宋体"/>
          <w:color w:val="auto"/>
          <w:sz w:val="21"/>
        </w:rPr>
        <w:t>）不同投标人的投标保证金从同一单位或者个人的账户转出；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12</w:t>
      </w:r>
      <w:r>
        <w:rPr>
          <w:rFonts w:hint="default" w:ascii="宋体" w:hAnsi="宋体" w:eastAsia="宋体" w:cs="宋体"/>
          <w:color w:val="auto"/>
          <w:sz w:val="21"/>
        </w:rPr>
        <w:t>）不同投标人购买招标文件</w:t>
      </w:r>
      <w:r>
        <w:rPr>
          <w:rFonts w:hint="eastAsia" w:ascii="宋体" w:hAnsi="宋体" w:eastAsia="宋体" w:cs="宋体"/>
          <w:color w:val="auto"/>
          <w:sz w:val="21"/>
          <w:lang w:eastAsia="zh-CN"/>
        </w:rPr>
        <w:t>的</w:t>
      </w:r>
      <w:r>
        <w:rPr>
          <w:rFonts w:hint="default" w:ascii="宋体" w:hAnsi="宋体" w:eastAsia="宋体" w:cs="宋体"/>
          <w:color w:val="auto"/>
          <w:sz w:val="21"/>
        </w:rPr>
        <w:t>费用，从同一单位或个人的账户转出。</w:t>
      </w:r>
    </w:p>
    <w:p>
      <w:pPr>
        <w:numPr>
          <w:ilvl w:val="1"/>
          <w:numId w:val="36"/>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对评标委员会成员的纪律要求</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numPr>
          <w:ilvl w:val="1"/>
          <w:numId w:val="36"/>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对与评标活动有关的工作人员的纪律要求</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numPr>
          <w:ilvl w:val="1"/>
          <w:numId w:val="36"/>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投诉</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投标人和其他利害关系人认为本次招标活动违反法律、法规和规章规定的，可以在知道或者应当知道之日起十日内向当地招投标监督管理部门提出书面投诉。投诉事项应先提出异议而没有提出异议的，不予受理。</w:t>
      </w:r>
    </w:p>
    <w:p>
      <w:pPr>
        <w:numPr>
          <w:ilvl w:val="0"/>
          <w:numId w:val="14"/>
        </w:numPr>
        <w:tabs>
          <w:tab w:val="left" w:pos="339"/>
        </w:tabs>
        <w:autoSpaceDE w:val="0"/>
        <w:autoSpaceDN w:val="0"/>
        <w:snapToGrid w:val="0"/>
        <w:spacing w:before="177" w:after="0" w:line="240" w:lineRule="auto"/>
        <w:ind w:left="339" w:right="0" w:hanging="105"/>
        <w:jc w:val="left"/>
        <w:textAlignment w:val="auto"/>
        <w:rPr>
          <w:rFonts w:hint="default" w:ascii="Arial" w:hAnsi="Arial" w:eastAsia="Arial" w:cs="Arial"/>
          <w:b/>
          <w:color w:val="auto"/>
          <w:sz w:val="21"/>
        </w:rPr>
      </w:pPr>
      <w:bookmarkStart w:id="59" w:name="_Toc30892_WPSOffice_Level2"/>
      <w:bookmarkStart w:id="60" w:name="_Toc6771_WPSOffice_Level2"/>
      <w:r>
        <w:rPr>
          <w:rFonts w:hint="default" w:ascii="黑体" w:hAnsi="黑体" w:eastAsia="黑体" w:cs="黑体"/>
          <w:b/>
          <w:color w:val="auto"/>
          <w:sz w:val="21"/>
        </w:rPr>
        <w:t>需要补充的其他内容</w:t>
      </w:r>
      <w:bookmarkEnd w:id="59"/>
      <w:bookmarkEnd w:id="60"/>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10.1 </w:t>
      </w:r>
      <w:r>
        <w:rPr>
          <w:rFonts w:hint="default" w:ascii="黑体" w:hAnsi="黑体" w:eastAsia="黑体" w:cs="黑体"/>
          <w:b/>
          <w:color w:val="auto"/>
          <w:sz w:val="21"/>
        </w:rPr>
        <w:t>词语定义</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autoSpaceDE w:val="0"/>
        <w:autoSpaceDN w:val="0"/>
        <w:snapToGrid w:val="0"/>
        <w:spacing w:before="26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10.</w:t>
      </w:r>
      <w:r>
        <w:rPr>
          <w:rFonts w:hint="default" w:ascii="Times New Roman" w:hAnsi="Times New Roman" w:eastAsia="Times New Roman" w:cs="Times New Roman"/>
          <w:b/>
          <w:color w:val="auto"/>
          <w:spacing w:val="53"/>
          <w:sz w:val="21"/>
        </w:rPr>
        <w:t>2</w:t>
      </w:r>
      <w:r>
        <w:rPr>
          <w:rFonts w:hint="default" w:ascii="黑体" w:hAnsi="黑体" w:eastAsia="黑体" w:cs="黑体"/>
          <w:b/>
          <w:color w:val="auto"/>
          <w:sz w:val="21"/>
        </w:rPr>
        <w:t>农民工工资保证金</w:t>
      </w:r>
    </w:p>
    <w:p>
      <w:pPr>
        <w:keepNext w:val="0"/>
        <w:keepLines w:val="0"/>
        <w:pageBreakBefore w:val="0"/>
        <w:widowControl w:val="0"/>
        <w:kinsoku/>
        <w:wordWrap/>
        <w:overflowPunct/>
        <w:topLinePunct w:val="0"/>
        <w:autoSpaceDE w:val="0"/>
        <w:autoSpaceDN w:val="0"/>
        <w:bidi w:val="0"/>
        <w:adjustRightInd/>
        <w:snapToGrid w:val="0"/>
        <w:spacing w:before="153" w:after="0" w:line="420" w:lineRule="exact"/>
        <w:ind w:right="0" w:firstLine="420" w:firstLineChars="200"/>
        <w:jc w:val="left"/>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根据按桂劳社发[2009]50号文件，投标人在投标时必须在投标文件中承诺，在发出中标通知书之日起7个工作日内足额将农民工工资保障金转入相关部门设立的农民工工资保障金专用帐户。如投标人的投标文件没有提交上述承诺的，视为无效投标文件，取消其投标资格。</w:t>
      </w:r>
    </w:p>
    <w:p>
      <w:pPr>
        <w:numPr>
          <w:ilvl w:val="1"/>
          <w:numId w:val="37"/>
        </w:numPr>
        <w:autoSpaceDE w:val="0"/>
        <w:autoSpaceDN w:val="0"/>
        <w:snapToGrid w:val="0"/>
        <w:spacing w:before="393"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招标控制价</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招标控制价设置要求见“投标人须知前附表”。</w:t>
      </w:r>
    </w:p>
    <w:p>
      <w:pPr>
        <w:autoSpaceDE w:val="0"/>
        <w:autoSpaceDN w:val="0"/>
        <w:snapToGrid w:val="0"/>
        <w:spacing w:before="29" w:after="0" w:line="408"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招标人或受其</w:t>
      </w:r>
      <w:r>
        <w:rPr>
          <w:rFonts w:hint="default" w:ascii="宋体" w:hAnsi="宋体" w:eastAsia="宋体" w:cs="宋体"/>
          <w:color w:val="auto"/>
          <w:sz w:val="21"/>
        </w:rPr>
        <w:t>委托具有相应资质的中介机构，按照国家和地区的相关规定及第五章的要求编制招标工程的招标控制价</w:t>
      </w:r>
      <w:r>
        <w:rPr>
          <w:rFonts w:hint="default" w:ascii="宋体" w:hAnsi="宋体" w:eastAsia="宋体" w:cs="宋体"/>
          <w:b w:val="0"/>
          <w:i w:val="0"/>
          <w:strike w:val="0"/>
          <w:color w:val="auto"/>
          <w:sz w:val="21"/>
          <w:szCs w:val="22"/>
        </w:rPr>
        <w:t>（招标控制价不应上浮或下调）</w:t>
      </w:r>
      <w:r>
        <w:rPr>
          <w:rFonts w:hint="default" w:ascii="宋体" w:hAnsi="宋体" w:eastAsia="宋体" w:cs="宋体"/>
          <w:color w:val="auto"/>
          <w:sz w:val="21"/>
        </w:rPr>
        <w:t>。</w:t>
      </w:r>
    </w:p>
    <w:p>
      <w:pPr>
        <w:autoSpaceDE w:val="0"/>
        <w:autoSpaceDN w:val="0"/>
        <w:snapToGrid w:val="0"/>
        <w:spacing w:before="29" w:after="0" w:line="408" w:lineRule="exact"/>
        <w:ind w:left="0" w:right="0" w:firstLine="420"/>
        <w:jc w:val="both"/>
        <w:textAlignment w:val="auto"/>
        <w:rPr>
          <w:rFonts w:hint="default" w:ascii="宋体" w:hAnsi="宋体" w:eastAsia="宋体" w:cs="宋体"/>
          <w:b w:val="0"/>
          <w:i w:val="0"/>
          <w:strike w:val="0"/>
          <w:color w:val="auto"/>
          <w:sz w:val="21"/>
          <w:szCs w:val="22"/>
        </w:rPr>
      </w:pPr>
      <w:r>
        <w:rPr>
          <w:rFonts w:hint="default" w:ascii="宋体" w:hAnsi="宋体" w:eastAsia="宋体" w:cs="宋体"/>
          <w:b w:val="0"/>
          <w:i w:val="0"/>
          <w:strike w:val="0"/>
          <w:color w:val="auto"/>
          <w:sz w:val="21"/>
          <w:szCs w:val="22"/>
        </w:rPr>
        <w:t>原则上招标控制价应于投标截止时间15日前向所有投标人公布，最迟应当在投标截止时间7日前公布，并报送当地招投标监督管理部门备案。潜在投标人或者其他利害关系人对招标控制价有异议的，应当在投标截止时间5日前提出。招标人应当自收到异议之日起3日内作出答复。招标人需重新公布招标控制价的，其最终公布的时间到投标截止时间不足7天可能影响投标文件编制的，应顺延提交投标文件的截止时间。</w:t>
      </w:r>
    </w:p>
    <w:p>
      <w:pPr>
        <w:numPr>
          <w:ilvl w:val="1"/>
          <w:numId w:val="37"/>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技术标“暗标”评审方式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投标文件电子版</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投标文件电子版的具体内容要求见“投标人须知前附表”。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知识产权</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招标人对其知识产权的具体要求见“投标人须知前附表”。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重新招标的其他情形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同义词语</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7"/>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监督</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本项目招标的监督部门见“投标人须知前附表”。</w:t>
      </w:r>
    </w:p>
    <w:p>
      <w:pPr>
        <w:numPr>
          <w:ilvl w:val="1"/>
          <w:numId w:val="38"/>
        </w:numPr>
        <w:tabs>
          <w:tab w:val="left" w:pos="578"/>
        </w:tabs>
        <w:autoSpaceDE w:val="0"/>
        <w:autoSpaceDN w:val="0"/>
        <w:snapToGrid w:val="0"/>
        <w:spacing w:before="146" w:after="0" w:line="240" w:lineRule="auto"/>
        <w:ind w:left="578"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解释权</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numPr>
          <w:ilvl w:val="1"/>
          <w:numId w:val="39"/>
        </w:numPr>
        <w:tabs>
          <w:tab w:val="left" w:pos="578"/>
        </w:tabs>
        <w:autoSpaceDE w:val="0"/>
        <w:autoSpaceDN w:val="0"/>
        <w:snapToGrid w:val="0"/>
        <w:spacing w:before="146" w:after="0" w:line="240" w:lineRule="auto"/>
        <w:ind w:left="578" w:right="0" w:hanging="57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招标人补充的其他内容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见“投标人须知前附表”。</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default"/>
          <w:color w:val="auto"/>
        </w:rPr>
      </w:pPr>
      <w:bookmarkStart w:id="61" w:name="_Toc7002_WPSOffice_Level1"/>
      <w:bookmarkStart w:id="62" w:name="_Toc31188_WPSOffice_Level1"/>
      <w:r>
        <w:rPr>
          <w:rFonts w:hint="default"/>
          <w:color w:val="auto"/>
        </w:rPr>
        <w:t>第三章 评标办法（综合评估法）</w:t>
      </w:r>
      <w:bookmarkEnd w:id="61"/>
      <w:bookmarkEnd w:id="62"/>
    </w:p>
    <w:p>
      <w:pPr>
        <w:pStyle w:val="3"/>
        <w:bidi w:val="0"/>
        <w:rPr>
          <w:rFonts w:hint="default"/>
          <w:color w:val="auto"/>
        </w:rPr>
      </w:pPr>
      <w:bookmarkStart w:id="63" w:name="_Toc31250_WPSOffice_Level2"/>
      <w:bookmarkStart w:id="64" w:name="_Toc18909_WPSOffice_Level2"/>
      <w:r>
        <w:rPr>
          <w:rFonts w:hint="default"/>
          <w:color w:val="auto"/>
        </w:rPr>
        <w:t>评标办法前附表</w:t>
      </w:r>
      <w:bookmarkEnd w:id="63"/>
      <w:bookmarkEnd w:id="64"/>
    </w:p>
    <w:tbl>
      <w:tblPr>
        <w:tblStyle w:val="6"/>
        <w:tblW w:w="10131" w:type="dxa"/>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426"/>
        <w:gridCol w:w="1139"/>
        <w:gridCol w:w="246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shd w:val="clear" w:color="000000" w:fill="E6E6E6"/>
            <w:vAlign w:val="top"/>
          </w:tcPr>
          <w:p>
            <w:pPr>
              <w:autoSpaceDE w:val="0"/>
              <w:autoSpaceDN w:val="0"/>
              <w:snapToGrid w:val="0"/>
              <w:spacing w:before="83" w:after="0" w:line="263" w:lineRule="exact"/>
              <w:ind w:left="14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条款号</w:t>
            </w:r>
          </w:p>
        </w:tc>
        <w:tc>
          <w:tcPr>
            <w:tcW w:w="4030" w:type="dxa"/>
            <w:gridSpan w:val="3"/>
            <w:shd w:val="clear" w:color="000000" w:fill="E6E6E6"/>
            <w:vAlign w:val="top"/>
          </w:tcPr>
          <w:p>
            <w:pPr>
              <w:autoSpaceDE w:val="0"/>
              <w:autoSpaceDN w:val="0"/>
              <w:snapToGrid w:val="0"/>
              <w:spacing w:before="83" w:after="0" w:line="263" w:lineRule="exact"/>
              <w:ind w:left="159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评审因素</w:t>
            </w:r>
          </w:p>
        </w:tc>
        <w:tc>
          <w:tcPr>
            <w:tcW w:w="5169" w:type="dxa"/>
            <w:shd w:val="clear" w:color="000000" w:fill="E6E6E6"/>
            <w:vAlign w:val="top"/>
          </w:tcPr>
          <w:p>
            <w:pPr>
              <w:autoSpaceDE w:val="0"/>
              <w:autoSpaceDN w:val="0"/>
              <w:snapToGrid w:val="0"/>
              <w:spacing w:before="3" w:after="0" w:line="263" w:lineRule="exact"/>
              <w:ind w:left="21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评审标准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restart"/>
            <w:vAlign w:val="top"/>
          </w:tcPr>
          <w:p>
            <w:pPr>
              <w:autoSpaceDE w:val="0"/>
              <w:autoSpaceDN w:val="0"/>
              <w:snapToGrid w:val="0"/>
              <w:spacing w:before="4203"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2.1.1</w:t>
            </w:r>
          </w:p>
        </w:tc>
        <w:tc>
          <w:tcPr>
            <w:tcW w:w="426" w:type="dxa"/>
            <w:vMerge w:val="restart"/>
            <w:vAlign w:val="top"/>
          </w:tcPr>
          <w:p>
            <w:pPr>
              <w:autoSpaceDE w:val="0"/>
              <w:autoSpaceDN w:val="0"/>
              <w:snapToGrid w:val="0"/>
              <w:spacing w:before="318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格</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审</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标</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准</w:t>
            </w:r>
          </w:p>
        </w:tc>
        <w:tc>
          <w:tcPr>
            <w:tcW w:w="1139" w:type="dxa"/>
            <w:vMerge w:val="restart"/>
            <w:vAlign w:val="top"/>
          </w:tcPr>
          <w:p>
            <w:pPr>
              <w:autoSpaceDE w:val="0"/>
              <w:autoSpaceDN w:val="0"/>
              <w:snapToGrid w:val="0"/>
              <w:spacing w:before="0" w:after="0" w:line="333" w:lineRule="exact"/>
              <w:ind w:left="103" w:right="0" w:firstLine="0"/>
              <w:jc w:val="left"/>
              <w:textAlignment w:val="auto"/>
              <w:rPr>
                <w:rFonts w:hint="default" w:ascii="宋体" w:hAnsi="宋体" w:eastAsia="宋体" w:cs="宋体"/>
                <w:color w:val="auto"/>
                <w:position w:val="2"/>
                <w:sz w:val="21"/>
              </w:rPr>
            </w:pPr>
            <w:r>
              <w:rPr>
                <w:rFonts w:hint="default" w:ascii="宋体" w:hAnsi="宋体" w:eastAsia="宋体" w:cs="宋体"/>
                <w:color w:val="auto"/>
                <w:sz w:val="31"/>
              </w:rPr>
              <w:t>□</w:t>
            </w:r>
            <w:r>
              <w:rPr>
                <w:rFonts w:hint="default" w:ascii="宋体" w:hAnsi="宋体" w:eastAsia="宋体" w:cs="宋体"/>
                <w:color w:val="auto"/>
                <w:position w:val="2"/>
                <w:sz w:val="21"/>
              </w:rPr>
              <w:t>合格</w:t>
            </w:r>
          </w:p>
          <w:p>
            <w:pPr>
              <w:autoSpaceDE w:val="0"/>
              <w:autoSpaceDN w:val="0"/>
              <w:snapToGrid w:val="0"/>
              <w:spacing w:before="-20" w:after="0" w:line="263" w:lineRule="exact"/>
              <w:ind w:left="103" w:right="0" w:firstLine="0"/>
              <w:jc w:val="left"/>
              <w:textAlignment w:val="auto"/>
              <w:rPr>
                <w:rFonts w:hint="default" w:ascii="宋体" w:hAnsi="宋体" w:eastAsia="宋体" w:cs="宋体"/>
                <w:color w:val="auto"/>
                <w:position w:val="2"/>
                <w:sz w:val="21"/>
              </w:rPr>
            </w:pPr>
            <w:r>
              <w:rPr>
                <w:rFonts w:hint="default" w:ascii="宋体" w:hAnsi="宋体" w:eastAsia="宋体" w:cs="宋体"/>
                <w:color w:val="auto"/>
                <w:position w:val="2"/>
                <w:sz w:val="21"/>
              </w:rPr>
              <w:t>制</w:t>
            </w:r>
          </w:p>
        </w:tc>
        <w:tc>
          <w:tcPr>
            <w:tcW w:w="7634"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合格标准：缺少任何一项或有任何一项不合格者，其资格审查视为不合格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6"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465" w:type="dxa"/>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投标文件签署</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有效的法定代表人身份证明（附身份证复印件）或法</w:t>
            </w:r>
          </w:p>
          <w:p>
            <w:pPr>
              <w:autoSpaceDE w:val="0"/>
              <w:autoSpaceDN w:val="0"/>
              <w:snapToGrid w:val="0"/>
              <w:spacing w:before="29" w:after="0" w:line="408" w:lineRule="exact"/>
              <w:ind w:left="103" w:right="22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定代表人授权</w:t>
            </w:r>
            <w:r>
              <w:rPr>
                <w:rFonts w:hint="default" w:ascii="宋体" w:hAnsi="宋体" w:eastAsia="宋体" w:cs="宋体"/>
                <w:color w:val="auto"/>
                <w:sz w:val="21"/>
              </w:rPr>
              <w:t>委托书（附身份证复印件，授权代理时提供）</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营业执照</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具备有效的营业执照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安全生产许可证</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具备有效的安全生产许可证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资质等级</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财务状况</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类似工程业绩（如有）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诚信</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安全员</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联合体投标人（如有）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2</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投标保证金</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3.4.</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4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412"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其他要求</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1.4.</w:t>
            </w:r>
            <w:r>
              <w:rPr>
                <w:rFonts w:hint="default" w:ascii="宋体" w:hAnsi="宋体" w:eastAsia="宋体" w:cs="宋体"/>
                <w:color w:val="auto"/>
                <w:spacing w:val="53"/>
                <w:sz w:val="21"/>
              </w:rPr>
              <w:t>1</w:t>
            </w:r>
            <w:r>
              <w:rPr>
                <w:rFonts w:hint="default" w:ascii="宋体" w:hAnsi="宋体" w:eastAsia="宋体" w:cs="宋体"/>
                <w:color w:val="auto"/>
                <w:sz w:val="21"/>
              </w:rPr>
              <w:t>项规定且按规定</w:t>
            </w:r>
          </w:p>
          <w:p>
            <w:pPr>
              <w:autoSpaceDE w:val="0"/>
              <w:autoSpaceDN w:val="0"/>
              <w:snapToGrid w:val="0"/>
              <w:spacing w:before="29" w:after="0" w:line="409" w:lineRule="exact"/>
              <w:ind w:left="103" w:right="279"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提交了第二章</w:t>
            </w:r>
            <w:r>
              <w:rPr>
                <w:rFonts w:hint="default" w:ascii="宋体" w:hAnsi="宋体" w:eastAsia="宋体" w:cs="宋体"/>
                <w:color w:val="auto"/>
                <w:sz w:val="21"/>
              </w:rPr>
              <w:t>“投标人须知前附表”3.1.</w:t>
            </w:r>
            <w:r>
              <w:rPr>
                <w:rFonts w:hint="default" w:ascii="宋体" w:hAnsi="宋体" w:eastAsia="宋体" w:cs="宋体"/>
                <w:color w:val="auto"/>
                <w:spacing w:val="53"/>
                <w:sz w:val="21"/>
              </w:rPr>
              <w:t>1</w:t>
            </w:r>
            <w:r>
              <w:rPr>
                <w:rFonts w:hint="default" w:ascii="宋体" w:hAnsi="宋体" w:eastAsia="宋体" w:cs="宋体"/>
                <w:color w:val="auto"/>
                <w:sz w:val="21"/>
              </w:rPr>
              <w:t>项资格审查部分（1）～（9）项内容的。</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restart"/>
            <w:vAlign w:val="top"/>
          </w:tcPr>
          <w:p>
            <w:pPr>
              <w:autoSpaceDE w:val="0"/>
              <w:autoSpaceDN w:val="0"/>
              <w:snapToGrid w:val="0"/>
              <w:spacing w:before="1650"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2.1.2</w:t>
            </w:r>
          </w:p>
        </w:tc>
        <w:tc>
          <w:tcPr>
            <w:tcW w:w="1565" w:type="dxa"/>
            <w:gridSpan w:val="2"/>
            <w:vMerge w:val="restart"/>
            <w:vAlign w:val="top"/>
          </w:tcPr>
          <w:p>
            <w:pPr>
              <w:autoSpaceDE w:val="0"/>
              <w:autoSpaceDN w:val="0"/>
              <w:snapToGrid w:val="0"/>
              <w:spacing w:before="1446" w:after="0" w:line="263" w:lineRule="exact"/>
              <w:ind w:left="56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形式</w:t>
            </w:r>
          </w:p>
          <w:p>
            <w:pPr>
              <w:autoSpaceDE w:val="0"/>
              <w:autoSpaceDN w:val="0"/>
              <w:snapToGrid w:val="0"/>
              <w:spacing w:before="146"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评审标准</w:t>
            </w:r>
          </w:p>
        </w:tc>
        <w:tc>
          <w:tcPr>
            <w:tcW w:w="7634"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合格标准：缺少任何一项或有任何一项不合格者，其形式评审视为不合格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投标人名称</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与营业执照、资质证书、安全生产许可证一致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投标函签字盖章</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法定代表人或其委托代理人签字或盖章及加盖投标人</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单位公章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投标文件格式</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w:t>
            </w:r>
            <w:r>
              <w:rPr>
                <w:rFonts w:hint="eastAsia" w:ascii="宋体" w:hAnsi="宋体" w:eastAsia="宋体" w:cs="宋体"/>
                <w:color w:val="auto"/>
                <w:sz w:val="21"/>
                <w:lang w:eastAsia="zh-CN"/>
              </w:rPr>
              <w:t>七</w:t>
            </w:r>
            <w:r>
              <w:rPr>
                <w:rFonts w:hint="default" w:ascii="宋体" w:hAnsi="宋体" w:eastAsia="宋体" w:cs="宋体"/>
                <w:color w:val="auto"/>
                <w:sz w:val="21"/>
              </w:rPr>
              <w:t>章“投标文件格式”的要求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联合体投标人（如有）</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提交联合体协议书，并明确联合体牵头人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gridSpan w:val="2"/>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报价唯一</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只能有一个有效报价。</w:t>
            </w:r>
          </w:p>
        </w:tc>
      </w:tr>
    </w:tbl>
    <w:p>
      <w:pPr>
        <w:numPr>
          <w:ilvl w:val="0"/>
          <w:numId w:val="33"/>
        </w:numPr>
        <w:autoSpaceDE w:val="0"/>
        <w:autoSpaceDN w:val="0"/>
        <w:snapToGrid w:val="0"/>
        <w:spacing w:before="288" w:after="0" w:line="240" w:lineRule="auto"/>
        <w:ind w:left="-264"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9" w:right="1767" w:bottom="649" w:left="1764"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rPr>
        <mc:AlternateContent>
          <mc:Choice Requires="wps">
            <w:drawing>
              <wp:anchor distT="0" distB="0" distL="114300" distR="114300" simplePos="0" relativeHeight="251659264" behindDoc="0" locked="0" layoutInCell="1" allowOverlap="1">
                <wp:simplePos x="0" y="0"/>
                <wp:positionH relativeFrom="page">
                  <wp:posOffset>1579880</wp:posOffset>
                </wp:positionH>
                <wp:positionV relativeFrom="page">
                  <wp:posOffset>1891665</wp:posOffset>
                </wp:positionV>
                <wp:extent cx="133350" cy="167005"/>
                <wp:effectExtent l="0" t="0" r="0" b="0"/>
                <wp:wrapNone/>
                <wp:docPr id="1073" name="1073"/>
                <wp:cNvGraphicFramePr/>
                <a:graphic xmlns:a="http://schemas.openxmlformats.org/drawingml/2006/main">
                  <a:graphicData uri="http://schemas.microsoft.com/office/word/2010/wordprocessingShape">
                    <wps:wsp>
                      <wps:cNvSpPr txBox="1"/>
                      <wps:spPr>
                        <a:xfrm>
                          <a:off x="0" y="0"/>
                          <a:ext cx="133350" cy="167005"/>
                        </a:xfrm>
                        <a:prstGeom prst="rect">
                          <a:avLst/>
                        </a:prstGeom>
                        <a:noFill/>
                        <a:ln>
                          <a:noFill/>
                        </a:ln>
                        <a:effectLst/>
                      </wps:spPr>
                      <wps:txbx>
                        <w:txbxContent>
                          <w:p>
                            <w:pPr>
                              <w:autoSpaceDE w:val="0"/>
                              <w:autoSpaceDN w:val="0"/>
                              <w:snapToGrid w:val="0"/>
                              <w:spacing w:before="0"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w:t>
                            </w:r>
                          </w:p>
                        </w:txbxContent>
                      </wps:txbx>
                      <wps:bodyPr vert="horz" wrap="square" lIns="0" tIns="0" rIns="0" bIns="0" anchor="t">
                        <a:noAutofit/>
                      </wps:bodyPr>
                    </wps:wsp>
                  </a:graphicData>
                </a:graphic>
              </wp:anchor>
            </w:drawing>
          </mc:Choice>
          <mc:Fallback>
            <w:pict>
              <v:shape id="1073" o:spid="_x0000_s1026" o:spt="202" type="#_x0000_t202" style="position:absolute;left:0pt;margin-left:124.4pt;margin-top:148.95pt;height:13.15pt;width:10.5pt;mso-position-horizontal-relative:page;mso-position-vertical-relative:page;z-index:251659264;mso-width-relative:page;mso-height-relative:page;" filled="f" stroked="f" coordsize="21600,21600" o:gfxdata="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NkgMuNoAAAALAQAADwAAAAAAAAABACAAAAAiAAAAZHJz&#10;L2Rvd25yZXYueG1sUEsBAhQAFAAAAAgAh07iQLEi8yrJAQAArgMAAA4AAAAAAAAAAQAgAAAAKQEA&#10;AGRycy9lMm9Eb2MueG1sUEsFBgAAAAAGAAYAWQEAAGQFAAAAAA==&#10;">
                <v:fill on="f" focussize="0,0"/>
                <v:stroke on="f"/>
                <v:imagedata o:title=""/>
                <o:lock v:ext="edit" aspectratio="f"/>
                <v:textbox inset="0mm,0mm,0mm,0mm">
                  <w:txbxContent>
                    <w:p>
                      <w:pPr>
                        <w:autoSpaceDE w:val="0"/>
                        <w:autoSpaceDN w:val="0"/>
                        <w:snapToGrid w:val="0"/>
                        <w:spacing w:before="0" w:after="0" w:line="263" w:lineRule="exact"/>
                        <w:ind w:left="0" w:right="0" w:firstLine="0"/>
                        <w:jc w:val="left"/>
                        <w:textAlignment w:val="auto"/>
                        <w:rPr>
                          <w:rFonts w:hint="default" w:ascii="宋体" w:hAnsi="宋体" w:eastAsia="宋体" w:cs="宋体"/>
                          <w:sz w:val="21"/>
                        </w:rPr>
                      </w:pPr>
                      <w:r>
                        <w:rPr>
                          <w:rFonts w:hint="default" w:ascii="宋体" w:hAnsi="宋体" w:eastAsia="宋体" w:cs="宋体"/>
                          <w:sz w:val="21"/>
                        </w:rPr>
                        <w:t>√</w:t>
                      </w:r>
                    </w:p>
                  </w:txbxContent>
                </v:textbox>
              </v:shape>
            </w:pict>
          </mc:Fallback>
        </mc:AlternateContent>
      </w:r>
    </w:p>
    <w:tbl>
      <w:tblPr>
        <w:tblStyle w:val="6"/>
        <w:tblW w:w="10131"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2"/>
        <w:gridCol w:w="1565"/>
        <w:gridCol w:w="728"/>
        <w:gridCol w:w="1734"/>
        <w:gridCol w:w="517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restart"/>
            <w:vAlign w:val="top"/>
          </w:tcPr>
          <w:p>
            <w:pPr>
              <w:autoSpaceDE w:val="0"/>
              <w:autoSpaceDN w:val="0"/>
              <w:snapToGrid w:val="0"/>
              <w:spacing w:before="3054"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2.1.3</w:t>
            </w:r>
          </w:p>
        </w:tc>
        <w:tc>
          <w:tcPr>
            <w:tcW w:w="1565" w:type="dxa"/>
            <w:vMerge w:val="restart"/>
            <w:vAlign w:val="top"/>
          </w:tcPr>
          <w:p>
            <w:pPr>
              <w:autoSpaceDE w:val="0"/>
              <w:autoSpaceDN w:val="0"/>
              <w:snapToGrid w:val="0"/>
              <w:spacing w:before="2850" w:after="0" w:line="263" w:lineRule="exact"/>
              <w:ind w:left="4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响应性</w:t>
            </w:r>
          </w:p>
          <w:p>
            <w:pPr>
              <w:autoSpaceDE w:val="0"/>
              <w:autoSpaceDN w:val="0"/>
              <w:snapToGrid w:val="0"/>
              <w:spacing w:before="146"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评审标准</w:t>
            </w:r>
          </w:p>
        </w:tc>
        <w:tc>
          <w:tcPr>
            <w:tcW w:w="7634" w:type="dxa"/>
            <w:gridSpan w:val="3"/>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合格标准：缺少任何一项或有任何一项不合格者，其响应性评审视为不合格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投标内容</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1.3.</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工期</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1.3.</w:t>
            </w:r>
            <w:r>
              <w:rPr>
                <w:rFonts w:hint="default" w:ascii="宋体" w:hAnsi="宋体" w:eastAsia="宋体" w:cs="宋体"/>
                <w:color w:val="auto"/>
                <w:spacing w:val="53"/>
                <w:sz w:val="21"/>
              </w:rPr>
              <w:t>2</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1.3.</w:t>
            </w:r>
            <w:r>
              <w:rPr>
                <w:rFonts w:hint="default" w:ascii="宋体" w:hAnsi="宋体" w:eastAsia="宋体" w:cs="宋体"/>
                <w:color w:val="auto"/>
                <w:spacing w:val="53"/>
                <w:sz w:val="21"/>
              </w:rPr>
              <w:t>3</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投标有效期</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3.3.</w:t>
            </w:r>
            <w:r>
              <w:rPr>
                <w:rFonts w:hint="default" w:ascii="宋体" w:hAnsi="宋体" w:eastAsia="宋体" w:cs="宋体"/>
                <w:color w:val="auto"/>
                <w:spacing w:val="53"/>
                <w:sz w:val="21"/>
              </w:rPr>
              <w:t>1</w:t>
            </w:r>
            <w:r>
              <w:rPr>
                <w:rFonts w:hint="default" w:ascii="宋体" w:hAnsi="宋体" w:eastAsia="宋体" w:cs="宋体"/>
                <w:color w:val="auto"/>
                <w:sz w:val="21"/>
              </w:rPr>
              <w:t>项规定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权利义务</w:t>
            </w:r>
          </w:p>
        </w:tc>
        <w:tc>
          <w:tcPr>
            <w:tcW w:w="5172"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投标函附录中的相关承诺符合或优于第四章“合同条</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款及格式”的相关规定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技术标准和要求</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w:t>
            </w:r>
            <w:r>
              <w:rPr>
                <w:rFonts w:hint="eastAsia" w:ascii="宋体" w:hAnsi="宋体" w:eastAsia="宋体" w:cs="宋体"/>
                <w:color w:val="auto"/>
                <w:sz w:val="21"/>
                <w:lang w:eastAsia="zh-CN"/>
              </w:rPr>
              <w:t>六</w:t>
            </w:r>
            <w:r>
              <w:rPr>
                <w:rFonts w:hint="default" w:ascii="宋体" w:hAnsi="宋体" w:eastAsia="宋体" w:cs="宋体"/>
                <w:color w:val="auto"/>
                <w:sz w:val="21"/>
              </w:rPr>
              <w:t>章 “技术标准和要求”规定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投标价格</w:t>
            </w:r>
          </w:p>
        </w:tc>
        <w:tc>
          <w:tcPr>
            <w:tcW w:w="5172"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低于（含等于）招标人公布的招标控制价且无本章附</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26"/>
                <w:sz w:val="21"/>
              </w:rPr>
              <w:t>件</w:t>
            </w:r>
            <w:r>
              <w:rPr>
                <w:rFonts w:hint="default" w:ascii="宋体" w:hAnsi="宋体" w:eastAsia="宋体" w:cs="宋体"/>
                <w:color w:val="auto"/>
                <w:spacing w:val="53"/>
                <w:sz w:val="21"/>
              </w:rPr>
              <w:t>B</w:t>
            </w:r>
            <w:r>
              <w:rPr>
                <w:rFonts w:hint="default" w:ascii="宋体" w:hAnsi="宋体" w:eastAsia="宋体" w:cs="宋体"/>
                <w:color w:val="auto"/>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分包计划（如有）</w:t>
            </w:r>
          </w:p>
        </w:tc>
        <w:tc>
          <w:tcPr>
            <w:tcW w:w="5172"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符合第二章“投标人须知”</w:t>
            </w:r>
            <w:r>
              <w:rPr>
                <w:rFonts w:hint="default" w:ascii="宋体" w:hAnsi="宋体" w:eastAsia="宋体" w:cs="宋体"/>
                <w:color w:val="auto"/>
                <w:spacing w:val="26"/>
                <w:sz w:val="21"/>
              </w:rPr>
              <w:t>第</w:t>
            </w:r>
            <w:r>
              <w:rPr>
                <w:rFonts w:hint="default" w:ascii="宋体" w:hAnsi="宋体" w:eastAsia="宋体" w:cs="宋体"/>
                <w:color w:val="auto"/>
                <w:sz w:val="21"/>
              </w:rPr>
              <w:t>1.1</w:t>
            </w:r>
            <w:r>
              <w:rPr>
                <w:rFonts w:hint="default" w:ascii="宋体" w:hAnsi="宋体" w:eastAsia="宋体" w:cs="宋体"/>
                <w:color w:val="auto"/>
                <w:spacing w:val="53"/>
                <w:sz w:val="21"/>
              </w:rPr>
              <w:t>1</w:t>
            </w:r>
            <w:r>
              <w:rPr>
                <w:rFonts w:hint="default" w:ascii="宋体" w:hAnsi="宋体" w:eastAsia="宋体" w:cs="宋体"/>
                <w:color w:val="auto"/>
                <w:sz w:val="21"/>
              </w:rPr>
              <w:t>款规定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2" w:type="dxa"/>
            <w:gridSpan w:val="2"/>
            <w:vAlign w:val="top"/>
          </w:tcPr>
          <w:p>
            <w:pPr>
              <w:autoSpaceDE w:val="0"/>
              <w:autoSpaceDN w:val="0"/>
              <w:snapToGrid w:val="0"/>
              <w:spacing w:before="20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已标价工程量清单</w:t>
            </w:r>
          </w:p>
        </w:tc>
        <w:tc>
          <w:tcPr>
            <w:tcW w:w="5172"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符合第五章“工程量清单”的编制要求且无本章附件</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53"/>
                <w:sz w:val="21"/>
              </w:rPr>
              <w:t>B</w:t>
            </w:r>
            <w:r>
              <w:rPr>
                <w:rFonts w:hint="default" w:ascii="宋体" w:hAnsi="宋体" w:eastAsia="宋体" w:cs="宋体"/>
                <w:color w:val="auto"/>
                <w:sz w:val="21"/>
              </w:rPr>
              <w:t>否决投标条件的相应情况。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Align w:val="top"/>
          </w:tcPr>
          <w:p>
            <w:pPr>
              <w:autoSpaceDE w:val="0"/>
              <w:autoSpaceDN w:val="0"/>
              <w:snapToGrid w:val="0"/>
              <w:spacing w:before="208" w:after="0" w:line="263" w:lineRule="exact"/>
              <w:ind w:left="30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w:t>
            </w:r>
          </w:p>
        </w:tc>
        <w:tc>
          <w:tcPr>
            <w:tcW w:w="1565" w:type="dxa"/>
            <w:vAlign w:val="top"/>
          </w:tcPr>
          <w:p>
            <w:pPr>
              <w:autoSpaceDE w:val="0"/>
              <w:autoSpaceDN w:val="0"/>
              <w:snapToGrid w:val="0"/>
              <w:spacing w:before="208"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详细评审</w:t>
            </w:r>
          </w:p>
        </w:tc>
        <w:tc>
          <w:tcPr>
            <w:tcW w:w="7634"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通过资格审查的合格投标人，只有通过了形式评审和响应性评审，才能进入详细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评审程序。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27" w:hRule="exact"/>
        </w:trPr>
        <w:tc>
          <w:tcPr>
            <w:tcW w:w="932" w:type="dxa"/>
            <w:vAlign w:val="top"/>
          </w:tcPr>
          <w:p>
            <w:pPr>
              <w:autoSpaceDE w:val="0"/>
              <w:autoSpaceDN w:val="0"/>
              <w:snapToGrid w:val="0"/>
              <w:spacing w:before="208"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2.2.1</w:t>
            </w:r>
          </w:p>
        </w:tc>
        <w:tc>
          <w:tcPr>
            <w:tcW w:w="1565" w:type="dxa"/>
            <w:vAlign w:val="top"/>
          </w:tcPr>
          <w:p>
            <w:pPr>
              <w:autoSpaceDE w:val="0"/>
              <w:autoSpaceDN w:val="0"/>
              <w:snapToGrid w:val="0"/>
              <w:spacing w:before="208" w:after="0" w:line="263" w:lineRule="exact"/>
              <w:ind w:left="3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分值构成</w:t>
            </w:r>
          </w:p>
        </w:tc>
        <w:tc>
          <w:tcPr>
            <w:tcW w:w="2462" w:type="dxa"/>
            <w:gridSpan w:val="2"/>
            <w:vAlign w:val="top"/>
          </w:tcPr>
          <w:p>
            <w:pPr>
              <w:autoSpaceDE w:val="0"/>
              <w:autoSpaceDN w:val="0"/>
              <w:snapToGrid w:val="0"/>
              <w:spacing w:before="3" w:after="0" w:line="263" w:lineRule="exact"/>
              <w:ind w:left="7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分值构成</w:t>
            </w:r>
          </w:p>
          <w:p>
            <w:pPr>
              <w:autoSpaceDE w:val="0"/>
              <w:autoSpaceDN w:val="0"/>
              <w:snapToGrid w:val="0"/>
              <w:spacing w:before="146" w:after="0" w:line="263" w:lineRule="exact"/>
              <w:ind w:left="103" w:right="0" w:firstLine="210" w:firstLineChars="100"/>
              <w:jc w:val="left"/>
              <w:textAlignment w:val="auto"/>
              <w:rPr>
                <w:rFonts w:hint="default" w:ascii="宋体" w:hAnsi="宋体" w:eastAsia="宋体" w:cs="宋体"/>
                <w:color w:val="auto"/>
                <w:sz w:val="21"/>
              </w:rPr>
            </w:pPr>
            <w:r>
              <w:rPr>
                <w:rFonts w:hint="default" w:ascii="宋体" w:hAnsi="宋体" w:eastAsia="宋体" w:cs="宋体"/>
                <w:color w:val="auto"/>
                <w:sz w:val="21"/>
              </w:rPr>
              <w:t>（总</w:t>
            </w:r>
            <w:r>
              <w:rPr>
                <w:rFonts w:hint="default" w:ascii="宋体" w:hAnsi="宋体" w:eastAsia="宋体" w:cs="宋体"/>
                <w:color w:val="auto"/>
                <w:spacing w:val="26"/>
                <w:sz w:val="21"/>
              </w:rPr>
              <w:t>分</w:t>
            </w:r>
            <w:r>
              <w:rPr>
                <w:rFonts w:hint="default" w:ascii="宋体" w:hAnsi="宋体" w:eastAsia="宋体" w:cs="宋体"/>
                <w:color w:val="auto"/>
                <w:sz w:val="21"/>
              </w:rPr>
              <w:t>10</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72"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技术标评审部分：</w:t>
            </w:r>
            <w:r>
              <w:rPr>
                <w:rFonts w:hint="default" w:ascii="宋体" w:hAnsi="宋体" w:eastAsia="宋体" w:cs="宋体"/>
                <w:color w:val="auto"/>
                <w:sz w:val="21"/>
                <w:u w:val="single" w:color="000000"/>
              </w:rPr>
              <w:t xml:space="preserve"> </w:t>
            </w:r>
            <w:r>
              <w:rPr>
                <w:rFonts w:hint="eastAsia" w:ascii="宋体" w:hAnsi="宋体" w:eastAsia="宋体" w:cs="宋体"/>
                <w:color w:val="auto"/>
                <w:sz w:val="21"/>
                <w:u w:val="single" w:color="000000"/>
                <w:lang w:val="en-US" w:eastAsia="zh-CN"/>
              </w:rPr>
              <w:t>40</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分</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商务标评审部分：</w:t>
            </w:r>
            <w:r>
              <w:rPr>
                <w:rFonts w:hint="default" w:ascii="宋体" w:hAnsi="宋体" w:eastAsia="宋体" w:cs="宋体"/>
                <w:color w:val="auto"/>
                <w:sz w:val="21"/>
                <w:u w:val="single" w:color="000000"/>
              </w:rPr>
              <w:t xml:space="preserve"> 6</w:t>
            </w:r>
            <w:r>
              <w:rPr>
                <w:rFonts w:hint="eastAsia" w:ascii="宋体" w:hAnsi="宋体" w:eastAsia="宋体" w:cs="宋体"/>
                <w:color w:val="auto"/>
                <w:sz w:val="21"/>
                <w:u w:val="single" w:color="000000"/>
                <w:lang w:val="en-US" w:eastAsia="zh-CN"/>
              </w:rPr>
              <w:t>0</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235" w:hRule="exact"/>
        </w:trPr>
        <w:tc>
          <w:tcPr>
            <w:tcW w:w="932" w:type="dxa"/>
            <w:vMerge w:val="restart"/>
            <w:vAlign w:val="top"/>
          </w:tcPr>
          <w:p>
            <w:pPr>
              <w:autoSpaceDE w:val="0"/>
              <w:autoSpaceDN w:val="0"/>
              <w:snapToGrid w:val="0"/>
              <w:spacing w:before="2669"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2.2.2</w:t>
            </w:r>
          </w:p>
          <w:p>
            <w:pPr>
              <w:autoSpaceDE w:val="0"/>
              <w:autoSpaceDN w:val="0"/>
              <w:snapToGrid w:val="0"/>
              <w:spacing w:before="146"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（1）</w:t>
            </w:r>
          </w:p>
        </w:tc>
        <w:tc>
          <w:tcPr>
            <w:tcW w:w="1565" w:type="dxa"/>
            <w:vMerge w:val="restart"/>
            <w:vAlign w:val="center"/>
          </w:tcPr>
          <w:p>
            <w:pPr>
              <w:autoSpaceDE w:val="0"/>
              <w:autoSpaceDN w:val="0"/>
              <w:snapToGrid w:val="0"/>
              <w:spacing w:before="3" w:after="0" w:line="263" w:lineRule="exact"/>
              <w:ind w:right="0"/>
              <w:jc w:val="center"/>
              <w:textAlignment w:val="auto"/>
              <w:rPr>
                <w:rFonts w:hint="default" w:ascii="宋体" w:hAnsi="宋体" w:eastAsia="宋体" w:cs="宋体"/>
                <w:color w:val="auto"/>
                <w:sz w:val="21"/>
              </w:rPr>
            </w:pPr>
            <w:r>
              <w:rPr>
                <w:rFonts w:hint="default" w:ascii="宋体" w:hAnsi="宋体" w:eastAsia="宋体" w:cs="宋体"/>
                <w:color w:val="auto"/>
                <w:sz w:val="21"/>
              </w:rPr>
              <w:t>技术标</w:t>
            </w:r>
          </w:p>
          <w:p>
            <w:pPr>
              <w:autoSpaceDE w:val="0"/>
              <w:autoSpaceDN w:val="0"/>
              <w:snapToGrid w:val="0"/>
              <w:spacing w:before="5" w:after="0" w:line="439" w:lineRule="exact"/>
              <w:ind w:right="178"/>
              <w:jc w:val="center"/>
              <w:textAlignment w:val="auto"/>
              <w:rPr>
                <w:rFonts w:hint="default" w:ascii="宋体" w:hAnsi="宋体" w:eastAsia="宋体" w:cs="宋体"/>
                <w:color w:val="auto"/>
                <w:sz w:val="21"/>
              </w:rPr>
            </w:pPr>
            <w:r>
              <w:rPr>
                <w:rFonts w:hint="default" w:ascii="宋体" w:hAnsi="宋体" w:eastAsia="宋体" w:cs="宋体"/>
                <w:color w:val="auto"/>
                <w:sz w:val="21"/>
              </w:rPr>
              <w:t>评分标准（满</w:t>
            </w:r>
            <w:r>
              <w:rPr>
                <w:rFonts w:hint="default" w:ascii="宋体" w:hAnsi="宋体" w:eastAsia="宋体" w:cs="宋体"/>
                <w:color w:val="auto"/>
                <w:spacing w:val="26"/>
                <w:sz w:val="21"/>
              </w:rPr>
              <w:t>分</w:t>
            </w:r>
            <w:r>
              <w:rPr>
                <w:rFonts w:hint="eastAsia" w:ascii="宋体" w:hAnsi="宋体" w:eastAsia="宋体" w:cs="宋体"/>
                <w:color w:val="auto"/>
                <w:sz w:val="21"/>
                <w:lang w:val="en-US" w:eastAsia="zh-CN"/>
              </w:rPr>
              <w:t>40</w:t>
            </w:r>
            <w:r>
              <w:rPr>
                <w:rFonts w:hint="default" w:ascii="宋体" w:hAnsi="宋体" w:eastAsia="宋体" w:cs="宋体"/>
                <w:color w:val="auto"/>
                <w:sz w:val="21"/>
              </w:rPr>
              <w:t>分）</w:t>
            </w:r>
          </w:p>
        </w:tc>
        <w:tc>
          <w:tcPr>
            <w:tcW w:w="7634"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合格标准：</w:t>
            </w:r>
          </w:p>
          <w:p>
            <w:pPr>
              <w:autoSpaceDE w:val="0"/>
              <w:autoSpaceDN w:val="0"/>
              <w:snapToGrid w:val="0"/>
              <w:spacing w:before="29" w:after="0" w:line="408" w:lineRule="exact"/>
              <w:ind w:left="103" w:right="381" w:firstLine="420"/>
              <w:jc w:val="both"/>
              <w:textAlignment w:val="auto"/>
              <w:rPr>
                <w:rFonts w:hint="default" w:ascii="宋体" w:hAnsi="宋体" w:eastAsia="宋体" w:cs="宋体"/>
                <w:color w:val="auto"/>
                <w:sz w:val="21"/>
              </w:rPr>
            </w:pPr>
            <w:r>
              <w:rPr>
                <w:rFonts w:hint="default" w:ascii="宋体" w:hAnsi="宋体" w:eastAsia="宋体" w:cs="宋体"/>
                <w:b w:val="0"/>
                <w:i w:val="0"/>
                <w:strike w:val="0"/>
                <w:color w:val="auto"/>
                <w:sz w:val="21"/>
                <w:szCs w:val="22"/>
              </w:rPr>
              <w:t>技术标满分为</w:t>
            </w:r>
            <w:r>
              <w:rPr>
                <w:rFonts w:hint="eastAsia" w:ascii="宋体" w:hAnsi="宋体" w:eastAsia="宋体" w:cs="宋体"/>
                <w:b w:val="0"/>
                <w:i w:val="0"/>
                <w:strike w:val="0"/>
                <w:color w:val="auto"/>
                <w:sz w:val="21"/>
                <w:szCs w:val="22"/>
                <w:lang w:val="en-US" w:eastAsia="zh-CN"/>
              </w:rPr>
              <w:t>40</w:t>
            </w:r>
            <w:r>
              <w:rPr>
                <w:rFonts w:hint="default" w:ascii="宋体" w:hAnsi="宋体" w:eastAsia="宋体" w:cs="宋体"/>
                <w:b w:val="0"/>
                <w:i w:val="0"/>
                <w:strike w:val="0"/>
                <w:color w:val="auto"/>
                <w:sz w:val="21"/>
                <w:szCs w:val="22"/>
              </w:rPr>
              <w:t>分时，技术标得分达到或超过2</w:t>
            </w:r>
            <w:r>
              <w:rPr>
                <w:rFonts w:hint="eastAsia" w:ascii="宋体" w:hAnsi="宋体" w:eastAsia="宋体" w:cs="宋体"/>
                <w:b w:val="0"/>
                <w:i w:val="0"/>
                <w:strike w:val="0"/>
                <w:color w:val="auto"/>
                <w:sz w:val="21"/>
                <w:szCs w:val="22"/>
                <w:lang w:val="en-US" w:eastAsia="zh-CN"/>
              </w:rPr>
              <w:t>4</w:t>
            </w:r>
            <w:r>
              <w:rPr>
                <w:rFonts w:hint="default" w:ascii="宋体" w:hAnsi="宋体" w:eastAsia="宋体" w:cs="宋体"/>
                <w:b w:val="0"/>
                <w:i w:val="0"/>
                <w:strike w:val="0"/>
                <w:color w:val="auto"/>
                <w:sz w:val="21"/>
                <w:szCs w:val="22"/>
              </w:rPr>
              <w:t>分的，技术标评审为合格；低于2</w:t>
            </w:r>
            <w:r>
              <w:rPr>
                <w:rFonts w:hint="eastAsia" w:ascii="宋体" w:hAnsi="宋体" w:eastAsia="宋体" w:cs="宋体"/>
                <w:b w:val="0"/>
                <w:i w:val="0"/>
                <w:strike w:val="0"/>
                <w:color w:val="auto"/>
                <w:sz w:val="21"/>
                <w:szCs w:val="22"/>
                <w:lang w:val="en-US" w:eastAsia="zh-CN"/>
              </w:rPr>
              <w:t>4</w:t>
            </w:r>
            <w:r>
              <w:rPr>
                <w:rFonts w:hint="default" w:ascii="宋体" w:hAnsi="宋体" w:eastAsia="宋体" w:cs="宋体"/>
                <w:b w:val="0"/>
                <w:i w:val="0"/>
                <w:strike w:val="0"/>
                <w:color w:val="auto"/>
                <w:sz w:val="21"/>
                <w:szCs w:val="22"/>
              </w:rPr>
              <w:t>分的技术标得分，技术标评审不合格。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456"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8" w:type="dxa"/>
            <w:vMerge w:val="restart"/>
            <w:vAlign w:val="center"/>
          </w:tcPr>
          <w:p>
            <w:pPr>
              <w:autoSpaceDE w:val="0"/>
              <w:autoSpaceDN w:val="0"/>
              <w:snapToGrid w:val="0"/>
              <w:spacing w:before="1234" w:after="0" w:line="263" w:lineRule="exact"/>
              <w:ind w:right="0"/>
              <w:jc w:val="center"/>
              <w:textAlignment w:val="auto"/>
              <w:rPr>
                <w:rFonts w:hint="default" w:ascii="宋体" w:hAnsi="宋体" w:eastAsia="宋体" w:cs="宋体"/>
                <w:color w:val="auto"/>
                <w:sz w:val="21"/>
              </w:rPr>
            </w:pPr>
            <w:r>
              <w:rPr>
                <w:rFonts w:hint="default" w:ascii="宋体" w:hAnsi="宋体" w:eastAsia="宋体" w:cs="宋体"/>
                <w:color w:val="auto"/>
                <w:sz w:val="21"/>
              </w:rPr>
              <w:t>项目</w:t>
            </w:r>
          </w:p>
          <w:p>
            <w:pPr>
              <w:autoSpaceDE w:val="0"/>
              <w:autoSpaceDN w:val="0"/>
              <w:snapToGrid w:val="0"/>
              <w:spacing w:before="146" w:after="0" w:line="263" w:lineRule="exact"/>
              <w:ind w:left="103" w:right="0" w:firstLine="0"/>
              <w:jc w:val="center"/>
              <w:textAlignment w:val="auto"/>
              <w:rPr>
                <w:rFonts w:hint="default" w:ascii="宋体" w:hAnsi="宋体" w:eastAsia="宋体" w:cs="宋体"/>
                <w:color w:val="auto"/>
                <w:sz w:val="21"/>
              </w:rPr>
            </w:pPr>
            <w:r>
              <w:rPr>
                <w:rFonts w:hint="default" w:ascii="宋体" w:hAnsi="宋体" w:eastAsia="宋体" w:cs="宋体"/>
                <w:color w:val="auto"/>
                <w:sz w:val="21"/>
              </w:rPr>
              <w:t>管理</w:t>
            </w:r>
          </w:p>
          <w:p>
            <w:pPr>
              <w:autoSpaceDE w:val="0"/>
              <w:autoSpaceDN w:val="0"/>
              <w:snapToGrid w:val="0"/>
              <w:spacing w:before="146" w:after="0" w:line="263" w:lineRule="exact"/>
              <w:ind w:left="103" w:right="0" w:firstLine="0"/>
              <w:jc w:val="center"/>
              <w:textAlignment w:val="auto"/>
              <w:rPr>
                <w:rFonts w:hint="default" w:ascii="宋体" w:hAnsi="宋体" w:eastAsia="宋体" w:cs="宋体"/>
                <w:color w:val="auto"/>
                <w:sz w:val="21"/>
              </w:rPr>
            </w:pPr>
            <w:r>
              <w:rPr>
                <w:rFonts w:hint="default" w:ascii="宋体" w:hAnsi="宋体" w:eastAsia="宋体" w:cs="宋体"/>
                <w:color w:val="auto"/>
                <w:sz w:val="21"/>
              </w:rPr>
              <w:t>机构</w:t>
            </w:r>
          </w:p>
          <w:p>
            <w:pPr>
              <w:autoSpaceDE w:val="0"/>
              <w:autoSpaceDN w:val="0"/>
              <w:snapToGrid w:val="0"/>
              <w:spacing w:before="146" w:after="0" w:line="263" w:lineRule="exact"/>
              <w:ind w:left="103" w:right="0" w:firstLine="0"/>
              <w:jc w:val="center"/>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ascii="宋体" w:hAnsi="宋体" w:eastAsia="宋体" w:cs="宋体"/>
                <w:color w:val="auto"/>
                <w:sz w:val="21"/>
                <w:lang w:val="en-US" w:eastAsia="zh-CN"/>
              </w:rPr>
              <w:t>10</w:t>
            </w:r>
            <w:r>
              <w:rPr>
                <w:rFonts w:hint="default" w:ascii="宋体" w:hAnsi="宋体" w:eastAsia="宋体" w:cs="宋体"/>
                <w:color w:val="auto"/>
                <w:sz w:val="21"/>
              </w:rPr>
              <w:t>.</w:t>
            </w:r>
          </w:p>
          <w:p>
            <w:pPr>
              <w:autoSpaceDE w:val="0"/>
              <w:autoSpaceDN w:val="0"/>
              <w:snapToGrid w:val="0"/>
              <w:spacing w:before="146" w:after="0" w:line="263" w:lineRule="exact"/>
              <w:ind w:left="103" w:right="0" w:firstLine="0"/>
              <w:jc w:val="center"/>
              <w:textAlignment w:val="auto"/>
              <w:rPr>
                <w:rFonts w:hint="default" w:ascii="宋体" w:hAnsi="宋体" w:eastAsia="宋体" w:cs="宋体"/>
                <w:color w:val="auto"/>
                <w:sz w:val="21"/>
              </w:rPr>
            </w:pPr>
            <w:r>
              <w:rPr>
                <w:rFonts w:hint="default" w:ascii="宋体" w:hAnsi="宋体" w:eastAsia="宋体" w:cs="宋体"/>
                <w:color w:val="auto"/>
                <w:sz w:val="21"/>
              </w:rPr>
              <w:t>0分）</w:t>
            </w:r>
          </w:p>
        </w:tc>
        <w:tc>
          <w:tcPr>
            <w:tcW w:w="1734"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p>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p>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p>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项目经理任职资</w:t>
            </w:r>
          </w:p>
          <w:p>
            <w:pPr>
              <w:autoSpaceDE w:val="0"/>
              <w:autoSpaceDN w:val="0"/>
              <w:snapToGrid w:val="0"/>
              <w:spacing w:before="29"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格与业绩、工</w:t>
            </w:r>
            <w:r>
              <w:rPr>
                <w:rFonts w:hint="default" w:ascii="宋体" w:hAnsi="宋体" w:eastAsia="宋体" w:cs="宋体"/>
                <w:color w:val="auto"/>
                <w:sz w:val="21"/>
              </w:rPr>
              <w:t>作经历等（</w:t>
            </w:r>
            <w:r>
              <w:rPr>
                <w:rFonts w:hint="eastAsia" w:ascii="宋体" w:hAnsi="宋体" w:eastAsia="宋体" w:cs="宋体"/>
                <w:color w:val="auto"/>
                <w:sz w:val="21"/>
                <w:lang w:val="en-US" w:eastAsia="zh-CN"/>
              </w:rPr>
              <w:t>5</w:t>
            </w:r>
            <w:r>
              <w:rPr>
                <w:rFonts w:hint="default" w:ascii="宋体" w:hAnsi="宋体" w:eastAsia="宋体" w:cs="宋体"/>
                <w:color w:val="auto"/>
                <w:sz w:val="21"/>
              </w:rPr>
              <w:t>.0分）</w:t>
            </w:r>
          </w:p>
        </w:tc>
        <w:tc>
          <w:tcPr>
            <w:tcW w:w="5172" w:type="dxa"/>
            <w:vAlign w:val="top"/>
          </w:tcPr>
          <w:p>
            <w:pPr>
              <w:autoSpaceDE w:val="0"/>
              <w:autoSpaceDN w:val="0"/>
              <w:snapToGrid w:val="0"/>
              <w:spacing w:before="91" w:after="0" w:line="408" w:lineRule="exact"/>
              <w:ind w:left="103" w:right="46"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拟派任项目经理(或注册建造师)必须与资格审查合格通过的项目经理(或注册建造师)在名称、专业、资格等级等方面一致。项目经理(</w:t>
            </w:r>
            <w:r>
              <w:rPr>
                <w:rFonts w:hint="eastAsia" w:ascii="宋体" w:hAnsi="宋体" w:eastAsia="宋体" w:cs="宋体"/>
                <w:color w:val="auto"/>
                <w:sz w:val="21"/>
                <w:lang w:val="en-US" w:eastAsia="zh-CN"/>
              </w:rPr>
              <w:t>5</w:t>
            </w:r>
            <w:r>
              <w:rPr>
                <w:rFonts w:hint="default" w:ascii="宋体" w:hAnsi="宋体" w:eastAsia="宋体" w:cs="宋体"/>
                <w:color w:val="auto"/>
                <w:sz w:val="21"/>
              </w:rPr>
              <w:t>分)</w:t>
            </w:r>
            <w:r>
              <w:rPr>
                <w:rFonts w:hint="eastAsia" w:ascii="宋体" w:hAnsi="宋体" w:eastAsia="宋体" w:cs="宋体"/>
                <w:color w:val="auto"/>
                <w:sz w:val="21"/>
                <w:lang w:eastAsia="zh-CN"/>
              </w:rPr>
              <w:t>：</w:t>
            </w:r>
            <w:r>
              <w:rPr>
                <w:rFonts w:hint="default" w:ascii="宋体" w:hAnsi="宋体" w:eastAsia="宋体" w:cs="宋体"/>
                <w:color w:val="auto"/>
                <w:sz w:val="21"/>
              </w:rPr>
              <w:t xml:space="preserve"> (1) </w:t>
            </w:r>
            <w:r>
              <w:rPr>
                <w:rFonts w:hint="default" w:ascii="宋体" w:hAnsi="宋体" w:eastAsia="宋体" w:cs="宋体"/>
                <w:b/>
                <w:bCs/>
                <w:color w:val="auto"/>
                <w:sz w:val="21"/>
              </w:rPr>
              <w:t>项目经理执业资格(</w:t>
            </w:r>
            <w:r>
              <w:rPr>
                <w:rFonts w:hint="eastAsia" w:ascii="宋体" w:hAnsi="宋体" w:eastAsia="宋体" w:cs="宋体"/>
                <w:b/>
                <w:bCs/>
                <w:color w:val="auto"/>
                <w:sz w:val="21"/>
                <w:lang w:val="en-US" w:eastAsia="zh-CN"/>
              </w:rPr>
              <w:t>3</w:t>
            </w:r>
            <w:r>
              <w:rPr>
                <w:rFonts w:hint="default" w:ascii="宋体" w:hAnsi="宋体" w:eastAsia="宋体" w:cs="宋体"/>
                <w:b/>
                <w:bCs/>
                <w:color w:val="auto"/>
                <w:sz w:val="21"/>
              </w:rPr>
              <w:t>分)</w:t>
            </w:r>
            <w:r>
              <w:rPr>
                <w:rFonts w:hint="default" w:ascii="宋体" w:hAnsi="宋体" w:eastAsia="宋体" w:cs="宋体"/>
                <w:color w:val="auto"/>
                <w:sz w:val="21"/>
              </w:rPr>
              <w:t>拟派往本项目的项目经理具备市政公用工程专业贰级注册建造师的得</w:t>
            </w:r>
            <w:r>
              <w:rPr>
                <w:rFonts w:hint="eastAsia" w:ascii="宋体" w:hAnsi="宋体" w:eastAsia="宋体" w:cs="宋体"/>
                <w:color w:val="auto"/>
                <w:sz w:val="21"/>
                <w:lang w:val="en-US" w:eastAsia="zh-CN"/>
              </w:rPr>
              <w:t>2</w:t>
            </w:r>
            <w:r>
              <w:rPr>
                <w:rFonts w:hint="default" w:ascii="宋体" w:hAnsi="宋体" w:eastAsia="宋体" w:cs="宋体"/>
                <w:color w:val="auto"/>
                <w:sz w:val="21"/>
              </w:rPr>
              <w:t>分</w:t>
            </w:r>
            <w:r>
              <w:rPr>
                <w:rFonts w:hint="eastAsia" w:ascii="宋体" w:hAnsi="宋体" w:eastAsia="宋体" w:cs="宋体"/>
                <w:color w:val="auto"/>
                <w:sz w:val="21"/>
                <w:lang w:eastAsia="zh-CN"/>
              </w:rPr>
              <w:t>；</w:t>
            </w:r>
            <w:r>
              <w:rPr>
                <w:rFonts w:hint="default" w:ascii="宋体" w:hAnsi="宋体" w:eastAsia="宋体" w:cs="宋体"/>
                <w:color w:val="auto"/>
                <w:sz w:val="21"/>
              </w:rPr>
              <w:t>具备市政公用工程专业壹级注册建造师的得</w:t>
            </w:r>
            <w:r>
              <w:rPr>
                <w:rFonts w:hint="eastAsia" w:ascii="宋体" w:hAnsi="宋体" w:eastAsia="宋体" w:cs="宋体"/>
                <w:color w:val="auto"/>
                <w:sz w:val="21"/>
                <w:lang w:val="en-US" w:eastAsia="zh-CN"/>
              </w:rPr>
              <w:t>3</w:t>
            </w:r>
            <w:r>
              <w:rPr>
                <w:rFonts w:hint="default" w:ascii="宋体" w:hAnsi="宋体" w:eastAsia="宋体" w:cs="宋体"/>
                <w:color w:val="auto"/>
                <w:sz w:val="21"/>
              </w:rPr>
              <w:t>分。</w:t>
            </w:r>
            <w:r>
              <w:rPr>
                <w:rFonts w:hint="default" w:ascii="宋体" w:hAnsi="宋体" w:eastAsia="宋体" w:cs="宋体"/>
                <w:b/>
                <w:bCs/>
                <w:color w:val="auto"/>
                <w:sz w:val="21"/>
              </w:rPr>
              <w:t>(2) 项目经理职称(</w:t>
            </w:r>
            <w:r>
              <w:rPr>
                <w:rFonts w:hint="eastAsia" w:ascii="宋体" w:hAnsi="宋体" w:eastAsia="宋体" w:cs="宋体"/>
                <w:b/>
                <w:bCs/>
                <w:color w:val="auto"/>
                <w:sz w:val="21"/>
                <w:lang w:val="en-US" w:eastAsia="zh-CN"/>
              </w:rPr>
              <w:t>2</w:t>
            </w:r>
            <w:r>
              <w:rPr>
                <w:rFonts w:hint="default" w:ascii="宋体" w:hAnsi="宋体" w:eastAsia="宋体" w:cs="宋体"/>
                <w:b/>
                <w:bCs/>
                <w:color w:val="auto"/>
                <w:sz w:val="21"/>
              </w:rPr>
              <w:t>分)</w:t>
            </w:r>
            <w:r>
              <w:rPr>
                <w:rFonts w:hint="default" w:ascii="宋体" w:hAnsi="宋体" w:eastAsia="宋体" w:cs="宋体"/>
                <w:color w:val="auto"/>
                <w:sz w:val="21"/>
              </w:rPr>
              <w:t>拟派往本项目的项目经理具备初级职称的得</w:t>
            </w:r>
            <w:r>
              <w:rPr>
                <w:rFonts w:hint="eastAsia" w:ascii="宋体" w:hAnsi="宋体" w:eastAsia="宋体" w:cs="宋体"/>
                <w:color w:val="auto"/>
                <w:sz w:val="21"/>
                <w:lang w:val="en-US" w:eastAsia="zh-CN"/>
              </w:rPr>
              <w:t>1</w:t>
            </w:r>
            <w:r>
              <w:rPr>
                <w:rFonts w:hint="default" w:ascii="宋体" w:hAnsi="宋体" w:eastAsia="宋体" w:cs="宋体"/>
                <w:color w:val="auto"/>
                <w:sz w:val="21"/>
              </w:rPr>
              <w:t>分，中级及以上职称的得</w:t>
            </w:r>
            <w:r>
              <w:rPr>
                <w:rFonts w:hint="eastAsia" w:ascii="宋体" w:hAnsi="宋体" w:eastAsia="宋体" w:cs="宋体"/>
                <w:color w:val="auto"/>
                <w:sz w:val="21"/>
                <w:lang w:val="en-US" w:eastAsia="zh-CN"/>
              </w:rPr>
              <w:t>2</w:t>
            </w:r>
            <w:r>
              <w:rPr>
                <w:rFonts w:hint="default" w:ascii="宋体" w:hAnsi="宋体" w:eastAsia="宋体" w:cs="宋体"/>
                <w:color w:val="auto"/>
                <w:sz w:val="21"/>
              </w:rPr>
              <w:t>分。</w:t>
            </w:r>
          </w:p>
          <w:p>
            <w:pPr>
              <w:autoSpaceDE w:val="0"/>
              <w:autoSpaceDN w:val="0"/>
              <w:snapToGrid w:val="0"/>
              <w:spacing w:before="91" w:after="0" w:line="408" w:lineRule="exact"/>
              <w:ind w:left="103" w:right="46"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63" w:hRule="exact"/>
        </w:trPr>
        <w:tc>
          <w:tcPr>
            <w:tcW w:w="932"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6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34" w:type="dxa"/>
            <w:vAlign w:val="top"/>
          </w:tcPr>
          <w:p>
            <w:pPr>
              <w:autoSpaceDE w:val="0"/>
              <w:autoSpaceDN w:val="0"/>
              <w:snapToGrid w:val="0"/>
              <w:spacing w:before="1112" w:after="0" w:line="409" w:lineRule="exact"/>
              <w:ind w:left="103" w:right="364"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其</w:t>
            </w:r>
            <w:r>
              <w:rPr>
                <w:rFonts w:hint="default" w:ascii="宋体" w:hAnsi="宋体" w:eastAsia="宋体" w:cs="宋体"/>
                <w:color w:val="auto"/>
                <w:spacing w:val="-1"/>
                <w:sz w:val="21"/>
              </w:rPr>
              <w:t>他主要人</w:t>
            </w:r>
            <w:r>
              <w:rPr>
                <w:rFonts w:hint="default" w:ascii="宋体" w:hAnsi="宋体" w:eastAsia="宋体" w:cs="宋体"/>
                <w:color w:val="auto"/>
                <w:sz w:val="21"/>
              </w:rPr>
              <w:t>员（</w:t>
            </w:r>
            <w:r>
              <w:rPr>
                <w:rFonts w:hint="eastAsia" w:ascii="宋体" w:hAnsi="宋体" w:eastAsia="宋体" w:cs="宋体"/>
                <w:color w:val="auto"/>
                <w:sz w:val="21"/>
                <w:lang w:val="en-US" w:eastAsia="zh-CN"/>
              </w:rPr>
              <w:t>5</w:t>
            </w:r>
            <w:r>
              <w:rPr>
                <w:rFonts w:hint="default" w:ascii="宋体" w:hAnsi="宋体" w:eastAsia="宋体" w:cs="宋体"/>
                <w:color w:val="auto"/>
                <w:sz w:val="21"/>
              </w:rPr>
              <w:t>.</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72" w:type="dxa"/>
            <w:vAlign w:val="top"/>
          </w:tcPr>
          <w:p>
            <w:pPr>
              <w:autoSpaceDE w:val="0"/>
              <w:autoSpaceDN w:val="0"/>
              <w:snapToGrid w:val="0"/>
              <w:spacing w:before="0" w:after="0" w:line="408" w:lineRule="exact"/>
              <w:ind w:left="103" w:right="226" w:firstLine="0"/>
              <w:jc w:val="both"/>
              <w:textAlignment w:val="auto"/>
              <w:rPr>
                <w:rFonts w:hint="default" w:ascii="宋体" w:hAnsi="宋体" w:eastAsia="宋体" w:cs="宋体"/>
                <w:color w:val="auto"/>
                <w:sz w:val="21"/>
              </w:rPr>
            </w:pPr>
            <w:r>
              <w:rPr>
                <w:rFonts w:hint="default" w:ascii="宋体" w:hAnsi="宋体" w:eastAsia="宋体" w:cs="宋体"/>
                <w:color w:val="auto"/>
                <w:sz w:val="21"/>
              </w:rPr>
              <w:t xml:space="preserve">基本要求:人员齐备、专业配套应与资格审查提供的人员配备相一致，且具备相关岗位证书(拟派驻本项目的技术负责人应具有中级及以上职称证件，安全员、施工员、质量员、材料员应具有相应岗位资格证书，且拟投入的项目管理人员符合国家及广西壮族自治区的规定) </w:t>
            </w:r>
            <w:r>
              <w:rPr>
                <w:rFonts w:hint="eastAsia" w:ascii="宋体" w:hAnsi="宋体" w:eastAsia="宋体" w:cs="宋体"/>
                <w:color w:val="auto"/>
                <w:sz w:val="21"/>
                <w:lang w:eastAsia="zh-CN"/>
              </w:rPr>
              <w:t>要求得</w:t>
            </w:r>
            <w:r>
              <w:rPr>
                <w:rFonts w:hint="eastAsia" w:ascii="宋体" w:hAnsi="宋体" w:eastAsia="宋体" w:cs="宋体"/>
                <w:color w:val="auto"/>
                <w:sz w:val="21"/>
                <w:lang w:val="en-US" w:eastAsia="zh-CN"/>
              </w:rPr>
              <w:t>5分</w:t>
            </w:r>
            <w:r>
              <w:rPr>
                <w:rFonts w:hint="default" w:ascii="宋体" w:hAnsi="宋体" w:eastAsia="宋体" w:cs="宋体"/>
                <w:color w:val="auto"/>
                <w:sz w:val="21"/>
              </w:rPr>
              <w:t>。</w:t>
            </w:r>
          </w:p>
          <w:p>
            <w:pPr>
              <w:autoSpaceDE w:val="0"/>
              <w:autoSpaceDN w:val="0"/>
              <w:snapToGrid w:val="0"/>
              <w:spacing w:before="0" w:after="0" w:line="408" w:lineRule="exact"/>
              <w:ind w:right="226"/>
              <w:jc w:val="both"/>
              <w:textAlignment w:val="auto"/>
              <w:rPr>
                <w:rFonts w:hint="default" w:ascii="宋体" w:hAnsi="宋体" w:eastAsia="宋体" w:cs="宋体"/>
                <w:color w:val="auto"/>
                <w:sz w:val="21"/>
              </w:rPr>
            </w:pPr>
          </w:p>
        </w:tc>
      </w:tr>
    </w:tbl>
    <w:p>
      <w:pPr>
        <w:numPr>
          <w:ilvl w:val="0"/>
          <w:numId w:val="33"/>
        </w:numPr>
        <w:autoSpaceDE w:val="0"/>
        <w:autoSpaceDN w:val="0"/>
        <w:snapToGrid w:val="0"/>
        <w:spacing w:before="309" w:after="0" w:line="240" w:lineRule="auto"/>
        <w:ind w:left="-66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p>
    <w:tbl>
      <w:tblPr>
        <w:tblStyle w:val="6"/>
        <w:tblW w:w="10131" w:type="dxa"/>
        <w:tblInd w:w="-118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14"/>
        <w:gridCol w:w="1108"/>
        <w:gridCol w:w="1635"/>
        <w:gridCol w:w="1405"/>
        <w:gridCol w:w="516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814"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35" w:type="dxa"/>
            <w:vMerge w:val="restart"/>
            <w:vAlign w:val="top"/>
          </w:tcPr>
          <w:p>
            <w:pPr>
              <w:autoSpaceDE w:val="0"/>
              <w:autoSpaceDN w:val="0"/>
              <w:snapToGrid w:val="0"/>
              <w:spacing w:before="575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施工组织设计（30.0分）</w:t>
            </w:r>
          </w:p>
        </w:tc>
        <w:tc>
          <w:tcPr>
            <w:tcW w:w="1405" w:type="dxa"/>
            <w:vAlign w:val="top"/>
          </w:tcPr>
          <w:p>
            <w:pPr>
              <w:autoSpaceDE w:val="0"/>
              <w:autoSpaceDN w:val="0"/>
              <w:snapToGrid w:val="0"/>
              <w:spacing w:before="295" w:after="0" w:line="408" w:lineRule="exact"/>
              <w:ind w:left="103" w:right="364"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主</w:t>
            </w:r>
            <w:r>
              <w:rPr>
                <w:rFonts w:hint="default" w:ascii="宋体" w:hAnsi="宋体" w:eastAsia="宋体" w:cs="宋体"/>
                <w:color w:val="auto"/>
                <w:spacing w:val="-1"/>
                <w:sz w:val="21"/>
              </w:rPr>
              <w:t>要施工方</w:t>
            </w:r>
            <w:r>
              <w:rPr>
                <w:rFonts w:hint="default" w:ascii="宋体" w:hAnsi="宋体" w:eastAsia="宋体" w:cs="宋体"/>
                <w:color w:val="auto"/>
                <w:sz w:val="21"/>
              </w:rPr>
              <w:t>法（3.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各主要分部施工方法符合项目实际，须有详尽的施工</w:t>
            </w:r>
          </w:p>
          <w:p>
            <w:pPr>
              <w:autoSpaceDE w:val="0"/>
              <w:autoSpaceDN w:val="0"/>
              <w:snapToGrid w:val="0"/>
              <w:spacing w:before="29" w:after="0" w:line="408" w:lineRule="exact"/>
              <w:ind w:left="103" w:right="226" w:firstLine="0"/>
              <w:jc w:val="both"/>
              <w:textAlignment w:val="auto"/>
              <w:rPr>
                <w:rFonts w:hint="default" w:ascii="宋体" w:hAnsi="宋体" w:eastAsia="宋体" w:cs="宋体"/>
                <w:b/>
                <w:color w:val="auto"/>
                <w:sz w:val="21"/>
              </w:rPr>
            </w:pPr>
            <w:r>
              <w:rPr>
                <w:rFonts w:hint="default" w:ascii="宋体" w:hAnsi="宋体" w:eastAsia="宋体" w:cs="宋体"/>
                <w:color w:val="auto"/>
                <w:spacing w:val="-1"/>
                <w:sz w:val="21"/>
              </w:rPr>
              <w:t>技术方案，工</w:t>
            </w:r>
            <w:r>
              <w:rPr>
                <w:rFonts w:hint="default" w:ascii="宋体" w:hAnsi="宋体" w:eastAsia="宋体" w:cs="宋体"/>
                <w:color w:val="auto"/>
                <w:sz w:val="21"/>
              </w:rPr>
              <w:t>艺先进、方法科学合理、可行，能指导具体施工并确保安全。</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91"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拟投入的主要</w:t>
            </w:r>
            <w:r>
              <w:rPr>
                <w:rFonts w:hint="default" w:ascii="宋体" w:hAnsi="宋体" w:eastAsia="宋体" w:cs="宋体"/>
                <w:color w:val="auto"/>
                <w:sz w:val="21"/>
              </w:rPr>
              <w:t>物资计划（3.0分）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投入的施工材料有详细的组织计划且计划周密，数</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量、选型配置、进场时间安排合理，满足施工需要。</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91" w:after="0" w:line="409"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拟投入的主要施工机械、设备计划（3.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投入的施工机械、设备、机具有详细的组织计划且计</w:t>
            </w:r>
          </w:p>
          <w:p>
            <w:pPr>
              <w:autoSpaceDE w:val="0"/>
              <w:autoSpaceDN w:val="0"/>
              <w:snapToGrid w:val="0"/>
              <w:spacing w:before="29" w:after="0" w:line="408"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划周密，设备数量、选型配置、进场时间安排合理，满足施工需要。</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分；二档：1.0-1.9</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644"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295"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劳动力安排计</w:t>
            </w:r>
            <w:r>
              <w:rPr>
                <w:rFonts w:hint="default" w:ascii="宋体" w:hAnsi="宋体" w:eastAsia="宋体" w:cs="宋体"/>
                <w:color w:val="auto"/>
                <w:sz w:val="21"/>
              </w:rPr>
              <w:t>划（3.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各主要施工工序应有详细周密的劳动力安排计划，有</w:t>
            </w:r>
          </w:p>
          <w:p>
            <w:pPr>
              <w:autoSpaceDE w:val="0"/>
              <w:autoSpaceDN w:val="0"/>
              <w:snapToGrid w:val="0"/>
              <w:spacing w:before="29" w:after="0" w:line="409" w:lineRule="exact"/>
              <w:ind w:left="103" w:right="226" w:firstLine="0"/>
              <w:jc w:val="both"/>
              <w:textAlignment w:val="auto"/>
              <w:rPr>
                <w:rFonts w:hint="default" w:ascii="宋体" w:hAnsi="宋体" w:eastAsia="宋体" w:cs="宋体"/>
                <w:b/>
                <w:color w:val="auto"/>
                <w:sz w:val="21"/>
              </w:rPr>
            </w:pPr>
            <w:r>
              <w:rPr>
                <w:rFonts w:hint="default" w:ascii="宋体" w:hAnsi="宋体" w:eastAsia="宋体" w:cs="宋体"/>
                <w:color w:val="auto"/>
                <w:spacing w:val="-1"/>
                <w:sz w:val="21"/>
              </w:rPr>
              <w:t>各工种劳动力</w:t>
            </w:r>
            <w:r>
              <w:rPr>
                <w:rFonts w:hint="default" w:ascii="宋体" w:hAnsi="宋体" w:eastAsia="宋体" w:cs="宋体"/>
                <w:color w:val="auto"/>
                <w:sz w:val="21"/>
              </w:rPr>
              <w:t>安排计划，劳动力投入合理，满足施工需要。</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295"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确保工程质量</w:t>
            </w:r>
            <w:r>
              <w:rPr>
                <w:rFonts w:hint="default" w:ascii="宋体" w:hAnsi="宋体" w:eastAsia="宋体" w:cs="宋体"/>
                <w:color w:val="auto"/>
                <w:sz w:val="21"/>
              </w:rPr>
              <w:t>的技术组织措施</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应有专门的质量技术管理班子和制度，且人员配备合</w:t>
            </w:r>
          </w:p>
          <w:p>
            <w:pPr>
              <w:autoSpaceDE w:val="0"/>
              <w:autoSpaceDN w:val="0"/>
              <w:snapToGrid w:val="0"/>
              <w:spacing w:before="29" w:after="0" w:line="409"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理，制度健全。主要工序应有质量技术保证措施和手段，自控体系完整，能有效保证技术质量，达到承诺的质量标准。</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分；二档：1.0-1.9</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295"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确保安全生产</w:t>
            </w:r>
            <w:r>
              <w:rPr>
                <w:rFonts w:hint="default" w:ascii="宋体" w:hAnsi="宋体" w:eastAsia="宋体" w:cs="宋体"/>
                <w:color w:val="auto"/>
                <w:sz w:val="21"/>
              </w:rPr>
              <w:t>的技术组织措施</w:t>
            </w:r>
          </w:p>
          <w:p>
            <w:pPr>
              <w:autoSpaceDE w:val="0"/>
              <w:autoSpaceDN w:val="0"/>
              <w:snapToGrid w:val="0"/>
              <w:spacing w:before="11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应有专门的安全管理人员和制度，且人员配备合理，</w:t>
            </w:r>
          </w:p>
          <w:p>
            <w:pPr>
              <w:autoSpaceDE w:val="0"/>
              <w:autoSpaceDN w:val="0"/>
              <w:snapToGrid w:val="0"/>
              <w:spacing w:before="29" w:after="0" w:line="409"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制度健全，各道工序安全技术措施针对性强，符合实际且满足有关安全技术标准要求。现场防火、应急救援、社会治安安全措施得力。</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421"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499" w:after="0" w:line="409" w:lineRule="exact"/>
              <w:ind w:left="103" w:right="79"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确保工期的技术组织措施（3.0 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在施工工艺、施工方法、材料选用、劳动力安排、技</w:t>
            </w:r>
          </w:p>
          <w:p>
            <w:pPr>
              <w:autoSpaceDE w:val="0"/>
              <w:autoSpaceDN w:val="0"/>
              <w:snapToGrid w:val="0"/>
              <w:spacing w:before="29" w:after="0" w:line="409" w:lineRule="exact"/>
              <w:ind w:left="103" w:right="46"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术等方面有保证工期的具体措施且措施得当。有控制工期的施工进度计划。应有施工总进度表或施工网络图，各项计划图表编制完善，安排科学合理，符合本项目施工实际要求。</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91"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确保文明施工的技术组织措施</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针对本工程项目特点，应有现场文明施工、环境保护</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措施，且措施内容应达到《建筑施工安全生产检查标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2053" w:hRule="exact"/>
        </w:trPr>
        <w:tc>
          <w:tcPr>
            <w:tcW w:w="814"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35"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05"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准》（JGJ59-2011）合格标准并符合《广西壮族自治</w:t>
            </w:r>
          </w:p>
          <w:p>
            <w:pPr>
              <w:autoSpaceDE w:val="0"/>
              <w:autoSpaceDN w:val="0"/>
              <w:snapToGrid w:val="0"/>
              <w:spacing w:before="29" w:after="0" w:line="408" w:lineRule="exact"/>
              <w:ind w:left="103" w:right="22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区建筑工程文</w:t>
            </w:r>
            <w:r>
              <w:rPr>
                <w:rFonts w:hint="default" w:ascii="宋体" w:hAnsi="宋体" w:eastAsia="宋体" w:cs="宋体"/>
                <w:color w:val="auto"/>
                <w:sz w:val="21"/>
              </w:rPr>
              <w:t>明施工导则》要求。各项措施周全、具体、有效。有具体实现现场文明施工目标的承诺。</w:t>
            </w:r>
          </w:p>
          <w:p>
            <w:pPr>
              <w:autoSpaceDE w:val="0"/>
              <w:autoSpaceDN w:val="0"/>
              <w:snapToGrid w:val="0"/>
              <w:spacing w:before="117"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25"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工程施工的重点</w:t>
            </w:r>
            <w:r>
              <w:rPr>
                <w:rFonts w:hint="default" w:ascii="宋体" w:hAnsi="宋体" w:eastAsia="宋体" w:cs="宋体"/>
                <w:color w:val="auto"/>
                <w:spacing w:val="-1"/>
                <w:sz w:val="21"/>
              </w:rPr>
              <w:t>和难点及保证</w:t>
            </w:r>
            <w:r>
              <w:rPr>
                <w:rFonts w:hint="default" w:ascii="宋体" w:hAnsi="宋体" w:eastAsia="宋体" w:cs="宋体"/>
                <w:color w:val="auto"/>
                <w:sz w:val="21"/>
              </w:rPr>
              <w:t>措施（3.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针对本工程的特点，阐述本工程的重点和难点，解决</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重点和难点问题的方法是否合理。</w:t>
            </w:r>
            <w:r>
              <w:rPr>
                <w:rFonts w:hint="default" w:ascii="宋体" w:hAnsi="宋体" w:eastAsia="宋体" w:cs="宋体"/>
                <w:b/>
                <w:color w:val="auto"/>
                <w:sz w:val="21"/>
              </w:rPr>
              <w:t>（一档：2.0-3.0</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分；二档：1.0-1.</w:t>
            </w:r>
            <w:r>
              <w:rPr>
                <w:rFonts w:hint="default" w:ascii="宋体" w:hAnsi="宋体" w:eastAsia="宋体" w:cs="宋体"/>
                <w:b/>
                <w:color w:val="auto"/>
                <w:spacing w:val="53"/>
                <w:sz w:val="21"/>
              </w:rPr>
              <w:t>9</w:t>
            </w: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455"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91" w:after="0" w:line="409" w:lineRule="exact"/>
              <w:ind w:left="103" w:right="15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施工总平面布</w:t>
            </w:r>
            <w:r>
              <w:rPr>
                <w:rFonts w:hint="default" w:ascii="宋体" w:hAnsi="宋体" w:eastAsia="宋体" w:cs="宋体"/>
                <w:color w:val="auto"/>
                <w:sz w:val="21"/>
              </w:rPr>
              <w:t>置图（3.</w:t>
            </w:r>
            <w:r>
              <w:rPr>
                <w:rFonts w:hint="default" w:ascii="宋体" w:hAnsi="宋体" w:eastAsia="宋体" w:cs="宋体"/>
                <w:color w:val="auto"/>
                <w:spacing w:val="53"/>
                <w:sz w:val="21"/>
              </w:rPr>
              <w:t>0</w:t>
            </w:r>
            <w:r>
              <w:rPr>
                <w:rFonts w:hint="default" w:ascii="宋体" w:hAnsi="宋体" w:eastAsia="宋体" w:cs="宋体"/>
                <w:color w:val="auto"/>
                <w:sz w:val="21"/>
              </w:rPr>
              <w:t>分）</w:t>
            </w:r>
          </w:p>
        </w:tc>
        <w:tc>
          <w:tcPr>
            <w:tcW w:w="5169" w:type="dxa"/>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应有施工总平面布置图，安排科学合理，符合本项目</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color w:val="auto"/>
                <w:sz w:val="21"/>
              </w:rPr>
              <w:t>施工实际要求。</w:t>
            </w:r>
            <w:r>
              <w:rPr>
                <w:rFonts w:hint="default" w:ascii="宋体" w:hAnsi="宋体" w:eastAsia="宋体" w:cs="宋体"/>
                <w:b/>
                <w:color w:val="auto"/>
                <w:sz w:val="21"/>
              </w:rPr>
              <w:t>（一档：2.0-3.</w:t>
            </w:r>
            <w:r>
              <w:rPr>
                <w:rFonts w:hint="default" w:ascii="宋体" w:hAnsi="宋体" w:eastAsia="宋体" w:cs="宋体"/>
                <w:b/>
                <w:color w:val="auto"/>
                <w:spacing w:val="53"/>
                <w:sz w:val="21"/>
              </w:rPr>
              <w:t>0</w:t>
            </w:r>
            <w:r>
              <w:rPr>
                <w:rFonts w:hint="default" w:ascii="宋体" w:hAnsi="宋体" w:eastAsia="宋体" w:cs="宋体"/>
                <w:b/>
                <w:color w:val="auto"/>
                <w:sz w:val="21"/>
              </w:rPr>
              <w:t>分；二档：1.0-1.9</w:t>
            </w:r>
          </w:p>
          <w:p>
            <w:pPr>
              <w:autoSpaceDE w:val="0"/>
              <w:autoSpaceDN w:val="0"/>
              <w:snapToGrid w:val="0"/>
              <w:spacing w:before="146"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分；三档:0-0.</w:t>
            </w:r>
            <w:r>
              <w:rPr>
                <w:rFonts w:hint="default" w:ascii="宋体" w:hAnsi="宋体" w:eastAsia="宋体" w:cs="宋体"/>
                <w:b/>
                <w:color w:val="auto"/>
                <w:spacing w:val="53"/>
                <w:sz w:val="21"/>
              </w:rPr>
              <w:t>9</w:t>
            </w:r>
            <w:r>
              <w:rPr>
                <w:rFonts w:hint="default" w:ascii="宋体" w:hAnsi="宋体" w:eastAsia="宋体" w:cs="宋体"/>
                <w:b/>
                <w:color w:val="auto"/>
                <w:sz w:val="21"/>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0" w:hRule="exact"/>
        </w:trPr>
        <w:tc>
          <w:tcPr>
            <w:tcW w:w="81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108"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635"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b/>
                <w:color w:val="auto"/>
                <w:sz w:val="21"/>
              </w:rPr>
            </w:pPr>
          </w:p>
        </w:tc>
        <w:tc>
          <w:tcPr>
            <w:tcW w:w="1405"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w:t>
            </w:r>
          </w:p>
        </w:tc>
        <w:tc>
          <w:tcPr>
            <w:tcW w:w="5169" w:type="dxa"/>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325" w:hRule="exact"/>
        </w:trPr>
        <w:tc>
          <w:tcPr>
            <w:tcW w:w="814" w:type="dxa"/>
            <w:vAlign w:val="top"/>
          </w:tcPr>
          <w:p>
            <w:pPr>
              <w:autoSpaceDE w:val="0"/>
              <w:autoSpaceDN w:val="0"/>
              <w:snapToGrid w:val="0"/>
              <w:spacing w:before="2405"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2.2.2</w:t>
            </w:r>
          </w:p>
          <w:p>
            <w:pPr>
              <w:autoSpaceDE w:val="0"/>
              <w:autoSpaceDN w:val="0"/>
              <w:snapToGrid w:val="0"/>
              <w:spacing w:before="146"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w:t>
            </w:r>
          </w:p>
        </w:tc>
        <w:tc>
          <w:tcPr>
            <w:tcW w:w="1108" w:type="dxa"/>
            <w:vAlign w:val="top"/>
          </w:tcPr>
          <w:p>
            <w:pPr>
              <w:autoSpaceDE w:val="0"/>
              <w:autoSpaceDN w:val="0"/>
              <w:snapToGrid w:val="0"/>
              <w:spacing w:before="2405" w:after="0" w:line="263" w:lineRule="exact"/>
              <w:ind w:left="15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评标基准价</w:t>
            </w:r>
            <w:r>
              <w:rPr>
                <w:rFonts w:hint="eastAsia" w:ascii="宋体" w:hAnsi="宋体" w:eastAsia="宋体" w:cs="宋体"/>
                <w:color w:val="auto"/>
                <w:sz w:val="21"/>
                <w:lang w:eastAsia="zh-CN"/>
              </w:rPr>
              <w:t>计</w:t>
            </w:r>
            <w:r>
              <w:rPr>
                <w:rFonts w:hint="default" w:ascii="宋体" w:hAnsi="宋体" w:eastAsia="宋体" w:cs="宋体"/>
                <w:color w:val="auto"/>
                <w:sz w:val="21"/>
              </w:rPr>
              <w:t>算</w:t>
            </w:r>
          </w:p>
        </w:tc>
        <w:tc>
          <w:tcPr>
            <w:tcW w:w="8209"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评标基准价的确定方法</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523" w:right="0" w:firstLine="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left="52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（1）有效报价范围：为投标总价低于或等于招标控制价，通过资格评审、形式评审、响应性评审且技术标评审合格，经评标委员会审定不存在严重不平衡、不合理、不低于其企业成本的投标人投标总价。</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103" w:right="276"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（2）将有效</w:t>
            </w:r>
            <w:r>
              <w:rPr>
                <w:rFonts w:hint="default" w:ascii="宋体" w:hAnsi="宋体" w:eastAsia="宋体" w:cs="宋体"/>
                <w:color w:val="auto"/>
                <w:sz w:val="21"/>
              </w:rPr>
              <w:t>报价范围内的投标人，按其投标报价由低到高的顺序依次排出名次。</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52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（3）有效报价的投标人</w:t>
            </w:r>
            <w:r>
              <w:rPr>
                <w:rFonts w:hint="default" w:ascii="宋体" w:hAnsi="宋体" w:eastAsia="宋体" w:cs="宋体"/>
                <w:color w:val="auto"/>
                <w:spacing w:val="26"/>
                <w:sz w:val="21"/>
              </w:rPr>
              <w:t>在</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家以上的，从最高的投标报价开始去</w:t>
            </w:r>
            <w:r>
              <w:rPr>
                <w:rFonts w:hint="default" w:ascii="宋体" w:hAnsi="宋体" w:eastAsia="宋体" w:cs="宋体"/>
                <w:color w:val="auto"/>
                <w:spacing w:val="26"/>
                <w:sz w:val="21"/>
              </w:rPr>
              <w:t>掉</w:t>
            </w:r>
            <w:r>
              <w:rPr>
                <w:rFonts w:hint="default" w:ascii="宋体" w:hAnsi="宋体" w:eastAsia="宋体" w:cs="宋体"/>
                <w:color w:val="auto"/>
                <w:spacing w:val="53"/>
                <w:sz w:val="21"/>
              </w:rPr>
              <w:t>n</w:t>
            </w:r>
            <w:r>
              <w:rPr>
                <w:rFonts w:hint="default" w:ascii="宋体" w:hAnsi="宋体" w:eastAsia="宋体" w:cs="宋体"/>
                <w:color w:val="auto"/>
                <w:sz w:val="21"/>
              </w:rPr>
              <w:t>家投标报价和从最低的投标报价开始去</w:t>
            </w:r>
            <w:r>
              <w:rPr>
                <w:rFonts w:hint="default" w:ascii="宋体" w:hAnsi="宋体" w:eastAsia="宋体" w:cs="宋体"/>
                <w:color w:val="auto"/>
                <w:spacing w:val="26"/>
                <w:sz w:val="21"/>
              </w:rPr>
              <w:t>掉</w:t>
            </w:r>
            <w:r>
              <w:rPr>
                <w:rFonts w:hint="default" w:ascii="宋体" w:hAnsi="宋体" w:eastAsia="宋体" w:cs="宋体"/>
                <w:color w:val="auto"/>
                <w:spacing w:val="53"/>
                <w:sz w:val="21"/>
              </w:rPr>
              <w:t>n</w:t>
            </w:r>
            <w:r>
              <w:rPr>
                <w:rFonts w:hint="default" w:ascii="宋体" w:hAnsi="宋体" w:eastAsia="宋体" w:cs="宋体"/>
                <w:color w:val="auto"/>
                <w:sz w:val="21"/>
              </w:rPr>
              <w:t>家</w:t>
            </w:r>
            <w:r>
              <w:rPr>
                <w:rFonts w:hint="default" w:ascii="宋体" w:hAnsi="宋体" w:eastAsia="宋体" w:cs="宋体"/>
                <w:color w:val="auto"/>
                <w:spacing w:val="26"/>
                <w:sz w:val="21"/>
              </w:rPr>
              <w:t>或</w:t>
            </w:r>
            <w:r>
              <w:rPr>
                <w:rFonts w:hint="default" w:ascii="宋体" w:hAnsi="宋体" w:eastAsia="宋体" w:cs="宋体"/>
                <w:color w:val="auto"/>
                <w:sz w:val="21"/>
              </w:rPr>
              <w:t>n-</w:t>
            </w:r>
            <w:r>
              <w:rPr>
                <w:rFonts w:hint="default" w:ascii="宋体" w:hAnsi="宋体" w:eastAsia="宋体" w:cs="宋体"/>
                <w:color w:val="auto"/>
                <w:spacing w:val="53"/>
                <w:sz w:val="21"/>
              </w:rPr>
              <w:t>1</w:t>
            </w:r>
            <w:r>
              <w:rPr>
                <w:rFonts w:hint="default" w:ascii="宋体" w:hAnsi="宋体" w:eastAsia="宋体" w:cs="宋体"/>
                <w:color w:val="auto"/>
                <w:sz w:val="21"/>
              </w:rPr>
              <w:t>家（有效报价范围内投标人家数为奇数时</w:t>
            </w:r>
            <w:r>
              <w:rPr>
                <w:rFonts w:hint="default" w:ascii="宋体" w:hAnsi="宋体" w:eastAsia="宋体" w:cs="宋体"/>
                <w:color w:val="auto"/>
                <w:spacing w:val="26"/>
                <w:sz w:val="21"/>
              </w:rPr>
              <w:t>取</w:t>
            </w:r>
            <w:r>
              <w:rPr>
                <w:rFonts w:hint="default" w:ascii="宋体" w:hAnsi="宋体" w:eastAsia="宋体" w:cs="宋体"/>
                <w:color w:val="auto"/>
                <w:sz w:val="21"/>
              </w:rPr>
              <w:t>n-</w:t>
            </w:r>
            <w:r>
              <w:rPr>
                <w:rFonts w:hint="default" w:ascii="宋体" w:hAnsi="宋体" w:eastAsia="宋体" w:cs="宋体"/>
                <w:color w:val="auto"/>
                <w:spacing w:val="53"/>
                <w:sz w:val="21"/>
              </w:rPr>
              <w:t>1</w:t>
            </w:r>
            <w:r>
              <w:rPr>
                <w:rFonts w:hint="default" w:ascii="宋体" w:hAnsi="宋体" w:eastAsia="宋体" w:cs="宋体"/>
                <w:color w:val="auto"/>
                <w:sz w:val="21"/>
              </w:rPr>
              <w:t>家）投标报价后（当出现两个或两个以上相同投标报价时，一并去掉），</w:t>
            </w:r>
            <w:r>
              <w:rPr>
                <w:rFonts w:hint="default" w:ascii="宋体" w:hAnsi="宋体" w:eastAsia="宋体" w:cs="宋体"/>
                <w:color w:val="auto"/>
                <w:spacing w:val="26"/>
                <w:sz w:val="21"/>
              </w:rPr>
              <w:t>取</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家（如不</w:t>
            </w:r>
            <w:r>
              <w:rPr>
                <w:rFonts w:hint="default" w:ascii="宋体" w:hAnsi="宋体" w:eastAsia="宋体" w:cs="宋体"/>
                <w:color w:val="auto"/>
                <w:spacing w:val="26"/>
                <w:sz w:val="21"/>
              </w:rPr>
              <w:t>足</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家，按实际家数计取）投标人投标报价进入评标基准价计算范围，再取其中的有效报价的算术平均值作为评标基准价；有效报价的投标人</w:t>
            </w:r>
            <w:r>
              <w:rPr>
                <w:rFonts w:hint="default" w:ascii="宋体" w:hAnsi="宋体" w:eastAsia="宋体" w:cs="宋体"/>
                <w:color w:val="auto"/>
                <w:spacing w:val="26"/>
                <w:sz w:val="21"/>
              </w:rPr>
              <w:t>在</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w:t>
            </w:r>
            <w:r>
              <w:rPr>
                <w:rFonts w:hint="default" w:ascii="宋体" w:hAnsi="宋体" w:eastAsia="宋体" w:cs="宋体"/>
                <w:color w:val="auto"/>
                <w:spacing w:val="26"/>
                <w:sz w:val="21"/>
              </w:rPr>
              <w:t>含</w:t>
            </w:r>
            <w:r>
              <w:rPr>
                <w:rFonts w:hint="default" w:ascii="宋体" w:hAnsi="宋体" w:eastAsia="宋体" w:cs="宋体"/>
                <w:color w:val="auto"/>
                <w:sz w:val="21"/>
              </w:rPr>
              <w:t>1</w:t>
            </w:r>
            <w:r>
              <w:rPr>
                <w:rFonts w:hint="default" w:ascii="宋体" w:hAnsi="宋体" w:eastAsia="宋体" w:cs="宋体"/>
                <w:color w:val="auto"/>
                <w:spacing w:val="53"/>
                <w:sz w:val="21"/>
              </w:rPr>
              <w:t>0</w:t>
            </w:r>
            <w:r>
              <w:rPr>
                <w:rFonts w:hint="default" w:ascii="宋体" w:hAnsi="宋体" w:eastAsia="宋体" w:cs="宋体"/>
                <w:color w:val="auto"/>
                <w:sz w:val="21"/>
              </w:rPr>
              <w:t>家）以下的，将全部有效报价的算术平均值作为评标基准价。n=（有效报价范围的投标人家数－10）/2，</w:t>
            </w:r>
            <w:r>
              <w:rPr>
                <w:rFonts w:hint="default" w:ascii="宋体" w:hAnsi="宋体" w:eastAsia="宋体" w:cs="宋体"/>
                <w:color w:val="auto"/>
                <w:spacing w:val="53"/>
                <w:sz w:val="21"/>
              </w:rPr>
              <w:t>n</w:t>
            </w:r>
            <w:r>
              <w:rPr>
                <w:rFonts w:hint="default" w:ascii="宋体" w:hAnsi="宋体" w:eastAsia="宋体" w:cs="宋体"/>
                <w:color w:val="auto"/>
                <w:sz w:val="21"/>
              </w:rPr>
              <w:t>为四舍五入取整数。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133" w:hRule="exact"/>
        </w:trPr>
        <w:tc>
          <w:tcPr>
            <w:tcW w:w="814" w:type="dxa"/>
            <w:vAlign w:val="top"/>
          </w:tcPr>
          <w:p>
            <w:pPr>
              <w:autoSpaceDE w:val="0"/>
              <w:autoSpaceDN w:val="0"/>
              <w:snapToGrid w:val="0"/>
              <w:spacing w:before="771"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2.2.2</w:t>
            </w:r>
          </w:p>
          <w:p>
            <w:pPr>
              <w:autoSpaceDE w:val="0"/>
              <w:autoSpaceDN w:val="0"/>
              <w:snapToGrid w:val="0"/>
              <w:spacing w:before="146" w:after="0" w:line="263" w:lineRule="exact"/>
              <w:ind w:left="1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p>
        </w:tc>
        <w:tc>
          <w:tcPr>
            <w:tcW w:w="1108" w:type="dxa"/>
            <w:vAlign w:val="top"/>
          </w:tcPr>
          <w:p>
            <w:pPr>
              <w:autoSpaceDE w:val="0"/>
              <w:autoSpaceDN w:val="0"/>
              <w:snapToGrid w:val="0"/>
              <w:spacing w:before="3" w:after="0" w:line="263"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商务标评分标准</w:t>
            </w:r>
          </w:p>
          <w:p>
            <w:pPr>
              <w:autoSpaceDE w:val="0"/>
              <w:autoSpaceDN w:val="0"/>
              <w:snapToGrid w:val="0"/>
              <w:spacing w:before="99" w:after="0" w:line="388"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（满</w:t>
            </w:r>
            <w:r>
              <w:rPr>
                <w:rFonts w:hint="default" w:ascii="宋体" w:hAnsi="宋体" w:eastAsia="宋体" w:cs="宋体"/>
                <w:color w:val="auto"/>
                <w:spacing w:val="26"/>
                <w:position w:val="2"/>
                <w:sz w:val="21"/>
              </w:rPr>
              <w:t>分</w:t>
            </w:r>
            <w:r>
              <w:rPr>
                <w:rFonts w:hint="default" w:ascii="宋体" w:hAnsi="宋体" w:eastAsia="宋体" w:cs="宋体"/>
                <w:color w:val="auto"/>
                <w:sz w:val="21"/>
              </w:rPr>
              <w:t>6</w:t>
            </w:r>
            <w:r>
              <w:rPr>
                <w:rFonts w:hint="eastAsia" w:ascii="宋体" w:hAnsi="宋体" w:eastAsia="宋体" w:cs="宋体"/>
                <w:color w:val="auto"/>
                <w:sz w:val="21"/>
                <w:lang w:val="en-US" w:eastAsia="zh-CN"/>
              </w:rPr>
              <w:t>0</w:t>
            </w:r>
            <w:r>
              <w:rPr>
                <w:rFonts w:hint="default" w:ascii="宋体" w:hAnsi="宋体" w:eastAsia="宋体" w:cs="宋体"/>
                <w:color w:val="auto"/>
                <w:sz w:val="21"/>
              </w:rPr>
              <w:t>.</w:t>
            </w:r>
            <w:r>
              <w:rPr>
                <w:rFonts w:hint="default" w:ascii="宋体" w:hAnsi="宋体" w:eastAsia="宋体" w:cs="宋体"/>
                <w:color w:val="auto"/>
                <w:spacing w:val="52"/>
                <w:sz w:val="21"/>
              </w:rPr>
              <w:t>0</w:t>
            </w:r>
            <w:r>
              <w:rPr>
                <w:rFonts w:hint="default" w:ascii="宋体" w:hAnsi="宋体" w:eastAsia="宋体" w:cs="宋体"/>
                <w:color w:val="auto"/>
                <w:sz w:val="21"/>
              </w:rPr>
              <w:t>分）</w:t>
            </w:r>
          </w:p>
        </w:tc>
        <w:tc>
          <w:tcPr>
            <w:tcW w:w="8209" w:type="dxa"/>
            <w:gridSpan w:val="3"/>
            <w:vAlign w:val="top"/>
          </w:tcPr>
          <w:p>
            <w:pPr>
              <w:autoSpaceDE w:val="0"/>
              <w:autoSpaceDN w:val="0"/>
              <w:snapToGrid w:val="0"/>
              <w:spacing w:before="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b/>
                <w:color w:val="auto"/>
                <w:sz w:val="21"/>
              </w:rPr>
              <w:t>商务标评分标准</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（1）以投标报价的评标基准价为满分，采用内插法计算，投标人报价每高</w:t>
            </w:r>
            <w:r>
              <w:rPr>
                <w:rFonts w:hint="default" w:ascii="宋体" w:hAnsi="宋体" w:eastAsia="宋体" w:cs="宋体"/>
                <w:color w:val="auto"/>
                <w:spacing w:val="-1"/>
                <w:sz w:val="21"/>
              </w:rPr>
              <w:t>于评标基准</w:t>
            </w:r>
            <w:r>
              <w:rPr>
                <w:rFonts w:hint="default" w:ascii="宋体" w:hAnsi="宋体" w:eastAsia="宋体" w:cs="宋体"/>
                <w:color w:val="auto"/>
                <w:spacing w:val="26"/>
                <w:sz w:val="21"/>
              </w:rPr>
              <w:t>价</w:t>
            </w:r>
            <w:r>
              <w:rPr>
                <w:rFonts w:hint="default" w:ascii="宋体" w:hAnsi="宋体" w:eastAsia="宋体" w:cs="宋体"/>
                <w:color w:val="auto"/>
                <w:sz w:val="21"/>
              </w:rPr>
              <w:t>1％的</w:t>
            </w:r>
            <w:r>
              <w:rPr>
                <w:rFonts w:hint="default" w:ascii="宋体" w:hAnsi="宋体" w:eastAsia="宋体" w:cs="宋体"/>
                <w:color w:val="auto"/>
                <w:spacing w:val="26"/>
                <w:sz w:val="21"/>
              </w:rPr>
              <w:t>扣</w:t>
            </w:r>
            <w:r>
              <w:rPr>
                <w:rFonts w:hint="default" w:ascii="宋体" w:hAnsi="宋体" w:eastAsia="宋体" w:cs="宋体"/>
                <w:color w:val="auto"/>
                <w:sz w:val="21"/>
              </w:rPr>
              <w:t>1.</w:t>
            </w:r>
            <w:r>
              <w:rPr>
                <w:rFonts w:hint="default" w:ascii="宋体" w:hAnsi="宋体" w:eastAsia="宋体" w:cs="宋体"/>
                <w:color w:val="auto"/>
                <w:spacing w:val="53"/>
                <w:sz w:val="21"/>
              </w:rPr>
              <w:t>5</w:t>
            </w:r>
            <w:r>
              <w:rPr>
                <w:rFonts w:hint="default" w:ascii="宋体" w:hAnsi="宋体" w:eastAsia="宋体" w:cs="宋体"/>
                <w:color w:val="auto"/>
                <w:sz w:val="21"/>
              </w:rPr>
              <w:t>分，每低于评标基准</w:t>
            </w:r>
            <w:r>
              <w:rPr>
                <w:rFonts w:hint="default" w:ascii="宋体" w:hAnsi="宋体" w:eastAsia="宋体" w:cs="宋体"/>
                <w:color w:val="auto"/>
                <w:spacing w:val="26"/>
                <w:sz w:val="21"/>
              </w:rPr>
              <w:t>价</w:t>
            </w:r>
            <w:r>
              <w:rPr>
                <w:rFonts w:hint="default" w:ascii="宋体" w:hAnsi="宋体" w:eastAsia="宋体" w:cs="宋体"/>
                <w:color w:val="auto"/>
                <w:sz w:val="21"/>
              </w:rPr>
              <w:t>1％的</w:t>
            </w:r>
            <w:r>
              <w:rPr>
                <w:rFonts w:hint="default" w:ascii="宋体" w:hAnsi="宋体" w:eastAsia="宋体" w:cs="宋体"/>
                <w:color w:val="auto"/>
                <w:spacing w:val="26"/>
                <w:sz w:val="21"/>
              </w:rPr>
              <w:t>扣</w:t>
            </w:r>
            <w:r>
              <w:rPr>
                <w:rFonts w:hint="default" w:ascii="宋体" w:hAnsi="宋体" w:eastAsia="宋体" w:cs="宋体"/>
                <w:color w:val="auto"/>
                <w:spacing w:val="53"/>
                <w:sz w:val="21"/>
              </w:rPr>
              <w:t>1</w:t>
            </w:r>
            <w:r>
              <w:rPr>
                <w:rFonts w:hint="default" w:ascii="宋体" w:hAnsi="宋体" w:eastAsia="宋体" w:cs="宋体"/>
                <w:color w:val="auto"/>
                <w:sz w:val="21"/>
              </w:rPr>
              <w:t>分，计算出投标人的投标报价得分。</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default" w:ascii="宋体" w:hAnsi="宋体" w:eastAsia="宋体" w:cs="宋体"/>
                <w:color w:val="auto"/>
                <w:sz w:val="21"/>
              </w:rPr>
            </w:pPr>
            <w:r>
              <w:rPr>
                <w:rFonts w:hint="default" w:ascii="宋体" w:hAnsi="宋体" w:eastAsia="宋体" w:cs="宋体"/>
                <w:color w:val="auto"/>
                <w:sz w:val="21"/>
              </w:rPr>
              <w:t>（2）有效报价投标人的商务标得分=该投标人的投标报价得分。</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eastAsia="zh-CN"/>
              </w:rPr>
              <w:t>（</w:t>
            </w:r>
            <w:r>
              <w:rPr>
                <w:rFonts w:hint="eastAsia" w:ascii="宋体" w:hAnsi="宋体" w:eastAsia="宋体" w:cs="宋体"/>
                <w:color w:val="auto"/>
                <w:sz w:val="21"/>
                <w:lang w:val="en-US" w:eastAsia="zh-CN"/>
              </w:rPr>
              <w:t>3）评审时小型、微型企业产品的价格给予10%的扣除，监狱企业、残疾人福利性单位视同小型、微型企业，其产品在评审时给予相同的价格扣除。</w:t>
            </w: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firstLine="420" w:firstLineChars="200"/>
              <w:jc w:val="left"/>
              <w:textAlignment w:val="auto"/>
              <w:rPr>
                <w:rFonts w:hint="eastAsia" w:ascii="宋体" w:hAnsi="宋体" w:eastAsia="宋体" w:cs="宋体"/>
                <w:color w:val="auto"/>
                <w:sz w:val="21"/>
                <w:lang w:val="en-US" w:eastAsia="zh-CN"/>
              </w:rPr>
            </w:pPr>
            <w:r>
              <w:rPr>
                <w:rFonts w:hint="eastAsia" w:ascii="宋体" w:hAnsi="宋体" w:eastAsia="宋体" w:cs="宋体"/>
                <w:color w:val="auto"/>
                <w:sz w:val="21"/>
                <w:lang w:val="en-US" w:eastAsia="zh-CN"/>
              </w:rPr>
              <w:t>注：认定为小型和微型企业的以国家工信部门出具的证明文件复印件为准，供评标委员会评审。</w:t>
            </w:r>
          </w:p>
          <w:p>
            <w:pPr>
              <w:keepNext w:val="0"/>
              <w:keepLines w:val="0"/>
              <w:pageBreakBefore w:val="0"/>
              <w:widowControl w:val="0"/>
              <w:kinsoku/>
              <w:wordWrap/>
              <w:overflowPunct/>
              <w:topLinePunct w:val="0"/>
              <w:autoSpaceDE w:val="0"/>
              <w:autoSpaceDN w:val="0"/>
              <w:bidi w:val="0"/>
              <w:adjustRightInd/>
              <w:snapToGrid w:val="0"/>
              <w:spacing w:after="0" w:line="460" w:lineRule="exact"/>
              <w:ind w:right="0" w:firstLine="420" w:firstLineChars="200"/>
              <w:jc w:val="left"/>
              <w:textAlignment w:val="auto"/>
              <w:rPr>
                <w:rFonts w:hint="default" w:ascii="宋体" w:hAnsi="宋体" w:eastAsia="宋体" w:cs="宋体"/>
                <w:color w:val="auto"/>
                <w:sz w:val="21"/>
                <w:lang w:val="en-US"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60" w:hRule="exact"/>
        </w:trPr>
        <w:tc>
          <w:tcPr>
            <w:tcW w:w="1922" w:type="dxa"/>
            <w:gridSpan w:val="2"/>
            <w:vAlign w:val="top"/>
          </w:tcPr>
          <w:p>
            <w:pPr>
              <w:autoSpaceDE w:val="0"/>
              <w:autoSpaceDN w:val="0"/>
              <w:snapToGrid w:val="0"/>
              <w:spacing w:before="83" w:after="0" w:line="263" w:lineRule="exact"/>
              <w:ind w:left="50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投标人汇总得分</w:t>
            </w:r>
          </w:p>
        </w:tc>
        <w:tc>
          <w:tcPr>
            <w:tcW w:w="8209" w:type="dxa"/>
            <w:gridSpan w:val="3"/>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投标人汇总得分=该投标人的技术标得分+商务标得分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04" w:hRule="exact"/>
        </w:trPr>
        <w:tc>
          <w:tcPr>
            <w:tcW w:w="814" w:type="dxa"/>
            <w:vAlign w:val="top"/>
          </w:tcPr>
          <w:p>
            <w:pPr>
              <w:autoSpaceDE w:val="0"/>
              <w:autoSpaceDN w:val="0"/>
              <w:snapToGrid w:val="0"/>
              <w:spacing w:before="83" w:after="0" w:line="263" w:lineRule="exact"/>
              <w:ind w:left="40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3</w:t>
            </w:r>
          </w:p>
        </w:tc>
        <w:tc>
          <w:tcPr>
            <w:tcW w:w="1108" w:type="dxa"/>
            <w:vAlign w:val="top"/>
          </w:tcPr>
          <w:p>
            <w:pPr>
              <w:autoSpaceDE w:val="0"/>
              <w:autoSpaceDN w:val="0"/>
              <w:snapToGrid w:val="0"/>
              <w:spacing w:before="83" w:after="0" w:line="263" w:lineRule="exact"/>
              <w:ind w:left="3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评标程序</w:t>
            </w:r>
          </w:p>
        </w:tc>
        <w:tc>
          <w:tcPr>
            <w:tcW w:w="8209" w:type="dxa"/>
            <w:gridSpan w:val="3"/>
            <w:vAlign w:val="top"/>
          </w:tcPr>
          <w:p>
            <w:pPr>
              <w:autoSpaceDE w:val="0"/>
              <w:autoSpaceDN w:val="0"/>
              <w:snapToGrid w:val="0"/>
              <w:spacing w:before="83"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详见本章附</w:t>
            </w:r>
            <w:r>
              <w:rPr>
                <w:rFonts w:hint="default" w:ascii="宋体" w:hAnsi="宋体" w:eastAsia="宋体" w:cs="宋体"/>
                <w:color w:val="auto"/>
                <w:spacing w:val="26"/>
                <w:sz w:val="21"/>
              </w:rPr>
              <w:t>件</w:t>
            </w:r>
            <w:r>
              <w:rPr>
                <w:rFonts w:hint="default" w:ascii="宋体" w:hAnsi="宋体" w:eastAsia="宋体" w:cs="宋体"/>
                <w:color w:val="auto"/>
                <w:sz w:val="21"/>
              </w:rPr>
              <w:t>A：评标详细程序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9" w:hRule="exact"/>
        </w:trPr>
        <w:tc>
          <w:tcPr>
            <w:tcW w:w="814" w:type="dxa"/>
            <w:vAlign w:val="top"/>
          </w:tcPr>
          <w:p>
            <w:pPr>
              <w:autoSpaceDE w:val="0"/>
              <w:autoSpaceDN w:val="0"/>
              <w:snapToGrid w:val="0"/>
              <w:spacing w:before="83" w:after="0" w:line="263" w:lineRule="exact"/>
              <w:ind w:left="194"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3.1.2</w:t>
            </w:r>
          </w:p>
        </w:tc>
        <w:tc>
          <w:tcPr>
            <w:tcW w:w="1108" w:type="dxa"/>
            <w:vAlign w:val="top"/>
          </w:tcPr>
          <w:p>
            <w:pPr>
              <w:autoSpaceDE w:val="0"/>
              <w:autoSpaceDN w:val="0"/>
              <w:snapToGrid w:val="0"/>
              <w:spacing w:before="83" w:after="0" w:line="263" w:lineRule="exact"/>
              <w:ind w:left="152"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否决投标条件</w:t>
            </w:r>
          </w:p>
        </w:tc>
        <w:tc>
          <w:tcPr>
            <w:tcW w:w="8209" w:type="dxa"/>
            <w:gridSpan w:val="3"/>
            <w:vAlign w:val="top"/>
          </w:tcPr>
          <w:p>
            <w:pPr>
              <w:autoSpaceDE w:val="0"/>
              <w:autoSpaceDN w:val="0"/>
              <w:snapToGrid w:val="0"/>
              <w:spacing w:before="83" w:after="0" w:line="263" w:lineRule="exact"/>
              <w:ind w:left="103" w:leftChars="0" w:right="0" w:rightChars="0" w:firstLine="0" w:firstLineChars="0"/>
              <w:jc w:val="left"/>
              <w:textAlignment w:val="auto"/>
              <w:rPr>
                <w:rFonts w:hint="default" w:ascii="宋体" w:hAnsi="宋体" w:eastAsia="宋体" w:cs="宋体"/>
                <w:color w:val="auto"/>
                <w:sz w:val="21"/>
              </w:rPr>
            </w:pPr>
            <w:r>
              <w:rPr>
                <w:rFonts w:hint="default" w:ascii="宋体" w:hAnsi="宋体" w:eastAsia="宋体" w:cs="宋体"/>
                <w:color w:val="auto"/>
                <w:sz w:val="21"/>
              </w:rPr>
              <w:t>详见本章附</w:t>
            </w:r>
            <w:r>
              <w:rPr>
                <w:rFonts w:hint="default" w:ascii="宋体" w:hAnsi="宋体" w:eastAsia="宋体" w:cs="宋体"/>
                <w:color w:val="auto"/>
                <w:spacing w:val="26"/>
                <w:sz w:val="21"/>
              </w:rPr>
              <w:t>件</w:t>
            </w:r>
            <w:r>
              <w:rPr>
                <w:rFonts w:hint="default" w:ascii="宋体" w:hAnsi="宋体" w:eastAsia="宋体" w:cs="宋体"/>
                <w:color w:val="auto"/>
                <w:sz w:val="21"/>
              </w:rPr>
              <w:t>B：否决投标条件</w:t>
            </w:r>
          </w:p>
        </w:tc>
      </w:tr>
    </w:tbl>
    <w:p>
      <w:pPr>
        <w:numPr>
          <w:ilvl w:val="0"/>
          <w:numId w:val="33"/>
        </w:numPr>
        <w:autoSpaceDE w:val="0"/>
        <w:autoSpaceDN w:val="0"/>
        <w:snapToGrid w:val="0"/>
        <w:spacing w:before="393" w:after="0" w:line="240" w:lineRule="auto"/>
        <w:ind w:left="-66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4" w:right="2160" w:bottom="649" w:left="2160" w:header="0" w:footer="567" w:gutter="0"/>
          <w:pgBorders>
            <w:top w:val="none" w:sz="0" w:space="0"/>
            <w:left w:val="none" w:sz="0" w:space="0"/>
            <w:bottom w:val="none" w:sz="0" w:space="0"/>
            <w:right w:val="none" w:sz="0" w:space="0"/>
          </w:pgBorders>
          <w:pgNumType w:fmt="decimal"/>
          <w:cols w:space="720" w:num="1"/>
          <w:docGrid w:linePitch="0" w:charSpace="0"/>
        </w:sectPr>
      </w:pPr>
    </w:p>
    <w:p>
      <w:pPr>
        <w:pStyle w:val="3"/>
        <w:bidi w:val="0"/>
        <w:rPr>
          <w:rFonts w:hint="default"/>
          <w:color w:val="auto"/>
        </w:rPr>
      </w:pPr>
      <w:bookmarkStart w:id="65" w:name="_Toc21824_WPSOffice_Level2"/>
      <w:bookmarkStart w:id="66" w:name="_Toc22941_WPSOffice_Level2"/>
      <w:r>
        <w:rPr>
          <w:rFonts w:hint="default"/>
          <w:color w:val="auto"/>
        </w:rPr>
        <w:t>评标办法（综合评估法）正文部分</w:t>
      </w:r>
      <w:bookmarkEnd w:id="65"/>
      <w:bookmarkEnd w:id="66"/>
    </w:p>
    <w:p>
      <w:pPr>
        <w:numPr>
          <w:ilvl w:val="0"/>
          <w:numId w:val="40"/>
        </w:numPr>
        <w:autoSpaceDE w:val="0"/>
        <w:autoSpaceDN w:val="0"/>
        <w:snapToGrid w:val="0"/>
        <w:spacing w:before="522" w:after="0" w:line="240" w:lineRule="auto"/>
        <w:ind w:left="222" w:right="0" w:hanging="222"/>
        <w:jc w:val="left"/>
        <w:textAlignment w:val="auto"/>
        <w:rPr>
          <w:rFonts w:hint="default" w:ascii="Arial" w:hAnsi="Arial" w:eastAsia="Arial" w:cs="Arial"/>
          <w:b/>
          <w:color w:val="auto"/>
          <w:sz w:val="21"/>
        </w:rPr>
      </w:pPr>
      <w:bookmarkStart w:id="67" w:name="_Toc26038_WPSOffice_Level2"/>
      <w:bookmarkStart w:id="68" w:name="_Toc4774_WPSOffice_Level2"/>
      <w:r>
        <w:rPr>
          <w:rFonts w:hint="default" w:ascii="黑体" w:hAnsi="黑体" w:eastAsia="黑体" w:cs="黑体"/>
          <w:b/>
          <w:color w:val="auto"/>
          <w:sz w:val="21"/>
        </w:rPr>
        <w:t>评标方法</w:t>
      </w:r>
      <w:bookmarkEnd w:id="67"/>
      <w:bookmarkEnd w:id="68"/>
    </w:p>
    <w:p>
      <w:pPr>
        <w:autoSpaceDE w:val="0"/>
        <w:autoSpaceDN w:val="0"/>
        <w:snapToGrid w:val="0"/>
        <w:spacing w:before="274"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本次评标采用综合评估法。评标委员会对满足招标文件实质性要求的投标文件，按照本章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p>
    <w:p>
      <w:pPr>
        <w:autoSpaceDE w:val="0"/>
        <w:autoSpaceDN w:val="0"/>
        <w:snapToGrid w:val="0"/>
        <w:spacing w:before="29" w:after="0" w:line="409"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前附表</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2.1</w:t>
      </w: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评分标准进行打分，并按综合得分由高到低顺序推荐中标候选人，或根据招标人授权直接确定中标人，但投标报价低于其成本的除外。综合评分相等时，以投标报价低的优先；投标价也相等时，以企业用于该项工程投标的资质高的优先；企业用于该项工程投标的资质也相等的，以技术标得分高的优先；技术标得分也相等的，由评标委员会采用记名投票方式确定。</w:t>
      </w:r>
    </w:p>
    <w:p>
      <w:pPr>
        <w:numPr>
          <w:ilvl w:val="0"/>
          <w:numId w:val="40"/>
        </w:numPr>
        <w:autoSpaceDE w:val="0"/>
        <w:autoSpaceDN w:val="0"/>
        <w:snapToGrid w:val="0"/>
        <w:spacing w:before="177" w:after="0" w:line="240" w:lineRule="auto"/>
        <w:ind w:left="222" w:right="0" w:hanging="222"/>
        <w:jc w:val="left"/>
        <w:textAlignment w:val="auto"/>
        <w:rPr>
          <w:rFonts w:hint="default" w:ascii="Arial" w:hAnsi="Arial" w:eastAsia="Arial" w:cs="Arial"/>
          <w:b/>
          <w:color w:val="auto"/>
          <w:sz w:val="21"/>
        </w:rPr>
      </w:pPr>
      <w:bookmarkStart w:id="69" w:name="_Toc32622_WPSOffice_Level2"/>
      <w:bookmarkStart w:id="70" w:name="_Toc30326_WPSOffice_Level2"/>
      <w:r>
        <w:rPr>
          <w:rFonts w:hint="default" w:ascii="黑体" w:hAnsi="黑体" w:eastAsia="黑体" w:cs="黑体"/>
          <w:b/>
          <w:color w:val="auto"/>
          <w:sz w:val="21"/>
        </w:rPr>
        <w:t>评审标准</w:t>
      </w:r>
      <w:bookmarkEnd w:id="69"/>
      <w:bookmarkEnd w:id="70"/>
    </w:p>
    <w:p>
      <w:pPr>
        <w:numPr>
          <w:ilvl w:val="1"/>
          <w:numId w:val="40"/>
        </w:numPr>
        <w:autoSpaceDE w:val="0"/>
        <w:autoSpaceDN w:val="0"/>
        <w:snapToGrid w:val="0"/>
        <w:spacing w:before="274"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初步评审标准</w:t>
      </w:r>
    </w:p>
    <w:p>
      <w:pPr>
        <w:numPr>
          <w:ilvl w:val="2"/>
          <w:numId w:val="40"/>
        </w:numPr>
        <w:autoSpaceDE w:val="0"/>
        <w:autoSpaceDN w:val="0"/>
        <w:snapToGrid w:val="0"/>
        <w:spacing w:before="36"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资格评审标准</w:t>
      </w:r>
      <w:r>
        <w:rPr>
          <w:rFonts w:hint="default" w:ascii="宋体" w:hAnsi="宋体" w:eastAsia="宋体" w:cs="宋体"/>
          <w:color w:val="auto"/>
          <w:sz w:val="21"/>
        </w:rPr>
        <w:t>：见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。所有在投标截止时间前提交投标文件的投标人均有资格参加资格评审。</w:t>
      </w:r>
    </w:p>
    <w:p>
      <w:pPr>
        <w:numPr>
          <w:ilvl w:val="2"/>
          <w:numId w:val="40"/>
        </w:numPr>
        <w:tabs>
          <w:tab w:val="left" w:pos="945"/>
        </w:tabs>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形式评审标准：见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40"/>
        </w:numPr>
        <w:tabs>
          <w:tab w:val="left" w:pos="945"/>
        </w:tabs>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响应性评审标准：见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1"/>
          <w:numId w:val="40"/>
        </w:numPr>
        <w:autoSpaceDE w:val="0"/>
        <w:autoSpaceDN w:val="0"/>
        <w:snapToGrid w:val="0"/>
        <w:spacing w:before="153"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详细评审标准</w:t>
      </w:r>
    </w:p>
    <w:p>
      <w:pPr>
        <w:numPr>
          <w:ilvl w:val="2"/>
          <w:numId w:val="40"/>
        </w:numPr>
        <w:tabs>
          <w:tab w:val="left" w:pos="945"/>
        </w:tabs>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分值构成：见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40"/>
        </w:numPr>
        <w:tabs>
          <w:tab w:val="left" w:pos="945"/>
        </w:tabs>
        <w:autoSpaceDE w:val="0"/>
        <w:autoSpaceDN w:val="0"/>
        <w:snapToGrid w:val="0"/>
        <w:spacing w:before="153"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评分标准</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）技术标评分标准：见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）评标基准价计算方法：见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）商务标评分标准：见</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0"/>
          <w:numId w:val="18"/>
        </w:numPr>
        <w:autoSpaceDE w:val="0"/>
        <w:autoSpaceDN w:val="0"/>
        <w:snapToGrid w:val="0"/>
        <w:spacing w:before="206" w:after="0" w:line="240" w:lineRule="auto"/>
        <w:ind w:left="222" w:right="0" w:hanging="222"/>
        <w:jc w:val="left"/>
        <w:textAlignment w:val="auto"/>
        <w:rPr>
          <w:rFonts w:hint="default" w:ascii="Arial" w:hAnsi="Arial" w:eastAsia="Arial" w:cs="Arial"/>
          <w:b/>
          <w:color w:val="auto"/>
          <w:sz w:val="21"/>
        </w:rPr>
      </w:pPr>
      <w:bookmarkStart w:id="71" w:name="_Toc32175_WPSOffice_Level2"/>
      <w:bookmarkStart w:id="72" w:name="_Toc1772_WPSOffice_Level2"/>
      <w:r>
        <w:rPr>
          <w:rFonts w:hint="default" w:ascii="黑体" w:hAnsi="黑体" w:eastAsia="黑体" w:cs="黑体"/>
          <w:b/>
          <w:color w:val="auto"/>
          <w:sz w:val="21"/>
        </w:rPr>
        <w:t>评标程序</w:t>
      </w:r>
      <w:bookmarkEnd w:id="71"/>
      <w:bookmarkEnd w:id="72"/>
    </w:p>
    <w:p>
      <w:pPr>
        <w:numPr>
          <w:ilvl w:val="1"/>
          <w:numId w:val="41"/>
        </w:numPr>
        <w:autoSpaceDE w:val="0"/>
        <w:autoSpaceDN w:val="0"/>
        <w:snapToGrid w:val="0"/>
        <w:spacing w:before="274"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初步评审</w:t>
      </w:r>
    </w:p>
    <w:p>
      <w:pPr>
        <w:numPr>
          <w:ilvl w:val="2"/>
          <w:numId w:val="41"/>
        </w:numPr>
        <w:autoSpaceDE w:val="0"/>
        <w:autoSpaceDN w:val="0"/>
        <w:snapToGrid w:val="0"/>
        <w:spacing w:before="36"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评标委员会依</w:t>
      </w:r>
      <w:r>
        <w:rPr>
          <w:rFonts w:hint="default" w:ascii="宋体" w:hAnsi="宋体" w:eastAsia="宋体" w:cs="宋体"/>
          <w:color w:val="auto"/>
          <w:sz w:val="21"/>
        </w:rPr>
        <w:t>据本章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款规定的标准对投标文件进行初步评审。有一项不符合评审标准的，作否决投标处理。</w:t>
      </w:r>
    </w:p>
    <w:p>
      <w:pPr>
        <w:numPr>
          <w:ilvl w:val="2"/>
          <w:numId w:val="20"/>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投标人有以下情形之一的，其投标作否决投标处理：</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 xml:space="preserve">1.4.3 </w:t>
      </w:r>
      <w:r>
        <w:rPr>
          <w:rFonts w:hint="default" w:ascii="宋体" w:hAnsi="宋体" w:eastAsia="宋体" w:cs="宋体"/>
          <w:color w:val="auto"/>
          <w:sz w:val="21"/>
        </w:rPr>
        <w:t>项规定的任何一种情形的：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）串通投标或弄虚作假或有其他违法行为的；</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）不按评标委员会要求澄清、说明或补正的。</w:t>
      </w:r>
    </w:p>
    <w:p>
      <w:pPr>
        <w:numPr>
          <w:ilvl w:val="2"/>
          <w:numId w:val="42"/>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投标报价有算</w:t>
      </w:r>
      <w:r>
        <w:rPr>
          <w:rFonts w:hint="default" w:ascii="宋体" w:hAnsi="宋体" w:eastAsia="宋体" w:cs="宋体"/>
          <w:color w:val="auto"/>
          <w:sz w:val="21"/>
        </w:rPr>
        <w:t>术错误的，评标委员会按以下原则对投标报价进行修正，修正的价格经投标人书</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面确认后具有约束力。投标人不接受修正价格的，其投标作否决投标处理。</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）投标文件中的大写金额与小写金额不一致的，以大写金额为准；</w:t>
      </w:r>
    </w:p>
    <w:p>
      <w:pPr>
        <w:autoSpaceDE w:val="0"/>
        <w:autoSpaceDN w:val="0"/>
        <w:snapToGrid w:val="0"/>
        <w:spacing w:before="29"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）总价金</w:t>
      </w:r>
      <w:r>
        <w:rPr>
          <w:rFonts w:hint="default" w:ascii="宋体" w:hAnsi="宋体" w:eastAsia="宋体" w:cs="宋体"/>
          <w:color w:val="auto"/>
          <w:sz w:val="21"/>
        </w:rPr>
        <w:t>额与依据单价计算出的结果不一致的，以单价金额为准修正总价，但单价金额小数点有明显错误的除外。</w:t>
      </w:r>
    </w:p>
    <w:p>
      <w:pPr>
        <w:autoSpaceDE w:val="0"/>
        <w:autoSpaceDN w:val="0"/>
        <w:snapToGrid w:val="0"/>
        <w:spacing w:before="29" w:after="0" w:line="408" w:lineRule="exact"/>
        <w:ind w:left="0" w:right="192" w:firstLine="420"/>
        <w:jc w:val="both"/>
        <w:textAlignment w:val="auto"/>
        <w:rPr>
          <w:rFonts w:hint="default" w:ascii="宋体" w:hAnsi="宋体" w:eastAsia="宋体" w:cs="宋体"/>
          <w:color w:val="auto"/>
          <w:sz w:val="21"/>
        </w:rPr>
      </w:pPr>
    </w:p>
    <w:p>
      <w:pPr>
        <w:numPr>
          <w:ilvl w:val="1"/>
          <w:numId w:val="41"/>
        </w:numPr>
        <w:autoSpaceDE w:val="0"/>
        <w:autoSpaceDN w:val="0"/>
        <w:snapToGrid w:val="0"/>
        <w:spacing w:before="117"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详细评审</w:t>
      </w:r>
    </w:p>
    <w:p>
      <w:pPr>
        <w:autoSpaceDE w:val="0"/>
        <w:autoSpaceDN w:val="0"/>
        <w:snapToGrid w:val="0"/>
        <w:spacing w:before="36"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3.2.1</w:t>
      </w:r>
      <w:r>
        <w:rPr>
          <w:rFonts w:hint="default" w:ascii="Times New Roman" w:hAnsi="Times New Roman" w:eastAsia="Times New Roman" w:cs="Times New Roman"/>
          <w:color w:val="auto"/>
          <w:spacing w:val="29"/>
          <w:sz w:val="21"/>
        </w:rPr>
        <w:t xml:space="preserve"> </w:t>
      </w:r>
      <w:r>
        <w:rPr>
          <w:rFonts w:hint="default" w:ascii="宋体" w:hAnsi="宋体" w:eastAsia="宋体" w:cs="宋体"/>
          <w:color w:val="auto"/>
          <w:spacing w:val="-1"/>
          <w:sz w:val="21"/>
        </w:rPr>
        <w:t>评标委员会按</w:t>
      </w:r>
      <w:r>
        <w:rPr>
          <w:rFonts w:hint="default" w:ascii="宋体" w:hAnsi="宋体" w:eastAsia="宋体" w:cs="宋体"/>
          <w:color w:val="auto"/>
          <w:sz w:val="21"/>
        </w:rPr>
        <w:t>照本章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款规定的量化因素和分值进行打分，并计算出综合评估得分。</w:t>
      </w:r>
    </w:p>
    <w:p>
      <w:pPr>
        <w:numPr>
          <w:ilvl w:val="2"/>
          <w:numId w:val="23"/>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评分分值计算保留小数点后两位，小数点后第三位</w:t>
      </w:r>
      <w:r>
        <w:rPr>
          <w:rFonts w:hint="default" w:ascii="Times New Roman" w:hAnsi="Times New Roman" w:eastAsia="Times New Roman" w:cs="Times New Roman"/>
          <w:color w:val="auto"/>
          <w:sz w:val="21"/>
        </w:rPr>
        <w:t>“</w:t>
      </w:r>
      <w:r>
        <w:rPr>
          <w:rFonts w:hint="default" w:ascii="宋体" w:hAnsi="宋体" w:eastAsia="宋体" w:cs="宋体"/>
          <w:color w:val="auto"/>
          <w:sz w:val="21"/>
        </w:rPr>
        <w:t>四舍五入</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numPr>
          <w:ilvl w:val="2"/>
          <w:numId w:val="23"/>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投标人综合得分（满</w:t>
      </w:r>
      <w:r>
        <w:rPr>
          <w:rFonts w:hint="default" w:ascii="宋体" w:hAnsi="宋体" w:eastAsia="宋体" w:cs="宋体"/>
          <w:color w:val="auto"/>
          <w:spacing w:val="26"/>
          <w:sz w:val="21"/>
        </w:rPr>
        <w:t>分</w:t>
      </w:r>
      <w:r>
        <w:rPr>
          <w:rFonts w:hint="default" w:ascii="Times New Roman" w:hAnsi="Times New Roman" w:eastAsia="Times New Roman" w:cs="Times New Roman"/>
          <w:color w:val="auto"/>
          <w:sz w:val="21"/>
        </w:rPr>
        <w:t>10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商务标分</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技术标分。</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3.2.4</w:t>
      </w:r>
      <w:r>
        <w:rPr>
          <w:rFonts w:hint="default" w:ascii="Times New Roman" w:hAnsi="Times New Roman" w:eastAsia="Times New Roman" w:cs="Times New Roman"/>
          <w:color w:val="auto"/>
          <w:spacing w:val="96"/>
          <w:sz w:val="21"/>
        </w:rPr>
        <w:t xml:space="preserve"> </w:t>
      </w:r>
      <w:r>
        <w:rPr>
          <w:rFonts w:hint="default" w:ascii="宋体" w:hAnsi="宋体" w:eastAsia="宋体" w:cs="宋体"/>
          <w:color w:val="auto"/>
          <w:spacing w:val="-1"/>
          <w:sz w:val="21"/>
        </w:rPr>
        <w:t>评标委员会发</w:t>
      </w:r>
      <w:r>
        <w:rPr>
          <w:rFonts w:hint="default" w:ascii="宋体" w:hAnsi="宋体" w:eastAsia="宋体" w:cs="宋体"/>
          <w:color w:val="auto"/>
          <w:sz w:val="21"/>
        </w:rPr>
        <w:t>现投标人的报价明显低于其他投标报价，或者在设有标底时明显低于标底，使得</w:t>
      </w:r>
    </w:p>
    <w:p>
      <w:pPr>
        <w:autoSpaceDE w:val="0"/>
        <w:autoSpaceDN w:val="0"/>
        <w:snapToGrid w:val="0"/>
        <w:spacing w:before="36" w:after="0" w:line="409"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其投标报价可</w:t>
      </w:r>
      <w:r>
        <w:rPr>
          <w:rFonts w:hint="default" w:ascii="宋体" w:hAnsi="宋体" w:eastAsia="宋体" w:cs="宋体"/>
          <w:color w:val="auto"/>
          <w:sz w:val="21"/>
        </w:rPr>
        <w:t>能低于其个别成本的，应当要求该投标人作出书面说明并提供相应的证明材料。投标人不能合理说明或者不能提供相应证明材料的，由评标委员会认定该投标人以低于成本报价竞标。</w:t>
      </w:r>
    </w:p>
    <w:p>
      <w:pPr>
        <w:numPr>
          <w:ilvl w:val="1"/>
          <w:numId w:val="41"/>
        </w:numPr>
        <w:autoSpaceDE w:val="0"/>
        <w:autoSpaceDN w:val="0"/>
        <w:snapToGrid w:val="0"/>
        <w:spacing w:before="117"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投标文件的澄清和补正</w:t>
      </w:r>
    </w:p>
    <w:p>
      <w:pPr>
        <w:keepNext w:val="0"/>
        <w:keepLines w:val="0"/>
        <w:pageBreakBefore w:val="0"/>
        <w:widowControl w:val="0"/>
        <w:numPr>
          <w:ilvl w:val="2"/>
          <w:numId w:val="43"/>
        </w:numPr>
        <w:kinsoku/>
        <w:wordWrap/>
        <w:overflowPunct/>
        <w:topLinePunct w:val="0"/>
        <w:autoSpaceDE w:val="0"/>
        <w:autoSpaceDN w:val="0"/>
        <w:bidi w:val="0"/>
        <w:adjustRightInd/>
        <w:snapToGrid w:val="0"/>
        <w:spacing w:before="153" w:after="0" w:line="400" w:lineRule="exact"/>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在评标过程中</w:t>
      </w:r>
      <w:r>
        <w:rPr>
          <w:rFonts w:hint="default" w:ascii="宋体" w:hAnsi="宋体" w:eastAsia="宋体" w:cs="宋体"/>
          <w:color w:val="auto"/>
          <w:sz w:val="21"/>
        </w:rPr>
        <w:t>，评标委员会可以书面形式要求投标人对所提交的投标文件中不明确的内容进行</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书面澄清或说明，也可以要求投标人对细微偏差进行补正。澄清、说明和补正必须由评标委员会书面提出、投标人书面答复，否则无效。评标委员会不接受投标人主动提出的澄清、说明或补正。</w:t>
      </w:r>
    </w:p>
    <w:p>
      <w:pPr>
        <w:numPr>
          <w:ilvl w:val="2"/>
          <w:numId w:val="43"/>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澄清、说明和</w:t>
      </w:r>
      <w:r>
        <w:rPr>
          <w:rFonts w:hint="default" w:ascii="宋体" w:hAnsi="宋体" w:eastAsia="宋体" w:cs="宋体"/>
          <w:color w:val="auto"/>
          <w:sz w:val="21"/>
        </w:rPr>
        <w:t>补正不得改变投标文件的实质性内容（算术性错误修正的除外）。投标人的书面</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澄清、说明和补正属于投标文件的组成部分。</w:t>
      </w:r>
    </w:p>
    <w:p>
      <w:pPr>
        <w:numPr>
          <w:ilvl w:val="2"/>
          <w:numId w:val="43"/>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评标委员会对</w:t>
      </w:r>
      <w:r>
        <w:rPr>
          <w:rFonts w:hint="default" w:ascii="宋体" w:hAnsi="宋体" w:eastAsia="宋体" w:cs="宋体"/>
          <w:color w:val="auto"/>
          <w:sz w:val="21"/>
        </w:rPr>
        <w:t>投标人提交的澄清、说明或补正有疑问的，可以要求投标人进一步澄清、说明或</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补正，直至满足评标委员会的要求。</w:t>
      </w:r>
    </w:p>
    <w:p>
      <w:pPr>
        <w:numPr>
          <w:ilvl w:val="2"/>
          <w:numId w:val="43"/>
        </w:numPr>
        <w:autoSpaceDE w:val="0"/>
        <w:autoSpaceDN w:val="0"/>
        <w:snapToGrid w:val="0"/>
        <w:spacing w:before="146"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对投标文件进</w:t>
      </w:r>
      <w:r>
        <w:rPr>
          <w:rFonts w:hint="default" w:ascii="宋体" w:hAnsi="宋体" w:eastAsia="宋体" w:cs="宋体"/>
          <w:color w:val="auto"/>
          <w:sz w:val="21"/>
        </w:rPr>
        <w:t>行澄清、说明和补正时来往的书面材料传递，必须在招投标监督管理部门的监督</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下，由招标代理机构工作人员或者交易中心的工作人员进行。</w:t>
      </w:r>
    </w:p>
    <w:p>
      <w:pPr>
        <w:numPr>
          <w:ilvl w:val="1"/>
          <w:numId w:val="41"/>
        </w:numPr>
        <w:autoSpaceDE w:val="0"/>
        <w:autoSpaceDN w:val="0"/>
        <w:snapToGrid w:val="0"/>
        <w:spacing w:before="146" w:after="0" w:line="240" w:lineRule="auto"/>
        <w:ind w:left="78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评标结果</w:t>
      </w:r>
    </w:p>
    <w:p>
      <w:pPr>
        <w:numPr>
          <w:ilvl w:val="2"/>
          <w:numId w:val="44"/>
        </w:numPr>
        <w:autoSpaceDE w:val="0"/>
        <w:autoSpaceDN w:val="0"/>
        <w:snapToGrid w:val="0"/>
        <w:spacing w:before="36"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除第二章</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w:t>
      </w:r>
      <w:r>
        <w:rPr>
          <w:rFonts w:hint="default" w:ascii="宋体" w:hAnsi="宋体" w:eastAsia="宋体" w:cs="宋体"/>
          <w:color w:val="auto"/>
          <w:sz w:val="21"/>
        </w:rPr>
        <w:t>标人须知前附表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授权直接确定中标人外，评标委员会按照本章规定的顺序推荐中标候选人。</w:t>
      </w:r>
    </w:p>
    <w:p>
      <w:pPr>
        <w:numPr>
          <w:ilvl w:val="2"/>
          <w:numId w:val="44"/>
        </w:numPr>
        <w:tabs>
          <w:tab w:val="left" w:pos="945"/>
        </w:tabs>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评标委员会完成评标后，由应当向招标人提交书面评标报告。</w:t>
      </w:r>
    </w:p>
    <w:p>
      <w:pPr>
        <w:autoSpaceDE w:val="0"/>
        <w:autoSpaceDN w:val="0"/>
        <w:snapToGrid w:val="0"/>
        <w:spacing w:before="153" w:after="0" w:line="240" w:lineRule="auto"/>
        <w:ind w:left="424"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3.4.3</w:t>
      </w:r>
      <w:r>
        <w:rPr>
          <w:rFonts w:hint="default" w:ascii="Times New Roman" w:hAnsi="Times New Roman" w:eastAsia="Times New Roman" w:cs="Times New Roman"/>
          <w:color w:val="auto"/>
          <w:spacing w:val="94"/>
          <w:sz w:val="21"/>
        </w:rPr>
        <w:t xml:space="preserve"> </w:t>
      </w:r>
      <w:r>
        <w:rPr>
          <w:rFonts w:hint="default" w:ascii="宋体" w:hAnsi="宋体" w:eastAsia="宋体" w:cs="宋体"/>
          <w:color w:val="auto"/>
          <w:spacing w:val="-1"/>
          <w:sz w:val="21"/>
        </w:rPr>
        <w:t>评标委员会应</w:t>
      </w:r>
      <w:r>
        <w:rPr>
          <w:rFonts w:hint="default" w:ascii="宋体" w:hAnsi="宋体" w:eastAsia="宋体" w:cs="宋体"/>
          <w:color w:val="auto"/>
          <w:sz w:val="21"/>
        </w:rPr>
        <w:t>将评标过程中使用的文件、表格以及其他材料即时归还招标人。招标人应当按照</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“投标人须知前附表”规定的封存方式封存评标资料。</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r>
        <w:rPr>
          <w:rFonts w:hint="default"/>
          <w:color w:val="auto"/>
        </w:rPr>
        <w:t>附件 A 评标详细程序</w:t>
      </w:r>
    </w:p>
    <w:p>
      <w:pPr>
        <w:autoSpaceDE w:val="0"/>
        <w:autoSpaceDN w:val="0"/>
        <w:snapToGrid w:val="0"/>
        <w:spacing w:before="388"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A0 </w:t>
      </w:r>
      <w:r>
        <w:rPr>
          <w:rFonts w:hint="default" w:ascii="黑体" w:hAnsi="黑体" w:eastAsia="黑体" w:cs="黑体"/>
          <w:b/>
          <w:color w:val="auto"/>
          <w:sz w:val="21"/>
        </w:rPr>
        <w:t>总</w:t>
      </w:r>
      <w:r>
        <w:rPr>
          <w:rFonts w:hint="default" w:ascii="黑体" w:hAnsi="黑体" w:eastAsia="黑体" w:cs="黑体"/>
          <w:b/>
          <w:color w:val="auto"/>
          <w:spacing w:val="53"/>
          <w:sz w:val="21"/>
        </w:rPr>
        <w:t xml:space="preserve"> </w:t>
      </w:r>
      <w:r>
        <w:rPr>
          <w:rFonts w:hint="default" w:ascii="黑体" w:hAnsi="黑体" w:eastAsia="黑体" w:cs="黑体"/>
          <w:b/>
          <w:color w:val="auto"/>
          <w:sz w:val="21"/>
        </w:rPr>
        <w:t>则</w:t>
      </w:r>
    </w:p>
    <w:p>
      <w:pPr>
        <w:autoSpaceDE w:val="0"/>
        <w:autoSpaceDN w:val="0"/>
        <w:snapToGrid w:val="0"/>
        <w:spacing w:before="95" w:after="0" w:line="400" w:lineRule="exact"/>
        <w:ind w:left="0" w:right="111"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本附件是本章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的组成部分，是对本章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条所规定的评标程序的进一步细化，评标委员会应当按照本附件所规定的详细程序开展并完成评标工作。</w:t>
      </w:r>
    </w:p>
    <w:p>
      <w:pPr>
        <w:autoSpaceDE w:val="0"/>
        <w:autoSpaceDN w:val="0"/>
        <w:snapToGrid w:val="0"/>
        <w:spacing w:before="170"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A1 </w:t>
      </w:r>
      <w:r>
        <w:rPr>
          <w:rFonts w:hint="default" w:ascii="黑体" w:hAnsi="黑体" w:eastAsia="黑体" w:cs="黑体"/>
          <w:b/>
          <w:color w:val="auto"/>
          <w:sz w:val="21"/>
        </w:rPr>
        <w:t>基本程序</w:t>
      </w:r>
    </w:p>
    <w:p>
      <w:pPr>
        <w:autoSpaceDE w:val="0"/>
        <w:autoSpaceDN w:val="0"/>
        <w:snapToGrid w:val="0"/>
        <w:spacing w:before="20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评标活动将按以下五个步骤进行：</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）评标准备；</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）初步评审；</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）详细评审；</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）澄清、说明或补正；</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）推荐中标候选人或者直接确定中标人及提交评标报告。</w:t>
      </w:r>
    </w:p>
    <w:p>
      <w:pPr>
        <w:autoSpaceDE w:val="0"/>
        <w:autoSpaceDN w:val="0"/>
        <w:snapToGrid w:val="0"/>
        <w:spacing w:before="198"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A2 </w:t>
      </w:r>
      <w:r>
        <w:rPr>
          <w:rFonts w:hint="default" w:ascii="黑体" w:hAnsi="黑体" w:eastAsia="黑体" w:cs="黑体"/>
          <w:b/>
          <w:color w:val="auto"/>
          <w:sz w:val="21"/>
        </w:rPr>
        <w:t>评标准备</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A2.1 </w:t>
      </w:r>
      <w:r>
        <w:rPr>
          <w:rFonts w:hint="default" w:ascii="宋体" w:hAnsi="宋体" w:eastAsia="宋体" w:cs="宋体"/>
          <w:color w:val="auto"/>
          <w:sz w:val="21"/>
        </w:rPr>
        <w:t>评标委员会成员签到</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评标委员会成员到达评标现场时应在签到表上签到以证明其出席。</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A2.2 </w:t>
      </w:r>
      <w:r>
        <w:rPr>
          <w:rFonts w:hint="default" w:ascii="宋体" w:hAnsi="宋体" w:eastAsia="宋体" w:cs="宋体"/>
          <w:color w:val="auto"/>
          <w:sz w:val="21"/>
        </w:rPr>
        <w:t>评标委员会的组建和分工</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评标委员会应按照投标人须知前附表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6.</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条的规定组建。首先以记名方式推选一名评标委员会主</w:t>
      </w:r>
    </w:p>
    <w:p>
      <w:pPr>
        <w:autoSpaceDE w:val="0"/>
        <w:autoSpaceDN w:val="0"/>
        <w:snapToGrid w:val="0"/>
        <w:spacing w:before="28"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任。评标委员</w:t>
      </w:r>
      <w:r>
        <w:rPr>
          <w:rFonts w:hint="default" w:ascii="宋体" w:hAnsi="宋体" w:eastAsia="宋体" w:cs="宋体"/>
          <w:color w:val="auto"/>
          <w:sz w:val="21"/>
        </w:rPr>
        <w:t>会主任负责评标活动的组织工作。当需要划分技术类、经济类评委时，应按照规定组建为技术组评委和经济组评委。招标人代表参加评标委员会的，应明确参加类别。</w:t>
      </w:r>
    </w:p>
    <w:p>
      <w:pPr>
        <w:autoSpaceDE w:val="0"/>
        <w:autoSpaceDN w:val="0"/>
        <w:snapToGrid w:val="0"/>
        <w:spacing w:before="0" w:after="0" w:line="400"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在本附件的表</w:t>
      </w:r>
      <w:r>
        <w:rPr>
          <w:rFonts w:hint="default" w:ascii="宋体" w:hAnsi="宋体" w:eastAsia="宋体" w:cs="宋体"/>
          <w:color w:val="auto"/>
          <w:sz w:val="21"/>
        </w:rPr>
        <w:t>述中，当评委划分为技术类、经济类时，除标明由技术类或经济类评委实施评审外，其余由评标委员会全体委员进行。</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A2.3 </w:t>
      </w:r>
      <w:r>
        <w:rPr>
          <w:rFonts w:hint="default" w:ascii="宋体" w:hAnsi="宋体" w:eastAsia="宋体" w:cs="宋体"/>
          <w:color w:val="auto"/>
          <w:sz w:val="21"/>
        </w:rPr>
        <w:t>熟悉文件资料</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A2.3.1</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评</w:t>
      </w:r>
      <w:r>
        <w:rPr>
          <w:rFonts w:hint="default" w:ascii="宋体" w:hAnsi="宋体" w:eastAsia="宋体" w:cs="宋体"/>
          <w:color w:val="auto"/>
          <w:sz w:val="21"/>
        </w:rPr>
        <w:t>标委员会主任应组织评标委员会成员认真研究招标文件，了解和熟悉招标目的、招标范围、</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主要合同条件</w:t>
      </w:r>
      <w:r>
        <w:rPr>
          <w:rFonts w:hint="default" w:ascii="宋体" w:hAnsi="宋体" w:eastAsia="宋体" w:cs="宋体"/>
          <w:color w:val="auto"/>
          <w:sz w:val="21"/>
        </w:rPr>
        <w:t>、技术标准和要求、质量标准和工期要求，掌握评标标准和方法，熟悉本章及附件中包括的评标表格的使用。</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A2.3.2</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招</w:t>
      </w:r>
      <w:r>
        <w:rPr>
          <w:rFonts w:hint="default" w:ascii="宋体" w:hAnsi="宋体" w:eastAsia="宋体" w:cs="宋体"/>
          <w:color w:val="auto"/>
          <w:sz w:val="21"/>
        </w:rPr>
        <w:t>标人或招标代理机构应向评标委员会提供评标所需的信息和数据，包括招标文件、未在开标</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会上当场拒绝</w:t>
      </w:r>
      <w:r>
        <w:rPr>
          <w:rFonts w:hint="default" w:ascii="宋体" w:hAnsi="宋体" w:eastAsia="宋体" w:cs="宋体"/>
          <w:color w:val="auto"/>
          <w:sz w:val="21"/>
        </w:rPr>
        <w:t>的各投标文件、开标会记录、招标控制价、工程所在地工程造价管理部门颁布的工程造价信</w:t>
      </w:r>
      <w:r>
        <w:rPr>
          <w:rFonts w:hint="default" w:ascii="宋体" w:hAnsi="宋体" w:eastAsia="宋体" w:cs="宋体"/>
          <w:color w:val="auto"/>
          <w:spacing w:val="-1"/>
          <w:sz w:val="21"/>
        </w:rPr>
        <w:t>息、定额（如</w:t>
      </w:r>
      <w:r>
        <w:rPr>
          <w:rFonts w:hint="default" w:ascii="宋体" w:hAnsi="宋体" w:eastAsia="宋体" w:cs="宋体"/>
          <w:color w:val="auto"/>
          <w:sz w:val="21"/>
        </w:rPr>
        <w:t>作为计价依据时）、有关的法律、法规、规章、国家标准以及招标人或评标委员会认为必要的其他信息和数据。</w:t>
      </w:r>
    </w:p>
    <w:p>
      <w:pPr>
        <w:autoSpaceDE w:val="0"/>
        <w:autoSpaceDN w:val="0"/>
        <w:snapToGrid w:val="0"/>
        <w:spacing w:before="170"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A3 </w:t>
      </w:r>
      <w:r>
        <w:rPr>
          <w:rFonts w:hint="default" w:ascii="黑体" w:hAnsi="黑体" w:eastAsia="黑体" w:cs="黑体"/>
          <w:b/>
          <w:color w:val="auto"/>
          <w:sz w:val="21"/>
        </w:rPr>
        <w:t>初步评审</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A3.1 </w:t>
      </w:r>
      <w:r>
        <w:rPr>
          <w:rFonts w:hint="default" w:ascii="宋体" w:hAnsi="宋体" w:eastAsia="宋体" w:cs="宋体"/>
          <w:color w:val="auto"/>
          <w:sz w:val="21"/>
        </w:rPr>
        <w:t>资格评审</w:t>
      </w:r>
    </w:p>
    <w:p>
      <w:pPr>
        <w:autoSpaceDE w:val="0"/>
        <w:autoSpaceDN w:val="0"/>
        <w:snapToGrid w:val="0"/>
        <w:spacing w:before="35" w:after="0" w:line="400" w:lineRule="exact"/>
        <w:ind w:left="420" w:right="77" w:firstLine="0"/>
        <w:jc w:val="both"/>
        <w:textAlignment w:val="auto"/>
        <w:rPr>
          <w:rFonts w:hint="default" w:ascii="宋体" w:hAnsi="宋体" w:eastAsia="宋体" w:cs="宋体"/>
          <w:color w:val="auto"/>
          <w:sz w:val="21"/>
        </w:rPr>
      </w:pPr>
      <w:r>
        <w:rPr>
          <w:rFonts w:hint="default" w:ascii="宋体" w:hAnsi="宋体" w:eastAsia="宋体" w:cs="宋体"/>
          <w:color w:val="auto"/>
          <w:spacing w:val="-4"/>
          <w:sz w:val="21"/>
        </w:rPr>
        <w:t>评标委员会根据</w:t>
      </w:r>
      <w:r>
        <w:rPr>
          <w:rFonts w:hint="default" w:ascii="Times New Roman" w:hAnsi="Times New Roman" w:eastAsia="Times New Roman" w:cs="Times New Roman"/>
          <w:color w:val="auto"/>
          <w:spacing w:val="-4"/>
          <w:sz w:val="21"/>
        </w:rPr>
        <w:t>“</w:t>
      </w:r>
      <w:r>
        <w:rPr>
          <w:rFonts w:hint="default" w:ascii="宋体" w:hAnsi="宋体" w:eastAsia="宋体" w:cs="宋体"/>
          <w:color w:val="auto"/>
          <w:spacing w:val="-4"/>
          <w:sz w:val="21"/>
        </w:rPr>
        <w:t>评标办法前附</w:t>
      </w:r>
      <w:r>
        <w:rPr>
          <w:rFonts w:hint="default" w:ascii="宋体" w:hAnsi="宋体" w:eastAsia="宋体" w:cs="宋体"/>
          <w:color w:val="auto"/>
          <w:spacing w:val="-3"/>
          <w:sz w:val="21"/>
        </w:rPr>
        <w:t>表</w:t>
      </w:r>
      <w:r>
        <w:rPr>
          <w:rFonts w:hint="default" w:ascii="Times New Roman" w:hAnsi="Times New Roman" w:eastAsia="Times New Roman" w:cs="Times New Roman"/>
          <w:color w:val="auto"/>
          <w:spacing w:val="-3"/>
          <w:sz w:val="21"/>
        </w:rPr>
        <w:t>”</w:t>
      </w:r>
      <w:r>
        <w:rPr>
          <w:rFonts w:hint="default" w:ascii="宋体" w:hAnsi="宋体" w:eastAsia="宋体" w:cs="宋体"/>
          <w:color w:val="auto"/>
          <w:spacing w:val="-3"/>
          <w:sz w:val="21"/>
        </w:rPr>
        <w:t>中规定的评审因素和评审标准，对投标人的投标文件进行资格评审</w:t>
      </w:r>
      <w:r>
        <w:rPr>
          <w:rFonts w:hint="default" w:ascii="宋体" w:hAnsi="宋体" w:eastAsia="宋体" w:cs="宋体"/>
          <w:color w:val="auto"/>
          <w:spacing w:val="-1"/>
          <w:sz w:val="21"/>
        </w:rPr>
        <w:t>。</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A3.</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形式评审</w:t>
      </w:r>
    </w:p>
    <w:p>
      <w:pPr>
        <w:autoSpaceDE w:val="0"/>
        <w:autoSpaceDN w:val="0"/>
        <w:snapToGrid w:val="0"/>
        <w:spacing w:before="0" w:after="0" w:line="400" w:lineRule="exact"/>
        <w:ind w:left="420" w:right="77" w:firstLine="0"/>
        <w:jc w:val="both"/>
        <w:textAlignment w:val="auto"/>
        <w:rPr>
          <w:rFonts w:hint="default" w:ascii="宋体" w:hAnsi="宋体" w:eastAsia="宋体" w:cs="宋体"/>
          <w:color w:val="auto"/>
          <w:sz w:val="21"/>
        </w:rPr>
      </w:pPr>
      <w:r>
        <w:rPr>
          <w:rFonts w:hint="default" w:ascii="宋体" w:hAnsi="宋体" w:eastAsia="宋体" w:cs="宋体"/>
          <w:color w:val="auto"/>
          <w:spacing w:val="-4"/>
          <w:sz w:val="21"/>
        </w:rPr>
        <w:t>评标委员会根据</w:t>
      </w:r>
      <w:r>
        <w:rPr>
          <w:rFonts w:hint="default" w:ascii="Times New Roman" w:hAnsi="Times New Roman" w:eastAsia="Times New Roman" w:cs="Times New Roman"/>
          <w:color w:val="auto"/>
          <w:spacing w:val="-4"/>
          <w:sz w:val="21"/>
        </w:rPr>
        <w:t>“</w:t>
      </w:r>
      <w:r>
        <w:rPr>
          <w:rFonts w:hint="default" w:ascii="宋体" w:hAnsi="宋体" w:eastAsia="宋体" w:cs="宋体"/>
          <w:color w:val="auto"/>
          <w:spacing w:val="-4"/>
          <w:sz w:val="21"/>
        </w:rPr>
        <w:t>评标办法前附</w:t>
      </w:r>
      <w:r>
        <w:rPr>
          <w:rFonts w:hint="default" w:ascii="宋体" w:hAnsi="宋体" w:eastAsia="宋体" w:cs="宋体"/>
          <w:color w:val="auto"/>
          <w:spacing w:val="-3"/>
          <w:sz w:val="21"/>
        </w:rPr>
        <w:t>表</w:t>
      </w:r>
      <w:r>
        <w:rPr>
          <w:rFonts w:hint="default" w:ascii="Times New Roman" w:hAnsi="Times New Roman" w:eastAsia="Times New Roman" w:cs="Times New Roman"/>
          <w:color w:val="auto"/>
          <w:spacing w:val="-3"/>
          <w:sz w:val="21"/>
        </w:rPr>
        <w:t>”</w:t>
      </w:r>
      <w:r>
        <w:rPr>
          <w:rFonts w:hint="default" w:ascii="宋体" w:hAnsi="宋体" w:eastAsia="宋体" w:cs="宋体"/>
          <w:color w:val="auto"/>
          <w:spacing w:val="-3"/>
          <w:sz w:val="21"/>
        </w:rPr>
        <w:t>中规定的评审因素和评审标准，对投标人的投标文件进行形式评审</w:t>
      </w:r>
      <w:r>
        <w:rPr>
          <w:rFonts w:hint="default" w:ascii="宋体" w:hAnsi="宋体" w:eastAsia="宋体" w:cs="宋体"/>
          <w:color w:val="auto"/>
          <w:spacing w:val="-1"/>
          <w:sz w:val="21"/>
        </w:rPr>
        <w:t>。</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 xml:space="preserve">A3.3 </w:t>
      </w:r>
      <w:r>
        <w:rPr>
          <w:rFonts w:hint="default" w:ascii="宋体" w:hAnsi="宋体" w:eastAsia="宋体" w:cs="宋体"/>
          <w:color w:val="auto"/>
          <w:sz w:val="21"/>
        </w:rPr>
        <w:t>响应性评审</w:t>
      </w:r>
    </w:p>
    <w:p>
      <w:pPr>
        <w:numPr>
          <w:ilvl w:val="0"/>
          <w:numId w:val="33"/>
        </w:numPr>
        <w:autoSpaceDE w:val="0"/>
        <w:autoSpaceDN w:val="0"/>
        <w:snapToGrid w:val="0"/>
        <w:spacing w:before="348"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9"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A3.3.1</w:t>
      </w:r>
      <w:r>
        <w:rPr>
          <w:rFonts w:hint="default" w:ascii="Times New Roman" w:hAnsi="Times New Roman" w:eastAsia="Times New Roman" w:cs="Times New Roman"/>
          <w:color w:val="auto"/>
          <w:spacing w:val="31"/>
          <w:sz w:val="21"/>
        </w:rPr>
        <w:t xml:space="preserve"> </w:t>
      </w:r>
      <w:r>
        <w:rPr>
          <w:rFonts w:hint="default" w:ascii="宋体" w:hAnsi="宋体" w:eastAsia="宋体" w:cs="宋体"/>
          <w:color w:val="auto"/>
          <w:spacing w:val="-1"/>
          <w:sz w:val="21"/>
        </w:rPr>
        <w:t>评标</w:t>
      </w:r>
      <w:r>
        <w:rPr>
          <w:rFonts w:hint="default" w:ascii="宋体" w:hAnsi="宋体" w:eastAsia="宋体" w:cs="宋体"/>
          <w:color w:val="auto"/>
          <w:sz w:val="21"/>
        </w:rPr>
        <w:t>委员会根据</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中规定的评审因素和评审标准，对投标人的投标文件进行响应性评审。</w:t>
      </w: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A3.3.2</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投</w:t>
      </w:r>
      <w:r>
        <w:rPr>
          <w:rFonts w:hint="default" w:ascii="宋体" w:hAnsi="宋体" w:eastAsia="宋体" w:cs="宋体"/>
          <w:color w:val="auto"/>
          <w:sz w:val="21"/>
        </w:rPr>
        <w:t>标人投标总价不得超出（不含等于）招标人公布的招标控制价，凡投标人的投标总价超出招标控制价的，该投标人的投标文件不能通过响应性评审。</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A3.4 </w:t>
      </w:r>
      <w:r>
        <w:rPr>
          <w:rFonts w:hint="default" w:ascii="宋体" w:hAnsi="宋体" w:eastAsia="宋体" w:cs="宋体"/>
          <w:color w:val="auto"/>
          <w:sz w:val="21"/>
        </w:rPr>
        <w:t>判断投标是否为否决投标</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A3.4.1</w:t>
      </w:r>
      <w:r>
        <w:rPr>
          <w:rFonts w:hint="default" w:ascii="Times New Roman" w:hAnsi="Times New Roman" w:eastAsia="Times New Roman" w:cs="Times New Roman"/>
          <w:color w:val="auto"/>
          <w:spacing w:val="72"/>
          <w:sz w:val="21"/>
        </w:rPr>
        <w:t xml:space="preserve"> </w:t>
      </w:r>
      <w:r>
        <w:rPr>
          <w:rFonts w:hint="default" w:ascii="宋体" w:hAnsi="宋体" w:eastAsia="宋体" w:cs="宋体"/>
          <w:color w:val="auto"/>
          <w:spacing w:val="-1"/>
          <w:sz w:val="21"/>
        </w:rPr>
        <w:t>判断</w:t>
      </w:r>
      <w:r>
        <w:rPr>
          <w:rFonts w:hint="default" w:ascii="宋体" w:hAnsi="宋体" w:eastAsia="宋体" w:cs="宋体"/>
          <w:color w:val="auto"/>
          <w:sz w:val="21"/>
        </w:rPr>
        <w:t>投标人的投标是否为否决投标的全部条件（包括本章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项中规定的条件），在本章</w:t>
      </w:r>
    </w:p>
    <w:p>
      <w:pPr>
        <w:autoSpaceDE w:val="0"/>
        <w:autoSpaceDN w:val="0"/>
        <w:snapToGrid w:val="0"/>
        <w:spacing w:before="14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中集中列示。</w:t>
      </w:r>
    </w:p>
    <w:p>
      <w:pPr>
        <w:autoSpaceDE w:val="0"/>
        <w:autoSpaceDN w:val="0"/>
        <w:snapToGrid w:val="0"/>
        <w:spacing w:before="28"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A3.4.2</w:t>
      </w:r>
      <w:r>
        <w:rPr>
          <w:rFonts w:hint="default" w:ascii="Times New Roman" w:hAnsi="Times New Roman" w:eastAsia="Times New Roman" w:cs="Times New Roman"/>
          <w:color w:val="auto"/>
          <w:spacing w:val="13"/>
          <w:sz w:val="21"/>
        </w:rPr>
        <w:t xml:space="preserve"> </w:t>
      </w:r>
      <w:r>
        <w:rPr>
          <w:rFonts w:hint="default" w:ascii="宋体" w:hAnsi="宋体" w:eastAsia="宋体" w:cs="宋体"/>
          <w:color w:val="auto"/>
          <w:spacing w:val="-1"/>
          <w:sz w:val="21"/>
        </w:rPr>
        <w:t>本</w:t>
      </w:r>
      <w:r>
        <w:rPr>
          <w:rFonts w:hint="default" w:ascii="宋体" w:hAnsi="宋体" w:eastAsia="宋体" w:cs="宋体"/>
          <w:color w:val="auto"/>
          <w:sz w:val="21"/>
        </w:rPr>
        <w:t>章附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集中列示的否决投标条件不应与第二章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和本章正文部分包括的否决投标条件抵触，如果出现相互矛盾的情况，以第二章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和本章正文部分的规定为准。</w:t>
      </w: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A3.4.3</w:t>
      </w:r>
      <w:r>
        <w:rPr>
          <w:rFonts w:hint="default" w:ascii="Times New Roman" w:hAnsi="Times New Roman" w:eastAsia="Times New Roman" w:cs="Times New Roman"/>
          <w:color w:val="auto"/>
          <w:spacing w:val="2"/>
          <w:sz w:val="21"/>
        </w:rPr>
        <w:t xml:space="preserve"> </w:t>
      </w:r>
      <w:r>
        <w:rPr>
          <w:rFonts w:hint="default" w:ascii="宋体" w:hAnsi="宋体" w:eastAsia="宋体" w:cs="宋体"/>
          <w:color w:val="auto"/>
          <w:spacing w:val="-1"/>
          <w:sz w:val="21"/>
        </w:rPr>
        <w:t>评</w:t>
      </w:r>
      <w:r>
        <w:rPr>
          <w:rFonts w:hint="default" w:ascii="宋体" w:hAnsi="宋体" w:eastAsia="宋体" w:cs="宋体"/>
          <w:color w:val="auto"/>
          <w:sz w:val="21"/>
        </w:rPr>
        <w:t>标委员会在评标过程中，依据本章附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中规定的否决投标条件判断投标人的投标是否为否决投标。</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A3.5 </w:t>
      </w:r>
      <w:r>
        <w:rPr>
          <w:rFonts w:hint="default" w:ascii="宋体" w:hAnsi="宋体" w:eastAsia="宋体" w:cs="宋体"/>
          <w:color w:val="auto"/>
          <w:sz w:val="21"/>
        </w:rPr>
        <w:t>澄清、说明或补正</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在初步评审过程中，评标委员会应当就投标文件中不明确的内容要求投标人进行澄清、说明或者补</w:t>
      </w:r>
    </w:p>
    <w:p>
      <w:pPr>
        <w:autoSpaceDE w:val="0"/>
        <w:autoSpaceDN w:val="0"/>
        <w:snapToGrid w:val="0"/>
        <w:spacing w:before="28"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正。投标人应</w:t>
      </w:r>
      <w:r>
        <w:rPr>
          <w:rFonts w:hint="default" w:ascii="宋体" w:hAnsi="宋体" w:eastAsia="宋体" w:cs="宋体"/>
          <w:color w:val="auto"/>
          <w:sz w:val="21"/>
        </w:rPr>
        <w:t>当根据问题澄清通知要求，以书面形式予以澄清、说明或者补正。澄清、说明或补正根据本章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款的规定进行。</w:t>
      </w:r>
    </w:p>
    <w:p>
      <w:pPr>
        <w:autoSpaceDE w:val="0"/>
        <w:autoSpaceDN w:val="0"/>
        <w:snapToGrid w:val="0"/>
        <w:spacing w:before="170"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A4 </w:t>
      </w:r>
      <w:r>
        <w:rPr>
          <w:rFonts w:hint="default" w:ascii="黑体" w:hAnsi="黑体" w:eastAsia="黑体" w:cs="黑体"/>
          <w:b/>
          <w:color w:val="auto"/>
          <w:sz w:val="21"/>
        </w:rPr>
        <w:t>详细评审</w:t>
      </w:r>
    </w:p>
    <w:p>
      <w:pPr>
        <w:autoSpaceDE w:val="0"/>
        <w:autoSpaceDN w:val="0"/>
        <w:snapToGrid w:val="0"/>
        <w:spacing w:before="20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只有通过了初步评审、被判定为合格的投标方可进入详细评审。</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A4.1 </w:t>
      </w:r>
      <w:r>
        <w:rPr>
          <w:rFonts w:hint="default" w:ascii="宋体" w:hAnsi="宋体" w:eastAsia="宋体" w:cs="宋体"/>
          <w:color w:val="auto"/>
          <w:sz w:val="21"/>
        </w:rPr>
        <w:t>对投标文件进行基础性数据分析和整理工作（清标）</w:t>
      </w:r>
    </w:p>
    <w:p>
      <w:pPr>
        <w:autoSpaceDE w:val="0"/>
        <w:autoSpaceDN w:val="0"/>
        <w:snapToGrid w:val="0"/>
        <w:spacing w:before="145"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【备注：根据项目情况进行设置】</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A4.2 </w:t>
      </w:r>
      <w:r>
        <w:rPr>
          <w:rFonts w:hint="default" w:ascii="宋体" w:hAnsi="宋体" w:eastAsia="宋体" w:cs="宋体"/>
          <w:color w:val="auto"/>
          <w:sz w:val="21"/>
        </w:rPr>
        <w:t>算术错误修正</w:t>
      </w:r>
    </w:p>
    <w:p>
      <w:pPr>
        <w:autoSpaceDE w:val="0"/>
        <w:autoSpaceDN w:val="0"/>
        <w:snapToGrid w:val="0"/>
        <w:spacing w:before="35" w:after="0" w:line="400" w:lineRule="exact"/>
        <w:ind w:left="0" w:right="10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评标委员会</w:t>
      </w:r>
      <w:r>
        <w:rPr>
          <w:rFonts w:hint="default" w:ascii="宋体" w:hAnsi="宋体" w:eastAsia="宋体" w:cs="宋体"/>
          <w:color w:val="auto"/>
          <w:spacing w:val="-2"/>
          <w:sz w:val="21"/>
        </w:rPr>
        <w:t>经济组评委</w:t>
      </w:r>
      <w:r>
        <w:rPr>
          <w:rFonts w:hint="default" w:ascii="宋体" w:hAnsi="宋体" w:eastAsia="宋体" w:cs="宋体"/>
          <w:color w:val="auto"/>
          <w:sz w:val="21"/>
        </w:rPr>
        <w:t>依据本章中规定的相关原则对投标报价中存在的算术错误进行修正，并根据算术错误修正结果计算评标基准价。</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A4.3 </w:t>
      </w:r>
      <w:r>
        <w:rPr>
          <w:rFonts w:hint="default" w:ascii="宋体" w:hAnsi="宋体" w:eastAsia="宋体" w:cs="宋体"/>
          <w:color w:val="auto"/>
          <w:sz w:val="21"/>
        </w:rPr>
        <w:t>详细评审的程序</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A4.3.1 </w:t>
      </w:r>
      <w:r>
        <w:rPr>
          <w:rFonts w:hint="default" w:ascii="宋体" w:hAnsi="宋体" w:eastAsia="宋体" w:cs="宋体"/>
          <w:color w:val="auto"/>
          <w:sz w:val="21"/>
        </w:rPr>
        <w:t>评标委员会按照本章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款中规定的程序进行详细评审：</w:t>
      </w:r>
    </w:p>
    <w:p>
      <w:pPr>
        <w:autoSpaceDE w:val="0"/>
        <w:autoSpaceDN w:val="0"/>
        <w:snapToGrid w:val="0"/>
        <w:spacing w:before="145"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）技术标评审和评分；</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）商务标评审和评分；</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）汇总评分结果。</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A4.4 </w:t>
      </w:r>
      <w:r>
        <w:rPr>
          <w:rFonts w:hint="default" w:ascii="宋体" w:hAnsi="宋体" w:eastAsia="宋体" w:cs="宋体"/>
          <w:color w:val="auto"/>
          <w:sz w:val="21"/>
        </w:rPr>
        <w:t>技术标评审和评分</w:t>
      </w:r>
    </w:p>
    <w:p>
      <w:pPr>
        <w:autoSpaceDE w:val="0"/>
        <w:autoSpaceDN w:val="0"/>
        <w:snapToGrid w:val="0"/>
        <w:spacing w:before="35" w:after="0" w:line="400" w:lineRule="exact"/>
        <w:ind w:left="0" w:right="155"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按照</w:t>
      </w:r>
      <w:r>
        <w:rPr>
          <w:rFonts w:hint="default" w:ascii="Times New Roman" w:hAnsi="Times New Roman" w:eastAsia="Times New Roman" w:cs="Times New Roman"/>
          <w:color w:val="auto"/>
          <w:spacing w:val="-2"/>
          <w:sz w:val="21"/>
        </w:rPr>
        <w:t>“</w:t>
      </w:r>
      <w:r>
        <w:rPr>
          <w:rFonts w:hint="default" w:ascii="宋体" w:hAnsi="宋体" w:eastAsia="宋体" w:cs="宋体"/>
          <w:color w:val="auto"/>
          <w:spacing w:val="-2"/>
          <w:sz w:val="21"/>
        </w:rPr>
        <w:t>评标办法前附表</w:t>
      </w:r>
      <w:r>
        <w:rPr>
          <w:rFonts w:hint="default" w:ascii="Times New Roman" w:hAnsi="Times New Roman" w:eastAsia="Times New Roman" w:cs="Times New Roman"/>
          <w:color w:val="auto"/>
          <w:spacing w:val="-2"/>
          <w:sz w:val="21"/>
        </w:rPr>
        <w:t>”</w:t>
      </w:r>
      <w:r>
        <w:rPr>
          <w:rFonts w:hint="default" w:ascii="宋体" w:hAnsi="宋体" w:eastAsia="宋体" w:cs="宋体"/>
          <w:color w:val="auto"/>
          <w:spacing w:val="-2"/>
          <w:sz w:val="21"/>
        </w:rPr>
        <w:t>中规定的分</w:t>
      </w:r>
      <w:r>
        <w:rPr>
          <w:rFonts w:hint="default" w:ascii="宋体" w:hAnsi="宋体" w:eastAsia="宋体" w:cs="宋体"/>
          <w:color w:val="auto"/>
          <w:spacing w:val="-1"/>
          <w:sz w:val="21"/>
        </w:rPr>
        <w:t>值设定、各项评分因素、评分标准，由</w:t>
      </w:r>
      <w:r>
        <w:rPr>
          <w:rFonts w:hint="default" w:ascii="宋体" w:hAnsi="宋体" w:eastAsia="宋体" w:cs="宋体"/>
          <w:color w:val="auto"/>
          <w:spacing w:val="-3"/>
          <w:sz w:val="21"/>
        </w:rPr>
        <w:t>评标委员会的技术组评委</w:t>
      </w:r>
      <w:r>
        <w:rPr>
          <w:rFonts w:hint="default" w:ascii="宋体" w:hAnsi="宋体" w:eastAsia="宋体" w:cs="宋体"/>
          <w:color w:val="auto"/>
          <w:spacing w:val="-1"/>
          <w:sz w:val="21"/>
        </w:rPr>
        <w:t>进</w:t>
      </w:r>
      <w:r>
        <w:rPr>
          <w:rFonts w:hint="default" w:ascii="宋体" w:hAnsi="宋体" w:eastAsia="宋体" w:cs="宋体"/>
          <w:color w:val="auto"/>
          <w:sz w:val="21"/>
        </w:rPr>
        <w:t xml:space="preserve"> 行评审和评分。</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A4.5 </w:t>
      </w:r>
      <w:r>
        <w:rPr>
          <w:rFonts w:hint="default" w:ascii="宋体" w:hAnsi="宋体" w:eastAsia="宋体" w:cs="宋体"/>
          <w:color w:val="auto"/>
          <w:sz w:val="21"/>
        </w:rPr>
        <w:t>商务标评审和评分</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A4.5.</w:t>
      </w:r>
      <w:r>
        <w:rPr>
          <w:rFonts w:hint="default" w:ascii="Times New Roman" w:hAnsi="Times New Roman" w:eastAsia="Times New Roman" w:cs="Times New Roman"/>
          <w:color w:val="auto"/>
          <w:spacing w:val="53"/>
          <w:sz w:val="21"/>
        </w:rPr>
        <w:t>1</w:t>
      </w:r>
      <w:r>
        <w:rPr>
          <w:rFonts w:hint="default" w:ascii="宋体" w:hAnsi="宋体" w:eastAsia="宋体" w:cs="宋体"/>
          <w:color w:val="auto"/>
          <w:spacing w:val="-2"/>
          <w:sz w:val="21"/>
        </w:rPr>
        <w:t>评标委员会的经济组评委</w:t>
      </w:r>
      <w:r>
        <w:rPr>
          <w:rFonts w:hint="default" w:ascii="宋体" w:hAnsi="宋体" w:eastAsia="宋体" w:cs="宋体"/>
          <w:color w:val="auto"/>
          <w:sz w:val="21"/>
        </w:rPr>
        <w:t>按照</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评标办法前附表</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中规定的方法计算</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评标基准价</w:t>
      </w:r>
      <w:r>
        <w:rPr>
          <w:rFonts w:hint="default" w:ascii="Times New Roman" w:hAnsi="Times New Roman" w:eastAsia="Times New Roman" w:cs="Times New Roman"/>
          <w:color w:val="auto"/>
          <w:sz w:val="21"/>
        </w:rPr>
        <w:t>”</w:t>
      </w:r>
      <w:r>
        <w:rPr>
          <w:rFonts w:hint="default" w:ascii="宋体" w:hAnsi="宋体" w:eastAsia="宋体" w:cs="宋体"/>
          <w:color w:val="auto"/>
          <w:sz w:val="21"/>
        </w:rPr>
        <w:t>。</w:t>
      </w:r>
    </w:p>
    <w:p>
      <w:pPr>
        <w:autoSpaceDE w:val="0"/>
        <w:autoSpaceDN w:val="0"/>
        <w:snapToGrid w:val="0"/>
        <w:spacing w:before="35" w:after="0" w:line="400" w:lineRule="exact"/>
        <w:ind w:left="0" w:right="16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2"/>
          <w:sz w:val="21"/>
        </w:rPr>
        <w:t>A4.5.</w:t>
      </w:r>
      <w:r>
        <w:rPr>
          <w:rFonts w:hint="default" w:ascii="Times New Roman" w:hAnsi="Times New Roman" w:eastAsia="Times New Roman" w:cs="Times New Roman"/>
          <w:color w:val="auto"/>
          <w:spacing w:val="51"/>
          <w:sz w:val="21"/>
        </w:rPr>
        <w:t>2</w:t>
      </w:r>
      <w:r>
        <w:rPr>
          <w:rFonts w:hint="default" w:ascii="宋体" w:hAnsi="宋体" w:eastAsia="宋体" w:cs="宋体"/>
          <w:color w:val="auto"/>
          <w:spacing w:val="-4"/>
          <w:sz w:val="21"/>
        </w:rPr>
        <w:t>评标委员会的经济组评委</w:t>
      </w:r>
      <w:r>
        <w:rPr>
          <w:rFonts w:hint="default" w:ascii="宋体" w:hAnsi="宋体" w:eastAsia="宋体" w:cs="宋体"/>
          <w:color w:val="auto"/>
          <w:spacing w:val="-2"/>
          <w:sz w:val="21"/>
        </w:rPr>
        <w:t>按</w:t>
      </w:r>
      <w:r>
        <w:rPr>
          <w:rFonts w:hint="default" w:ascii="宋体" w:hAnsi="宋体" w:eastAsia="宋体" w:cs="宋体"/>
          <w:color w:val="auto"/>
          <w:spacing w:val="-1"/>
          <w:sz w:val="21"/>
        </w:rPr>
        <w:t>照</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评标办法前附表</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中规定的方法，计算各个已通过了初步评审和</w:t>
      </w:r>
      <w:r>
        <w:rPr>
          <w:rFonts w:hint="default" w:ascii="宋体" w:hAnsi="宋体" w:eastAsia="宋体" w:cs="宋体"/>
          <w:color w:val="auto"/>
          <w:sz w:val="21"/>
        </w:rPr>
        <w:t xml:space="preserve"> 技术标评审的商务标得分。</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A4.6 </w:t>
      </w:r>
      <w:r>
        <w:rPr>
          <w:rFonts w:hint="default" w:ascii="宋体" w:hAnsi="宋体" w:eastAsia="宋体" w:cs="宋体"/>
          <w:color w:val="auto"/>
          <w:sz w:val="21"/>
        </w:rPr>
        <w:t>判断投标报价是否低于成本</w:t>
      </w:r>
    </w:p>
    <w:p>
      <w:pPr>
        <w:autoSpaceDE w:val="0"/>
        <w:autoSpaceDN w:val="0"/>
        <w:snapToGrid w:val="0"/>
        <w:spacing w:before="145" w:after="0" w:line="263" w:lineRule="exact"/>
        <w:ind w:left="42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由评标委员会的经济组评委认定投标人是否以低于成本竞标。</w:t>
      </w:r>
    </w:p>
    <w:p>
      <w:pPr>
        <w:autoSpaceDE w:val="0"/>
        <w:autoSpaceDN w:val="0"/>
        <w:snapToGrid w:val="0"/>
        <w:spacing w:before="0" w:after="0" w:line="400" w:lineRule="exact"/>
        <w:ind w:left="0" w:right="131" w:firstLine="422"/>
        <w:jc w:val="both"/>
        <w:textAlignment w:val="auto"/>
        <w:rPr>
          <w:rFonts w:hint="default" w:ascii="宋体" w:hAnsi="宋体" w:eastAsia="宋体" w:cs="宋体"/>
          <w:color w:val="auto"/>
          <w:sz w:val="21"/>
        </w:rPr>
      </w:pPr>
    </w:p>
    <w:p>
      <w:pPr>
        <w:autoSpaceDE w:val="0"/>
        <w:autoSpaceDN w:val="0"/>
        <w:snapToGrid w:val="0"/>
        <w:spacing w:before="138"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A4.7</w:t>
      </w:r>
      <w:r>
        <w:rPr>
          <w:rFonts w:hint="default" w:ascii="宋体" w:hAnsi="宋体" w:eastAsia="宋体" w:cs="宋体"/>
          <w:color w:val="auto"/>
          <w:sz w:val="21"/>
        </w:rPr>
        <w:t>澄清、说明或补正</w:t>
      </w:r>
    </w:p>
    <w:p>
      <w:pPr>
        <w:autoSpaceDE w:val="0"/>
        <w:autoSpaceDN w:val="0"/>
        <w:snapToGrid w:val="0"/>
        <w:spacing w:before="35" w:after="0" w:line="400" w:lineRule="exact"/>
        <w:ind w:left="0" w:right="87" w:firstLine="422"/>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在评审过程中</w:t>
      </w:r>
      <w:r>
        <w:rPr>
          <w:rFonts w:hint="default" w:ascii="宋体" w:hAnsi="宋体" w:eastAsia="宋体" w:cs="宋体"/>
          <w:color w:val="auto"/>
          <w:sz w:val="21"/>
        </w:rPr>
        <w:t>，评标委员会应当就投标文件中不明确的内容要求投标人进行澄清、说明或者补正。投标人对此以书面形式予以澄清、说明或者补正。澄清、说明或补正根据本章</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款的规定执行。</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A4.8  </w:t>
      </w:r>
      <w:r>
        <w:rPr>
          <w:rFonts w:hint="default" w:ascii="宋体" w:hAnsi="宋体" w:eastAsia="宋体" w:cs="宋体"/>
          <w:color w:val="auto"/>
          <w:sz w:val="21"/>
        </w:rPr>
        <w:t>汇总评分结果</w:t>
      </w:r>
    </w:p>
    <w:p>
      <w:pPr>
        <w:autoSpaceDE w:val="0"/>
        <w:autoSpaceDN w:val="0"/>
        <w:snapToGrid w:val="0"/>
        <w:spacing w:before="35" w:after="0" w:line="400" w:lineRule="exact"/>
        <w:ind w:left="0" w:right="87" w:firstLine="422"/>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详细评审工作</w:t>
      </w:r>
      <w:r>
        <w:rPr>
          <w:rFonts w:hint="default" w:ascii="宋体" w:hAnsi="宋体" w:eastAsia="宋体" w:cs="宋体"/>
          <w:color w:val="auto"/>
          <w:sz w:val="21"/>
        </w:rPr>
        <w:t>全部结束后，汇总评标委员会各成员的详细评审评分结果，并按照详细评审最终得分由高至低的次序对投标人进行排序。</w:t>
      </w:r>
    </w:p>
    <w:p>
      <w:pPr>
        <w:autoSpaceDE w:val="0"/>
        <w:autoSpaceDN w:val="0"/>
        <w:snapToGrid w:val="0"/>
        <w:spacing w:before="170" w:after="0" w:line="240" w:lineRule="auto"/>
        <w:ind w:left="2"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A5 </w:t>
      </w:r>
      <w:r>
        <w:rPr>
          <w:rFonts w:hint="default" w:ascii="黑体" w:hAnsi="黑体" w:eastAsia="黑体" w:cs="黑体"/>
          <w:b/>
          <w:color w:val="auto"/>
          <w:sz w:val="21"/>
        </w:rPr>
        <w:t>推荐中标候选人或者直接确定中标人</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A5.1 </w:t>
      </w:r>
      <w:r>
        <w:rPr>
          <w:rFonts w:hint="default" w:ascii="宋体" w:hAnsi="宋体" w:eastAsia="宋体" w:cs="宋体"/>
          <w:color w:val="auto"/>
          <w:sz w:val="21"/>
        </w:rPr>
        <w:t>推荐中标候选人</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A5.1.1</w:t>
      </w:r>
      <w:r>
        <w:rPr>
          <w:rFonts w:hint="default" w:ascii="Times New Roman" w:hAnsi="Times New Roman" w:eastAsia="Times New Roman" w:cs="Times New Roman"/>
          <w:color w:val="auto"/>
          <w:spacing w:val="58"/>
          <w:sz w:val="21"/>
        </w:rPr>
        <w:t xml:space="preserve"> </w:t>
      </w:r>
      <w:r>
        <w:rPr>
          <w:rFonts w:hint="default" w:ascii="宋体" w:hAnsi="宋体" w:eastAsia="宋体" w:cs="宋体"/>
          <w:color w:val="auto"/>
          <w:spacing w:val="-1"/>
          <w:sz w:val="21"/>
        </w:rPr>
        <w:t>除第</w:t>
      </w:r>
      <w:r>
        <w:rPr>
          <w:rFonts w:hint="default" w:ascii="宋体" w:hAnsi="宋体" w:eastAsia="宋体" w:cs="宋体"/>
          <w:color w:val="auto"/>
          <w:sz w:val="21"/>
        </w:rPr>
        <w:t>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款授权直接确定中标人外，评标委员会在推荐中标候选人</w:t>
      </w:r>
    </w:p>
    <w:p>
      <w:pPr>
        <w:autoSpaceDE w:val="0"/>
        <w:autoSpaceDN w:val="0"/>
        <w:snapToGrid w:val="0"/>
        <w:spacing w:before="14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时，应遵照以下原则：</w:t>
      </w:r>
    </w:p>
    <w:p>
      <w:pPr>
        <w:autoSpaceDE w:val="0"/>
        <w:autoSpaceDN w:val="0"/>
        <w:snapToGrid w:val="0"/>
        <w:spacing w:before="28" w:after="0" w:line="400" w:lineRule="exact"/>
        <w:ind w:left="0" w:right="6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）评标委</w:t>
      </w:r>
      <w:r>
        <w:rPr>
          <w:rFonts w:hint="default" w:ascii="宋体" w:hAnsi="宋体" w:eastAsia="宋体" w:cs="宋体"/>
          <w:color w:val="auto"/>
          <w:sz w:val="21"/>
        </w:rPr>
        <w:t>员会按照最终得分由高至低的次序排列，并根据第二章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款规定及本章的规定推荐中标候选人。</w:t>
      </w:r>
    </w:p>
    <w:p>
      <w:pPr>
        <w:autoSpaceDE w:val="0"/>
        <w:autoSpaceDN w:val="0"/>
        <w:snapToGrid w:val="0"/>
        <w:spacing w:before="11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）如果评标委员会根据本章的规定作否决投标处理后，有效投标不足三个，且少于第二章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w:t>
      </w:r>
    </w:p>
    <w:p>
      <w:pPr>
        <w:autoSpaceDE w:val="0"/>
        <w:autoSpaceDN w:val="0"/>
        <w:snapToGrid w:val="0"/>
        <w:spacing w:before="28"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7.</w:t>
      </w:r>
      <w:r>
        <w:rPr>
          <w:rFonts w:hint="default" w:ascii="Times New Roman" w:hAnsi="Times New Roman" w:eastAsia="Times New Roman" w:cs="Times New Roman"/>
          <w:color w:val="auto"/>
          <w:spacing w:val="52"/>
          <w:sz w:val="21"/>
        </w:rPr>
        <w:t>1</w:t>
      </w:r>
      <w:r>
        <w:rPr>
          <w:rFonts w:hint="default" w:ascii="宋体" w:hAnsi="宋体" w:eastAsia="宋体" w:cs="宋体"/>
          <w:color w:val="auto"/>
          <w:sz w:val="21"/>
        </w:rPr>
        <w:t>款规定的中标候选人数量的，如经评标委员会评定仍具备竞争性的，可以将所有有效投标按最终得分由高至低的次序作为中标候选人向招标人推荐。如果因评标委员会否决投标后有效投标不足三个且评标委员会评定投标明显缺乏竞争的，评标委员会可以否决所有投标。</w:t>
      </w:r>
    </w:p>
    <w:p>
      <w:pPr>
        <w:autoSpaceDE w:val="0"/>
        <w:autoSpaceDN w:val="0"/>
        <w:snapToGrid w:val="0"/>
        <w:spacing w:before="0" w:after="0" w:line="400" w:lineRule="exact"/>
        <w:ind w:left="0" w:right="0" w:firstLine="422"/>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A5.1.2</w:t>
      </w:r>
      <w:r>
        <w:rPr>
          <w:rFonts w:hint="default" w:ascii="Times New Roman" w:hAnsi="Times New Roman" w:eastAsia="Times New Roman" w:cs="Times New Roman"/>
          <w:color w:val="auto"/>
          <w:spacing w:val="19"/>
          <w:sz w:val="21"/>
        </w:rPr>
        <w:t xml:space="preserve"> </w:t>
      </w:r>
      <w:r>
        <w:rPr>
          <w:rFonts w:hint="default" w:ascii="宋体" w:hAnsi="宋体" w:eastAsia="宋体" w:cs="宋体"/>
          <w:color w:val="auto"/>
          <w:spacing w:val="-1"/>
          <w:sz w:val="21"/>
        </w:rPr>
        <w:t>投</w:t>
      </w:r>
      <w:r>
        <w:rPr>
          <w:rFonts w:hint="default" w:ascii="宋体" w:hAnsi="宋体" w:eastAsia="宋体" w:cs="宋体"/>
          <w:color w:val="auto"/>
          <w:sz w:val="21"/>
        </w:rPr>
        <w:t>标截止时间前递交投标文件的投标人数量少于三个或者所有投标被否决的，招标人应当依法重新招标。</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A5.2 </w:t>
      </w:r>
      <w:r>
        <w:rPr>
          <w:rFonts w:hint="default" w:ascii="宋体" w:hAnsi="宋体" w:eastAsia="宋体" w:cs="宋体"/>
          <w:color w:val="auto"/>
          <w:sz w:val="21"/>
        </w:rPr>
        <w:t>直接确定中标人</w:t>
      </w:r>
    </w:p>
    <w:p>
      <w:pPr>
        <w:autoSpaceDE w:val="0"/>
        <w:autoSpaceDN w:val="0"/>
        <w:snapToGrid w:val="0"/>
        <w:spacing w:before="35" w:after="0" w:line="400" w:lineRule="exact"/>
        <w:ind w:left="0" w:right="113"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第二章</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w:t>
      </w:r>
      <w:r>
        <w:rPr>
          <w:rFonts w:hint="default" w:ascii="宋体" w:hAnsi="宋体" w:eastAsia="宋体" w:cs="宋体"/>
          <w:color w:val="auto"/>
          <w:sz w:val="21"/>
        </w:rPr>
        <w:t>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前附表授权评标委员会直接确定中标人的，评标委员会按照最终得分由高至低的次序排列，按照本章的规定直接确定中标人。</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A5.3 </w:t>
      </w:r>
      <w:r>
        <w:rPr>
          <w:rFonts w:hint="default" w:ascii="宋体" w:hAnsi="宋体" w:eastAsia="宋体" w:cs="宋体"/>
          <w:color w:val="auto"/>
          <w:sz w:val="21"/>
        </w:rPr>
        <w:t>编制评标报告</w:t>
      </w:r>
    </w:p>
    <w:p>
      <w:pPr>
        <w:autoSpaceDE w:val="0"/>
        <w:autoSpaceDN w:val="0"/>
        <w:snapToGrid w:val="0"/>
        <w:spacing w:before="35" w:after="0" w:line="400" w:lineRule="exact"/>
        <w:ind w:left="0" w:right="8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评标委员会向</w:t>
      </w:r>
      <w:r>
        <w:rPr>
          <w:rFonts w:hint="default" w:ascii="宋体" w:hAnsi="宋体" w:eastAsia="宋体" w:cs="宋体"/>
          <w:color w:val="auto"/>
          <w:sz w:val="21"/>
        </w:rPr>
        <w:t>招标人提交评标报告。评标报告应当由全体评标委员会成员签字，并于评标结束时抄送有关行政监督部门。评标报告应当包括但不限于以下内容：</w:t>
      </w:r>
    </w:p>
    <w:p>
      <w:pPr>
        <w:autoSpaceDE w:val="0"/>
        <w:autoSpaceDN w:val="0"/>
        <w:snapToGrid w:val="0"/>
        <w:spacing w:before="11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）基本情况和数据表；</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）评标委员会成员名单；</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）开标记录；</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）符合要求的投标一览表；</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）否决投标情况说明；</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）评标标准、评标方法或者评标因素一览表；</w:t>
      </w:r>
    </w:p>
    <w:p>
      <w:pPr>
        <w:autoSpaceDE w:val="0"/>
        <w:autoSpaceDN w:val="0"/>
        <w:snapToGrid w:val="0"/>
        <w:spacing w:before="28" w:after="0" w:line="400" w:lineRule="exact"/>
        <w:ind w:left="0" w:right="404"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）经评审</w:t>
      </w:r>
      <w:r>
        <w:rPr>
          <w:rFonts w:hint="default" w:ascii="宋体" w:hAnsi="宋体" w:eastAsia="宋体" w:cs="宋体"/>
          <w:color w:val="auto"/>
          <w:sz w:val="21"/>
        </w:rPr>
        <w:t>的价格一览表（包括评标委员会在评标过程中所形成的所有记载评标结果、结论的表格、说明、记录等文件）；</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）经评审的投标人排序；</w:t>
      </w:r>
    </w:p>
    <w:p>
      <w:pPr>
        <w:autoSpaceDE w:val="0"/>
        <w:autoSpaceDN w:val="0"/>
        <w:snapToGrid w:val="0"/>
        <w:spacing w:before="28" w:after="0" w:line="400"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w:t>
      </w:r>
      <w:r>
        <w:rPr>
          <w:rFonts w:hint="default" w:ascii="Times New Roman" w:hAnsi="Times New Roman" w:eastAsia="Times New Roman" w:cs="Times New Roman"/>
          <w:color w:val="auto"/>
          <w:spacing w:val="-2"/>
          <w:sz w:val="21"/>
        </w:rPr>
        <w:t>9</w:t>
      </w:r>
      <w:r>
        <w:rPr>
          <w:rFonts w:hint="default" w:ascii="宋体" w:hAnsi="宋体" w:eastAsia="宋体" w:cs="宋体"/>
          <w:color w:val="auto"/>
          <w:spacing w:val="-2"/>
          <w:sz w:val="21"/>
        </w:rPr>
        <w:t>）推荐的中标候选人</w:t>
      </w:r>
      <w:r>
        <w:rPr>
          <w:rFonts w:hint="default" w:ascii="宋体" w:hAnsi="宋体" w:eastAsia="宋体" w:cs="宋体"/>
          <w:color w:val="auto"/>
          <w:spacing w:val="-1"/>
          <w:sz w:val="21"/>
        </w:rPr>
        <w:t>名单（如果第二章</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投标人须知</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前附表授权评标委员会直接确定中标人，则为</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确定的中标人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）与签订合同前要处理的事宜；</w:t>
      </w:r>
    </w:p>
    <w:p>
      <w:pPr>
        <w:autoSpaceDE w:val="0"/>
        <w:autoSpaceDN w:val="0"/>
        <w:snapToGrid w:val="0"/>
        <w:spacing w:before="11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）澄清、说明、补正事项纪要。</w:t>
      </w:r>
    </w:p>
    <w:p>
      <w:pPr>
        <w:autoSpaceDE w:val="0"/>
        <w:autoSpaceDN w:val="0"/>
        <w:snapToGrid w:val="0"/>
        <w:spacing w:before="198" w:after="0" w:line="240" w:lineRule="auto"/>
        <w:ind w:left="2"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A6 </w:t>
      </w:r>
      <w:r>
        <w:rPr>
          <w:rFonts w:hint="default" w:ascii="黑体" w:hAnsi="黑体" w:eastAsia="黑体" w:cs="黑体"/>
          <w:b/>
          <w:color w:val="auto"/>
          <w:sz w:val="21"/>
        </w:rPr>
        <w:t>特殊情况的处置程序</w:t>
      </w:r>
    </w:p>
    <w:p>
      <w:pPr>
        <w:autoSpaceDE w:val="0"/>
        <w:autoSpaceDN w:val="0"/>
        <w:snapToGrid w:val="0"/>
        <w:spacing w:before="205"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A6.1 </w:t>
      </w:r>
      <w:r>
        <w:rPr>
          <w:rFonts w:hint="default" w:ascii="宋体" w:hAnsi="宋体" w:eastAsia="宋体" w:cs="宋体"/>
          <w:color w:val="auto"/>
          <w:sz w:val="21"/>
        </w:rPr>
        <w:t>暗标评审的评审程序规定（适用于对施工组织设计进行暗标评审的）</w:t>
      </w:r>
    </w:p>
    <w:p>
      <w:pPr>
        <w:autoSpaceDE w:val="0"/>
        <w:autoSpaceDN w:val="0"/>
        <w:snapToGrid w:val="0"/>
        <w:spacing w:before="145"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A6.2 </w:t>
      </w:r>
      <w:r>
        <w:rPr>
          <w:rFonts w:hint="default" w:ascii="宋体" w:hAnsi="宋体" w:eastAsia="宋体" w:cs="宋体"/>
          <w:color w:val="auto"/>
          <w:sz w:val="21"/>
        </w:rPr>
        <w:t>关于评标活动暂停</w:t>
      </w:r>
    </w:p>
    <w:p>
      <w:pPr>
        <w:autoSpaceDE w:val="0"/>
        <w:autoSpaceDN w:val="0"/>
        <w:snapToGrid w:val="0"/>
        <w:spacing w:before="35"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A6.2.1</w:t>
      </w:r>
      <w:r>
        <w:rPr>
          <w:rFonts w:hint="default" w:ascii="Times New Roman" w:hAnsi="Times New Roman" w:eastAsia="Times New Roman" w:cs="Times New Roman"/>
          <w:color w:val="auto"/>
          <w:spacing w:val="20"/>
          <w:sz w:val="21"/>
        </w:rPr>
        <w:t xml:space="preserve"> </w:t>
      </w:r>
      <w:r>
        <w:rPr>
          <w:rFonts w:hint="default" w:ascii="宋体" w:hAnsi="宋体" w:eastAsia="宋体" w:cs="宋体"/>
          <w:color w:val="auto"/>
          <w:spacing w:val="-1"/>
          <w:sz w:val="21"/>
        </w:rPr>
        <w:t>评</w:t>
      </w:r>
      <w:r>
        <w:rPr>
          <w:rFonts w:hint="default" w:ascii="宋体" w:hAnsi="宋体" w:eastAsia="宋体" w:cs="宋体"/>
          <w:color w:val="auto"/>
          <w:sz w:val="21"/>
        </w:rPr>
        <w:t>标委员会应当执行连续评标的原则，按评标办法中规定的程序、内容、方法、标准完成全部评标工作。只有发生不可抗力导致评标工作无法继续时，评标活动方可暂停。</w:t>
      </w:r>
    </w:p>
    <w:p>
      <w:pPr>
        <w:autoSpaceDE w:val="0"/>
        <w:autoSpaceDN w:val="0"/>
        <w:snapToGrid w:val="0"/>
        <w:spacing w:before="0"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A6.2.2</w:t>
      </w:r>
      <w:r>
        <w:rPr>
          <w:rFonts w:hint="default" w:ascii="Times New Roman" w:hAnsi="Times New Roman" w:eastAsia="Times New Roman" w:cs="Times New Roman"/>
          <w:color w:val="auto"/>
          <w:spacing w:val="20"/>
          <w:sz w:val="21"/>
        </w:rPr>
        <w:t xml:space="preserve"> </w:t>
      </w:r>
      <w:r>
        <w:rPr>
          <w:rFonts w:hint="default" w:ascii="宋体" w:hAnsi="宋体" w:eastAsia="宋体" w:cs="宋体"/>
          <w:color w:val="auto"/>
          <w:spacing w:val="-1"/>
          <w:sz w:val="21"/>
        </w:rPr>
        <w:t>发</w:t>
      </w:r>
      <w:r>
        <w:rPr>
          <w:rFonts w:hint="default" w:ascii="宋体" w:hAnsi="宋体" w:eastAsia="宋体" w:cs="宋体"/>
          <w:color w:val="auto"/>
          <w:sz w:val="21"/>
        </w:rPr>
        <w:t>生评标暂停情况时，评标委员会应当封存全部投标文件和评标记录，待不可抗力的影响结束且具备继续评标的条件时，由原评标委员会继续评标。</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A6.3 </w:t>
      </w:r>
      <w:r>
        <w:rPr>
          <w:rFonts w:hint="default" w:ascii="宋体" w:hAnsi="宋体" w:eastAsia="宋体" w:cs="宋体"/>
          <w:color w:val="auto"/>
          <w:sz w:val="21"/>
        </w:rPr>
        <w:t>关于评标中途更换评委</w:t>
      </w:r>
    </w:p>
    <w:p>
      <w:pPr>
        <w:autoSpaceDE w:val="0"/>
        <w:autoSpaceDN w:val="0"/>
        <w:snapToGrid w:val="0"/>
        <w:spacing w:before="145"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A6.3.1 </w:t>
      </w:r>
      <w:r>
        <w:rPr>
          <w:rFonts w:hint="default" w:ascii="宋体" w:hAnsi="宋体" w:eastAsia="宋体" w:cs="宋体"/>
          <w:color w:val="auto"/>
          <w:sz w:val="21"/>
        </w:rPr>
        <w:t>除非发生下列情况之一，评标委员会成员不得在评标中途更换：</w:t>
      </w:r>
    </w:p>
    <w:p>
      <w:pPr>
        <w:autoSpaceDE w:val="0"/>
        <w:autoSpaceDN w:val="0"/>
        <w:snapToGrid w:val="0"/>
        <w:spacing w:before="145" w:after="0" w:line="263" w:lineRule="exact"/>
        <w:ind w:left="42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）因不可抗拒的客观原因，不能到场或需在评标中途退出评标活动。</w:t>
      </w:r>
    </w:p>
    <w:p>
      <w:pPr>
        <w:autoSpaceDE w:val="0"/>
        <w:autoSpaceDN w:val="0"/>
        <w:snapToGrid w:val="0"/>
        <w:spacing w:before="138"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）根据法律法规规定，某个或某几个评标委员会成员需要回避。</w:t>
      </w:r>
    </w:p>
    <w:p>
      <w:pPr>
        <w:autoSpaceDE w:val="0"/>
        <w:autoSpaceDN w:val="0"/>
        <w:snapToGrid w:val="0"/>
        <w:spacing w:before="28" w:after="0" w:line="40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A6.3.2</w:t>
      </w:r>
      <w:r>
        <w:rPr>
          <w:rFonts w:hint="default" w:ascii="Times New Roman" w:hAnsi="Times New Roman" w:eastAsia="Times New Roman" w:cs="Times New Roman"/>
          <w:color w:val="auto"/>
          <w:spacing w:val="20"/>
          <w:sz w:val="21"/>
        </w:rPr>
        <w:t xml:space="preserve"> </w:t>
      </w:r>
      <w:r>
        <w:rPr>
          <w:rFonts w:hint="default" w:ascii="宋体" w:hAnsi="宋体" w:eastAsia="宋体" w:cs="宋体"/>
          <w:color w:val="auto"/>
          <w:spacing w:val="-1"/>
          <w:sz w:val="21"/>
        </w:rPr>
        <w:t>退</w:t>
      </w:r>
      <w:r>
        <w:rPr>
          <w:rFonts w:hint="default" w:ascii="宋体" w:hAnsi="宋体" w:eastAsia="宋体" w:cs="宋体"/>
          <w:color w:val="auto"/>
          <w:sz w:val="21"/>
        </w:rPr>
        <w:t>出评标的评标委员会成员，其已完成的评标行为无效。由招标人根据本招标文件规定的评标委员会成员生产方式另行确定替代者进行评标。</w:t>
      </w:r>
    </w:p>
    <w:p>
      <w:pPr>
        <w:autoSpaceDE w:val="0"/>
        <w:autoSpaceDN w:val="0"/>
        <w:snapToGrid w:val="0"/>
        <w:spacing w:before="110" w:after="0" w:line="240" w:lineRule="auto"/>
        <w:ind w:left="422"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A6.4 </w:t>
      </w:r>
      <w:r>
        <w:rPr>
          <w:rFonts w:hint="default" w:ascii="宋体" w:hAnsi="宋体" w:eastAsia="宋体" w:cs="宋体"/>
          <w:color w:val="auto"/>
          <w:sz w:val="21"/>
        </w:rPr>
        <w:t>记名投票</w:t>
      </w:r>
    </w:p>
    <w:p>
      <w:pPr>
        <w:autoSpaceDE w:val="0"/>
        <w:autoSpaceDN w:val="0"/>
        <w:snapToGrid w:val="0"/>
        <w:spacing w:before="35" w:after="0" w:line="400" w:lineRule="exact"/>
        <w:ind w:left="0" w:right="89"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需评标委员会</w:t>
      </w:r>
      <w:r>
        <w:rPr>
          <w:rFonts w:hint="default" w:ascii="宋体" w:hAnsi="宋体" w:eastAsia="宋体" w:cs="宋体"/>
          <w:color w:val="auto"/>
          <w:sz w:val="21"/>
        </w:rPr>
        <w:t>就某项定性的评审结论做出表决的，由评标委员会全体成员按照少数服从多数的原则，以记名投票方式表决。</w:t>
      </w:r>
    </w:p>
    <w:p>
      <w:pPr>
        <w:autoSpaceDE w:val="0"/>
        <w:autoSpaceDN w:val="0"/>
        <w:snapToGrid w:val="0"/>
        <w:spacing w:before="170" w:after="0" w:line="240" w:lineRule="auto"/>
        <w:ind w:left="2"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A7 </w:t>
      </w:r>
      <w:r>
        <w:rPr>
          <w:rFonts w:hint="default" w:ascii="黑体" w:hAnsi="黑体" w:eastAsia="黑体" w:cs="黑体"/>
          <w:b/>
          <w:color w:val="auto"/>
          <w:sz w:val="21"/>
        </w:rPr>
        <w:t>补充条款</w:t>
      </w:r>
    </w:p>
    <w:p>
      <w:pPr>
        <w:autoSpaceDE w:val="0"/>
        <w:autoSpaceDN w:val="0"/>
        <w:snapToGrid w:val="0"/>
        <w:spacing w:before="219" w:after="0" w:line="240" w:lineRule="auto"/>
        <w:ind w:left="42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p>
      <w:pPr>
        <w:autoSpaceDE w:val="0"/>
        <w:autoSpaceDN w:val="0"/>
        <w:snapToGrid w:val="0"/>
        <w:spacing w:before="0" w:after="0" w:line="400" w:lineRule="exact"/>
        <w:ind w:left="3278" w:right="0" w:firstLine="0"/>
        <w:jc w:val="left"/>
        <w:textAlignment w:val="auto"/>
        <w:rPr>
          <w:rFonts w:hint="default" w:ascii="黑体" w:hAnsi="黑体" w:eastAsia="黑体" w:cs="黑体"/>
          <w:b/>
          <w:color w:val="auto"/>
          <w:sz w:val="32"/>
        </w:rPr>
      </w:pPr>
      <w:r>
        <w:rPr>
          <w:rFonts w:hint="default" w:ascii="黑体" w:hAnsi="黑体" w:eastAsia="黑体" w:cs="黑体"/>
          <w:b/>
          <w:color w:val="auto"/>
          <w:sz w:val="32"/>
        </w:rPr>
        <w:br w:type="textWrapping"/>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r>
        <w:rPr>
          <w:rFonts w:hint="default"/>
          <w:color w:val="auto"/>
        </w:rPr>
        <w:t>附件 B 否决投标条件</w:t>
      </w:r>
    </w:p>
    <w:p>
      <w:pPr>
        <w:autoSpaceDE w:val="0"/>
        <w:autoSpaceDN w:val="0"/>
        <w:snapToGrid w:val="0"/>
        <w:spacing w:before="281"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B0 </w:t>
      </w:r>
      <w:r>
        <w:rPr>
          <w:rFonts w:hint="default" w:ascii="黑体" w:hAnsi="黑体" w:eastAsia="黑体" w:cs="黑体"/>
          <w:b/>
          <w:color w:val="auto"/>
          <w:sz w:val="21"/>
        </w:rPr>
        <w:t>总</w:t>
      </w:r>
      <w:r>
        <w:rPr>
          <w:rFonts w:hint="default" w:ascii="黑体" w:hAnsi="黑体" w:eastAsia="黑体" w:cs="黑体"/>
          <w:b/>
          <w:color w:val="auto"/>
          <w:spacing w:val="53"/>
          <w:sz w:val="21"/>
        </w:rPr>
        <w:t xml:space="preserve"> </w:t>
      </w:r>
      <w:r>
        <w:rPr>
          <w:rFonts w:hint="default" w:ascii="黑体" w:hAnsi="黑体" w:eastAsia="黑体" w:cs="黑体"/>
          <w:b/>
          <w:color w:val="auto"/>
          <w:sz w:val="21"/>
        </w:rPr>
        <w:t>则</w:t>
      </w:r>
    </w:p>
    <w:p>
      <w:pPr>
        <w:autoSpaceDE w:val="0"/>
        <w:autoSpaceDN w:val="0"/>
        <w:snapToGrid w:val="0"/>
        <w:spacing w:before="274"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本附件所集中列示的否决投标条件，是本章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z w:val="21"/>
        </w:rPr>
        <w:t>的组成部分，是对第二章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w:t>
      </w:r>
    </w:p>
    <w:p>
      <w:pPr>
        <w:autoSpaceDE w:val="0"/>
        <w:autoSpaceDN w:val="0"/>
        <w:snapToGrid w:val="0"/>
        <w:spacing w:before="29" w:after="0" w:line="408" w:lineRule="exact"/>
        <w:ind w:left="0" w:right="111"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正文部分所规</w:t>
      </w:r>
      <w:r>
        <w:rPr>
          <w:rFonts w:hint="default" w:ascii="宋体" w:hAnsi="宋体" w:eastAsia="宋体" w:cs="宋体"/>
          <w:color w:val="auto"/>
          <w:sz w:val="21"/>
        </w:rPr>
        <w:t>定的否决投标条件的总结和补充，如果出现相互矛盾的情况，以第二章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z w:val="21"/>
        </w:rPr>
        <w:t>和本章正文部分的规定为准。</w:t>
      </w:r>
    </w:p>
    <w:p>
      <w:pPr>
        <w:autoSpaceDE w:val="0"/>
        <w:autoSpaceDN w:val="0"/>
        <w:snapToGrid w:val="0"/>
        <w:spacing w:before="177" w:after="0" w:line="240" w:lineRule="auto"/>
        <w:ind w:left="0" w:right="0" w:firstLine="0"/>
        <w:jc w:val="left"/>
        <w:textAlignment w:val="auto"/>
        <w:rPr>
          <w:rFonts w:hint="default" w:ascii="黑体" w:hAnsi="黑体" w:eastAsia="黑体" w:cs="黑体"/>
          <w:b/>
          <w:color w:val="auto"/>
          <w:sz w:val="21"/>
        </w:rPr>
      </w:pPr>
      <w:r>
        <w:rPr>
          <w:rFonts w:hint="default" w:ascii="Arial" w:hAnsi="Arial" w:eastAsia="Arial" w:cs="Arial"/>
          <w:b/>
          <w:color w:val="auto"/>
          <w:sz w:val="21"/>
        </w:rPr>
        <w:t xml:space="preserve">B1 </w:t>
      </w:r>
      <w:r>
        <w:rPr>
          <w:rFonts w:hint="default" w:ascii="黑体" w:hAnsi="黑体" w:eastAsia="黑体" w:cs="黑体"/>
          <w:b/>
          <w:color w:val="auto"/>
          <w:sz w:val="21"/>
        </w:rPr>
        <w:t>否决投标条件</w:t>
      </w:r>
    </w:p>
    <w:p>
      <w:pPr>
        <w:autoSpaceDE w:val="0"/>
        <w:autoSpaceDN w:val="0"/>
        <w:snapToGrid w:val="0"/>
        <w:spacing w:before="274"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投标人或其投标文件有下列情形之一的，其投标作否决投标处理：</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 </w:t>
      </w:r>
      <w:r>
        <w:rPr>
          <w:rFonts w:hint="default" w:ascii="宋体" w:hAnsi="宋体" w:eastAsia="宋体" w:cs="宋体"/>
          <w:color w:val="auto"/>
          <w:sz w:val="21"/>
        </w:rPr>
        <w:t>有第二章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投标人须知</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1.4.</w:t>
      </w:r>
      <w:r>
        <w:rPr>
          <w:rFonts w:hint="eastAsia" w:eastAsia="宋体" w:cs="Times New Roman"/>
          <w:color w:val="auto"/>
          <w:sz w:val="21"/>
          <w:lang w:val="en-US" w:eastAsia="zh-CN"/>
        </w:rPr>
        <w:t>1</w:t>
      </w:r>
      <w:r>
        <w:rPr>
          <w:rFonts w:hint="default" w:ascii="宋体" w:hAnsi="宋体" w:eastAsia="宋体" w:cs="宋体"/>
          <w:color w:val="auto"/>
          <w:sz w:val="21"/>
        </w:rPr>
        <w:t>项规定的任何一种情形的；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B1.2 </w:t>
      </w:r>
      <w:r>
        <w:rPr>
          <w:rFonts w:hint="default" w:ascii="宋体" w:hAnsi="宋体" w:eastAsia="宋体" w:cs="宋体"/>
          <w:color w:val="auto"/>
          <w:sz w:val="21"/>
        </w:rPr>
        <w:t>有串通投标或弄虚作假或有其他违法行为的；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B1.3 </w:t>
      </w:r>
      <w:r>
        <w:rPr>
          <w:rFonts w:hint="default" w:ascii="宋体" w:hAnsi="宋体" w:eastAsia="宋体" w:cs="宋体"/>
          <w:color w:val="auto"/>
          <w:sz w:val="21"/>
        </w:rPr>
        <w:t>不按评标委员会要求澄清、说明或补正的；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B1.4</w:t>
      </w:r>
      <w:r>
        <w:rPr>
          <w:rFonts w:hint="default" w:ascii="Times New Roman" w:hAnsi="Times New Roman" w:eastAsia="Times New Roman" w:cs="Times New Roman"/>
          <w:color w:val="auto"/>
          <w:spacing w:val="57"/>
          <w:sz w:val="21"/>
        </w:rPr>
        <w:t xml:space="preserve"> </w:t>
      </w:r>
      <w:r>
        <w:rPr>
          <w:rFonts w:hint="default" w:ascii="宋体" w:hAnsi="宋体" w:eastAsia="宋体" w:cs="宋体"/>
          <w:color w:val="auto"/>
          <w:spacing w:val="-1"/>
          <w:sz w:val="21"/>
        </w:rPr>
        <w:t>在资</w:t>
      </w:r>
      <w:r>
        <w:rPr>
          <w:rFonts w:hint="default" w:ascii="宋体" w:hAnsi="宋体" w:eastAsia="宋体" w:cs="宋体"/>
          <w:color w:val="auto"/>
          <w:sz w:val="21"/>
        </w:rPr>
        <w:t>格评审、形式评审、响应性评审中，评标委员会认定投标人的投标文件不符合</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评标办法前</w:t>
      </w:r>
    </w:p>
    <w:p>
      <w:pPr>
        <w:autoSpaceDE w:val="0"/>
        <w:autoSpaceDN w:val="0"/>
        <w:snapToGrid w:val="0"/>
        <w:spacing w:before="36" w:after="0" w:line="409" w:lineRule="exact"/>
        <w:ind w:left="0" w:right="20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附表</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中规定</w:t>
      </w:r>
      <w:r>
        <w:rPr>
          <w:rFonts w:hint="default" w:ascii="宋体" w:hAnsi="宋体" w:eastAsia="宋体" w:cs="宋体"/>
          <w:color w:val="auto"/>
          <w:sz w:val="21"/>
        </w:rPr>
        <w:t>的任何一项评审标准的【备注：如资格审查采用有限数量制时，资格审查的评审内容按打分制给予对应分值，无相关证明材料的给</w:t>
      </w:r>
      <w:r>
        <w:rPr>
          <w:rFonts w:hint="default" w:ascii="宋体" w:hAnsi="宋体" w:eastAsia="宋体" w:cs="宋体"/>
          <w:color w:val="auto"/>
          <w:spacing w:val="26"/>
          <w:sz w:val="21"/>
        </w:rPr>
        <w:t>予</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分，但不做否决投标处理。】；</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B1.5 </w:t>
      </w:r>
      <w:r>
        <w:rPr>
          <w:rFonts w:hint="default" w:ascii="宋体" w:hAnsi="宋体" w:eastAsia="宋体" w:cs="宋体"/>
          <w:color w:val="auto"/>
          <w:sz w:val="21"/>
        </w:rPr>
        <w:t>在技术标评审中，评标委员会认定投标人的投标未能通过此项评审的；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B1.6 </w:t>
      </w:r>
      <w:r>
        <w:rPr>
          <w:rFonts w:hint="default" w:ascii="宋体" w:hAnsi="宋体" w:eastAsia="宋体" w:cs="宋体"/>
          <w:color w:val="auto"/>
          <w:sz w:val="21"/>
        </w:rPr>
        <w:t>不按第二章投标须知前附表</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2"/>
          <w:sz w:val="21"/>
        </w:rPr>
        <w:t>1</w:t>
      </w:r>
      <w:r>
        <w:rPr>
          <w:rFonts w:hint="default" w:ascii="宋体" w:hAnsi="宋体" w:eastAsia="宋体" w:cs="宋体"/>
          <w:color w:val="auto"/>
          <w:sz w:val="21"/>
        </w:rPr>
        <w:t>条内容提供资料的；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B1.7 </w:t>
      </w:r>
      <w:r>
        <w:rPr>
          <w:rFonts w:hint="default" w:ascii="宋体" w:hAnsi="宋体" w:eastAsia="宋体" w:cs="宋体"/>
          <w:color w:val="auto"/>
          <w:sz w:val="21"/>
        </w:rPr>
        <w:t>由委托代理人签字或盖章，但未随投标文件一起提交有效的</w:t>
      </w:r>
      <w:r>
        <w:rPr>
          <w:rFonts w:hint="default" w:ascii="Times New Roman" w:hAnsi="Times New Roman" w:eastAsia="Times New Roman" w:cs="Times New Roman"/>
          <w:color w:val="auto"/>
          <w:sz w:val="21"/>
        </w:rPr>
        <w:t>“</w:t>
      </w:r>
      <w:r>
        <w:rPr>
          <w:rFonts w:hint="default" w:ascii="宋体" w:hAnsi="宋体" w:eastAsia="宋体" w:cs="宋体"/>
          <w:color w:val="auto"/>
          <w:sz w:val="21"/>
        </w:rPr>
        <w:t>授权委托书</w:t>
      </w:r>
      <w:r>
        <w:rPr>
          <w:rFonts w:hint="default" w:ascii="Times New Roman" w:hAnsi="Times New Roman" w:eastAsia="Times New Roman" w:cs="Times New Roman"/>
          <w:color w:val="auto"/>
          <w:sz w:val="21"/>
        </w:rPr>
        <w:t>”</w:t>
      </w:r>
      <w:r>
        <w:rPr>
          <w:rFonts w:hint="default" w:ascii="宋体" w:hAnsi="宋体" w:eastAsia="宋体" w:cs="宋体"/>
          <w:color w:val="auto"/>
          <w:sz w:val="21"/>
        </w:rPr>
        <w:t>原件的；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B1.8 </w:t>
      </w:r>
      <w:r>
        <w:rPr>
          <w:rFonts w:hint="default" w:ascii="宋体" w:hAnsi="宋体" w:eastAsia="宋体" w:cs="宋体"/>
          <w:color w:val="auto"/>
          <w:sz w:val="21"/>
        </w:rPr>
        <w:t>投标文件的关键内容字迹模糊、辨认不清的；</w:t>
      </w:r>
    </w:p>
    <w:p>
      <w:pPr>
        <w:autoSpaceDE w:val="0"/>
        <w:autoSpaceDN w:val="0"/>
        <w:snapToGrid w:val="0"/>
        <w:spacing w:before="153" w:after="0" w:line="384" w:lineRule="auto"/>
        <w:ind w:left="420" w:right="28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B1.9 </w:t>
      </w:r>
      <w:r>
        <w:rPr>
          <w:rFonts w:hint="default" w:ascii="宋体" w:hAnsi="宋体" w:eastAsia="宋体" w:cs="宋体"/>
          <w:color w:val="auto"/>
          <w:sz w:val="21"/>
        </w:rPr>
        <w:t>投标人不接受评标委员会按第三章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评标办法</w:t>
      </w:r>
      <w:r>
        <w:rPr>
          <w:rFonts w:hint="default" w:ascii="Times New Roman" w:hAnsi="Times New Roman" w:eastAsia="Times New Roman" w:cs="Times New Roman"/>
          <w:color w:val="auto"/>
          <w:sz w:val="21"/>
        </w:rPr>
        <w:t>”</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3.1.</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条的原则对投标报价进行修正的；</w:t>
      </w:r>
      <w:r>
        <w:rPr>
          <w:rFonts w:hint="default" w:ascii="Times New Roman" w:hAnsi="Times New Roman" w:eastAsia="Times New Roman" w:cs="Times New Roman"/>
          <w:color w:val="auto"/>
          <w:sz w:val="21"/>
        </w:rPr>
        <w:t xml:space="preserve">B1.10 </w:t>
      </w:r>
      <w:r>
        <w:rPr>
          <w:rFonts w:hint="default" w:ascii="宋体" w:hAnsi="宋体" w:eastAsia="宋体" w:cs="宋体"/>
          <w:color w:val="auto"/>
          <w:sz w:val="21"/>
        </w:rPr>
        <w:t>投标人不具备独立法人资格或作为独立法人资格但就本工程提交一个以上的投标文件的；</w:t>
      </w:r>
      <w:r>
        <w:rPr>
          <w:rFonts w:hint="default" w:ascii="Times New Roman" w:hAnsi="Times New Roman" w:eastAsia="Times New Roman" w:cs="Times New Roman"/>
          <w:color w:val="auto"/>
          <w:sz w:val="21"/>
        </w:rPr>
        <w:t xml:space="preserve">B1.11 </w:t>
      </w:r>
      <w:r>
        <w:rPr>
          <w:rFonts w:hint="default" w:ascii="宋体" w:hAnsi="宋体" w:eastAsia="宋体" w:cs="宋体"/>
          <w:color w:val="auto"/>
          <w:sz w:val="21"/>
        </w:rPr>
        <w:t>投标人没有提供建设工程项目管理承诺书的；</w:t>
      </w:r>
    </w:p>
    <w:p>
      <w:pPr>
        <w:autoSpaceDE w:val="0"/>
        <w:autoSpaceDN w:val="0"/>
        <w:snapToGrid w:val="0"/>
        <w:spacing w:before="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B1.12 </w:t>
      </w:r>
      <w:r>
        <w:rPr>
          <w:rFonts w:hint="default" w:ascii="宋体" w:hAnsi="宋体" w:eastAsia="宋体" w:cs="宋体"/>
          <w:color w:val="auto"/>
          <w:sz w:val="21"/>
        </w:rPr>
        <w:t>投标人采用总价优惠或以总价百分比优惠的方式进行投标报价的；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B1.13 </w:t>
      </w:r>
      <w:r>
        <w:rPr>
          <w:rFonts w:hint="default" w:ascii="宋体" w:hAnsi="宋体" w:eastAsia="宋体" w:cs="宋体"/>
          <w:color w:val="auto"/>
          <w:sz w:val="21"/>
        </w:rPr>
        <w:t>安全文明施工费和规费、增值税不按我区费用定额及造价管理相关文件规定报价的；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B1.14</w:t>
      </w:r>
      <w:r>
        <w:rPr>
          <w:rFonts w:hint="default" w:ascii="Times New Roman" w:hAnsi="Times New Roman" w:eastAsia="Times New Roman" w:cs="Times New Roman"/>
          <w:color w:val="auto"/>
          <w:spacing w:val="156"/>
          <w:sz w:val="21"/>
        </w:rPr>
        <w:t xml:space="preserve"> </w:t>
      </w:r>
      <w:r>
        <w:rPr>
          <w:rFonts w:hint="default" w:ascii="宋体" w:hAnsi="宋体" w:eastAsia="宋体" w:cs="宋体"/>
          <w:color w:val="auto"/>
          <w:spacing w:val="-1"/>
          <w:sz w:val="21"/>
        </w:rPr>
        <w:t>投标</w:t>
      </w:r>
      <w:r>
        <w:rPr>
          <w:rFonts w:hint="default" w:ascii="宋体" w:hAnsi="宋体" w:eastAsia="宋体" w:cs="宋体"/>
          <w:color w:val="auto"/>
          <w:sz w:val="21"/>
        </w:rPr>
        <w:t>人已标价工程量清单的项目编码、计量单位、工程量任何一处与招标工程量清单不一致</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的；</w:t>
      </w:r>
    </w:p>
    <w:p>
      <w:pPr>
        <w:autoSpaceDE w:val="0"/>
        <w:autoSpaceDN w:val="0"/>
        <w:snapToGrid w:val="0"/>
        <w:spacing w:before="29" w:after="0" w:line="409"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B1.15</w:t>
      </w:r>
      <w:r>
        <w:rPr>
          <w:rFonts w:hint="default" w:ascii="Times New Roman" w:hAnsi="Times New Roman" w:eastAsia="Times New Roman" w:cs="Times New Roman"/>
          <w:color w:val="auto"/>
          <w:spacing w:val="51"/>
          <w:sz w:val="21"/>
        </w:rPr>
        <w:t xml:space="preserve"> </w:t>
      </w:r>
      <w:r>
        <w:rPr>
          <w:rFonts w:hint="default" w:ascii="宋体" w:hAnsi="宋体" w:eastAsia="宋体" w:cs="宋体"/>
          <w:color w:val="auto"/>
          <w:spacing w:val="-1"/>
          <w:sz w:val="21"/>
        </w:rPr>
        <w:t>投标</w:t>
      </w:r>
      <w:r>
        <w:rPr>
          <w:rFonts w:hint="default" w:ascii="宋体" w:hAnsi="宋体" w:eastAsia="宋体" w:cs="宋体"/>
          <w:color w:val="auto"/>
          <w:sz w:val="21"/>
        </w:rPr>
        <w:t>人已标价工程量清单的项目名称或项目特征与招标工程量清单不一致，评标委员会要求澄清、说明或补正，但投标人拒绝澄清、说明或补正的；</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B1.16 </w:t>
      </w:r>
      <w:r>
        <w:rPr>
          <w:rFonts w:hint="default" w:ascii="宋体" w:hAnsi="宋体" w:eastAsia="宋体" w:cs="宋体"/>
          <w:color w:val="auto"/>
          <w:sz w:val="21"/>
        </w:rPr>
        <w:t>投标函中的总报价与已标价的工程量清单汇总表不一致的；</w:t>
      </w:r>
    </w:p>
    <w:p>
      <w:pPr>
        <w:autoSpaceDE w:val="0"/>
        <w:autoSpaceDN w:val="0"/>
        <w:snapToGrid w:val="0"/>
        <w:spacing w:before="36" w:after="0" w:line="409"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B1.17</w:t>
      </w:r>
      <w:r>
        <w:rPr>
          <w:rFonts w:hint="default" w:ascii="Times New Roman" w:hAnsi="Times New Roman" w:eastAsia="Times New Roman" w:cs="Times New Roman"/>
          <w:color w:val="auto"/>
          <w:spacing w:val="51"/>
          <w:sz w:val="21"/>
        </w:rPr>
        <w:t xml:space="preserve"> </w:t>
      </w:r>
      <w:r>
        <w:rPr>
          <w:rFonts w:hint="default" w:ascii="宋体" w:hAnsi="宋体" w:eastAsia="宋体" w:cs="宋体"/>
          <w:color w:val="auto"/>
          <w:spacing w:val="-1"/>
          <w:sz w:val="21"/>
        </w:rPr>
        <w:t>设有</w:t>
      </w:r>
      <w:r>
        <w:rPr>
          <w:rFonts w:hint="default" w:ascii="宋体" w:hAnsi="宋体" w:eastAsia="宋体" w:cs="宋体"/>
          <w:color w:val="auto"/>
          <w:sz w:val="21"/>
        </w:rPr>
        <w:t>暂估价、暂列金额的，投标时未按招标人工程量清单给出的暂估价总价、暂列金额总价计入投标总报价中的；</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B1.18 </w:t>
      </w:r>
      <w:r>
        <w:rPr>
          <w:rFonts w:hint="default" w:ascii="宋体" w:hAnsi="宋体" w:eastAsia="宋体" w:cs="宋体"/>
          <w:color w:val="auto"/>
          <w:sz w:val="21"/>
        </w:rPr>
        <w:t>投标文件实质上没有响应招标文件的要求的；</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B1.19 </w:t>
      </w:r>
      <w:r>
        <w:rPr>
          <w:rFonts w:hint="default" w:ascii="宋体" w:hAnsi="宋体" w:eastAsia="宋体" w:cs="宋体"/>
          <w:color w:val="auto"/>
          <w:sz w:val="21"/>
        </w:rPr>
        <w:t>法规规定的其他否决投标条款。</w:t>
      </w:r>
    </w:p>
    <w:p>
      <w:pPr>
        <w:shd w:val="clear" w:fill="FFFFFF" w:themeFill="background1"/>
        <w:jc w:val="center"/>
        <w:rPr>
          <w:rFonts w:hint="default" w:ascii="黑体" w:hAnsi="黑体" w:eastAsia="黑体" w:cs="黑体"/>
          <w:b/>
          <w:color w:val="auto"/>
          <w:sz w:val="32"/>
        </w:rPr>
      </w:pPr>
      <w:r>
        <w:rPr>
          <w:rFonts w:hint="default" w:ascii="黑体" w:hAnsi="黑体" w:eastAsia="黑体" w:cs="黑体"/>
          <w:b/>
          <w:color w:val="auto"/>
          <w:sz w:val="32"/>
        </w:rPr>
        <w:br w:type="page"/>
      </w:r>
      <w:bookmarkStart w:id="73" w:name="_Toc8446_WPSOffice_Level1"/>
      <w:bookmarkStart w:id="74" w:name="_Toc73_WPSOffice_Level1"/>
      <w:r>
        <w:rPr>
          <w:rStyle w:val="11"/>
          <w:rFonts w:hint="default"/>
          <w:color w:val="auto"/>
        </w:rPr>
        <w:t>第四章 合同条款及格式</w:t>
      </w:r>
      <w:bookmarkEnd w:id="73"/>
      <w:bookmarkEnd w:id="74"/>
    </w:p>
    <w:p>
      <w:pPr>
        <w:pStyle w:val="3"/>
        <w:bidi w:val="0"/>
        <w:rPr>
          <w:rFonts w:hint="default" w:ascii="黑体" w:hAnsi="黑体" w:eastAsia="黑体" w:cs="黑体"/>
          <w:b/>
          <w:color w:val="auto"/>
        </w:rPr>
      </w:pPr>
      <w:bookmarkStart w:id="75" w:name="_Toc12809_WPSOffice_Level2"/>
      <w:bookmarkStart w:id="76" w:name="_Toc20578_WPSOffice_Level2"/>
      <w:r>
        <w:rPr>
          <w:rFonts w:hint="default"/>
          <w:color w:val="auto"/>
        </w:rPr>
        <w:t>第一部分 合同协议书</w:t>
      </w:r>
      <w:bookmarkEnd w:id="75"/>
      <w:bookmarkEnd w:id="76"/>
    </w:p>
    <w:p>
      <w:pPr>
        <w:autoSpaceDE w:val="0"/>
        <w:autoSpaceDN w:val="0"/>
        <w:snapToGrid w:val="0"/>
        <w:spacing w:before="221"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发包人（全称）：</w:t>
      </w:r>
      <w:r>
        <w:rPr>
          <w:rFonts w:hint="default" w:ascii="宋体" w:hAnsi="宋体" w:eastAsia="宋体" w:cs="宋体"/>
          <w:color w:val="auto"/>
          <w:sz w:val="21"/>
          <w:u w:val="single" w:color="000000"/>
        </w:rPr>
        <w:t></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承包人（全称）：</w:t>
      </w:r>
      <w:r>
        <w:rPr>
          <w:rFonts w:hint="default" w:ascii="宋体" w:hAnsi="宋体" w:eastAsia="宋体" w:cs="宋体"/>
          <w:color w:val="auto"/>
          <w:sz w:val="21"/>
          <w:u w:val="single" w:color="000000"/>
        </w:rPr>
        <w:t></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根据《中华人民共和国合同法》、《中华人民共和国建筑法》及有关法律规定，遵循平等、自愿、公</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平和诚实信用</w:t>
      </w:r>
      <w:r>
        <w:rPr>
          <w:rFonts w:hint="default" w:ascii="宋体" w:hAnsi="宋体" w:eastAsia="宋体" w:cs="宋体"/>
          <w:color w:val="auto"/>
          <w:sz w:val="21"/>
        </w:rPr>
        <w:t>的原则，双方就</w:t>
      </w:r>
      <w:r>
        <w:rPr>
          <w:rFonts w:hint="default" w:ascii="宋体" w:hAnsi="宋体" w:eastAsia="宋体" w:cs="宋体"/>
          <w:color w:val="auto"/>
          <w:spacing w:val="1251"/>
          <w:sz w:val="21"/>
          <w:u w:val="single" w:color="000000"/>
        </w:rPr>
        <w:t xml:space="preserve"> </w:t>
      </w:r>
      <w:r>
        <w:rPr>
          <w:rFonts w:hint="default" w:ascii="宋体" w:hAnsi="宋体" w:eastAsia="宋体" w:cs="宋体"/>
          <w:color w:val="auto"/>
          <w:sz w:val="21"/>
        </w:rPr>
        <w:t>工程施工及有关事项协商一致，共同达成如下协</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议：</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一、工程概况</w:t>
      </w:r>
    </w:p>
    <w:p>
      <w:pPr>
        <w:numPr>
          <w:ilvl w:val="0"/>
          <w:numId w:val="45"/>
        </w:numPr>
        <w:autoSpaceDE w:val="0"/>
        <w:autoSpaceDN w:val="0"/>
        <w:snapToGrid w:val="0"/>
        <w:spacing w:before="146"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工程名称：</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5"/>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工程地点：</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5"/>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工程立项批准文号：</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5"/>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资金来源：</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numPr>
          <w:ilvl w:val="0"/>
          <w:numId w:val="45"/>
        </w:numPr>
        <w:autoSpaceDE w:val="0"/>
        <w:autoSpaceDN w:val="0"/>
        <w:snapToGrid w:val="0"/>
        <w:spacing w:before="153"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工程内容：</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1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群体工程应附《承包人承揽工程项目一览表》（附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p>
    <w:p>
      <w:pPr>
        <w:numPr>
          <w:ilvl w:val="0"/>
          <w:numId w:val="45"/>
        </w:numPr>
        <w:autoSpaceDE w:val="0"/>
        <w:autoSpaceDN w:val="0"/>
        <w:snapToGrid w:val="0"/>
        <w:spacing w:before="146" w:after="0" w:line="240" w:lineRule="auto"/>
        <w:ind w:left="675"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工程承包范围：</w:t>
      </w:r>
    </w:p>
    <w:p>
      <w:pPr>
        <w:autoSpaceDE w:val="0"/>
        <w:autoSpaceDN w:val="0"/>
        <w:snapToGrid w:val="0"/>
        <w:spacing w:before="153" w:after="0" w:line="263" w:lineRule="exact"/>
        <w:ind w:left="4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05"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二、合同工期</w:t>
      </w:r>
    </w:p>
    <w:p>
      <w:pPr>
        <w:autoSpaceDE w:val="0"/>
        <w:autoSpaceDN w:val="0"/>
        <w:snapToGrid w:val="0"/>
        <w:spacing w:before="146" w:after="0" w:line="263" w:lineRule="exact"/>
        <w:ind w:left="4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计划开工日期：</w:t>
      </w:r>
      <w:r>
        <w:rPr>
          <w:rFonts w:hint="default" w:ascii="宋体" w:hAnsi="宋体" w:eastAsia="宋体" w:cs="宋体"/>
          <w:color w:val="auto"/>
          <w:sz w:val="21"/>
          <w:u w:val="single" w:color="000000"/>
        </w:rPr>
        <w:t></w:t>
      </w:r>
      <w:r>
        <w:rPr>
          <w:rFonts w:hint="default" w:ascii="宋体" w:hAnsi="宋体" w:eastAsia="宋体" w:cs="宋体"/>
          <w:color w:val="auto"/>
          <w:sz w:val="21"/>
        </w:rPr>
        <w:t>年</w:t>
      </w:r>
      <w:r>
        <w:rPr>
          <w:rFonts w:hint="default" w:ascii="宋体" w:hAnsi="宋体" w:eastAsia="宋体" w:cs="宋体"/>
          <w:color w:val="auto"/>
          <w:sz w:val="21"/>
          <w:u w:val="single" w:color="000000"/>
        </w:rPr>
        <w:t></w:t>
      </w:r>
      <w:r>
        <w:rPr>
          <w:rFonts w:hint="default" w:ascii="宋体" w:hAnsi="宋体" w:eastAsia="宋体" w:cs="宋体"/>
          <w:color w:val="auto"/>
          <w:sz w:val="21"/>
        </w:rPr>
        <w:t>月</w:t>
      </w:r>
      <w:r>
        <w:rPr>
          <w:rFonts w:hint="default" w:ascii="宋体" w:hAnsi="宋体" w:eastAsia="宋体" w:cs="宋体"/>
          <w:color w:val="auto"/>
          <w:sz w:val="21"/>
          <w:u w:val="single" w:color="000000"/>
        </w:rPr>
        <w:t></w:t>
      </w:r>
      <w:r>
        <w:rPr>
          <w:rFonts w:hint="default" w:ascii="宋体" w:hAnsi="宋体" w:eastAsia="宋体" w:cs="宋体"/>
          <w:color w:val="auto"/>
          <w:sz w:val="21"/>
        </w:rPr>
        <w:t>日。（具体以发包人书面通知为准）</w:t>
      </w:r>
    </w:p>
    <w:p>
      <w:pPr>
        <w:autoSpaceDE w:val="0"/>
        <w:autoSpaceDN w:val="0"/>
        <w:snapToGrid w:val="0"/>
        <w:spacing w:before="146" w:after="0" w:line="263" w:lineRule="exact"/>
        <w:ind w:left="4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计划竣工日期：</w:t>
      </w:r>
      <w:r>
        <w:rPr>
          <w:rFonts w:hint="default" w:ascii="宋体" w:hAnsi="宋体" w:eastAsia="宋体" w:cs="宋体"/>
          <w:color w:val="auto"/>
          <w:sz w:val="21"/>
          <w:u w:val="single" w:color="000000"/>
        </w:rPr>
        <w:t></w:t>
      </w:r>
      <w:r>
        <w:rPr>
          <w:rFonts w:hint="default" w:ascii="宋体" w:hAnsi="宋体" w:eastAsia="宋体" w:cs="宋体"/>
          <w:color w:val="auto"/>
          <w:sz w:val="21"/>
        </w:rPr>
        <w:t>年</w:t>
      </w:r>
      <w:r>
        <w:rPr>
          <w:rFonts w:hint="default" w:ascii="宋体" w:hAnsi="宋体" w:eastAsia="宋体" w:cs="宋体"/>
          <w:color w:val="auto"/>
          <w:sz w:val="21"/>
          <w:u w:val="single" w:color="000000"/>
        </w:rPr>
        <w:t></w:t>
      </w:r>
      <w:r>
        <w:rPr>
          <w:rFonts w:hint="default" w:ascii="宋体" w:hAnsi="宋体" w:eastAsia="宋体" w:cs="宋体"/>
          <w:color w:val="auto"/>
          <w:sz w:val="21"/>
        </w:rPr>
        <w:t>月</w:t>
      </w:r>
      <w:r>
        <w:rPr>
          <w:rFonts w:hint="default" w:ascii="宋体" w:hAnsi="宋体" w:eastAsia="宋体" w:cs="宋体"/>
          <w:color w:val="auto"/>
          <w:sz w:val="21"/>
          <w:u w:val="single" w:color="000000"/>
        </w:rPr>
        <w:t></w:t>
      </w:r>
      <w:r>
        <w:rPr>
          <w:rFonts w:hint="default" w:ascii="宋体" w:hAnsi="宋体" w:eastAsia="宋体" w:cs="宋体"/>
          <w:color w:val="auto"/>
          <w:sz w:val="21"/>
        </w:rPr>
        <w:t>日。</w:t>
      </w:r>
    </w:p>
    <w:p>
      <w:pPr>
        <w:autoSpaceDE w:val="0"/>
        <w:autoSpaceDN w:val="0"/>
        <w:snapToGrid w:val="0"/>
        <w:spacing w:before="29" w:after="0" w:line="408" w:lineRule="exact"/>
        <w:ind w:left="0" w:right="48" w:firstLine="459"/>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工期总日历天</w:t>
      </w:r>
      <w:r>
        <w:rPr>
          <w:rFonts w:hint="default" w:ascii="宋体" w:hAnsi="宋体" w:eastAsia="宋体" w:cs="宋体"/>
          <w:color w:val="auto"/>
          <w:sz w:val="21"/>
        </w:rPr>
        <w:t>数：</w:t>
      </w:r>
      <w:r>
        <w:rPr>
          <w:rFonts w:hint="default" w:ascii="宋体" w:hAnsi="宋体" w:eastAsia="宋体" w:cs="宋体"/>
          <w:color w:val="auto"/>
          <w:sz w:val="21"/>
          <w:u w:val="single" w:color="000000"/>
        </w:rPr>
        <w:t></w:t>
      </w:r>
      <w:r>
        <w:rPr>
          <w:rFonts w:hint="default" w:ascii="宋体" w:hAnsi="宋体" w:eastAsia="宋体" w:cs="宋体"/>
          <w:color w:val="auto"/>
          <w:sz w:val="21"/>
        </w:rPr>
        <w:t>天。工期总日历天数与根据前述计划开竣工日期计算的工期天数不一致的，以工期总日历天数为准。</w:t>
      </w:r>
    </w:p>
    <w:p>
      <w:pPr>
        <w:autoSpaceDE w:val="0"/>
        <w:autoSpaceDN w:val="0"/>
        <w:snapToGrid w:val="0"/>
        <w:spacing w:before="117" w:after="0" w:line="263" w:lineRule="exact"/>
        <w:ind w:left="459"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三、质量标准</w:t>
      </w:r>
    </w:p>
    <w:p>
      <w:pPr>
        <w:autoSpaceDE w:val="0"/>
        <w:autoSpaceDN w:val="0"/>
        <w:snapToGrid w:val="0"/>
        <w:spacing w:before="146" w:after="0" w:line="263" w:lineRule="exact"/>
        <w:ind w:left="4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工程质量符合</w:t>
      </w:r>
      <w:r>
        <w:rPr>
          <w:rFonts w:hint="default" w:ascii="宋体" w:hAnsi="宋体" w:eastAsia="宋体" w:cs="宋体"/>
          <w:color w:val="auto"/>
          <w:sz w:val="21"/>
          <w:u w:val="single" w:color="000000"/>
        </w:rPr>
        <w:t></w:t>
      </w:r>
      <w:r>
        <w:rPr>
          <w:rFonts w:hint="default" w:ascii="宋体" w:hAnsi="宋体" w:eastAsia="宋体" w:cs="宋体"/>
          <w:color w:val="auto"/>
          <w:sz w:val="21"/>
        </w:rPr>
        <w:t>标准。</w:t>
      </w:r>
    </w:p>
    <w:p>
      <w:pPr>
        <w:autoSpaceDE w:val="0"/>
        <w:autoSpaceDN w:val="0"/>
        <w:snapToGrid w:val="0"/>
        <w:spacing w:before="146" w:after="0" w:line="263" w:lineRule="exact"/>
        <w:ind w:left="459"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四、签约合同价与合同价格形式</w:t>
      </w:r>
    </w:p>
    <w:p>
      <w:pPr>
        <w:numPr>
          <w:ilvl w:val="0"/>
          <w:numId w:val="46"/>
        </w:numPr>
        <w:autoSpaceDE w:val="0"/>
        <w:autoSpaceDN w:val="0"/>
        <w:snapToGrid w:val="0"/>
        <w:spacing w:before="146" w:after="0" w:line="240" w:lineRule="auto"/>
        <w:ind w:left="722"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签约合同价为：</w:t>
      </w:r>
    </w:p>
    <w:p>
      <w:pPr>
        <w:autoSpaceDE w:val="0"/>
        <w:autoSpaceDN w:val="0"/>
        <w:snapToGrid w:val="0"/>
        <w:spacing w:before="153"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578"/>
          <w:sz w:val="21"/>
          <w:u w:val="single" w:color="000000"/>
        </w:rPr>
        <w:t xml:space="preserve"> </w:t>
      </w:r>
      <w:r>
        <w:rPr>
          <w:rFonts w:hint="default" w:ascii="宋体" w:hAnsi="宋体" w:eastAsia="宋体" w:cs="宋体"/>
          <w:color w:val="auto"/>
          <w:sz w:val="21"/>
        </w:rPr>
        <w:t>元）；</w:t>
      </w:r>
    </w:p>
    <w:p>
      <w:pPr>
        <w:autoSpaceDE w:val="0"/>
        <w:autoSpaceDN w:val="0"/>
        <w:snapToGrid w:val="0"/>
        <w:spacing w:before="146"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其中：</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）安全文明施工费：</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8408670</wp:posOffset>
                </wp:positionV>
                <wp:extent cx="933450" cy="0"/>
                <wp:effectExtent l="0" t="0" r="0" b="0"/>
                <wp:wrapNone/>
                <wp:docPr id="1084" name="1084"/>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4" o:spid="_x0000_s1026" o:spt="20" style="position:absolute;left:0pt;margin-left:174.75pt;margin-top:662.1pt;height:0pt;width:73.5pt;mso-position-horizontal-relative:page;mso-position-vertical-relative:page;z-index:-251657216;mso-width-relative:page;mso-height-relative:page;" fillcolor="#FFFFFF" filled="t" stroked="t" coordsize="21600,21600" o:gfxdata="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UMB7h9cAAAANAQAADwAAAAAAAAABACAAAAAiAAAAZHJzL2Rv&#10;d25yZXYueG1sUEsBAhQAFAAAAAgAh07iQI3R2y4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）建安劳保费：</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8927465</wp:posOffset>
                </wp:positionV>
                <wp:extent cx="933450" cy="0"/>
                <wp:effectExtent l="0" t="0" r="0" b="0"/>
                <wp:wrapNone/>
                <wp:docPr id="1085" name="1085"/>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5" o:spid="_x0000_s1026" o:spt="20" style="position:absolute;left:0pt;margin-left:174.75pt;margin-top:702.95pt;height:0pt;width:73.5pt;mso-position-horizontal-relative:page;mso-position-vertical-relative:page;z-index:-251657216;mso-width-relative:page;mso-height-relative:page;" fillcolor="#FFFFFF" filled="t" stroked="t" coordsize="21600,21600" o:gfxdata="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NHX7DdcAAAANAQAADwAAAAAAAAABACAAAAAiAAAAZHJzL2Rv&#10;d25yZXYueG1sUEsBAhQAFAAAAAgAh07iQDtDgj4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）材料和工程设备暂估价金额：</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9446260</wp:posOffset>
                </wp:positionV>
                <wp:extent cx="933450" cy="0"/>
                <wp:effectExtent l="0" t="0" r="0" b="0"/>
                <wp:wrapNone/>
                <wp:docPr id="1086" name="1086"/>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6" o:spid="_x0000_s1026" o:spt="20" style="position:absolute;left:0pt;margin-left:174.75pt;margin-top:743.8pt;height:0pt;width:73.5pt;mso-position-horizontal-relative:page;mso-position-vertical-relative:page;z-index:-251657216;mso-width-relative:page;mso-height-relative:page;" fillcolor="#FFFFFF" filled="t" stroked="t" coordsize="21600,21600" o:gfxdata="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Fw0A59cAAAANAQAADwAAAAAAAAABACAAAAAiAAAAZHJzL2Rv&#10;d25yZXYueG1sUEsBAhQAFAAAAAgAh07iQOH0aA4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）专业工程暂估价金额：</w:t>
      </w:r>
    </w:p>
    <w:p>
      <w:pPr>
        <w:autoSpaceDE w:val="0"/>
        <w:autoSpaceDN w:val="0"/>
        <w:snapToGrid w:val="0"/>
        <w:spacing w:before="0"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873760</wp:posOffset>
                </wp:positionV>
                <wp:extent cx="933450" cy="0"/>
                <wp:effectExtent l="0" t="0" r="0" b="0"/>
                <wp:wrapNone/>
                <wp:docPr id="1087" name="1087"/>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7" o:spid="_x0000_s1026" o:spt="20" style="position:absolute;left:0pt;margin-left:174.75pt;margin-top:68.8pt;height:0pt;width:73.5pt;mso-position-horizontal-relative:page;mso-position-vertical-relative:page;z-index:-251657216;mso-width-relative:page;mso-height-relative:page;" fillcolor="#FFFFFF" filled="t" stroked="t" coordsize="21600,21600" o:gfxdata="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U4UYtcAAAALAQAADwAAAAAAAAABACAAAAAiAAAAZHJzL2Rv&#10;d25yZXYueG1sUEsBAhQAFAAAAAgAh07iQFdmMR4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）暂列金额：</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1392555</wp:posOffset>
                </wp:positionV>
                <wp:extent cx="933450" cy="0"/>
                <wp:effectExtent l="0" t="0" r="0" b="0"/>
                <wp:wrapNone/>
                <wp:docPr id="1088" name="1088"/>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8" o:spid="_x0000_s1026" o:spt="20" style="position:absolute;left:0pt;margin-left:174.75pt;margin-top:109.65pt;height:0pt;width:73.5pt;mso-position-horizontal-relative:page;mso-position-vertical-relative:page;z-index:-251657216;mso-width-relative:page;mso-height-relative:page;" fillcolor="#FFFFFF" filled="t" stroked="t" coordsize="21600,21600" o:gfxdata="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0zhm7dcAAAALAQAADwAAAAAAAAABACAAAAAiAAAAZHJzL2Rv&#10;d25yZXYueG1sUEsBAhQAFAAAAAgAh07iQOUOce0CAgAAPw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）增值税额：</w:t>
      </w:r>
    </w:p>
    <w:p>
      <w:pPr>
        <w:autoSpaceDE w:val="0"/>
        <w:autoSpaceDN w:val="0"/>
        <w:snapToGrid w:val="0"/>
        <w:spacing w:before="146" w:after="0" w:line="263" w:lineRule="exact"/>
        <w:ind w:left="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人民币（大写）</w:t>
      </w:r>
      <w:r>
        <w:rPr>
          <w:rFonts w:hint="default" w:ascii="宋体" w:hAnsi="宋体" w:eastAsia="宋体" w:cs="宋体"/>
          <w:color w:val="auto"/>
          <w:spacing w:val="735"/>
          <w:sz w:val="21"/>
        </w:rPr>
        <w:t xml:space="preserve"> </w:t>
      </w:r>
      <w:r>
        <w:rPr>
          <w:rFonts w:hint="default" w:ascii="宋体" w:hAnsi="宋体" w:eastAsia="宋体" w:cs="宋体"/>
          <w:color w:val="auto"/>
          <w:sz w:val="21"/>
        </w:rPr>
        <w:t>（</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473"/>
          <w:sz w:val="21"/>
          <w:u w:val="single" w:color="000000"/>
        </w:rPr>
        <w:t xml:space="preserve"> </w:t>
      </w:r>
      <w:r>
        <w:rPr>
          <w:rFonts w:hint="default" w:ascii="宋体" w:hAnsi="宋体" w:eastAsia="宋体" w:cs="宋体"/>
          <w:color w:val="auto"/>
          <w:sz w:val="21"/>
        </w:rPr>
        <w:t>元）。</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2219325</wp:posOffset>
                </wp:positionH>
                <wp:positionV relativeFrom="page">
                  <wp:posOffset>1911350</wp:posOffset>
                </wp:positionV>
                <wp:extent cx="933450" cy="0"/>
                <wp:effectExtent l="0" t="0" r="0" b="0"/>
                <wp:wrapNone/>
                <wp:docPr id="1089" name="1089"/>
                <wp:cNvGraphicFramePr/>
                <a:graphic xmlns:a="http://schemas.openxmlformats.org/drawingml/2006/main">
                  <a:graphicData uri="http://schemas.microsoft.com/office/word/2010/wordprocessingShape">
                    <wps:wsp>
                      <wps:cNvCnPr/>
                      <wps:spPr>
                        <a:xfrm>
                          <a:off x="0" y="0"/>
                          <a:ext cx="9334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089" o:spid="_x0000_s1026" o:spt="20" style="position:absolute;left:0pt;margin-left:174.75pt;margin-top:150.5pt;height:0pt;width:73.5pt;mso-position-horizontal-relative:page;mso-position-vertical-relative:page;z-index:-251657216;mso-width-relative:page;mso-height-relative:page;" fillcolor="#FFFFFF" filled="t" stroked="t" coordsize="21600,21600" o:gfxdata="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O09RX1gAAAAsBAAAPAAAAAAAAAAEAIAAAACIAAABkcnMvZG93&#10;bnJldi54bWxQSwECFAAUAAAACACHTuJAU5wo/QICAAA/BAAADgAAAAAAAAABACAAAAAlAQAAZHJz&#10;L2Uyb0RvYy54bWxQSwUGAAAAAAYABgBZAQAAmQU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98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增值税率：</w:t>
      </w:r>
    </w:p>
    <w:p>
      <w:pPr>
        <w:numPr>
          <w:ilvl w:val="0"/>
          <w:numId w:val="46"/>
        </w:numPr>
        <w:tabs>
          <w:tab w:val="left" w:pos="683"/>
        </w:tabs>
        <w:autoSpaceDE w:val="0"/>
        <w:autoSpaceDN w:val="0"/>
        <w:snapToGrid w:val="0"/>
        <w:spacing w:before="146"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合同价格形式：</w:t>
      </w:r>
      <w:r>
        <w:rPr>
          <w:rFonts w:hint="default" w:ascii="宋体" w:hAnsi="宋体" w:eastAsia="宋体" w:cs="宋体"/>
          <w:color w:val="auto"/>
          <w:spacing w:val="105"/>
          <w:sz w:val="21"/>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五、项目经理</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承包人项目经理：</w:t>
      </w:r>
      <w:r>
        <w:rPr>
          <w:rFonts w:hint="default" w:ascii="宋体" w:hAnsi="宋体" w:eastAsia="宋体" w:cs="宋体"/>
          <w:color w:val="auto"/>
          <w:sz w:val="21"/>
          <w:u w:val="single" w:color="000000"/>
        </w:rPr>
        <w:t></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六、合同文件构成</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本协议书与下列文件一起构成合同文件：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）中标通知书（如有）；</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）投标函及其附录（如有）；</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）专用合同条款及其附件；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）通用合同条款；</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）技术标准和要求；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）已标价工程量清单或预算书；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eastAsia" w:eastAsia="宋体" w:cs="Times New Roman"/>
          <w:color w:val="auto"/>
          <w:sz w:val="21"/>
          <w:lang w:val="en-US" w:eastAsia="zh-CN"/>
        </w:rPr>
        <w:t>7</w:t>
      </w:r>
      <w:r>
        <w:rPr>
          <w:rFonts w:hint="default" w:ascii="宋体" w:hAnsi="宋体" w:eastAsia="宋体" w:cs="宋体"/>
          <w:color w:val="auto"/>
          <w:sz w:val="21"/>
        </w:rPr>
        <w:t>）其他合同文件。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在合同订立及履行过程中形成的与合同有关的文件均构成合同文件组成部分。</w:t>
      </w:r>
    </w:p>
    <w:p>
      <w:pPr>
        <w:autoSpaceDE w:val="0"/>
        <w:autoSpaceDN w:val="0"/>
        <w:snapToGrid w:val="0"/>
        <w:spacing w:before="29" w:after="0" w:line="408"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上述各项合同</w:t>
      </w:r>
      <w:r>
        <w:rPr>
          <w:rFonts w:hint="default" w:ascii="宋体" w:hAnsi="宋体" w:eastAsia="宋体" w:cs="宋体"/>
          <w:color w:val="auto"/>
          <w:sz w:val="21"/>
        </w:rPr>
        <w:t>文件包括合同当事人就该项合同文件所作出的补充和修改，属于同一类内容的文件，应以最新签署的为准。专用合同条款及其附件须经合同当事人签字或盖章。</w:t>
      </w:r>
    </w:p>
    <w:p>
      <w:pPr>
        <w:autoSpaceDE w:val="0"/>
        <w:autoSpaceDN w:val="0"/>
        <w:snapToGrid w:val="0"/>
        <w:spacing w:before="117"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七、承诺</w:t>
      </w:r>
    </w:p>
    <w:p>
      <w:pPr>
        <w:numPr>
          <w:ilvl w:val="0"/>
          <w:numId w:val="47"/>
        </w:numPr>
        <w:autoSpaceDE w:val="0"/>
        <w:autoSpaceDN w:val="0"/>
        <w:snapToGrid w:val="0"/>
        <w:spacing w:before="29"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发包人承诺按</w:t>
      </w:r>
      <w:r>
        <w:rPr>
          <w:rFonts w:hint="default" w:ascii="宋体" w:hAnsi="宋体" w:eastAsia="宋体" w:cs="宋体"/>
          <w:color w:val="auto"/>
          <w:sz w:val="21"/>
        </w:rPr>
        <w:t>照法律规定履行项目审批手续、筹集工程建设资金并按照合同约定的期限和方式支付合同价款。</w:t>
      </w:r>
    </w:p>
    <w:p>
      <w:pPr>
        <w:numPr>
          <w:ilvl w:val="0"/>
          <w:numId w:val="47"/>
        </w:numPr>
        <w:autoSpaceDE w:val="0"/>
        <w:autoSpaceDN w:val="0"/>
        <w:snapToGrid w:val="0"/>
        <w:spacing w:before="0"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承包人承诺按</w:t>
      </w:r>
      <w:r>
        <w:rPr>
          <w:rFonts w:hint="default" w:ascii="宋体" w:hAnsi="宋体" w:eastAsia="宋体" w:cs="宋体"/>
          <w:color w:val="auto"/>
          <w:sz w:val="21"/>
        </w:rPr>
        <w:t>照法律规定及合同约定组织完成工程施工，确保工程质量和安全，不进行转包及违法分包，并在缺陷责任期及保修期内承担相应的工程维修责任。</w:t>
      </w:r>
    </w:p>
    <w:p>
      <w:pPr>
        <w:numPr>
          <w:ilvl w:val="0"/>
          <w:numId w:val="47"/>
        </w:numPr>
        <w:autoSpaceDE w:val="0"/>
        <w:autoSpaceDN w:val="0"/>
        <w:snapToGrid w:val="0"/>
        <w:spacing w:before="0" w:after="0" w:line="409"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发包人和承包</w:t>
      </w:r>
      <w:r>
        <w:rPr>
          <w:rFonts w:hint="default" w:ascii="宋体" w:hAnsi="宋体" w:eastAsia="宋体" w:cs="宋体"/>
          <w:color w:val="auto"/>
          <w:sz w:val="21"/>
        </w:rPr>
        <w:t>人通过招投标形式签订合同的，双方理解并承诺不再就同一工程另行签订与合同实质性内容相背离的协议。</w:t>
      </w:r>
    </w:p>
    <w:p>
      <w:pPr>
        <w:autoSpaceDE w:val="0"/>
        <w:autoSpaceDN w:val="0"/>
        <w:snapToGrid w:val="0"/>
        <w:spacing w:before="117"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八、词语含义</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本协议书中词语含义与第二部分通用合同条款中赋予的含义相同。</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九、签订时间</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本合同于</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日签订。</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十、签订地点</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本合同在</w:t>
      </w:r>
      <w:r>
        <w:rPr>
          <w:rFonts w:hint="default" w:ascii="宋体" w:hAnsi="宋体" w:eastAsia="宋体" w:cs="宋体"/>
          <w:color w:val="auto"/>
          <w:spacing w:val="1838"/>
          <w:sz w:val="21"/>
          <w:u w:val="single" w:color="000000"/>
        </w:rPr>
        <w:t xml:space="preserve"> </w:t>
      </w:r>
      <w:r>
        <w:rPr>
          <w:rFonts w:hint="default" w:ascii="宋体" w:hAnsi="宋体" w:eastAsia="宋体" w:cs="宋体"/>
          <w:color w:val="auto"/>
          <w:sz w:val="21"/>
        </w:rPr>
        <w:t>签订。</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十一、补充协议</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合同未尽事宜，合同当事人另行签订补充协议，补充协议是合同的组成部分。</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十二、合同生效</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本合同自</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生效。</w:t>
      </w:r>
    </w:p>
    <w:p>
      <w:pPr>
        <w:autoSpaceDE w:val="0"/>
        <w:autoSpaceDN w:val="0"/>
        <w:snapToGrid w:val="0"/>
        <w:spacing w:before="146"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十三、合同份数</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本合同一式</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份，均具有同等法律效力，发包人执</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份，承包人执</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份。</w:t>
      </w:r>
    </w:p>
    <w:p>
      <w:pPr>
        <w:autoSpaceDE w:val="0"/>
        <w:autoSpaceDN w:val="0"/>
        <w:snapToGrid w:val="0"/>
        <w:spacing w:before="870"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w:t>
      </w:r>
      <w:r>
        <w:rPr>
          <w:rFonts w:hint="default" w:ascii="宋体" w:hAnsi="宋体" w:eastAsia="宋体" w:cs="宋体"/>
          <w:color w:val="auto"/>
          <w:spacing w:val="53"/>
          <w:sz w:val="21"/>
        </w:rPr>
        <w:t xml:space="preserve"> </w:t>
      </w:r>
      <w:r>
        <w:rPr>
          <w:rFonts w:hint="default" w:ascii="宋体" w:hAnsi="宋体" w:eastAsia="宋体" w:cs="宋体"/>
          <w:color w:val="auto"/>
          <w:sz w:val="21"/>
        </w:rPr>
        <w:t>（公章）</w:t>
      </w:r>
      <w:r>
        <w:rPr>
          <w:rFonts w:hint="default" w:ascii="宋体" w:hAnsi="宋体" w:eastAsia="宋体" w:cs="宋体"/>
          <w:color w:val="auto"/>
          <w:spacing w:val="1523"/>
          <w:sz w:val="21"/>
        </w:rPr>
        <w:t xml:space="preserve"> </w:t>
      </w:r>
      <w:r>
        <w:rPr>
          <w:rFonts w:hint="default" w:ascii="宋体" w:hAnsi="宋体" w:eastAsia="宋体" w:cs="宋体"/>
          <w:color w:val="auto"/>
          <w:sz w:val="21"/>
        </w:rPr>
        <w:t>承包人：</w:t>
      </w:r>
      <w:r>
        <w:rPr>
          <w:rFonts w:hint="default" w:ascii="宋体" w:hAnsi="宋体" w:eastAsia="宋体" w:cs="宋体"/>
          <w:color w:val="auto"/>
          <w:spacing w:val="53"/>
          <w:sz w:val="21"/>
        </w:rPr>
        <w:t xml:space="preserve"> </w:t>
      </w:r>
      <w:r>
        <w:rPr>
          <w:rFonts w:hint="default" w:ascii="宋体" w:hAnsi="宋体" w:eastAsia="宋体" w:cs="宋体"/>
          <w:color w:val="auto"/>
          <w:sz w:val="21"/>
        </w:rPr>
        <w:t>（公章）</w:t>
      </w:r>
    </w:p>
    <w:p>
      <w:pPr>
        <w:autoSpaceDE w:val="0"/>
        <w:autoSpaceDN w:val="0"/>
        <w:snapToGrid w:val="0"/>
        <w:spacing w:before="50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998"/>
          <w:sz w:val="21"/>
        </w:rPr>
        <w:t xml:space="preserve"> </w:t>
      </w:r>
      <w:r>
        <w:rPr>
          <w:rFonts w:hint="default" w:ascii="宋体" w:hAnsi="宋体" w:eastAsia="宋体" w:cs="宋体"/>
          <w:color w:val="auto"/>
          <w:sz w:val="21"/>
        </w:rPr>
        <w:t>法定代表人或其委托代理人：</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（签字）</w:t>
      </w:r>
      <w:r>
        <w:rPr>
          <w:rFonts w:hint="default" w:ascii="宋体" w:hAnsi="宋体" w:eastAsia="宋体" w:cs="宋体"/>
          <w:color w:val="auto"/>
          <w:spacing w:val="1890"/>
          <w:sz w:val="21"/>
        </w:rPr>
        <w:t xml:space="preserve"> </w:t>
      </w:r>
      <w:r>
        <w:rPr>
          <w:rFonts w:hint="default" w:ascii="宋体" w:hAnsi="宋体" w:eastAsia="宋体" w:cs="宋体"/>
          <w:color w:val="auto"/>
          <w:sz w:val="21"/>
        </w:rPr>
        <w:t>（签字）</w:t>
      </w:r>
    </w:p>
    <w:p>
      <w:pPr>
        <w:autoSpaceDE w:val="0"/>
        <w:autoSpaceDN w:val="0"/>
        <w:snapToGrid w:val="0"/>
        <w:spacing w:before="508" w:after="0" w:line="263" w:lineRule="exact"/>
        <w:ind w:left="0" w:right="0" w:firstLine="0"/>
        <w:jc w:val="left"/>
        <w:textAlignment w:val="auto"/>
        <w:rPr>
          <w:rFonts w:hint="default" w:ascii="宋体" w:hAnsi="宋体" w:eastAsia="宋体" w:cs="宋体"/>
          <w:color w:val="auto"/>
          <w:spacing w:val="998"/>
          <w:sz w:val="21"/>
        </w:rPr>
      </w:pPr>
      <w:r>
        <w:rPr>
          <w:rFonts w:hint="default" w:ascii="宋体" w:hAnsi="宋体" w:eastAsia="宋体" w:cs="宋体"/>
          <w:color w:val="auto"/>
          <w:sz w:val="21"/>
        </w:rPr>
        <w:t>社会信用代码</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998"/>
          <w:sz w:val="21"/>
        </w:rPr>
        <w:t xml:space="preserve"> </w:t>
      </w:r>
    </w:p>
    <w:p>
      <w:pPr>
        <w:autoSpaceDE w:val="0"/>
        <w:autoSpaceDN w:val="0"/>
        <w:snapToGrid w:val="0"/>
        <w:spacing w:before="508"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社会信用代码：</w:t>
      </w:r>
      <w:r>
        <w:rPr>
          <w:rFonts w:hint="default" w:ascii="宋体" w:hAnsi="宋体" w:eastAsia="宋体" w:cs="宋体"/>
          <w:color w:val="auto"/>
          <w:sz w:val="21"/>
          <w:u w:val="single" w:color="000000"/>
        </w:rPr>
        <w:t></w:t>
      </w:r>
    </w:p>
    <w:p>
      <w:pPr>
        <w:autoSpaceDE w:val="0"/>
        <w:autoSpaceDN w:val="0"/>
        <w:snapToGrid w:val="0"/>
        <w:spacing w:before="10"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地</w:t>
      </w:r>
      <w:r>
        <w:rPr>
          <w:rFonts w:hint="default" w:ascii="宋体" w:hAnsi="宋体" w:eastAsia="宋体" w:cs="宋体"/>
          <w:color w:val="auto"/>
          <w:spacing w:val="53"/>
          <w:sz w:val="21"/>
        </w:rPr>
        <w:t xml:space="preserve"> </w:t>
      </w:r>
      <w:r>
        <w:rPr>
          <w:rFonts w:hint="default" w:ascii="宋体" w:hAnsi="宋体" w:eastAsia="宋体" w:cs="宋体"/>
          <w:color w:val="auto"/>
          <w:sz w:val="21"/>
        </w:rPr>
        <w:t>址：</w:t>
      </w:r>
      <w:r>
        <w:rPr>
          <w:rFonts w:hint="default" w:ascii="宋体" w:hAnsi="宋体" w:eastAsia="宋体" w:cs="宋体"/>
          <w:color w:val="auto"/>
          <w:sz w:val="21"/>
          <w:u w:val="single" w:color="000000"/>
        </w:rPr>
        <w:t xml:space="preserve"> </w:t>
      </w:r>
      <w:r>
        <w:rPr>
          <w:rFonts w:hint="default" w:ascii="宋体" w:hAnsi="宋体" w:eastAsia="宋体" w:cs="宋体"/>
          <w:color w:val="auto"/>
          <w:spacing w:val="1103"/>
          <w:sz w:val="21"/>
        </w:rPr>
        <w:t xml:space="preserve"> </w:t>
      </w:r>
      <w:r>
        <w:rPr>
          <w:rFonts w:hint="default" w:ascii="宋体" w:hAnsi="宋体" w:eastAsia="宋体" w:cs="宋体"/>
          <w:color w:val="auto"/>
          <w:sz w:val="21"/>
        </w:rPr>
        <w:t>地</w:t>
      </w:r>
      <w:r>
        <w:rPr>
          <w:rFonts w:hint="default" w:ascii="宋体" w:hAnsi="宋体" w:eastAsia="宋体" w:cs="宋体"/>
          <w:color w:val="auto"/>
          <w:spacing w:val="53"/>
          <w:sz w:val="21"/>
        </w:rPr>
        <w:t xml:space="preserve"> </w:t>
      </w:r>
      <w:r>
        <w:rPr>
          <w:rFonts w:hint="default" w:ascii="宋体" w:hAnsi="宋体" w:eastAsia="宋体" w:cs="宋体"/>
          <w:color w:val="auto"/>
          <w:sz w:val="21"/>
        </w:rPr>
        <w:t>址：</w:t>
      </w:r>
      <w:r>
        <w:rPr>
          <w:rFonts w:hint="default" w:ascii="宋体" w:hAnsi="宋体" w:eastAsia="宋体" w:cs="宋体"/>
          <w:color w:val="auto"/>
          <w:sz w:val="21"/>
          <w:u w:val="single"/>
        </w:rPr>
        <w:t></w:t>
      </w:r>
      <w:r>
        <w:rPr>
          <w:rFonts w:hint="default" w:ascii="宋体" w:hAnsi="宋体" w:eastAsia="宋体" w:cs="宋体"/>
          <w:color w:val="auto"/>
          <w:spacing w:val="26"/>
          <w:sz w:val="21"/>
          <w:u w:val="single"/>
        </w:rPr>
        <w:t></w:t>
      </w:r>
      <w:r>
        <w:rPr>
          <w:rFonts w:hint="default" w:ascii="宋体" w:hAnsi="宋体" w:eastAsia="宋体" w:cs="宋体"/>
          <w:color w:val="auto"/>
          <w:sz w:val="21"/>
          <w:u w:val="single"/>
        </w:rPr>
        <w:t></w:t>
      </w:r>
      <w:r>
        <w:rPr>
          <w:rFonts w:hint="default" w:ascii="宋体" w:hAnsi="宋体" w:eastAsia="宋体" w:cs="宋体"/>
          <w:color w:val="auto"/>
          <w:spacing w:val="26"/>
          <w:sz w:val="21"/>
          <w:u w:val="single"/>
        </w:rPr>
        <w:t></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邮政编码：</w:t>
      </w:r>
      <w:r>
        <w:rPr>
          <w:rFonts w:hint="default" w:ascii="宋体" w:hAnsi="宋体" w:eastAsia="宋体" w:cs="宋体"/>
          <w:color w:val="auto"/>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邮政编码：</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法定代表人：</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208"/>
          <w:sz w:val="21"/>
        </w:rPr>
        <w:t xml:space="preserve"> </w:t>
      </w:r>
      <w:r>
        <w:rPr>
          <w:rFonts w:hint="default" w:ascii="宋体" w:hAnsi="宋体" w:eastAsia="宋体" w:cs="宋体"/>
          <w:color w:val="auto"/>
          <w:sz w:val="21"/>
        </w:rPr>
        <w:t>法定代表人：</w:t>
      </w:r>
      <w:r>
        <w:rPr>
          <w:rFonts w:hint="default" w:ascii="宋体" w:hAnsi="宋体" w:eastAsia="宋体" w:cs="宋体"/>
          <w:color w:val="auto"/>
          <w:sz w:val="21"/>
          <w:u w:val="single"/>
        </w:rPr>
        <w:t></w:t>
      </w:r>
      <w:r>
        <w:rPr>
          <w:rFonts w:hint="default" w:ascii="宋体" w:hAnsi="宋体" w:eastAsia="宋体" w:cs="宋体"/>
          <w:color w:val="auto"/>
          <w:spacing w:val="263"/>
          <w:sz w:val="21"/>
          <w:u w:val="single"/>
        </w:rPr>
        <w:t xml:space="preserve"> </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委托代理人：</w:t>
      </w:r>
      <w:r>
        <w:rPr>
          <w:rFonts w:hint="default" w:ascii="宋体" w:hAnsi="宋体" w:eastAsia="宋体" w:cs="宋体"/>
          <w:color w:val="auto"/>
          <w:sz w:val="21"/>
          <w:u w:val="single" w:color="000000"/>
        </w:rPr>
        <w:t></w:t>
      </w:r>
      <w:r>
        <w:rPr>
          <w:rFonts w:hint="default" w:ascii="宋体" w:hAnsi="宋体" w:eastAsia="宋体" w:cs="宋体"/>
          <w:color w:val="auto"/>
          <w:spacing w:val="1470"/>
          <w:sz w:val="21"/>
        </w:rPr>
        <w:t xml:space="preserve"> </w:t>
      </w:r>
      <w:r>
        <w:rPr>
          <w:rFonts w:hint="default" w:ascii="宋体" w:hAnsi="宋体" w:eastAsia="宋体" w:cs="宋体"/>
          <w:color w:val="auto"/>
          <w:sz w:val="21"/>
        </w:rPr>
        <w:t>委托代理人：</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电</w:t>
      </w:r>
      <w:r>
        <w:rPr>
          <w:rFonts w:hint="default" w:ascii="宋体" w:hAnsi="宋体" w:eastAsia="宋体" w:cs="宋体"/>
          <w:color w:val="auto"/>
          <w:spacing w:val="53"/>
          <w:sz w:val="21"/>
        </w:rPr>
        <w:t xml:space="preserve"> </w:t>
      </w:r>
      <w:r>
        <w:rPr>
          <w:rFonts w:hint="default" w:ascii="宋体" w:hAnsi="宋体" w:eastAsia="宋体" w:cs="宋体"/>
          <w:color w:val="auto"/>
          <w:sz w:val="21"/>
        </w:rPr>
        <w:t>话：</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电</w:t>
      </w:r>
      <w:r>
        <w:rPr>
          <w:rFonts w:hint="default" w:ascii="宋体" w:hAnsi="宋体" w:eastAsia="宋体" w:cs="宋体"/>
          <w:color w:val="auto"/>
          <w:spacing w:val="53"/>
          <w:sz w:val="21"/>
        </w:rPr>
        <w:t xml:space="preserve"> </w:t>
      </w:r>
      <w:r>
        <w:rPr>
          <w:rFonts w:hint="default" w:ascii="宋体" w:hAnsi="宋体" w:eastAsia="宋体" w:cs="宋体"/>
          <w:color w:val="auto"/>
          <w:sz w:val="21"/>
        </w:rPr>
        <w:t>话：</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传</w:t>
      </w:r>
      <w:r>
        <w:rPr>
          <w:rFonts w:hint="default" w:ascii="宋体" w:hAnsi="宋体" w:eastAsia="宋体" w:cs="宋体"/>
          <w:color w:val="auto"/>
          <w:spacing w:val="53"/>
          <w:sz w:val="21"/>
        </w:rPr>
        <w:t xml:space="preserve"> </w:t>
      </w:r>
      <w:r>
        <w:rPr>
          <w:rFonts w:hint="default" w:ascii="宋体" w:hAnsi="宋体" w:eastAsia="宋体" w:cs="宋体"/>
          <w:color w:val="auto"/>
          <w:sz w:val="21"/>
        </w:rPr>
        <w:t>真：</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传</w:t>
      </w:r>
      <w:r>
        <w:rPr>
          <w:rFonts w:hint="default" w:ascii="宋体" w:hAnsi="宋体" w:eastAsia="宋体" w:cs="宋体"/>
          <w:color w:val="auto"/>
          <w:spacing w:val="53"/>
          <w:sz w:val="21"/>
        </w:rPr>
        <w:t xml:space="preserve"> </w:t>
      </w:r>
      <w:r>
        <w:rPr>
          <w:rFonts w:hint="default" w:ascii="宋体" w:hAnsi="宋体" w:eastAsia="宋体" w:cs="宋体"/>
          <w:color w:val="auto"/>
          <w:sz w:val="21"/>
        </w:rPr>
        <w:t>真：</w:t>
      </w:r>
      <w:r>
        <w:rPr>
          <w:rFonts w:hint="default" w:ascii="宋体" w:hAnsi="宋体" w:eastAsia="宋体" w:cs="宋体"/>
          <w:color w:val="auto"/>
          <w:sz w:val="21"/>
          <w:u w:val="single"/>
        </w:rPr>
        <w:t></w:t>
      </w:r>
      <w:r>
        <w:rPr>
          <w:rFonts w:hint="default" w:ascii="宋体" w:hAnsi="宋体" w:eastAsia="宋体" w:cs="宋体"/>
          <w:color w:val="auto"/>
          <w:spacing w:val="53"/>
          <w:sz w:val="21"/>
          <w:u w:val="single"/>
        </w:rPr>
        <w:t xml:space="preserve"> </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电子信箱：</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val="en-US" w:eastAsia="zh-CN"/>
        </w:rPr>
        <w:t xml:space="preserve">                   </w:t>
      </w:r>
      <w:r>
        <w:rPr>
          <w:rFonts w:hint="default" w:ascii="宋体" w:hAnsi="宋体" w:eastAsia="宋体" w:cs="宋体"/>
          <w:color w:val="auto"/>
          <w:sz w:val="21"/>
        </w:rPr>
        <w:t>电子信箱：</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开户银行：</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rPr>
        <w:t xml:space="preserve"> </w:t>
      </w:r>
      <w:r>
        <w:rPr>
          <w:rFonts w:hint="default" w:ascii="宋体" w:hAnsi="宋体" w:eastAsia="宋体" w:cs="宋体"/>
          <w:color w:val="auto"/>
          <w:sz w:val="21"/>
        </w:rPr>
        <w:t>开户银行：</w:t>
      </w:r>
      <w:r>
        <w:rPr>
          <w:rFonts w:hint="default" w:ascii="宋体" w:hAnsi="宋体" w:eastAsia="宋体" w:cs="宋体"/>
          <w:color w:val="auto"/>
          <w:sz w:val="21"/>
          <w:u w:val="single"/>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rPr>
      </w:pPr>
      <w:r>
        <w:rPr>
          <w:rFonts w:hint="default" w:ascii="宋体" w:hAnsi="宋体" w:eastAsia="宋体" w:cs="宋体"/>
          <w:color w:val="auto"/>
          <w:sz w:val="21"/>
        </w:rPr>
        <w:t>账</w:t>
      </w:r>
      <w:r>
        <w:rPr>
          <w:rFonts w:hint="default" w:ascii="宋体" w:hAnsi="宋体" w:eastAsia="宋体" w:cs="宋体"/>
          <w:color w:val="auto"/>
          <w:spacing w:val="53"/>
          <w:sz w:val="21"/>
        </w:rPr>
        <w:t xml:space="preserve"> </w:t>
      </w:r>
      <w:r>
        <w:rPr>
          <w:rFonts w:hint="default" w:ascii="宋体" w:hAnsi="宋体" w:eastAsia="宋体" w:cs="宋体"/>
          <w:color w:val="auto"/>
          <w:sz w:val="21"/>
        </w:rPr>
        <w:t>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208"/>
          <w:sz w:val="21"/>
        </w:rPr>
        <w:t xml:space="preserve"> </w:t>
      </w:r>
      <w:r>
        <w:rPr>
          <w:rFonts w:hint="default" w:ascii="宋体" w:hAnsi="宋体" w:eastAsia="宋体" w:cs="宋体"/>
          <w:color w:val="auto"/>
          <w:sz w:val="21"/>
        </w:rPr>
        <w:t>账</w:t>
      </w:r>
      <w:r>
        <w:rPr>
          <w:rFonts w:hint="default" w:ascii="宋体" w:hAnsi="宋体" w:eastAsia="宋体" w:cs="宋体"/>
          <w:color w:val="auto"/>
          <w:spacing w:val="53"/>
          <w:sz w:val="21"/>
        </w:rPr>
        <w:t xml:space="preserve"> </w:t>
      </w:r>
      <w:r>
        <w:rPr>
          <w:rFonts w:hint="default" w:ascii="宋体" w:hAnsi="宋体" w:eastAsia="宋体" w:cs="宋体"/>
          <w:color w:val="auto"/>
          <w:sz w:val="21"/>
        </w:rPr>
        <w:t>号：</w:t>
      </w:r>
      <w:r>
        <w:rPr>
          <w:rFonts w:hint="default" w:ascii="宋体" w:hAnsi="宋体" w:eastAsia="宋体" w:cs="宋体"/>
          <w:color w:val="auto"/>
          <w:sz w:val="21"/>
          <w:u w:val="single"/>
        </w:rPr>
        <w:t></w:t>
      </w:r>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3"/>
        <w:bidi w:val="0"/>
        <w:rPr>
          <w:rFonts w:hint="default"/>
          <w:color w:val="auto"/>
        </w:rPr>
      </w:pPr>
      <w:bookmarkStart w:id="77" w:name="_Toc8404_WPSOffice_Level2"/>
      <w:bookmarkStart w:id="78" w:name="_Toc10922_WPSOffice_Level2"/>
      <w:r>
        <w:rPr>
          <w:rFonts w:hint="default"/>
          <w:color w:val="auto"/>
        </w:rPr>
        <w:t>第二部分 通用合同条款</w:t>
      </w:r>
      <w:bookmarkEnd w:id="77"/>
      <w:bookmarkEnd w:id="78"/>
    </w:p>
    <w:p>
      <w:pPr>
        <w:autoSpaceDE w:val="0"/>
        <w:autoSpaceDN w:val="0"/>
        <w:snapToGrid w:val="0"/>
        <w:spacing w:before="583" w:after="0" w:line="263" w:lineRule="exact"/>
        <w:ind w:left="420"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采用《建设工程施工合同（示范文本）》（</w:t>
      </w:r>
      <w:r>
        <w:rPr>
          <w:rFonts w:hint="default" w:ascii="Times New Roman" w:hAnsi="Times New Roman" w:eastAsia="Times New Roman" w:cs="Times New Roman"/>
          <w:b/>
          <w:color w:val="auto"/>
          <w:sz w:val="21"/>
        </w:rPr>
        <w:t>GF</w:t>
      </w: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2013</w:t>
      </w:r>
      <w:r>
        <w:rPr>
          <w:rFonts w:hint="default" w:ascii="宋体" w:hAnsi="宋体" w:eastAsia="宋体" w:cs="宋体"/>
          <w:b/>
          <w:color w:val="auto"/>
          <w:sz w:val="21"/>
        </w:rPr>
        <w:t>—</w:t>
      </w:r>
      <w:r>
        <w:rPr>
          <w:rFonts w:hint="default" w:ascii="Times New Roman" w:hAnsi="Times New Roman" w:eastAsia="Times New Roman" w:cs="Times New Roman"/>
          <w:b/>
          <w:color w:val="auto"/>
          <w:sz w:val="21"/>
        </w:rPr>
        <w:t>0201</w:t>
      </w:r>
      <w:r>
        <w:rPr>
          <w:rFonts w:hint="default" w:ascii="宋体" w:hAnsi="宋体" w:eastAsia="宋体" w:cs="宋体"/>
          <w:b/>
          <w:color w:val="auto"/>
          <w:sz w:val="21"/>
        </w:rPr>
        <w:t>）。</w:t>
      </w:r>
    </w:p>
    <w:p>
      <w:pPr>
        <w:pStyle w:val="3"/>
        <w:bidi w:val="0"/>
        <w:rPr>
          <w:rFonts w:hint="default"/>
          <w:color w:val="auto"/>
        </w:rPr>
      </w:pPr>
    </w:p>
    <w:p>
      <w:pPr>
        <w:pStyle w:val="3"/>
        <w:bidi w:val="0"/>
        <w:rPr>
          <w:rFonts w:hint="default"/>
          <w:color w:val="auto"/>
        </w:rPr>
      </w:pPr>
      <w:bookmarkStart w:id="79" w:name="_Toc786_WPSOffice_Level2"/>
      <w:bookmarkStart w:id="80" w:name="_Toc25739_WPSOffice_Level2"/>
      <w:r>
        <w:rPr>
          <w:rFonts w:hint="default"/>
          <w:color w:val="auto"/>
        </w:rPr>
        <w:t>第三部分 专用合同条款</w:t>
      </w:r>
      <w:bookmarkEnd w:id="79"/>
      <w:bookmarkEnd w:id="80"/>
    </w:p>
    <w:p>
      <w:pPr>
        <w:numPr>
          <w:ilvl w:val="0"/>
          <w:numId w:val="48"/>
        </w:numPr>
        <w:autoSpaceDE w:val="0"/>
        <w:autoSpaceDN w:val="0"/>
        <w:snapToGrid w:val="0"/>
        <w:spacing w:before="267" w:after="0" w:line="240" w:lineRule="auto"/>
        <w:ind w:left="0" w:right="0" w:firstLine="175"/>
        <w:jc w:val="left"/>
        <w:textAlignment w:val="auto"/>
        <w:rPr>
          <w:rFonts w:hint="default" w:ascii="Arial" w:hAnsi="Arial" w:eastAsia="Arial" w:cs="Arial"/>
          <w:b/>
          <w:color w:val="auto"/>
          <w:sz w:val="21"/>
        </w:rPr>
      </w:pPr>
      <w:r>
        <w:rPr>
          <w:rFonts w:hint="default" w:ascii="黑体" w:hAnsi="黑体" w:eastAsia="黑体" w:cs="黑体"/>
          <w:b/>
          <w:color w:val="auto"/>
          <w:sz w:val="21"/>
        </w:rPr>
        <w:t>一般约定</w:t>
      </w:r>
    </w:p>
    <w:p>
      <w:pPr>
        <w:numPr>
          <w:ilvl w:val="1"/>
          <w:numId w:val="48"/>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词语定义</w:t>
      </w:r>
    </w:p>
    <w:p>
      <w:pPr>
        <w:numPr>
          <w:ilvl w:val="2"/>
          <w:numId w:val="48"/>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w:t>
      </w:r>
    </w:p>
    <w:p>
      <w:pPr>
        <w:numPr>
          <w:ilvl w:val="3"/>
          <w:numId w:val="48"/>
        </w:numPr>
        <w:autoSpaceDE w:val="0"/>
        <w:autoSpaceDN w:val="0"/>
        <w:snapToGrid w:val="0"/>
        <w:spacing w:before="153" w:after="0" w:line="240" w:lineRule="auto"/>
        <w:ind w:left="1208" w:right="0" w:hanging="788"/>
        <w:jc w:val="left"/>
        <w:textAlignment w:val="auto"/>
        <w:rPr>
          <w:rFonts w:hint="default" w:ascii="Times New Roman" w:hAnsi="Times New Roman" w:eastAsia="Times New Roman" w:cs="Times New Roman"/>
          <w:color w:val="auto"/>
          <w:sz w:val="21"/>
          <w:u w:val="none"/>
        </w:rPr>
      </w:pPr>
      <w:r>
        <w:rPr>
          <w:rFonts w:hint="default" w:ascii="宋体" w:hAnsi="宋体" w:eastAsia="宋体" w:cs="宋体"/>
          <w:color w:val="auto"/>
          <w:sz w:val="21"/>
        </w:rPr>
        <w:t>其他合同文件包括：</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u w:val="none"/>
          <w:lang w:val="en-US" w:eastAsia="zh-CN"/>
        </w:rPr>
        <w:t>。</w:t>
      </w:r>
    </w:p>
    <w:p>
      <w:pPr>
        <w:numPr>
          <w:ilvl w:val="2"/>
          <w:numId w:val="48"/>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合同当事人及其他相关方</w:t>
      </w:r>
    </w:p>
    <w:p>
      <w:pPr>
        <w:numPr>
          <w:ilvl w:val="3"/>
          <w:numId w:val="49"/>
        </w:numPr>
        <w:autoSpaceDE w:val="0"/>
        <w:autoSpaceDN w:val="0"/>
        <w:snapToGrid w:val="0"/>
        <w:spacing w:before="153" w:after="0" w:line="240" w:lineRule="auto"/>
        <w:ind w:left="1103" w:right="0" w:hanging="68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监理人：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w:t>
      </w:r>
      <w:r>
        <w:rPr>
          <w:rFonts w:hint="default" w:ascii="宋体" w:hAnsi="宋体" w:eastAsia="宋体" w:cs="宋体"/>
          <w:color w:val="auto"/>
          <w:spacing w:val="158"/>
          <w:sz w:val="21"/>
        </w:rPr>
        <w:t xml:space="preserve"> </w:t>
      </w:r>
      <w:r>
        <w:rPr>
          <w:rFonts w:hint="default" w:ascii="宋体" w:hAnsi="宋体" w:eastAsia="宋体" w:cs="宋体"/>
          <w:color w:val="auto"/>
          <w:sz w:val="21"/>
        </w:rPr>
        <w:t>称：</w:t>
      </w:r>
      <w:r>
        <w:rPr>
          <w:rFonts w:hint="default" w:ascii="宋体" w:hAnsi="宋体" w:eastAsia="宋体" w:cs="宋体"/>
          <w:color w:val="auto"/>
          <w:sz w:val="21"/>
          <w:u w:val="single" w:color="000000"/>
        </w:rPr>
        <w:t></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资质类别和等级：</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78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3"/>
          <w:numId w:val="49"/>
        </w:numPr>
        <w:autoSpaceDE w:val="0"/>
        <w:autoSpaceDN w:val="0"/>
        <w:snapToGrid w:val="0"/>
        <w:spacing w:before="146" w:after="0" w:line="240" w:lineRule="auto"/>
        <w:ind w:left="1103" w:right="0" w:hanging="68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设计人：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w:t>
      </w:r>
      <w:r>
        <w:rPr>
          <w:rFonts w:hint="default" w:ascii="宋体" w:hAnsi="宋体" w:eastAsia="宋体" w:cs="宋体"/>
          <w:color w:val="auto"/>
          <w:spacing w:val="158"/>
          <w:sz w:val="21"/>
        </w:rPr>
        <w:t xml:space="preserve"> </w:t>
      </w:r>
      <w:r>
        <w:rPr>
          <w:rFonts w:hint="default" w:ascii="宋体" w:hAnsi="宋体" w:eastAsia="宋体" w:cs="宋体"/>
          <w:color w:val="auto"/>
          <w:sz w:val="21"/>
        </w:rPr>
        <w:t>称：</w:t>
      </w:r>
      <w:r>
        <w:rPr>
          <w:rFonts w:hint="default" w:ascii="宋体" w:hAnsi="宋体" w:eastAsia="宋体" w:cs="宋体"/>
          <w:color w:val="auto"/>
          <w:sz w:val="21"/>
          <w:u w:val="single" w:color="000000"/>
        </w:rPr>
        <w:t></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资质类别和等级：</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48"/>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工程和设备</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1.1.3.7 </w:t>
      </w:r>
      <w:r>
        <w:rPr>
          <w:rFonts w:hint="default" w:ascii="宋体" w:hAnsi="宋体" w:eastAsia="宋体" w:cs="宋体"/>
          <w:color w:val="auto"/>
          <w:sz w:val="21"/>
        </w:rPr>
        <w:t>作为施工现场组成部分的其他场所包括：</w:t>
      </w:r>
    </w:p>
    <w:p>
      <w:pPr>
        <w:autoSpaceDE w:val="0"/>
        <w:autoSpaceDN w:val="0"/>
        <w:snapToGrid w:val="0"/>
        <w:spacing w:before="153" w:after="0" w:line="263" w:lineRule="exact"/>
        <w:ind w:left="15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rPr>
        <w:t></w:t>
      </w:r>
      <w:r>
        <w:rPr>
          <w:rFonts w:hint="default" w:ascii="宋体" w:hAnsi="宋体" w:eastAsia="宋体" w:cs="宋体"/>
          <w:color w:val="auto"/>
          <w:spacing w:val="1470"/>
          <w:sz w:val="21"/>
          <w:u w:val="single"/>
        </w:rPr>
        <w:t xml:space="preserve"> </w:t>
      </w:r>
      <w:r>
        <w:rPr>
          <w:rFonts w:hint="default" w:ascii="宋体" w:hAnsi="宋体" w:eastAsia="宋体" w:cs="宋体"/>
          <w:color w:val="auto"/>
          <w:sz w:val="21"/>
        </w:rPr>
        <w:t>。</w:t>
      </w:r>
    </w:p>
    <w:p>
      <w:pPr>
        <w:numPr>
          <w:ilvl w:val="3"/>
          <w:numId w:val="50"/>
        </w:numPr>
        <w:autoSpaceDE w:val="0"/>
        <w:autoSpaceDN w:val="0"/>
        <w:snapToGrid w:val="0"/>
        <w:spacing w:before="146" w:after="0" w:line="240" w:lineRule="auto"/>
        <w:ind w:left="1103" w:right="0" w:hanging="68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永久占地包括：</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3"/>
          <w:numId w:val="48"/>
        </w:numPr>
        <w:autoSpaceDE w:val="0"/>
        <w:autoSpaceDN w:val="0"/>
        <w:snapToGrid w:val="0"/>
        <w:spacing w:before="153" w:after="0" w:line="240" w:lineRule="auto"/>
        <w:ind w:left="1208" w:right="0" w:hanging="78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临时占地包括：</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10"/>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法律</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适用于合同的其他规范性文件：</w:t>
      </w:r>
      <w:r>
        <w:rPr>
          <w:rFonts w:hint="default" w:ascii="宋体" w:hAnsi="宋体" w:eastAsia="宋体" w:cs="宋体"/>
          <w:color w:val="auto"/>
          <w:sz w:val="21"/>
          <w:u w:val="single" w:color="000000"/>
        </w:rPr>
        <w:t></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3833"/>
          <w:sz w:val="21"/>
          <w:u w:val="single" w:color="000000"/>
        </w:rPr>
        <w:t xml:space="preserve"> </w:t>
      </w:r>
      <w:r>
        <w:rPr>
          <w:rFonts w:hint="default" w:ascii="宋体" w:hAnsi="宋体" w:eastAsia="宋体" w:cs="宋体"/>
          <w:color w:val="auto"/>
          <w:sz w:val="21"/>
        </w:rPr>
        <w:t>。</w:t>
      </w:r>
    </w:p>
    <w:p>
      <w:pPr>
        <w:numPr>
          <w:ilvl w:val="1"/>
          <w:numId w:val="1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标准和规范</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适用于工程的标准规范包括：</w:t>
      </w:r>
      <w:r>
        <w:rPr>
          <w:rFonts w:hint="default" w:ascii="宋体" w:hAnsi="宋体" w:eastAsia="宋体" w:cs="宋体"/>
          <w:color w:val="auto"/>
          <w:sz w:val="21"/>
          <w:u w:val="single" w:color="000000"/>
        </w:rPr>
        <w:t></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3"/>
          <w:sz w:val="21"/>
          <w:u w:val="single" w:color="000000"/>
        </w:rPr>
        <w:t></w:t>
      </w:r>
      <w:r>
        <w:rPr>
          <w:rFonts w:hint="default" w:ascii="宋体" w:hAnsi="宋体" w:eastAsia="宋体" w:cs="宋体"/>
          <w:color w:val="auto"/>
          <w:spacing w:val="4092"/>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p>
    <w:p>
      <w:pPr>
        <w:numPr>
          <w:ilvl w:val="2"/>
          <w:numId w:val="12"/>
        </w:numPr>
        <w:autoSpaceDE w:val="0"/>
        <w:autoSpaceDN w:val="0"/>
        <w:snapToGrid w:val="0"/>
        <w:spacing w:before="0"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发包人提供国外标准、规范的名称：</w:t>
      </w:r>
      <w:r>
        <w:rPr>
          <w:rFonts w:hint="default" w:ascii="宋体" w:hAnsi="宋体" w:eastAsia="宋体" w:cs="宋体"/>
          <w:color w:val="auto"/>
          <w:spacing w:val="1260"/>
          <w:sz w:val="21"/>
        </w:rPr>
        <w:t xml:space="preserve"> </w:t>
      </w:r>
      <w:r>
        <w:rPr>
          <w:rFonts w:hint="default" w:ascii="宋体" w:hAnsi="宋体" w:eastAsia="宋体" w:cs="宋体"/>
          <w:color w:val="auto"/>
          <w:sz w:val="21"/>
        </w:rPr>
        <w:t></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3419475</wp:posOffset>
                </wp:positionH>
                <wp:positionV relativeFrom="page">
                  <wp:posOffset>873760</wp:posOffset>
                </wp:positionV>
                <wp:extent cx="2733675" cy="0"/>
                <wp:effectExtent l="0" t="0" r="0" b="0"/>
                <wp:wrapNone/>
                <wp:docPr id="1104" name="1104"/>
                <wp:cNvGraphicFramePr/>
                <a:graphic xmlns:a="http://schemas.openxmlformats.org/drawingml/2006/main">
                  <a:graphicData uri="http://schemas.microsoft.com/office/word/2010/wordprocessingShape">
                    <wps:wsp>
                      <wps:cNvCnPr/>
                      <wps:spPr>
                        <a:xfrm>
                          <a:off x="0" y="0"/>
                          <a:ext cx="273367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04" o:spid="_x0000_s1026" o:spt="20" style="position:absolute;left:0pt;margin-left:269.25pt;margin-top:68.8pt;height:0pt;width:215.25pt;mso-position-horizontal-relative:page;mso-position-vertical-relative:page;z-index:-251657216;mso-width-relative:page;mso-height-relative:page;" fillcolor="#FFFFFF" filled="t" stroked="t" coordsize="21600,21600" o:gfxdata="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2lKButcAAAALAQAADwAAAAAAAAABACAAAAAiAAAAZHJz&#10;L2Rvd25yZXYueG1sUEsBAhQAFAAAAAgAh07iQDAere0FAgAAQAQAAA4AAAAAAAAAAQAgAAAAJg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409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发包人提供国外标准、规范的份数：</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发包人提供国外标准、规范的名称：</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numPr>
          <w:ilvl w:val="2"/>
          <w:numId w:val="12"/>
        </w:numPr>
        <w:autoSpaceDE w:val="0"/>
        <w:autoSpaceDN w:val="0"/>
        <w:snapToGrid w:val="0"/>
        <w:spacing w:before="146" w:after="0" w:line="240" w:lineRule="auto"/>
        <w:ind w:left="945" w:right="0" w:hanging="525"/>
        <w:jc w:val="left"/>
        <w:textAlignment w:val="auto"/>
        <w:rPr>
          <w:rFonts w:hint="default" w:ascii="宋体" w:hAnsi="宋体" w:eastAsia="宋体" w:cs="宋体"/>
          <w:color w:val="auto"/>
          <w:sz w:val="21"/>
        </w:rPr>
      </w:pPr>
      <w:r>
        <w:rPr>
          <w:rFonts w:hint="default" w:ascii="宋体" w:hAnsi="宋体" w:eastAsia="宋体" w:cs="宋体"/>
          <w:color w:val="auto"/>
          <w:sz w:val="21"/>
        </w:rPr>
        <w:t>发包人对工程的技术标准和功能要求的特殊要求：</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1"/>
          <w:numId w:val="1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合同文件的优先顺序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合同文件组成及优先顺序为：</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）合同协议书；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）中标通知书；</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）投标函及其附录；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）专用合同条款及其附件；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）通用合同条款；</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）《建设工程工程量清单计价规范（</w:t>
      </w:r>
      <w:r>
        <w:rPr>
          <w:rFonts w:hint="default" w:ascii="Times New Roman" w:hAnsi="Times New Roman" w:eastAsia="Times New Roman" w:cs="Times New Roman"/>
          <w:color w:val="auto"/>
          <w:sz w:val="21"/>
        </w:rPr>
        <w:t>GB5050-2013</w:t>
      </w:r>
      <w:r>
        <w:rPr>
          <w:rFonts w:hint="default" w:ascii="宋体" w:hAnsi="宋体" w:eastAsia="宋体" w:cs="宋体"/>
          <w:color w:val="auto"/>
          <w:sz w:val="21"/>
        </w:rPr>
        <w:t>）》及其广西实施细则及《关于建筑业实施营</w:t>
      </w:r>
    </w:p>
    <w:p>
      <w:pPr>
        <w:autoSpaceDE w:val="0"/>
        <w:autoSpaceDN w:val="0"/>
        <w:snapToGrid w:val="0"/>
        <w:spacing w:before="29"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业税改征增值</w:t>
      </w:r>
      <w:r>
        <w:rPr>
          <w:rFonts w:hint="default" w:ascii="宋体" w:hAnsi="宋体" w:eastAsia="宋体" w:cs="宋体"/>
          <w:color w:val="auto"/>
          <w:sz w:val="21"/>
        </w:rPr>
        <w:t>税后广西壮族自治区建设工程计价依据调整的通知》（桂建标〔</w:t>
      </w:r>
      <w:r>
        <w:rPr>
          <w:rFonts w:hint="default" w:ascii="Times New Roman" w:hAnsi="Times New Roman" w:eastAsia="Times New Roman" w:cs="Times New Roman"/>
          <w:color w:val="auto"/>
          <w:sz w:val="21"/>
        </w:rPr>
        <w:t>2016</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号）、《建设工程工程量清单计算规范（</w:t>
      </w:r>
      <w:r>
        <w:rPr>
          <w:rFonts w:hint="default" w:ascii="Times New Roman" w:hAnsi="Times New Roman" w:eastAsia="Times New Roman" w:cs="Times New Roman"/>
          <w:color w:val="auto"/>
          <w:sz w:val="21"/>
        </w:rPr>
        <w:t>GB5854~50862-2013</w:t>
      </w:r>
      <w:r>
        <w:rPr>
          <w:rFonts w:hint="default" w:ascii="宋体" w:hAnsi="宋体" w:eastAsia="宋体" w:cs="宋体"/>
          <w:color w:val="auto"/>
          <w:sz w:val="21"/>
        </w:rPr>
        <w:t>）》及其广西实施细则（修订本）。</w:t>
      </w:r>
    </w:p>
    <w:p>
      <w:pPr>
        <w:autoSpaceDE w:val="0"/>
        <w:autoSpaceDN w:val="0"/>
        <w:snapToGrid w:val="0"/>
        <w:spacing w:before="0" w:after="0" w:line="408" w:lineRule="exact"/>
        <w:ind w:left="0" w:right="53"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说明：（</w:t>
      </w: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w:t>
      </w: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w:t>
      </w:r>
      <w:r>
        <w:rPr>
          <w:rFonts w:hint="default" w:ascii="Times New Roman" w:hAnsi="Times New Roman" w:eastAsia="Times New Roman" w:cs="Times New Roman"/>
          <w:color w:val="auto"/>
          <w:sz w:val="21"/>
        </w:rPr>
        <w:t>8</w:t>
      </w: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）填空内容分别限于技术标准和要求、图纸、已标价工程量清单或预算书、其他合同文件四者之一，其优先顺序可根据采取的不同合同方式由双方约定。</w:t>
      </w:r>
    </w:p>
    <w:p>
      <w:pPr>
        <w:numPr>
          <w:ilvl w:val="1"/>
          <w:numId w:val="10"/>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图纸和承包人文件</w:t>
      </w:r>
    </w:p>
    <w:p>
      <w:pPr>
        <w:numPr>
          <w:ilvl w:val="2"/>
          <w:numId w:val="1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图纸的提供</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发包人向承包人提供图纸的期限：</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29" w:after="0" w:line="409"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发包人向承包</w:t>
      </w:r>
      <w:r>
        <w:rPr>
          <w:rFonts w:hint="default" w:ascii="宋体" w:hAnsi="宋体" w:eastAsia="宋体" w:cs="宋体"/>
          <w:color w:val="auto"/>
          <w:sz w:val="21"/>
        </w:rPr>
        <w:t>人提供图纸的数量：</w:t>
      </w:r>
      <w:r>
        <w:rPr>
          <w:rFonts w:hint="default" w:ascii="Times New Roman" w:hAnsi="Times New Roman" w:eastAsia="Times New Roman" w:cs="Times New Roman"/>
          <w:color w:val="auto"/>
          <w:spacing w:val="53"/>
          <w:sz w:val="21"/>
          <w:u w:val="single" w:color="000000"/>
        </w:rPr>
        <w:t>4</w:t>
      </w:r>
      <w:r>
        <w:rPr>
          <w:rFonts w:hint="default" w:ascii="宋体" w:hAnsi="宋体" w:eastAsia="宋体" w:cs="宋体"/>
          <w:color w:val="auto"/>
          <w:sz w:val="21"/>
          <w:u w:val="single" w:color="000000"/>
        </w:rPr>
        <w:t>套，承包人需要增加图纸套数的，发包人应代为复制，复制费用由承包人承担</w:t>
      </w:r>
      <w:r>
        <w:rPr>
          <w:rFonts w:hint="default" w:ascii="宋体" w:hAnsi="宋体" w:eastAsia="宋体" w:cs="宋体"/>
          <w:color w:val="auto"/>
          <w:sz w:val="21"/>
        </w:rPr>
        <w:t>；</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发包人向承包人提供图纸的内容：</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51"/>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承包人文件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需要由承包人提供的文件，包括：</w:t>
      </w:r>
      <w:r>
        <w:rPr>
          <w:rFonts w:hint="default" w:ascii="宋体" w:hAnsi="宋体" w:eastAsia="宋体" w:cs="宋体"/>
          <w:color w:val="auto"/>
          <w:sz w:val="21"/>
          <w:u w:val="single" w:color="000000"/>
        </w:rPr>
        <w:t></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承包人提供的文件的期限为：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承包人提供的文件的数量为：</w:t>
      </w:r>
      <w:r>
        <w:rPr>
          <w:rFonts w:hint="default" w:ascii="宋体" w:hAnsi="宋体" w:eastAsia="宋体" w:cs="宋体"/>
          <w:color w:val="auto"/>
          <w:sz w:val="21"/>
          <w:u w:val="single" w:color="000000"/>
        </w:rPr>
        <w:t></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承包人提供的文件的形式为：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发包人审批承包人文件的期限：</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51"/>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现场图纸准备</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关于现场图纸准备的约定：</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10"/>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联络</w:t>
      </w:r>
    </w:p>
    <w:p>
      <w:pPr>
        <w:numPr>
          <w:ilvl w:val="2"/>
          <w:numId w:val="52"/>
        </w:numPr>
        <w:autoSpaceDE w:val="0"/>
        <w:autoSpaceDN w:val="0"/>
        <w:snapToGrid w:val="0"/>
        <w:spacing w:before="153" w:after="0" w:line="240" w:lineRule="auto"/>
        <w:ind w:left="420"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发包人和承包</w:t>
      </w:r>
      <w:r>
        <w:rPr>
          <w:rFonts w:hint="default" w:ascii="宋体" w:hAnsi="宋体" w:eastAsia="宋体" w:cs="宋体"/>
          <w:color w:val="auto"/>
          <w:sz w:val="21"/>
        </w:rPr>
        <w:t>人应当在</w:t>
      </w:r>
      <w:r>
        <w:rPr>
          <w:rFonts w:hint="default" w:ascii="宋体" w:hAnsi="宋体" w:eastAsia="宋体" w:cs="宋体"/>
          <w:color w:val="auto"/>
          <w:sz w:val="21"/>
          <w:u w:val="single" w:color="000000"/>
        </w:rPr>
        <w:t></w:t>
      </w:r>
      <w:r>
        <w:rPr>
          <w:rFonts w:hint="default" w:ascii="宋体" w:hAnsi="宋体" w:eastAsia="宋体" w:cs="宋体"/>
          <w:color w:val="auto"/>
          <w:spacing w:val="280"/>
          <w:sz w:val="21"/>
          <w:u w:val="single" w:color="000000"/>
        </w:rPr>
        <w:t xml:space="preserve"> </w:t>
      </w:r>
      <w:r>
        <w:rPr>
          <w:rFonts w:hint="default" w:ascii="宋体" w:hAnsi="宋体" w:eastAsia="宋体" w:cs="宋体"/>
          <w:color w:val="auto"/>
          <w:sz w:val="21"/>
        </w:rPr>
        <w:t>天内将与合同有关的通知、批准、证明、证书、指示、指令、要</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求、请求、同意、意见、确定和决定等书面函件送达对方当事人。</w:t>
      </w:r>
    </w:p>
    <w:p>
      <w:pPr>
        <w:numPr>
          <w:ilvl w:val="2"/>
          <w:numId w:val="53"/>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发包人接收文件的地点：</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发包人指定的接收人为：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承包人接收文件的地点：</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承包人指定的接收人为：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监理人接收文件的地点：</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监理人指定的接收人为：</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8"/>
        </w:numPr>
        <w:tabs>
          <w:tab w:val="left" w:pos="473"/>
        </w:tabs>
        <w:autoSpaceDE w:val="0"/>
        <w:autoSpaceDN w:val="0"/>
        <w:snapToGrid w:val="0"/>
        <w:spacing w:before="146" w:after="0" w:line="240" w:lineRule="auto"/>
        <w:ind w:left="473"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交通运输</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1.10.1 </w:t>
      </w:r>
      <w:r>
        <w:rPr>
          <w:rFonts w:hint="default" w:ascii="宋体" w:hAnsi="宋体" w:eastAsia="宋体" w:cs="宋体"/>
          <w:color w:val="auto"/>
          <w:sz w:val="21"/>
        </w:rPr>
        <w:t>出入现场的权利</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关于出入现场的权利的约定：</w:t>
      </w:r>
      <w:r>
        <w:rPr>
          <w:rFonts w:hint="default" w:ascii="宋体" w:hAnsi="宋体" w:eastAsia="宋体" w:cs="宋体"/>
          <w:color w:val="auto"/>
          <w:sz w:val="21"/>
          <w:u w:val="single" w:color="000000"/>
        </w:rPr>
        <w:t></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2"/>
          <w:numId w:val="54"/>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场内交通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关于场外交通和场内交通的边界的约定：</w:t>
      </w:r>
      <w:r>
        <w:rPr>
          <w:rFonts w:hint="default" w:ascii="宋体" w:hAnsi="宋体" w:eastAsia="宋体" w:cs="宋体"/>
          <w:color w:val="auto"/>
          <w:sz w:val="21"/>
          <w:u w:val="single" w:color="000000"/>
        </w:rPr>
        <w:t></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关于发包人向承包人免费提供满足工程施工需要的场内道路和交通设施的约定：</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numPr>
          <w:ilvl w:val="2"/>
          <w:numId w:val="54"/>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超大件和超重件的运输</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运输超大件或超重件所需的道路和桥梁临时加固改造费用和其他有关费用由</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承担。</w:t>
      </w:r>
    </w:p>
    <w:p>
      <w:pPr>
        <w:numPr>
          <w:ilvl w:val="1"/>
          <w:numId w:val="8"/>
        </w:numPr>
        <w:tabs>
          <w:tab w:val="left" w:pos="473"/>
        </w:tabs>
        <w:autoSpaceDE w:val="0"/>
        <w:autoSpaceDN w:val="0"/>
        <w:snapToGrid w:val="0"/>
        <w:spacing w:before="146" w:after="0" w:line="240" w:lineRule="auto"/>
        <w:ind w:left="473" w:right="0" w:hanging="105"/>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知识产权</w:t>
      </w:r>
    </w:p>
    <w:p>
      <w:pPr>
        <w:numPr>
          <w:ilvl w:val="2"/>
          <w:numId w:val="8"/>
        </w:numPr>
        <w:autoSpaceDE w:val="0"/>
        <w:autoSpaceDN w:val="0"/>
        <w:snapToGrid w:val="0"/>
        <w:spacing w:before="153" w:after="0" w:line="240" w:lineRule="auto"/>
        <w:ind w:left="1136" w:right="0" w:hanging="71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关于发包人提</w:t>
      </w:r>
      <w:r>
        <w:rPr>
          <w:rFonts w:hint="default" w:ascii="宋体" w:hAnsi="宋体" w:eastAsia="宋体" w:cs="宋体"/>
          <w:color w:val="auto"/>
          <w:sz w:val="21"/>
        </w:rPr>
        <w:t>供给承包人的图纸、发包人为实施工程自行编制或委托编制的技术规范以及反映</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发包人关于合</w:t>
      </w:r>
      <w:r>
        <w:rPr>
          <w:rFonts w:hint="default" w:ascii="宋体" w:hAnsi="宋体" w:eastAsia="宋体" w:cs="宋体"/>
          <w:color w:val="auto"/>
          <w:sz w:val="21"/>
        </w:rPr>
        <w:t>同要求或其他类似性质的文件的著作权的归属：</w:t>
      </w:r>
      <w:r>
        <w:rPr>
          <w:rFonts w:hint="default" w:ascii="宋体" w:hAnsi="宋体" w:eastAsia="宋体" w:cs="宋体"/>
          <w:color w:val="auto"/>
          <w:sz w:val="21"/>
          <w:u w:val="single" w:color="000000"/>
        </w:rPr>
        <w:t></w:t>
      </w:r>
      <w:r>
        <w:rPr>
          <w:rFonts w:hint="default" w:ascii="宋体" w:hAnsi="宋体" w:eastAsia="宋体" w:cs="宋体"/>
          <w:color w:val="auto"/>
          <w:spacing w:val="237"/>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6"/>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600"/>
          <w:sz w:val="21"/>
          <w:u w:val="single" w:color="000000"/>
        </w:rPr>
        <w:t xml:space="preserve"> </w:t>
      </w:r>
      <w:r>
        <w:rPr>
          <w:rFonts w:hint="default" w:ascii="宋体" w:hAnsi="宋体" w:eastAsia="宋体" w:cs="宋体"/>
          <w:color w:val="auto"/>
          <w:sz w:val="21"/>
          <w:u w:val="single" w:color="000000"/>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关于发包人提供的上述文件的使用限制的要求：</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numPr>
          <w:ilvl w:val="2"/>
          <w:numId w:val="55"/>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关于承包人为实施工程所编制文件的著作权的归属：</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关于承包人提供的上述文件的使用限制的要求：</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Times New Roman" w:hAnsi="Times New Roman" w:eastAsia="Times New Roman" w:cs="Times New Roman"/>
          <w:color w:val="auto"/>
          <w:sz w:val="21"/>
        </w:rPr>
        <w:t xml:space="preserve">1.11.4 </w:t>
      </w:r>
      <w:r>
        <w:rPr>
          <w:rFonts w:hint="default" w:ascii="宋体" w:hAnsi="宋体" w:eastAsia="宋体" w:cs="宋体"/>
          <w:color w:val="auto"/>
          <w:sz w:val="21"/>
        </w:rPr>
        <w:t>承包人在施工过程中所采用的专利、专有技术、技术秘密的使用费的承担方式：</w:t>
      </w:r>
      <w:r>
        <w:rPr>
          <w:rFonts w:hint="default" w:ascii="宋体" w:hAnsi="宋体" w:eastAsia="宋体" w:cs="宋体"/>
          <w:color w:val="auto"/>
          <w:sz w:val="21"/>
          <w:u w:val="single" w:color="000000"/>
        </w:rPr>
        <w:t></w:t>
      </w:r>
    </w:p>
    <w:p>
      <w:pPr>
        <w:autoSpaceDE w:val="0"/>
        <w:autoSpaceDN w:val="0"/>
        <w:snapToGrid w:val="0"/>
        <w:spacing w:before="153" w:after="0" w:line="263" w:lineRule="exact"/>
        <w:ind w:left="1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3938"/>
          <w:sz w:val="21"/>
          <w:u w:val="single" w:color="000000"/>
        </w:rPr>
        <w:t xml:space="preserve"> </w:t>
      </w:r>
      <w:r>
        <w:rPr>
          <w:rFonts w:hint="default" w:ascii="宋体" w:hAnsi="宋体" w:eastAsia="宋体" w:cs="宋体"/>
          <w:color w:val="auto"/>
          <w:sz w:val="21"/>
        </w:rPr>
        <w:t>。</w:t>
      </w:r>
    </w:p>
    <w:p>
      <w:pPr>
        <w:numPr>
          <w:ilvl w:val="1"/>
          <w:numId w:val="56"/>
        </w:numPr>
        <w:autoSpaceDE w:val="0"/>
        <w:autoSpaceDN w:val="0"/>
        <w:snapToGrid w:val="0"/>
        <w:spacing w:before="146" w:after="0" w:line="240" w:lineRule="auto"/>
        <w:ind w:left="420" w:right="0" w:hanging="420"/>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工程量清单错误的修正</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出现工程量清单工程量偏差时，是否调整合同价格：</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允许调整合同价格的工程量偏差范围及其调整办法：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1995"/>
          <w:sz w:val="21"/>
          <w:u w:val="single" w:color="000000"/>
        </w:rPr>
        <w:t xml:space="preserve"> </w:t>
      </w:r>
      <w:r>
        <w:rPr>
          <w:rFonts w:hint="default" w:ascii="宋体" w:hAnsi="宋体" w:eastAsia="宋体" w:cs="宋体"/>
          <w:color w:val="auto"/>
          <w:sz w:val="21"/>
        </w:rPr>
        <w:t>。</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发包人</w:t>
      </w:r>
    </w:p>
    <w:p>
      <w:pPr>
        <w:numPr>
          <w:ilvl w:val="1"/>
          <w:numId w:val="46"/>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发包人代表</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发包人代表：</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身份证号：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w:t>
      </w:r>
      <w:r>
        <w:rPr>
          <w:rFonts w:hint="default" w:ascii="宋体" w:hAnsi="宋体" w:eastAsia="宋体" w:cs="宋体"/>
          <w:color w:val="auto"/>
          <w:spacing w:val="158"/>
          <w:sz w:val="21"/>
        </w:rPr>
        <w:t xml:space="preserve"> </w:t>
      </w:r>
      <w:r>
        <w:rPr>
          <w:rFonts w:hint="default" w:ascii="宋体" w:hAnsi="宋体" w:eastAsia="宋体" w:cs="宋体"/>
          <w:color w:val="auto"/>
          <w:sz w:val="21"/>
        </w:rPr>
        <w:t>务：</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发包人对发包人代表的授权范围如下：</w:t>
      </w:r>
      <w:r>
        <w:rPr>
          <w:rFonts w:hint="default" w:ascii="宋体" w:hAnsi="宋体" w:eastAsia="宋体" w:cs="宋体"/>
          <w:color w:val="auto"/>
          <w:sz w:val="21"/>
          <w:u w:val="single" w:color="000000"/>
        </w:rPr>
        <w:t></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1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施工现场、施工条件和基础资料的提供</w:t>
      </w:r>
    </w:p>
    <w:p>
      <w:pPr>
        <w:numPr>
          <w:ilvl w:val="2"/>
          <w:numId w:val="1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提供施工现场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关于发包人移交施工现场的期限要求：</w:t>
      </w:r>
      <w:r>
        <w:rPr>
          <w:rFonts w:hint="default" w:ascii="宋体" w:hAnsi="宋体" w:eastAsia="宋体" w:cs="宋体"/>
          <w:color w:val="auto"/>
          <w:sz w:val="21"/>
          <w:u w:val="single" w:color="000000"/>
        </w:rPr>
        <w:t></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w:t>
      </w:r>
    </w:p>
    <w:p>
      <w:pPr>
        <w:numPr>
          <w:ilvl w:val="2"/>
          <w:numId w:val="15"/>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提供施工条件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关于发包人应负责提供施工所需要的条件，包括：</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rPr>
        <w:t>。</w:t>
      </w:r>
    </w:p>
    <w:p>
      <w:pPr>
        <w:numPr>
          <w:ilvl w:val="1"/>
          <w:numId w:val="1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资金来源证明及支付担保</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发包人提供资金来源证明的期限要求：</w:t>
      </w:r>
      <w:r>
        <w:rPr>
          <w:rFonts w:hint="default" w:ascii="宋体" w:hAnsi="宋体" w:eastAsia="宋体" w:cs="宋体"/>
          <w:color w:val="auto"/>
          <w:sz w:val="21"/>
          <w:u w:val="single" w:color="000000"/>
        </w:rPr>
        <w:t></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发包人是否提供支付担保：</w:t>
      </w:r>
      <w:r>
        <w:rPr>
          <w:rFonts w:hint="default" w:ascii="宋体" w:hAnsi="宋体" w:eastAsia="宋体" w:cs="宋体"/>
          <w:color w:val="auto"/>
          <w:sz w:val="21"/>
          <w:u w:val="single" w:color="000000"/>
        </w:rPr>
        <w:t>否</w:t>
      </w:r>
      <w:r>
        <w:rPr>
          <w:rFonts w:hint="default" w:ascii="宋体" w:hAnsi="宋体" w:eastAsia="宋体" w:cs="宋体"/>
          <w:color w:val="auto"/>
          <w:spacing w:val="1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发包人提供支付担保的形式：</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发包人提供的支付担保格式见合同附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承包人</w:t>
      </w:r>
    </w:p>
    <w:p>
      <w:pPr>
        <w:numPr>
          <w:ilvl w:val="1"/>
          <w:numId w:val="47"/>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承包人的一般义务</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9</w:t>
      </w:r>
      <w:r>
        <w:rPr>
          <w:rFonts w:hint="default" w:ascii="宋体" w:hAnsi="宋体" w:eastAsia="宋体" w:cs="宋体"/>
          <w:color w:val="auto"/>
          <w:sz w:val="21"/>
        </w:rPr>
        <w:t>）承包人提交的竣工资料的内容：</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承包人需要提交的竣工资料套数：</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承包人提交的竣工资料的费用承担：</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承包人提交的竣工资料移交时间：</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承包人提交的竣工资料形式要求：</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）承包人应履行的其他义务：</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1"/>
          <w:numId w:val="4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项目经理</w:t>
      </w:r>
    </w:p>
    <w:p>
      <w:pPr>
        <w:numPr>
          <w:ilvl w:val="2"/>
          <w:numId w:val="47"/>
        </w:numPr>
        <w:autoSpaceDE w:val="0"/>
        <w:autoSpaceDN w:val="0"/>
        <w:snapToGrid w:val="0"/>
        <w:spacing w:before="153" w:after="0" w:line="240" w:lineRule="auto"/>
        <w:ind w:left="2625" w:right="0" w:hanging="220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项目经理：</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身份证号：</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建造师执业资格等级：</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建造师注册证书号：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建造师执业印章号：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安全生产考核合格证书号：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承包人对项目经理的授权范围如下：</w:t>
      </w:r>
      <w:r>
        <w:rPr>
          <w:rFonts w:hint="default" w:ascii="宋体" w:hAnsi="宋体" w:eastAsia="宋体" w:cs="宋体"/>
          <w:color w:val="auto"/>
          <w:spacing w:val="2310"/>
          <w:sz w:val="21"/>
          <w:u w:val="single"/>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关于项目经理每月在施工现场的时间要求：</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承包人未提交劳动合同，以及没有为项目经理缴纳社会保险证明的违约责任：</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325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项目经理未经批准，擅自离开施工现场的违约责任：</w:t>
      </w:r>
      <w:r>
        <w:rPr>
          <w:rFonts w:hint="default" w:ascii="宋体" w:hAnsi="宋体" w:eastAsia="宋体" w:cs="宋体"/>
          <w:color w:val="auto"/>
          <w:sz w:val="21"/>
          <w:u w:val="single" w:color="000000"/>
        </w:rPr>
        <w:t>项目经理每月在岗带班时间不得少于当月施工时</w:t>
      </w:r>
    </w:p>
    <w:p>
      <w:pPr>
        <w:autoSpaceDE w:val="0"/>
        <w:autoSpaceDN w:val="0"/>
        <w:snapToGrid w:val="0"/>
        <w:spacing w:before="29" w:after="0" w:line="408" w:lineRule="exact"/>
        <w:ind w:left="0" w:right="52"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u w:val="single" w:color="000000"/>
        </w:rPr>
        <w:t>间</w:t>
      </w:r>
      <w:r>
        <w:rPr>
          <w:rFonts w:hint="default" w:ascii="宋体" w:hAnsi="宋体" w:eastAsia="宋体" w:cs="宋体"/>
          <w:color w:val="auto"/>
          <w:spacing w:val="25"/>
          <w:sz w:val="21"/>
          <w:u w:val="single" w:color="000000"/>
        </w:rPr>
        <w:t>的</w:t>
      </w:r>
      <w:r>
        <w:rPr>
          <w:rFonts w:hint="default" w:ascii="Times New Roman" w:hAnsi="Times New Roman" w:eastAsia="Times New Roman" w:cs="Times New Roman"/>
          <w:color w:val="auto"/>
          <w:spacing w:val="-1"/>
          <w:sz w:val="21"/>
          <w:u w:val="single" w:color="000000"/>
        </w:rPr>
        <w:t>80%</w:t>
      </w:r>
      <w:r>
        <w:rPr>
          <w:rFonts w:hint="default" w:ascii="宋体" w:hAnsi="宋体" w:eastAsia="宋体" w:cs="宋体"/>
          <w:color w:val="auto"/>
          <w:spacing w:val="-1"/>
          <w:sz w:val="21"/>
          <w:u w:val="single" w:color="000000"/>
        </w:rPr>
        <w:t>。未</w:t>
      </w:r>
      <w:r>
        <w:rPr>
          <w:rFonts w:hint="default" w:ascii="宋体" w:hAnsi="宋体" w:eastAsia="宋体" w:cs="宋体"/>
          <w:color w:val="auto"/>
          <w:sz w:val="21"/>
          <w:u w:val="single" w:color="000000"/>
        </w:rPr>
        <w:t>经发包人同意或正当理由，项目经理每月在岗带班时间少于当月施工时</w:t>
      </w:r>
      <w:r>
        <w:rPr>
          <w:rFonts w:hint="default" w:ascii="宋体" w:hAnsi="宋体" w:eastAsia="宋体" w:cs="宋体"/>
          <w:color w:val="auto"/>
          <w:spacing w:val="26"/>
          <w:sz w:val="21"/>
          <w:u w:val="single" w:color="000000"/>
        </w:rPr>
        <w:t>间</w:t>
      </w:r>
      <w:r>
        <w:rPr>
          <w:rFonts w:hint="default" w:ascii="Times New Roman" w:hAnsi="Times New Roman" w:eastAsia="Times New Roman" w:cs="Times New Roman"/>
          <w:color w:val="auto"/>
          <w:sz w:val="21"/>
          <w:u w:val="single" w:color="000000"/>
        </w:rPr>
        <w:t>80%</w:t>
      </w:r>
      <w:r>
        <w:rPr>
          <w:rFonts w:hint="default" w:ascii="宋体" w:hAnsi="宋体" w:eastAsia="宋体" w:cs="宋体"/>
          <w:color w:val="auto"/>
          <w:sz w:val="21"/>
          <w:u w:val="single" w:color="000000"/>
        </w:rPr>
        <w:t>的，少在岗带班一天，发包人有权处违约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日（人民币）</w:t>
      </w:r>
      <w:r>
        <w:rPr>
          <w:rFonts w:hint="default" w:ascii="宋体" w:hAnsi="宋体" w:eastAsia="宋体" w:cs="宋体"/>
          <w:color w:val="auto"/>
          <w:spacing w:val="52"/>
          <w:sz w:val="21"/>
          <w:u w:val="single" w:color="000000"/>
        </w:rPr>
        <w:t xml:space="preserve"> </w:t>
      </w:r>
      <w:r>
        <w:rPr>
          <w:rFonts w:hint="default" w:ascii="宋体" w:hAnsi="宋体" w:eastAsia="宋体" w:cs="宋体"/>
          <w:color w:val="auto"/>
          <w:sz w:val="21"/>
        </w:rPr>
        <w:t>。</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Times New Roman" w:hAnsi="Times New Roman" w:eastAsia="Times New Roman" w:cs="Times New Roman"/>
          <w:color w:val="auto"/>
          <w:sz w:val="21"/>
        </w:rPr>
        <w:t>3.2.3</w:t>
      </w:r>
      <w:r>
        <w:rPr>
          <w:rFonts w:hint="default" w:ascii="Times New Roman" w:hAnsi="Times New Roman" w:eastAsia="Times New Roman" w:cs="Times New Roman"/>
          <w:color w:val="auto"/>
          <w:spacing w:val="201"/>
          <w:sz w:val="21"/>
        </w:rPr>
        <w:t xml:space="preserve"> </w:t>
      </w:r>
      <w:r>
        <w:rPr>
          <w:rFonts w:hint="default" w:ascii="宋体" w:hAnsi="宋体" w:eastAsia="宋体" w:cs="宋体"/>
          <w:color w:val="auto"/>
          <w:spacing w:val="-1"/>
          <w:sz w:val="21"/>
        </w:rPr>
        <w:t>承包人擅自更</w:t>
      </w:r>
      <w:r>
        <w:rPr>
          <w:rFonts w:hint="default" w:ascii="宋体" w:hAnsi="宋体" w:eastAsia="宋体" w:cs="宋体"/>
          <w:color w:val="auto"/>
          <w:sz w:val="21"/>
        </w:rPr>
        <w:t>换项目经理的违约责任：</w:t>
      </w:r>
      <w:r>
        <w:rPr>
          <w:rFonts w:hint="default" w:ascii="宋体" w:hAnsi="宋体" w:eastAsia="宋体" w:cs="宋体"/>
          <w:color w:val="auto"/>
          <w:sz w:val="21"/>
          <w:u w:val="single" w:color="000000"/>
        </w:rPr>
        <w:t>承包人项目经理必须与承包人投标时所承诺的人员一</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致，并在</w:t>
      </w:r>
      <w:r>
        <w:rPr>
          <w:rFonts w:hint="default" w:ascii="宋体" w:hAnsi="宋体" w:eastAsia="宋体" w:cs="宋体"/>
          <w:color w:val="auto"/>
          <w:spacing w:val="59"/>
          <w:sz w:val="21"/>
          <w:u w:val="single" w:color="000000"/>
        </w:rPr>
        <w:t xml:space="preserve"> </w:t>
      </w:r>
      <w:r>
        <w:rPr>
          <w:rFonts w:hint="default" w:ascii="宋体" w:hAnsi="宋体" w:eastAsia="宋体" w:cs="宋体"/>
          <w:color w:val="auto"/>
          <w:spacing w:val="-1"/>
          <w:sz w:val="21"/>
          <w:u w:val="single" w:color="000000"/>
        </w:rPr>
        <w:t>（</w:t>
      </w:r>
      <w:r>
        <w:rPr>
          <w:rFonts w:hint="default" w:ascii="宋体" w:hAnsi="宋体" w:eastAsia="宋体" w:cs="宋体"/>
          <w:color w:val="auto"/>
          <w:sz w:val="21"/>
          <w:u w:val="single" w:color="000000"/>
        </w:rPr>
        <w:t>开工日期）</w:t>
      </w:r>
      <w:r>
        <w:rPr>
          <w:rFonts w:hint="default" w:ascii="宋体" w:hAnsi="宋体" w:eastAsia="宋体" w:cs="宋体"/>
          <w:color w:val="auto"/>
          <w:spacing w:val="60"/>
          <w:sz w:val="21"/>
          <w:u w:val="single" w:color="000000"/>
        </w:rPr>
        <w:t xml:space="preserve"> </w:t>
      </w:r>
      <w:r>
        <w:rPr>
          <w:rFonts w:hint="default" w:ascii="宋体" w:hAnsi="宋体" w:eastAsia="宋体" w:cs="宋体"/>
          <w:color w:val="auto"/>
          <w:sz w:val="21"/>
          <w:u w:val="single" w:color="000000"/>
        </w:rPr>
        <w:t>前到任。在监理人向承包人颁发</w:t>
      </w:r>
      <w:r>
        <w:rPr>
          <w:rFonts w:hint="default" w:ascii="宋体" w:hAnsi="宋体" w:eastAsia="宋体" w:cs="宋体"/>
          <w:color w:val="auto"/>
          <w:spacing w:val="172"/>
          <w:sz w:val="21"/>
          <w:u w:val="single" w:color="000000"/>
        </w:rPr>
        <w:t xml:space="preserve"> </w:t>
      </w:r>
      <w:r>
        <w:rPr>
          <w:rFonts w:hint="default" w:ascii="宋体" w:hAnsi="宋体" w:eastAsia="宋体" w:cs="宋体"/>
          <w:color w:val="auto"/>
          <w:sz w:val="21"/>
          <w:u w:val="single" w:color="000000"/>
        </w:rPr>
        <w:t>（竣工证明材料名称）</w:t>
      </w:r>
      <w:r>
        <w:rPr>
          <w:rFonts w:hint="default" w:ascii="宋体" w:hAnsi="宋体" w:eastAsia="宋体" w:cs="宋体"/>
          <w:color w:val="auto"/>
          <w:spacing w:val="172"/>
          <w:sz w:val="21"/>
          <w:u w:val="single" w:color="000000"/>
        </w:rPr>
        <w:t xml:space="preserve"> </w:t>
      </w:r>
      <w:r>
        <w:rPr>
          <w:rFonts w:hint="default" w:ascii="宋体" w:hAnsi="宋体" w:eastAsia="宋体" w:cs="宋体"/>
          <w:color w:val="auto"/>
          <w:sz w:val="21"/>
          <w:u w:val="single" w:color="000000"/>
        </w:rPr>
        <w:t>前，项目经理</w:t>
      </w:r>
    </w:p>
    <w:p>
      <w:pPr>
        <w:autoSpaceDE w:val="0"/>
        <w:autoSpaceDN w:val="0"/>
        <w:snapToGrid w:val="0"/>
        <w:spacing w:before="29" w:after="0" w:line="409" w:lineRule="exact"/>
        <w:ind w:left="0" w:right="192"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u w:val="single" w:color="000000"/>
        </w:rPr>
        <w:t>不得同时兼任</w:t>
      </w:r>
      <w:r>
        <w:rPr>
          <w:rFonts w:hint="default" w:ascii="宋体" w:hAnsi="宋体" w:eastAsia="宋体" w:cs="宋体"/>
          <w:color w:val="auto"/>
          <w:sz w:val="21"/>
          <w:u w:val="single" w:color="000000"/>
        </w:rPr>
        <w:t>其他任何项目的项目经理（符合桂建管﹝</w:t>
      </w:r>
      <w:r>
        <w:rPr>
          <w:rFonts w:hint="default" w:ascii="Times New Roman" w:hAnsi="Times New Roman" w:eastAsia="Times New Roman" w:cs="Times New Roman"/>
          <w:color w:val="auto"/>
          <w:sz w:val="21"/>
          <w:u w:val="single" w:color="000000"/>
        </w:rPr>
        <w:t>2013</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1</w:t>
      </w:r>
      <w:r>
        <w:rPr>
          <w:rFonts w:hint="default" w:ascii="Times New Roman" w:hAnsi="Times New Roman" w:eastAsia="Times New Roman" w:cs="Times New Roman"/>
          <w:color w:val="auto"/>
          <w:spacing w:val="53"/>
          <w:sz w:val="21"/>
          <w:u w:val="single" w:color="000000"/>
        </w:rPr>
        <w:t>7</w:t>
      </w:r>
      <w:r>
        <w:rPr>
          <w:rFonts w:hint="default" w:ascii="宋体" w:hAnsi="宋体" w:eastAsia="宋体" w:cs="宋体"/>
          <w:color w:val="auto"/>
          <w:sz w:val="21"/>
          <w:u w:val="single" w:color="000000"/>
        </w:rPr>
        <w:t>号和桂建管﹝</w:t>
      </w:r>
      <w:r>
        <w:rPr>
          <w:rFonts w:hint="default" w:ascii="Times New Roman" w:hAnsi="Times New Roman" w:eastAsia="Times New Roman" w:cs="Times New Roman"/>
          <w:color w:val="auto"/>
          <w:sz w:val="21"/>
          <w:u w:val="single" w:color="000000"/>
        </w:rPr>
        <w:t>2014</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号文除外）。未经发包人书面同意，承包人擅自更换项目经理的视为违约，违约金</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2000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2"/>
          <w:numId w:val="57"/>
        </w:numPr>
        <w:autoSpaceDE w:val="0"/>
        <w:autoSpaceDN w:val="0"/>
        <w:snapToGrid w:val="0"/>
        <w:spacing w:before="117"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承包人无正当</w:t>
      </w:r>
      <w:r>
        <w:rPr>
          <w:rFonts w:hint="default" w:ascii="宋体" w:hAnsi="宋体" w:eastAsia="宋体" w:cs="宋体"/>
          <w:color w:val="auto"/>
          <w:sz w:val="21"/>
        </w:rPr>
        <w:t>理由拒绝更换项目经理的违约责任：</w:t>
      </w:r>
      <w:r>
        <w:rPr>
          <w:rFonts w:hint="default" w:ascii="宋体" w:hAnsi="宋体" w:eastAsia="宋体" w:cs="宋体"/>
          <w:color w:val="auto"/>
          <w:sz w:val="21"/>
          <w:u w:val="single" w:color="000000"/>
        </w:rPr>
        <w:t>因承包人项目经理不称职，发包人要求调换</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而未及时调换的，视为承包人违约，必须向发包人交纳处罚</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1"/>
          <w:numId w:val="4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承包人人员</w:t>
      </w:r>
    </w:p>
    <w:p>
      <w:pPr>
        <w:numPr>
          <w:ilvl w:val="2"/>
          <w:numId w:val="47"/>
        </w:numPr>
        <w:autoSpaceDE w:val="0"/>
        <w:autoSpaceDN w:val="0"/>
        <w:snapToGrid w:val="0"/>
        <w:spacing w:before="36" w:after="0" w:line="408" w:lineRule="exact"/>
        <w:ind w:left="2625" w:right="875" w:hanging="2205"/>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承包人提交</w:t>
      </w:r>
      <w:r>
        <w:rPr>
          <w:rFonts w:hint="default" w:ascii="宋体" w:hAnsi="宋体" w:eastAsia="宋体" w:cs="宋体"/>
          <w:color w:val="auto"/>
          <w:sz w:val="21"/>
        </w:rPr>
        <w:t>项目管理机构及施工现场管理人员安排报告（格式见合同附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3</w:t>
      </w:r>
      <w:r>
        <w:rPr>
          <w:rFonts w:hint="default" w:ascii="宋体" w:hAnsi="宋体" w:eastAsia="宋体" w:cs="宋体"/>
          <w:color w:val="auto"/>
          <w:sz w:val="21"/>
        </w:rPr>
        <w:t>）的期限：</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Times New Roman" w:hAnsi="Times New Roman" w:eastAsia="Times New Roman" w:cs="Times New Roman"/>
          <w:color w:val="auto"/>
          <w:sz w:val="21"/>
        </w:rPr>
        <w:t>3.3.3</w:t>
      </w:r>
      <w:r>
        <w:rPr>
          <w:rFonts w:hint="default" w:ascii="Times New Roman" w:hAnsi="Times New Roman" w:eastAsia="Times New Roman" w:cs="Times New Roman"/>
          <w:color w:val="auto"/>
          <w:spacing w:val="201"/>
          <w:sz w:val="21"/>
        </w:rPr>
        <w:t xml:space="preserve"> </w:t>
      </w:r>
      <w:r>
        <w:rPr>
          <w:rFonts w:hint="default" w:ascii="宋体" w:hAnsi="宋体" w:eastAsia="宋体" w:cs="宋体"/>
          <w:color w:val="auto"/>
          <w:spacing w:val="-1"/>
          <w:sz w:val="21"/>
        </w:rPr>
        <w:t>承包人无正当</w:t>
      </w:r>
      <w:r>
        <w:rPr>
          <w:rFonts w:hint="default" w:ascii="宋体" w:hAnsi="宋体" w:eastAsia="宋体" w:cs="宋体"/>
          <w:color w:val="auto"/>
          <w:sz w:val="21"/>
        </w:rPr>
        <w:t>理由拒绝撤换主要施工管理人员的违约责任：</w:t>
      </w:r>
      <w:r>
        <w:rPr>
          <w:rFonts w:hint="default" w:ascii="宋体" w:hAnsi="宋体" w:eastAsia="宋体" w:cs="宋体"/>
          <w:color w:val="auto"/>
          <w:sz w:val="21"/>
          <w:u w:val="single" w:color="000000"/>
        </w:rPr>
        <w:t>因承包人主要施工管理人员不称</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职，发包人要求调换而无正当理由拒绝撤换或未及时调换的，视为承包人违约，必须向发包人交纳处罚</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金，处罚标准：技术负责</w:t>
      </w:r>
      <w:r>
        <w:rPr>
          <w:rFonts w:hint="default" w:ascii="宋体" w:hAnsi="宋体" w:eastAsia="宋体" w:cs="宋体"/>
          <w:color w:val="auto"/>
          <w:spacing w:val="26"/>
          <w:sz w:val="21"/>
          <w:u w:val="single" w:color="000000"/>
        </w:rPr>
        <w:t>人</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次（人民币）；专业工程</w:t>
      </w:r>
      <w:r>
        <w:rPr>
          <w:rFonts w:hint="default" w:ascii="宋体" w:hAnsi="宋体" w:eastAsia="宋体" w:cs="宋体"/>
          <w:color w:val="auto"/>
          <w:spacing w:val="26"/>
          <w:sz w:val="21"/>
          <w:u w:val="single" w:color="000000"/>
        </w:rPr>
        <w:t>师</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2"/>
          <w:numId w:val="58"/>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承包人主要施工管理人员离开施工现场的批准要求：</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2"/>
          <w:numId w:val="43"/>
        </w:numPr>
        <w:autoSpaceDE w:val="0"/>
        <w:autoSpaceDN w:val="0"/>
        <w:snapToGrid w:val="0"/>
        <w:spacing w:before="153" w:after="0" w:line="240" w:lineRule="auto"/>
        <w:ind w:left="1137" w:right="0" w:hanging="71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承包人擅自更</w:t>
      </w:r>
      <w:r>
        <w:rPr>
          <w:rFonts w:hint="default" w:ascii="宋体" w:hAnsi="宋体" w:eastAsia="宋体" w:cs="宋体"/>
          <w:color w:val="auto"/>
          <w:sz w:val="21"/>
        </w:rPr>
        <w:t>换主要施工管理人员的违约责任：</w:t>
      </w:r>
      <w:r>
        <w:rPr>
          <w:rFonts w:hint="default" w:ascii="宋体" w:hAnsi="宋体" w:eastAsia="宋体" w:cs="宋体"/>
          <w:color w:val="auto"/>
          <w:sz w:val="21"/>
          <w:u w:val="single" w:color="000000"/>
        </w:rPr>
        <w:t>项目技术负责人、安全员及其承诺的其它在场</w:t>
      </w:r>
    </w:p>
    <w:p>
      <w:pPr>
        <w:autoSpaceDE w:val="0"/>
        <w:autoSpaceDN w:val="0"/>
        <w:snapToGrid w:val="0"/>
        <w:spacing w:before="36" w:after="0" w:line="409"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color="000000"/>
        </w:rPr>
        <w:t>管理人员未经发包人书面同意不准擅自更换，擅自更换项目技术负责人</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1000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次（人民币）违约金；擅自更换安全员</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次（人民币）违约金；擅自更换其它在场管理人员</w:t>
      </w:r>
      <w:r>
        <w:rPr>
          <w:rFonts w:hint="default" w:ascii="宋体" w:hAnsi="宋体" w:eastAsia="宋体" w:cs="宋体"/>
          <w:color w:val="auto"/>
          <w:spacing w:val="26"/>
          <w:sz w:val="21"/>
          <w:u w:val="single" w:color="000000"/>
        </w:rPr>
        <w:t>处</w:t>
      </w:r>
      <w:r>
        <w:rPr>
          <w:rFonts w:hint="default" w:ascii="Times New Roman" w:hAnsi="Times New Roman" w:eastAsia="Times New Roman" w:cs="Times New Roman"/>
          <w:color w:val="auto"/>
          <w:sz w:val="21"/>
          <w:u w:val="single" w:color="000000"/>
        </w:rPr>
        <w:t>200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次（人民币）违约金</w:t>
      </w:r>
      <w:r>
        <w:rPr>
          <w:rFonts w:hint="default" w:ascii="宋体" w:hAnsi="宋体" w:eastAsia="宋体" w:cs="宋体"/>
          <w:color w:val="auto"/>
          <w:sz w:val="21"/>
        </w:rPr>
        <w:t>。</w:t>
      </w:r>
    </w:p>
    <w:p>
      <w:pPr>
        <w:autoSpaceDE w:val="0"/>
        <w:autoSpaceDN w:val="0"/>
        <w:snapToGrid w:val="0"/>
        <w:spacing w:before="0" w:after="0" w:line="409"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z w:val="21"/>
        </w:rPr>
        <w:t>承包人主要施工管理人员擅自离开施工现场的违约责任：</w:t>
      </w:r>
      <w:r>
        <w:rPr>
          <w:rFonts w:hint="default" w:ascii="宋体" w:hAnsi="宋体" w:eastAsia="宋体" w:cs="宋体"/>
          <w:color w:val="auto"/>
          <w:sz w:val="21"/>
          <w:u w:val="single" w:color="000000"/>
        </w:rPr>
        <w:t>未经发包人同意，项目技术负责人擅自离岗的，视为承包人违约，发包人有权处违约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次（人民币）；未经发包人同意，安全员擅自离岗的，视为承包人违约，发包人有权处违约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500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次（人民币）；其它在场管理人员擅自离岗的，视为承包人违约，发包人有权处违约</w:t>
      </w:r>
      <w:r>
        <w:rPr>
          <w:rFonts w:hint="default" w:ascii="宋体" w:hAnsi="宋体" w:eastAsia="宋体" w:cs="宋体"/>
          <w:color w:val="auto"/>
          <w:spacing w:val="26"/>
          <w:sz w:val="21"/>
          <w:u w:val="single" w:color="000000"/>
        </w:rPr>
        <w:t>金</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元</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人</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次（人民币）</w:t>
      </w:r>
      <w:r>
        <w:rPr>
          <w:rFonts w:hint="default" w:ascii="宋体" w:hAnsi="宋体" w:eastAsia="宋体" w:cs="宋体"/>
          <w:color w:val="auto"/>
          <w:sz w:val="21"/>
        </w:rPr>
        <w:t>。</w:t>
      </w:r>
    </w:p>
    <w:p>
      <w:pPr>
        <w:numPr>
          <w:ilvl w:val="1"/>
          <w:numId w:val="41"/>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分包</w:t>
      </w:r>
    </w:p>
    <w:p>
      <w:pPr>
        <w:numPr>
          <w:ilvl w:val="2"/>
          <w:numId w:val="5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分包的一般约定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禁止分包的工程包括：</w:t>
      </w:r>
      <w:r>
        <w:rPr>
          <w:rFonts w:hint="default" w:ascii="宋体" w:hAnsi="宋体" w:eastAsia="宋体" w:cs="宋体"/>
          <w:color w:val="auto"/>
          <w:sz w:val="21"/>
          <w:u w:val="single" w:color="000000"/>
        </w:rPr>
        <w:t>按国家及地方相关规定</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主体结构、关键性工作的范围：</w:t>
      </w:r>
      <w:r>
        <w:rPr>
          <w:rFonts w:hint="default" w:ascii="宋体" w:hAnsi="宋体" w:eastAsia="宋体" w:cs="宋体"/>
          <w:color w:val="auto"/>
          <w:sz w:val="21"/>
          <w:u w:val="single" w:color="000000"/>
        </w:rPr>
        <w:t></w:t>
      </w:r>
      <w:r>
        <w:rPr>
          <w:rFonts w:hint="default" w:ascii="宋体" w:hAnsi="宋体" w:eastAsia="宋体" w:cs="宋体"/>
          <w:color w:val="auto"/>
          <w:spacing w:val="2625"/>
          <w:sz w:val="21"/>
          <w:u w:val="single" w:color="000000"/>
        </w:rPr>
        <w:t xml:space="preserve"> </w:t>
      </w:r>
      <w:r>
        <w:rPr>
          <w:rFonts w:hint="default" w:ascii="宋体" w:hAnsi="宋体" w:eastAsia="宋体" w:cs="宋体"/>
          <w:color w:val="auto"/>
          <w:sz w:val="21"/>
        </w:rPr>
        <w:t>。</w:t>
      </w:r>
    </w:p>
    <w:p>
      <w:pPr>
        <w:numPr>
          <w:ilvl w:val="2"/>
          <w:numId w:val="59"/>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分包的确定</w:t>
      </w:r>
    </w:p>
    <w:p>
      <w:pPr>
        <w:numPr>
          <w:ilvl w:val="0"/>
          <w:numId w:val="33"/>
        </w:numPr>
        <w:autoSpaceDE w:val="0"/>
        <w:autoSpaceDN w:val="0"/>
        <w:snapToGrid w:val="0"/>
        <w:spacing w:before="94"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允许分包的专业工程包括：</w:t>
      </w:r>
      <w:r>
        <w:rPr>
          <w:rFonts w:hint="default" w:ascii="宋体" w:hAnsi="宋体" w:eastAsia="宋体" w:cs="宋体"/>
          <w:color w:val="auto"/>
          <w:sz w:val="21"/>
          <w:u w:val="single" w:color="000000"/>
        </w:rPr>
        <w:t></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其他关于分包的约定：</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）除前款约定的分包内容外，经过发包人和监理人同意，承包人可以将其他非主体、非关键性工</w:t>
      </w:r>
    </w:p>
    <w:p>
      <w:pPr>
        <w:autoSpaceDE w:val="0"/>
        <w:autoSpaceDN w:val="0"/>
        <w:snapToGrid w:val="0"/>
        <w:spacing w:before="29" w:after="0" w:line="408"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作分包给第三</w:t>
      </w:r>
      <w:r>
        <w:rPr>
          <w:rFonts w:hint="default" w:ascii="宋体" w:hAnsi="宋体" w:eastAsia="宋体" w:cs="宋体"/>
          <w:color w:val="auto"/>
          <w:sz w:val="21"/>
        </w:rPr>
        <w:t>人，但分包人应当经过发包人和监理人审批。发包人和监理人有权拒绝承包人的分包请求和承包人选择的分包人。本项目分包人主要施工管理人员名单详见合同附</w:t>
      </w:r>
      <w:r>
        <w:rPr>
          <w:rFonts w:hint="default" w:ascii="宋体" w:hAnsi="宋体" w:eastAsia="宋体" w:cs="宋体"/>
          <w:color w:val="auto"/>
          <w:spacing w:val="26"/>
          <w:sz w:val="21"/>
        </w:rPr>
        <w:t>件</w:t>
      </w:r>
      <w:r>
        <w:rPr>
          <w:rFonts w:hint="default" w:ascii="Times New Roman" w:hAnsi="Times New Roman" w:eastAsia="Times New Roman" w:cs="Times New Roman"/>
          <w:color w:val="auto"/>
          <w:sz w:val="21"/>
        </w:rPr>
        <w:t>4</w:t>
      </w:r>
      <w:r>
        <w:rPr>
          <w:rFonts w:hint="default" w:ascii="宋体" w:hAnsi="宋体" w:eastAsia="宋体" w:cs="宋体"/>
          <w:color w:val="auto"/>
          <w:sz w:val="21"/>
        </w:rPr>
        <w:t>。</w:t>
      </w:r>
    </w:p>
    <w:p>
      <w:pPr>
        <w:autoSpaceDE w:val="0"/>
        <w:autoSpaceDN w:val="0"/>
        <w:snapToGrid w:val="0"/>
        <w:spacing w:before="0"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）在相关</w:t>
      </w:r>
      <w:r>
        <w:rPr>
          <w:rFonts w:hint="default" w:ascii="宋体" w:hAnsi="宋体" w:eastAsia="宋体" w:cs="宋体"/>
          <w:color w:val="auto"/>
          <w:sz w:val="21"/>
        </w:rPr>
        <w:t>分包合同签订并报送有关建设行政主管部门备案</w:t>
      </w:r>
      <w:r>
        <w:rPr>
          <w:rFonts w:hint="default" w:ascii="宋体" w:hAnsi="宋体" w:eastAsia="宋体" w:cs="宋体"/>
          <w:color w:val="auto"/>
          <w:spacing w:val="26"/>
          <w:sz w:val="21"/>
        </w:rPr>
        <w:t>后</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天内，承包人应当将一份副本提交给监理人，承包人应保障分包工作不得再次分包。</w:t>
      </w:r>
    </w:p>
    <w:p>
      <w:pPr>
        <w:autoSpaceDE w:val="0"/>
        <w:autoSpaceDN w:val="0"/>
        <w:snapToGrid w:val="0"/>
        <w:spacing w:before="0"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）未经承</w:t>
      </w:r>
      <w:r>
        <w:rPr>
          <w:rFonts w:hint="default" w:ascii="宋体" w:hAnsi="宋体" w:eastAsia="宋体" w:cs="宋体"/>
          <w:color w:val="auto"/>
          <w:sz w:val="21"/>
        </w:rPr>
        <w:t>包人和监理人审批同意的分包工程和分包人，承包人有权拒绝验收分包工程和支付相应款项，由此引起的发包人费用增加和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延误的工期由发包人承担。</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）承包人有以下情况之一者，发包人有权解除合同，并视情况扣除其履约保证金：</w:t>
      </w:r>
    </w:p>
    <w:p>
      <w:pPr>
        <w:autoSpaceDE w:val="0"/>
        <w:autoSpaceDN w:val="0"/>
        <w:snapToGrid w:val="0"/>
        <w:spacing w:before="29" w:after="0" w:line="408" w:lineRule="exact"/>
        <w:ind w:left="0" w:right="66"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①个人承包工</w:t>
      </w:r>
      <w:r>
        <w:rPr>
          <w:rFonts w:hint="default" w:ascii="宋体" w:hAnsi="宋体" w:eastAsia="宋体" w:cs="宋体"/>
          <w:color w:val="auto"/>
          <w:sz w:val="21"/>
        </w:rPr>
        <w:t>程，包括本人单位及外单位人员承包，发包人不承认其个人拥有任何资质等级及营业许可资格。没收全部履约保证金。</w:t>
      </w:r>
    </w:p>
    <w:p>
      <w:pPr>
        <w:autoSpaceDE w:val="0"/>
        <w:autoSpaceDN w:val="0"/>
        <w:snapToGrid w:val="0"/>
        <w:spacing w:before="0" w:after="0" w:line="408" w:lineRule="exact"/>
        <w:ind w:left="0" w:right="66"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②几个人联合</w:t>
      </w:r>
      <w:r>
        <w:rPr>
          <w:rFonts w:hint="default" w:ascii="宋体" w:hAnsi="宋体" w:eastAsia="宋体" w:cs="宋体"/>
          <w:color w:val="auto"/>
          <w:sz w:val="21"/>
        </w:rPr>
        <w:t>承包工程，就地组织暗分包队伍，不具备完成本工程的技术、机械能力，被发包人判定为没有能力履行的承包人。没收全部履约保证金。</w:t>
      </w:r>
    </w:p>
    <w:p>
      <w:pPr>
        <w:autoSpaceDE w:val="0"/>
        <w:autoSpaceDN w:val="0"/>
        <w:snapToGrid w:val="0"/>
        <w:spacing w:before="117"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③就地转包全部的工程，以谋取高额转让费、管理费的承包人。没收全部履约保证金。</w:t>
      </w:r>
    </w:p>
    <w:p>
      <w:pPr>
        <w:autoSpaceDE w:val="0"/>
        <w:autoSpaceDN w:val="0"/>
        <w:snapToGrid w:val="0"/>
        <w:spacing w:before="29" w:after="0" w:line="408" w:lineRule="exact"/>
        <w:ind w:left="0" w:right="8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④承包人有部</w:t>
      </w:r>
      <w:r>
        <w:rPr>
          <w:rFonts w:hint="default" w:ascii="宋体" w:hAnsi="宋体" w:eastAsia="宋体" w:cs="宋体"/>
          <w:color w:val="auto"/>
          <w:sz w:val="21"/>
        </w:rPr>
        <w:t>分分包现象（其中包括冒充承包人下属单位的挂勾单位，凭口头协议参与施工的分包人及其他暗分包个体户），一经发现核实，发包人将采取驱逐该暗分包人措施。没收全部履约保证金。</w:t>
      </w:r>
    </w:p>
    <w:p>
      <w:pPr>
        <w:numPr>
          <w:ilvl w:val="2"/>
          <w:numId w:val="60"/>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分包合同价款</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关于分包合同价款支付的约定：</w:t>
      </w:r>
      <w:r>
        <w:rPr>
          <w:rFonts w:hint="default" w:ascii="宋体" w:hAnsi="宋体" w:eastAsia="宋体" w:cs="宋体"/>
          <w:color w:val="auto"/>
          <w:sz w:val="21"/>
          <w:u w:val="single" w:color="000000"/>
        </w:rPr>
        <w:t>分包工程价款由承包人与分包人（包括专业分包人）结算。发包人未</w:t>
      </w:r>
    </w:p>
    <w:p>
      <w:pPr>
        <w:autoSpaceDE w:val="0"/>
        <w:autoSpaceDN w:val="0"/>
        <w:snapToGrid w:val="0"/>
        <w:spacing w:before="29" w:after="0" w:line="409" w:lineRule="exact"/>
        <w:ind w:left="0" w:right="87"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经承包人同意</w:t>
      </w:r>
      <w:r>
        <w:rPr>
          <w:rFonts w:hint="default" w:ascii="宋体" w:hAnsi="宋体" w:eastAsia="宋体" w:cs="宋体"/>
          <w:color w:val="auto"/>
          <w:sz w:val="21"/>
          <w:u w:val="single" w:color="000000"/>
        </w:rPr>
        <w:t>不得以任何形式向分包人（包括专业分包人）支付相关分包合同项下的任何工程款项。因发</w:t>
      </w:r>
      <w:r>
        <w:rPr>
          <w:rFonts w:hint="default" w:ascii="宋体" w:hAnsi="宋体" w:eastAsia="宋体" w:cs="宋体"/>
          <w:color w:val="auto"/>
          <w:spacing w:val="-1"/>
          <w:sz w:val="21"/>
          <w:u w:val="single" w:color="000000"/>
        </w:rPr>
        <w:t>包人未经承包</w:t>
      </w:r>
      <w:r>
        <w:rPr>
          <w:rFonts w:hint="default" w:ascii="宋体" w:hAnsi="宋体" w:eastAsia="宋体" w:cs="宋体"/>
          <w:color w:val="auto"/>
          <w:sz w:val="21"/>
          <w:u w:val="single" w:color="000000"/>
        </w:rPr>
        <w:t>人同意直接向分包人（包括专业分包人）支付相关分包合同项下的任何工程款项而影响承包人工作的，所造成的承包人费用增加和（或）延误的工期由发包人承担。</w:t>
      </w:r>
    </w:p>
    <w:p>
      <w:pPr>
        <w:numPr>
          <w:ilvl w:val="1"/>
          <w:numId w:val="41"/>
        </w:numPr>
        <w:tabs>
          <w:tab w:val="left" w:pos="368"/>
        </w:tabs>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工程照管与成品、半成品保护</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承包人负责照管工程及工程相关的材料、工程设备的起始时间：</w:t>
      </w:r>
      <w:r>
        <w:rPr>
          <w:rFonts w:hint="default" w:ascii="宋体" w:hAnsi="宋体" w:eastAsia="宋体" w:cs="宋体"/>
          <w:color w:val="auto"/>
          <w:spacing w:val="945"/>
          <w:sz w:val="21"/>
          <w:u w:val="single" w:color="000000"/>
        </w:rPr>
        <w:t xml:space="preserve"> </w:t>
      </w:r>
      <w:r>
        <w:rPr>
          <w:rFonts w:hint="default" w:ascii="宋体" w:hAnsi="宋体" w:eastAsia="宋体" w:cs="宋体"/>
          <w:color w:val="auto"/>
          <w:sz w:val="21"/>
        </w:rPr>
        <w:t>。</w:t>
      </w:r>
    </w:p>
    <w:p>
      <w:pPr>
        <w:numPr>
          <w:ilvl w:val="1"/>
          <w:numId w:val="41"/>
        </w:numPr>
        <w:tabs>
          <w:tab w:val="left" w:pos="368"/>
        </w:tabs>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highlight w:val="none"/>
        </w:rPr>
      </w:pPr>
      <w:r>
        <w:rPr>
          <w:rFonts w:hint="default" w:ascii="黑体" w:hAnsi="黑体" w:eastAsia="黑体" w:cs="黑体"/>
          <w:b/>
          <w:color w:val="auto"/>
          <w:sz w:val="21"/>
          <w:highlight w:val="none"/>
        </w:rPr>
        <w:t>履约保证金</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rPr>
        <w:t>承包人提供履约担保的形式、金额及期限的：</w:t>
      </w:r>
      <w:r>
        <w:rPr>
          <w:rFonts w:hint="default" w:ascii="宋体" w:hAnsi="宋体" w:eastAsia="宋体" w:cs="宋体"/>
          <w:color w:val="auto"/>
          <w:sz w:val="21"/>
          <w:highlight w:val="none"/>
          <w:u w:val="single" w:color="000000"/>
        </w:rPr>
        <w:t xml:space="preserve">承包人在收到中标通知书后，须在 </w:t>
      </w:r>
      <w:r>
        <w:rPr>
          <w:rFonts w:hint="default" w:ascii="Times New Roman" w:hAnsi="Times New Roman" w:eastAsia="Times New Roman" w:cs="Times New Roman"/>
          <w:color w:val="auto"/>
          <w:sz w:val="21"/>
          <w:highlight w:val="none"/>
          <w:u w:val="single" w:color="000000"/>
        </w:rPr>
        <w:t xml:space="preserve">20 </w:t>
      </w:r>
      <w:r>
        <w:rPr>
          <w:rFonts w:hint="default" w:ascii="宋体" w:hAnsi="宋体" w:eastAsia="宋体" w:cs="宋体"/>
          <w:color w:val="auto"/>
          <w:sz w:val="21"/>
          <w:highlight w:val="none"/>
          <w:u w:val="single" w:color="000000"/>
        </w:rPr>
        <w:t>日内向发包人提</w:t>
      </w:r>
    </w:p>
    <w:p>
      <w:pPr>
        <w:autoSpaceDE w:val="0"/>
        <w:autoSpaceDN w:val="0"/>
        <w:snapToGrid w:val="0"/>
        <w:spacing w:before="29" w:after="0" w:line="409" w:lineRule="exact"/>
        <w:ind w:left="0" w:right="122" w:firstLine="0"/>
        <w:jc w:val="both"/>
        <w:textAlignment w:val="auto"/>
        <w:rPr>
          <w:rFonts w:hint="default" w:ascii="宋体" w:hAnsi="宋体" w:eastAsia="宋体" w:cs="宋体"/>
          <w:color w:val="auto"/>
          <w:sz w:val="21"/>
          <w:highlight w:val="none"/>
        </w:rPr>
      </w:pPr>
      <w:r>
        <w:rPr>
          <w:rFonts w:hint="default" w:ascii="宋体" w:hAnsi="宋体" w:eastAsia="宋体" w:cs="宋体"/>
          <w:color w:val="auto"/>
          <w:spacing w:val="-1"/>
          <w:sz w:val="21"/>
          <w:highlight w:val="none"/>
          <w:u w:val="single" w:color="000000"/>
        </w:rPr>
        <w:t>交合同价款</w:t>
      </w:r>
      <w:r>
        <w:rPr>
          <w:rFonts w:hint="default" w:ascii="宋体" w:hAnsi="宋体" w:eastAsia="宋体" w:cs="宋体"/>
          <w:color w:val="auto"/>
          <w:sz w:val="21"/>
          <w:highlight w:val="none"/>
          <w:u w:val="single" w:color="000000"/>
        </w:rPr>
        <w:t xml:space="preserve">扣除建安劳保费、发包人材料设备价款、暂估专业工程、暂列金额后的 </w:t>
      </w:r>
      <w:r>
        <w:rPr>
          <w:rFonts w:hint="default" w:ascii="Times New Roman" w:hAnsi="Times New Roman" w:eastAsia="Times New Roman" w:cs="Times New Roman"/>
          <w:color w:val="auto"/>
          <w:sz w:val="21"/>
          <w:highlight w:val="none"/>
          <w:u w:val="single" w:color="000000"/>
        </w:rPr>
        <w:t>5%</w:t>
      </w:r>
      <w:r>
        <w:rPr>
          <w:rFonts w:hint="default" w:ascii="宋体" w:hAnsi="宋体" w:eastAsia="宋体" w:cs="宋体"/>
          <w:color w:val="auto"/>
          <w:sz w:val="21"/>
          <w:highlight w:val="none"/>
          <w:u w:val="single" w:color="000000"/>
        </w:rPr>
        <w:t>的履约担保（格式</w:t>
      </w:r>
      <w:r>
        <w:rPr>
          <w:rFonts w:hint="default" w:ascii="宋体" w:hAnsi="宋体" w:eastAsia="宋体" w:cs="宋体"/>
          <w:color w:val="auto"/>
          <w:sz w:val="21"/>
          <w:highlight w:val="none"/>
        </w:rPr>
        <w:t>见合同附</w:t>
      </w:r>
      <w:r>
        <w:rPr>
          <w:rFonts w:hint="default" w:ascii="宋体" w:hAnsi="宋体" w:eastAsia="宋体" w:cs="宋体"/>
          <w:color w:val="auto"/>
          <w:spacing w:val="26"/>
          <w:sz w:val="21"/>
          <w:highlight w:val="none"/>
        </w:rPr>
        <w:t>件</w:t>
      </w:r>
      <w:r>
        <w:rPr>
          <w:rFonts w:hint="default" w:ascii="Times New Roman" w:hAnsi="Times New Roman" w:eastAsia="Times New Roman" w:cs="Times New Roman"/>
          <w:color w:val="auto"/>
          <w:sz w:val="21"/>
          <w:highlight w:val="none"/>
        </w:rPr>
        <w:t>5</w:t>
      </w:r>
      <w:r>
        <w:rPr>
          <w:rFonts w:hint="default" w:ascii="宋体" w:hAnsi="宋体" w:eastAsia="宋体" w:cs="宋体"/>
          <w:color w:val="auto"/>
          <w:sz w:val="21"/>
          <w:highlight w:val="none"/>
        </w:rPr>
        <w:t>）。履约担保的有效期应当自本合同生效之日起至发包人签认并由监理人向承包人出具</w:t>
      </w:r>
    </w:p>
    <w:p>
      <w:pPr>
        <w:autoSpaceDE w:val="0"/>
        <w:autoSpaceDN w:val="0"/>
        <w:snapToGrid w:val="0"/>
        <w:spacing w:before="117" w:after="0" w:line="263" w:lineRule="exact"/>
        <w:ind w:left="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u w:val="single" w:color="000000"/>
        </w:rPr>
        <w:t>（竣工证明材料名称）之日止。如果承包人无法获得一份不带具体截止日期的担保，履约担保中应当有</w:t>
      </w:r>
    </w:p>
    <w:p>
      <w:pPr>
        <w:autoSpaceDE w:val="0"/>
        <w:autoSpaceDN w:val="0"/>
        <w:snapToGrid w:val="0"/>
        <w:spacing w:before="146" w:after="0" w:line="240" w:lineRule="auto"/>
        <w:ind w:left="0" w:right="0" w:firstLine="0"/>
        <w:jc w:val="left"/>
        <w:textAlignment w:val="auto"/>
        <w:rPr>
          <w:rFonts w:hint="default" w:ascii="宋体" w:hAnsi="宋体" w:eastAsia="宋体" w:cs="宋体"/>
          <w:color w:val="auto"/>
          <w:sz w:val="21"/>
          <w:highlight w:val="none"/>
          <w:u w:val="single" w:color="000000"/>
        </w:rPr>
      </w:pP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变更工程竣工日期的，保证期间按照变更后的竣工日期做相应调整</w:t>
      </w: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或类似约定的条款。</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u w:val="single" w:color="000000"/>
        </w:rPr>
        <w:t>工程竣工验收合格并对验收发现的问题完成整改后</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pacing w:val="53"/>
          <w:sz w:val="21"/>
          <w:highlight w:val="none"/>
          <w:u w:val="single" w:color="000000"/>
        </w:rPr>
        <w:t>7</w:t>
      </w:r>
      <w:r>
        <w:rPr>
          <w:rFonts w:hint="default" w:ascii="宋体" w:hAnsi="宋体" w:eastAsia="宋体" w:cs="宋体"/>
          <w:color w:val="auto"/>
          <w:sz w:val="21"/>
          <w:highlight w:val="none"/>
          <w:u w:val="single" w:color="000000"/>
        </w:rPr>
        <w:t>个日历天内，发包人支付履约保证金</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z w:val="21"/>
          <w:highlight w:val="none"/>
          <w:u w:val="single" w:color="000000"/>
        </w:rPr>
        <w:t>50%</w:t>
      </w:r>
      <w:r>
        <w:rPr>
          <w:rFonts w:hint="default" w:ascii="宋体" w:hAnsi="宋体" w:eastAsia="宋体" w:cs="宋体"/>
          <w:color w:val="auto"/>
          <w:sz w:val="21"/>
          <w:highlight w:val="none"/>
          <w:u w:val="single" w:color="000000"/>
        </w:rPr>
        <w:t>；</w:t>
      </w:r>
    </w:p>
    <w:p>
      <w:pPr>
        <w:autoSpaceDE w:val="0"/>
        <w:autoSpaceDN w:val="0"/>
        <w:snapToGrid w:val="0"/>
        <w:spacing w:before="29" w:after="0" w:line="408" w:lineRule="exact"/>
        <w:ind w:left="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u w:val="single" w:color="000000"/>
        </w:rPr>
        <w:t>承包人向发包人完成（施工）竣工资料移交手续后，可向发包人申请退还剩余履约保证金，发包人应在收到申请之日</w:t>
      </w:r>
      <w:r>
        <w:rPr>
          <w:rFonts w:hint="default" w:ascii="宋体" w:hAnsi="宋体" w:eastAsia="宋体" w:cs="宋体"/>
          <w:color w:val="auto"/>
          <w:spacing w:val="26"/>
          <w:sz w:val="21"/>
          <w:highlight w:val="none"/>
          <w:u w:val="single" w:color="000000"/>
        </w:rPr>
        <w:t>起</w:t>
      </w:r>
      <w:r>
        <w:rPr>
          <w:rFonts w:hint="default" w:ascii="Times New Roman" w:hAnsi="Times New Roman" w:eastAsia="Times New Roman" w:cs="Times New Roman"/>
          <w:color w:val="auto"/>
          <w:sz w:val="21"/>
          <w:highlight w:val="none"/>
          <w:u w:val="single" w:color="000000"/>
        </w:rPr>
        <w:t>2</w:t>
      </w:r>
      <w:r>
        <w:rPr>
          <w:rFonts w:hint="default" w:ascii="Times New Roman" w:hAnsi="Times New Roman" w:eastAsia="Times New Roman" w:cs="Times New Roman"/>
          <w:color w:val="auto"/>
          <w:spacing w:val="53"/>
          <w:sz w:val="21"/>
          <w:highlight w:val="none"/>
          <w:u w:val="single" w:color="000000"/>
        </w:rPr>
        <w:t>8</w:t>
      </w:r>
      <w:r>
        <w:rPr>
          <w:rFonts w:hint="default" w:ascii="宋体" w:hAnsi="宋体" w:eastAsia="宋体" w:cs="宋体"/>
          <w:color w:val="auto"/>
          <w:sz w:val="21"/>
          <w:highlight w:val="none"/>
          <w:u w:val="single" w:color="000000"/>
        </w:rPr>
        <w:t>个日历天内扣减承包人赔偿金和其他应从承包人扣回的款项后，将履约保证金的余额退还给承包人。</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pacing w:val="-1"/>
          <w:sz w:val="21"/>
          <w:highlight w:val="none"/>
          <w:u w:val="single" w:color="000000"/>
        </w:rPr>
        <w:t>承包人在中标</w:t>
      </w:r>
      <w:r>
        <w:rPr>
          <w:rFonts w:hint="default" w:ascii="宋体" w:hAnsi="宋体" w:eastAsia="宋体" w:cs="宋体"/>
          <w:color w:val="auto"/>
          <w:spacing w:val="26"/>
          <w:sz w:val="21"/>
          <w:highlight w:val="none"/>
          <w:u w:val="single" w:color="000000"/>
        </w:rPr>
        <w:t>后</w:t>
      </w:r>
      <w:r>
        <w:rPr>
          <w:rFonts w:hint="default" w:ascii="Times New Roman" w:hAnsi="Times New Roman" w:eastAsia="Times New Roman" w:cs="Times New Roman"/>
          <w:color w:val="auto"/>
          <w:spacing w:val="53"/>
          <w:sz w:val="21"/>
          <w:highlight w:val="none"/>
          <w:u w:val="single" w:color="000000"/>
        </w:rPr>
        <w:t>7</w:t>
      </w:r>
      <w:r>
        <w:rPr>
          <w:rFonts w:hint="default" w:ascii="宋体" w:hAnsi="宋体" w:eastAsia="宋体" w:cs="宋体"/>
          <w:color w:val="auto"/>
          <w:sz w:val="21"/>
          <w:highlight w:val="none"/>
          <w:u w:val="single" w:color="000000"/>
        </w:rPr>
        <w:t>个工作日内，按</w:t>
      </w:r>
      <w:r>
        <w:rPr>
          <w:rFonts w:hint="default" w:ascii="宋体" w:hAnsi="宋体" w:eastAsia="宋体" w:cs="宋体"/>
          <w:color w:val="auto"/>
          <w:spacing w:val="516"/>
          <w:sz w:val="21"/>
          <w:highlight w:val="none"/>
          <w:u w:val="single" w:color="000000"/>
        </w:rPr>
        <w:t xml:space="preserve"> </w:t>
      </w:r>
      <w:r>
        <w:rPr>
          <w:rFonts w:hint="default" w:ascii="宋体" w:hAnsi="宋体" w:eastAsia="宋体" w:cs="宋体"/>
          <w:color w:val="auto"/>
          <w:sz w:val="21"/>
          <w:highlight w:val="none"/>
          <w:u w:val="single" w:color="000000"/>
        </w:rPr>
        <w:t>（各市住房城乡建设行政主管部门规定）规定将农民工</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highlight w:val="none"/>
          <w:u w:val="single" w:color="000000"/>
        </w:rPr>
        <w:sectPr>
          <w:footnotePr>
            <w:numStart w:val="0"/>
          </w:footnotePr>
          <w:endnotePr>
            <w:numFmt w:val="decimal"/>
            <w:numStart w:val="0"/>
          </w:endnotePr>
          <w:pgSz w:w="11907" w:h="16840"/>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highlight w:val="none"/>
          <w:u w:val="single" w:color="000000"/>
        </w:rPr>
        <w:t>工资保障金存入帐户。工程竣工验收结算经审定</w:t>
      </w:r>
    </w:p>
    <w:p>
      <w:pPr>
        <w:autoSpaceDE w:val="0"/>
        <w:autoSpaceDN w:val="0"/>
        <w:snapToGrid w:val="0"/>
        <w:spacing w:before="0" w:after="0" w:line="263" w:lineRule="exact"/>
        <w:ind w:left="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u w:val="single" w:color="000000"/>
        </w:rPr>
        <w:t>后，按照规定程序，将农民工工资保障金没有使用或剩余的金额退还给承包人。</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监理人</w:t>
      </w:r>
    </w:p>
    <w:p>
      <w:pPr>
        <w:numPr>
          <w:ilvl w:val="1"/>
          <w:numId w:val="61"/>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监理人的一般规定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关于监理人的监理内容：</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关于监理人的监理权限：</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关于监理人在施工现场的办公场所、生活场所的提供和费用承担的约定：</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1"/>
          <w:numId w:val="61"/>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监理人员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总监理工程师：</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w:t>
      </w:r>
      <w:r>
        <w:rPr>
          <w:rFonts w:hint="default" w:ascii="宋体" w:hAnsi="宋体" w:eastAsia="宋体" w:cs="宋体"/>
          <w:color w:val="auto"/>
          <w:spacing w:val="158"/>
          <w:sz w:val="21"/>
        </w:rPr>
        <w:t xml:space="preserve"> </w:t>
      </w:r>
      <w:r>
        <w:rPr>
          <w:rFonts w:hint="default" w:ascii="宋体" w:hAnsi="宋体" w:eastAsia="宋体" w:cs="宋体"/>
          <w:color w:val="auto"/>
          <w:sz w:val="21"/>
        </w:rPr>
        <w:t>务：</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监理工程师执业资格证书号：</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联系电话：</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电子信箱：</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通信地址：</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关于监理人的其他约定：</w:t>
      </w:r>
      <w:r>
        <w:rPr>
          <w:rFonts w:hint="default" w:ascii="宋体" w:hAnsi="宋体" w:eastAsia="宋体" w:cs="宋体"/>
          <w:color w:val="auto"/>
          <w:sz w:val="21"/>
          <w:u w:val="single" w:color="000000"/>
        </w:rPr>
        <w:t></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w:t>
      </w:r>
      <w:r>
        <w:rPr>
          <w:rFonts w:hint="default" w:ascii="宋体" w:hAnsi="宋体" w:eastAsia="宋体" w:cs="宋体"/>
          <w:color w:val="auto"/>
          <w:spacing w:val="26"/>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color w:val="auto"/>
          <w:sz w:val="21"/>
        </w:rPr>
        <w:t>。</w:t>
      </w:r>
    </w:p>
    <w:p>
      <w:pPr>
        <w:numPr>
          <w:ilvl w:val="1"/>
          <w:numId w:val="26"/>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商定或确定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在发包人和承包人不能通过协商达成一致意见时，发包人授权监理人对以下事项进行确定：</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工程质量</w:t>
      </w:r>
    </w:p>
    <w:p>
      <w:pPr>
        <w:numPr>
          <w:ilvl w:val="1"/>
          <w:numId w:val="62"/>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质量要求</w:t>
      </w:r>
    </w:p>
    <w:p>
      <w:pPr>
        <w:numPr>
          <w:ilvl w:val="2"/>
          <w:numId w:val="62"/>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特殊质量标准和要求：</w:t>
      </w:r>
      <w:r>
        <w:rPr>
          <w:rFonts w:hint="default" w:ascii="宋体" w:hAnsi="宋体" w:eastAsia="宋体" w:cs="宋体"/>
          <w:color w:val="auto"/>
          <w:spacing w:val="1470"/>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关于工程奖项的约定：</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numPr>
          <w:ilvl w:val="1"/>
          <w:numId w:val="63"/>
        </w:numPr>
        <w:autoSpaceDE w:val="0"/>
        <w:autoSpaceDN w:val="0"/>
        <w:snapToGrid w:val="0"/>
        <w:spacing w:before="146" w:after="0" w:line="240" w:lineRule="auto"/>
        <w:ind w:left="788" w:right="0" w:hanging="36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隐蔽工程检查</w:t>
      </w:r>
    </w:p>
    <w:p>
      <w:pPr>
        <w:numPr>
          <w:ilvl w:val="2"/>
          <w:numId w:val="63"/>
        </w:numPr>
        <w:autoSpaceDE w:val="0"/>
        <w:autoSpaceDN w:val="0"/>
        <w:snapToGrid w:val="0"/>
        <w:spacing w:before="153"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承包人提前通知监理人隐蔽工程检查的期限的约定：工程隐蔽或中间验收</w:t>
      </w:r>
      <w:r>
        <w:rPr>
          <w:rFonts w:hint="default" w:ascii="宋体" w:hAnsi="宋体" w:eastAsia="宋体" w:cs="宋体"/>
          <w:color w:val="auto"/>
          <w:spacing w:val="26"/>
          <w:sz w:val="21"/>
        </w:rPr>
        <w:t>前</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小时以书面形式</w:t>
      </w:r>
    </w:p>
    <w:p>
      <w:pPr>
        <w:autoSpaceDE w:val="0"/>
        <w:autoSpaceDN w:val="0"/>
        <w:snapToGrid w:val="0"/>
        <w:spacing w:before="36"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通知发包人和</w:t>
      </w:r>
      <w:r>
        <w:rPr>
          <w:rFonts w:hint="default" w:ascii="宋体" w:hAnsi="宋体" w:eastAsia="宋体" w:cs="宋体"/>
          <w:color w:val="auto"/>
          <w:sz w:val="21"/>
        </w:rPr>
        <w:t>监理工程师验收的内容、时间、地点，承包人准备验收记录单（最好是印制的表格）由双方</w:t>
      </w:r>
      <w:r>
        <w:rPr>
          <w:rFonts w:hint="default" w:ascii="宋体" w:hAnsi="宋体" w:eastAsia="宋体" w:cs="宋体"/>
          <w:color w:val="auto"/>
          <w:spacing w:val="-1"/>
          <w:sz w:val="21"/>
        </w:rPr>
        <w:t>签证。验收合</w:t>
      </w:r>
      <w:r>
        <w:rPr>
          <w:rFonts w:hint="default" w:ascii="宋体" w:hAnsi="宋体" w:eastAsia="宋体" w:cs="宋体"/>
          <w:color w:val="auto"/>
          <w:sz w:val="21"/>
        </w:rPr>
        <w:t>格，承包人可进行隐蔽和继续施工；验收不合格，双方商订时限内修改后按上述循序重新验收。</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监理人不能按时进行检查时，应提前</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rPr>
        <w:t>小时提交书面延期要求。</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关于延期最长不得超过：</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小时。</w:t>
      </w:r>
    </w:p>
    <w:p>
      <w:pPr>
        <w:numPr>
          <w:ilvl w:val="0"/>
          <w:numId w:val="56"/>
        </w:numPr>
        <w:autoSpaceDE w:val="0"/>
        <w:autoSpaceDN w:val="0"/>
        <w:snapToGrid w:val="0"/>
        <w:spacing w:before="0"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安全文明施工与环境保护</w:t>
      </w:r>
    </w:p>
    <w:p>
      <w:pPr>
        <w:numPr>
          <w:ilvl w:val="1"/>
          <w:numId w:val="45"/>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安全文明施工</w:t>
      </w:r>
    </w:p>
    <w:p>
      <w:pPr>
        <w:numPr>
          <w:ilvl w:val="2"/>
          <w:numId w:val="4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项目安全生产的达标目标及相应事项的约定：</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关于安全文明施工奖项的约定：</w:t>
      </w:r>
      <w:r>
        <w:rPr>
          <w:rFonts w:hint="default" w:ascii="宋体" w:hAnsi="宋体" w:eastAsia="宋体" w:cs="宋体"/>
          <w:color w:val="auto"/>
          <w:spacing w:val="1680"/>
          <w:sz w:val="21"/>
          <w:u w:val="single" w:color="000000"/>
        </w:rPr>
        <w:t xml:space="preserve"> </w:t>
      </w:r>
      <w:r>
        <w:rPr>
          <w:rFonts w:hint="default" w:ascii="宋体" w:hAnsi="宋体" w:eastAsia="宋体" w:cs="宋体"/>
          <w:color w:val="auto"/>
          <w:sz w:val="21"/>
        </w:rPr>
        <w:t>。</w:t>
      </w:r>
    </w:p>
    <w:p>
      <w:pPr>
        <w:numPr>
          <w:ilvl w:val="2"/>
          <w:numId w:val="64"/>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关于治安保卫的特别约定：</w:t>
      </w:r>
      <w:r>
        <w:rPr>
          <w:rFonts w:hint="default" w:ascii="宋体" w:hAnsi="宋体" w:eastAsia="宋体" w:cs="宋体"/>
          <w:color w:val="auto"/>
          <w:sz w:val="21"/>
          <w:u w:val="single" w:color="000000"/>
        </w:rPr>
        <w:t>承包人应承担施工安全保卫工作及非夜间施工照明的责任，承包人</w:t>
      </w:r>
    </w:p>
    <w:p>
      <w:pPr>
        <w:autoSpaceDE w:val="0"/>
        <w:autoSpaceDN w:val="0"/>
        <w:snapToGrid w:val="0"/>
        <w:spacing w:before="36" w:after="0" w:line="408" w:lineRule="exact"/>
        <w:ind w:left="0" w:right="87"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应采取一切合</w:t>
      </w:r>
      <w:r>
        <w:rPr>
          <w:rFonts w:hint="default" w:ascii="宋体" w:hAnsi="宋体" w:eastAsia="宋体" w:cs="宋体"/>
          <w:color w:val="auto"/>
          <w:sz w:val="21"/>
          <w:u w:val="single" w:color="000000"/>
        </w:rPr>
        <w:t>理的预防措施，防止人员伤亡、财产损失事故，费用由承包人承担。承包人生活设施及施工场应自费配备消防设备，防止火灾发生。</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关于编制施工场地治安管理计划的约定：</w:t>
      </w:r>
      <w:r>
        <w:rPr>
          <w:rFonts w:hint="default" w:ascii="宋体" w:hAnsi="宋体" w:eastAsia="宋体" w:cs="宋体"/>
          <w:color w:val="auto"/>
          <w:spacing w:val="2048"/>
          <w:sz w:val="21"/>
          <w:u w:val="single" w:color="000000"/>
        </w:rPr>
        <w:t xml:space="preserve"> </w:t>
      </w:r>
      <w:r>
        <w:rPr>
          <w:rFonts w:hint="default" w:ascii="宋体" w:hAnsi="宋体" w:eastAsia="宋体" w:cs="宋体"/>
          <w:color w:val="auto"/>
          <w:sz w:val="21"/>
        </w:rPr>
        <w:t>。</w:t>
      </w:r>
    </w:p>
    <w:p>
      <w:pPr>
        <w:numPr>
          <w:ilvl w:val="2"/>
          <w:numId w:val="64"/>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文明施工</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合同当事人对文明施工的要求：</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numPr>
          <w:ilvl w:val="2"/>
          <w:numId w:val="64"/>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关于安全文明施工费支付比例和支付期限的约定：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）本合同价款已包含安全文明施工费</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rPr>
        <w:t>元。</w:t>
      </w:r>
    </w:p>
    <w:p>
      <w:pPr>
        <w:autoSpaceDE w:val="0"/>
        <w:autoSpaceDN w:val="0"/>
        <w:snapToGrid w:val="0"/>
        <w:spacing w:before="29" w:after="0" w:line="408"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）使用要</w:t>
      </w:r>
      <w:r>
        <w:rPr>
          <w:rFonts w:hint="default" w:ascii="宋体" w:hAnsi="宋体" w:eastAsia="宋体" w:cs="宋体"/>
          <w:color w:val="auto"/>
          <w:sz w:val="21"/>
        </w:rPr>
        <w:t>求：专款专用。具体按</w:t>
      </w:r>
      <w:r>
        <w:rPr>
          <w:rFonts w:hint="default" w:ascii="宋体" w:hAnsi="宋体" w:eastAsia="宋体" w:cs="宋体"/>
          <w:color w:val="auto"/>
          <w:sz w:val="21"/>
          <w:u w:val="single" w:color="000000"/>
        </w:rPr>
        <w:t>《广西壮族自治区建设工程安全文明施工费使用管理细则》（桂建质〔</w:t>
      </w:r>
      <w:r>
        <w:rPr>
          <w:rFonts w:hint="default" w:ascii="Times New Roman" w:hAnsi="Times New Roman" w:eastAsia="Times New Roman" w:cs="Times New Roman"/>
          <w:color w:val="auto"/>
          <w:sz w:val="21"/>
          <w:u w:val="single" w:color="000000"/>
        </w:rPr>
        <w:t>2015</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16</w:t>
      </w:r>
      <w:r>
        <w:rPr>
          <w:rFonts w:hint="default" w:ascii="宋体" w:hAnsi="宋体" w:eastAsia="宋体" w:cs="宋体"/>
          <w:color w:val="auto"/>
          <w:sz w:val="21"/>
          <w:u w:val="single" w:color="000000"/>
        </w:rPr>
        <w:t>号）</w:t>
      </w:r>
      <w:r>
        <w:rPr>
          <w:rFonts w:hint="default" w:ascii="宋体" w:hAnsi="宋体" w:eastAsia="宋体" w:cs="宋体"/>
          <w:color w:val="auto"/>
          <w:sz w:val="21"/>
        </w:rPr>
        <w:t>和</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贺住建发</w:t>
      </w:r>
      <w:r>
        <w:rPr>
          <w:rFonts w:hint="default" w:ascii="Times New Roman" w:hAnsi="Times New Roman" w:eastAsia="Times New Roman" w:cs="Times New Roman"/>
          <w:color w:val="auto"/>
          <w:sz w:val="21"/>
          <w:u w:val="single" w:color="000000"/>
        </w:rPr>
        <w:t>[2016]196</w:t>
      </w:r>
      <w:r>
        <w:rPr>
          <w:rFonts w:hint="default" w:ascii="宋体" w:hAnsi="宋体" w:eastAsia="宋体" w:cs="宋体"/>
          <w:color w:val="auto"/>
          <w:sz w:val="21"/>
          <w:u w:val="single" w:color="000000"/>
        </w:rPr>
        <w:t>号文</w:t>
      </w:r>
      <w:r>
        <w:rPr>
          <w:rFonts w:hint="default" w:ascii="宋体" w:hAnsi="宋体" w:eastAsia="宋体" w:cs="宋体"/>
          <w:color w:val="auto"/>
          <w:sz w:val="21"/>
        </w:rPr>
        <w:t>相关规定执行。</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w:t>
      </w:r>
      <w:r>
        <w:rPr>
          <w:rFonts w:hint="default" w:ascii="Calibri" w:hAnsi="Calibri" w:eastAsia="Calibri" w:cs="Calibri"/>
          <w:color w:val="auto"/>
          <w:spacing w:val="-1"/>
          <w:sz w:val="21"/>
        </w:rPr>
        <w:t>3</w:t>
      </w:r>
      <w:r>
        <w:rPr>
          <w:rFonts w:hint="default" w:ascii="宋体" w:hAnsi="宋体" w:eastAsia="宋体" w:cs="宋体"/>
          <w:color w:val="auto"/>
          <w:spacing w:val="-1"/>
          <w:sz w:val="21"/>
        </w:rPr>
        <w:t>）支付约定</w:t>
      </w:r>
      <w:r>
        <w:rPr>
          <w:rFonts w:hint="default" w:ascii="宋体" w:hAnsi="宋体" w:eastAsia="宋体" w:cs="宋体"/>
          <w:color w:val="auto"/>
          <w:sz w:val="21"/>
        </w:rPr>
        <w:t>：</w:t>
      </w:r>
      <w:r>
        <w:rPr>
          <w:rFonts w:hint="default" w:ascii="宋体" w:hAnsi="宋体" w:eastAsia="宋体" w:cs="宋体"/>
          <w:color w:val="auto"/>
          <w:sz w:val="21"/>
          <w:u w:val="single" w:color="000000"/>
        </w:rPr>
        <w:t>在本合同签订后</w:t>
      </w:r>
      <w:r>
        <w:rPr>
          <w:rFonts w:hint="default" w:ascii="宋体" w:hAnsi="宋体" w:eastAsia="宋体" w:cs="宋体"/>
          <w:color w:val="auto"/>
          <w:spacing w:val="218"/>
          <w:sz w:val="21"/>
          <w:u w:val="single" w:color="000000"/>
        </w:rPr>
        <w:t xml:space="preserve"> </w:t>
      </w:r>
      <w:r>
        <w:rPr>
          <w:rFonts w:hint="default" w:ascii="宋体" w:hAnsi="宋体" w:eastAsia="宋体" w:cs="宋体"/>
          <w:color w:val="auto"/>
          <w:sz w:val="21"/>
          <w:u w:val="single" w:color="000000"/>
        </w:rPr>
        <w:t>个工作日内，预付安全文明施工费总额的</w:t>
      </w:r>
      <w:r>
        <w:rPr>
          <w:rFonts w:hint="default" w:ascii="宋体" w:hAnsi="宋体" w:eastAsia="宋体" w:cs="宋体"/>
          <w:color w:val="auto"/>
          <w:spacing w:val="83"/>
          <w:sz w:val="21"/>
          <w:u w:val="single" w:color="000000"/>
        </w:rPr>
        <w:t xml:space="preserve"> </w:t>
      </w:r>
      <w:r>
        <w:rPr>
          <w:rFonts w:hint="default" w:ascii="宋体" w:hAnsi="宋体" w:eastAsia="宋体" w:cs="宋体"/>
          <w:color w:val="auto"/>
          <w:sz w:val="21"/>
          <w:u w:val="single" w:color="000000"/>
        </w:rPr>
        <w:t>（</w:t>
      </w:r>
      <w:r>
        <w:rPr>
          <w:rFonts w:hint="default" w:ascii="Calibri" w:hAnsi="Calibri" w:eastAsia="Calibri" w:cs="Calibri"/>
          <w:color w:val="auto"/>
          <w:sz w:val="21"/>
          <w:u w:val="single" w:color="000000"/>
        </w:rPr>
        <w:t>30-50%</w:t>
      </w:r>
      <w:r>
        <w:rPr>
          <w:rFonts w:hint="default" w:ascii="宋体" w:hAnsi="宋体" w:eastAsia="宋体" w:cs="宋体"/>
          <w:color w:val="auto"/>
          <w:sz w:val="21"/>
          <w:u w:val="single" w:color="000000"/>
        </w:rPr>
        <w:t>）（比例</w:t>
      </w:r>
    </w:p>
    <w:p>
      <w:pPr>
        <w:autoSpaceDE w:val="0"/>
        <w:autoSpaceDN w:val="0"/>
        <w:snapToGrid w:val="0"/>
        <w:spacing w:before="25" w:after="0" w:line="409" w:lineRule="exact"/>
        <w:ind w:left="0" w:right="0"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及方式按《广</w:t>
      </w:r>
      <w:r>
        <w:rPr>
          <w:rFonts w:hint="default" w:ascii="宋体" w:hAnsi="宋体" w:eastAsia="宋体" w:cs="宋体"/>
          <w:color w:val="auto"/>
          <w:sz w:val="21"/>
          <w:u w:val="single" w:color="000000"/>
        </w:rPr>
        <w:t>西壮族自治区建设工程安全文明施工费使用管理细则》（桂建质〔</w:t>
      </w:r>
      <w:r>
        <w:rPr>
          <w:rFonts w:hint="default" w:ascii="Calibri" w:hAnsi="Calibri" w:eastAsia="Calibri" w:cs="Calibri"/>
          <w:color w:val="auto"/>
          <w:sz w:val="21"/>
          <w:u w:val="single" w:color="000000"/>
        </w:rPr>
        <w:t>2015</w:t>
      </w:r>
      <w:r>
        <w:rPr>
          <w:rFonts w:hint="default" w:ascii="宋体" w:hAnsi="宋体" w:eastAsia="宋体" w:cs="宋体"/>
          <w:color w:val="auto"/>
          <w:sz w:val="21"/>
          <w:u w:val="single" w:color="000000"/>
        </w:rPr>
        <w:t>〕</w:t>
      </w:r>
      <w:r>
        <w:rPr>
          <w:rFonts w:hint="default" w:ascii="Calibri" w:hAnsi="Calibri" w:eastAsia="Calibri" w:cs="Calibri"/>
          <w:color w:val="auto"/>
          <w:sz w:val="21"/>
          <w:u w:val="single" w:color="000000"/>
        </w:rPr>
        <w:t>16</w:t>
      </w:r>
      <w:r>
        <w:rPr>
          <w:rFonts w:hint="default" w:ascii="Calibri" w:hAnsi="Calibri" w:eastAsia="Calibri" w:cs="Calibri"/>
          <w:color w:val="auto"/>
          <w:spacing w:val="-26"/>
          <w:sz w:val="21"/>
          <w:u w:val="single" w:color="000000"/>
        </w:rPr>
        <w:t xml:space="preserve"> </w:t>
      </w:r>
      <w:r>
        <w:rPr>
          <w:rFonts w:hint="default" w:ascii="宋体" w:hAnsi="宋体" w:eastAsia="宋体" w:cs="宋体"/>
          <w:color w:val="auto"/>
          <w:sz w:val="21"/>
          <w:u w:val="single" w:color="000000"/>
        </w:rPr>
        <w:t>号）和</w:t>
      </w:r>
      <w:r>
        <w:rPr>
          <w:rFonts w:hint="default" w:ascii="宋体" w:hAnsi="宋体" w:eastAsia="宋体" w:cs="宋体"/>
          <w:color w:val="auto"/>
          <w:spacing w:val="65"/>
          <w:sz w:val="21"/>
          <w:u w:val="single" w:color="000000"/>
        </w:rPr>
        <w:t xml:space="preserve"> </w:t>
      </w:r>
      <w:r>
        <w:rPr>
          <w:rFonts w:hint="default" w:ascii="宋体" w:hAnsi="宋体" w:eastAsia="宋体" w:cs="宋体"/>
          <w:color w:val="auto"/>
          <w:sz w:val="21"/>
          <w:u w:val="single" w:color="000000"/>
        </w:rPr>
        <w:t>贺州市相关规定执行），其余部分与进度款同期支付。</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6.3 </w:t>
      </w:r>
      <w:r>
        <w:rPr>
          <w:rFonts w:hint="default" w:ascii="宋体" w:hAnsi="宋体" w:eastAsia="宋体" w:cs="宋体"/>
          <w:color w:val="auto"/>
          <w:sz w:val="21"/>
        </w:rPr>
        <w:t>环境保护</w:t>
      </w:r>
    </w:p>
    <w:p>
      <w:pPr>
        <w:autoSpaceDE w:val="0"/>
        <w:autoSpaceDN w:val="0"/>
        <w:snapToGrid w:val="0"/>
        <w:spacing w:before="36" w:after="0" w:line="408" w:lineRule="exact"/>
        <w:ind w:left="0" w:right="87"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因施工需要，</w:t>
      </w:r>
      <w:r>
        <w:rPr>
          <w:rFonts w:hint="default" w:ascii="宋体" w:hAnsi="宋体" w:eastAsia="宋体" w:cs="宋体"/>
          <w:color w:val="auto"/>
          <w:sz w:val="21"/>
          <w:u w:val="single" w:color="000000"/>
        </w:rPr>
        <w:t>经发包人批准，由承包人办理有关施工场地交通、环卫和施工噪音管理等手续，费用由承包人负责。</w:t>
      </w:r>
    </w:p>
    <w:p>
      <w:pPr>
        <w:autoSpaceDE w:val="0"/>
        <w:autoSpaceDN w:val="0"/>
        <w:snapToGrid w:val="0"/>
        <w:spacing w:before="0" w:after="0" w:line="408" w:lineRule="exact"/>
        <w:ind w:left="0" w:right="297"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经过城市道路</w:t>
      </w:r>
      <w:r>
        <w:rPr>
          <w:rFonts w:hint="default" w:ascii="宋体" w:hAnsi="宋体" w:eastAsia="宋体" w:cs="宋体"/>
          <w:color w:val="auto"/>
          <w:sz w:val="21"/>
          <w:u w:val="single" w:color="000000"/>
        </w:rPr>
        <w:t>的施工车辆，必须按交警、城管、运输等部门相关规定执行。由于施工车辆造成的道路、环境等污染，其责任和费用均由承包人承担。</w:t>
      </w:r>
    </w:p>
    <w:p>
      <w:pPr>
        <w:numPr>
          <w:ilvl w:val="0"/>
          <w:numId w:val="56"/>
        </w:numPr>
        <w:autoSpaceDE w:val="0"/>
        <w:autoSpaceDN w:val="0"/>
        <w:snapToGrid w:val="0"/>
        <w:spacing w:before="177"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工期和进度</w:t>
      </w:r>
    </w:p>
    <w:p>
      <w:pPr>
        <w:numPr>
          <w:ilvl w:val="1"/>
          <w:numId w:val="65"/>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施工组织设计</w:t>
      </w:r>
    </w:p>
    <w:p>
      <w:pPr>
        <w:numPr>
          <w:ilvl w:val="2"/>
          <w:numId w:val="6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合同当事人约定的施工组织设计应包括的其他内容：</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2"/>
          <w:numId w:val="6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施工组织设计的提交和修改</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承包人提交详细施工组织设计的期限的约定：</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发包人和监理人在收到详细的施工组织设计后确认或提出修改意见的期限：</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w:t>
      </w:r>
    </w:p>
    <w:p>
      <w:pPr>
        <w:numPr>
          <w:ilvl w:val="1"/>
          <w:numId w:val="6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施工进度计划</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7.2.2 </w:t>
      </w:r>
      <w:r>
        <w:rPr>
          <w:rFonts w:hint="default" w:ascii="宋体" w:hAnsi="宋体" w:eastAsia="宋体" w:cs="宋体"/>
          <w:color w:val="auto"/>
          <w:sz w:val="21"/>
        </w:rPr>
        <w:t>施工进度计划的修订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发包人和监理人在收到修订的施工进度计划后确认或提出修改意见的期限：</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numPr>
          <w:ilvl w:val="1"/>
          <w:numId w:val="6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开工</w:t>
      </w:r>
    </w:p>
    <w:p>
      <w:pPr>
        <w:numPr>
          <w:ilvl w:val="2"/>
          <w:numId w:val="6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开工准备</w:t>
      </w:r>
    </w:p>
    <w:p>
      <w:pPr>
        <w:autoSpaceDE w:val="0"/>
        <w:autoSpaceDN w:val="0"/>
        <w:snapToGrid w:val="0"/>
        <w:spacing w:before="153" w:after="0" w:line="263" w:lineRule="exact"/>
        <w:ind w:left="4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关于承包人提交工程开工报审表的期限：</w:t>
      </w:r>
      <w:r>
        <w:rPr>
          <w:rFonts w:hint="default" w:ascii="宋体" w:hAnsi="宋体" w:eastAsia="宋体" w:cs="宋体"/>
          <w:color w:val="auto"/>
          <w:spacing w:val="945"/>
          <w:sz w:val="21"/>
          <w:u w:val="single" w:color="000000"/>
        </w:rPr>
        <w:t xml:space="preserve"> </w:t>
      </w:r>
      <w:r>
        <w:rPr>
          <w:rFonts w:hint="default" w:ascii="宋体" w:hAnsi="宋体" w:eastAsia="宋体" w:cs="宋体"/>
          <w:color w:val="auto"/>
          <w:sz w:val="21"/>
        </w:rPr>
        <w:t>。</w:t>
      </w:r>
    </w:p>
    <w:p>
      <w:pPr>
        <w:numPr>
          <w:ilvl w:val="0"/>
          <w:numId w:val="33"/>
        </w:numPr>
        <w:autoSpaceDE w:val="0"/>
        <w:autoSpaceDN w:val="0"/>
        <w:snapToGrid w:val="0"/>
        <w:spacing w:before="195" w:after="0" w:line="240" w:lineRule="auto"/>
        <w:ind w:left="42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7" w:right="1080"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63" w:lineRule="exact"/>
        <w:ind w:left="4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关于发包人应完成的其他开工准备工作及期限：</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关于承包人应完成的其他开工准备工作及期限：</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rPr>
        <w:t>。</w:t>
      </w:r>
    </w:p>
    <w:p>
      <w:pPr>
        <w:numPr>
          <w:ilvl w:val="2"/>
          <w:numId w:val="65"/>
        </w:numPr>
        <w:autoSpaceDE w:val="0"/>
        <w:autoSpaceDN w:val="0"/>
        <w:snapToGrid w:val="0"/>
        <w:spacing w:before="146"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开工通知</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因发包人原因造成监理人未能在计划开工日期之日起</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天内发出开工通知的，承包人有权提出价</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格调整要求，或者解除合同。</w:t>
      </w:r>
    </w:p>
    <w:p>
      <w:pPr>
        <w:numPr>
          <w:ilvl w:val="1"/>
          <w:numId w:val="6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测量放线</w:t>
      </w:r>
    </w:p>
    <w:p>
      <w:pPr>
        <w:autoSpaceDE w:val="0"/>
        <w:autoSpaceDN w:val="0"/>
        <w:snapToGrid w:val="0"/>
        <w:spacing w:before="153" w:after="0" w:line="240" w:lineRule="auto"/>
        <w:ind w:left="420" w:right="0" w:firstLine="0"/>
        <w:jc w:val="left"/>
        <w:textAlignment w:val="auto"/>
        <w:rPr>
          <w:rFonts w:hint="eastAsia" w:ascii="宋体" w:hAnsi="宋体" w:eastAsia="宋体" w:cs="宋体"/>
          <w:color w:val="auto"/>
          <w:sz w:val="21"/>
          <w:lang w:eastAsia="zh-CN"/>
        </w:rPr>
      </w:pPr>
      <w:r>
        <w:rPr>
          <w:rFonts w:hint="default" w:ascii="Times New Roman" w:hAnsi="Times New Roman" w:eastAsia="Times New Roman" w:cs="Times New Roman"/>
          <w:color w:val="auto"/>
          <w:sz w:val="21"/>
        </w:rPr>
        <w:t>7.4.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发包人通过监理人向承包人提供测量基准点、基准线和水准点及其书面资料的期限：</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eastAsia="zh-CN"/>
        </w:rPr>
        <w:t>。</w:t>
      </w:r>
    </w:p>
    <w:p>
      <w:pPr>
        <w:numPr>
          <w:ilvl w:val="1"/>
          <w:numId w:val="65"/>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工期延误</w:t>
      </w:r>
    </w:p>
    <w:p>
      <w:pPr>
        <w:numPr>
          <w:ilvl w:val="2"/>
          <w:numId w:val="65"/>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因发包人原因导致工期延误</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）因发包人原因导致工期延误的其他情形：</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①重大图纸变更影响关健线路工序施工；②施工期</w:t>
      </w:r>
    </w:p>
    <w:p>
      <w:pPr>
        <w:autoSpaceDE w:val="0"/>
        <w:autoSpaceDN w:val="0"/>
        <w:snapToGrid w:val="0"/>
        <w:spacing w:before="29" w:after="0" w:line="408" w:lineRule="exact"/>
        <w:ind w:left="0" w:right="0"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间如因停电、</w:t>
      </w:r>
      <w:r>
        <w:rPr>
          <w:rFonts w:hint="default" w:ascii="宋体" w:hAnsi="宋体" w:eastAsia="宋体" w:cs="宋体"/>
          <w:color w:val="auto"/>
          <w:sz w:val="21"/>
          <w:u w:val="single" w:color="000000"/>
        </w:rPr>
        <w:t>停水连</w:t>
      </w:r>
      <w:r>
        <w:rPr>
          <w:rFonts w:hint="default" w:ascii="宋体" w:hAnsi="宋体" w:eastAsia="宋体" w:cs="宋体"/>
          <w:color w:val="auto"/>
          <w:spacing w:val="26"/>
          <w:sz w:val="21"/>
          <w:u w:val="single" w:color="000000"/>
        </w:rPr>
        <w:t>续</w:t>
      </w:r>
      <w:r>
        <w:rPr>
          <w:rFonts w:hint="default" w:ascii="宋体" w:hAnsi="宋体" w:eastAsia="宋体" w:cs="宋体"/>
          <w:color w:val="auto"/>
          <w:spacing w:val="53"/>
          <w:sz w:val="21"/>
          <w:u w:val="single" w:color="000000"/>
        </w:rPr>
        <w:t>8</w:t>
      </w:r>
      <w:r>
        <w:rPr>
          <w:rFonts w:hint="default" w:ascii="宋体" w:hAnsi="宋体" w:eastAsia="宋体" w:cs="宋体"/>
          <w:color w:val="auto"/>
          <w:sz w:val="21"/>
          <w:u w:val="single" w:color="000000"/>
        </w:rPr>
        <w:t>小时以上或一周内间歇性停水、停电累</w:t>
      </w:r>
      <w:r>
        <w:rPr>
          <w:rFonts w:hint="default" w:ascii="宋体" w:hAnsi="宋体" w:eastAsia="宋体" w:cs="宋体"/>
          <w:color w:val="auto"/>
          <w:spacing w:val="26"/>
          <w:sz w:val="21"/>
          <w:u w:val="single" w:color="000000"/>
        </w:rPr>
        <w:t>计</w:t>
      </w:r>
      <w:r>
        <w:rPr>
          <w:rFonts w:hint="default" w:ascii="宋体" w:hAnsi="宋体" w:eastAsia="宋体" w:cs="宋体"/>
          <w:color w:val="auto"/>
          <w:spacing w:val="53"/>
          <w:sz w:val="21"/>
          <w:u w:val="single" w:color="000000"/>
        </w:rPr>
        <w:t>8</w:t>
      </w:r>
      <w:r>
        <w:rPr>
          <w:rFonts w:hint="default" w:ascii="宋体" w:hAnsi="宋体" w:eastAsia="宋体" w:cs="宋体"/>
          <w:color w:val="auto"/>
          <w:sz w:val="21"/>
          <w:u w:val="single" w:color="000000"/>
        </w:rPr>
        <w:t>小时（</w:t>
      </w:r>
      <w:r>
        <w:rPr>
          <w:rFonts w:hint="default" w:ascii="宋体" w:hAnsi="宋体" w:eastAsia="宋体" w:cs="宋体"/>
          <w:color w:val="auto"/>
          <w:spacing w:val="26"/>
          <w:sz w:val="21"/>
          <w:u w:val="single" w:color="000000"/>
        </w:rPr>
        <w:t>含</w:t>
      </w:r>
      <w:r>
        <w:rPr>
          <w:rFonts w:hint="default" w:ascii="宋体" w:hAnsi="宋体" w:eastAsia="宋体" w:cs="宋体"/>
          <w:color w:val="auto"/>
          <w:spacing w:val="53"/>
          <w:sz w:val="21"/>
          <w:u w:val="single" w:color="000000"/>
        </w:rPr>
        <w:t>8</w:t>
      </w:r>
      <w:r>
        <w:rPr>
          <w:rFonts w:hint="default" w:ascii="宋体" w:hAnsi="宋体" w:eastAsia="宋体" w:cs="宋体"/>
          <w:color w:val="auto"/>
          <w:sz w:val="21"/>
          <w:u w:val="single" w:color="000000"/>
        </w:rPr>
        <w:t>小时）影响正常施工的。</w:t>
      </w:r>
      <w:r>
        <w:rPr>
          <w:rFonts w:hint="default" w:ascii="宋体" w:hAnsi="宋体" w:eastAsia="宋体" w:cs="宋体"/>
          <w:color w:val="auto"/>
          <w:spacing w:val="-1"/>
          <w:sz w:val="21"/>
          <w:u w:val="single" w:color="000000"/>
        </w:rPr>
        <w:t>③政府指令性</w:t>
      </w:r>
      <w:r>
        <w:rPr>
          <w:rFonts w:hint="default" w:ascii="宋体" w:hAnsi="宋体" w:eastAsia="宋体" w:cs="宋体"/>
          <w:color w:val="auto"/>
          <w:sz w:val="21"/>
          <w:u w:val="single" w:color="000000"/>
        </w:rPr>
        <w:t>停工。④在施工过程中遇到地下障碍物、溶洞、岩石、文物或地下管线的。⑤因发包人未能及时确认变更价格或甲供材料提供延误的。⑥非承包人的责任造成的工期延误其他情形。</w:t>
      </w:r>
    </w:p>
    <w:p>
      <w:pPr>
        <w:numPr>
          <w:ilvl w:val="2"/>
          <w:numId w:val="65"/>
        </w:numPr>
        <w:autoSpaceDE w:val="0"/>
        <w:autoSpaceDN w:val="0"/>
        <w:snapToGrid w:val="0"/>
        <w:spacing w:before="117"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因承包人原因导致工期延误</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双方约定经监理工程师确认，工期相应顺延的情况：</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因承包人原因</w:t>
      </w:r>
      <w:r>
        <w:rPr>
          <w:rFonts w:hint="default" w:ascii="宋体" w:hAnsi="宋体" w:eastAsia="宋体" w:cs="宋体"/>
          <w:color w:val="auto"/>
          <w:sz w:val="21"/>
        </w:rPr>
        <w:t>造成工期延误，逾期竣工违约金的计算方法为：</w:t>
      </w:r>
      <w:r>
        <w:rPr>
          <w:rFonts w:hint="default" w:ascii="宋体" w:hAnsi="宋体" w:eastAsia="宋体" w:cs="宋体"/>
          <w:color w:val="auto"/>
          <w:sz w:val="21"/>
          <w:u w:val="single" w:color="000000"/>
        </w:rPr>
        <w:t>非上述原因，承包人不能按合同约定的</w:t>
      </w:r>
    </w:p>
    <w:p>
      <w:pPr>
        <w:autoSpaceDE w:val="0"/>
        <w:autoSpaceDN w:val="0"/>
        <w:snapToGrid w:val="0"/>
        <w:spacing w:before="29" w:after="0" w:line="409"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u w:val="single" w:color="000000"/>
        </w:rPr>
        <w:t>时间竣工，承</w:t>
      </w:r>
      <w:r>
        <w:rPr>
          <w:rFonts w:hint="default" w:ascii="宋体" w:hAnsi="宋体" w:eastAsia="宋体" w:cs="宋体"/>
          <w:color w:val="auto"/>
          <w:sz w:val="21"/>
          <w:u w:val="single" w:color="000000"/>
        </w:rPr>
        <w:t>包人应承担违约责任。应向发包人支付误期赔偿费（赔偿费按逾期竣工的单栋工程罚款，每延误一天,按该栋工程结算造价扣除建安劳保费、发包人材料设备价款、暂估专业工程、暂列金额后的万分之四处罚,罚款直接从结算款中扣除。），误期时间从规定竣工日期起直到相应工程竣工验收各方签章</w:t>
      </w:r>
      <w:r>
        <w:rPr>
          <w:rFonts w:hint="default" w:ascii="宋体" w:hAnsi="宋体" w:eastAsia="宋体" w:cs="宋体"/>
          <w:color w:val="auto"/>
          <w:spacing w:val="-1"/>
          <w:sz w:val="21"/>
          <w:u w:val="single" w:color="000000"/>
        </w:rPr>
        <w:t>日期之间的天</w:t>
      </w:r>
      <w:r>
        <w:rPr>
          <w:rFonts w:hint="default" w:ascii="宋体" w:hAnsi="宋体" w:eastAsia="宋体" w:cs="宋体"/>
          <w:color w:val="auto"/>
          <w:sz w:val="21"/>
          <w:u w:val="single" w:color="000000"/>
        </w:rPr>
        <w:t>数（扣除发包人批准顺延的工期）。发包人可从应向承包人支付的任何金额中扣除此项赔款费或其他方式收回此款，此赔偿款的支付并不能解除承包人应完成工程的责任或合同规定的其他责任。</w:t>
      </w:r>
    </w:p>
    <w:p>
      <w:pPr>
        <w:autoSpaceDE w:val="0"/>
        <w:autoSpaceDN w:val="0"/>
        <w:snapToGrid w:val="0"/>
        <w:spacing w:before="0" w:after="0" w:line="408" w:lineRule="exact"/>
        <w:ind w:left="0" w:right="2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因承包人原因</w:t>
      </w:r>
      <w:r>
        <w:rPr>
          <w:rFonts w:hint="default" w:ascii="宋体" w:hAnsi="宋体" w:eastAsia="宋体" w:cs="宋体"/>
          <w:color w:val="auto"/>
          <w:sz w:val="21"/>
        </w:rPr>
        <w:t>造成工期延误，逾期竣工违约金的上限：</w:t>
      </w:r>
      <w:r>
        <w:rPr>
          <w:rFonts w:hint="default" w:ascii="宋体" w:hAnsi="宋体" w:eastAsia="宋体" w:cs="宋体"/>
          <w:color w:val="auto"/>
          <w:sz w:val="21"/>
          <w:u w:val="single" w:color="000000"/>
        </w:rPr>
        <w:t>逾期竣工的单位工程结算造价扣除建安劳保费、发包人材料设备价款、暂估专业工程、暂列金额后</w:t>
      </w:r>
      <w:r>
        <w:rPr>
          <w:rFonts w:hint="default" w:ascii="宋体" w:hAnsi="宋体" w:eastAsia="宋体" w:cs="宋体"/>
          <w:color w:val="auto"/>
          <w:spacing w:val="26"/>
          <w:sz w:val="21"/>
          <w:u w:val="single" w:color="000000"/>
        </w:rPr>
        <w:t>的</w:t>
      </w:r>
      <w:r>
        <w:rPr>
          <w:rFonts w:hint="default" w:ascii="Times New Roman" w:hAnsi="Times New Roman" w:eastAsia="Times New Roman" w:cs="Times New Roman"/>
          <w:color w:val="auto"/>
          <w:sz w:val="21"/>
          <w:u w:val="single" w:color="000000"/>
        </w:rPr>
        <w:t>0.2%</w:t>
      </w:r>
      <w:r>
        <w:rPr>
          <w:rFonts w:hint="default" w:ascii="宋体" w:hAnsi="宋体" w:eastAsia="宋体" w:cs="宋体"/>
          <w:color w:val="auto"/>
          <w:sz w:val="21"/>
        </w:rPr>
        <w:t>。</w:t>
      </w:r>
    </w:p>
    <w:p>
      <w:pPr>
        <w:numPr>
          <w:ilvl w:val="1"/>
          <w:numId w:val="66"/>
        </w:numPr>
        <w:tabs>
          <w:tab w:val="left" w:pos="788"/>
        </w:tabs>
        <w:autoSpaceDE w:val="0"/>
        <w:autoSpaceDN w:val="0"/>
        <w:snapToGrid w:val="0"/>
        <w:spacing w:before="117" w:after="0" w:line="240" w:lineRule="auto"/>
        <w:ind w:left="788" w:right="0" w:hanging="36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不利物质条件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不利物质条件的其他情形和有关约定：</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7.7 </w:t>
      </w:r>
      <w:r>
        <w:rPr>
          <w:rFonts w:hint="default" w:ascii="黑体" w:hAnsi="黑体" w:eastAsia="黑体" w:cs="黑体"/>
          <w:b/>
          <w:color w:val="auto"/>
          <w:sz w:val="21"/>
        </w:rPr>
        <w:t>异常恶劣的气候条件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发包人和承包人同意以下情形视为异常恶劣的气候条件：</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numPr>
          <w:ilvl w:val="1"/>
          <w:numId w:val="67"/>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提前竣工</w:t>
      </w:r>
    </w:p>
    <w:p>
      <w:pPr>
        <w:numPr>
          <w:ilvl w:val="2"/>
          <w:numId w:val="67"/>
        </w:numPr>
        <w:autoSpaceDE w:val="0"/>
        <w:autoSpaceDN w:val="0"/>
        <w:snapToGrid w:val="0"/>
        <w:spacing w:before="153"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提前竣工（赶工）增加费的计算方法：</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u w:val="single" w:color="000000"/>
        </w:rPr>
        <w:t>由发包人和承包人另行协商</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w:t>
      </w:r>
    </w:p>
    <w:p>
      <w:pPr>
        <w:numPr>
          <w:ilvl w:val="0"/>
          <w:numId w:val="56"/>
        </w:numPr>
        <w:autoSpaceDE w:val="0"/>
        <w:autoSpaceDN w:val="0"/>
        <w:snapToGrid w:val="0"/>
        <w:spacing w:before="0"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材料与设备</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8.2 </w:t>
      </w:r>
      <w:r>
        <w:rPr>
          <w:rFonts w:hint="default" w:ascii="黑体" w:hAnsi="黑体" w:eastAsia="黑体" w:cs="黑体"/>
          <w:b/>
          <w:color w:val="auto"/>
          <w:sz w:val="21"/>
        </w:rPr>
        <w:t>承包人采购材料与工程设备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除已标价工程量清单《发包人提供主要材料和工程设备一览表》（表</w:t>
      </w:r>
      <w:r>
        <w:rPr>
          <w:rFonts w:hint="default" w:ascii="Times New Roman" w:hAnsi="Times New Roman" w:eastAsia="Times New Roman" w:cs="Times New Roman"/>
          <w:color w:val="auto"/>
          <w:sz w:val="21"/>
        </w:rPr>
        <w:t>-21</w:t>
      </w:r>
      <w:r>
        <w:rPr>
          <w:rFonts w:hint="default" w:ascii="宋体" w:hAnsi="宋体" w:eastAsia="宋体" w:cs="宋体"/>
          <w:color w:val="auto"/>
          <w:sz w:val="21"/>
        </w:rPr>
        <w:t>）中明确的材料、工程设备</w:t>
      </w:r>
    </w:p>
    <w:p>
      <w:pPr>
        <w:autoSpaceDE w:val="0"/>
        <w:autoSpaceDN w:val="0"/>
        <w:snapToGrid w:val="0"/>
        <w:spacing w:before="29" w:after="0" w:line="408"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外，由承包人负责材料和工程设备的采购、运输和保管。《承包人提供主</w:t>
      </w:r>
      <w:r>
        <w:rPr>
          <w:rFonts w:hint="default" w:ascii="宋体" w:hAnsi="宋体" w:eastAsia="宋体" w:cs="宋体"/>
          <w:color w:val="auto"/>
          <w:sz w:val="21"/>
        </w:rPr>
        <w:t>要材料和工程设备一览表》（表</w:t>
      </w:r>
      <w:r>
        <w:rPr>
          <w:rFonts w:hint="default" w:ascii="Times New Roman" w:hAnsi="Times New Roman" w:eastAsia="Times New Roman" w:cs="Times New Roman"/>
          <w:color w:val="auto"/>
          <w:sz w:val="21"/>
        </w:rPr>
        <w:t>- 22</w:t>
      </w:r>
      <w:r>
        <w:rPr>
          <w:rFonts w:hint="default" w:ascii="宋体" w:hAnsi="宋体" w:eastAsia="宋体" w:cs="宋体"/>
          <w:color w:val="auto"/>
          <w:sz w:val="21"/>
        </w:rPr>
        <w:t>）见已标价工程量清单。</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对发包人在招标时有“参照或相当于</w:t>
      </w:r>
      <w:r>
        <w:rPr>
          <w:rFonts w:hint="default" w:ascii="Times New Roman" w:hAnsi="Times New Roman" w:eastAsia="Times New Roman" w:cs="Times New Roman"/>
          <w:color w:val="auto"/>
          <w:sz w:val="21"/>
        </w:rPr>
        <w:t>**</w:t>
      </w:r>
      <w:r>
        <w:rPr>
          <w:rFonts w:hint="default" w:ascii="宋体" w:hAnsi="宋体" w:eastAsia="宋体" w:cs="宋体"/>
          <w:color w:val="auto"/>
          <w:sz w:val="21"/>
        </w:rPr>
        <w:t>品牌、级别”约定的材料或设备，承包人采购时必须按类似于</w:t>
      </w:r>
    </w:p>
    <w:p>
      <w:pPr>
        <w:autoSpaceDE w:val="0"/>
        <w:autoSpaceDN w:val="0"/>
        <w:snapToGrid w:val="0"/>
        <w:spacing w:before="29" w:after="0" w:line="408" w:lineRule="exact"/>
        <w:ind w:left="0" w:right="7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或优于所约定</w:t>
      </w:r>
      <w:r>
        <w:rPr>
          <w:rFonts w:hint="default" w:ascii="宋体" w:hAnsi="宋体" w:eastAsia="宋体" w:cs="宋体"/>
          <w:color w:val="auto"/>
          <w:sz w:val="21"/>
        </w:rPr>
        <w:t>品牌、等级进行采购，施工期间该部分材料或设备如未超过招标约定的风险幅度的，结算时按投标单价支付，不得调整。</w:t>
      </w:r>
    </w:p>
    <w:p>
      <w:pPr>
        <w:numPr>
          <w:ilvl w:val="1"/>
          <w:numId w:val="68"/>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材料与工程设备的保管与使用</w:t>
      </w:r>
    </w:p>
    <w:p>
      <w:pPr>
        <w:numPr>
          <w:ilvl w:val="2"/>
          <w:numId w:val="68"/>
        </w:numPr>
        <w:autoSpaceDE w:val="0"/>
        <w:autoSpaceDN w:val="0"/>
        <w:snapToGrid w:val="0"/>
        <w:spacing w:before="153"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发包人供应的材料设备的保管费用的承担：</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w:t>
      </w:r>
    </w:p>
    <w:p>
      <w:pPr>
        <w:numPr>
          <w:ilvl w:val="1"/>
          <w:numId w:val="69"/>
        </w:numPr>
        <w:autoSpaceDE w:val="0"/>
        <w:autoSpaceDN w:val="0"/>
        <w:snapToGrid w:val="0"/>
        <w:spacing w:before="153"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样品</w:t>
      </w:r>
    </w:p>
    <w:p>
      <w:pPr>
        <w:numPr>
          <w:ilvl w:val="2"/>
          <w:numId w:val="69"/>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样品的报送与封存</w:t>
      </w:r>
    </w:p>
    <w:p>
      <w:pPr>
        <w:autoSpaceDE w:val="0"/>
        <w:autoSpaceDN w:val="0"/>
        <w:snapToGrid w:val="0"/>
        <w:spacing w:before="36" w:after="0" w:line="408" w:lineRule="exact"/>
        <w:ind w:left="0" w:right="70"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需要承包人报</w:t>
      </w:r>
      <w:r>
        <w:rPr>
          <w:rFonts w:hint="default" w:ascii="宋体" w:hAnsi="宋体" w:eastAsia="宋体" w:cs="宋体"/>
          <w:color w:val="auto"/>
          <w:sz w:val="21"/>
        </w:rPr>
        <w:t>送样品的材料或工程设备，样品的种类、名称、规格、数量要求：</w:t>
      </w:r>
      <w:r>
        <w:rPr>
          <w:rFonts w:hint="default" w:ascii="宋体" w:hAnsi="宋体" w:eastAsia="宋体" w:cs="宋体"/>
          <w:color w:val="auto"/>
          <w:sz w:val="21"/>
          <w:u w:val="single" w:color="000000"/>
        </w:rPr>
        <w:t>主要材料涉及品种、款式、颜色等方面内容的，承包人应提交准备合格的材料样品送发包人选定。</w:t>
      </w:r>
    </w:p>
    <w:p>
      <w:pPr>
        <w:numPr>
          <w:ilvl w:val="1"/>
          <w:numId w:val="70"/>
        </w:numPr>
        <w:autoSpaceDE w:val="0"/>
        <w:autoSpaceDN w:val="0"/>
        <w:snapToGrid w:val="0"/>
        <w:spacing w:before="117"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施工设备和临时设施</w:t>
      </w:r>
    </w:p>
    <w:p>
      <w:pPr>
        <w:numPr>
          <w:ilvl w:val="2"/>
          <w:numId w:val="70"/>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承包人提供的施工设备和临时设施</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除专用合同条款另有约定的其他独立承包人和监理人指示的他人提供条件外，承包人运入施工场地的</w:t>
      </w:r>
    </w:p>
    <w:p>
      <w:pPr>
        <w:autoSpaceDE w:val="0"/>
        <w:autoSpaceDN w:val="0"/>
        <w:snapToGrid w:val="0"/>
        <w:spacing w:before="29" w:after="0" w:line="409" w:lineRule="exact"/>
        <w:ind w:left="0" w:right="7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所有施工设备</w:t>
      </w:r>
      <w:r>
        <w:rPr>
          <w:rFonts w:hint="default" w:ascii="宋体" w:hAnsi="宋体" w:eastAsia="宋体" w:cs="宋体"/>
          <w:color w:val="auto"/>
          <w:sz w:val="21"/>
        </w:rPr>
        <w:t>以及在施工场地建设的临时设施仅限于用于合同工程。承包人用于本工程的主要机械设备清单见合同附件6。</w:t>
      </w:r>
    </w:p>
    <w:p>
      <w:pPr>
        <w:autoSpaceDE w:val="0"/>
        <w:autoSpaceDN w:val="0"/>
        <w:snapToGrid w:val="0"/>
        <w:spacing w:before="117" w:after="0" w:line="263" w:lineRule="exact"/>
        <w:ind w:left="420" w:right="0" w:firstLine="0"/>
        <w:jc w:val="left"/>
        <w:textAlignment w:val="auto"/>
        <w:rPr>
          <w:rFonts w:hint="eastAsia" w:ascii="宋体" w:hAnsi="宋体" w:eastAsia="宋体" w:cs="宋体"/>
          <w:color w:val="auto"/>
          <w:sz w:val="21"/>
          <w:lang w:eastAsia="zh-CN"/>
        </w:rPr>
      </w:pPr>
      <w:r>
        <w:rPr>
          <w:rFonts w:hint="default" w:ascii="宋体" w:hAnsi="宋体" w:eastAsia="宋体" w:cs="宋体"/>
          <w:color w:val="auto"/>
          <w:sz w:val="21"/>
        </w:rPr>
        <w:t>关于修建临时设施费用承担的约定：</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auto"/>
          <w:sz w:val="21"/>
          <w:lang w:eastAsia="zh-CN"/>
        </w:rPr>
        <w:t>。</w:t>
      </w:r>
    </w:p>
    <w:p>
      <w:pPr>
        <w:keepNext w:val="0"/>
        <w:keepLines w:val="0"/>
        <w:pageBreakBefore w:val="0"/>
        <w:widowControl w:val="0"/>
        <w:numPr>
          <w:ilvl w:val="2"/>
          <w:numId w:val="70"/>
        </w:numPr>
        <w:kinsoku/>
        <w:wordWrap/>
        <w:overflowPunct/>
        <w:topLinePunct w:val="0"/>
        <w:autoSpaceDE w:val="0"/>
        <w:autoSpaceDN w:val="0"/>
        <w:bidi w:val="0"/>
        <w:adjustRightInd/>
        <w:snapToGrid w:val="0"/>
        <w:spacing w:after="0" w:line="400" w:lineRule="exact"/>
        <w:ind w:left="527" w:right="0" w:hanging="52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发包人提供的施工设备和临时设施</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发包人提供的施工设备和临时设施：</w:t>
      </w:r>
      <w:r>
        <w:rPr>
          <w:rFonts w:hint="default" w:ascii="宋体" w:hAnsi="宋体" w:eastAsia="宋体" w:cs="宋体"/>
          <w:color w:val="auto"/>
          <w:spacing w:val="210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发包人提供的施工设备和临时设施的运行、维护、拆除、清运费用的承担人：</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numPr>
          <w:ilvl w:val="0"/>
          <w:numId w:val="56"/>
        </w:numPr>
        <w:autoSpaceDE w:val="0"/>
        <w:autoSpaceDN w:val="0"/>
        <w:snapToGrid w:val="0"/>
        <w:spacing w:before="206" w:after="0" w:line="240" w:lineRule="auto"/>
        <w:ind w:left="280"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试验与检验</w:t>
      </w:r>
    </w:p>
    <w:p>
      <w:pPr>
        <w:numPr>
          <w:ilvl w:val="1"/>
          <w:numId w:val="71"/>
        </w:numPr>
        <w:autoSpaceDE w:val="0"/>
        <w:autoSpaceDN w:val="0"/>
        <w:snapToGrid w:val="0"/>
        <w:spacing w:before="274"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试验设备与试验人员</w:t>
      </w:r>
    </w:p>
    <w:p>
      <w:pPr>
        <w:numPr>
          <w:ilvl w:val="2"/>
          <w:numId w:val="71"/>
        </w:numPr>
        <w:autoSpaceDE w:val="0"/>
        <w:autoSpaceDN w:val="0"/>
        <w:snapToGrid w:val="0"/>
        <w:spacing w:before="153" w:after="0" w:line="240" w:lineRule="auto"/>
        <w:ind w:left="945" w:right="0" w:hanging="52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试验设备</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施工现场需要配置的试验场所：</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施工现场需要配备的试验设备：</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施工现场需要具备的其他试验条件：</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numPr>
          <w:ilvl w:val="1"/>
          <w:numId w:val="72"/>
        </w:numPr>
        <w:autoSpaceDE w:val="0"/>
        <w:autoSpaceDN w:val="0"/>
        <w:snapToGrid w:val="0"/>
        <w:spacing w:before="146"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现场工艺试验</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现场工艺试验的有关约定：</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p>
    <w:p>
      <w:pPr>
        <w:numPr>
          <w:ilvl w:val="1"/>
          <w:numId w:val="72"/>
        </w:numPr>
        <w:autoSpaceDE w:val="0"/>
        <w:autoSpaceDN w:val="0"/>
        <w:snapToGrid w:val="0"/>
        <w:spacing w:before="0" w:after="0" w:line="240" w:lineRule="auto"/>
        <w:ind w:left="368" w:right="0" w:hanging="368"/>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检验</w:t>
      </w:r>
    </w:p>
    <w:p>
      <w:pPr>
        <w:autoSpaceDE w:val="0"/>
        <w:autoSpaceDN w:val="0"/>
        <w:snapToGrid w:val="0"/>
        <w:spacing w:before="29" w:after="0" w:line="408" w:lineRule="exact"/>
        <w:ind w:left="0" w:right="0" w:firstLine="0"/>
        <w:jc w:val="left"/>
        <w:textAlignment w:val="auto"/>
        <w:rPr>
          <w:rFonts w:hint="default" w:ascii="宋体" w:hAnsi="宋体" w:eastAsia="宋体" w:cs="宋体"/>
          <w:color w:val="auto"/>
          <w:sz w:val="21"/>
        </w:rPr>
      </w:pPr>
      <w:r>
        <w:rPr>
          <w:rFonts w:hint="eastAsia" w:ascii="宋体" w:hAnsi="宋体" w:eastAsia="宋体" w:cs="宋体"/>
          <w:color w:val="auto"/>
          <w:sz w:val="21"/>
          <w:lang w:eastAsia="zh-CN"/>
        </w:rPr>
        <w:t>混凝土道路工程需要提供《混凝土试块检验合格报告》，由施工方委托有相应资质的检测公司出具，检验试验费由施工方承担</w:t>
      </w:r>
      <w:r>
        <w:rPr>
          <w:rFonts w:hint="default" w:ascii="宋体" w:hAnsi="宋体" w:eastAsia="宋体" w:cs="宋体"/>
          <w:color w:val="auto"/>
          <w:sz w:val="21"/>
        </w:rPr>
        <w:t>。</w:t>
      </w:r>
    </w:p>
    <w:p>
      <w:pPr>
        <w:numPr>
          <w:ilvl w:val="0"/>
          <w:numId w:val="56"/>
        </w:numPr>
        <w:tabs>
          <w:tab w:val="left" w:pos="397"/>
        </w:tabs>
        <w:autoSpaceDE w:val="0"/>
        <w:autoSpaceDN w:val="0"/>
        <w:snapToGrid w:val="0"/>
        <w:spacing w:before="177" w:after="0" w:line="240" w:lineRule="auto"/>
        <w:ind w:left="397"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变更</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10.1 </w:t>
      </w:r>
      <w:r>
        <w:rPr>
          <w:rFonts w:hint="default" w:ascii="黑体" w:hAnsi="黑体" w:eastAsia="黑体" w:cs="黑体"/>
          <w:b/>
          <w:color w:val="auto"/>
          <w:sz w:val="21"/>
        </w:rPr>
        <w:t>变更的范围</w:t>
      </w:r>
    </w:p>
    <w:p>
      <w:pPr>
        <w:autoSpaceDE w:val="0"/>
        <w:autoSpaceDN w:val="0"/>
        <w:snapToGrid w:val="0"/>
        <w:spacing w:before="153" w:after="0" w:line="263" w:lineRule="exact"/>
        <w:ind w:left="4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关于变更的范围的约定：</w:t>
      </w:r>
      <w:r>
        <w:rPr>
          <w:rFonts w:hint="default" w:ascii="宋体" w:hAnsi="宋体" w:eastAsia="宋体" w:cs="宋体"/>
          <w:color w:val="auto"/>
          <w:spacing w:val="1627"/>
          <w:sz w:val="21"/>
          <w:u w:val="single" w:color="000000"/>
        </w:rPr>
        <w:t xml:space="preserve"> </w:t>
      </w:r>
      <w:r>
        <w:rPr>
          <w:rFonts w:hint="default" w:ascii="宋体" w:hAnsi="宋体" w:eastAsia="宋体" w:cs="宋体"/>
          <w:color w:val="auto"/>
          <w:sz w:val="21"/>
        </w:rPr>
        <w:t>。</w:t>
      </w:r>
    </w:p>
    <w:p>
      <w:pPr>
        <w:autoSpaceDE w:val="0"/>
        <w:autoSpaceDN w:val="0"/>
        <w:snapToGrid w:val="0"/>
        <w:spacing w:before="153" w:after="0" w:line="263" w:lineRule="exact"/>
        <w:ind w:left="426" w:right="0" w:firstLine="0"/>
        <w:jc w:val="left"/>
        <w:textAlignment w:val="auto"/>
        <w:rPr>
          <w:rFonts w:hint="default" w:ascii="宋体" w:hAnsi="宋体" w:eastAsia="宋体" w:cs="宋体"/>
          <w:color w:val="auto"/>
          <w:sz w:val="21"/>
        </w:rPr>
      </w:pPr>
    </w:p>
    <w:p>
      <w:pPr>
        <w:numPr>
          <w:ilvl w:val="1"/>
          <w:numId w:val="73"/>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变更程序</w:t>
      </w:r>
    </w:p>
    <w:p>
      <w:pPr>
        <w:numPr>
          <w:ilvl w:val="2"/>
          <w:numId w:val="73"/>
        </w:numPr>
        <w:autoSpaceDE w:val="0"/>
        <w:autoSpaceDN w:val="0"/>
        <w:snapToGrid w:val="0"/>
        <w:spacing w:before="153" w:after="0" w:line="240" w:lineRule="auto"/>
        <w:ind w:left="1071"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国有投资项目：</w:t>
      </w:r>
    </w:p>
    <w:p>
      <w:pPr>
        <w:autoSpaceDE w:val="0"/>
        <w:autoSpaceDN w:val="0"/>
        <w:snapToGrid w:val="0"/>
        <w:spacing w:before="36" w:after="0" w:line="408" w:lineRule="exact"/>
        <w:ind w:left="0" w:right="51"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⑴设计变更和</w:t>
      </w:r>
      <w:r>
        <w:rPr>
          <w:rFonts w:hint="default" w:ascii="宋体" w:hAnsi="宋体" w:eastAsia="宋体" w:cs="宋体"/>
          <w:color w:val="auto"/>
          <w:sz w:val="21"/>
        </w:rPr>
        <w:t>工程签证，按各市政府或相关部门的规定办理。属不可抗力（自然灾害、突发事件等）造成变更的，按特事特办原则予以办理。</w:t>
      </w:r>
    </w:p>
    <w:p>
      <w:pPr>
        <w:autoSpaceDE w:val="0"/>
        <w:autoSpaceDN w:val="0"/>
        <w:snapToGrid w:val="0"/>
        <w:spacing w:before="0" w:after="0" w:line="408" w:lineRule="exact"/>
        <w:ind w:left="0" w:right="51" w:firstLine="441"/>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⑵建设单位在</w:t>
      </w:r>
      <w:r>
        <w:rPr>
          <w:rFonts w:hint="default" w:ascii="宋体" w:hAnsi="宋体" w:eastAsia="宋体" w:cs="宋体"/>
          <w:color w:val="auto"/>
          <w:sz w:val="21"/>
        </w:rPr>
        <w:t>实施项目过程中，若发生单价变动，由建设单位、监理单位、施工单位及其他相关单位共同商定并签字确认。</w:t>
      </w:r>
    </w:p>
    <w:p>
      <w:pPr>
        <w:autoSpaceDE w:val="0"/>
        <w:autoSpaceDN w:val="0"/>
        <w:snapToGrid w:val="0"/>
        <w:spacing w:before="0" w:after="0" w:line="408" w:lineRule="exact"/>
        <w:ind w:left="0" w:right="177"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⑶ 当合同规</w:t>
      </w:r>
      <w:r>
        <w:rPr>
          <w:rFonts w:hint="default" w:ascii="宋体" w:hAnsi="宋体" w:eastAsia="宋体" w:cs="宋体"/>
          <w:color w:val="auto"/>
          <w:sz w:val="21"/>
        </w:rPr>
        <w:t>定的合同价款调整情况发生后，承包人未在规定时间内通知发包人，或者未在规定时间内提出调整报告，发包人可以根据有关资料，决定是否调整和调整的金额，并书面通知承包人。</w:t>
      </w:r>
    </w:p>
    <w:p>
      <w:pPr>
        <w:autoSpaceDE w:val="0"/>
        <w:autoSpaceDN w:val="0"/>
        <w:snapToGrid w:val="0"/>
        <w:spacing w:before="117"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10.3.2 </w:t>
      </w:r>
      <w:r>
        <w:rPr>
          <w:rFonts w:hint="default" w:ascii="宋体" w:hAnsi="宋体" w:eastAsia="宋体" w:cs="宋体"/>
          <w:color w:val="auto"/>
          <w:sz w:val="21"/>
        </w:rPr>
        <w:t>非国有投资项目：</w:t>
      </w:r>
    </w:p>
    <w:p>
      <w:pPr>
        <w:autoSpaceDE w:val="0"/>
        <w:autoSpaceDN w:val="0"/>
        <w:snapToGrid w:val="0"/>
        <w:spacing w:before="51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p>
    <w:p>
      <w:pPr>
        <w:numPr>
          <w:ilvl w:val="1"/>
          <w:numId w:val="73"/>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变更估价</w:t>
      </w:r>
    </w:p>
    <w:p>
      <w:pPr>
        <w:autoSpaceDE w:val="0"/>
        <w:autoSpaceDN w:val="0"/>
        <w:snapToGrid w:val="0"/>
        <w:spacing w:before="153"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10.4.1 </w:t>
      </w:r>
      <w:r>
        <w:rPr>
          <w:rFonts w:hint="default" w:ascii="宋体" w:hAnsi="宋体" w:eastAsia="宋体" w:cs="宋体"/>
          <w:color w:val="auto"/>
          <w:sz w:val="21"/>
        </w:rPr>
        <w:t>变更估价原则</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420" w:firstLineChars="20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关于变更估价的约定</w:t>
      </w:r>
      <w:r>
        <w:rPr>
          <w:rFonts w:hint="default" w:ascii="Times New Roman" w:hAnsi="Times New Roman" w:eastAsia="Times New Roman" w:cs="Times New Roman"/>
          <w:color w:val="auto"/>
          <w:spacing w:val="52"/>
          <w:sz w:val="21"/>
        </w:rPr>
        <w:t>:</w:t>
      </w:r>
      <w:r>
        <w:rPr>
          <w:rFonts w:hint="default" w:ascii="宋体" w:hAnsi="宋体" w:eastAsia="宋体" w:cs="宋体"/>
          <w:color w:val="auto"/>
          <w:sz w:val="21"/>
          <w:u w:val="single" w:color="000000"/>
        </w:rPr>
        <w:t>工程变更合同价款按下列方法进行：（</w:t>
      </w:r>
      <w:r>
        <w:rPr>
          <w:rFonts w:hint="default" w:ascii="Times New Roman" w:hAnsi="Times New Roman" w:eastAsia="Times New Roman" w:cs="Times New Roman"/>
          <w:color w:val="auto"/>
          <w:sz w:val="21"/>
          <w:u w:val="single" w:color="000000"/>
        </w:rPr>
        <w:t>1</w:t>
      </w:r>
      <w:r>
        <w:rPr>
          <w:rFonts w:hint="default" w:ascii="宋体" w:hAnsi="宋体" w:eastAsia="宋体" w:cs="宋体"/>
          <w:color w:val="auto"/>
          <w:sz w:val="21"/>
          <w:u w:val="single" w:color="000000"/>
        </w:rPr>
        <w:t>）合同中已有相同清单项目的，按合同</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该清单项目价格进行计算；（</w:t>
      </w:r>
      <w:r>
        <w:rPr>
          <w:rFonts w:hint="default" w:ascii="Times New Roman" w:hAnsi="Times New Roman" w:eastAsia="Times New Roman" w:cs="Times New Roman"/>
          <w:color w:val="auto"/>
          <w:sz w:val="21"/>
          <w:u w:val="single" w:color="000000"/>
        </w:rPr>
        <w:t>2</w:t>
      </w:r>
      <w:r>
        <w:rPr>
          <w:rFonts w:hint="default" w:ascii="宋体" w:hAnsi="宋体" w:eastAsia="宋体" w:cs="宋体"/>
          <w:color w:val="auto"/>
          <w:sz w:val="21"/>
          <w:u w:val="single" w:color="000000"/>
        </w:rPr>
        <w:t>）合同中只有类似清单项目的，参照该类似清单项目价格进行计算；（</w:t>
      </w:r>
      <w:r>
        <w:rPr>
          <w:rFonts w:hint="default" w:ascii="Times New Roman" w:hAnsi="Times New Roman" w:eastAsia="Times New Roman" w:cs="Times New Roman"/>
          <w:color w:val="auto"/>
          <w:sz w:val="21"/>
          <w:u w:val="single" w:color="000000"/>
        </w:rPr>
        <w:t>3</w:t>
      </w:r>
      <w:r>
        <w:rPr>
          <w:rFonts w:hint="default" w:ascii="宋体" w:hAnsi="宋体" w:eastAsia="宋体" w:cs="宋体"/>
          <w:color w:val="auto"/>
          <w:sz w:val="21"/>
          <w:u w:val="single" w:color="000000"/>
        </w:rPr>
        <w:t>）</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合同中没有适用或类似清单项目的价格计算方法：有定额的套定额，并（</w:t>
      </w:r>
      <w:r>
        <w:rPr>
          <w:rFonts w:hint="default" w:ascii="宋体" w:hAnsi="宋体" w:eastAsia="宋体" w:cs="宋体"/>
          <w:b/>
          <w:color w:val="auto"/>
          <w:sz w:val="21"/>
        </w:rPr>
        <w:t>√</w:t>
      </w:r>
      <w:r>
        <w:rPr>
          <w:rFonts w:hint="default" w:ascii="宋体" w:hAnsi="宋体" w:eastAsia="宋体" w:cs="宋体"/>
          <w:color w:val="auto"/>
          <w:sz w:val="21"/>
          <w:u w:val="single" w:color="000000"/>
        </w:rPr>
        <w:t>乘以下浮系数</w:t>
      </w:r>
      <w:r>
        <w:rPr>
          <w:rFonts w:hint="default" w:ascii="宋体" w:hAnsi="宋体" w:eastAsia="宋体" w:cs="宋体"/>
          <w:color w:val="auto"/>
          <w:spacing w:val="263"/>
          <w:sz w:val="21"/>
          <w:u w:val="single" w:color="000000"/>
        </w:rPr>
        <w:t xml:space="preserve"> </w:t>
      </w:r>
      <w:r>
        <w:rPr>
          <w:rFonts w:hint="default" w:ascii="Times New Roman" w:hAnsi="Times New Roman" w:eastAsia="Times New Roman" w:cs="Times New Roman"/>
          <w:color w:val="auto"/>
          <w:sz w:val="21"/>
          <w:u w:val="single" w:color="000000"/>
        </w:rPr>
        <w:t>%</w:t>
      </w:r>
      <w:r>
        <w:rPr>
          <w:rFonts w:hint="default" w:ascii="宋体" w:hAnsi="宋体" w:eastAsia="宋体" w:cs="宋体"/>
          <w:color w:val="auto"/>
          <w:sz w:val="21"/>
          <w:u w:val="single" w:color="000000"/>
        </w:rPr>
        <w:t>，</w:t>
      </w:r>
      <w:r>
        <w:rPr>
          <w:rFonts w:hint="default" w:ascii="宋体" w:hAnsi="宋体" w:eastAsia="宋体" w:cs="宋体"/>
          <w:b/>
          <w:color w:val="auto"/>
          <w:sz w:val="21"/>
        </w:rPr>
        <w:t>□</w:t>
      </w:r>
      <w:r>
        <w:rPr>
          <w:rFonts w:hint="default" w:ascii="宋体" w:hAnsi="宋体" w:eastAsia="宋体" w:cs="宋体"/>
          <w:color w:val="auto"/>
          <w:sz w:val="21"/>
          <w:u w:val="single" w:color="000000"/>
        </w:rPr>
        <w:t>不</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乘下浮系数）计算，其中材料价格按施工期间的《</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u w:val="single" w:color="000000"/>
        </w:rPr>
        <w:t>市建设工程造价信息》相应价格信息进行计算；《</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市建设工程造价信息》没有相应价格信息的按市场价计算；无定额可套的，根据市场价格协商确定综合价</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u w:val="single" w:color="000000"/>
        </w:rPr>
        <w:t>格；对于国有</w:t>
      </w:r>
      <w:r>
        <w:rPr>
          <w:rFonts w:hint="default" w:ascii="宋体" w:hAnsi="宋体" w:eastAsia="宋体" w:cs="宋体"/>
          <w:color w:val="auto"/>
          <w:sz w:val="21"/>
          <w:u w:val="single" w:color="000000"/>
        </w:rPr>
        <w:t>资产投资的项目，新增项目的单价必须经</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u w:val="single" w:color="000000"/>
        </w:rPr>
        <w:t>审定</w:t>
      </w:r>
      <w:r>
        <w:rPr>
          <w:rFonts w:hint="default" w:ascii="宋体" w:hAnsi="宋体" w:eastAsia="宋体" w:cs="宋体"/>
          <w:color w:val="auto"/>
          <w:sz w:val="21"/>
        </w:rPr>
        <w:t>。（下浮系数</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中标价</w:t>
      </w:r>
      <w:r>
        <w:rPr>
          <w:rFonts w:hint="default" w:ascii="Times New Roman" w:hAnsi="Times New Roman" w:eastAsia="Times New Roman" w:cs="Times New Roman"/>
          <w:color w:val="auto"/>
          <w:sz w:val="21"/>
        </w:rPr>
        <w:t>/</w:t>
      </w:r>
      <w:r>
        <w:rPr>
          <w:rFonts w:hint="default" w:ascii="宋体" w:hAnsi="宋体" w:eastAsia="宋体" w:cs="宋体"/>
          <w:color w:val="auto"/>
          <w:sz w:val="21"/>
        </w:rPr>
        <w:t>招标控制</w:t>
      </w:r>
    </w:p>
    <w:p>
      <w:pPr>
        <w:keepNext w:val="0"/>
        <w:keepLines w:val="0"/>
        <w:pageBreakBefore w:val="0"/>
        <w:widowControl w:val="0"/>
        <w:kinsoku/>
        <w:wordWrap/>
        <w:overflowPunct/>
        <w:topLinePunct w:val="0"/>
        <w:autoSpaceDE w:val="0"/>
        <w:autoSpaceDN w:val="0"/>
        <w:bidi w:val="0"/>
        <w:adjustRightInd/>
        <w:snapToGrid w:val="0"/>
        <w:spacing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价）</w:t>
      </w:r>
      <w:r>
        <w:rPr>
          <w:rFonts w:hint="default" w:ascii="宋体" w:hAnsi="宋体" w:eastAsia="宋体" w:cs="宋体"/>
          <w:color w:val="auto"/>
          <w:spacing w:val="-1"/>
          <w:sz w:val="21"/>
          <w:u w:val="single" w:color="000000"/>
        </w:rPr>
        <w:t>工程变更导致</w:t>
      </w:r>
      <w:r>
        <w:rPr>
          <w:rFonts w:hint="default" w:ascii="宋体" w:hAnsi="宋体" w:eastAsia="宋体" w:cs="宋体"/>
          <w:color w:val="auto"/>
          <w:sz w:val="21"/>
          <w:u w:val="single" w:color="000000"/>
        </w:rPr>
        <w:t>实际完成的变更工程量与已标价清单或预算书中列明的该项目工程量有偏差时，其综合单价的确定按专用条款“</w:t>
      </w:r>
      <w:r>
        <w:rPr>
          <w:rFonts w:hint="default" w:ascii="Times New Roman" w:hAnsi="Times New Roman" w:eastAsia="Times New Roman" w:cs="Times New Roman"/>
          <w:color w:val="auto"/>
          <w:sz w:val="21"/>
          <w:u w:val="single" w:color="000000"/>
        </w:rPr>
        <w:t>1.1</w:t>
      </w:r>
      <w:r>
        <w:rPr>
          <w:rFonts w:hint="default" w:ascii="Times New Roman" w:hAnsi="Times New Roman" w:eastAsia="Times New Roman" w:cs="Times New Roman"/>
          <w:color w:val="auto"/>
          <w:spacing w:val="53"/>
          <w:sz w:val="21"/>
          <w:u w:val="single" w:color="000000"/>
        </w:rPr>
        <w:t>3</w:t>
      </w:r>
      <w:r>
        <w:rPr>
          <w:rFonts w:hint="default" w:ascii="宋体" w:hAnsi="宋体" w:eastAsia="宋体" w:cs="宋体"/>
          <w:color w:val="auto"/>
          <w:sz w:val="21"/>
          <w:u w:val="single" w:color="000000"/>
        </w:rPr>
        <w:t>工程量清单错误的修正”执行。</w:t>
      </w:r>
    </w:p>
    <w:p>
      <w:pPr>
        <w:numPr>
          <w:ilvl w:val="1"/>
          <w:numId w:val="73"/>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承包人的合理化建议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监理人审查承包人合理化建议的期限：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发包人审批承包人合理化建议的期限：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承包人提出的合理化建议降低了合同价格或者提高了工程经济效益的奖励的方法和金额</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为：</w:t>
      </w:r>
      <w:r>
        <w:rPr>
          <w:rFonts w:hint="default" w:ascii="宋体" w:hAnsi="宋体" w:eastAsia="宋体" w:cs="宋体"/>
          <w:color w:val="auto"/>
          <w:spacing w:val="372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p>
    <w:p>
      <w:pPr>
        <w:numPr>
          <w:ilvl w:val="1"/>
          <w:numId w:val="74"/>
        </w:numPr>
        <w:autoSpaceDE w:val="0"/>
        <w:autoSpaceDN w:val="0"/>
        <w:snapToGrid w:val="0"/>
        <w:spacing w:before="0"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暂估价</w:t>
      </w:r>
    </w:p>
    <w:p>
      <w:pPr>
        <w:autoSpaceDE w:val="0"/>
        <w:autoSpaceDN w:val="0"/>
        <w:snapToGrid w:val="0"/>
        <w:spacing w:before="36" w:after="0" w:line="408" w:lineRule="exact"/>
        <w:ind w:left="0" w:right="21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暂估价材料和</w:t>
      </w:r>
      <w:r>
        <w:rPr>
          <w:rFonts w:hint="default" w:ascii="宋体" w:hAnsi="宋体" w:eastAsia="宋体" w:cs="宋体"/>
          <w:color w:val="auto"/>
          <w:sz w:val="21"/>
        </w:rPr>
        <w:t>工程设备的明细详见已标价工程量清单《材料（工程设备）暂估价格及调整表》（表</w:t>
      </w:r>
      <w:r>
        <w:rPr>
          <w:rFonts w:hint="default" w:ascii="Times New Roman" w:hAnsi="Times New Roman" w:eastAsia="Times New Roman" w:cs="Times New Roman"/>
          <w:color w:val="auto"/>
          <w:sz w:val="21"/>
        </w:rPr>
        <w:t>12-2</w:t>
      </w:r>
      <w:r>
        <w:rPr>
          <w:rFonts w:hint="default" w:ascii="宋体" w:hAnsi="宋体" w:eastAsia="宋体" w:cs="宋体"/>
          <w:color w:val="auto"/>
          <w:sz w:val="21"/>
        </w:rPr>
        <w:t>）和《专业工程暂估价表》（</w:t>
      </w:r>
      <w:r>
        <w:rPr>
          <w:rFonts w:hint="default" w:ascii="宋体" w:hAnsi="宋体" w:eastAsia="宋体" w:cs="宋体"/>
          <w:color w:val="auto"/>
          <w:spacing w:val="26"/>
          <w:sz w:val="21"/>
        </w:rPr>
        <w:t>表</w:t>
      </w:r>
      <w:r>
        <w:rPr>
          <w:rFonts w:hint="default" w:ascii="Times New Roman" w:hAnsi="Times New Roman" w:eastAsia="Times New Roman" w:cs="Times New Roman"/>
          <w:color w:val="auto"/>
          <w:sz w:val="21"/>
        </w:rPr>
        <w:t>12-3</w:t>
      </w:r>
      <w:r>
        <w:rPr>
          <w:rFonts w:hint="default" w:ascii="宋体" w:hAnsi="宋体" w:eastAsia="宋体" w:cs="宋体"/>
          <w:color w:val="auto"/>
          <w:sz w:val="21"/>
        </w:rPr>
        <w:t>）。</w:t>
      </w:r>
    </w:p>
    <w:p>
      <w:pPr>
        <w:numPr>
          <w:ilvl w:val="2"/>
          <w:numId w:val="74"/>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依法必须招标的暂估价项目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对于依法必须招标的暂估价项目的确认和批准采取第</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种方式确定。</w:t>
      </w:r>
    </w:p>
    <w:p>
      <w:pPr>
        <w:numPr>
          <w:ilvl w:val="2"/>
          <w:numId w:val="74"/>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不属于依法必须招标的暂估价项目</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对于不属于依法必须招标的暂估价项目的确认和批准采取第</w:t>
      </w:r>
      <w:r>
        <w:rPr>
          <w:rFonts w:hint="default" w:ascii="宋体" w:hAnsi="宋体" w:eastAsia="宋体" w:cs="宋体"/>
          <w:color w:val="auto"/>
          <w:spacing w:val="158"/>
          <w:sz w:val="21"/>
          <w:u w:val="single"/>
        </w:rPr>
        <w:t xml:space="preserve"> </w:t>
      </w:r>
      <w:r>
        <w:rPr>
          <w:rFonts w:hint="default" w:ascii="宋体" w:hAnsi="宋体" w:eastAsia="宋体" w:cs="宋体"/>
          <w:color w:val="auto"/>
          <w:sz w:val="21"/>
        </w:rPr>
        <w:t>种方式确定。</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bookmarkStart w:id="81" w:name="_Toc9036_WPSOffice_Level2"/>
      <w:bookmarkStart w:id="82" w:name="_Toc22152_WPSOffice_Level2"/>
      <w:bookmarkStart w:id="83" w:name="_Toc6669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种方式：承包人直接实施的暂估价项目</w:t>
      </w:r>
      <w:bookmarkEnd w:id="81"/>
      <w:bookmarkEnd w:id="82"/>
      <w:bookmarkEnd w:id="83"/>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承包人直接实施的暂估价项目的约定：</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p>
    <w:p>
      <w:pPr>
        <w:numPr>
          <w:ilvl w:val="1"/>
          <w:numId w:val="74"/>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暂列金额</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合同当事人关于暂列金额使用的约定：</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numPr>
          <w:ilvl w:val="0"/>
          <w:numId w:val="56"/>
        </w:numPr>
        <w:tabs>
          <w:tab w:val="left" w:pos="397"/>
        </w:tabs>
        <w:autoSpaceDE w:val="0"/>
        <w:autoSpaceDN w:val="0"/>
        <w:snapToGrid w:val="0"/>
        <w:spacing w:before="206" w:after="0" w:line="240" w:lineRule="auto"/>
        <w:ind w:left="397" w:right="0" w:hanging="105"/>
        <w:jc w:val="left"/>
        <w:textAlignment w:val="auto"/>
        <w:rPr>
          <w:rFonts w:hint="default" w:ascii="Arial" w:hAnsi="Arial" w:eastAsia="Arial" w:cs="Arial"/>
          <w:b/>
          <w:color w:val="auto"/>
          <w:sz w:val="21"/>
        </w:rPr>
      </w:pPr>
      <w:r>
        <w:rPr>
          <w:rFonts w:hint="default" w:ascii="黑体" w:hAnsi="黑体" w:eastAsia="黑体" w:cs="黑体"/>
          <w:b/>
          <w:color w:val="auto"/>
          <w:sz w:val="21"/>
        </w:rPr>
        <w:t>价格调整</w:t>
      </w:r>
    </w:p>
    <w:p>
      <w:pPr>
        <w:numPr>
          <w:ilvl w:val="1"/>
          <w:numId w:val="75"/>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市场价格波动引起的调整</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市场价格波动是否调整合同价格的约定：</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因市场价格波动调整合同价格，采用以下第</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种方式对合同价格进行调整：</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bookmarkStart w:id="84" w:name="_Toc26882_WPSOffice_Level2"/>
      <w:bookmarkStart w:id="85" w:name="_Toc12970_WPSOffice_Level2"/>
      <w:bookmarkStart w:id="86" w:name="_Toc16615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种方式：采用价格指数进行价格调整。</w:t>
      </w:r>
      <w:bookmarkEnd w:id="84"/>
      <w:bookmarkEnd w:id="85"/>
      <w:bookmarkEnd w:id="86"/>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关于各可调因子、定值和变值权重，以及基本价格指数及其来源的约定：</w:t>
      </w:r>
      <w:r>
        <w:rPr>
          <w:rFonts w:hint="default" w:ascii="宋体" w:hAnsi="宋体" w:eastAsia="宋体" w:cs="宋体"/>
          <w:color w:val="auto"/>
          <w:spacing w:val="78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bookmarkStart w:id="87" w:name="_Toc9017_WPSOffice_Level2"/>
      <w:bookmarkStart w:id="88" w:name="_Toc30174_WPSOffice_Level2"/>
      <w:bookmarkStart w:id="89" w:name="_Toc19481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种方式：采用造价信息进行价格调整。</w:t>
      </w:r>
      <w:bookmarkEnd w:id="87"/>
      <w:bookmarkEnd w:id="88"/>
      <w:bookmarkEnd w:id="89"/>
    </w:p>
    <w:p>
      <w:pPr>
        <w:autoSpaceDE w:val="0"/>
        <w:autoSpaceDN w:val="0"/>
        <w:snapToGrid w:val="0"/>
        <w:spacing w:before="29" w:after="0" w:line="408"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）允许调</w:t>
      </w:r>
      <w:r>
        <w:rPr>
          <w:rFonts w:hint="default" w:ascii="宋体" w:hAnsi="宋体" w:eastAsia="宋体" w:cs="宋体"/>
          <w:color w:val="auto"/>
          <w:sz w:val="21"/>
        </w:rPr>
        <w:t>整的主要材料和设备、基期价格、风险系数、投标报价：详见《承包人提供主要材料和设备一览表》。</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）主要材料和设备确认价：</w:t>
      </w:r>
    </w:p>
    <w:p>
      <w:pPr>
        <w:autoSpaceDE w:val="0"/>
        <w:autoSpaceDN w:val="0"/>
        <w:snapToGrid w:val="0"/>
        <w:spacing w:before="29" w:after="0" w:line="408" w:lineRule="exact"/>
        <w:ind w:left="420" w:right="509"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 xml:space="preserve">按施工期间《 </w:t>
      </w:r>
      <w:r>
        <w:rPr>
          <w:rFonts w:hint="default" w:ascii="宋体" w:hAnsi="宋体" w:eastAsia="宋体" w:cs="宋体"/>
          <w:b/>
          <w:color w:val="auto"/>
          <w:spacing w:val="-2"/>
          <w:sz w:val="21"/>
        </w:rPr>
        <w:t>贺</w:t>
      </w:r>
      <w:r>
        <w:rPr>
          <w:rFonts w:hint="default" w:ascii="宋体" w:hAnsi="宋体" w:eastAsia="宋体" w:cs="宋体"/>
          <w:b/>
          <w:color w:val="auto"/>
          <w:spacing w:val="-1"/>
          <w:sz w:val="21"/>
        </w:rPr>
        <w:t>州市建设工程造价信息</w:t>
      </w:r>
      <w:r>
        <w:rPr>
          <w:rFonts w:hint="default" w:ascii="宋体" w:hAnsi="宋体" w:eastAsia="宋体" w:cs="宋体"/>
          <w:color w:val="auto"/>
          <w:spacing w:val="-1"/>
          <w:sz w:val="21"/>
        </w:rPr>
        <w:t>》加权平均计算，信息价没有的按通用条款规定确定。</w:t>
      </w:r>
      <w:r>
        <w:rPr>
          <w:rFonts w:hint="default" w:ascii="宋体" w:hAnsi="宋体" w:eastAsia="宋体" w:cs="宋体"/>
          <w:color w:val="auto"/>
          <w:sz w:val="21"/>
        </w:rPr>
        <w:t xml:space="preserve"> （</w:t>
      </w:r>
      <w:r>
        <w:rPr>
          <w:rFonts w:hint="default" w:ascii="Times New Roman" w:hAnsi="Times New Roman" w:eastAsia="Times New Roman" w:cs="Times New Roman"/>
          <w:color w:val="auto"/>
          <w:sz w:val="21"/>
        </w:rPr>
        <w:t>3</w:t>
      </w:r>
      <w:r>
        <w:rPr>
          <w:rFonts w:hint="default" w:ascii="宋体" w:hAnsi="宋体" w:eastAsia="宋体" w:cs="宋体"/>
          <w:color w:val="auto"/>
          <w:sz w:val="21"/>
        </w:rPr>
        <w:t>）价差计算方法：</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①《承包人提</w:t>
      </w:r>
      <w:r>
        <w:rPr>
          <w:rFonts w:hint="default" w:ascii="宋体" w:hAnsi="宋体" w:eastAsia="宋体" w:cs="宋体"/>
          <w:color w:val="auto"/>
          <w:sz w:val="21"/>
        </w:rPr>
        <w:t>供主要材料和设备一览表》中载明的材料投标报价低于基准价格的：合同履行期间材料</w:t>
      </w:r>
    </w:p>
    <w:p>
      <w:pPr>
        <w:autoSpaceDE w:val="0"/>
        <w:autoSpaceDN w:val="0"/>
        <w:snapToGrid w:val="0"/>
        <w:spacing w:before="29"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和设备单价涨</w:t>
      </w:r>
      <w:r>
        <w:rPr>
          <w:rFonts w:hint="default" w:ascii="宋体" w:hAnsi="宋体" w:eastAsia="宋体" w:cs="宋体"/>
          <w:color w:val="auto"/>
          <w:sz w:val="21"/>
        </w:rPr>
        <w:t>幅以基准价格为基础超过约定的风险范围时，或材料和设备单价跌幅以投标报价为基础超过约定的风险范围时，其超过部分据实调整。</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②承包人在《</w:t>
      </w:r>
      <w:r>
        <w:rPr>
          <w:rFonts w:hint="default" w:ascii="宋体" w:hAnsi="宋体" w:eastAsia="宋体" w:cs="宋体"/>
          <w:color w:val="auto"/>
          <w:sz w:val="21"/>
        </w:rPr>
        <w:t>承包人提供主要材料和设备一览表》中载明的材料和设备投标报价高于基准价格的：专</w:t>
      </w:r>
    </w:p>
    <w:p>
      <w:pPr>
        <w:autoSpaceDE w:val="0"/>
        <w:autoSpaceDN w:val="0"/>
        <w:snapToGrid w:val="0"/>
        <w:spacing w:before="29" w:after="0" w:line="409"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用合同条款合</w:t>
      </w:r>
      <w:r>
        <w:rPr>
          <w:rFonts w:hint="default" w:ascii="宋体" w:hAnsi="宋体" w:eastAsia="宋体" w:cs="宋体"/>
          <w:color w:val="auto"/>
          <w:sz w:val="21"/>
        </w:rPr>
        <w:t>同履行期间材料和设备单价跌幅以基准价格为基础超过约定的风险范围时，材料和设备单价涨幅以投标报价为基础超过约定的风险范围时，其超过部分据实调整。</w:t>
      </w:r>
    </w:p>
    <w:p>
      <w:pPr>
        <w:autoSpaceDE w:val="0"/>
        <w:autoSpaceDN w:val="0"/>
        <w:snapToGrid w:val="0"/>
        <w:spacing w:before="0" w:after="0" w:line="409" w:lineRule="exact"/>
        <w:ind w:left="0" w:right="0"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③承包人在《</w:t>
      </w:r>
      <w:r>
        <w:rPr>
          <w:rFonts w:hint="default" w:ascii="宋体" w:hAnsi="宋体" w:eastAsia="宋体" w:cs="宋体"/>
          <w:color w:val="auto"/>
          <w:sz w:val="21"/>
        </w:rPr>
        <w:t>承包人提供主要材料和设备一览表》中载明的材料和设备单价等于基准单价的：合同履行期间材料和 设备单价涨跌幅以基准单价为基础超过约定的风险范围时，其超过部分据实调整。</w:t>
      </w:r>
    </w:p>
    <w:p>
      <w:pPr>
        <w:autoSpaceDE w:val="0"/>
        <w:autoSpaceDN w:val="0"/>
        <w:snapToGrid w:val="0"/>
        <w:spacing w:before="117" w:after="0" w:line="263" w:lineRule="exact"/>
        <w:ind w:left="645" w:right="0" w:firstLine="0"/>
        <w:jc w:val="left"/>
        <w:textAlignment w:val="auto"/>
        <w:rPr>
          <w:rFonts w:hint="default" w:ascii="宋体" w:hAnsi="宋体" w:eastAsia="宋体" w:cs="宋体"/>
          <w:color w:val="auto"/>
          <w:sz w:val="21"/>
        </w:rPr>
      </w:pPr>
      <w:bookmarkStart w:id="90" w:name="_Toc12455_WPSOffice_Level2"/>
      <w:bookmarkStart w:id="91" w:name="_Toc13630_WPSOffice_Level2"/>
      <w:bookmarkStart w:id="92" w:name="_Toc8747_WPSOffice_Level2"/>
      <w:r>
        <w:rPr>
          <w:rFonts w:hint="default" w:ascii="宋体" w:hAnsi="宋体" w:eastAsia="宋体" w:cs="宋体"/>
          <w:color w:val="auto"/>
          <w:spacing w:val="26"/>
          <w:sz w:val="21"/>
        </w:rPr>
        <w:t>第</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种方式：</w:t>
      </w:r>
      <w:r>
        <w:rPr>
          <w:rFonts w:hint="default" w:ascii="宋体" w:hAnsi="宋体" w:eastAsia="宋体" w:cs="宋体"/>
          <w:color w:val="auto"/>
          <w:spacing w:val="3150"/>
          <w:sz w:val="21"/>
        </w:rPr>
        <w:t xml:space="preserve"> </w:t>
      </w:r>
      <w:r>
        <w:rPr>
          <w:rFonts w:hint="default" w:ascii="宋体" w:hAnsi="宋体" w:eastAsia="宋体" w:cs="宋体"/>
          <w:color w:val="auto"/>
          <w:sz w:val="21"/>
        </w:rPr>
        <w:t>。</w:t>
      </w:r>
      <w:bookmarkEnd w:id="90"/>
      <w:bookmarkEnd w:id="91"/>
      <w:bookmarkEnd w:id="92"/>
    </w:p>
    <w:p>
      <w:pPr>
        <w:numPr>
          <w:ilvl w:val="0"/>
          <w:numId w:val="75"/>
        </w:numPr>
        <w:autoSpaceDE w:val="0"/>
        <w:autoSpaceDN w:val="0"/>
        <w:snapToGrid w:val="0"/>
        <w:spacing w:before="206" w:after="0" w:line="240" w:lineRule="auto"/>
        <w:ind w:left="350" w:right="0" w:hanging="350"/>
        <w:jc w:val="left"/>
        <w:textAlignment w:val="auto"/>
        <w:rPr>
          <w:rFonts w:hint="default" w:ascii="Arial" w:hAnsi="Arial" w:eastAsia="Arial" w:cs="Arial"/>
          <w:b/>
          <w:color w:val="auto"/>
          <w:sz w:val="21"/>
        </w:rPr>
      </w:pPr>
      <w:r>
        <w:rPr>
          <w:rFonts w:hint="default" w:ascii="黑体" w:hAnsi="黑体" w:eastAsia="黑体" w:cs="黑体"/>
          <w:b/>
          <w:color w:val="auto"/>
          <w:sz w:val="21"/>
        </w:rPr>
        <w:t>合同价格、计量与支付</w:t>
      </w:r>
    </w:p>
    <w:p>
      <w:pPr>
        <w:numPr>
          <w:ilvl w:val="1"/>
          <w:numId w:val="76"/>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合同价格形式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本工程采用</w:t>
      </w:r>
      <w:r>
        <w:rPr>
          <w:rFonts w:hint="default" w:ascii="宋体" w:hAnsi="宋体" w:eastAsia="宋体" w:cs="宋体"/>
          <w:color w:val="auto"/>
          <w:spacing w:val="53"/>
          <w:sz w:val="21"/>
          <w:u w:val="single" w:color="000000"/>
        </w:rPr>
        <w:t xml:space="preserve"> </w:t>
      </w:r>
      <w:r>
        <w:rPr>
          <w:rFonts w:hint="eastAsia" w:ascii="宋体" w:hAnsi="宋体" w:eastAsia="宋体" w:cs="宋体"/>
          <w:color w:val="auto"/>
          <w:spacing w:val="53"/>
          <w:sz w:val="21"/>
          <w:u w:val="single" w:color="000000"/>
          <w:lang w:val="en-US" w:eastAsia="zh-CN"/>
        </w:rPr>
        <w:t xml:space="preserve"> </w:t>
      </w:r>
      <w:r>
        <w:rPr>
          <w:rFonts w:hint="default" w:ascii="宋体" w:hAnsi="宋体" w:eastAsia="宋体" w:cs="宋体"/>
          <w:color w:val="auto"/>
          <w:spacing w:val="53"/>
          <w:sz w:val="21"/>
          <w:u w:val="single" w:color="000000"/>
        </w:rPr>
        <w:t xml:space="preserve"> </w:t>
      </w:r>
      <w:r>
        <w:rPr>
          <w:rFonts w:hint="default" w:ascii="宋体" w:hAnsi="宋体" w:eastAsia="宋体" w:cs="宋体"/>
          <w:color w:val="auto"/>
          <w:sz w:val="21"/>
        </w:rPr>
        <w:t>合同价格形式。</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）单价合同。</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单价合同采用综合单价方式确定，工程量按实际结算。</w:t>
      </w:r>
    </w:p>
    <w:p>
      <w:pPr>
        <w:autoSpaceDE w:val="0"/>
        <w:autoSpaceDN w:val="0"/>
        <w:snapToGrid w:val="0"/>
        <w:spacing w:before="29" w:after="0" w:line="408" w:lineRule="exact"/>
        <w:ind w:left="0" w:right="87" w:firstLine="42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综合单价包含</w:t>
      </w:r>
      <w:r>
        <w:rPr>
          <w:rFonts w:hint="default" w:ascii="宋体" w:hAnsi="宋体" w:eastAsia="宋体" w:cs="宋体"/>
          <w:color w:val="auto"/>
          <w:sz w:val="21"/>
        </w:rPr>
        <w:t>的风险范围：</w:t>
      </w:r>
      <w:r>
        <w:rPr>
          <w:rFonts w:hint="default" w:ascii="宋体" w:hAnsi="宋体" w:eastAsia="宋体" w:cs="宋体"/>
          <w:color w:val="auto"/>
          <w:sz w:val="21"/>
          <w:u w:val="single" w:color="000000"/>
        </w:rPr>
        <w:t>除工程变更、项目特征不符、政策性调整、《承包人提供主要材料和设备一览表》约定的材料、设备价格变动风险以外因素。</w:t>
      </w:r>
    </w:p>
    <w:p>
      <w:pPr>
        <w:autoSpaceDE w:val="0"/>
        <w:autoSpaceDN w:val="0"/>
        <w:snapToGrid w:val="0"/>
        <w:spacing w:before="117"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风险范围以外合同价格的调整方法：</w:t>
      </w:r>
    </w:p>
    <w:p>
      <w:pPr>
        <w:autoSpaceDE w:val="0"/>
        <w:autoSpaceDN w:val="0"/>
        <w:snapToGrid w:val="0"/>
        <w:spacing w:before="146"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①工程变更：</w:t>
      </w:r>
      <w:r>
        <w:rPr>
          <w:rFonts w:hint="default" w:ascii="宋体" w:hAnsi="宋体" w:eastAsia="宋体" w:cs="宋体"/>
          <w:color w:val="auto"/>
          <w:spacing w:val="26"/>
          <w:sz w:val="21"/>
        </w:rPr>
        <w:t>按</w:t>
      </w:r>
      <w:r>
        <w:rPr>
          <w:rFonts w:hint="default" w:ascii="Times New Roman" w:hAnsi="Times New Roman" w:eastAsia="Times New Roman" w:cs="Times New Roman"/>
          <w:color w:val="auto"/>
          <w:sz w:val="21"/>
        </w:rPr>
        <w:t>10.4.</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变更估价原则的约定调整。</w:t>
      </w:r>
    </w:p>
    <w:p>
      <w:pPr>
        <w:autoSpaceDE w:val="0"/>
        <w:autoSpaceDN w:val="0"/>
        <w:snapToGrid w:val="0"/>
        <w:spacing w:before="146"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②政策性调整：按自治区建设行政主管部门颁布的文件执行。</w:t>
      </w:r>
    </w:p>
    <w:p>
      <w:pPr>
        <w:autoSpaceDE w:val="0"/>
        <w:autoSpaceDN w:val="0"/>
        <w:snapToGrid w:val="0"/>
        <w:spacing w:before="146" w:after="0" w:line="263" w:lineRule="exact"/>
        <w:ind w:left="44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③材料价格风险：</w:t>
      </w:r>
      <w:r>
        <w:rPr>
          <w:rFonts w:hint="default" w:ascii="宋体" w:hAnsi="宋体" w:eastAsia="宋体" w:cs="宋体"/>
          <w:color w:val="auto"/>
          <w:spacing w:val="26"/>
          <w:sz w:val="21"/>
        </w:rPr>
        <w:t>按</w:t>
      </w:r>
      <w:r>
        <w:rPr>
          <w:rFonts w:hint="default" w:ascii="Times New Roman" w:hAnsi="Times New Roman" w:eastAsia="Times New Roman" w:cs="Times New Roman"/>
          <w:color w:val="auto"/>
          <w:sz w:val="21"/>
        </w:rPr>
        <w:t>11.</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的约定调整。</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④其它：</w:t>
      </w:r>
      <w:r>
        <w:rPr>
          <w:rFonts w:hint="default" w:ascii="宋体" w:hAnsi="宋体" w:eastAsia="宋体" w:cs="宋体"/>
          <w:color w:val="auto"/>
          <w:spacing w:val="257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）总价合同。</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总价包含的风险范围：</w:t>
      </w:r>
      <w:r>
        <w:rPr>
          <w:rFonts w:hint="default" w:ascii="宋体" w:hAnsi="宋体" w:eastAsia="宋体" w:cs="宋体"/>
          <w:color w:val="auto"/>
          <w:spacing w:val="194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风险范围以外合同价格的调整方法：</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）其他价格方式：</w:t>
      </w:r>
      <w:r>
        <w:rPr>
          <w:rFonts w:hint="default" w:ascii="宋体" w:hAnsi="宋体" w:eastAsia="宋体" w:cs="宋体"/>
          <w:color w:val="auto"/>
          <w:spacing w:val="1995"/>
          <w:sz w:val="21"/>
          <w:u w:val="single" w:color="000000"/>
        </w:rPr>
        <w:t xml:space="preserve"> </w:t>
      </w:r>
      <w:r>
        <w:rPr>
          <w:rFonts w:hint="default" w:ascii="宋体" w:hAnsi="宋体" w:eastAsia="宋体" w:cs="宋体"/>
          <w:color w:val="auto"/>
          <w:sz w:val="21"/>
        </w:rPr>
        <w:t>。</w:t>
      </w:r>
    </w:p>
    <w:p>
      <w:pPr>
        <w:numPr>
          <w:ilvl w:val="1"/>
          <w:numId w:val="76"/>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预付款</w:t>
      </w:r>
    </w:p>
    <w:p>
      <w:pPr>
        <w:numPr>
          <w:ilvl w:val="2"/>
          <w:numId w:val="76"/>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预付款的支付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本工程无预付款</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预付款支付期限：</w:t>
      </w:r>
      <w:r>
        <w:rPr>
          <w:rFonts w:hint="default" w:ascii="宋体" w:hAnsi="宋体" w:eastAsia="宋体" w:cs="宋体"/>
          <w:color w:val="auto"/>
          <w:sz w:val="21"/>
          <w:u w:val="single" w:color="000000"/>
        </w:rPr>
        <w:t xml:space="preserve"> </w:t>
      </w:r>
      <w:r>
        <w:rPr>
          <w:rFonts w:hint="default" w:ascii="Times New Roman" w:hAnsi="Times New Roman" w:eastAsia="Times New Roman" w:cs="Times New Roman"/>
          <w:color w:val="auto"/>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预付款扣回的方式：</w:t>
      </w:r>
      <w:r>
        <w:rPr>
          <w:rFonts w:hint="default" w:ascii="宋体" w:hAnsi="宋体" w:eastAsia="宋体" w:cs="宋体"/>
          <w:color w:val="auto"/>
          <w:spacing w:val="53"/>
          <w:sz w:val="21"/>
          <w:u w:val="single" w:color="000000"/>
        </w:rPr>
        <w:t xml:space="preserve"> </w:t>
      </w:r>
      <w:r>
        <w:rPr>
          <w:rFonts w:hint="default" w:ascii="Times New Roman" w:hAnsi="Times New Roman" w:eastAsia="Times New Roman" w:cs="Times New Roman"/>
          <w:color w:val="auto"/>
          <w:sz w:val="21"/>
          <w:u w:val="single" w:color="000000"/>
        </w:rPr>
        <w:t>/</w:t>
      </w:r>
      <w:r>
        <w:rPr>
          <w:rFonts w:hint="default" w:ascii="Times New Roman" w:hAnsi="Times New Roman" w:eastAsia="Times New Roman" w:cs="Times New Roman"/>
          <w:color w:val="auto"/>
          <w:spacing w:val="105"/>
          <w:sz w:val="21"/>
          <w:u w:val="single" w:color="000000"/>
        </w:rPr>
        <w:t xml:space="preserve"> </w:t>
      </w:r>
      <w:r>
        <w:rPr>
          <w:rFonts w:hint="default" w:ascii="宋体" w:hAnsi="宋体" w:eastAsia="宋体" w:cs="宋体"/>
          <w:color w:val="auto"/>
          <w:sz w:val="21"/>
        </w:rPr>
        <w:t>。</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预付款担保</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承包人提交预付款担保的期限：</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预付款担保的形式为：</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预付款担保格式见合同附</w:t>
      </w:r>
      <w:r>
        <w:rPr>
          <w:rFonts w:hint="default" w:ascii="宋体" w:hAnsi="宋体" w:eastAsia="宋体" w:cs="宋体"/>
          <w:color w:val="auto"/>
          <w:spacing w:val="26"/>
          <w:sz w:val="21"/>
        </w:rPr>
        <w:t>件</w:t>
      </w:r>
      <w:r>
        <w:rPr>
          <w:rFonts w:hint="default" w:ascii="宋体" w:hAnsi="宋体" w:eastAsia="宋体" w:cs="宋体"/>
          <w:color w:val="auto"/>
          <w:sz w:val="21"/>
        </w:rPr>
        <w:t>7。</w:t>
      </w:r>
    </w:p>
    <w:p>
      <w:pPr>
        <w:numPr>
          <w:ilvl w:val="1"/>
          <w:numId w:val="76"/>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计量</w:t>
      </w:r>
    </w:p>
    <w:p>
      <w:pPr>
        <w:numPr>
          <w:ilvl w:val="2"/>
          <w:numId w:val="76"/>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计量原则</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工程量计算规则：</w:t>
      </w:r>
      <w:r>
        <w:rPr>
          <w:rFonts w:hint="default" w:ascii="宋体" w:hAnsi="宋体" w:eastAsia="宋体" w:cs="宋体"/>
          <w:color w:val="auto"/>
          <w:sz w:val="21"/>
          <w:u w:val="single" w:color="000000"/>
        </w:rPr>
        <w:t>工程的计量均以《建设工程工程量清单计价规范》（</w:t>
      </w:r>
      <w:r>
        <w:rPr>
          <w:rFonts w:hint="default" w:ascii="Times New Roman" w:hAnsi="Times New Roman" w:eastAsia="Times New Roman" w:cs="Times New Roman"/>
          <w:color w:val="auto"/>
          <w:sz w:val="21"/>
          <w:u w:val="single" w:color="000000"/>
        </w:rPr>
        <w:t>GB50500</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2013</w:t>
      </w:r>
      <w:r>
        <w:rPr>
          <w:rFonts w:hint="default" w:ascii="宋体" w:hAnsi="宋体" w:eastAsia="宋体" w:cs="宋体"/>
          <w:color w:val="auto"/>
          <w:sz w:val="21"/>
          <w:u w:val="single" w:color="000000"/>
        </w:rPr>
        <w:t>）和及其广西</w:t>
      </w:r>
    </w:p>
    <w:p>
      <w:pPr>
        <w:autoSpaceDE w:val="0"/>
        <w:autoSpaceDN w:val="0"/>
        <w:snapToGrid w:val="0"/>
        <w:spacing w:before="29" w:after="0" w:line="409" w:lineRule="exact"/>
        <w:ind w:left="0" w:right="102" w:firstLine="0"/>
        <w:jc w:val="both"/>
        <w:textAlignment w:val="auto"/>
        <w:rPr>
          <w:rFonts w:hint="default" w:ascii="宋体" w:hAnsi="宋体" w:eastAsia="宋体" w:cs="宋体"/>
          <w:color w:val="auto"/>
          <w:sz w:val="21"/>
          <w:u w:val="single" w:color="000000"/>
        </w:rPr>
      </w:pPr>
      <w:r>
        <w:rPr>
          <w:rFonts w:hint="default" w:ascii="宋体" w:hAnsi="宋体" w:eastAsia="宋体" w:cs="宋体"/>
          <w:color w:val="auto"/>
          <w:spacing w:val="-2"/>
          <w:sz w:val="21"/>
          <w:u w:val="single" w:color="000000"/>
        </w:rPr>
        <w:t>壮族自治区实施细则、《建设工</w:t>
      </w:r>
      <w:r>
        <w:rPr>
          <w:rFonts w:hint="default" w:ascii="宋体" w:hAnsi="宋体" w:eastAsia="宋体" w:cs="宋体"/>
          <w:color w:val="auto"/>
          <w:spacing w:val="-1"/>
          <w:sz w:val="21"/>
          <w:u w:val="single" w:color="000000"/>
        </w:rPr>
        <w:t>程工程量清单计算规范》（</w:t>
      </w:r>
      <w:r>
        <w:rPr>
          <w:rFonts w:hint="default" w:ascii="Times New Roman" w:hAnsi="Times New Roman" w:eastAsia="Times New Roman" w:cs="Times New Roman"/>
          <w:color w:val="auto"/>
          <w:spacing w:val="-1"/>
          <w:sz w:val="21"/>
          <w:u w:val="single" w:color="000000"/>
        </w:rPr>
        <w:t>GB50854~50862</w:t>
      </w:r>
      <w:r>
        <w:rPr>
          <w:rFonts w:hint="default" w:ascii="宋体" w:hAnsi="宋体" w:eastAsia="宋体" w:cs="宋体"/>
          <w:color w:val="auto"/>
          <w:spacing w:val="-1"/>
          <w:sz w:val="21"/>
          <w:u w:val="single" w:color="000000"/>
        </w:rPr>
        <w:t>－</w:t>
      </w:r>
      <w:r>
        <w:rPr>
          <w:rFonts w:hint="default" w:ascii="Times New Roman" w:hAnsi="Times New Roman" w:eastAsia="Times New Roman" w:cs="Times New Roman"/>
          <w:color w:val="auto"/>
          <w:spacing w:val="-1"/>
          <w:sz w:val="21"/>
          <w:u w:val="single" w:color="000000"/>
        </w:rPr>
        <w:t>2013</w:t>
      </w:r>
      <w:r>
        <w:rPr>
          <w:rFonts w:hint="default" w:ascii="宋体" w:hAnsi="宋体" w:eastAsia="宋体" w:cs="宋体"/>
          <w:color w:val="auto"/>
          <w:spacing w:val="-1"/>
          <w:sz w:val="21"/>
          <w:u w:val="single" w:color="000000"/>
        </w:rPr>
        <w:t>）及其广西实施细则、</w:t>
      </w:r>
      <w:r>
        <w:rPr>
          <w:rFonts w:hint="default" w:ascii="宋体" w:hAnsi="宋体" w:eastAsia="宋体" w:cs="宋体"/>
          <w:color w:val="auto"/>
          <w:sz w:val="21"/>
        </w:rPr>
        <w:t xml:space="preserve"> </w:t>
      </w:r>
      <w:r>
        <w:rPr>
          <w:rFonts w:hint="default" w:ascii="宋体" w:hAnsi="宋体" w:eastAsia="宋体" w:cs="宋体"/>
          <w:color w:val="auto"/>
          <w:sz w:val="21"/>
          <w:u w:val="single" w:color="000000"/>
        </w:rPr>
        <w:t>本工程补充项目清单为准。</w:t>
      </w:r>
    </w:p>
    <w:p>
      <w:pPr>
        <w:numPr>
          <w:ilvl w:val="2"/>
          <w:numId w:val="76"/>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计量周期</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关于计量周期的约定：</w:t>
      </w:r>
      <w:r>
        <w:rPr>
          <w:rFonts w:hint="default" w:ascii="宋体" w:hAnsi="宋体" w:eastAsia="宋体" w:cs="宋体"/>
          <w:color w:val="auto"/>
          <w:sz w:val="21"/>
          <w:u w:val="single" w:color="000000"/>
        </w:rPr>
        <w:t>每</w:t>
      </w:r>
      <w:r>
        <w:rPr>
          <w:rFonts w:hint="default" w:ascii="宋体" w:hAnsi="宋体" w:eastAsia="宋体" w:cs="宋体"/>
          <w:color w:val="auto"/>
          <w:spacing w:val="26"/>
          <w:sz w:val="21"/>
          <w:u w:val="single" w:color="000000"/>
        </w:rPr>
        <w:t>月</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日前</w:t>
      </w:r>
      <w:r>
        <w:rPr>
          <w:rFonts w:hint="default" w:ascii="宋体" w:hAnsi="宋体" w:eastAsia="宋体" w:cs="宋体"/>
          <w:color w:val="auto"/>
          <w:sz w:val="21"/>
        </w:rPr>
        <w:t>。</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单价合同的计量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关于单价合同计量的约定：</w:t>
      </w:r>
    </w:p>
    <w:p>
      <w:pPr>
        <w:numPr>
          <w:ilvl w:val="0"/>
          <w:numId w:val="77"/>
        </w:numPr>
        <w:autoSpaceDE w:val="0"/>
        <w:autoSpaceDN w:val="0"/>
        <w:snapToGrid w:val="0"/>
        <w:spacing w:before="146" w:after="0" w:line="240" w:lineRule="auto"/>
        <w:ind w:left="927" w:right="0" w:hanging="48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工程量清单所</w:t>
      </w:r>
      <w:r>
        <w:rPr>
          <w:rFonts w:hint="default" w:ascii="宋体" w:hAnsi="宋体" w:eastAsia="宋体" w:cs="宋体"/>
          <w:color w:val="auto"/>
          <w:sz w:val="21"/>
        </w:rPr>
        <w:t>列的工程量，不能作为承包人按合同履行其责任依据，实际施工中发生的工程量增</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加或减少并不影响承包人履行合同的责任，工程结算以完成的实际工程量为准。</w:t>
      </w:r>
    </w:p>
    <w:p>
      <w:pPr>
        <w:numPr>
          <w:ilvl w:val="0"/>
          <w:numId w:val="77"/>
        </w:numPr>
        <w:autoSpaceDE w:val="0"/>
        <w:autoSpaceDN w:val="0"/>
        <w:snapToGrid w:val="0"/>
        <w:spacing w:before="146" w:after="0" w:line="240" w:lineRule="auto"/>
        <w:ind w:left="927" w:right="0" w:hanging="486"/>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除另有规定外</w:t>
      </w:r>
      <w:r>
        <w:rPr>
          <w:rFonts w:hint="default" w:ascii="宋体" w:hAnsi="宋体" w:eastAsia="宋体" w:cs="宋体"/>
          <w:color w:val="auto"/>
          <w:sz w:val="21"/>
        </w:rPr>
        <w:t>，工程师应按照合同通过计量来核实确定已完成的工程量和价款，承包人应得到该</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价款扣除保留金后的金额。当工程师要对已完工的工程量进行计量时，应适时地通知承包人参加。</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总价合同的计量</w:t>
      </w:r>
    </w:p>
    <w:p>
      <w:pPr>
        <w:autoSpaceDE w:val="0"/>
        <w:autoSpaceDN w:val="0"/>
        <w:snapToGrid w:val="0"/>
        <w:spacing w:before="0" w:after="0" w:line="408" w:lineRule="exact"/>
        <w:ind w:right="70" w:firstLine="412" w:firstLineChars="20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关于总价合同计量的约定：除工程</w:t>
      </w:r>
      <w:r>
        <w:rPr>
          <w:rFonts w:hint="default" w:ascii="宋体" w:hAnsi="宋体" w:eastAsia="宋体" w:cs="宋体"/>
          <w:color w:val="auto"/>
          <w:spacing w:val="-1"/>
          <w:sz w:val="21"/>
        </w:rPr>
        <w:t>变更外，原图纸范围内的工程量不得按实计量。进度款按支付分解</w:t>
      </w:r>
      <w:r>
        <w:rPr>
          <w:rFonts w:hint="default" w:ascii="宋体" w:hAnsi="宋体" w:eastAsia="宋体" w:cs="宋体"/>
          <w:color w:val="auto"/>
          <w:sz w:val="21"/>
        </w:rPr>
        <w:t xml:space="preserve"> 表支付，按通用条款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12.3.</w:t>
      </w:r>
      <w:r>
        <w:rPr>
          <w:rFonts w:hint="default" w:ascii="Times New Roman" w:hAnsi="Times New Roman" w:eastAsia="Times New Roman" w:cs="Times New Roman"/>
          <w:color w:val="auto"/>
          <w:spacing w:val="53"/>
          <w:sz w:val="21"/>
        </w:rPr>
        <w:t>4</w:t>
      </w:r>
      <w:r>
        <w:rPr>
          <w:rFonts w:hint="default" w:ascii="宋体" w:hAnsi="宋体" w:eastAsia="宋体" w:cs="宋体"/>
          <w:color w:val="auto"/>
          <w:sz w:val="21"/>
        </w:rPr>
        <w:t>项〔总价合同的计量〕约定进行计量，但合同价款按照支付分解表进行支</w:t>
      </w:r>
    </w:p>
    <w:p>
      <w:pPr>
        <w:autoSpaceDE w:val="0"/>
        <w:autoSpaceDN w:val="0"/>
        <w:snapToGrid w:val="0"/>
        <w:spacing w:before="11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付。</w:t>
      </w:r>
    </w:p>
    <w:p>
      <w:pPr>
        <w:numPr>
          <w:ilvl w:val="2"/>
          <w:numId w:val="78"/>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其他价格形式合同的计量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其他价格形式的计量方式和程序：</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numPr>
          <w:ilvl w:val="1"/>
          <w:numId w:val="76"/>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工程进度款支付</w:t>
      </w:r>
    </w:p>
    <w:p>
      <w:pPr>
        <w:numPr>
          <w:ilvl w:val="2"/>
          <w:numId w:val="76"/>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highlight w:val="none"/>
        </w:rPr>
      </w:pPr>
      <w:r>
        <w:rPr>
          <w:rFonts w:hint="default" w:ascii="宋体" w:hAnsi="宋体" w:eastAsia="宋体" w:cs="宋体"/>
          <w:color w:val="auto"/>
          <w:sz w:val="21"/>
          <w:highlight w:val="none"/>
        </w:rPr>
        <w:t>付款周期</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z w:val="21"/>
          <w:highlight w:val="none"/>
        </w:rPr>
        <w:t>关于付款周期的约定：</w:t>
      </w:r>
      <w:r>
        <w:rPr>
          <w:rFonts w:hint="default" w:ascii="宋体" w:hAnsi="宋体" w:eastAsia="宋体" w:cs="宋体"/>
          <w:color w:val="auto"/>
          <w:sz w:val="21"/>
          <w:highlight w:val="none"/>
          <w:u w:val="single" w:color="000000"/>
        </w:rPr>
        <w:t>工程款原则上按</w:t>
      </w:r>
      <w:r>
        <w:rPr>
          <w:rFonts w:hint="eastAsia" w:ascii="宋体" w:hAnsi="宋体" w:eastAsia="宋体" w:cs="宋体"/>
          <w:color w:val="auto"/>
          <w:sz w:val="21"/>
          <w:highlight w:val="none"/>
          <w:u w:val="single" w:color="000000"/>
          <w:lang w:eastAsia="zh-CN"/>
        </w:rPr>
        <w:t>进度</w:t>
      </w:r>
      <w:r>
        <w:rPr>
          <w:rFonts w:hint="default" w:ascii="宋体" w:hAnsi="宋体" w:eastAsia="宋体" w:cs="宋体"/>
          <w:color w:val="auto"/>
          <w:sz w:val="21"/>
          <w:highlight w:val="none"/>
          <w:u w:val="single" w:color="000000"/>
        </w:rPr>
        <w:t>支付，合同内进度款支付限额为已完成工程量</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z w:val="21"/>
          <w:highlight w:val="none"/>
          <w:u w:val="single" w:color="000000"/>
        </w:rPr>
        <w:t>80%</w:t>
      </w:r>
      <w:r>
        <w:rPr>
          <w:rFonts w:hint="default" w:ascii="宋体" w:hAnsi="宋体" w:eastAsia="宋体" w:cs="宋体"/>
          <w:color w:val="auto"/>
          <w:sz w:val="21"/>
          <w:highlight w:val="none"/>
          <w:u w:val="single" w:color="000000"/>
        </w:rPr>
        <w:t>，工程</w:t>
      </w:r>
    </w:p>
    <w:p>
      <w:pPr>
        <w:autoSpaceDE w:val="0"/>
        <w:autoSpaceDN w:val="0"/>
        <w:snapToGrid w:val="0"/>
        <w:spacing w:before="29" w:after="0" w:line="408" w:lineRule="exact"/>
        <w:ind w:left="0" w:right="0" w:firstLine="0"/>
        <w:jc w:val="left"/>
        <w:textAlignment w:val="auto"/>
        <w:rPr>
          <w:rFonts w:hint="default" w:ascii="宋体" w:hAnsi="宋体" w:eastAsia="宋体" w:cs="宋体"/>
          <w:color w:val="auto"/>
          <w:sz w:val="21"/>
          <w:highlight w:val="none"/>
          <w:u w:val="single" w:color="000000"/>
        </w:rPr>
      </w:pPr>
      <w:r>
        <w:rPr>
          <w:rFonts w:hint="default" w:ascii="宋体" w:hAnsi="宋体" w:eastAsia="宋体" w:cs="宋体"/>
          <w:color w:val="auto"/>
          <w:spacing w:val="-1"/>
          <w:sz w:val="21"/>
          <w:highlight w:val="none"/>
          <w:u w:val="single" w:color="000000"/>
        </w:rPr>
        <w:t>变更部分进度</w:t>
      </w:r>
      <w:r>
        <w:rPr>
          <w:rFonts w:hint="default" w:ascii="宋体" w:hAnsi="宋体" w:eastAsia="宋体" w:cs="宋体"/>
          <w:color w:val="auto"/>
          <w:sz w:val="21"/>
          <w:highlight w:val="none"/>
          <w:u w:val="single" w:color="000000"/>
        </w:rPr>
        <w:t xml:space="preserve">款支付限额为已完成工程量的 </w:t>
      </w:r>
      <w:r>
        <w:rPr>
          <w:rFonts w:hint="default" w:ascii="Times New Roman" w:hAnsi="Times New Roman" w:eastAsia="Times New Roman" w:cs="Times New Roman"/>
          <w:color w:val="auto"/>
          <w:sz w:val="21"/>
          <w:highlight w:val="none"/>
          <w:u w:val="single" w:color="000000"/>
        </w:rPr>
        <w:t>70%</w:t>
      </w:r>
      <w:r>
        <w:rPr>
          <w:rFonts w:hint="default" w:ascii="宋体" w:hAnsi="宋体" w:eastAsia="宋体" w:cs="宋体"/>
          <w:color w:val="auto"/>
          <w:sz w:val="21"/>
          <w:highlight w:val="none"/>
          <w:u w:val="single" w:color="000000"/>
        </w:rPr>
        <w:t>；工程完工验收达到质量要求，结算经项目所在地审计部门、财政部门审定后，工程款支付至结算总价</w:t>
      </w:r>
      <w:r>
        <w:rPr>
          <w:rFonts w:hint="default" w:ascii="宋体" w:hAnsi="宋体" w:eastAsia="宋体" w:cs="宋体"/>
          <w:color w:val="auto"/>
          <w:spacing w:val="26"/>
          <w:sz w:val="21"/>
          <w:highlight w:val="none"/>
          <w:u w:val="single" w:color="000000"/>
        </w:rPr>
        <w:t>的</w:t>
      </w:r>
      <w:r>
        <w:rPr>
          <w:rFonts w:hint="default" w:ascii="Times New Roman" w:hAnsi="Times New Roman" w:eastAsia="Times New Roman" w:cs="Times New Roman"/>
          <w:color w:val="auto"/>
          <w:sz w:val="21"/>
          <w:highlight w:val="none"/>
          <w:u w:val="single" w:color="000000"/>
        </w:rPr>
        <w:t>9</w:t>
      </w:r>
      <w:r>
        <w:rPr>
          <w:rFonts w:hint="eastAsia" w:eastAsia="宋体" w:cs="Times New Roman"/>
          <w:color w:val="auto"/>
          <w:sz w:val="21"/>
          <w:highlight w:val="none"/>
          <w:u w:val="single" w:color="000000"/>
          <w:lang w:val="en-US" w:eastAsia="zh-CN"/>
        </w:rPr>
        <w:t>7</w:t>
      </w: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；发包人按工程价款结算总额</w:t>
      </w:r>
      <w:r>
        <w:rPr>
          <w:rFonts w:hint="default" w:ascii="宋体" w:hAnsi="宋体" w:eastAsia="宋体" w:cs="宋体"/>
          <w:color w:val="auto"/>
          <w:spacing w:val="26"/>
          <w:sz w:val="21"/>
          <w:highlight w:val="none"/>
          <w:u w:val="single" w:color="000000"/>
        </w:rPr>
        <w:t>的</w:t>
      </w:r>
      <w:r>
        <w:rPr>
          <w:rFonts w:hint="eastAsia" w:eastAsia="宋体" w:cs="Times New Roman"/>
          <w:color w:val="auto"/>
          <w:sz w:val="21"/>
          <w:highlight w:val="none"/>
          <w:u w:val="single" w:color="000000"/>
          <w:lang w:val="en-US" w:eastAsia="zh-CN"/>
        </w:rPr>
        <w:t>3</w:t>
      </w:r>
      <w:r>
        <w:rPr>
          <w:rFonts w:hint="default" w:ascii="Times New Roman" w:hAnsi="Times New Roman" w:eastAsia="Times New Roman" w:cs="Times New Roman"/>
          <w:color w:val="auto"/>
          <w:sz w:val="21"/>
          <w:highlight w:val="none"/>
          <w:u w:val="single" w:color="000000"/>
        </w:rPr>
        <w:t>%</w:t>
      </w:r>
      <w:r>
        <w:rPr>
          <w:rFonts w:hint="default" w:ascii="宋体" w:hAnsi="宋体" w:eastAsia="宋体" w:cs="宋体"/>
          <w:color w:val="auto"/>
          <w:sz w:val="21"/>
          <w:highlight w:val="none"/>
          <w:u w:val="single" w:color="000000"/>
        </w:rPr>
        <w:t>预留工程质量保修金，待工程缺陷责任期满后返还。</w:t>
      </w:r>
    </w:p>
    <w:p>
      <w:pPr>
        <w:numPr>
          <w:ilvl w:val="2"/>
          <w:numId w:val="76"/>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进度付款申请单的编制</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关于进度付款申请单编制的约定：</w:t>
      </w:r>
      <w:r>
        <w:rPr>
          <w:rFonts w:hint="default" w:ascii="宋体" w:hAnsi="宋体" w:eastAsia="宋体" w:cs="宋体"/>
          <w:color w:val="auto"/>
          <w:spacing w:val="1155"/>
          <w:sz w:val="21"/>
          <w:u w:val="single" w:color="000000"/>
        </w:rPr>
        <w:t xml:space="preserve"> </w:t>
      </w:r>
      <w:r>
        <w:rPr>
          <w:rFonts w:hint="default" w:ascii="宋体" w:hAnsi="宋体" w:eastAsia="宋体" w:cs="宋体"/>
          <w:color w:val="auto"/>
          <w:sz w:val="21"/>
        </w:rPr>
        <w:t>。</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进度付款申请单的提交</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）单价合同进度付款申请单提交的约定：</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）总价合同进度付款申请单提交的约定：</w:t>
      </w:r>
      <w:r>
        <w:rPr>
          <w:rFonts w:hint="default" w:ascii="宋体" w:hAnsi="宋体" w:eastAsia="宋体" w:cs="宋体"/>
          <w:color w:val="auto"/>
          <w:spacing w:val="735"/>
          <w:sz w:val="21"/>
          <w:u w:val="single" w:color="000000"/>
        </w:rPr>
        <w:t xml:space="preserve"> </w:t>
      </w:r>
      <w:r>
        <w:rPr>
          <w:rFonts w:hint="eastAsia" w:ascii="宋体" w:hAnsi="宋体" w:eastAsia="宋体" w:cs="宋体"/>
          <w:color w:val="auto"/>
          <w:spacing w:val="735"/>
          <w:sz w:val="21"/>
          <w:u w:val="single" w:color="000000"/>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）其他价格形式合同进度付款申请单提交的约定：</w:t>
      </w:r>
      <w:r>
        <w:rPr>
          <w:rFonts w:hint="default" w:ascii="宋体" w:hAnsi="宋体" w:eastAsia="宋体" w:cs="宋体"/>
          <w:color w:val="auto"/>
          <w:spacing w:val="1470"/>
          <w:sz w:val="21"/>
          <w:u w:val="single" w:color="000000"/>
        </w:rPr>
        <w:t xml:space="preserve"> </w:t>
      </w:r>
      <w:r>
        <w:rPr>
          <w:rFonts w:hint="default" w:ascii="宋体" w:hAnsi="宋体" w:eastAsia="宋体" w:cs="宋体"/>
          <w:color w:val="auto"/>
          <w:sz w:val="21"/>
        </w:rPr>
        <w:t>。</w:t>
      </w:r>
    </w:p>
    <w:p>
      <w:pPr>
        <w:numPr>
          <w:ilvl w:val="2"/>
          <w:numId w:val="7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进度款审核和支付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）监理人审查并报送发包人的期限：</w:t>
      </w:r>
      <w:r>
        <w:rPr>
          <w:rFonts w:hint="default" w:ascii="宋体" w:hAnsi="宋体" w:eastAsia="宋体" w:cs="宋体"/>
          <w:color w:val="auto"/>
          <w:spacing w:val="89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发包人完成审批并签发进度款支付证书的期限：</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）发包人支付进度款的期限：</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发包人逾期支付进度款的违约金的计算方式：</w:t>
      </w:r>
      <w:r>
        <w:rPr>
          <w:rFonts w:hint="default" w:ascii="宋体" w:hAnsi="宋体" w:eastAsia="宋体" w:cs="宋体"/>
          <w:color w:val="auto"/>
          <w:spacing w:val="178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进度款支付方式：</w:t>
      </w:r>
      <w:r>
        <w:rPr>
          <w:rFonts w:hint="default" w:ascii="宋体" w:hAnsi="宋体" w:eastAsia="宋体" w:cs="宋体"/>
          <w:color w:val="auto"/>
          <w:sz w:val="21"/>
          <w:u w:val="single" w:color="000000"/>
        </w:rPr>
        <w:t>银行转账</w:t>
      </w:r>
      <w:r>
        <w:rPr>
          <w:rFonts w:hint="default" w:ascii="宋体" w:hAnsi="宋体" w:eastAsia="宋体" w:cs="宋体"/>
          <w:color w:val="auto"/>
          <w:sz w:val="21"/>
        </w:rPr>
        <w:t>。</w:t>
      </w:r>
    </w:p>
    <w:p>
      <w:pPr>
        <w:numPr>
          <w:ilvl w:val="2"/>
          <w:numId w:val="79"/>
        </w:numPr>
        <w:autoSpaceDE w:val="0"/>
        <w:autoSpaceDN w:val="0"/>
        <w:snapToGrid w:val="0"/>
        <w:spacing w:before="146" w:after="0" w:line="240" w:lineRule="auto"/>
        <w:ind w:left="1155"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支付分解表的编制</w:t>
      </w:r>
    </w:p>
    <w:p>
      <w:pPr>
        <w:numPr>
          <w:ilvl w:val="0"/>
          <w:numId w:val="48"/>
        </w:numPr>
        <w:tabs>
          <w:tab w:val="left" w:pos="788"/>
        </w:tabs>
        <w:autoSpaceDE w:val="0"/>
        <w:autoSpaceDN w:val="0"/>
        <w:snapToGrid w:val="0"/>
        <w:spacing w:before="153" w:after="0" w:line="240" w:lineRule="auto"/>
        <w:ind w:left="507" w:right="0" w:firstLine="175"/>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总价合同支付分解表的编制与审批：</w:t>
      </w:r>
      <w:r>
        <w:rPr>
          <w:rFonts w:hint="default" w:ascii="宋体" w:hAnsi="宋体" w:eastAsia="宋体" w:cs="宋体"/>
          <w:color w:val="auto"/>
          <w:spacing w:val="2153"/>
          <w:sz w:val="21"/>
          <w:u w:val="single" w:color="000000"/>
        </w:rPr>
        <w:t xml:space="preserve"> </w:t>
      </w:r>
      <w:r>
        <w:rPr>
          <w:rFonts w:hint="default" w:ascii="宋体" w:hAnsi="宋体" w:eastAsia="宋体" w:cs="宋体"/>
          <w:color w:val="auto"/>
          <w:sz w:val="21"/>
        </w:rPr>
        <w:t>。</w:t>
      </w:r>
    </w:p>
    <w:p>
      <w:pPr>
        <w:numPr>
          <w:ilvl w:val="0"/>
          <w:numId w:val="48"/>
        </w:numPr>
        <w:tabs>
          <w:tab w:val="left" w:pos="788"/>
        </w:tabs>
        <w:autoSpaceDE w:val="0"/>
        <w:autoSpaceDN w:val="0"/>
        <w:snapToGrid w:val="0"/>
        <w:spacing w:before="36" w:after="0" w:line="409" w:lineRule="exact"/>
        <w:ind w:left="0" w:right="332" w:firstLine="683"/>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单价合同的总</w:t>
      </w:r>
      <w:r>
        <w:rPr>
          <w:rFonts w:hint="default" w:ascii="宋体" w:hAnsi="宋体" w:eastAsia="宋体" w:cs="宋体"/>
          <w:color w:val="auto"/>
          <w:sz w:val="21"/>
        </w:rPr>
        <w:t>价项目支付分解表的编制与审批：总价项目不采用支付分解表的方式计算，而按《建设工程工程量清单计价规范（</w:t>
      </w:r>
      <w:r>
        <w:rPr>
          <w:rFonts w:hint="default" w:ascii="Times New Roman" w:hAnsi="Times New Roman" w:eastAsia="Times New Roman" w:cs="Times New Roman"/>
          <w:color w:val="auto"/>
          <w:sz w:val="21"/>
        </w:rPr>
        <w:t>GB50500-2013</w:t>
      </w:r>
      <w:r>
        <w:rPr>
          <w:rFonts w:hint="default" w:ascii="宋体" w:hAnsi="宋体" w:eastAsia="宋体" w:cs="宋体"/>
          <w:color w:val="auto"/>
          <w:sz w:val="21"/>
        </w:rPr>
        <w:t>）广西壮族自治区实施细则》的规定执行。</w:t>
      </w:r>
    </w:p>
    <w:p>
      <w:pPr>
        <w:numPr>
          <w:ilvl w:val="0"/>
          <w:numId w:val="78"/>
        </w:numPr>
        <w:autoSpaceDE w:val="0"/>
        <w:autoSpaceDN w:val="0"/>
        <w:snapToGrid w:val="0"/>
        <w:spacing w:before="177"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验收和工程试车</w:t>
      </w:r>
    </w:p>
    <w:p>
      <w:pPr>
        <w:numPr>
          <w:ilvl w:val="1"/>
          <w:numId w:val="80"/>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分部分项工程验收</w:t>
      </w:r>
    </w:p>
    <w:p>
      <w:pPr>
        <w:numPr>
          <w:ilvl w:val="2"/>
          <w:numId w:val="80"/>
        </w:numPr>
        <w:autoSpaceDE w:val="0"/>
        <w:autoSpaceDN w:val="0"/>
        <w:snapToGrid w:val="0"/>
        <w:spacing w:before="153"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监理人不能按时进行验收时，应提前</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rPr>
        <w:t>小时提交书面延期要求。</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关于延期最长不得超过：</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小时。</w:t>
      </w:r>
    </w:p>
    <w:p>
      <w:pPr>
        <w:numPr>
          <w:ilvl w:val="1"/>
          <w:numId w:val="80"/>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竣工验收</w:t>
      </w:r>
    </w:p>
    <w:p>
      <w:pPr>
        <w:numPr>
          <w:ilvl w:val="2"/>
          <w:numId w:val="81"/>
        </w:numPr>
        <w:autoSpaceDE w:val="0"/>
        <w:autoSpaceDN w:val="0"/>
        <w:snapToGrid w:val="0"/>
        <w:spacing w:before="153"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竣工验收条件</w:t>
      </w:r>
    </w:p>
    <w:p>
      <w:pPr>
        <w:autoSpaceDE w:val="0"/>
        <w:autoSpaceDN w:val="0"/>
        <w:snapToGrid w:val="0"/>
        <w:spacing w:before="0" w:after="0" w:line="263" w:lineRule="exact"/>
        <w:ind w:right="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）承包人负责整理和提交的竣工验收资料应当符合工程所在地建设行政主管部门和</w:t>
      </w:r>
      <w:r>
        <w:rPr>
          <w:rFonts w:hint="default" w:ascii="Times New Roman" w:hAnsi="Times New Roman" w:eastAsia="Times New Roman" w:cs="Times New Roman"/>
          <w:color w:val="auto"/>
          <w:sz w:val="21"/>
        </w:rPr>
        <w:t>(</w:t>
      </w:r>
      <w:r>
        <w:rPr>
          <w:rFonts w:hint="default" w:ascii="宋体" w:hAnsi="宋体" w:eastAsia="宋体" w:cs="宋体"/>
          <w:color w:val="auto"/>
          <w:sz w:val="21"/>
        </w:rPr>
        <w:t>或</w:t>
      </w:r>
      <w:r>
        <w:rPr>
          <w:rFonts w:hint="default" w:ascii="Times New Roman" w:hAnsi="Times New Roman" w:eastAsia="Times New Roman" w:cs="Times New Roman"/>
          <w:color w:val="auto"/>
          <w:sz w:val="21"/>
        </w:rPr>
        <w:t>)</w:t>
      </w:r>
      <w:r>
        <w:rPr>
          <w:rFonts w:hint="default" w:ascii="宋体" w:hAnsi="宋体" w:eastAsia="宋体" w:cs="宋体"/>
          <w:color w:val="auto"/>
          <w:sz w:val="21"/>
        </w:rPr>
        <w:t>城市建设档</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案管理机构有关施工资料的要求，具体内容包括：</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竣工验收资料的份数：</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w:t>
      </w:r>
    </w:p>
    <w:p>
      <w:pPr>
        <w:autoSpaceDE w:val="0"/>
        <w:autoSpaceDN w:val="0"/>
        <w:snapToGrid w:val="0"/>
        <w:spacing w:before="29" w:after="0" w:line="408" w:lineRule="exact"/>
        <w:ind w:left="0" w:right="0" w:firstLine="42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承包人提供竣</w:t>
      </w:r>
      <w:r>
        <w:rPr>
          <w:rFonts w:hint="default" w:ascii="宋体" w:hAnsi="宋体" w:eastAsia="宋体" w:cs="宋体"/>
          <w:color w:val="auto"/>
          <w:sz w:val="21"/>
        </w:rPr>
        <w:t>工图的约定：</w:t>
      </w:r>
      <w:r>
        <w:rPr>
          <w:rFonts w:hint="default" w:ascii="宋体" w:hAnsi="宋体" w:eastAsia="宋体" w:cs="宋体"/>
          <w:color w:val="auto"/>
          <w:sz w:val="21"/>
          <w:u w:val="single" w:color="000000"/>
        </w:rPr>
        <w:t>竣工验收正式通过</w:t>
      </w:r>
      <w:r>
        <w:rPr>
          <w:rFonts w:hint="default" w:ascii="宋体" w:hAnsi="宋体" w:eastAsia="宋体" w:cs="宋体"/>
          <w:color w:val="auto"/>
          <w:spacing w:val="26"/>
          <w:sz w:val="21"/>
          <w:u w:val="single" w:color="000000"/>
        </w:rPr>
        <w:t>后</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天（工程造价</w:t>
      </w:r>
      <w:r>
        <w:rPr>
          <w:rFonts w:hint="default" w:ascii="宋体" w:hAnsi="宋体" w:eastAsia="宋体" w:cs="宋体"/>
          <w:color w:val="auto"/>
          <w:spacing w:val="26"/>
          <w:sz w:val="21"/>
          <w:u w:val="single" w:color="000000"/>
        </w:rPr>
        <w:t>在</w:t>
      </w:r>
      <w:r>
        <w:rPr>
          <w:rFonts w:hint="default" w:ascii="Times New Roman" w:hAnsi="Times New Roman" w:eastAsia="Times New Roman" w:cs="Times New Roman"/>
          <w:color w:val="auto"/>
          <w:sz w:val="21"/>
          <w:u w:val="single" w:color="000000"/>
        </w:rPr>
        <w:t>50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万元以下</w:t>
      </w:r>
      <w:r>
        <w:rPr>
          <w:rFonts w:hint="default" w:ascii="宋体" w:hAnsi="宋体" w:eastAsia="宋体" w:cs="宋体"/>
          <w:color w:val="auto"/>
          <w:spacing w:val="26"/>
          <w:sz w:val="21"/>
          <w:u w:val="single" w:color="000000"/>
        </w:rPr>
        <w:t>含</w:t>
      </w:r>
      <w:r>
        <w:rPr>
          <w:rFonts w:hint="default" w:ascii="Times New Roman" w:hAnsi="Times New Roman" w:eastAsia="Times New Roman" w:cs="Times New Roman"/>
          <w:color w:val="auto"/>
          <w:sz w:val="21"/>
          <w:u w:val="single" w:color="000000"/>
        </w:rPr>
        <w:t>50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w:t>
      </w:r>
      <w:r>
        <w:rPr>
          <w:rFonts w:hint="default" w:ascii="Times New Roman" w:hAnsi="Times New Roman" w:eastAsia="Times New Roman" w:cs="Times New Roman"/>
          <w:color w:val="auto"/>
          <w:sz w:val="21"/>
          <w:u w:val="single" w:color="000000"/>
        </w:rPr>
        <w:t>1</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天（工程造价</w:t>
      </w:r>
      <w:r>
        <w:rPr>
          <w:rFonts w:hint="default" w:ascii="宋体" w:hAnsi="宋体" w:eastAsia="宋体" w:cs="宋体"/>
          <w:color w:val="auto"/>
          <w:spacing w:val="26"/>
          <w:sz w:val="21"/>
          <w:u w:val="single" w:color="000000"/>
        </w:rPr>
        <w:t>在</w:t>
      </w:r>
      <w:r>
        <w:rPr>
          <w:rFonts w:hint="default" w:ascii="Times New Roman" w:hAnsi="Times New Roman" w:eastAsia="Times New Roman" w:cs="Times New Roman"/>
          <w:color w:val="auto"/>
          <w:sz w:val="21"/>
          <w:u w:val="single" w:color="000000"/>
        </w:rPr>
        <w:t>50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w:t>
      </w:r>
      <w:r>
        <w:rPr>
          <w:rFonts w:hint="default" w:ascii="宋体" w:hAnsi="宋体" w:eastAsia="宋体" w:cs="宋体"/>
          <w:color w:val="auto"/>
          <w:spacing w:val="26"/>
          <w:sz w:val="21"/>
          <w:u w:val="single" w:color="000000"/>
        </w:rPr>
        <w:t>至</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万元之间</w:t>
      </w:r>
      <w:r>
        <w:rPr>
          <w:rFonts w:hint="default" w:ascii="宋体" w:hAnsi="宋体" w:eastAsia="宋体" w:cs="宋体"/>
          <w:color w:val="auto"/>
          <w:spacing w:val="26"/>
          <w:sz w:val="21"/>
          <w:u w:val="single" w:color="000000"/>
        </w:rPr>
        <w:t>含</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w:t>
      </w:r>
      <w:r>
        <w:rPr>
          <w:rFonts w:hint="default" w:ascii="Times New Roman" w:hAnsi="Times New Roman" w:eastAsia="Times New Roman" w:cs="Times New Roman"/>
          <w:color w:val="auto"/>
          <w:sz w:val="21"/>
          <w:u w:val="single" w:color="000000"/>
        </w:rPr>
        <w:t>1</w:t>
      </w:r>
      <w:r>
        <w:rPr>
          <w:rFonts w:hint="default" w:ascii="Times New Roman" w:hAnsi="Times New Roman" w:eastAsia="Times New Roman" w:cs="Times New Roman"/>
          <w:color w:val="auto"/>
          <w:spacing w:val="53"/>
          <w:sz w:val="21"/>
          <w:u w:val="single" w:color="000000"/>
        </w:rPr>
        <w:t>5</w:t>
      </w:r>
      <w:r>
        <w:rPr>
          <w:rFonts w:hint="default" w:ascii="宋体" w:hAnsi="宋体" w:eastAsia="宋体" w:cs="宋体"/>
          <w:color w:val="auto"/>
          <w:sz w:val="21"/>
          <w:u w:val="single" w:color="000000"/>
        </w:rPr>
        <w:t>天（工程造价</w:t>
      </w:r>
      <w:r>
        <w:rPr>
          <w:rFonts w:hint="default" w:ascii="宋体" w:hAnsi="宋体" w:eastAsia="宋体" w:cs="宋体"/>
          <w:color w:val="auto"/>
          <w:spacing w:val="26"/>
          <w:sz w:val="21"/>
          <w:u w:val="single" w:color="000000"/>
        </w:rPr>
        <w:t>在</w:t>
      </w:r>
      <w:r>
        <w:rPr>
          <w:rFonts w:hint="default" w:ascii="Times New Roman" w:hAnsi="Times New Roman" w:eastAsia="Times New Roman" w:cs="Times New Roman"/>
          <w:color w:val="auto"/>
          <w:sz w:val="21"/>
          <w:u w:val="single" w:color="000000"/>
        </w:rPr>
        <w:t>100</w:t>
      </w:r>
      <w:r>
        <w:rPr>
          <w:rFonts w:hint="default" w:ascii="Times New Roman" w:hAnsi="Times New Roman" w:eastAsia="Times New Roman" w:cs="Times New Roman"/>
          <w:color w:val="auto"/>
          <w:spacing w:val="53"/>
          <w:sz w:val="21"/>
          <w:u w:val="single" w:color="000000"/>
        </w:rPr>
        <w:t>0</w:t>
      </w:r>
      <w:r>
        <w:rPr>
          <w:rFonts w:hint="default" w:ascii="宋体" w:hAnsi="宋体" w:eastAsia="宋体" w:cs="宋体"/>
          <w:color w:val="auto"/>
          <w:sz w:val="21"/>
          <w:u w:val="single" w:color="000000"/>
        </w:rPr>
        <w:t>万元以上），提供竣工图的数量分别</w:t>
      </w:r>
      <w:r>
        <w:rPr>
          <w:rFonts w:hint="default" w:ascii="宋体" w:hAnsi="宋体" w:eastAsia="宋体" w:cs="宋体"/>
          <w:color w:val="auto"/>
          <w:spacing w:val="26"/>
          <w:sz w:val="21"/>
          <w:u w:val="single" w:color="000000"/>
        </w:rPr>
        <w:t>为</w:t>
      </w:r>
      <w:r>
        <w:rPr>
          <w:rFonts w:hint="default" w:ascii="Times New Roman" w:hAnsi="Times New Roman" w:eastAsia="Times New Roman" w:cs="Times New Roman"/>
          <w:color w:val="auto"/>
          <w:spacing w:val="53"/>
          <w:sz w:val="21"/>
          <w:u w:val="single" w:color="000000"/>
        </w:rPr>
        <w:t>2</w:t>
      </w:r>
      <w:r>
        <w:rPr>
          <w:rFonts w:hint="default" w:ascii="宋体" w:hAnsi="宋体" w:eastAsia="宋体" w:cs="宋体"/>
          <w:color w:val="auto"/>
          <w:sz w:val="21"/>
          <w:u w:val="single" w:color="000000"/>
        </w:rPr>
        <w:t>套、</w:t>
      </w:r>
      <w:r>
        <w:rPr>
          <w:rFonts w:hint="default" w:ascii="Times New Roman" w:hAnsi="Times New Roman" w:eastAsia="Times New Roman" w:cs="Times New Roman"/>
          <w:color w:val="auto"/>
          <w:spacing w:val="53"/>
          <w:sz w:val="21"/>
          <w:u w:val="single" w:color="000000"/>
        </w:rPr>
        <w:t>4</w:t>
      </w:r>
      <w:r>
        <w:rPr>
          <w:rFonts w:hint="default" w:ascii="宋体" w:hAnsi="宋体" w:eastAsia="宋体" w:cs="宋体"/>
          <w:color w:val="auto"/>
          <w:sz w:val="21"/>
          <w:u w:val="single" w:color="000000"/>
        </w:rPr>
        <w:t>套、</w:t>
      </w:r>
      <w:r>
        <w:rPr>
          <w:rFonts w:hint="default" w:ascii="Times New Roman" w:hAnsi="Times New Roman" w:eastAsia="Times New Roman" w:cs="Times New Roman"/>
          <w:color w:val="auto"/>
          <w:spacing w:val="53"/>
          <w:sz w:val="21"/>
          <w:u w:val="single" w:color="000000"/>
        </w:rPr>
        <w:t>6</w:t>
      </w:r>
      <w:r>
        <w:rPr>
          <w:rFonts w:hint="default" w:ascii="宋体" w:hAnsi="宋体" w:eastAsia="宋体" w:cs="宋体"/>
          <w:color w:val="auto"/>
          <w:sz w:val="21"/>
          <w:u w:val="single" w:color="000000"/>
        </w:rPr>
        <w:t>套。</w:t>
      </w:r>
    </w:p>
    <w:p>
      <w:pPr>
        <w:numPr>
          <w:ilvl w:val="2"/>
          <w:numId w:val="81"/>
        </w:numPr>
        <w:autoSpaceDE w:val="0"/>
        <w:autoSpaceDN w:val="0"/>
        <w:snapToGrid w:val="0"/>
        <w:spacing w:before="117"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竣工验收程序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关于竣工验收程序的约定：</w:t>
      </w:r>
      <w:r>
        <w:rPr>
          <w:rFonts w:hint="default" w:ascii="宋体" w:hAnsi="宋体" w:eastAsia="宋体" w:cs="宋体"/>
          <w:color w:val="auto"/>
          <w:spacing w:val="252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发包人不按照本项约定组织竣工验收、颁发工程接收证书的违约金的计算方法：</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13.2.</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移交、接收全部与部分工程</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承包人向发包人移交工程的期限：</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发包人未按本合同约定接收全部或部分工程的，违约金的计算方法为：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承包人未按时移交工程的，违约金的计算方法为：</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rPr>
        <w:t>。</w:t>
      </w:r>
      <w:r>
        <w:rPr>
          <w:rFonts w:hint="default" w:ascii="宋体" w:hAnsi="宋体" w:eastAsia="宋体" w:cs="宋体"/>
          <w:color w:val="auto"/>
          <w:sz w:val="21"/>
        </w:rPr>
        <w:br w:type="textWrapping"/>
      </w:r>
    </w:p>
    <w:p>
      <w:pPr>
        <w:numPr>
          <w:ilvl w:val="1"/>
          <w:numId w:val="80"/>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工程试车</w:t>
      </w:r>
    </w:p>
    <w:p>
      <w:pPr>
        <w:numPr>
          <w:ilvl w:val="2"/>
          <w:numId w:val="82"/>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试车程序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工程试车内容：</w:t>
      </w:r>
      <w:r>
        <w:rPr>
          <w:rFonts w:hint="default" w:ascii="宋体" w:hAnsi="宋体" w:eastAsia="宋体" w:cs="宋体"/>
          <w:color w:val="auto"/>
          <w:spacing w:val="30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）单机无负荷试车费用由</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承担；</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）无负荷联动试车费用由</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承担。</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 xml:space="preserve">13.3.3 </w:t>
      </w:r>
      <w:r>
        <w:rPr>
          <w:rFonts w:hint="default" w:ascii="宋体" w:hAnsi="宋体" w:eastAsia="宋体" w:cs="宋体"/>
          <w:color w:val="auto"/>
          <w:sz w:val="21"/>
        </w:rPr>
        <w:t>投料试车</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关于投料试车相关事项的约定：</w:t>
      </w:r>
      <w:r>
        <w:rPr>
          <w:rFonts w:hint="default" w:ascii="宋体" w:hAnsi="宋体" w:eastAsia="宋体" w:cs="宋体"/>
          <w:color w:val="auto"/>
          <w:spacing w:val="2363"/>
          <w:sz w:val="21"/>
          <w:u w:val="single" w:color="000000"/>
        </w:rPr>
        <w:t xml:space="preserve"> </w:t>
      </w:r>
      <w:r>
        <w:rPr>
          <w:rFonts w:hint="default" w:ascii="宋体" w:hAnsi="宋体" w:eastAsia="宋体" w:cs="宋体"/>
          <w:color w:val="auto"/>
          <w:sz w:val="21"/>
        </w:rPr>
        <w:t>。</w:t>
      </w:r>
    </w:p>
    <w:p>
      <w:pPr>
        <w:numPr>
          <w:ilvl w:val="1"/>
          <w:numId w:val="83"/>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竣工退场</w:t>
      </w:r>
    </w:p>
    <w:p>
      <w:pPr>
        <w:numPr>
          <w:ilvl w:val="2"/>
          <w:numId w:val="83"/>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竣工退场</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承包人完成竣工退场的期限：</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rPr>
        <w:t>。</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竣工结算</w:t>
      </w:r>
    </w:p>
    <w:p>
      <w:pPr>
        <w:numPr>
          <w:ilvl w:val="1"/>
          <w:numId w:val="84"/>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竣工付款申请</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承包人提交竣工付款申请单的期限：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竣工付款申请单应包括的内容：</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1"/>
          <w:numId w:val="84"/>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竣工结算审核</w:t>
      </w:r>
    </w:p>
    <w:p>
      <w:pPr>
        <w:autoSpaceDE w:val="0"/>
        <w:autoSpaceDN w:val="0"/>
        <w:snapToGrid w:val="0"/>
        <w:spacing w:before="153" w:after="143"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发包人审批竣工付款申请单的期限：</w:t>
      </w:r>
    </w:p>
    <w:tbl>
      <w:tblPr>
        <w:tblStyle w:val="6"/>
        <w:tblW w:w="9198" w:type="dxa"/>
        <w:tblInd w:w="27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65"/>
        <w:gridCol w:w="2466"/>
        <w:gridCol w:w="59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466" w:type="dxa"/>
            <w:vAlign w:val="top"/>
          </w:tcPr>
          <w:p>
            <w:pPr>
              <w:autoSpaceDE w:val="0"/>
              <w:autoSpaceDN w:val="0"/>
              <w:snapToGrid w:val="0"/>
              <w:spacing w:before="3" w:after="0" w:line="263" w:lineRule="exact"/>
              <w:ind w:left="19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工程竣工结算报告金额</w:t>
            </w:r>
          </w:p>
        </w:tc>
        <w:tc>
          <w:tcPr>
            <w:tcW w:w="5967" w:type="dxa"/>
            <w:vAlign w:val="top"/>
          </w:tcPr>
          <w:p>
            <w:pPr>
              <w:autoSpaceDE w:val="0"/>
              <w:autoSpaceDN w:val="0"/>
              <w:snapToGrid w:val="0"/>
              <w:spacing w:before="3" w:after="0" w:line="263" w:lineRule="exact"/>
              <w:ind w:left="24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发包人审查时间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2466" w:type="dxa"/>
            <w:vAlign w:val="top"/>
          </w:tcPr>
          <w:p>
            <w:pPr>
              <w:autoSpaceDE w:val="0"/>
              <w:autoSpaceDN w:val="0"/>
              <w:snapToGrid w:val="0"/>
              <w:spacing w:before="3" w:after="0" w:line="240" w:lineRule="auto"/>
              <w:ind w:left="638"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万元以下</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8"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2466" w:type="dxa"/>
            <w:vAlign w:val="top"/>
          </w:tcPr>
          <w:p>
            <w:pPr>
              <w:autoSpaceDE w:val="0"/>
              <w:autoSpaceDN w:val="0"/>
              <w:snapToGrid w:val="0"/>
              <w:spacing w:before="3" w:after="0" w:line="240" w:lineRule="auto"/>
              <w:ind w:left="367"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50</w:t>
            </w:r>
            <w:r>
              <w:rPr>
                <w:rFonts w:hint="default" w:ascii="Times New Roman" w:hAnsi="Times New Roman" w:eastAsia="Times New Roman" w:cs="Times New Roman"/>
                <w:color w:val="auto"/>
                <w:spacing w:val="52"/>
                <w:sz w:val="21"/>
              </w:rPr>
              <w:t>0</w:t>
            </w:r>
            <w:r>
              <w:rPr>
                <w:rFonts w:hint="default" w:ascii="宋体" w:hAnsi="宋体" w:eastAsia="宋体" w:cs="宋体"/>
                <w:color w:val="auto"/>
                <w:sz w:val="21"/>
              </w:rPr>
              <w:t>万元</w:t>
            </w:r>
            <w:r>
              <w:rPr>
                <w:rFonts w:hint="default" w:ascii="Times New Roman" w:hAnsi="Times New Roman" w:eastAsia="Times New Roman" w:cs="Times New Roman"/>
                <w:color w:val="auto"/>
                <w:sz w:val="21"/>
              </w:rPr>
              <w:t>-200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2466" w:type="dxa"/>
            <w:vAlign w:val="top"/>
          </w:tcPr>
          <w:p>
            <w:pPr>
              <w:autoSpaceDE w:val="0"/>
              <w:autoSpaceDN w:val="0"/>
              <w:snapToGrid w:val="0"/>
              <w:spacing w:before="3" w:after="0" w:line="240" w:lineRule="auto"/>
              <w:ind w:left="314"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200</w:t>
            </w:r>
            <w:r>
              <w:rPr>
                <w:rFonts w:hint="default" w:ascii="Times New Roman" w:hAnsi="Times New Roman" w:eastAsia="Times New Roman" w:cs="Times New Roman"/>
                <w:color w:val="auto"/>
                <w:spacing w:val="52"/>
                <w:sz w:val="21"/>
              </w:rPr>
              <w:t>0</w:t>
            </w:r>
            <w:r>
              <w:rPr>
                <w:rFonts w:hint="default" w:ascii="宋体" w:hAnsi="宋体" w:eastAsia="宋体" w:cs="宋体"/>
                <w:color w:val="auto"/>
                <w:sz w:val="21"/>
              </w:rPr>
              <w:t>万元</w:t>
            </w:r>
            <w:r>
              <w:rPr>
                <w:rFonts w:hint="default" w:ascii="Times New Roman" w:hAnsi="Times New Roman" w:eastAsia="Times New Roman" w:cs="Times New Roman"/>
                <w:color w:val="auto"/>
                <w:sz w:val="21"/>
              </w:rPr>
              <w:t>-500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天</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765" w:type="dxa"/>
            <w:vAlign w:val="top"/>
          </w:tcPr>
          <w:p>
            <w:pPr>
              <w:autoSpaceDE w:val="0"/>
              <w:autoSpaceDN w:val="0"/>
              <w:snapToGrid w:val="0"/>
              <w:spacing w:before="23" w:after="0" w:line="240" w:lineRule="auto"/>
              <w:ind w:left="32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w:t>
            </w:r>
          </w:p>
        </w:tc>
        <w:tc>
          <w:tcPr>
            <w:tcW w:w="2466" w:type="dxa"/>
            <w:vAlign w:val="top"/>
          </w:tcPr>
          <w:p>
            <w:pPr>
              <w:autoSpaceDE w:val="0"/>
              <w:autoSpaceDN w:val="0"/>
              <w:snapToGrid w:val="0"/>
              <w:spacing w:before="3" w:after="0" w:line="240" w:lineRule="auto"/>
              <w:ind w:left="585"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500</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万元以上</w:t>
            </w:r>
          </w:p>
        </w:tc>
        <w:tc>
          <w:tcPr>
            <w:tcW w:w="5967" w:type="dxa"/>
            <w:vAlign w:val="top"/>
          </w:tcPr>
          <w:p>
            <w:pPr>
              <w:autoSpaceDE w:val="0"/>
              <w:autoSpaceDN w:val="0"/>
              <w:snapToGrid w:val="0"/>
              <w:spacing w:before="3" w:after="0" w:line="263" w:lineRule="exact"/>
              <w:ind w:left="6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从接到竣工结算报告和完整的竣工结算资料之日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z w:val="21"/>
              </w:rPr>
              <w:t>6</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天</w:t>
            </w:r>
          </w:p>
        </w:tc>
      </w:tr>
    </w:tbl>
    <w:p>
      <w:pPr>
        <w:autoSpaceDE w:val="0"/>
        <w:autoSpaceDN w:val="0"/>
        <w:snapToGrid w:val="0"/>
        <w:spacing w:before="0" w:after="0" w:line="400" w:lineRule="exact"/>
        <w:ind w:left="412" w:right="87" w:firstLine="8"/>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因承包人提供</w:t>
      </w:r>
      <w:r>
        <w:rPr>
          <w:rFonts w:hint="default" w:ascii="宋体" w:hAnsi="宋体" w:eastAsia="宋体" w:cs="宋体"/>
          <w:color w:val="auto"/>
          <w:sz w:val="21"/>
        </w:rPr>
        <w:t>的结算资料不完整而需要补充或承包人不按时对账耽误时间时，审查时间应相应顺延。结算审核约定：</w:t>
      </w:r>
    </w:p>
    <w:p>
      <w:pPr>
        <w:autoSpaceDE w:val="0"/>
        <w:autoSpaceDN w:val="0"/>
        <w:snapToGrid w:val="0"/>
        <w:spacing w:before="110" w:after="0" w:line="263" w:lineRule="exact"/>
        <w:ind w:left="412"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pacing w:val="-1"/>
          <w:sz w:val="21"/>
        </w:rPr>
        <w:t>非国有投资项</w:t>
      </w:r>
      <w:r>
        <w:rPr>
          <w:rFonts w:hint="default" w:ascii="宋体" w:hAnsi="宋体" w:eastAsia="宋体" w:cs="宋体"/>
          <w:color w:val="auto"/>
          <w:sz w:val="21"/>
        </w:rPr>
        <w:t>目：</w:t>
      </w:r>
      <w:r>
        <w:rPr>
          <w:rFonts w:hint="default" w:ascii="Times New Roman" w:hAnsi="Times New Roman" w:eastAsia="Times New Roman" w:cs="Times New Roman"/>
          <w:color w:val="auto"/>
          <w:sz w:val="21"/>
          <w:u w:val="single" w:color="000000"/>
        </w:rPr>
        <w:t>1</w:t>
      </w:r>
      <w:r>
        <w:rPr>
          <w:rFonts w:hint="default" w:ascii="宋体" w:hAnsi="宋体" w:eastAsia="宋体" w:cs="宋体"/>
          <w:color w:val="auto"/>
          <w:sz w:val="21"/>
          <w:u w:val="single" w:color="000000"/>
        </w:rPr>
        <w:t>、工程竣工验收报告经发包人认可后</w:t>
      </w:r>
      <w:r>
        <w:rPr>
          <w:rFonts w:hint="default" w:ascii="宋体" w:hAnsi="宋体" w:eastAsia="宋体" w:cs="宋体"/>
          <w:color w:val="auto"/>
          <w:spacing w:val="153"/>
          <w:sz w:val="21"/>
          <w:u w:val="single" w:color="000000"/>
        </w:rPr>
        <w:t xml:space="preserve"> </w:t>
      </w:r>
      <w:r>
        <w:rPr>
          <w:rFonts w:hint="default" w:ascii="宋体" w:hAnsi="宋体" w:eastAsia="宋体" w:cs="宋体"/>
          <w:color w:val="auto"/>
          <w:sz w:val="21"/>
          <w:u w:val="single" w:color="000000"/>
        </w:rPr>
        <w:t>天内，承包人向发包人递交竣工验收合格</w:t>
      </w:r>
    </w:p>
    <w:p>
      <w:pPr>
        <w:autoSpaceDE w:val="0"/>
        <w:autoSpaceDN w:val="0"/>
        <w:snapToGrid w:val="0"/>
        <w:spacing w:before="28" w:after="0" w:line="400" w:lineRule="exact"/>
        <w:ind w:left="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u w:val="single" w:color="000000"/>
        </w:rPr>
        <w:t>资料及完整的结算资料和报告，双方按照协议书约定的合同价款及专用条款约定的合同价调整内容，进行</w:t>
      </w:r>
      <w:r>
        <w:rPr>
          <w:rFonts w:hint="default" w:ascii="宋体" w:hAnsi="宋体" w:eastAsia="宋体" w:cs="宋体"/>
          <w:color w:val="auto"/>
          <w:spacing w:val="-1"/>
          <w:sz w:val="21"/>
          <w:u w:val="single" w:color="000000"/>
        </w:rPr>
        <w:t>工程竣工结算</w:t>
      </w:r>
      <w:r>
        <w:rPr>
          <w:rFonts w:hint="default" w:ascii="宋体" w:hAnsi="宋体" w:eastAsia="宋体" w:cs="宋体"/>
          <w:color w:val="auto"/>
          <w:sz w:val="21"/>
          <w:u w:val="single" w:color="000000"/>
        </w:rPr>
        <w:t>。</w:t>
      </w:r>
      <w:r>
        <w:rPr>
          <w:rFonts w:hint="default" w:ascii="Times New Roman" w:hAnsi="Times New Roman" w:eastAsia="Times New Roman" w:cs="Times New Roman"/>
          <w:color w:val="auto"/>
          <w:sz w:val="21"/>
          <w:u w:val="single" w:color="000000"/>
        </w:rPr>
        <w:t>2</w:t>
      </w:r>
      <w:r>
        <w:rPr>
          <w:rFonts w:hint="default" w:ascii="宋体" w:hAnsi="宋体" w:eastAsia="宋体" w:cs="宋体"/>
          <w:color w:val="auto"/>
          <w:sz w:val="21"/>
          <w:u w:val="single" w:color="000000"/>
        </w:rPr>
        <w:t>、发包人收到承包人递交的竣工结算报告及结算资料之日起</w:t>
      </w:r>
      <w:r>
        <w:rPr>
          <w:rFonts w:hint="default" w:ascii="宋体" w:hAnsi="宋体" w:eastAsia="宋体" w:cs="宋体"/>
          <w:color w:val="auto"/>
          <w:spacing w:val="149"/>
          <w:sz w:val="21"/>
          <w:u w:val="single" w:color="000000"/>
        </w:rPr>
        <w:t xml:space="preserve"> </w:t>
      </w:r>
      <w:r>
        <w:rPr>
          <w:rFonts w:hint="default" w:ascii="宋体" w:hAnsi="宋体" w:eastAsia="宋体" w:cs="宋体"/>
          <w:color w:val="auto"/>
          <w:sz w:val="21"/>
          <w:u w:val="single" w:color="000000"/>
        </w:rPr>
        <w:t>天内进行审核，给予确认或者提出初审意见。发包人逾期不予审定结算的视为发包人已同意上述竣工结算报告及结算资料，并以此</w:t>
      </w:r>
      <w:r>
        <w:rPr>
          <w:rFonts w:hint="default" w:ascii="宋体" w:hAnsi="宋体" w:eastAsia="宋体" w:cs="宋体"/>
          <w:color w:val="auto"/>
          <w:spacing w:val="-1"/>
          <w:sz w:val="21"/>
          <w:u w:val="single" w:color="000000"/>
        </w:rPr>
        <w:t>作为最终结算</w:t>
      </w:r>
      <w:r>
        <w:rPr>
          <w:rFonts w:hint="default" w:ascii="宋体" w:hAnsi="宋体" w:eastAsia="宋体" w:cs="宋体"/>
          <w:color w:val="auto"/>
          <w:sz w:val="21"/>
          <w:u w:val="single" w:color="000000"/>
        </w:rPr>
        <w:t>的依据。发包人初审竣工结算完毕之日起</w:t>
      </w:r>
      <w:r>
        <w:rPr>
          <w:rFonts w:hint="default" w:ascii="宋体" w:hAnsi="宋体" w:eastAsia="宋体" w:cs="宋体"/>
          <w:color w:val="auto"/>
          <w:spacing w:val="96"/>
          <w:sz w:val="21"/>
          <w:u w:val="single" w:color="000000"/>
        </w:rPr>
        <w:t xml:space="preserve"> </w:t>
      </w:r>
      <w:r>
        <w:rPr>
          <w:rFonts w:hint="default" w:ascii="宋体" w:hAnsi="宋体" w:eastAsia="宋体" w:cs="宋体"/>
          <w:color w:val="auto"/>
          <w:sz w:val="21"/>
          <w:u w:val="single" w:color="000000"/>
        </w:rPr>
        <w:t>天内，按审定后的结算价款，通知经办银行向承包人支付工程竣工结算价款。承包人应根据发包人的需要随时将竣工工程交付发包人。</w:t>
      </w:r>
    </w:p>
    <w:p>
      <w:pPr>
        <w:autoSpaceDE w:val="0"/>
        <w:autoSpaceDN w:val="0"/>
        <w:snapToGrid w:val="0"/>
        <w:spacing w:before="110" w:after="0" w:line="263" w:lineRule="exact"/>
        <w:ind w:left="41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国有投资项目：（双方结合各地政府或有关部门出台的管理规定进行约定）</w:t>
      </w:r>
    </w:p>
    <w:p>
      <w:pPr>
        <w:autoSpaceDE w:val="0"/>
        <w:autoSpaceDN w:val="0"/>
        <w:snapToGrid w:val="0"/>
        <w:spacing w:before="31"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发包人完成竣工付款的期限：</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关于竣工付款证书异议部分复核的方式和程序：</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rPr>
        <w:t>。</w:t>
      </w:r>
    </w:p>
    <w:p>
      <w:pPr>
        <w:numPr>
          <w:ilvl w:val="1"/>
          <w:numId w:val="85"/>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最终结清</w:t>
      </w:r>
    </w:p>
    <w:p>
      <w:pPr>
        <w:numPr>
          <w:ilvl w:val="2"/>
          <w:numId w:val="85"/>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最终结清申请单</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承包人提交最终结清申请单的份数：</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承包人提交最终结算申请单的期限：</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w:t>
      </w:r>
    </w:p>
    <w:p>
      <w:pPr>
        <w:numPr>
          <w:ilvl w:val="2"/>
          <w:numId w:val="85"/>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最终结清证书和支付</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）发包人完成最终结清申请单的审批并颁发最终结清证书的期限：</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）发包人完成支付的期限：</w:t>
      </w:r>
      <w:r>
        <w:rPr>
          <w:rFonts w:hint="default" w:ascii="宋体" w:hAnsi="宋体" w:eastAsia="宋体" w:cs="宋体"/>
          <w:color w:val="auto"/>
          <w:spacing w:val="1260"/>
          <w:sz w:val="21"/>
          <w:u w:val="single" w:color="000000"/>
        </w:rPr>
        <w:t xml:space="preserve"> </w:t>
      </w:r>
      <w:r>
        <w:rPr>
          <w:rFonts w:hint="default" w:ascii="宋体" w:hAnsi="宋体" w:eastAsia="宋体" w:cs="宋体"/>
          <w:color w:val="auto"/>
          <w:sz w:val="21"/>
        </w:rPr>
        <w:t>。</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缺陷责任期与保修</w:t>
      </w:r>
    </w:p>
    <w:p>
      <w:pPr>
        <w:numPr>
          <w:ilvl w:val="1"/>
          <w:numId w:val="86"/>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缺陷责任期</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缺陷责任期的具体期限：</w:t>
      </w:r>
      <w:r>
        <w:rPr>
          <w:rFonts w:hint="default" w:ascii="宋体" w:hAnsi="宋体" w:eastAsia="宋体" w:cs="宋体"/>
          <w:color w:val="auto"/>
          <w:spacing w:val="210"/>
          <w:sz w:val="21"/>
          <w:u w:val="single" w:color="000000"/>
        </w:rPr>
        <w:t xml:space="preserve"> </w:t>
      </w:r>
      <w:r>
        <w:rPr>
          <w:rFonts w:hint="default" w:ascii="Times New Roman" w:hAnsi="Times New Roman" w:eastAsia="Times New Roman" w:cs="Times New Roman"/>
          <w:color w:val="auto"/>
          <w:sz w:val="21"/>
          <w:u w:val="single" w:color="000000"/>
        </w:rPr>
        <w:t>2</w:t>
      </w:r>
      <w:r>
        <w:rPr>
          <w:rFonts w:hint="default" w:ascii="Times New Roman" w:hAnsi="Times New Roman" w:eastAsia="Times New Roman" w:cs="Times New Roman"/>
          <w:color w:val="auto"/>
          <w:spacing w:val="53"/>
          <w:sz w:val="21"/>
          <w:u w:val="single" w:color="000000"/>
        </w:rPr>
        <w:t>4</w:t>
      </w:r>
      <w:r>
        <w:rPr>
          <w:rFonts w:hint="default" w:ascii="宋体" w:hAnsi="宋体" w:eastAsia="宋体" w:cs="宋体"/>
          <w:color w:val="auto"/>
          <w:sz w:val="21"/>
          <w:u w:val="single" w:color="000000"/>
        </w:rPr>
        <w:t>个月</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w:t>
      </w:r>
    </w:p>
    <w:p>
      <w:pPr>
        <w:numPr>
          <w:ilvl w:val="1"/>
          <w:numId w:val="86"/>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质量保证金</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关于是否扣留质量保证金的约定：</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numPr>
          <w:ilvl w:val="2"/>
          <w:numId w:val="8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承包人提供质量保证金的方式</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质量保证金采用以下第</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种方式：</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）质量保证金保函，保证金额为：</w:t>
      </w:r>
      <w:r>
        <w:rPr>
          <w:rFonts w:hint="default" w:ascii="宋体" w:hAnsi="宋体" w:eastAsia="宋体" w:cs="宋体"/>
          <w:color w:val="auto"/>
          <w:spacing w:val="94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）发包人按工程价款结算总额的</w:t>
      </w:r>
      <w:r>
        <w:rPr>
          <w:rFonts w:hint="default" w:ascii="宋体" w:hAnsi="宋体" w:eastAsia="宋体" w:cs="宋体"/>
          <w:color w:val="auto"/>
          <w:sz w:val="21"/>
          <w:u w:val="single" w:color="000000"/>
        </w:rPr>
        <w:t xml:space="preserve"> </w:t>
      </w:r>
      <w:r>
        <w:rPr>
          <w:rFonts w:hint="eastAsia" w:eastAsia="宋体" w:cs="Times New Roman"/>
          <w:color w:val="auto"/>
          <w:sz w:val="21"/>
          <w:u w:val="single" w:color="000000"/>
          <w:lang w:val="en-US" w:eastAsia="zh-CN"/>
        </w:rPr>
        <w:t>3</w:t>
      </w:r>
      <w:r>
        <w:rPr>
          <w:rFonts w:hint="default" w:ascii="Times New Roman" w:hAnsi="Times New Roman" w:eastAsia="Times New Roman" w:cs="Times New Roman"/>
          <w:color w:val="auto"/>
          <w:sz w:val="21"/>
          <w:u w:val="single" w:color="000000"/>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预留工程质量保修金，待缺陷责任期满后返还；</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）其他方式：</w:t>
      </w:r>
      <w:r>
        <w:rPr>
          <w:rFonts w:hint="default" w:ascii="宋体" w:hAnsi="宋体" w:eastAsia="宋体" w:cs="宋体"/>
          <w:color w:val="auto"/>
          <w:spacing w:val="3045"/>
          <w:sz w:val="21"/>
          <w:u w:val="single" w:color="000000"/>
        </w:rPr>
        <w:t xml:space="preserve"> </w:t>
      </w:r>
      <w:r>
        <w:rPr>
          <w:rFonts w:hint="default" w:ascii="宋体" w:hAnsi="宋体" w:eastAsia="宋体" w:cs="宋体"/>
          <w:color w:val="auto"/>
          <w:sz w:val="21"/>
        </w:rPr>
        <w:t>。</w:t>
      </w:r>
    </w:p>
    <w:p>
      <w:pPr>
        <w:numPr>
          <w:ilvl w:val="2"/>
          <w:numId w:val="86"/>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质量保证金的扣留</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质量保证金的扣留采取以下第</w:t>
      </w:r>
      <w:r>
        <w:rPr>
          <w:rFonts w:hint="default" w:ascii="宋体" w:hAnsi="宋体" w:eastAsia="宋体" w:cs="宋体"/>
          <w:color w:val="auto"/>
          <w:sz w:val="21"/>
          <w:u w:val="single" w:color="000000"/>
        </w:rPr>
        <w:t xml:space="preserve"> （</w:t>
      </w:r>
      <w:r>
        <w:rPr>
          <w:rFonts w:hint="default" w:ascii="Times New Roman" w:hAnsi="Times New Roman" w:eastAsia="Times New Roman" w:cs="Times New Roman"/>
          <w:color w:val="auto"/>
          <w:sz w:val="21"/>
          <w:u w:val="single" w:color="000000"/>
        </w:rPr>
        <w:t>2</w:t>
      </w:r>
      <w:r>
        <w:rPr>
          <w:rFonts w:hint="default" w:ascii="宋体" w:hAnsi="宋体" w:eastAsia="宋体" w:cs="宋体"/>
          <w:color w:val="auto"/>
          <w:sz w:val="21"/>
          <w:u w:val="single" w:color="000000"/>
        </w:rPr>
        <w:t xml:space="preserve">） </w:t>
      </w:r>
      <w:r>
        <w:rPr>
          <w:rFonts w:hint="default" w:ascii="宋体" w:hAnsi="宋体" w:eastAsia="宋体" w:cs="宋体"/>
          <w:color w:val="auto"/>
          <w:sz w:val="21"/>
        </w:rPr>
        <w:t>种方式：</w:t>
      </w:r>
    </w:p>
    <w:p>
      <w:pPr>
        <w:autoSpaceDE w:val="0"/>
        <w:autoSpaceDN w:val="0"/>
        <w:snapToGrid w:val="0"/>
        <w:spacing w:before="29" w:after="0" w:line="409" w:lineRule="exact"/>
        <w:ind w:left="0" w:right="192"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）在支付</w:t>
      </w:r>
      <w:r>
        <w:rPr>
          <w:rFonts w:hint="default" w:ascii="宋体" w:hAnsi="宋体" w:eastAsia="宋体" w:cs="宋体"/>
          <w:color w:val="auto"/>
          <w:sz w:val="21"/>
        </w:rPr>
        <w:t>工程进度款时逐次扣留，在此情形下，质量保证金的计算基数不包括预付款的支付、扣回以及价格调整的金额；</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）工程竣工结算时一次性扣留质量保证金；</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）其他扣留方式</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189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关于质量保证金的补充约定：</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rPr>
        <w:t>。</w:t>
      </w:r>
    </w:p>
    <w:p>
      <w:pPr>
        <w:numPr>
          <w:ilvl w:val="1"/>
          <w:numId w:val="86"/>
        </w:numPr>
        <w:autoSpaceDE w:val="0"/>
        <w:autoSpaceDN w:val="0"/>
        <w:snapToGrid w:val="0"/>
        <w:spacing w:before="0"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保修</w:t>
      </w:r>
    </w:p>
    <w:p>
      <w:pPr>
        <w:numPr>
          <w:ilvl w:val="2"/>
          <w:numId w:val="86"/>
        </w:numPr>
        <w:tabs>
          <w:tab w:val="left" w:pos="1040"/>
        </w:tabs>
        <w:autoSpaceDE w:val="0"/>
        <w:autoSpaceDN w:val="0"/>
        <w:snapToGrid w:val="0"/>
        <w:spacing w:before="153" w:after="0" w:line="240" w:lineRule="auto"/>
        <w:ind w:left="104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保修责任</w:t>
      </w:r>
    </w:p>
    <w:p>
      <w:pPr>
        <w:autoSpaceDE w:val="0"/>
        <w:autoSpaceDN w:val="0"/>
        <w:snapToGrid w:val="0"/>
        <w:spacing w:before="153" w:after="0" w:line="263" w:lineRule="exact"/>
        <w:ind w:left="4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工程保修期为：</w:t>
      </w:r>
      <w:r>
        <w:rPr>
          <w:rFonts w:hint="default" w:ascii="宋体" w:hAnsi="宋体" w:eastAsia="宋体" w:cs="宋体"/>
          <w:color w:val="auto"/>
          <w:spacing w:val="204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工程保修书具体内容见合同附</w:t>
      </w:r>
      <w:r>
        <w:rPr>
          <w:rFonts w:hint="default" w:ascii="宋体" w:hAnsi="宋体" w:eastAsia="宋体" w:cs="宋体"/>
          <w:color w:val="auto"/>
          <w:spacing w:val="26"/>
          <w:sz w:val="21"/>
        </w:rPr>
        <w:t>件</w:t>
      </w:r>
      <w:r>
        <w:rPr>
          <w:rFonts w:hint="default" w:ascii="宋体" w:hAnsi="宋体" w:eastAsia="宋体" w:cs="宋体"/>
          <w:color w:val="auto"/>
          <w:sz w:val="21"/>
        </w:rPr>
        <w:t>8。</w:t>
      </w:r>
    </w:p>
    <w:p>
      <w:pPr>
        <w:numPr>
          <w:ilvl w:val="2"/>
          <w:numId w:val="87"/>
        </w:numPr>
        <w:autoSpaceDE w:val="0"/>
        <w:autoSpaceDN w:val="0"/>
        <w:snapToGrid w:val="0"/>
        <w:spacing w:before="146" w:after="0" w:line="240" w:lineRule="auto"/>
        <w:ind w:left="104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修复通知</w:t>
      </w:r>
    </w:p>
    <w:p>
      <w:pPr>
        <w:autoSpaceDE w:val="0"/>
        <w:autoSpaceDN w:val="0"/>
        <w:snapToGrid w:val="0"/>
        <w:spacing w:before="153" w:after="0" w:line="263" w:lineRule="exact"/>
        <w:ind w:left="4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承包人收到保修通知并到达工程现场的合理时间：</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违约</w:t>
      </w:r>
    </w:p>
    <w:p>
      <w:pPr>
        <w:numPr>
          <w:ilvl w:val="1"/>
          <w:numId w:val="88"/>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发包人违约</w:t>
      </w:r>
    </w:p>
    <w:p>
      <w:pPr>
        <w:numPr>
          <w:ilvl w:val="2"/>
          <w:numId w:val="88"/>
        </w:numPr>
        <w:autoSpaceDE w:val="0"/>
        <w:autoSpaceDN w:val="0"/>
        <w:snapToGrid w:val="0"/>
        <w:spacing w:before="153" w:after="0" w:line="240" w:lineRule="auto"/>
        <w:ind w:left="998" w:right="0" w:hanging="578"/>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发包人违约的情形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发包人违约的其他情形：</w:t>
      </w:r>
      <w:r>
        <w:rPr>
          <w:rFonts w:hint="default" w:ascii="宋体" w:hAnsi="宋体" w:eastAsia="宋体" w:cs="宋体"/>
          <w:color w:val="auto"/>
          <w:spacing w:val="1628"/>
          <w:sz w:val="21"/>
          <w:u w:val="single" w:color="000000"/>
        </w:rPr>
        <w:t xml:space="preserve"> </w:t>
      </w:r>
      <w:r>
        <w:rPr>
          <w:rFonts w:hint="default" w:ascii="宋体" w:hAnsi="宋体" w:eastAsia="宋体" w:cs="宋体"/>
          <w:color w:val="auto"/>
          <w:sz w:val="21"/>
        </w:rPr>
        <w:t>。</w:t>
      </w:r>
    </w:p>
    <w:p>
      <w:pPr>
        <w:numPr>
          <w:ilvl w:val="2"/>
          <w:numId w:val="89"/>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发包人违约的责任</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发包人违约责任的承担方式和计算方法：</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宋体" w:hAnsi="宋体" w:eastAsia="宋体" w:cs="宋体"/>
          <w:color w:val="auto"/>
          <w:sz w:val="21"/>
        </w:rPr>
        <w:t>）因发包人原因未能在计划开工日期</w:t>
      </w:r>
      <w:r>
        <w:rPr>
          <w:rFonts w:hint="default" w:ascii="宋体" w:hAnsi="宋体" w:eastAsia="宋体" w:cs="宋体"/>
          <w:color w:val="auto"/>
          <w:spacing w:val="26"/>
          <w:sz w:val="21"/>
        </w:rPr>
        <w:t>前</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天内下达开工通知的违约责任：</w:t>
      </w:r>
      <w:r>
        <w:rPr>
          <w:rFonts w:hint="default" w:ascii="宋体" w:hAnsi="宋体" w:eastAsia="宋体" w:cs="宋体"/>
          <w:color w:val="auto"/>
          <w:spacing w:val="52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）因发包人原因未能按合同约定支付合同价款的违约责任：</w:t>
      </w:r>
      <w:r>
        <w:rPr>
          <w:rFonts w:hint="default" w:ascii="宋体" w:hAnsi="宋体" w:eastAsia="宋体" w:cs="宋体"/>
          <w:color w:val="auto"/>
          <w:spacing w:val="110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）发包人</w:t>
      </w:r>
      <w:r>
        <w:rPr>
          <w:rFonts w:hint="default" w:ascii="宋体" w:hAnsi="宋体" w:eastAsia="宋体" w:cs="宋体"/>
          <w:color w:val="auto"/>
          <w:sz w:val="21"/>
        </w:rPr>
        <w:t>违反</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10.</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款〔变更的范围〕第（</w:t>
      </w:r>
      <w:r>
        <w:rPr>
          <w:rFonts w:hint="default" w:ascii="Times New Roman" w:hAnsi="Times New Roman" w:eastAsia="Times New Roman" w:cs="Times New Roman"/>
          <w:color w:val="auto"/>
          <w:sz w:val="21"/>
        </w:rPr>
        <w:t>2</w:t>
      </w:r>
      <w:r>
        <w:rPr>
          <w:rFonts w:hint="default" w:ascii="宋体" w:hAnsi="宋体" w:eastAsia="宋体" w:cs="宋体"/>
          <w:color w:val="auto"/>
          <w:sz w:val="21"/>
        </w:rPr>
        <w:t>）项约定，自行实施被取消的工作或转由他人实施的</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违约责任：</w:t>
      </w:r>
      <w:r>
        <w:rPr>
          <w:rFonts w:hint="default" w:ascii="宋体" w:hAnsi="宋体" w:eastAsia="宋体" w:cs="宋体"/>
          <w:color w:val="auto"/>
          <w:spacing w:val="3098"/>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宋体" w:hAnsi="宋体" w:eastAsia="宋体" w:cs="宋体"/>
          <w:color w:val="auto"/>
          <w:sz w:val="21"/>
        </w:rPr>
        <w:t>）发包人提供的材料、工程设备的规格、数量或质量不符合合同约定，或因发包人原因导致交货</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日期延误或交货地点变更等情况的违约责任：</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宋体" w:hAnsi="宋体" w:eastAsia="宋体" w:cs="宋体"/>
          <w:color w:val="auto"/>
          <w:sz w:val="21"/>
        </w:rPr>
        <w:t>）因发包人违反合同约定造成暂停施工的违约责任：</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）发包人无正当理由没有在约定期限内发出复工指示，导致承包人无法复工的违约责</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任：</w:t>
      </w:r>
      <w:r>
        <w:rPr>
          <w:rFonts w:hint="default" w:ascii="宋体" w:hAnsi="宋体" w:eastAsia="宋体" w:cs="宋体"/>
          <w:color w:val="auto"/>
          <w:spacing w:val="3833"/>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7</w:t>
      </w:r>
      <w:r>
        <w:rPr>
          <w:rFonts w:hint="default" w:ascii="宋体" w:hAnsi="宋体" w:eastAsia="宋体" w:cs="宋体"/>
          <w:color w:val="auto"/>
          <w:sz w:val="21"/>
        </w:rPr>
        <w:t>）其他：</w:t>
      </w:r>
      <w:r>
        <w:rPr>
          <w:rFonts w:hint="default" w:ascii="宋体" w:hAnsi="宋体" w:eastAsia="宋体" w:cs="宋体"/>
          <w:color w:val="auto"/>
          <w:spacing w:val="3255"/>
          <w:sz w:val="21"/>
          <w:u w:val="single" w:color="000000"/>
        </w:rPr>
        <w:t xml:space="preserve"> </w:t>
      </w:r>
      <w:r>
        <w:rPr>
          <w:rFonts w:hint="default" w:ascii="宋体" w:hAnsi="宋体" w:eastAsia="宋体" w:cs="宋体"/>
          <w:color w:val="auto"/>
          <w:sz w:val="21"/>
        </w:rPr>
        <w:t>。</w:t>
      </w:r>
    </w:p>
    <w:p>
      <w:pPr>
        <w:numPr>
          <w:ilvl w:val="2"/>
          <w:numId w:val="89"/>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因发包人违约解除合同</w:t>
      </w:r>
    </w:p>
    <w:p>
      <w:pPr>
        <w:autoSpaceDE w:val="0"/>
        <w:autoSpaceDN w:val="0"/>
        <w:snapToGrid w:val="0"/>
        <w:spacing w:before="36" w:after="0" w:line="408" w:lineRule="exact"/>
        <w:ind w:left="0" w:right="158"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承包人按</w:t>
      </w:r>
      <w:r>
        <w:rPr>
          <w:rFonts w:hint="default" w:ascii="Times New Roman" w:hAnsi="Times New Roman" w:eastAsia="Times New Roman" w:cs="Times New Roman"/>
          <w:color w:val="auto"/>
          <w:spacing w:val="-1"/>
          <w:sz w:val="21"/>
        </w:rPr>
        <w:t>16.1</w:t>
      </w:r>
      <w:r>
        <w:rPr>
          <w:rFonts w:hint="default" w:ascii="Times New Roman" w:hAnsi="Times New Roman" w:eastAsia="Times New Roman" w:cs="Times New Roman"/>
          <w:color w:val="auto"/>
          <w:sz w:val="21"/>
        </w:rPr>
        <w:t>.1</w:t>
      </w:r>
      <w:r>
        <w:rPr>
          <w:rFonts w:hint="default" w:ascii="宋体" w:hAnsi="宋体" w:eastAsia="宋体" w:cs="宋体"/>
          <w:color w:val="auto"/>
          <w:sz w:val="21"/>
        </w:rPr>
        <w:t>项〔发包人违约的情形〕约定暂停施工满</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天后发包人仍不纠正其违约行为并致使合同目的不能实现的，承包人有权解除合同。</w:t>
      </w:r>
    </w:p>
    <w:p>
      <w:pPr>
        <w:numPr>
          <w:ilvl w:val="1"/>
          <w:numId w:val="88"/>
        </w:numPr>
        <w:autoSpaceDE w:val="0"/>
        <w:autoSpaceDN w:val="0"/>
        <w:snapToGrid w:val="0"/>
        <w:spacing w:before="117"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承包人违约</w:t>
      </w:r>
    </w:p>
    <w:p>
      <w:pPr>
        <w:numPr>
          <w:ilvl w:val="2"/>
          <w:numId w:val="90"/>
        </w:numPr>
        <w:autoSpaceDE w:val="0"/>
        <w:autoSpaceDN w:val="0"/>
        <w:snapToGrid w:val="0"/>
        <w:spacing w:before="153"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承包人违约的情形</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承包人违约的其他情形：</w:t>
      </w:r>
      <w:r>
        <w:rPr>
          <w:rFonts w:hint="default" w:ascii="宋体" w:hAnsi="宋体" w:eastAsia="宋体" w:cs="宋体"/>
          <w:color w:val="auto"/>
          <w:spacing w:val="27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16.2.</w:t>
      </w:r>
      <w:r>
        <w:rPr>
          <w:rFonts w:hint="default" w:ascii="Times New Roman" w:hAnsi="Times New Roman" w:eastAsia="Times New Roman" w:cs="Times New Roman"/>
          <w:color w:val="auto"/>
          <w:spacing w:val="53"/>
          <w:sz w:val="21"/>
        </w:rPr>
        <w:t>2</w:t>
      </w:r>
      <w:r>
        <w:rPr>
          <w:rFonts w:hint="default" w:ascii="宋体" w:hAnsi="宋体" w:eastAsia="宋体" w:cs="宋体"/>
          <w:color w:val="auto"/>
          <w:sz w:val="21"/>
        </w:rPr>
        <w:t>承包人违约的责任</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承包人违约责任的承担方式和计算方法：</w:t>
      </w:r>
    </w:p>
    <w:p>
      <w:pPr>
        <w:autoSpaceDE w:val="0"/>
        <w:autoSpaceDN w:val="0"/>
        <w:snapToGrid w:val="0"/>
        <w:spacing w:before="29" w:after="0" w:line="409" w:lineRule="exact"/>
        <w:ind w:left="0" w:right="0" w:firstLine="42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）承包人</w:t>
      </w:r>
      <w:r>
        <w:rPr>
          <w:rFonts w:hint="default" w:ascii="宋体" w:hAnsi="宋体" w:eastAsia="宋体" w:cs="宋体"/>
          <w:color w:val="auto"/>
          <w:sz w:val="21"/>
        </w:rPr>
        <w:t>未按本合同通用条款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16.2.1</w:t>
      </w: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）条内容完成的，承包人无条件返工处理，修复至工程质量要求并承担相关费用，并在发包人规定的时间内完成返工，否则发包人有权扣罚该分项工程</w:t>
      </w:r>
      <w:r>
        <w:rPr>
          <w:rFonts w:hint="default" w:ascii="Times New Roman" w:hAnsi="Times New Roman" w:eastAsia="Times New Roman" w:cs="Times New Roman"/>
          <w:color w:val="auto"/>
          <w:sz w:val="21"/>
        </w:rPr>
        <w:t>10%</w:t>
      </w:r>
      <w:r>
        <w:rPr>
          <w:rFonts w:hint="default" w:ascii="宋体" w:hAnsi="宋体" w:eastAsia="宋体" w:cs="宋体"/>
          <w:color w:val="auto"/>
          <w:sz w:val="21"/>
        </w:rPr>
        <w:t>的工程款作为处罚。</w:t>
      </w:r>
    </w:p>
    <w:p>
      <w:pPr>
        <w:autoSpaceDE w:val="0"/>
        <w:autoSpaceDN w:val="0"/>
        <w:snapToGrid w:val="0"/>
        <w:spacing w:before="0" w:after="0" w:line="408" w:lineRule="exact"/>
        <w:ind w:left="0" w:right="105" w:firstLine="42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）承包人</w:t>
      </w:r>
      <w:r>
        <w:rPr>
          <w:rFonts w:hint="default" w:ascii="宋体" w:hAnsi="宋体" w:eastAsia="宋体" w:cs="宋体"/>
          <w:color w:val="auto"/>
          <w:sz w:val="21"/>
        </w:rPr>
        <w:t>有本合同通用条款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16.2.1</w:t>
      </w:r>
      <w:r>
        <w:rPr>
          <w:rFonts w:hint="default" w:ascii="宋体" w:hAnsi="宋体" w:eastAsia="宋体" w:cs="宋体"/>
          <w:color w:val="auto"/>
          <w:sz w:val="21"/>
        </w:rPr>
        <w:t>（</w:t>
      </w:r>
      <w:r>
        <w:rPr>
          <w:rFonts w:hint="default" w:ascii="Times New Roman" w:hAnsi="Times New Roman" w:eastAsia="Times New Roman" w:cs="Times New Roman"/>
          <w:color w:val="auto"/>
          <w:sz w:val="21"/>
        </w:rPr>
        <w:t>6</w:t>
      </w:r>
      <w:r>
        <w:rPr>
          <w:rFonts w:hint="default" w:ascii="宋体" w:hAnsi="宋体" w:eastAsia="宋体" w:cs="宋体"/>
          <w:color w:val="auto"/>
          <w:sz w:val="21"/>
        </w:rPr>
        <w:t>）条情形的，或经监理人检验认为修复质量不合格而承包人拒绝再进行修补的，发包人将扣除承包人全部质量保修金。</w:t>
      </w:r>
    </w:p>
    <w:p>
      <w:pPr>
        <w:autoSpaceDE w:val="0"/>
        <w:autoSpaceDN w:val="0"/>
        <w:snapToGrid w:val="0"/>
        <w:spacing w:before="0"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宋体" w:hAnsi="宋体" w:eastAsia="宋体" w:cs="宋体"/>
          <w:color w:val="auto"/>
          <w:sz w:val="21"/>
        </w:rPr>
        <w:t>）承包人有本专用合同条</w:t>
      </w:r>
      <w:r>
        <w:rPr>
          <w:rFonts w:hint="default" w:ascii="宋体" w:hAnsi="宋体" w:eastAsia="宋体" w:cs="宋体"/>
          <w:color w:val="auto"/>
          <w:spacing w:val="26"/>
          <w:sz w:val="21"/>
        </w:rPr>
        <w:t>款</w:t>
      </w:r>
      <w:r>
        <w:rPr>
          <w:rFonts w:hint="default" w:ascii="Times New Roman" w:hAnsi="Times New Roman" w:eastAsia="Times New Roman" w:cs="Times New Roman"/>
          <w:color w:val="auto"/>
          <w:sz w:val="21"/>
        </w:rPr>
        <w:t>3.2</w:t>
      </w:r>
      <w:r>
        <w:rPr>
          <w:rFonts w:hint="default" w:ascii="宋体" w:hAnsi="宋体" w:eastAsia="宋体" w:cs="宋体"/>
          <w:color w:val="auto"/>
          <w:sz w:val="21"/>
        </w:rPr>
        <w:t>、</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3</w:t>
      </w:r>
      <w:r>
        <w:rPr>
          <w:rFonts w:hint="default" w:ascii="宋体" w:hAnsi="宋体" w:eastAsia="宋体" w:cs="宋体"/>
          <w:color w:val="auto"/>
          <w:sz w:val="21"/>
        </w:rPr>
        <w:t>条违约责任的，发包人有权扣除承包人的违约金。违约金金</w:t>
      </w:r>
    </w:p>
    <w:p>
      <w:pPr>
        <w:autoSpaceDE w:val="0"/>
        <w:autoSpaceDN w:val="0"/>
        <w:snapToGrid w:val="0"/>
        <w:spacing w:before="29" w:after="0" w:line="408" w:lineRule="exact"/>
        <w:ind w:left="0" w:right="35"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额均在承包人</w:t>
      </w:r>
      <w:r>
        <w:rPr>
          <w:rFonts w:hint="default" w:ascii="宋体" w:hAnsi="宋体" w:eastAsia="宋体" w:cs="宋体"/>
          <w:color w:val="auto"/>
          <w:sz w:val="21"/>
        </w:rPr>
        <w:t>的履约保证金及计量支付款内扣除。监理人预先下发含有罚款意向的指令，如承包人不及时</w:t>
      </w:r>
      <w:r>
        <w:rPr>
          <w:rFonts w:hint="default" w:ascii="宋体" w:hAnsi="宋体" w:eastAsia="宋体" w:cs="宋体"/>
          <w:color w:val="auto"/>
          <w:spacing w:val="-1"/>
          <w:sz w:val="21"/>
        </w:rPr>
        <w:t>采取措施纠正</w:t>
      </w:r>
      <w:r>
        <w:rPr>
          <w:rFonts w:hint="default" w:ascii="宋体" w:hAnsi="宋体" w:eastAsia="宋体" w:cs="宋体"/>
          <w:color w:val="auto"/>
          <w:sz w:val="21"/>
        </w:rPr>
        <w:t>，则在指令下达后十五天下发罚款通知书（不再陈述罚款理由）。承包人履约保证金被罚款</w:t>
      </w:r>
      <w:r>
        <w:rPr>
          <w:rFonts w:hint="default" w:ascii="宋体" w:hAnsi="宋体" w:eastAsia="宋体" w:cs="宋体"/>
          <w:color w:val="auto"/>
          <w:spacing w:val="-1"/>
          <w:sz w:val="21"/>
        </w:rPr>
        <w:t>后由发包人从</w:t>
      </w:r>
      <w:r>
        <w:rPr>
          <w:rFonts w:hint="default" w:ascii="宋体" w:hAnsi="宋体" w:eastAsia="宋体" w:cs="宋体"/>
          <w:color w:val="auto"/>
          <w:sz w:val="21"/>
        </w:rPr>
        <w:t>最后一次计量支付时扣除相应金额补足履约保证金。承包人在合同期内，完成合同规定的全</w:t>
      </w:r>
      <w:r>
        <w:rPr>
          <w:rFonts w:hint="default" w:ascii="宋体" w:hAnsi="宋体" w:eastAsia="宋体" w:cs="宋体"/>
          <w:color w:val="auto"/>
          <w:spacing w:val="-1"/>
          <w:sz w:val="21"/>
        </w:rPr>
        <w:t>部工程，且质</w:t>
      </w:r>
      <w:r>
        <w:rPr>
          <w:rFonts w:hint="default" w:ascii="宋体" w:hAnsi="宋体" w:eastAsia="宋体" w:cs="宋体"/>
          <w:color w:val="auto"/>
          <w:sz w:val="21"/>
        </w:rPr>
        <w:t>量合格，在本工程施工竣工验收后十五天内可申请返还全部或部分罚款，返还金额由监理人审核，发包人批准。罚款金额返还时不包括银行利息。</w:t>
      </w:r>
    </w:p>
    <w:p>
      <w:pPr>
        <w:numPr>
          <w:ilvl w:val="2"/>
          <w:numId w:val="91"/>
        </w:numPr>
        <w:autoSpaceDE w:val="0"/>
        <w:autoSpaceDN w:val="0"/>
        <w:snapToGrid w:val="0"/>
        <w:spacing w:before="117"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因承包人违约解除合同</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关于承包人违约解除合同的特别约定：</w:t>
      </w:r>
      <w:r>
        <w:rPr>
          <w:rFonts w:hint="default" w:ascii="宋体" w:hAnsi="宋体" w:eastAsia="宋体" w:cs="宋体"/>
          <w:color w:val="auto"/>
          <w:sz w:val="21"/>
          <w:u w:val="single" w:color="000000"/>
        </w:rPr>
        <w:t>承包人有违反以下情况之一的，发包人有权解除合同</w:t>
      </w:r>
      <w:r>
        <w:rPr>
          <w:rFonts w:hint="default" w:ascii="宋体" w:hAnsi="宋体" w:eastAsia="宋体" w:cs="宋体"/>
          <w:color w:val="auto"/>
          <w:sz w:val="21"/>
        </w:rPr>
        <w:t>。</w:t>
      </w:r>
    </w:p>
    <w:p>
      <w:pPr>
        <w:autoSpaceDE w:val="0"/>
        <w:autoSpaceDN w:val="0"/>
        <w:snapToGrid w:val="0"/>
        <w:spacing w:before="29"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承包人无</w:t>
      </w:r>
      <w:r>
        <w:rPr>
          <w:rFonts w:hint="default" w:ascii="宋体" w:hAnsi="宋体" w:eastAsia="宋体" w:cs="宋体"/>
          <w:color w:val="auto"/>
          <w:sz w:val="21"/>
        </w:rPr>
        <w:t>正当理由不按开工通知的要求及时进场组织施工和不按签订协议书时商定的进度计划有效地开展施工准备，造成工期延误的；</w:t>
      </w:r>
    </w:p>
    <w:p>
      <w:pPr>
        <w:autoSpaceDE w:val="0"/>
        <w:autoSpaceDN w:val="0"/>
        <w:snapToGrid w:val="0"/>
        <w:spacing w:before="0" w:after="0" w:line="408" w:lineRule="exact"/>
        <w:ind w:left="0" w:right="53"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承包人违</w:t>
      </w:r>
      <w:r>
        <w:rPr>
          <w:rFonts w:hint="default" w:ascii="宋体" w:hAnsi="宋体" w:eastAsia="宋体" w:cs="宋体"/>
          <w:color w:val="auto"/>
          <w:sz w:val="21"/>
        </w:rPr>
        <w:t>反本合同通用条款</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w:t>
      </w:r>
      <w:r>
        <w:rPr>
          <w:rFonts w:hint="default" w:ascii="Times New Roman" w:hAnsi="Times New Roman" w:eastAsia="Times New Roman" w:cs="Times New Roman"/>
          <w:color w:val="auto"/>
          <w:spacing w:val="53"/>
          <w:sz w:val="21"/>
        </w:rPr>
        <w:t>5</w:t>
      </w:r>
      <w:r>
        <w:rPr>
          <w:rFonts w:hint="default" w:ascii="宋体" w:hAnsi="宋体" w:eastAsia="宋体" w:cs="宋体"/>
          <w:color w:val="auto"/>
          <w:sz w:val="21"/>
        </w:rPr>
        <w:t>条规定私自将合同或合同的任何部分或任何权利转让给其他人，或私自将工程或工程的一部分分包出去的；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(3)</w:t>
      </w:r>
      <w:r>
        <w:rPr>
          <w:rFonts w:hint="default" w:ascii="宋体" w:hAnsi="宋体" w:eastAsia="宋体" w:cs="宋体"/>
          <w:color w:val="auto"/>
          <w:spacing w:val="-1"/>
          <w:sz w:val="21"/>
        </w:rPr>
        <w:t>未经监理</w:t>
      </w:r>
      <w:r>
        <w:rPr>
          <w:rFonts w:hint="default" w:ascii="宋体" w:hAnsi="宋体" w:eastAsia="宋体" w:cs="宋体"/>
          <w:color w:val="auto"/>
          <w:sz w:val="21"/>
        </w:rPr>
        <w:t>人批准，承包人私自将已按投标文件承诺进入工地的工程设备、施工设备、临时工程或材料撤离工地的；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由于承包</w:t>
      </w:r>
      <w:r>
        <w:rPr>
          <w:rFonts w:hint="default" w:ascii="宋体" w:hAnsi="宋体" w:eastAsia="宋体" w:cs="宋体"/>
          <w:color w:val="auto"/>
          <w:sz w:val="21"/>
        </w:rPr>
        <w:t>人原因拒绝按合同进度计划及时完成合同规定的工程，而又未采取有效措施赶上进度，造成工期严重延误的；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(5)</w:t>
      </w:r>
      <w:r>
        <w:rPr>
          <w:rFonts w:hint="default" w:ascii="宋体" w:hAnsi="宋体" w:eastAsia="宋体" w:cs="宋体"/>
          <w:color w:val="auto"/>
          <w:spacing w:val="-1"/>
          <w:sz w:val="21"/>
        </w:rPr>
        <w:t>承包人否</w:t>
      </w:r>
      <w:r>
        <w:rPr>
          <w:rFonts w:hint="default" w:ascii="宋体" w:hAnsi="宋体" w:eastAsia="宋体" w:cs="宋体"/>
          <w:color w:val="auto"/>
          <w:sz w:val="21"/>
        </w:rPr>
        <w:t>认合同有效或拒绝履行合同规定的承包人义务，或由于法律、财务等原因导致承包人无法继续履行或实质上已停止履行合同的义务的；</w:t>
      </w:r>
    </w:p>
    <w:p>
      <w:pPr>
        <w:autoSpaceDE w:val="0"/>
        <w:autoSpaceDN w:val="0"/>
        <w:snapToGrid w:val="0"/>
        <w:spacing w:before="0" w:after="0" w:line="408"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合同签订</w:t>
      </w:r>
      <w:r>
        <w:rPr>
          <w:rFonts w:hint="default" w:ascii="宋体" w:hAnsi="宋体" w:eastAsia="宋体" w:cs="宋体"/>
          <w:color w:val="auto"/>
          <w:sz w:val="21"/>
        </w:rPr>
        <w:t>之日起十五日内，承包人无法按合同规定及投标文件的承诺进场经监理工程师认可的全部人员和机械的。</w:t>
      </w:r>
    </w:p>
    <w:p>
      <w:pPr>
        <w:autoSpaceDE w:val="0"/>
        <w:autoSpaceDN w:val="0"/>
        <w:snapToGrid w:val="0"/>
        <w:spacing w:before="117"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发包人继续使用承包人在施工现场的材料、设备、临时工程、承包人文件和由承包人或以其名义编制</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的其他文件的费用承担方式：</w:t>
      </w:r>
      <w:r>
        <w:rPr>
          <w:rFonts w:hint="default" w:ascii="宋体" w:hAnsi="宋体" w:eastAsia="宋体" w:cs="宋体"/>
          <w:color w:val="auto"/>
          <w:spacing w:val="2205"/>
          <w:sz w:val="21"/>
          <w:u w:val="single" w:color="000000"/>
        </w:rPr>
        <w:t xml:space="preserve"> </w:t>
      </w:r>
      <w:r>
        <w:rPr>
          <w:rFonts w:hint="default" w:ascii="宋体" w:hAnsi="宋体" w:eastAsia="宋体" w:cs="宋体"/>
          <w:color w:val="auto"/>
          <w:sz w:val="21"/>
        </w:rPr>
        <w:t>。</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不可抗力</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17.1 </w:t>
      </w:r>
      <w:r>
        <w:rPr>
          <w:rFonts w:hint="default" w:ascii="黑体" w:hAnsi="黑体" w:eastAsia="黑体" w:cs="黑体"/>
          <w:b/>
          <w:color w:val="auto"/>
          <w:sz w:val="21"/>
        </w:rPr>
        <w:t>不可抗力的确认</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除通用合同条款约定的不可抗力事件之外，视为不可抗力的其他情形：</w:t>
      </w:r>
      <w:r>
        <w:rPr>
          <w:rFonts w:hint="default" w:ascii="宋体" w:hAnsi="宋体" w:eastAsia="宋体" w:cs="宋体"/>
          <w:color w:val="auto"/>
          <w:spacing w:val="6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17.4 </w:t>
      </w:r>
      <w:r>
        <w:rPr>
          <w:rFonts w:hint="default" w:ascii="黑体" w:hAnsi="黑体" w:eastAsia="黑体" w:cs="黑体"/>
          <w:b/>
          <w:color w:val="auto"/>
          <w:sz w:val="21"/>
        </w:rPr>
        <w:t>因不可抗力解除合同</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合同解除后，发包人应在商定或确定发包人应支付款项后</w:t>
      </w:r>
      <w:r>
        <w:rPr>
          <w:rFonts w:hint="default" w:ascii="宋体" w:hAnsi="宋体" w:eastAsia="宋体" w:cs="宋体"/>
          <w:color w:val="auto"/>
          <w:spacing w:val="158"/>
          <w:sz w:val="21"/>
          <w:u w:val="single" w:color="000000"/>
        </w:rPr>
        <w:t xml:space="preserve"> </w:t>
      </w:r>
      <w:r>
        <w:rPr>
          <w:rFonts w:hint="default" w:ascii="宋体" w:hAnsi="宋体" w:eastAsia="宋体" w:cs="宋体"/>
          <w:color w:val="auto"/>
          <w:sz w:val="21"/>
        </w:rPr>
        <w:t>天内完成款项的支付。</w:t>
      </w:r>
    </w:p>
    <w:p>
      <w:pPr>
        <w:numPr>
          <w:ilvl w:val="0"/>
          <w:numId w:val="78"/>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保险</w:t>
      </w:r>
    </w:p>
    <w:p>
      <w:pPr>
        <w:autoSpaceDE w:val="0"/>
        <w:autoSpaceDN w:val="0"/>
        <w:snapToGrid w:val="0"/>
        <w:spacing w:before="274"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18.1 </w:t>
      </w:r>
      <w:r>
        <w:rPr>
          <w:rFonts w:hint="default" w:ascii="黑体" w:hAnsi="黑体" w:eastAsia="黑体" w:cs="黑体"/>
          <w:b/>
          <w:color w:val="auto"/>
          <w:sz w:val="21"/>
        </w:rPr>
        <w:t>工程保险</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关于工程保险的特别约定：</w:t>
      </w:r>
      <w:r>
        <w:rPr>
          <w:rFonts w:hint="default" w:ascii="宋体" w:hAnsi="宋体" w:eastAsia="宋体" w:cs="宋体"/>
          <w:color w:val="auto"/>
          <w:spacing w:val="1523"/>
          <w:sz w:val="21"/>
          <w:u w:val="single" w:color="000000"/>
        </w:rPr>
        <w:t xml:space="preserve"> </w:t>
      </w:r>
      <w:r>
        <w:rPr>
          <w:rFonts w:hint="default" w:ascii="宋体" w:hAnsi="宋体" w:eastAsia="宋体" w:cs="宋体"/>
          <w:color w:val="auto"/>
          <w:sz w:val="21"/>
        </w:rPr>
        <w:t>。</w:t>
      </w:r>
    </w:p>
    <w:p>
      <w:pPr>
        <w:numPr>
          <w:ilvl w:val="1"/>
          <w:numId w:val="78"/>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其他保险</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关于其他保险的约定：</w:t>
      </w:r>
      <w:r>
        <w:rPr>
          <w:rFonts w:hint="default" w:ascii="宋体" w:hAnsi="宋体" w:eastAsia="宋体" w:cs="宋体"/>
          <w:color w:val="auto"/>
          <w:spacing w:val="273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承包人是否应为其施工设备等办理财产保险：</w:t>
      </w:r>
      <w:r>
        <w:rPr>
          <w:rFonts w:hint="default" w:ascii="宋体" w:hAnsi="宋体" w:eastAsia="宋体" w:cs="宋体"/>
          <w:color w:val="auto"/>
          <w:spacing w:val="168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40" w:lineRule="auto"/>
        <w:ind w:left="0" w:right="0" w:firstLine="0"/>
        <w:jc w:val="left"/>
        <w:textAlignment w:val="auto"/>
        <w:rPr>
          <w:rFonts w:hint="default" w:ascii="黑体" w:hAnsi="黑体" w:eastAsia="黑体" w:cs="黑体"/>
          <w:b/>
          <w:color w:val="auto"/>
          <w:sz w:val="21"/>
        </w:rPr>
      </w:pPr>
      <w:r>
        <w:rPr>
          <w:rFonts w:hint="default" w:ascii="Times New Roman" w:hAnsi="Times New Roman" w:eastAsia="Times New Roman" w:cs="Times New Roman"/>
          <w:b/>
          <w:color w:val="auto"/>
          <w:sz w:val="21"/>
        </w:rPr>
        <w:t xml:space="preserve">18.7 </w:t>
      </w:r>
      <w:r>
        <w:rPr>
          <w:rFonts w:hint="default" w:ascii="黑体" w:hAnsi="黑体" w:eastAsia="黑体" w:cs="黑体"/>
          <w:b/>
          <w:color w:val="auto"/>
          <w:sz w:val="21"/>
        </w:rPr>
        <w:t>通知义务</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关于变更保险合同时的通知义务的约定：</w:t>
      </w:r>
      <w:r>
        <w:rPr>
          <w:rFonts w:hint="default" w:ascii="宋体" w:hAnsi="宋体" w:eastAsia="宋体" w:cs="宋体"/>
          <w:color w:val="auto"/>
          <w:spacing w:val="893"/>
          <w:sz w:val="21"/>
          <w:u w:val="single" w:color="000000"/>
        </w:rPr>
        <w:t xml:space="preserve"> </w:t>
      </w:r>
      <w:r>
        <w:rPr>
          <w:rFonts w:hint="default" w:ascii="宋体" w:hAnsi="宋体" w:eastAsia="宋体" w:cs="宋体"/>
          <w:color w:val="auto"/>
          <w:sz w:val="21"/>
        </w:rPr>
        <w:t>。</w:t>
      </w:r>
    </w:p>
    <w:p>
      <w:pPr>
        <w:numPr>
          <w:ilvl w:val="0"/>
          <w:numId w:val="92"/>
        </w:numPr>
        <w:autoSpaceDE w:val="0"/>
        <w:autoSpaceDN w:val="0"/>
        <w:snapToGrid w:val="0"/>
        <w:spacing w:before="0"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争议解决</w:t>
      </w:r>
    </w:p>
    <w:p>
      <w:pPr>
        <w:numPr>
          <w:ilvl w:val="1"/>
          <w:numId w:val="92"/>
        </w:numPr>
        <w:autoSpaceDE w:val="0"/>
        <w:autoSpaceDN w:val="0"/>
        <w:snapToGrid w:val="0"/>
        <w:spacing w:before="274"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争议评审</w:t>
      </w:r>
    </w:p>
    <w:p>
      <w:pPr>
        <w:autoSpaceDE w:val="0"/>
        <w:autoSpaceDN w:val="0"/>
        <w:snapToGrid w:val="0"/>
        <w:spacing w:before="153" w:after="0" w:line="263" w:lineRule="exact"/>
        <w:ind w:left="4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合同当事人是否同意将工程争议提交争议评审小组决定：</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w:t>
      </w:r>
    </w:p>
    <w:p>
      <w:pPr>
        <w:numPr>
          <w:ilvl w:val="2"/>
          <w:numId w:val="92"/>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争议评审小组的确定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争议评审小组成员的确定：</w:t>
      </w:r>
      <w:r>
        <w:rPr>
          <w:rFonts w:hint="default" w:ascii="宋体" w:hAnsi="宋体" w:eastAsia="宋体" w:cs="宋体"/>
          <w:color w:val="auto"/>
          <w:spacing w:val="147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选定争议评审员的期限：</w:t>
      </w:r>
      <w:r>
        <w:rPr>
          <w:rFonts w:hint="default" w:ascii="宋体" w:hAnsi="宋体" w:eastAsia="宋体" w:cs="宋体"/>
          <w:color w:val="auto"/>
          <w:spacing w:val="1575"/>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争议评审小组成员的报酬承担方式：</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其他事项的约定：</w:t>
      </w:r>
      <w:r>
        <w:rPr>
          <w:rFonts w:hint="default" w:ascii="宋体" w:hAnsi="宋体" w:eastAsia="宋体" w:cs="宋体"/>
          <w:color w:val="auto"/>
          <w:spacing w:val="1890"/>
          <w:sz w:val="21"/>
          <w:u w:val="single" w:color="000000"/>
        </w:rPr>
        <w:t xml:space="preserve"> </w:t>
      </w:r>
      <w:r>
        <w:rPr>
          <w:rFonts w:hint="default" w:ascii="宋体" w:hAnsi="宋体" w:eastAsia="宋体" w:cs="宋体"/>
          <w:color w:val="auto"/>
          <w:sz w:val="21"/>
        </w:rPr>
        <w:t>。</w:t>
      </w:r>
    </w:p>
    <w:p>
      <w:pPr>
        <w:numPr>
          <w:ilvl w:val="2"/>
          <w:numId w:val="92"/>
        </w:numPr>
        <w:autoSpaceDE w:val="0"/>
        <w:autoSpaceDN w:val="0"/>
        <w:snapToGrid w:val="0"/>
        <w:spacing w:before="146" w:after="0" w:line="240" w:lineRule="auto"/>
        <w:ind w:left="1050" w:right="0" w:hanging="63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争议评审小组的决定</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合同当事人关于本项的约定：</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w:t>
      </w:r>
    </w:p>
    <w:p>
      <w:pPr>
        <w:numPr>
          <w:ilvl w:val="1"/>
          <w:numId w:val="92"/>
        </w:numPr>
        <w:autoSpaceDE w:val="0"/>
        <w:autoSpaceDN w:val="0"/>
        <w:snapToGrid w:val="0"/>
        <w:spacing w:before="146" w:after="0" w:line="240" w:lineRule="auto"/>
        <w:ind w:left="473" w:right="0" w:hanging="473"/>
        <w:jc w:val="left"/>
        <w:textAlignment w:val="auto"/>
        <w:rPr>
          <w:rFonts w:hint="default" w:ascii="Times New Roman" w:hAnsi="Times New Roman" w:eastAsia="Times New Roman" w:cs="Times New Roman"/>
          <w:b/>
          <w:color w:val="auto"/>
          <w:sz w:val="21"/>
        </w:rPr>
      </w:pPr>
      <w:r>
        <w:rPr>
          <w:rFonts w:hint="default" w:ascii="黑体" w:hAnsi="黑体" w:eastAsia="黑体" w:cs="黑体"/>
          <w:b/>
          <w:color w:val="auto"/>
          <w:sz w:val="21"/>
        </w:rPr>
        <w:t>仲裁或诉讼</w:t>
      </w:r>
    </w:p>
    <w:p>
      <w:pPr>
        <w:autoSpaceDE w:val="0"/>
        <w:autoSpaceDN w:val="0"/>
        <w:snapToGrid w:val="0"/>
        <w:spacing w:before="15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因合同及合同有关事项发生的争议，按下列第</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种方式解决：</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w:t>
      </w: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）提请</w:t>
      </w:r>
      <w:r>
        <w:rPr>
          <w:rFonts w:hint="default" w:ascii="宋体" w:hAnsi="宋体" w:eastAsia="宋体" w:cs="宋体"/>
          <w:color w:val="auto"/>
          <w:spacing w:val="209"/>
          <w:sz w:val="21"/>
          <w:u w:val="single" w:color="000000"/>
        </w:rPr>
        <w:t xml:space="preserve"> </w:t>
      </w:r>
      <w:r>
        <w:rPr>
          <w:rFonts w:hint="default" w:ascii="宋体" w:hAnsi="宋体" w:eastAsia="宋体" w:cs="宋体"/>
          <w:color w:val="auto"/>
          <w:sz w:val="21"/>
        </w:rPr>
        <w:t>仲裁委员会按照该会仲裁规则进行仲裁，仲裁裁决是终局的，对合同双方均有约束</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力。</w: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2</w:t>
      </w:r>
      <w:r>
        <w:rPr>
          <w:rFonts w:hint="default" w:ascii="宋体" w:hAnsi="宋体" w:eastAsia="宋体" w:cs="宋体"/>
          <w:color w:val="auto"/>
          <w:sz w:val="21"/>
        </w:rPr>
        <w:t>）向</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rPr>
        <w:t>人民法院起诉。</w:t>
      </w:r>
    </w:p>
    <w:p>
      <w:pPr>
        <w:numPr>
          <w:ilvl w:val="0"/>
          <w:numId w:val="93"/>
        </w:numPr>
        <w:autoSpaceDE w:val="0"/>
        <w:autoSpaceDN w:val="0"/>
        <w:snapToGrid w:val="0"/>
        <w:spacing w:before="206" w:after="0" w:line="240" w:lineRule="auto"/>
        <w:ind w:left="397" w:right="0" w:hanging="397"/>
        <w:jc w:val="left"/>
        <w:textAlignment w:val="auto"/>
        <w:rPr>
          <w:rFonts w:hint="default" w:ascii="Arial" w:hAnsi="Arial" w:eastAsia="Arial" w:cs="Arial"/>
          <w:b/>
          <w:color w:val="auto"/>
          <w:sz w:val="21"/>
        </w:rPr>
      </w:pPr>
      <w:r>
        <w:rPr>
          <w:rFonts w:hint="default" w:ascii="黑体" w:hAnsi="黑体" w:eastAsia="黑体" w:cs="黑体"/>
          <w:b/>
          <w:color w:val="auto"/>
          <w:sz w:val="21"/>
        </w:rPr>
        <w:t>补充条款</w:t>
      </w:r>
    </w:p>
    <w:p>
      <w:pPr>
        <w:numPr>
          <w:ilvl w:val="1"/>
          <w:numId w:val="93"/>
        </w:numPr>
        <w:autoSpaceDE w:val="0"/>
        <w:autoSpaceDN w:val="0"/>
        <w:snapToGrid w:val="0"/>
        <w:spacing w:before="274" w:after="0" w:line="240" w:lineRule="auto"/>
        <w:ind w:left="893" w:right="0" w:hanging="47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凡进入本工程工作的妇女应持有计生证、否则不准安排工作，禁止使用童工。</w:t>
      </w:r>
    </w:p>
    <w:p>
      <w:pPr>
        <w:rPr>
          <w:rFonts w:hint="default" w:ascii="黑体" w:hAnsi="黑体" w:eastAsia="黑体" w:cs="黑体"/>
          <w:b/>
          <w:color w:val="auto"/>
          <w:sz w:val="28"/>
        </w:rPr>
      </w:pPr>
      <w:r>
        <w:rPr>
          <w:rFonts w:hint="default" w:ascii="黑体" w:hAnsi="黑体" w:eastAsia="黑体" w:cs="黑体"/>
          <w:b/>
          <w:color w:val="auto"/>
          <w:sz w:val="28"/>
        </w:rPr>
        <w:br w:type="page"/>
      </w:r>
    </w:p>
    <w:p>
      <w:pPr>
        <w:autoSpaceDE w:val="0"/>
        <w:autoSpaceDN w:val="0"/>
        <w:snapToGrid w:val="0"/>
        <w:spacing w:before="0" w:after="0" w:line="350" w:lineRule="exact"/>
        <w:ind w:left="0" w:right="0" w:firstLine="0"/>
        <w:jc w:val="left"/>
        <w:textAlignment w:val="auto"/>
        <w:rPr>
          <w:rFonts w:hint="default" w:ascii="黑体" w:hAnsi="黑体" w:eastAsia="黑体" w:cs="黑体"/>
          <w:b/>
          <w:color w:val="auto"/>
          <w:sz w:val="28"/>
        </w:rPr>
      </w:pPr>
      <w:r>
        <w:rPr>
          <w:rFonts w:hint="default" w:ascii="黑体" w:hAnsi="黑体" w:eastAsia="黑体" w:cs="黑体"/>
          <w:b/>
          <w:color w:val="auto"/>
          <w:sz w:val="28"/>
        </w:rPr>
        <w:t>附件</w:t>
      </w:r>
    </w:p>
    <w:p>
      <w:pPr>
        <w:autoSpaceDE w:val="0"/>
        <w:autoSpaceDN w:val="0"/>
        <w:snapToGrid w:val="0"/>
        <w:spacing w:before="194" w:after="0" w:line="263" w:lineRule="exact"/>
        <w:ind w:left="0" w:right="0" w:firstLine="0"/>
        <w:jc w:val="left"/>
        <w:textAlignment w:val="auto"/>
        <w:rPr>
          <w:rFonts w:hint="default" w:ascii="宋体" w:hAnsi="宋体" w:eastAsia="宋体" w:cs="宋体"/>
          <w:color w:val="auto"/>
          <w:sz w:val="21"/>
        </w:rPr>
      </w:pPr>
      <w:bookmarkStart w:id="93" w:name="_Toc24861_WPSOffice_Level2"/>
      <w:bookmarkStart w:id="94" w:name="_Toc5190_WPSOffice_Level2"/>
      <w:bookmarkStart w:id="95" w:name="_Toc1399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1：承包人承揽工程项目一览表</w:t>
      </w:r>
      <w:bookmarkEnd w:id="93"/>
      <w:bookmarkEnd w:id="94"/>
      <w:bookmarkEnd w:id="95"/>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96" w:name="_Toc26929_WPSOffice_Level2"/>
      <w:bookmarkStart w:id="97" w:name="_Toc9127_WPSOffice_Level2"/>
      <w:bookmarkStart w:id="98" w:name="_Toc3766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2：支付担保格式</w:t>
      </w:r>
      <w:bookmarkEnd w:id="96"/>
      <w:bookmarkEnd w:id="97"/>
      <w:bookmarkEnd w:id="98"/>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99" w:name="_Toc643_WPSOffice_Level2"/>
      <w:bookmarkStart w:id="100" w:name="_Toc25618_WPSOffice_Level2"/>
      <w:bookmarkStart w:id="101" w:name="_Toc1464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3：承包人主要施工管理人员表</w:t>
      </w:r>
      <w:bookmarkEnd w:id="99"/>
      <w:bookmarkEnd w:id="100"/>
      <w:bookmarkEnd w:id="101"/>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02" w:name="_Toc25593_WPSOffice_Level2"/>
      <w:bookmarkStart w:id="103" w:name="_Toc12837_WPSOffice_Level2"/>
      <w:bookmarkStart w:id="104" w:name="_Toc12583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4：分包人主要施工管理人员表</w:t>
      </w:r>
      <w:bookmarkEnd w:id="102"/>
      <w:bookmarkEnd w:id="103"/>
      <w:bookmarkEnd w:id="104"/>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05" w:name="_Toc1673_WPSOffice_Level2"/>
      <w:bookmarkStart w:id="106" w:name="_Toc1519_WPSOffice_Level2"/>
      <w:bookmarkStart w:id="107" w:name="_Toc20702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5：履约担保格式</w:t>
      </w:r>
      <w:bookmarkEnd w:id="105"/>
      <w:bookmarkEnd w:id="106"/>
      <w:bookmarkEnd w:id="107"/>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08" w:name="_Toc7283_WPSOffice_Level2"/>
      <w:bookmarkStart w:id="109" w:name="_Toc20871_WPSOffice_Level2"/>
      <w:bookmarkStart w:id="110" w:name="_Toc19596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6：承包人用于本工程施工的机械设备表</w:t>
      </w:r>
      <w:bookmarkEnd w:id="108"/>
      <w:bookmarkEnd w:id="109"/>
      <w:bookmarkEnd w:id="110"/>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bookmarkStart w:id="111" w:name="_Toc2868_WPSOffice_Level2"/>
      <w:bookmarkStart w:id="112" w:name="_Toc4623_WPSOffice_Level2"/>
      <w:bookmarkStart w:id="113" w:name="_Toc10900_WPSOffice_Level2"/>
      <w:r>
        <w:rPr>
          <w:rFonts w:hint="default" w:ascii="宋体" w:hAnsi="宋体" w:eastAsia="宋体" w:cs="宋体"/>
          <w:color w:val="auto"/>
          <w:sz w:val="21"/>
        </w:rPr>
        <w:t>附</w:t>
      </w:r>
      <w:r>
        <w:rPr>
          <w:rFonts w:hint="default" w:ascii="宋体" w:hAnsi="宋体" w:eastAsia="宋体" w:cs="宋体"/>
          <w:color w:val="auto"/>
          <w:spacing w:val="26"/>
          <w:sz w:val="21"/>
        </w:rPr>
        <w:t>件</w:t>
      </w:r>
      <w:r>
        <w:rPr>
          <w:rFonts w:hint="default" w:ascii="宋体" w:hAnsi="宋体" w:eastAsia="宋体" w:cs="宋体"/>
          <w:color w:val="auto"/>
          <w:sz w:val="21"/>
        </w:rPr>
        <w:t>7：预付款担保格式</w:t>
      </w:r>
      <w:bookmarkEnd w:id="111"/>
      <w:bookmarkEnd w:id="112"/>
      <w:bookmarkEnd w:id="113"/>
    </w:p>
    <w:p>
      <w:pPr>
        <w:rPr>
          <w:rFonts w:hint="default" w:ascii="仿宋" w:hAnsi="仿宋" w:eastAsia="仿宋" w:cs="仿宋"/>
          <w:color w:val="auto"/>
          <w:sz w:val="30"/>
        </w:rPr>
        <w:sectPr>
          <w:footnotePr>
            <w:numStart w:val="0"/>
          </w:footnotePr>
          <w:endnotePr>
            <w:numFmt w:val="decimal"/>
            <w:numStart w:val="0"/>
          </w:endnotePr>
          <w:pgSz w:w="11907" w:h="16840"/>
          <w:pgMar w:top="1186" w:right="1114"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rPr>
          <w:rFonts w:hint="default" w:ascii="仿宋" w:hAnsi="仿宋" w:eastAsia="仿宋" w:cs="仿宋"/>
          <w:color w:val="auto"/>
          <w:sz w:val="30"/>
        </w:rPr>
      </w:pPr>
      <w:bookmarkStart w:id="114" w:name="_Toc30336_WPSOffice_Level2"/>
      <w:bookmarkStart w:id="115" w:name="_Toc20083_WPSOffice_Level2"/>
      <w:bookmarkStart w:id="116" w:name="_Toc8996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仿宋" w:hAnsi="仿宋" w:eastAsia="仿宋" w:cs="仿宋"/>
          <w:color w:val="auto"/>
          <w:sz w:val="30"/>
        </w:rPr>
        <w:t>1：</w:t>
      </w:r>
      <w:bookmarkEnd w:id="114"/>
      <w:bookmarkEnd w:id="115"/>
      <w:bookmarkEnd w:id="116"/>
    </w:p>
    <w:p>
      <w:pPr>
        <w:autoSpaceDE w:val="0"/>
        <w:autoSpaceDN w:val="0"/>
        <w:snapToGrid w:val="0"/>
        <w:spacing w:before="185" w:after="693" w:line="375" w:lineRule="exact"/>
        <w:ind w:left="5540" w:right="0" w:firstLine="0"/>
        <w:jc w:val="left"/>
        <w:textAlignment w:val="auto"/>
        <w:rPr>
          <w:rFonts w:hint="default" w:ascii="黑体" w:hAnsi="黑体" w:eastAsia="黑体" w:cs="黑体"/>
          <w:color w:val="auto"/>
          <w:sz w:val="30"/>
        </w:rPr>
      </w:pPr>
      <w:bookmarkStart w:id="117" w:name="_Toc15876_WPSOffice_Level2"/>
      <w:bookmarkStart w:id="118" w:name="_Toc8962_WPSOffice_Level2"/>
      <w:bookmarkStart w:id="119" w:name="_Toc26956_WPSOffice_Level2"/>
      <w:r>
        <w:rPr>
          <w:rFonts w:hint="default" w:ascii="黑体" w:hAnsi="黑体" w:eastAsia="黑体" w:cs="黑体"/>
          <w:color w:val="auto"/>
          <w:sz w:val="30"/>
        </w:rPr>
        <w:t>承包人承揽工程项目一览表</w:t>
      </w:r>
      <w:bookmarkEnd w:id="117"/>
      <w:bookmarkEnd w:id="118"/>
      <w:bookmarkEnd w:id="119"/>
    </w:p>
    <w:tbl>
      <w:tblPr>
        <w:tblStyle w:val="6"/>
        <w:tblW w:w="13815" w:type="dxa"/>
        <w:tblInd w:w="433"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40"/>
        <w:gridCol w:w="1440"/>
        <w:gridCol w:w="1620"/>
        <w:gridCol w:w="1660"/>
        <w:gridCol w:w="850"/>
        <w:gridCol w:w="1560"/>
        <w:gridCol w:w="2126"/>
        <w:gridCol w:w="1417"/>
        <w:gridCol w:w="852"/>
        <w:gridCol w:w="8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exact"/>
        </w:trPr>
        <w:tc>
          <w:tcPr>
            <w:tcW w:w="1440" w:type="dxa"/>
            <w:vAlign w:val="top"/>
          </w:tcPr>
          <w:p>
            <w:pPr>
              <w:autoSpaceDE w:val="0"/>
              <w:autoSpaceDN w:val="0"/>
              <w:snapToGrid w:val="0"/>
              <w:spacing w:before="72" w:after="0" w:line="350" w:lineRule="exact"/>
              <w:ind w:left="15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单位工程</w:t>
            </w:r>
          </w:p>
          <w:p>
            <w:pPr>
              <w:autoSpaceDE w:val="0"/>
              <w:autoSpaceDN w:val="0"/>
              <w:snapToGrid w:val="0"/>
              <w:spacing w:before="90" w:after="0" w:line="350" w:lineRule="exact"/>
              <w:ind w:left="43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名称</w:t>
            </w:r>
          </w:p>
        </w:tc>
        <w:tc>
          <w:tcPr>
            <w:tcW w:w="1440" w:type="dxa"/>
            <w:vAlign w:val="top"/>
          </w:tcPr>
          <w:p>
            <w:pPr>
              <w:autoSpaceDE w:val="0"/>
              <w:autoSpaceDN w:val="0"/>
              <w:snapToGrid w:val="0"/>
              <w:spacing w:before="292" w:after="0" w:line="350" w:lineRule="exact"/>
              <w:ind w:left="15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建设规模</w:t>
            </w:r>
          </w:p>
        </w:tc>
        <w:tc>
          <w:tcPr>
            <w:tcW w:w="1620" w:type="dxa"/>
            <w:vAlign w:val="top"/>
          </w:tcPr>
          <w:p>
            <w:pPr>
              <w:autoSpaceDE w:val="0"/>
              <w:autoSpaceDN w:val="0"/>
              <w:snapToGrid w:val="0"/>
              <w:spacing w:before="72" w:after="0" w:line="350" w:lineRule="exact"/>
              <w:ind w:left="24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建筑面积</w:t>
            </w:r>
          </w:p>
          <w:p>
            <w:pPr>
              <w:autoSpaceDE w:val="0"/>
              <w:autoSpaceDN w:val="0"/>
              <w:snapToGrid w:val="0"/>
              <w:spacing w:before="90" w:after="0" w:line="240" w:lineRule="auto"/>
              <w:ind w:left="292" w:right="0" w:firstLine="0"/>
              <w:jc w:val="left"/>
              <w:textAlignment w:val="auto"/>
              <w:rPr>
                <w:rFonts w:hint="default" w:ascii="Times New Roman" w:hAnsi="Times New Roman" w:eastAsia="Times New Roman" w:cs="Times New Roman"/>
                <w:color w:val="auto"/>
                <w:sz w:val="28"/>
              </w:rPr>
            </w:pPr>
            <w:r>
              <w:rPr>
                <w:rFonts w:hint="default" w:ascii="Times New Roman" w:hAnsi="Times New Roman" w:eastAsia="Times New Roman" w:cs="Times New Roman"/>
                <w:color w:val="auto"/>
                <w:sz w:val="28"/>
              </w:rPr>
              <w:t>(</w:t>
            </w:r>
            <w:r>
              <w:rPr>
                <w:rFonts w:hint="default" w:ascii="仿宋" w:hAnsi="仿宋" w:eastAsia="仿宋" w:cs="仿宋"/>
                <w:color w:val="auto"/>
                <w:sz w:val="28"/>
              </w:rPr>
              <w:t>平方米</w:t>
            </w:r>
            <w:r>
              <w:rPr>
                <w:rFonts w:hint="default" w:ascii="Times New Roman" w:hAnsi="Times New Roman" w:eastAsia="Times New Roman" w:cs="Times New Roman"/>
                <w:color w:val="auto"/>
                <w:sz w:val="28"/>
              </w:rPr>
              <w:t>)</w:t>
            </w:r>
          </w:p>
        </w:tc>
        <w:tc>
          <w:tcPr>
            <w:tcW w:w="1660" w:type="dxa"/>
            <w:vAlign w:val="top"/>
          </w:tcPr>
          <w:p>
            <w:pPr>
              <w:autoSpaceDE w:val="0"/>
              <w:autoSpaceDN w:val="0"/>
              <w:snapToGrid w:val="0"/>
              <w:spacing w:before="292" w:after="0" w:line="350" w:lineRule="exact"/>
              <w:ind w:left="26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结构形式</w:t>
            </w:r>
          </w:p>
        </w:tc>
        <w:tc>
          <w:tcPr>
            <w:tcW w:w="850" w:type="dxa"/>
            <w:vAlign w:val="top"/>
          </w:tcPr>
          <w:p>
            <w:pPr>
              <w:autoSpaceDE w:val="0"/>
              <w:autoSpaceDN w:val="0"/>
              <w:snapToGrid w:val="0"/>
              <w:spacing w:before="292"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层数</w:t>
            </w:r>
          </w:p>
        </w:tc>
        <w:tc>
          <w:tcPr>
            <w:tcW w:w="1560" w:type="dxa"/>
            <w:vAlign w:val="top"/>
          </w:tcPr>
          <w:p>
            <w:pPr>
              <w:autoSpaceDE w:val="0"/>
              <w:autoSpaceDN w:val="0"/>
              <w:snapToGrid w:val="0"/>
              <w:spacing w:before="292" w:after="0" w:line="350" w:lineRule="exact"/>
              <w:ind w:left="21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生产能力</w:t>
            </w:r>
          </w:p>
        </w:tc>
        <w:tc>
          <w:tcPr>
            <w:tcW w:w="2126" w:type="dxa"/>
            <w:vAlign w:val="top"/>
          </w:tcPr>
          <w:p>
            <w:pPr>
              <w:autoSpaceDE w:val="0"/>
              <w:autoSpaceDN w:val="0"/>
              <w:snapToGrid w:val="0"/>
              <w:spacing w:before="292" w:after="0" w:line="350" w:lineRule="exact"/>
              <w:ind w:left="218"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设备安装内容</w:t>
            </w:r>
          </w:p>
        </w:tc>
        <w:tc>
          <w:tcPr>
            <w:tcW w:w="1417" w:type="dxa"/>
            <w:vAlign w:val="top"/>
          </w:tcPr>
          <w:p>
            <w:pPr>
              <w:autoSpaceDE w:val="0"/>
              <w:autoSpaceDN w:val="0"/>
              <w:snapToGrid w:val="0"/>
              <w:spacing w:before="72" w:after="0" w:line="350" w:lineRule="exact"/>
              <w:ind w:left="143"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合同价格</w:t>
            </w:r>
          </w:p>
          <w:p>
            <w:pPr>
              <w:autoSpaceDE w:val="0"/>
              <w:autoSpaceDN w:val="0"/>
              <w:snapToGrid w:val="0"/>
              <w:spacing w:before="90" w:after="0" w:line="350" w:lineRule="exact"/>
              <w:ind w:left="283"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（元）</w:t>
            </w:r>
          </w:p>
        </w:tc>
        <w:tc>
          <w:tcPr>
            <w:tcW w:w="852" w:type="dxa"/>
            <w:vAlign w:val="top"/>
          </w:tcPr>
          <w:p>
            <w:pPr>
              <w:autoSpaceDE w:val="0"/>
              <w:autoSpaceDN w:val="0"/>
              <w:snapToGrid w:val="0"/>
              <w:spacing w:before="72" w:after="0" w:line="350" w:lineRule="exact"/>
              <w:ind w:left="14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开工</w:t>
            </w:r>
          </w:p>
          <w:p>
            <w:pPr>
              <w:autoSpaceDE w:val="0"/>
              <w:autoSpaceDN w:val="0"/>
              <w:snapToGrid w:val="0"/>
              <w:spacing w:before="90" w:after="0" w:line="350" w:lineRule="exact"/>
              <w:ind w:left="14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日期</w:t>
            </w:r>
          </w:p>
        </w:tc>
        <w:tc>
          <w:tcPr>
            <w:tcW w:w="850" w:type="dxa"/>
            <w:vAlign w:val="top"/>
          </w:tcPr>
          <w:p>
            <w:pPr>
              <w:autoSpaceDE w:val="0"/>
              <w:autoSpaceDN w:val="0"/>
              <w:snapToGrid w:val="0"/>
              <w:spacing w:before="72"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竣工</w:t>
            </w:r>
          </w:p>
          <w:p>
            <w:pPr>
              <w:autoSpaceDE w:val="0"/>
              <w:autoSpaceDN w:val="0"/>
              <w:snapToGrid w:val="0"/>
              <w:spacing w:before="90"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4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6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56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2126"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bl>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sectPr>
          <w:footnotePr>
            <w:numStart w:val="0"/>
          </w:footnotePr>
          <w:endnotePr>
            <w:numFmt w:val="decimal"/>
            <w:numStart w:val="0"/>
          </w:endnotePr>
          <w:pgSz w:w="16840" w:h="11907" w:orient="landscape"/>
          <w:pgMar w:top="1080" w:right="1186" w:bottom="1114" w:left="649"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20" w:name="_Toc13983_WPSOffice_Level2"/>
      <w:bookmarkStart w:id="121" w:name="_Toc5710_WPSOffice_Level2"/>
      <w:bookmarkStart w:id="122" w:name="_Toc31508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4</w:t>
      </w:r>
      <w:r>
        <w:rPr>
          <w:rFonts w:hint="default" w:ascii="仿宋" w:hAnsi="仿宋" w:eastAsia="仿宋" w:cs="仿宋"/>
          <w:color w:val="auto"/>
          <w:sz w:val="30"/>
        </w:rPr>
        <w:t>：</w:t>
      </w:r>
      <w:bookmarkEnd w:id="120"/>
      <w:bookmarkEnd w:id="121"/>
      <w:bookmarkEnd w:id="122"/>
    </w:p>
    <w:p>
      <w:pPr>
        <w:autoSpaceDE w:val="0"/>
        <w:autoSpaceDN w:val="0"/>
        <w:snapToGrid w:val="0"/>
        <w:spacing w:before="185" w:after="693" w:line="375" w:lineRule="exact"/>
        <w:ind w:left="3074" w:right="0" w:firstLine="0"/>
        <w:jc w:val="left"/>
        <w:textAlignment w:val="auto"/>
        <w:rPr>
          <w:rFonts w:hint="default" w:ascii="黑体" w:hAnsi="黑体" w:eastAsia="黑体" w:cs="黑体"/>
          <w:color w:val="auto"/>
          <w:sz w:val="30"/>
        </w:rPr>
      </w:pPr>
      <w:bookmarkStart w:id="123" w:name="_Toc2239_WPSOffice_Level2"/>
      <w:bookmarkStart w:id="124" w:name="_Toc3529_WPSOffice_Level2"/>
      <w:bookmarkStart w:id="125" w:name="_Toc17246_WPSOffice_Level2"/>
      <w:r>
        <w:rPr>
          <w:rFonts w:hint="default" w:ascii="黑体" w:hAnsi="黑体" w:eastAsia="黑体" w:cs="黑体"/>
          <w:color w:val="auto"/>
          <w:sz w:val="30"/>
        </w:rPr>
        <w:t>分包人主要施工管理人员表</w:t>
      </w:r>
      <w:bookmarkEnd w:id="123"/>
      <w:bookmarkEnd w:id="124"/>
      <w:bookmarkEnd w:id="125"/>
    </w:p>
    <w:tbl>
      <w:tblPr>
        <w:tblStyle w:val="6"/>
        <w:tblW w:w="9809"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1"/>
        <w:gridCol w:w="1418"/>
        <w:gridCol w:w="1134"/>
        <w:gridCol w:w="1134"/>
        <w:gridCol w:w="4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exact"/>
        </w:trPr>
        <w:tc>
          <w:tcPr>
            <w:tcW w:w="1871" w:type="dxa"/>
            <w:vAlign w:val="top"/>
          </w:tcPr>
          <w:p>
            <w:pPr>
              <w:autoSpaceDE w:val="0"/>
              <w:autoSpaceDN w:val="0"/>
              <w:snapToGrid w:val="0"/>
              <w:spacing w:before="29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名</w:t>
            </w:r>
            <w:r>
              <w:rPr>
                <w:rFonts w:hint="default" w:ascii="仿宋" w:hAnsi="仿宋" w:eastAsia="仿宋" w:cs="仿宋"/>
                <w:color w:val="auto"/>
                <w:spacing w:val="210"/>
                <w:sz w:val="28"/>
              </w:rPr>
              <w:t xml:space="preserve"> </w:t>
            </w:r>
            <w:r>
              <w:rPr>
                <w:rFonts w:hint="default" w:ascii="仿宋" w:hAnsi="仿宋" w:eastAsia="仿宋" w:cs="仿宋"/>
                <w:color w:val="auto"/>
                <w:sz w:val="28"/>
              </w:rPr>
              <w:t>称</w:t>
            </w:r>
          </w:p>
        </w:tc>
        <w:tc>
          <w:tcPr>
            <w:tcW w:w="1418" w:type="dxa"/>
            <w:vAlign w:val="top"/>
          </w:tcPr>
          <w:p>
            <w:pPr>
              <w:autoSpaceDE w:val="0"/>
              <w:autoSpaceDN w:val="0"/>
              <w:snapToGrid w:val="0"/>
              <w:spacing w:before="292" w:after="0" w:line="350" w:lineRule="exact"/>
              <w:ind w:left="42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姓名</w:t>
            </w:r>
          </w:p>
        </w:tc>
        <w:tc>
          <w:tcPr>
            <w:tcW w:w="1134" w:type="dxa"/>
            <w:vAlign w:val="top"/>
          </w:tcPr>
          <w:p>
            <w:pPr>
              <w:autoSpaceDE w:val="0"/>
              <w:autoSpaceDN w:val="0"/>
              <w:snapToGrid w:val="0"/>
              <w:spacing w:before="272" w:after="0" w:line="375" w:lineRule="exact"/>
              <w:ind w:left="262"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职务</w:t>
            </w:r>
          </w:p>
        </w:tc>
        <w:tc>
          <w:tcPr>
            <w:tcW w:w="1134" w:type="dxa"/>
            <w:vAlign w:val="top"/>
          </w:tcPr>
          <w:p>
            <w:pPr>
              <w:autoSpaceDE w:val="0"/>
              <w:autoSpaceDN w:val="0"/>
              <w:snapToGrid w:val="0"/>
              <w:spacing w:before="272" w:after="0" w:line="375" w:lineRule="exact"/>
              <w:ind w:left="262"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职称</w:t>
            </w:r>
          </w:p>
        </w:tc>
        <w:tc>
          <w:tcPr>
            <w:tcW w:w="4252" w:type="dxa"/>
            <w:vAlign w:val="top"/>
          </w:tcPr>
          <w:p>
            <w:pPr>
              <w:autoSpaceDE w:val="0"/>
              <w:autoSpaceDN w:val="0"/>
              <w:snapToGrid w:val="0"/>
              <w:spacing w:before="52" w:after="0" w:line="375" w:lineRule="exact"/>
              <w:ind w:left="171"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主要资历、经验及承担过的项</w:t>
            </w:r>
          </w:p>
          <w:p>
            <w:pPr>
              <w:autoSpaceDE w:val="0"/>
              <w:autoSpaceDN w:val="0"/>
              <w:snapToGrid w:val="0"/>
              <w:spacing w:before="65" w:after="0" w:line="375" w:lineRule="exact"/>
              <w:ind w:left="1971" w:right="0" w:firstLine="0"/>
              <w:jc w:val="left"/>
              <w:textAlignment w:val="auto"/>
              <w:rPr>
                <w:rFonts w:hint="default" w:ascii="仿宋" w:hAnsi="仿宋" w:eastAsia="仿宋" w:cs="仿宋"/>
                <w:color w:val="auto"/>
                <w:sz w:val="30"/>
              </w:rPr>
            </w:pPr>
            <w:r>
              <w:rPr>
                <w:rFonts w:hint="default" w:ascii="仿宋" w:hAnsi="仿宋" w:eastAsia="仿宋" w:cs="仿宋"/>
                <w:color w:val="auto"/>
                <w:sz w:val="30"/>
              </w:rPr>
              <w:t>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809" w:type="dxa"/>
            <w:gridSpan w:val="5"/>
            <w:vAlign w:val="top"/>
          </w:tcPr>
          <w:p>
            <w:pPr>
              <w:autoSpaceDE w:val="0"/>
              <w:autoSpaceDN w:val="0"/>
              <w:snapToGrid w:val="0"/>
              <w:spacing w:before="72" w:after="0" w:line="350" w:lineRule="exact"/>
              <w:ind w:left="406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一、总部人员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项目主管</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restart"/>
            <w:vAlign w:val="top"/>
          </w:tcPr>
          <w:p>
            <w:pPr>
              <w:autoSpaceDE w:val="0"/>
              <w:autoSpaceDN w:val="0"/>
              <w:snapToGrid w:val="0"/>
              <w:spacing w:before="49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其他人员</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9809" w:type="dxa"/>
            <w:gridSpan w:val="5"/>
            <w:vAlign w:val="top"/>
          </w:tcPr>
          <w:p>
            <w:pPr>
              <w:autoSpaceDE w:val="0"/>
              <w:autoSpaceDN w:val="0"/>
              <w:snapToGrid w:val="0"/>
              <w:spacing w:before="72" w:after="0" w:line="350" w:lineRule="exact"/>
              <w:ind w:left="406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二、现场人员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项目经理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23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项目副经理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23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技术负责人</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造价管理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质量管理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材料管理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计划管理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Align w:val="top"/>
          </w:tcPr>
          <w:p>
            <w:pPr>
              <w:autoSpaceDE w:val="0"/>
              <w:autoSpaceDN w:val="0"/>
              <w:snapToGrid w:val="0"/>
              <w:spacing w:before="72"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安全管理</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restart"/>
            <w:vAlign w:val="top"/>
          </w:tcPr>
          <w:p>
            <w:pPr>
              <w:autoSpaceDE w:val="0"/>
              <w:autoSpaceDN w:val="0"/>
              <w:snapToGrid w:val="0"/>
              <w:spacing w:before="1197" w:after="0" w:line="350" w:lineRule="exact"/>
              <w:ind w:left="371"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其他人员</w:t>
            </w: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0" w:hRule="exact"/>
        </w:trPr>
        <w:tc>
          <w:tcPr>
            <w:tcW w:w="1871" w:type="dxa"/>
            <w:vMerge w:val="continue"/>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425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bl>
    <w:p>
      <w:pPr>
        <w:numPr>
          <w:ilvl w:val="0"/>
          <w:numId w:val="0"/>
        </w:numPr>
        <w:autoSpaceDE w:val="0"/>
        <w:autoSpaceDN w:val="0"/>
        <w:snapToGrid w:val="0"/>
        <w:spacing w:before="3070" w:after="0" w:line="240" w:lineRule="auto"/>
        <w:ind w:right="0" w:rightChars="0"/>
        <w:jc w:val="left"/>
        <w:textAlignment w:val="auto"/>
        <w:rPr>
          <w:rFonts w:hint="default" w:ascii="仿宋" w:hAnsi="仿宋" w:eastAsia="仿宋" w:cs="仿宋"/>
          <w:color w:val="auto"/>
          <w:sz w:val="28"/>
        </w:rPr>
        <w:sectPr>
          <w:footnotePr>
            <w:numStart w:val="0"/>
          </w:footnotePr>
          <w:endnotePr>
            <w:numFmt w:val="decimal"/>
            <w:numStart w:val="0"/>
          </w:endnotePr>
          <w:pgSz w:w="11907" w:h="16840"/>
          <w:pgMar w:top="1186" w:right="122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26" w:name="_Toc29957_WPSOffice_Level2"/>
      <w:bookmarkStart w:id="127" w:name="_Toc5132_WPSOffice_Level2"/>
      <w:bookmarkStart w:id="128" w:name="_Toc21019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5</w:t>
      </w:r>
      <w:r>
        <w:rPr>
          <w:rFonts w:hint="default" w:ascii="仿宋" w:hAnsi="仿宋" w:eastAsia="仿宋" w:cs="仿宋"/>
          <w:color w:val="auto"/>
          <w:sz w:val="30"/>
        </w:rPr>
        <w:t>：</w:t>
      </w:r>
      <w:bookmarkEnd w:id="126"/>
      <w:bookmarkEnd w:id="127"/>
      <w:bookmarkEnd w:id="128"/>
    </w:p>
    <w:p>
      <w:pPr>
        <w:autoSpaceDE w:val="0"/>
        <w:autoSpaceDN w:val="0"/>
        <w:snapToGrid w:val="0"/>
        <w:spacing w:before="185" w:after="0" w:line="375" w:lineRule="exact"/>
        <w:ind w:left="4273" w:right="0" w:firstLine="0"/>
        <w:jc w:val="left"/>
        <w:textAlignment w:val="auto"/>
        <w:rPr>
          <w:rFonts w:hint="default" w:ascii="黑体" w:hAnsi="黑体" w:eastAsia="黑体" w:cs="黑体"/>
          <w:color w:val="auto"/>
          <w:sz w:val="30"/>
          <w:highlight w:val="red"/>
        </w:rPr>
      </w:pPr>
      <w:bookmarkStart w:id="129" w:name="_Toc5175_WPSOffice_Level2"/>
      <w:bookmarkStart w:id="130" w:name="_Toc15030_WPSOffice_Level2"/>
      <w:bookmarkStart w:id="131" w:name="_Toc7197_WPSOffice_Level2"/>
      <w:r>
        <w:rPr>
          <w:rFonts w:hint="default" w:ascii="黑体" w:hAnsi="黑体" w:eastAsia="黑体" w:cs="黑体"/>
          <w:color w:val="auto"/>
          <w:sz w:val="30"/>
          <w:highlight w:val="none"/>
        </w:rPr>
        <w:t>履约担保</w:t>
      </w:r>
      <w:bookmarkEnd w:id="129"/>
      <w:bookmarkEnd w:id="130"/>
      <w:bookmarkEnd w:id="131"/>
    </w:p>
    <w:p>
      <w:pPr>
        <w:autoSpaceDE w:val="0"/>
        <w:autoSpaceDN w:val="0"/>
        <w:snapToGrid w:val="0"/>
        <w:spacing w:before="499" w:after="0" w:line="263" w:lineRule="exact"/>
        <w:ind w:left="273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（发包人名称）：</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1814830</wp:posOffset>
                </wp:positionV>
                <wp:extent cx="1733550" cy="0"/>
                <wp:effectExtent l="0" t="0" r="0" b="0"/>
                <wp:wrapNone/>
                <wp:docPr id="1132" name="1132"/>
                <wp:cNvGraphicFramePr/>
                <a:graphic xmlns:a="http://schemas.openxmlformats.org/drawingml/2006/main">
                  <a:graphicData uri="http://schemas.microsoft.com/office/word/2010/wordprocessingShape">
                    <wps:wsp>
                      <wps:cNvCnPr/>
                      <wps:spPr>
                        <a:xfrm>
                          <a:off x="0" y="0"/>
                          <a:ext cx="17335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32" o:spid="_x0000_s1026" o:spt="20" style="position:absolute;left:0pt;margin-left:54pt;margin-top:142.9pt;height:0pt;width:136.5pt;mso-position-horizontal-relative:page;mso-position-vertical-relative:page;z-index:-251657216;mso-width-relative:page;mso-height-relative:page;" fillcolor="#FFFFFF" filled="t" stroked="t" coordsize="21600,21600" o:gfxdata="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Bq3+fPVAAAACwEAAA8AAAAAAAAAAQAgAAAAIgAAAGRycy9kb3du&#10;cmV2LnhtbFBLAQIUABQAAAAIAIdO4kAoBPraAgIAAEAEAAAOAAAAAAAAAAEAIAAAACQBAABkcnMv&#10;ZTJvRG9jLnhtbFBLBQYAAAAABgAGAFkBAACYBQ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鉴于</w:t>
      </w:r>
      <w:r>
        <w:rPr>
          <w:rFonts w:hint="default" w:ascii="宋体" w:hAnsi="宋体" w:eastAsia="宋体" w:cs="宋体"/>
          <w:color w:val="auto"/>
          <w:spacing w:val="2048"/>
          <w:sz w:val="21"/>
          <w:u w:val="single" w:color="000000"/>
        </w:rPr>
        <w:t xml:space="preserve"> </w:t>
      </w:r>
      <w:r>
        <w:rPr>
          <w:rFonts w:hint="default" w:ascii="宋体" w:hAnsi="宋体" w:eastAsia="宋体" w:cs="宋体"/>
          <w:color w:val="auto"/>
          <w:sz w:val="21"/>
        </w:rPr>
        <w:t>（发包人名称，以下简称</w:t>
      </w:r>
      <w:r>
        <w:rPr>
          <w:rFonts w:hint="default" w:ascii="Times New Roman" w:hAnsi="Times New Roman" w:eastAsia="Times New Roman" w:cs="Times New Roman"/>
          <w:color w:val="auto"/>
          <w:sz w:val="21"/>
        </w:rPr>
        <w:t>“</w:t>
      </w:r>
      <w:r>
        <w:rPr>
          <w:rFonts w:hint="default" w:ascii="宋体" w:hAnsi="宋体" w:eastAsia="宋体" w:cs="宋体"/>
          <w:color w:val="auto"/>
          <w:sz w:val="21"/>
        </w:rPr>
        <w:t>发包人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）已</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于</w:t>
      </w:r>
      <w:r>
        <w:rPr>
          <w:rFonts w:hint="default" w:ascii="宋体" w:hAnsi="宋体" w:eastAsia="宋体" w:cs="宋体"/>
          <w:color w:val="auto"/>
          <w:spacing w:val="547"/>
          <w:sz w:val="21"/>
          <w:u w:val="single" w:color="000000"/>
        </w:rPr>
        <w:t xml:space="preserve"> </w:t>
      </w:r>
      <w:r>
        <w:rPr>
          <w:rFonts w:hint="default" w:ascii="宋体" w:hAnsi="宋体" w:eastAsia="宋体" w:cs="宋体"/>
          <w:color w:val="auto"/>
          <w:spacing w:val="-1"/>
          <w:sz w:val="21"/>
        </w:rPr>
        <w:t>年</w:t>
      </w:r>
      <w:r>
        <w:rPr>
          <w:rFonts w:hint="default" w:ascii="宋体" w:hAnsi="宋体" w:eastAsia="宋体" w:cs="宋体"/>
          <w:color w:val="auto"/>
          <w:spacing w:val="274"/>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75"/>
          <w:sz w:val="21"/>
          <w:u w:val="single" w:color="000000"/>
        </w:rPr>
        <w:t xml:space="preserve"> </w:t>
      </w:r>
      <w:r>
        <w:rPr>
          <w:rFonts w:hint="default" w:ascii="宋体" w:hAnsi="宋体" w:eastAsia="宋体" w:cs="宋体"/>
          <w:color w:val="auto"/>
          <w:sz w:val="21"/>
        </w:rPr>
        <w:t>日发放中标通知书，明确</w:t>
      </w:r>
      <w:r>
        <w:rPr>
          <w:rFonts w:hint="default" w:ascii="宋体" w:hAnsi="宋体" w:eastAsia="宋体" w:cs="宋体"/>
          <w:color w:val="auto"/>
          <w:spacing w:val="1149"/>
          <w:sz w:val="21"/>
          <w:u w:val="single" w:color="000000"/>
        </w:rPr>
        <w:t xml:space="preserve"> </w:t>
      </w:r>
      <w:r>
        <w:rPr>
          <w:rFonts w:hint="default" w:ascii="宋体" w:hAnsi="宋体" w:eastAsia="宋体" w:cs="宋体"/>
          <w:color w:val="auto"/>
          <w:sz w:val="21"/>
        </w:rPr>
        <w:t>（承包人名称）（以</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下称</w:t>
      </w:r>
      <w:r>
        <w:rPr>
          <w:rFonts w:hint="default" w:ascii="Times New Roman" w:hAnsi="Times New Roman" w:eastAsia="Times New Roman" w:cs="Times New Roman"/>
          <w:color w:val="auto"/>
          <w:spacing w:val="-1"/>
          <w:sz w:val="21"/>
        </w:rPr>
        <w:t>“</w:t>
      </w:r>
      <w:r>
        <w:rPr>
          <w:rFonts w:hint="default" w:ascii="宋体" w:hAnsi="宋体" w:eastAsia="宋体" w:cs="宋体"/>
          <w:color w:val="auto"/>
          <w:spacing w:val="-1"/>
          <w:sz w:val="21"/>
        </w:rPr>
        <w:t>承包人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）为</w:t>
      </w:r>
      <w:r>
        <w:rPr>
          <w:rFonts w:hint="default" w:ascii="宋体" w:hAnsi="宋体" w:eastAsia="宋体" w:cs="宋体"/>
          <w:color w:val="auto"/>
          <w:spacing w:val="1368"/>
          <w:sz w:val="21"/>
          <w:u w:val="single" w:color="000000"/>
        </w:rPr>
        <w:t xml:space="preserve"> </w:t>
      </w:r>
      <w:r>
        <w:rPr>
          <w:rFonts w:hint="default" w:ascii="宋体" w:hAnsi="宋体" w:eastAsia="宋体" w:cs="宋体"/>
          <w:color w:val="auto"/>
          <w:sz w:val="21"/>
        </w:rPr>
        <w:t>（工程名称）的中标人。我方愿意无条件地、不可撤销地</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就承包人履行与你方就该工程签订的合同，向你方提供连带责任担保。</w:t>
      </w:r>
    </w:p>
    <w:p>
      <w:pPr>
        <w:numPr>
          <w:ilvl w:val="0"/>
          <w:numId w:val="94"/>
        </w:numPr>
        <w:autoSpaceDE w:val="0"/>
        <w:autoSpaceDN w:val="0"/>
        <w:snapToGrid w:val="0"/>
        <w:spacing w:before="146"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担保金额人民币（大写）</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元（</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630"/>
          <w:sz w:val="21"/>
          <w:u w:val="single" w:color="000000"/>
        </w:rPr>
        <w:t xml:space="preserve"> </w:t>
      </w:r>
      <w:r>
        <w:rPr>
          <w:rFonts w:hint="default" w:ascii="宋体" w:hAnsi="宋体" w:eastAsia="宋体" w:cs="宋体"/>
          <w:color w:val="auto"/>
          <w:sz w:val="21"/>
        </w:rPr>
        <w:t>）。</w:t>
      </w:r>
    </w:p>
    <w:p>
      <w:pPr>
        <w:numPr>
          <w:ilvl w:val="0"/>
          <w:numId w:val="94"/>
        </w:numPr>
        <w:autoSpaceDE w:val="0"/>
        <w:autoSpaceDN w:val="0"/>
        <w:snapToGrid w:val="0"/>
        <w:spacing w:before="153"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担保有效期自你方与承包人签订的合同生效之日起至你方签发或应签发工程接收证书之日止。</w:t>
      </w:r>
    </w:p>
    <w:p>
      <w:pPr>
        <w:numPr>
          <w:ilvl w:val="0"/>
          <w:numId w:val="17"/>
        </w:numPr>
        <w:autoSpaceDE w:val="0"/>
        <w:autoSpaceDN w:val="0"/>
        <w:snapToGrid w:val="0"/>
        <w:spacing w:before="36" w:after="0" w:line="408"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在本担保有效</w:t>
      </w:r>
      <w:r>
        <w:rPr>
          <w:rFonts w:hint="default" w:ascii="宋体" w:hAnsi="宋体" w:eastAsia="宋体" w:cs="宋体"/>
          <w:color w:val="auto"/>
          <w:sz w:val="21"/>
        </w:rPr>
        <w:t>期内，因承包人违反合同约定的义务给你方造成经济损失时，我方在收到你方以书面形式提出的在担保金额内的赔偿要求后，</w:t>
      </w:r>
      <w:r>
        <w:rPr>
          <w:rFonts w:hint="default" w:ascii="宋体" w:hAnsi="宋体" w:eastAsia="宋体" w:cs="宋体"/>
          <w:color w:val="auto"/>
          <w:spacing w:val="26"/>
          <w:sz w:val="21"/>
        </w:rPr>
        <w:t>在</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天内无条件支付。</w:t>
      </w:r>
    </w:p>
    <w:p>
      <w:pPr>
        <w:numPr>
          <w:ilvl w:val="0"/>
          <w:numId w:val="95"/>
        </w:numPr>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你方和承包人按合同约定变更合同时，我方承担本担保规定的义务不变。</w:t>
      </w:r>
    </w:p>
    <w:p>
      <w:pPr>
        <w:numPr>
          <w:ilvl w:val="0"/>
          <w:numId w:val="61"/>
        </w:numPr>
        <w:autoSpaceDE w:val="0"/>
        <w:autoSpaceDN w:val="0"/>
        <w:snapToGrid w:val="0"/>
        <w:spacing w:before="153" w:after="0" w:line="240" w:lineRule="auto"/>
        <w:ind w:left="717" w:right="0" w:hanging="297"/>
        <w:jc w:val="left"/>
        <w:textAlignment w:val="auto"/>
        <w:rPr>
          <w:rFonts w:hint="default" w:ascii="Times New Roman" w:hAnsi="Times New Roman" w:eastAsia="Times New Roman" w:cs="Times New Roman"/>
          <w:color w:val="auto"/>
          <w:sz w:val="21"/>
        </w:rPr>
      </w:pPr>
      <w:bookmarkStart w:id="132" w:name="_Toc2596_WPSOffice_Level2"/>
      <w:bookmarkStart w:id="133" w:name="_Toc5186_WPSOffice_Level2"/>
      <w:bookmarkStart w:id="134" w:name="_Toc30791_WPSOffice_Level2"/>
      <w:r>
        <w:rPr>
          <w:rFonts w:hint="default" w:ascii="宋体" w:hAnsi="宋体" w:eastAsia="宋体" w:cs="宋体"/>
          <w:color w:val="auto"/>
          <w:spacing w:val="-1"/>
          <w:sz w:val="21"/>
        </w:rPr>
        <w:t>因本保函发</w:t>
      </w:r>
      <w:r>
        <w:rPr>
          <w:rFonts w:hint="default" w:ascii="宋体" w:hAnsi="宋体" w:eastAsia="宋体" w:cs="宋体"/>
          <w:color w:val="auto"/>
          <w:sz w:val="21"/>
        </w:rPr>
        <w:t>生的纠纷，可由双方协商解决，协商不成的，任何一方均可提请</w:t>
      </w:r>
      <w:r>
        <w:rPr>
          <w:rFonts w:hint="default" w:ascii="宋体" w:hAnsi="宋体" w:eastAsia="宋体" w:cs="宋体"/>
          <w:color w:val="auto"/>
          <w:spacing w:val="367"/>
          <w:sz w:val="21"/>
          <w:u w:val="single" w:color="000000"/>
        </w:rPr>
        <w:t xml:space="preserve"> </w:t>
      </w:r>
      <w:r>
        <w:rPr>
          <w:rFonts w:hint="default" w:ascii="宋体" w:hAnsi="宋体" w:eastAsia="宋体" w:cs="宋体"/>
          <w:color w:val="auto"/>
          <w:sz w:val="21"/>
        </w:rPr>
        <w:t>仲裁委员会仲</w:t>
      </w:r>
      <w:bookmarkEnd w:id="132"/>
      <w:bookmarkEnd w:id="133"/>
      <w:bookmarkEnd w:id="134"/>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裁。</w:t>
      </w:r>
    </w:p>
    <w:p>
      <w:pPr>
        <w:numPr>
          <w:ilvl w:val="0"/>
          <w:numId w:val="96"/>
        </w:numPr>
        <w:autoSpaceDE w:val="0"/>
        <w:autoSpaceDN w:val="0"/>
        <w:snapToGrid w:val="0"/>
        <w:spacing w:before="146"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本保函自我方法定代表人（或其授权代理人）签字并加盖公章之日起生效。</w:t>
      </w:r>
    </w:p>
    <w:p>
      <w:pPr>
        <w:autoSpaceDE w:val="0"/>
        <w:autoSpaceDN w:val="0"/>
        <w:snapToGrid w:val="0"/>
        <w:spacing w:before="51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 保 人：</w:t>
      </w:r>
      <w:r>
        <w:rPr>
          <w:rFonts w:hint="default" w:ascii="宋体" w:hAnsi="宋体" w:eastAsia="宋体" w:cs="宋体"/>
          <w:color w:val="auto"/>
          <w:spacing w:val="1365"/>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地</w:t>
      </w:r>
      <w:r>
        <w:rPr>
          <w:rFonts w:hint="default" w:ascii="宋体" w:hAnsi="宋体" w:eastAsia="宋体" w:cs="宋体"/>
          <w:color w:val="auto"/>
          <w:spacing w:val="158"/>
          <w:sz w:val="21"/>
        </w:rPr>
        <w:t xml:space="preserve"> </w:t>
      </w:r>
      <w:r>
        <w:rPr>
          <w:rFonts w:hint="default" w:ascii="宋体" w:hAnsi="宋体" w:eastAsia="宋体" w:cs="宋体"/>
          <w:color w:val="auto"/>
          <w:sz w:val="21"/>
        </w:rPr>
        <w:t>址：</w:t>
      </w:r>
      <w:r>
        <w:rPr>
          <w:rFonts w:hint="eastAsia" w:ascii="宋体" w:hAnsi="宋体" w:eastAsia="宋体" w:cs="宋体"/>
          <w:color w:val="auto"/>
          <w:sz w:val="21"/>
          <w:u w:val="single"/>
          <w:lang w:val="en-US" w:eastAsia="zh-CN"/>
        </w:rPr>
        <w:t xml:space="preserve">                                      1</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邮政编码：</w:t>
      </w:r>
      <w:r>
        <w:rPr>
          <w:rFonts w:hint="eastAsia" w:ascii="宋体" w:hAnsi="宋体" w:eastAsia="宋体" w:cs="宋体"/>
          <w:color w:val="auto"/>
          <w:sz w:val="21"/>
          <w:u w:val="single"/>
          <w:lang w:val="en-US" w:eastAsia="zh-CN"/>
        </w:rPr>
        <w:t xml:space="preserve">                                      1</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电</w:t>
      </w:r>
      <w:r>
        <w:rPr>
          <w:rFonts w:hint="default" w:ascii="宋体" w:hAnsi="宋体" w:eastAsia="宋体" w:cs="宋体"/>
          <w:color w:val="auto"/>
          <w:spacing w:val="158"/>
          <w:sz w:val="21"/>
        </w:rPr>
        <w:t xml:space="preserve"> </w:t>
      </w:r>
      <w:r>
        <w:rPr>
          <w:rFonts w:hint="default" w:ascii="宋体" w:hAnsi="宋体" w:eastAsia="宋体" w:cs="宋体"/>
          <w:color w:val="auto"/>
          <w:sz w:val="21"/>
        </w:rPr>
        <w:t>话：</w:t>
      </w:r>
      <w:r>
        <w:rPr>
          <w:rFonts w:hint="eastAsia" w:ascii="宋体" w:hAnsi="宋体" w:eastAsia="宋体" w:cs="宋体"/>
          <w:color w:val="auto"/>
          <w:sz w:val="21"/>
          <w:u w:val="single"/>
          <w:lang w:val="en-US" w:eastAsia="zh-CN"/>
        </w:rPr>
        <w:t xml:space="preserve">                                      1</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u w:val="single"/>
          <w:lang w:val="en-US" w:eastAsia="zh-CN"/>
        </w:rPr>
      </w:pPr>
      <w:r>
        <w:rPr>
          <w:rFonts w:hint="default" w:ascii="宋体" w:hAnsi="宋体" w:eastAsia="宋体" w:cs="宋体"/>
          <w:color w:val="auto"/>
          <w:sz w:val="21"/>
        </w:rPr>
        <w:t>传</w:t>
      </w:r>
      <w:r>
        <w:rPr>
          <w:rFonts w:hint="default" w:ascii="宋体" w:hAnsi="宋体" w:eastAsia="宋体" w:cs="宋体"/>
          <w:color w:val="auto"/>
          <w:spacing w:val="158"/>
          <w:sz w:val="21"/>
        </w:rPr>
        <w:t xml:space="preserve"> </w:t>
      </w:r>
      <w:r>
        <w:rPr>
          <w:rFonts w:hint="default" w:ascii="宋体" w:hAnsi="宋体" w:eastAsia="宋体" w:cs="宋体"/>
          <w:color w:val="auto"/>
          <w:sz w:val="21"/>
        </w:rPr>
        <w:t>真：</w:t>
      </w:r>
      <w:r>
        <w:rPr>
          <w:rFonts w:hint="eastAsia" w:ascii="宋体" w:hAnsi="宋体" w:eastAsia="宋体" w:cs="宋体"/>
          <w:color w:val="auto"/>
          <w:sz w:val="21"/>
          <w:u w:val="single"/>
          <w:lang w:val="en-US" w:eastAsia="zh-CN"/>
        </w:rPr>
        <w:t xml:space="preserve">                                      1</w:t>
      </w:r>
    </w:p>
    <w:p>
      <w:pPr>
        <w:autoSpaceDE w:val="0"/>
        <w:autoSpaceDN w:val="0"/>
        <w:snapToGrid w:val="0"/>
        <w:spacing w:before="508" w:after="0" w:line="263" w:lineRule="exact"/>
        <w:ind w:left="2730" w:right="0" w:firstLine="0"/>
        <w:jc w:val="left"/>
        <w:textAlignment w:val="auto"/>
        <w:rPr>
          <w:rFonts w:hint="default" w:ascii="宋体" w:hAnsi="宋体" w:eastAsia="宋体" w:cs="宋体"/>
          <w:color w:val="auto"/>
          <w:sz w:val="21"/>
        </w:rPr>
      </w:pPr>
      <w:bookmarkStart w:id="135" w:name="_Toc16968_WPSOffice_Level2"/>
      <w:bookmarkStart w:id="136" w:name="_Toc4102_WPSOffice_Level2"/>
      <w:bookmarkStart w:id="137" w:name="_Toc11475_WPSOffice_Level2"/>
      <w:r>
        <w:rPr>
          <w:rFonts w:hint="eastAsia" w:ascii="宋体" w:hAnsi="宋体" w:eastAsia="宋体" w:cs="宋体"/>
          <w:color w:val="auto"/>
          <w:sz w:val="21"/>
          <w:lang w:val="en-US" w:eastAsia="zh-CN"/>
        </w:rPr>
        <w:t>1</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年</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367"/>
          <w:sz w:val="21"/>
          <w:u w:val="single" w:color="000000"/>
        </w:rPr>
        <w:t xml:space="preserve"> </w:t>
      </w:r>
      <w:r>
        <w:rPr>
          <w:rFonts w:hint="default" w:ascii="宋体" w:hAnsi="宋体" w:eastAsia="宋体" w:cs="宋体"/>
          <w:color w:val="auto"/>
          <w:sz w:val="21"/>
        </w:rPr>
        <w:t>日</w:t>
      </w:r>
      <w:bookmarkEnd w:id="135"/>
      <w:bookmarkEnd w:id="136"/>
      <w:bookmarkEnd w:id="137"/>
    </w:p>
    <w:p>
      <w:pPr>
        <w:rPr>
          <w:rFonts w:hint="default" w:ascii="仿宋" w:hAnsi="仿宋" w:eastAsia="仿宋" w:cs="仿宋"/>
          <w:color w:val="auto"/>
          <w:sz w:val="30"/>
        </w:rPr>
      </w:pPr>
      <w:r>
        <w:rPr>
          <w:rFonts w:hint="default" w:ascii="仿宋" w:hAnsi="仿宋" w:eastAsia="仿宋" w:cs="仿宋"/>
          <w:color w:val="auto"/>
          <w:sz w:val="30"/>
        </w:rPr>
        <w:br w:type="page"/>
      </w: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38" w:name="_Toc31762_WPSOffice_Level2"/>
      <w:bookmarkStart w:id="139" w:name="_Toc422_WPSOffice_Level2"/>
      <w:bookmarkStart w:id="140" w:name="_Toc20165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6</w:t>
      </w:r>
      <w:r>
        <w:rPr>
          <w:rFonts w:hint="default" w:ascii="仿宋" w:hAnsi="仿宋" w:eastAsia="仿宋" w:cs="仿宋"/>
          <w:color w:val="auto"/>
          <w:sz w:val="30"/>
        </w:rPr>
        <w:t>：</w:t>
      </w:r>
      <w:bookmarkEnd w:id="138"/>
      <w:bookmarkEnd w:id="139"/>
      <w:bookmarkEnd w:id="140"/>
    </w:p>
    <w:p>
      <w:pPr>
        <w:autoSpaceDE w:val="0"/>
        <w:autoSpaceDN w:val="0"/>
        <w:snapToGrid w:val="0"/>
        <w:spacing w:before="185" w:after="693" w:line="375" w:lineRule="exact"/>
        <w:ind w:left="2474" w:right="0" w:firstLine="0"/>
        <w:jc w:val="left"/>
        <w:textAlignment w:val="auto"/>
        <w:rPr>
          <w:rFonts w:hint="default" w:ascii="黑体" w:hAnsi="黑体" w:eastAsia="黑体" w:cs="黑体"/>
          <w:color w:val="auto"/>
          <w:sz w:val="30"/>
        </w:rPr>
      </w:pPr>
      <w:bookmarkStart w:id="141" w:name="_Toc20989_WPSOffice_Level2"/>
      <w:bookmarkStart w:id="142" w:name="_Toc13843_WPSOffice_Level2"/>
      <w:bookmarkStart w:id="143" w:name="_Toc11703_WPSOffice_Level2"/>
      <w:r>
        <w:rPr>
          <w:rFonts w:hint="default" w:ascii="黑体" w:hAnsi="黑体" w:eastAsia="黑体" w:cs="黑体"/>
          <w:color w:val="auto"/>
          <w:sz w:val="30"/>
        </w:rPr>
        <w:t>承包人用于本工程施工的机械设备表</w:t>
      </w:r>
      <w:bookmarkEnd w:id="141"/>
      <w:bookmarkEnd w:id="142"/>
      <w:bookmarkEnd w:id="143"/>
    </w:p>
    <w:tbl>
      <w:tblPr>
        <w:tblStyle w:val="6"/>
        <w:tblW w:w="9809" w:type="dxa"/>
        <w:tblInd w:w="-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62"/>
        <w:gridCol w:w="1418"/>
        <w:gridCol w:w="850"/>
        <w:gridCol w:w="1058"/>
        <w:gridCol w:w="880"/>
        <w:gridCol w:w="1020"/>
        <w:gridCol w:w="1480"/>
        <w:gridCol w:w="1020"/>
        <w:gridCol w:w="92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90" w:hRule="exact"/>
        </w:trPr>
        <w:tc>
          <w:tcPr>
            <w:tcW w:w="1162" w:type="dxa"/>
            <w:vAlign w:val="top"/>
          </w:tcPr>
          <w:p>
            <w:pPr>
              <w:autoSpaceDE w:val="0"/>
              <w:autoSpaceDN w:val="0"/>
              <w:snapToGrid w:val="0"/>
              <w:spacing w:before="292" w:after="0" w:line="350" w:lineRule="exact"/>
              <w:ind w:left="296"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序号</w:t>
            </w:r>
          </w:p>
        </w:tc>
        <w:tc>
          <w:tcPr>
            <w:tcW w:w="1418" w:type="dxa"/>
            <w:vAlign w:val="top"/>
          </w:tcPr>
          <w:p>
            <w:pPr>
              <w:autoSpaceDE w:val="0"/>
              <w:autoSpaceDN w:val="0"/>
              <w:snapToGrid w:val="0"/>
              <w:spacing w:before="72" w:after="0" w:line="350" w:lineRule="exact"/>
              <w:ind w:left="14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机械或设</w:t>
            </w:r>
          </w:p>
          <w:p>
            <w:pPr>
              <w:autoSpaceDE w:val="0"/>
              <w:autoSpaceDN w:val="0"/>
              <w:snapToGrid w:val="0"/>
              <w:spacing w:before="90" w:after="0" w:line="350" w:lineRule="exact"/>
              <w:ind w:left="28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备名称</w:t>
            </w:r>
          </w:p>
        </w:tc>
        <w:tc>
          <w:tcPr>
            <w:tcW w:w="850" w:type="dxa"/>
            <w:vAlign w:val="top"/>
          </w:tcPr>
          <w:p>
            <w:pPr>
              <w:autoSpaceDE w:val="0"/>
              <w:autoSpaceDN w:val="0"/>
              <w:snapToGrid w:val="0"/>
              <w:spacing w:before="72"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规格</w:t>
            </w:r>
          </w:p>
          <w:p>
            <w:pPr>
              <w:autoSpaceDE w:val="0"/>
              <w:autoSpaceDN w:val="0"/>
              <w:snapToGrid w:val="0"/>
              <w:spacing w:before="90" w:after="0" w:line="350" w:lineRule="exact"/>
              <w:ind w:left="140"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型号</w:t>
            </w:r>
          </w:p>
        </w:tc>
        <w:tc>
          <w:tcPr>
            <w:tcW w:w="1058" w:type="dxa"/>
            <w:vAlign w:val="top"/>
          </w:tcPr>
          <w:p>
            <w:pPr>
              <w:autoSpaceDE w:val="0"/>
              <w:autoSpaceDN w:val="0"/>
              <w:snapToGrid w:val="0"/>
              <w:spacing w:before="292" w:after="0" w:line="350" w:lineRule="exact"/>
              <w:ind w:left="244"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数量</w:t>
            </w:r>
          </w:p>
        </w:tc>
        <w:tc>
          <w:tcPr>
            <w:tcW w:w="880" w:type="dxa"/>
            <w:vAlign w:val="top"/>
          </w:tcPr>
          <w:p>
            <w:pPr>
              <w:autoSpaceDE w:val="0"/>
              <w:autoSpaceDN w:val="0"/>
              <w:snapToGrid w:val="0"/>
              <w:spacing w:before="292" w:after="0" w:line="350" w:lineRule="exact"/>
              <w:ind w:left="15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产地</w:t>
            </w:r>
          </w:p>
        </w:tc>
        <w:tc>
          <w:tcPr>
            <w:tcW w:w="1020" w:type="dxa"/>
            <w:vAlign w:val="top"/>
          </w:tcPr>
          <w:p>
            <w:pPr>
              <w:autoSpaceDE w:val="0"/>
              <w:autoSpaceDN w:val="0"/>
              <w:snapToGrid w:val="0"/>
              <w:spacing w:before="72"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制造</w:t>
            </w:r>
          </w:p>
          <w:p>
            <w:pPr>
              <w:autoSpaceDE w:val="0"/>
              <w:autoSpaceDN w:val="0"/>
              <w:snapToGrid w:val="0"/>
              <w:spacing w:before="90"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年份</w:t>
            </w:r>
          </w:p>
        </w:tc>
        <w:tc>
          <w:tcPr>
            <w:tcW w:w="1480" w:type="dxa"/>
            <w:vAlign w:val="top"/>
          </w:tcPr>
          <w:p>
            <w:pPr>
              <w:autoSpaceDE w:val="0"/>
              <w:autoSpaceDN w:val="0"/>
              <w:snapToGrid w:val="0"/>
              <w:spacing w:before="72" w:after="0" w:line="350" w:lineRule="exact"/>
              <w:ind w:left="17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额定功率</w:t>
            </w:r>
          </w:p>
          <w:p>
            <w:pPr>
              <w:autoSpaceDE w:val="0"/>
              <w:autoSpaceDN w:val="0"/>
              <w:snapToGrid w:val="0"/>
              <w:spacing w:before="90" w:after="0" w:line="350" w:lineRule="exact"/>
              <w:ind w:left="253"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w:t>
            </w:r>
            <w:r>
              <w:rPr>
                <w:rFonts w:hint="default" w:ascii="Times New Roman" w:hAnsi="Times New Roman" w:eastAsia="Times New Roman" w:cs="Times New Roman"/>
                <w:color w:val="auto"/>
                <w:sz w:val="28"/>
              </w:rPr>
              <w:t>kW</w:t>
            </w:r>
            <w:r>
              <w:rPr>
                <w:rFonts w:hint="default" w:ascii="仿宋" w:hAnsi="仿宋" w:eastAsia="仿宋" w:cs="仿宋"/>
                <w:color w:val="auto"/>
                <w:sz w:val="28"/>
              </w:rPr>
              <w:t>）</w:t>
            </w:r>
          </w:p>
        </w:tc>
        <w:tc>
          <w:tcPr>
            <w:tcW w:w="1020" w:type="dxa"/>
            <w:vAlign w:val="top"/>
          </w:tcPr>
          <w:p>
            <w:pPr>
              <w:autoSpaceDE w:val="0"/>
              <w:autoSpaceDN w:val="0"/>
              <w:snapToGrid w:val="0"/>
              <w:spacing w:before="72"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生产</w:t>
            </w:r>
          </w:p>
          <w:p>
            <w:pPr>
              <w:autoSpaceDE w:val="0"/>
              <w:autoSpaceDN w:val="0"/>
              <w:snapToGrid w:val="0"/>
              <w:spacing w:before="90" w:after="0" w:line="350" w:lineRule="exact"/>
              <w:ind w:left="225"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能力</w:t>
            </w:r>
          </w:p>
        </w:tc>
        <w:tc>
          <w:tcPr>
            <w:tcW w:w="921" w:type="dxa"/>
            <w:vAlign w:val="top"/>
          </w:tcPr>
          <w:p>
            <w:pPr>
              <w:autoSpaceDE w:val="0"/>
              <w:autoSpaceDN w:val="0"/>
              <w:snapToGrid w:val="0"/>
              <w:spacing w:before="292" w:after="0" w:line="350" w:lineRule="exact"/>
              <w:ind w:left="176" w:right="0" w:firstLine="0"/>
              <w:jc w:val="left"/>
              <w:textAlignment w:val="auto"/>
              <w:rPr>
                <w:rFonts w:hint="default" w:ascii="仿宋" w:hAnsi="仿宋" w:eastAsia="仿宋" w:cs="仿宋"/>
                <w:color w:val="auto"/>
                <w:sz w:val="28"/>
              </w:rPr>
            </w:pPr>
            <w:r>
              <w:rPr>
                <w:rFonts w:hint="default" w:ascii="仿宋" w:hAnsi="仿宋" w:eastAsia="仿宋" w:cs="仿宋"/>
                <w:color w:val="auto"/>
                <w:sz w:val="28"/>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162"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1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58"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8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48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1020"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c>
          <w:tcPr>
            <w:tcW w:w="921" w:type="dxa"/>
            <w:vAlign w:val="top"/>
          </w:tcPr>
          <w:p>
            <w:pPr>
              <w:autoSpaceDE w:val="0"/>
              <w:autoSpaceDN w:val="0"/>
              <w:snapToGrid w:val="0"/>
              <w:spacing w:before="0" w:after="0" w:line="240" w:lineRule="auto"/>
              <w:ind w:left="0" w:right="0" w:firstLine="0"/>
              <w:jc w:val="left"/>
              <w:textAlignment w:val="auto"/>
              <w:rPr>
                <w:rFonts w:hint="default" w:ascii="仿宋" w:hAnsi="仿宋" w:eastAsia="仿宋" w:cs="仿宋"/>
                <w:color w:val="auto"/>
                <w:sz w:val="28"/>
              </w:rPr>
            </w:pPr>
          </w:p>
        </w:tc>
      </w:tr>
    </w:tbl>
    <w:p>
      <w:pPr>
        <w:numPr>
          <w:ilvl w:val="0"/>
          <w:numId w:val="0"/>
        </w:numPr>
        <w:autoSpaceDE w:val="0"/>
        <w:autoSpaceDN w:val="0"/>
        <w:snapToGrid w:val="0"/>
        <w:spacing w:before="1107" w:after="0" w:line="240" w:lineRule="auto"/>
        <w:ind w:left="4783" w:leftChars="0" w:right="0" w:rightChars="0"/>
        <w:jc w:val="left"/>
        <w:textAlignment w:val="auto"/>
        <w:rPr>
          <w:rFonts w:hint="default" w:ascii="仿宋" w:hAnsi="仿宋" w:eastAsia="仿宋" w:cs="仿宋"/>
          <w:color w:val="auto"/>
          <w:sz w:val="28"/>
        </w:rPr>
        <w:sectPr>
          <w:footnotePr>
            <w:numStart w:val="0"/>
          </w:footnotePr>
          <w:endnotePr>
            <w:numFmt w:val="decimal"/>
            <w:numStart w:val="0"/>
          </w:endnotePr>
          <w:pgSz w:w="11907" w:h="16840"/>
          <w:pgMar w:top="1186" w:right="122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75" w:lineRule="exact"/>
        <w:ind w:left="0" w:right="0" w:firstLine="0"/>
        <w:jc w:val="left"/>
        <w:textAlignment w:val="auto"/>
        <w:rPr>
          <w:rFonts w:hint="default" w:ascii="仿宋" w:hAnsi="仿宋" w:eastAsia="仿宋" w:cs="仿宋"/>
          <w:color w:val="auto"/>
          <w:sz w:val="30"/>
        </w:rPr>
      </w:pPr>
      <w:bookmarkStart w:id="144" w:name="_Toc25625_WPSOffice_Level2"/>
      <w:bookmarkStart w:id="145" w:name="_Toc30995_WPSOffice_Level2"/>
      <w:bookmarkStart w:id="146" w:name="_Toc14331_WPSOffice_Level2"/>
      <w:r>
        <w:rPr>
          <w:rFonts w:hint="default" w:ascii="仿宋" w:hAnsi="仿宋" w:eastAsia="仿宋" w:cs="仿宋"/>
          <w:color w:val="auto"/>
          <w:sz w:val="30"/>
        </w:rPr>
        <w:t>附</w:t>
      </w:r>
      <w:r>
        <w:rPr>
          <w:rFonts w:hint="default" w:ascii="仿宋" w:hAnsi="仿宋" w:eastAsia="仿宋" w:cs="仿宋"/>
          <w:color w:val="auto"/>
          <w:spacing w:val="38"/>
          <w:sz w:val="30"/>
        </w:rPr>
        <w:t>件</w:t>
      </w:r>
      <w:r>
        <w:rPr>
          <w:rFonts w:hint="default" w:ascii="Times New Roman" w:hAnsi="Times New Roman" w:eastAsia="Times New Roman" w:cs="Times New Roman"/>
          <w:color w:val="auto"/>
          <w:sz w:val="30"/>
        </w:rPr>
        <w:t>7</w:t>
      </w:r>
      <w:r>
        <w:rPr>
          <w:rFonts w:hint="default" w:ascii="仿宋" w:hAnsi="仿宋" w:eastAsia="仿宋" w:cs="仿宋"/>
          <w:color w:val="auto"/>
          <w:sz w:val="30"/>
        </w:rPr>
        <w:t>：</w:t>
      </w:r>
      <w:bookmarkEnd w:id="144"/>
      <w:bookmarkEnd w:id="145"/>
      <w:bookmarkEnd w:id="146"/>
    </w:p>
    <w:p>
      <w:pPr>
        <w:autoSpaceDE w:val="0"/>
        <w:autoSpaceDN w:val="0"/>
        <w:snapToGrid w:val="0"/>
        <w:spacing w:before="376" w:after="0" w:line="375" w:lineRule="exact"/>
        <w:ind w:left="4123" w:right="0" w:firstLine="0"/>
        <w:jc w:val="left"/>
        <w:textAlignment w:val="auto"/>
        <w:rPr>
          <w:rFonts w:hint="default" w:ascii="黑体" w:hAnsi="黑体" w:eastAsia="黑体" w:cs="黑体"/>
          <w:color w:val="auto"/>
          <w:sz w:val="30"/>
        </w:rPr>
      </w:pPr>
      <w:bookmarkStart w:id="147" w:name="_Toc14852_WPSOffice_Level2"/>
      <w:bookmarkStart w:id="148" w:name="_Toc8865_WPSOffice_Level2"/>
      <w:bookmarkStart w:id="149" w:name="_Toc23224_WPSOffice_Level2"/>
      <w:r>
        <w:rPr>
          <w:rFonts w:hint="default" w:ascii="黑体" w:hAnsi="黑体" w:eastAsia="黑体" w:cs="黑体"/>
          <w:color w:val="auto"/>
          <w:sz w:val="30"/>
        </w:rPr>
        <w:t>预付款担保</w:t>
      </w:r>
      <w:bookmarkEnd w:id="147"/>
      <w:bookmarkEnd w:id="148"/>
      <w:bookmarkEnd w:id="149"/>
    </w:p>
    <w:p>
      <w:pPr>
        <w:autoSpaceDE w:val="0"/>
        <w:autoSpaceDN w:val="0"/>
        <w:snapToGrid w:val="0"/>
        <w:spacing w:before="498" w:after="0" w:line="263" w:lineRule="exact"/>
        <w:ind w:left="22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（发包人名称）：</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1906270</wp:posOffset>
                </wp:positionV>
                <wp:extent cx="1333500" cy="0"/>
                <wp:effectExtent l="0" t="0" r="0" b="0"/>
                <wp:wrapNone/>
                <wp:docPr id="1138" name="1138"/>
                <wp:cNvGraphicFramePr/>
                <a:graphic xmlns:a="http://schemas.openxmlformats.org/drawingml/2006/main">
                  <a:graphicData uri="http://schemas.microsoft.com/office/word/2010/wordprocessingShape">
                    <wps:wsp>
                      <wps:cNvCnPr/>
                      <wps:spPr>
                        <a:xfrm>
                          <a:off x="0" y="0"/>
                          <a:ext cx="13335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38" o:spid="_x0000_s1026" o:spt="20" style="position:absolute;left:0pt;margin-left:54pt;margin-top:150.1pt;height:0pt;width:105pt;mso-position-horizontal-relative:page;mso-position-vertical-relative:page;z-index:-251657216;mso-width-relative:page;mso-height-relative:page;" fillcolor="#FFFFFF" filled="t" stroked="t" coordsize="21600,21600" o:gfxdata="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Cyw4TjUAAAACwEAAA8AAAAAAAAAAQAgAAAAIgAAAGRycy9kb3du&#10;cmV2LnhtbFBLAQIUABQAAAAIAIdO4kCM9GA9AwIAAEAEAAAOAAAAAAAAAAEAIAAAACMBAABkcnMv&#10;ZTJvRG9jLnhtbFBLBQYAAAAABgAGAFkBAACYBQAAAAA=&#10;">
                <v:fill on="t" opacity="0f" focussize="0,0"/>
                <v:stroke weight="0.5pt" color="#000000" joinstyle="round" endcap="round"/>
                <v:imagedata o:title=""/>
                <o:lock v:ext="edit" aspectratio="f"/>
              </v:line>
            </w:pict>
          </mc:Fallback>
        </mc:AlternateContent>
      </w:r>
    </w:p>
    <w:p>
      <w:pPr>
        <w:autoSpaceDE w:val="0"/>
        <w:autoSpaceDN w:val="0"/>
        <w:snapToGrid w:val="0"/>
        <w:spacing w:before="146"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根据</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pacing w:val="-1"/>
          <w:sz w:val="21"/>
        </w:rPr>
        <w:t>（承</w:t>
      </w:r>
      <w:r>
        <w:rPr>
          <w:rFonts w:hint="default" w:ascii="宋体" w:hAnsi="宋体" w:eastAsia="宋体" w:cs="宋体"/>
          <w:color w:val="auto"/>
          <w:sz w:val="21"/>
        </w:rPr>
        <w:t>包人名称）（以下称</w:t>
      </w:r>
      <w:r>
        <w:rPr>
          <w:rFonts w:hint="default" w:ascii="Times New Roman" w:hAnsi="Times New Roman" w:eastAsia="Times New Roman" w:cs="Times New Roman"/>
          <w:color w:val="auto"/>
          <w:sz w:val="21"/>
        </w:rPr>
        <w:t>“</w:t>
      </w:r>
      <w:r>
        <w:rPr>
          <w:rFonts w:hint="default" w:ascii="宋体" w:hAnsi="宋体" w:eastAsia="宋体" w:cs="宋体"/>
          <w:color w:val="auto"/>
          <w:sz w:val="21"/>
        </w:rPr>
        <w:t>承包人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）与</w:t>
      </w:r>
      <w:r>
        <w:rPr>
          <w:rFonts w:hint="default" w:ascii="宋体" w:hAnsi="宋体" w:eastAsia="宋体" w:cs="宋体"/>
          <w:color w:val="auto"/>
          <w:spacing w:val="1209"/>
          <w:sz w:val="21"/>
          <w:u w:val="single" w:color="000000"/>
        </w:rPr>
        <w:t xml:space="preserve"> </w:t>
      </w:r>
      <w:r>
        <w:rPr>
          <w:rFonts w:hint="default" w:ascii="宋体" w:hAnsi="宋体" w:eastAsia="宋体" w:cs="宋体"/>
          <w:color w:val="auto"/>
          <w:sz w:val="21"/>
        </w:rPr>
        <w:t>（发包人名</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称）（以下</w:t>
      </w:r>
      <w:r>
        <w:rPr>
          <w:rFonts w:hint="default" w:ascii="宋体" w:hAnsi="宋体" w:eastAsia="宋体" w:cs="宋体"/>
          <w:color w:val="auto"/>
          <w:sz w:val="21"/>
        </w:rPr>
        <w:t>简称</w:t>
      </w:r>
      <w:r>
        <w:rPr>
          <w:rFonts w:hint="default" w:ascii="Times New Roman" w:hAnsi="Times New Roman" w:eastAsia="Times New Roman" w:cs="Times New Roman"/>
          <w:color w:val="auto"/>
          <w:sz w:val="21"/>
        </w:rPr>
        <w:t>“</w:t>
      </w:r>
      <w:r>
        <w:rPr>
          <w:rFonts w:hint="default" w:ascii="宋体" w:hAnsi="宋体" w:eastAsia="宋体" w:cs="宋体"/>
          <w:color w:val="auto"/>
          <w:sz w:val="21"/>
        </w:rPr>
        <w:t>发包人</w:t>
      </w:r>
      <w:r>
        <w:rPr>
          <w:rFonts w:hint="default" w:ascii="Times New Roman" w:hAnsi="Times New Roman" w:eastAsia="Times New Roman" w:cs="Times New Roman"/>
          <w:color w:val="auto"/>
          <w:sz w:val="21"/>
        </w:rPr>
        <w:t>”</w:t>
      </w:r>
      <w:r>
        <w:rPr>
          <w:rFonts w:hint="default" w:ascii="宋体" w:hAnsi="宋体" w:eastAsia="宋体" w:cs="宋体"/>
          <w:color w:val="auto"/>
          <w:sz w:val="21"/>
        </w:rPr>
        <w:t>）于</w:t>
      </w:r>
      <w:r>
        <w:rPr>
          <w:rFonts w:hint="default" w:ascii="宋体" w:hAnsi="宋体" w:eastAsia="宋体" w:cs="宋体"/>
          <w:color w:val="auto"/>
          <w:spacing w:val="541"/>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1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163"/>
          <w:sz w:val="21"/>
          <w:u w:val="single" w:color="000000"/>
        </w:rPr>
        <w:t xml:space="preserve"> </w:t>
      </w:r>
      <w:r>
        <w:rPr>
          <w:rFonts w:hint="default" w:ascii="宋体" w:hAnsi="宋体" w:eastAsia="宋体" w:cs="宋体"/>
          <w:color w:val="auto"/>
          <w:sz w:val="21"/>
        </w:rPr>
        <w:t>日签订的</w:t>
      </w:r>
      <w:r>
        <w:rPr>
          <w:rFonts w:hint="default" w:ascii="宋体" w:hAnsi="宋体" w:eastAsia="宋体" w:cs="宋体"/>
          <w:color w:val="auto"/>
          <w:spacing w:val="973"/>
          <w:sz w:val="21"/>
          <w:u w:val="single" w:color="auto"/>
        </w:rPr>
        <w:t xml:space="preserve"> </w:t>
      </w:r>
      <w:r>
        <w:rPr>
          <w:rFonts w:hint="default" w:ascii="宋体" w:hAnsi="宋体" w:eastAsia="宋体" w:cs="宋体"/>
          <w:color w:val="auto"/>
          <w:sz w:val="21"/>
          <w:u w:val="single" w:color="auto"/>
        </w:rPr>
        <w:t>（工程名称）</w:t>
      </w:r>
      <w:r>
        <w:rPr>
          <w:rFonts w:hint="default" w:ascii="宋体" w:hAnsi="宋体" w:eastAsia="宋体" w:cs="宋体"/>
          <w:color w:val="auto"/>
          <w:sz w:val="21"/>
        </w:rPr>
        <w:t>《建</w:t>
      </w:r>
    </w:p>
    <w:p>
      <w:pPr>
        <w:autoSpaceDE w:val="0"/>
        <w:autoSpaceDN w:val="0"/>
        <w:snapToGrid w:val="0"/>
        <w:spacing w:before="29" w:after="0" w:line="409"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设工程施工合</w:t>
      </w:r>
      <w:r>
        <w:rPr>
          <w:rFonts w:hint="default" w:ascii="宋体" w:hAnsi="宋体" w:eastAsia="宋体" w:cs="宋体"/>
          <w:color w:val="auto"/>
          <w:sz w:val="21"/>
        </w:rPr>
        <w:t>同》，承包人按约定的金额向你方提交一份预付款担保，即有权得到你方支付相等金额的预付款。我方愿意就你方提供给承包人的预付款为承包人提供连带责任担保。</w:t>
      </w:r>
    </w:p>
    <w:p>
      <w:pPr>
        <w:numPr>
          <w:ilvl w:val="0"/>
          <w:numId w:val="97"/>
        </w:numPr>
        <w:autoSpaceDE w:val="0"/>
        <w:autoSpaceDN w:val="0"/>
        <w:snapToGrid w:val="0"/>
        <w:spacing w:before="117"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担保金额人民币（大写）</w:t>
      </w:r>
      <w:r>
        <w:rPr>
          <w:rFonts w:hint="default" w:ascii="宋体" w:hAnsi="宋体" w:eastAsia="宋体" w:cs="宋体"/>
          <w:color w:val="auto"/>
          <w:spacing w:val="788"/>
          <w:sz w:val="21"/>
          <w:u w:val="single" w:color="000000"/>
        </w:rPr>
        <w:t xml:space="preserve"> </w:t>
      </w:r>
      <w:r>
        <w:rPr>
          <w:rFonts w:hint="default" w:ascii="宋体" w:hAnsi="宋体" w:eastAsia="宋体" w:cs="宋体"/>
          <w:color w:val="auto"/>
          <w:sz w:val="21"/>
        </w:rPr>
        <w:t>元（</w:t>
      </w:r>
      <w:r>
        <w:rPr>
          <w:rFonts w:hint="default" w:ascii="Times New Roman" w:hAnsi="Times New Roman" w:eastAsia="Times New Roman" w:cs="Times New Roman"/>
          <w:color w:val="auto"/>
          <w:sz w:val="21"/>
        </w:rPr>
        <w:t>¥</w:t>
      </w:r>
      <w:r>
        <w:rPr>
          <w:rFonts w:hint="default" w:ascii="Times New Roman" w:hAnsi="Times New Roman" w:eastAsia="Times New Roman" w:cs="Times New Roman"/>
          <w:color w:val="auto"/>
          <w:spacing w:val="630"/>
          <w:sz w:val="21"/>
          <w:u w:val="single" w:color="000000"/>
        </w:rPr>
        <w:t xml:space="preserve"> </w:t>
      </w:r>
      <w:r>
        <w:rPr>
          <w:rFonts w:hint="default" w:ascii="宋体" w:hAnsi="宋体" w:eastAsia="宋体" w:cs="宋体"/>
          <w:color w:val="auto"/>
          <w:sz w:val="21"/>
        </w:rPr>
        <w:t>）。</w:t>
      </w:r>
    </w:p>
    <w:p>
      <w:pPr>
        <w:numPr>
          <w:ilvl w:val="0"/>
          <w:numId w:val="97"/>
        </w:numPr>
        <w:autoSpaceDE w:val="0"/>
        <w:autoSpaceDN w:val="0"/>
        <w:snapToGrid w:val="0"/>
        <w:spacing w:before="153"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担保有效期自预付款支付给承包人起生效，至你方签发的进度款支付证书说明已完全扣清止。</w:t>
      </w:r>
    </w:p>
    <w:p>
      <w:pPr>
        <w:numPr>
          <w:ilvl w:val="0"/>
          <w:numId w:val="16"/>
        </w:numPr>
        <w:autoSpaceDE w:val="0"/>
        <w:autoSpaceDN w:val="0"/>
        <w:snapToGrid w:val="0"/>
        <w:spacing w:before="153" w:after="0" w:line="240" w:lineRule="auto"/>
        <w:ind w:left="717" w:right="0" w:hanging="29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在本保函有效</w:t>
      </w:r>
      <w:r>
        <w:rPr>
          <w:rFonts w:hint="default" w:ascii="宋体" w:hAnsi="宋体" w:eastAsia="宋体" w:cs="宋体"/>
          <w:color w:val="auto"/>
          <w:sz w:val="21"/>
        </w:rPr>
        <w:t>期内，因承包人违反合同约定的义务而要求收回预付款时，我方在收到你方的书面通</w:t>
      </w:r>
    </w:p>
    <w:p>
      <w:pPr>
        <w:autoSpaceDE w:val="0"/>
        <w:autoSpaceDN w:val="0"/>
        <w:snapToGrid w:val="0"/>
        <w:spacing w:before="36" w:after="0" w:line="409"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知后，在７天</w:t>
      </w:r>
      <w:r>
        <w:rPr>
          <w:rFonts w:hint="default" w:ascii="宋体" w:hAnsi="宋体" w:eastAsia="宋体" w:cs="宋体"/>
          <w:color w:val="auto"/>
          <w:sz w:val="21"/>
        </w:rPr>
        <w:t>内无条件支付。但本保函的担保金额，在任何时候不应超过预付款金额减去你方按合同约定在向承包人签发的进度款支付证书中扣除的金额。</w:t>
      </w:r>
    </w:p>
    <w:p>
      <w:pPr>
        <w:numPr>
          <w:ilvl w:val="0"/>
          <w:numId w:val="98"/>
        </w:numPr>
        <w:autoSpaceDE w:val="0"/>
        <w:autoSpaceDN w:val="0"/>
        <w:snapToGrid w:val="0"/>
        <w:spacing w:before="117" w:after="0" w:line="240" w:lineRule="auto"/>
        <w:ind w:left="0" w:right="0" w:firstLine="42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你方和承包人按合同约定变更合同时，我方承担本保函规定的义务不变。</w:t>
      </w:r>
    </w:p>
    <w:p>
      <w:pPr>
        <w:numPr>
          <w:ilvl w:val="0"/>
          <w:numId w:val="27"/>
        </w:numPr>
        <w:autoSpaceDE w:val="0"/>
        <w:autoSpaceDN w:val="0"/>
        <w:snapToGrid w:val="0"/>
        <w:spacing w:before="153" w:after="0" w:line="240" w:lineRule="auto"/>
        <w:ind w:left="717" w:right="0" w:hanging="297"/>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因本保函发</w:t>
      </w:r>
      <w:r>
        <w:rPr>
          <w:rFonts w:hint="default" w:ascii="宋体" w:hAnsi="宋体" w:eastAsia="宋体" w:cs="宋体"/>
          <w:color w:val="auto"/>
          <w:sz w:val="21"/>
        </w:rPr>
        <w:t>生的纠纷，可由双方协商解决，协商不成的，任何一方均可提请</w:t>
      </w:r>
      <w:r>
        <w:rPr>
          <w:rFonts w:hint="default" w:ascii="宋体" w:hAnsi="宋体" w:eastAsia="宋体" w:cs="宋体"/>
          <w:color w:val="auto"/>
          <w:spacing w:val="367"/>
          <w:sz w:val="21"/>
          <w:u w:val="single" w:color="000000"/>
        </w:rPr>
        <w:t xml:space="preserve"> </w:t>
      </w:r>
      <w:r>
        <w:rPr>
          <w:rFonts w:hint="default" w:ascii="宋体" w:hAnsi="宋体" w:eastAsia="宋体" w:cs="宋体"/>
          <w:color w:val="auto"/>
          <w:sz w:val="21"/>
        </w:rPr>
        <w:t>仲裁委员会仲</w:t>
      </w:r>
    </w:p>
    <w:p>
      <w:pPr>
        <w:autoSpaceDE w:val="0"/>
        <w:autoSpaceDN w:val="0"/>
        <w:snapToGrid w:val="0"/>
        <w:spacing w:before="153"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裁。</w:t>
      </w:r>
    </w:p>
    <w:p>
      <w:pPr>
        <w:numPr>
          <w:ilvl w:val="0"/>
          <w:numId w:val="63"/>
        </w:numPr>
        <w:autoSpaceDE w:val="0"/>
        <w:autoSpaceDN w:val="0"/>
        <w:snapToGrid w:val="0"/>
        <w:spacing w:before="146"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本保函自我方法定代表人（或其授权代理人）签字并加盖公章之日起生效。</w:t>
      </w:r>
    </w:p>
    <w:p>
      <w:pPr>
        <w:autoSpaceDE w:val="0"/>
        <w:autoSpaceDN w:val="0"/>
        <w:snapToGrid w:val="0"/>
        <w:spacing w:before="51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担保人：</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地</w:t>
      </w:r>
      <w:r>
        <w:rPr>
          <w:rFonts w:hint="default" w:ascii="宋体" w:hAnsi="宋体" w:eastAsia="宋体" w:cs="宋体"/>
          <w:color w:val="auto"/>
          <w:spacing w:val="158"/>
          <w:sz w:val="21"/>
        </w:rPr>
        <w:t xml:space="preserve"> </w:t>
      </w:r>
      <w:r>
        <w:rPr>
          <w:rFonts w:hint="default" w:ascii="宋体" w:hAnsi="宋体" w:eastAsia="宋体" w:cs="宋体"/>
          <w:color w:val="auto"/>
          <w:sz w:val="21"/>
        </w:rPr>
        <w:t>址：</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邮政编码：</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w:t>
      </w:r>
      <w:r>
        <w:rPr>
          <w:rFonts w:hint="default" w:ascii="宋体" w:hAnsi="宋体" w:eastAsia="宋体" w:cs="宋体"/>
          <w:color w:val="auto"/>
          <w:spacing w:val="158"/>
          <w:sz w:val="21"/>
        </w:rPr>
        <w:t xml:space="preserve"> </w:t>
      </w:r>
      <w:r>
        <w:rPr>
          <w:rFonts w:hint="default" w:ascii="宋体" w:hAnsi="宋体" w:eastAsia="宋体" w:cs="宋体"/>
          <w:color w:val="auto"/>
          <w:sz w:val="21"/>
        </w:rPr>
        <w:t>话：</w:t>
      </w:r>
    </w:p>
    <w:p>
      <w:pPr>
        <w:autoSpaceDE w:val="0"/>
        <w:autoSpaceDN w:val="0"/>
        <w:snapToGrid w:val="0"/>
        <w:spacing w:before="146"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传</w:t>
      </w:r>
      <w:r>
        <w:rPr>
          <w:rFonts w:hint="default" w:ascii="宋体" w:hAnsi="宋体" w:eastAsia="宋体" w:cs="宋体"/>
          <w:color w:val="auto"/>
          <w:spacing w:val="158"/>
          <w:sz w:val="21"/>
        </w:rPr>
        <w:t xml:space="preserve"> </w:t>
      </w:r>
      <w:r>
        <w:rPr>
          <w:rFonts w:hint="default" w:ascii="宋体" w:hAnsi="宋体" w:eastAsia="宋体" w:cs="宋体"/>
          <w:color w:val="auto"/>
          <w:sz w:val="21"/>
        </w:rPr>
        <w:t>真：</w:t>
      </w:r>
    </w:p>
    <w:p>
      <w:pPr>
        <w:autoSpaceDE w:val="0"/>
        <w:autoSpaceDN w:val="0"/>
        <w:snapToGrid w:val="0"/>
        <w:spacing w:before="508" w:after="0" w:line="263" w:lineRule="exact"/>
        <w:ind w:right="0"/>
        <w:jc w:val="left"/>
        <w:textAlignment w:val="auto"/>
        <w:rPr>
          <w:rFonts w:hint="default" w:ascii="宋体" w:hAnsi="宋体" w:eastAsia="宋体" w:cs="宋体"/>
          <w:color w:val="auto"/>
          <w:sz w:val="21"/>
        </w:rPr>
      </w:pPr>
    </w:p>
    <w:p>
      <w:pPr>
        <w:autoSpaceDE w:val="0"/>
        <w:autoSpaceDN w:val="0"/>
        <w:snapToGrid w:val="0"/>
        <w:spacing w:before="508" w:after="0" w:line="263" w:lineRule="exact"/>
        <w:ind w:right="0" w:firstLine="1890" w:firstLineChars="900"/>
        <w:jc w:val="left"/>
        <w:textAlignment w:val="auto"/>
        <w:rPr>
          <w:rFonts w:hint="default" w:ascii="宋体" w:hAnsi="宋体" w:eastAsia="宋体" w:cs="宋体"/>
          <w:color w:val="auto"/>
          <w:sz w:val="21"/>
        </w:rPr>
      </w:pPr>
      <w:bookmarkStart w:id="150" w:name="_Toc20236_WPSOffice_Level2"/>
      <w:bookmarkStart w:id="151" w:name="_Toc19884_WPSOffice_Level2"/>
      <w:bookmarkStart w:id="152" w:name="_Toc31947_WPSOffice_Level2"/>
      <w:r>
        <w:rPr>
          <w:rFonts w:hint="eastAsia" w:ascii="宋体" w:hAnsi="宋体" w:eastAsia="宋体" w:cs="宋体"/>
          <w:color w:val="FFFFFF" w:themeColor="background1"/>
          <w:sz w:val="21"/>
          <w:lang w:val="en-US" w:eastAsia="zh-CN"/>
          <w14:textFill>
            <w14:solidFill>
              <w14:schemeClr w14:val="bg1"/>
            </w14:solidFill>
          </w14:textFill>
        </w:rPr>
        <w:t>1</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rPr>
        <w:t>年</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日</w:t>
      </w:r>
      <w:bookmarkEnd w:id="150"/>
      <w:bookmarkEnd w:id="151"/>
      <w:bookmarkEnd w:id="152"/>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eastAsia" w:ascii="宋体" w:hAnsi="宋体"/>
          <w:color w:val="auto"/>
          <w:szCs w:val="32"/>
        </w:rPr>
      </w:pPr>
      <w:bookmarkStart w:id="153" w:name="_Toc23043_WPSOffice_Level1"/>
      <w:bookmarkStart w:id="154" w:name="_Toc11420_WPSOffice_Level1"/>
      <w:r>
        <w:rPr>
          <w:rFonts w:hint="default"/>
          <w:color w:val="auto"/>
        </w:rPr>
        <w:t>第五章 工程量清单</w:t>
      </w:r>
      <w:bookmarkEnd w:id="153"/>
      <w:bookmarkEnd w:id="154"/>
    </w:p>
    <w:p>
      <w:pPr>
        <w:spacing w:line="360" w:lineRule="auto"/>
        <w:rPr>
          <w:rFonts w:hint="eastAsia" w:ascii="宋体" w:hAnsi="宋体"/>
          <w:color w:val="auto"/>
          <w:szCs w:val="32"/>
        </w:rPr>
      </w:pPr>
      <w:r>
        <w:rPr>
          <w:rFonts w:hint="eastAsia" w:ascii="宋体" w:hAnsi="宋体"/>
          <w:color w:val="auto"/>
          <w:szCs w:val="32"/>
        </w:rPr>
        <w:t>1、工程量清单编制依据：</w:t>
      </w:r>
    </w:p>
    <w:p>
      <w:pPr>
        <w:spacing w:line="360" w:lineRule="auto"/>
        <w:rPr>
          <w:rFonts w:hint="eastAsia" w:ascii="宋体" w:hAnsi="宋体"/>
          <w:color w:val="auto"/>
          <w:szCs w:val="32"/>
        </w:rPr>
      </w:pPr>
      <w:r>
        <w:rPr>
          <w:rFonts w:hint="eastAsia" w:ascii="宋体" w:hAnsi="宋体"/>
          <w:color w:val="auto"/>
          <w:szCs w:val="32"/>
        </w:rPr>
        <w:t xml:space="preserve"> (1)施工设计文件和本工程施工图及相关的标准、规范、技术资料；</w:t>
      </w:r>
    </w:p>
    <w:p>
      <w:pPr>
        <w:spacing w:line="360" w:lineRule="auto"/>
        <w:rPr>
          <w:rFonts w:hint="eastAsia" w:ascii="宋体" w:hAnsi="宋体"/>
          <w:color w:val="auto"/>
          <w:szCs w:val="32"/>
        </w:rPr>
      </w:pPr>
      <w:r>
        <w:rPr>
          <w:rFonts w:hint="eastAsia" w:ascii="宋体" w:hAnsi="宋体"/>
          <w:color w:val="auto"/>
          <w:szCs w:val="32"/>
        </w:rPr>
        <w:t xml:space="preserve"> (2)GB 50500-2013《建设工程工程量清单计价规范》、广西壮族自治区实施细则、GB 50854~50858-2013《建设工程工程量计算规范》广西壮族自治区实施细则；</w:t>
      </w:r>
    </w:p>
    <w:p>
      <w:pPr>
        <w:spacing w:line="360" w:lineRule="auto"/>
        <w:rPr>
          <w:rFonts w:hint="eastAsia" w:ascii="宋体" w:hAnsi="宋体"/>
          <w:color w:val="auto"/>
          <w:szCs w:val="32"/>
        </w:rPr>
      </w:pPr>
      <w:r>
        <w:rPr>
          <w:rFonts w:hint="eastAsia" w:ascii="宋体" w:hAnsi="宋体"/>
          <w:color w:val="auto"/>
          <w:szCs w:val="32"/>
        </w:rPr>
        <w:t xml:space="preserve"> (3) 2013年颁布的《广西壮族自治区建筑装饰装修工程消耗量定额》、《广西壮族自治区建筑装饰装修工程费用定额》、《广西壮族自治区园林绿化及仿古建筑工程消耗量定额》、2015年颁发的《广西壮族自治区安装工程消耗量定额》、《广西壮族自治区安装工程费用定额》、2014年颁布的《广西壮族自治区市政消耗量定额》、及《广西壮族自治区市政工程费用定额》；</w:t>
      </w:r>
    </w:p>
    <w:p>
      <w:pPr>
        <w:spacing w:line="360" w:lineRule="auto"/>
        <w:rPr>
          <w:rFonts w:hint="eastAsia" w:ascii="宋体" w:hAnsi="宋体"/>
          <w:color w:val="auto"/>
          <w:szCs w:val="32"/>
        </w:rPr>
      </w:pPr>
      <w:r>
        <w:rPr>
          <w:rFonts w:hint="eastAsia" w:ascii="宋体" w:hAnsi="宋体"/>
          <w:color w:val="auto"/>
          <w:szCs w:val="32"/>
        </w:rPr>
        <w:t xml:space="preserve"> (4) 建设工程定额人工费及有关费率按照桂建标[2018]19号文调整；</w:t>
      </w:r>
    </w:p>
    <w:p>
      <w:pPr>
        <w:spacing w:line="360" w:lineRule="auto"/>
        <w:rPr>
          <w:rFonts w:hint="eastAsia" w:ascii="宋体" w:hAnsi="宋体"/>
          <w:color w:val="auto"/>
          <w:szCs w:val="32"/>
        </w:rPr>
      </w:pPr>
      <w:r>
        <w:rPr>
          <w:rFonts w:hint="eastAsia" w:ascii="宋体" w:hAnsi="宋体"/>
          <w:color w:val="auto"/>
          <w:szCs w:val="32"/>
        </w:rPr>
        <w:t xml:space="preserve"> (5) 本工程使用现场搅拌砼、模板采用木模、脚手架材料采用钢制脚手架、砼骨料采用碎石计算，水泥以袋装水泥计。</w:t>
      </w:r>
    </w:p>
    <w:p>
      <w:pPr>
        <w:spacing w:line="360" w:lineRule="auto"/>
        <w:rPr>
          <w:rFonts w:hint="eastAsia" w:ascii="宋体" w:hAnsi="宋体"/>
          <w:color w:val="auto"/>
          <w:szCs w:val="32"/>
        </w:rPr>
      </w:pPr>
      <w:r>
        <w:rPr>
          <w:rFonts w:hint="eastAsia" w:ascii="宋体" w:hAnsi="宋体"/>
          <w:color w:val="auto"/>
          <w:szCs w:val="32"/>
        </w:rPr>
        <w:t>2、材料价按《广西建设工程造价管理》2021年第5期贺州市市场信息价计。</w:t>
      </w:r>
    </w:p>
    <w:p>
      <w:pPr>
        <w:spacing w:line="360" w:lineRule="auto"/>
        <w:rPr>
          <w:rFonts w:hint="eastAsia" w:ascii="宋体" w:hAnsi="宋体"/>
          <w:color w:val="auto"/>
          <w:szCs w:val="32"/>
        </w:rPr>
      </w:pPr>
      <w:r>
        <w:rPr>
          <w:rFonts w:hint="eastAsia" w:ascii="宋体" w:hAnsi="宋体" w:eastAsia="宋体"/>
          <w:color w:val="auto"/>
          <w:szCs w:val="32"/>
          <w:lang w:val="en-US" w:eastAsia="zh-CN"/>
        </w:rPr>
        <w:t>3</w:t>
      </w:r>
      <w:r>
        <w:rPr>
          <w:rFonts w:hint="eastAsia" w:ascii="宋体" w:hAnsi="宋体"/>
          <w:color w:val="auto"/>
          <w:szCs w:val="32"/>
        </w:rPr>
        <w:t>、工程量清单应与</w:t>
      </w:r>
      <w:r>
        <w:rPr>
          <w:rFonts w:hint="eastAsia" w:ascii="宋体" w:hAnsi="宋体" w:eastAsia="宋体"/>
          <w:color w:val="auto"/>
          <w:szCs w:val="32"/>
          <w:lang w:eastAsia="zh-CN"/>
        </w:rPr>
        <w:t>投标</w:t>
      </w:r>
      <w:r>
        <w:rPr>
          <w:rFonts w:hint="eastAsia" w:ascii="宋体" w:hAnsi="宋体"/>
          <w:color w:val="auto"/>
          <w:szCs w:val="32"/>
        </w:rPr>
        <w:t>须知、合同协议条款、合同的通用条款、合同专用条款、技术规范等文件一起结合使用。</w:t>
      </w:r>
    </w:p>
    <w:p>
      <w:pPr>
        <w:spacing w:line="360" w:lineRule="auto"/>
        <w:rPr>
          <w:rFonts w:hint="eastAsia" w:ascii="宋体" w:hAnsi="宋体"/>
          <w:color w:val="auto"/>
          <w:szCs w:val="32"/>
        </w:rPr>
      </w:pPr>
      <w:r>
        <w:rPr>
          <w:rFonts w:hint="eastAsia" w:ascii="宋体" w:hAnsi="宋体" w:eastAsia="宋体"/>
          <w:color w:val="auto"/>
          <w:szCs w:val="32"/>
          <w:lang w:val="en-US" w:eastAsia="zh-CN"/>
        </w:rPr>
        <w:t>7</w:t>
      </w:r>
      <w:r>
        <w:rPr>
          <w:rFonts w:hint="eastAsia" w:ascii="宋体" w:hAnsi="宋体"/>
          <w:color w:val="auto"/>
          <w:szCs w:val="32"/>
        </w:rPr>
        <w:t>、工程量清单中所列工程量系发包人按照有关资料依据建设行政主管部门所颁布的计量规则计算的，它是</w:t>
      </w:r>
      <w:r>
        <w:rPr>
          <w:rFonts w:hint="eastAsia" w:ascii="宋体" w:hAnsi="宋体" w:eastAsia="宋体"/>
          <w:color w:val="auto"/>
          <w:szCs w:val="32"/>
          <w:lang w:eastAsia="zh-CN"/>
        </w:rPr>
        <w:t>投标</w:t>
      </w:r>
      <w:r>
        <w:rPr>
          <w:rFonts w:hint="eastAsia" w:ascii="宋体" w:hAnsi="宋体"/>
          <w:color w:val="auto"/>
          <w:szCs w:val="32"/>
        </w:rPr>
        <w:t>文件的组成部分，作为</w:t>
      </w:r>
      <w:r>
        <w:rPr>
          <w:rFonts w:hint="eastAsia" w:ascii="宋体" w:hAnsi="宋体" w:eastAsia="宋体"/>
          <w:color w:val="auto"/>
          <w:szCs w:val="32"/>
          <w:lang w:eastAsia="zh-CN"/>
        </w:rPr>
        <w:t>投标</w:t>
      </w:r>
      <w:r>
        <w:rPr>
          <w:rFonts w:hint="eastAsia" w:ascii="宋体" w:hAnsi="宋体"/>
          <w:color w:val="auto"/>
          <w:szCs w:val="32"/>
        </w:rPr>
        <w:t>报价的共同基础。</w:t>
      </w:r>
      <w:r>
        <w:rPr>
          <w:rFonts w:hint="eastAsia" w:ascii="宋体" w:hAnsi="宋体" w:eastAsia="宋体"/>
          <w:color w:val="auto"/>
          <w:szCs w:val="32"/>
          <w:lang w:eastAsia="zh-CN"/>
        </w:rPr>
        <w:t>中标</w:t>
      </w:r>
      <w:r>
        <w:rPr>
          <w:rFonts w:hint="eastAsia" w:ascii="宋体" w:hAnsi="宋体"/>
          <w:color w:val="auto"/>
          <w:szCs w:val="32"/>
        </w:rPr>
        <w:t>后结算支付，以设计图纸和设计变更实际工程量为依据，按</w:t>
      </w:r>
      <w:r>
        <w:rPr>
          <w:rFonts w:hint="eastAsia" w:ascii="宋体" w:hAnsi="宋体" w:eastAsia="宋体"/>
          <w:color w:val="auto"/>
          <w:szCs w:val="32"/>
          <w:lang w:eastAsia="zh-CN"/>
        </w:rPr>
        <w:t>中标</w:t>
      </w:r>
      <w:r>
        <w:rPr>
          <w:rFonts w:hint="eastAsia" w:ascii="宋体" w:hAnsi="宋体"/>
          <w:color w:val="auto"/>
          <w:szCs w:val="32"/>
        </w:rPr>
        <w:t>单位投标所报的工程量清单的单价支付费用。</w:t>
      </w:r>
    </w:p>
    <w:p>
      <w:pPr>
        <w:spacing w:line="360" w:lineRule="auto"/>
        <w:rPr>
          <w:rFonts w:hint="eastAsia" w:ascii="宋体" w:hAnsi="宋体"/>
          <w:color w:val="auto"/>
          <w:szCs w:val="32"/>
        </w:rPr>
      </w:pPr>
      <w:r>
        <w:rPr>
          <w:rFonts w:hint="eastAsia" w:ascii="宋体" w:hAnsi="宋体" w:eastAsia="宋体"/>
          <w:color w:val="auto"/>
          <w:szCs w:val="32"/>
          <w:lang w:val="en-US" w:eastAsia="zh-CN"/>
        </w:rPr>
        <w:t>5</w:t>
      </w:r>
      <w:r>
        <w:rPr>
          <w:rFonts w:hint="eastAsia" w:ascii="宋体" w:hAnsi="宋体"/>
          <w:color w:val="auto"/>
          <w:szCs w:val="32"/>
        </w:rPr>
        <w:t>、对工程和材料的一般指示或说明已写于合同文件、图纸和技术规范内。给工程量清单各细目标价前，须参阅合同文件和技术规范的有关部分。</w:t>
      </w:r>
    </w:p>
    <w:p>
      <w:pPr>
        <w:spacing w:line="360" w:lineRule="auto"/>
        <w:rPr>
          <w:rFonts w:hint="eastAsia" w:ascii="宋体" w:hAnsi="宋体"/>
          <w:color w:val="auto"/>
          <w:szCs w:val="32"/>
        </w:rPr>
      </w:pPr>
      <w:r>
        <w:rPr>
          <w:rFonts w:hint="eastAsia" w:ascii="宋体" w:hAnsi="宋体" w:eastAsia="宋体"/>
          <w:color w:val="auto"/>
          <w:szCs w:val="32"/>
          <w:lang w:val="en-US" w:eastAsia="zh-CN"/>
        </w:rPr>
        <w:t>6</w:t>
      </w:r>
      <w:r>
        <w:rPr>
          <w:rFonts w:hint="eastAsia" w:ascii="宋体" w:hAnsi="宋体"/>
          <w:color w:val="auto"/>
          <w:szCs w:val="32"/>
        </w:rPr>
        <w:t>、所有报价应以人民币表示。</w:t>
      </w:r>
    </w:p>
    <w:p>
      <w:pPr>
        <w:spacing w:line="360" w:lineRule="auto"/>
        <w:rPr>
          <w:rFonts w:hint="eastAsia" w:ascii="宋体" w:hAnsi="宋体"/>
          <w:color w:val="auto"/>
          <w:szCs w:val="32"/>
        </w:rPr>
      </w:pPr>
      <w:r>
        <w:rPr>
          <w:rFonts w:hint="eastAsia" w:ascii="宋体" w:hAnsi="宋体" w:eastAsia="宋体"/>
          <w:color w:val="auto"/>
          <w:szCs w:val="32"/>
          <w:lang w:val="en-US" w:eastAsia="zh-CN"/>
        </w:rPr>
        <w:t>7</w:t>
      </w:r>
      <w:r>
        <w:rPr>
          <w:rFonts w:hint="eastAsia" w:ascii="宋体" w:hAnsi="宋体"/>
          <w:color w:val="auto"/>
          <w:szCs w:val="32"/>
        </w:rPr>
        <w:t>、工程量清单另册发放。</w:t>
      </w:r>
    </w:p>
    <w:p>
      <w:pPr>
        <w:spacing w:line="360" w:lineRule="auto"/>
        <w:rPr>
          <w:rFonts w:hint="eastAsia" w:ascii="宋体" w:hAnsi="宋体"/>
          <w:color w:val="auto"/>
          <w:szCs w:val="32"/>
        </w:rPr>
      </w:pPr>
      <w:r>
        <w:rPr>
          <w:rFonts w:hint="eastAsia" w:ascii="宋体" w:hAnsi="宋体" w:eastAsia="宋体"/>
          <w:color w:val="auto"/>
          <w:szCs w:val="32"/>
          <w:lang w:val="en-US" w:eastAsia="zh-CN"/>
        </w:rPr>
        <w:t>8</w:t>
      </w:r>
      <w:r>
        <w:rPr>
          <w:rFonts w:hint="eastAsia" w:ascii="宋体" w:hAnsi="宋体"/>
          <w:color w:val="auto"/>
          <w:szCs w:val="32"/>
        </w:rPr>
        <w:t>、投标人应认真填写工程量清单中所列的所有各细目的单价和合价，填写时应注意：</w:t>
      </w:r>
    </w:p>
    <w:p>
      <w:pPr>
        <w:spacing w:line="360" w:lineRule="auto"/>
        <w:rPr>
          <w:rFonts w:hint="eastAsia" w:ascii="宋体" w:hAnsi="宋体"/>
          <w:color w:val="auto"/>
          <w:szCs w:val="32"/>
        </w:rPr>
      </w:pPr>
      <w:r>
        <w:rPr>
          <w:rFonts w:hint="eastAsia" w:ascii="宋体" w:hAnsi="宋体"/>
          <w:color w:val="auto"/>
          <w:szCs w:val="32"/>
          <w:lang w:val="en-US" w:eastAsia="zh-CN"/>
        </w:rPr>
        <w:t>8.1</w:t>
      </w:r>
      <w:r>
        <w:rPr>
          <w:rFonts w:hint="eastAsia" w:ascii="宋体" w:hAnsi="宋体"/>
          <w:color w:val="auto"/>
          <w:szCs w:val="32"/>
        </w:rPr>
        <w:t>有工程数量的项目应报单价和合价；</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8.2 </w:t>
      </w:r>
      <w:r>
        <w:rPr>
          <w:rFonts w:hint="eastAsia" w:ascii="宋体" w:hAnsi="宋体"/>
          <w:color w:val="auto"/>
          <w:szCs w:val="32"/>
        </w:rPr>
        <w:t>除非招标人对招标文件予以修改，投标人应按招标人提供的工程量清单中列出的工程项目和工程量填报单价和合价。每一项目只允许有一个报价。任何有选择的报价将不予接受。投标人未填单价和合价的工程项目，在实施后，招标人将不予以支付，并视为该项费用已包括在其他有价款的单价或合价内，承包人必须按监理工程师的指令完成工程量清单中未填入单价或总额价的工程细目，但不能得到支付与结算。</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8.3 </w:t>
      </w:r>
      <w:r>
        <w:rPr>
          <w:rFonts w:hint="eastAsia" w:ascii="宋体" w:hAnsi="宋体"/>
          <w:color w:val="auto"/>
          <w:szCs w:val="32"/>
        </w:rPr>
        <w:t>分部分项及单价措施项目综合单价应包括招标文件中招标人要求投标人所承担的风险内容及其范围（幅度）产生的风险费用。</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8.4 </w:t>
      </w:r>
      <w:r>
        <w:rPr>
          <w:rFonts w:hint="eastAsia" w:ascii="宋体" w:hAnsi="宋体"/>
          <w:color w:val="auto"/>
          <w:szCs w:val="32"/>
        </w:rPr>
        <w:t>总价措施项目应根据拟定的招标文件和常规施工方案按《计价规范》和《计算规范》规定编制。</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8.5 </w:t>
      </w:r>
      <w:r>
        <w:rPr>
          <w:rFonts w:hint="eastAsia" w:ascii="宋体" w:hAnsi="宋体"/>
          <w:color w:val="auto"/>
          <w:szCs w:val="32"/>
        </w:rPr>
        <w:t>规费和税金应按规定确定，作为不可竞争费用，且规费中的建安劳保费要单列。</w:t>
      </w:r>
    </w:p>
    <w:p>
      <w:pPr>
        <w:spacing w:line="360" w:lineRule="auto"/>
        <w:rPr>
          <w:rFonts w:hint="eastAsia" w:ascii="宋体" w:hAnsi="宋体"/>
          <w:color w:val="auto"/>
          <w:szCs w:val="32"/>
        </w:rPr>
      </w:pPr>
      <w:r>
        <w:rPr>
          <w:rFonts w:hint="eastAsia" w:ascii="宋体" w:hAnsi="宋体"/>
          <w:color w:val="auto"/>
          <w:szCs w:val="32"/>
          <w:lang w:val="en-US" w:eastAsia="zh-CN"/>
        </w:rPr>
        <w:t xml:space="preserve">8.6 </w:t>
      </w:r>
      <w:r>
        <w:rPr>
          <w:rFonts w:hint="eastAsia" w:ascii="宋体" w:hAnsi="宋体"/>
          <w:color w:val="auto"/>
          <w:szCs w:val="32"/>
        </w:rPr>
        <w:t xml:space="preserve">其它需要说明的问题：   /   </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投标报价（已标价工程量清单）编制说明</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.1 投标人应依据招标文件、招标工程量清单以及《计价规范》、《计算规范》自主报价，自主报价不得违反计价规范强制性条文规定。投标人不得采用总价让利或以百分比让利等形式进行报价，任何优惠（或降价、让利）均应反映在相应清单项目的综合单价中。同时，不得出现任意一项单价重大让利，不得以自有机械闲置、自有材料等不计成本为由低于工程成本报价。</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.2 投标人应按招标工程量清单填报价格。项目编码、项目名称、项目特征、计量单位、工程量必须与招标工程量清单一致，投标人不得对招标工程量清单项目进行增减调整。</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.3 综合单价中应包含招标文件中划分的应有投标人承担的风险范围及其费用。</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.4 分部分项工程项目和单价措施项目，应根据招标文件和招标工程量清单项目中的特征描述确定综合单价计算。如出现招标工程量清单特征描述与设计图纸不符时，投标人应以招标工程量清单的项目特征描述为准，确定投标报价的综合单价。</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.5 总价措施项目的金额应根据招标文件及投标时拟定的施工组织设计或施工方案，按计价规范的规定自主确定。但安全文明施工费按有关规定执行，作为不竞争费用单列。</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.6 其他项目费应按下列规定报价：</w:t>
      </w:r>
    </w:p>
    <w:p>
      <w:pPr>
        <w:spacing w:line="360" w:lineRule="auto"/>
        <w:rPr>
          <w:rFonts w:hint="eastAsia" w:ascii="宋体" w:hAnsi="宋体"/>
          <w:color w:val="auto"/>
          <w:szCs w:val="32"/>
        </w:rPr>
      </w:pPr>
      <w:r>
        <w:rPr>
          <w:rFonts w:hint="eastAsia" w:ascii="宋体" w:hAnsi="宋体"/>
          <w:color w:val="auto"/>
          <w:szCs w:val="32"/>
        </w:rPr>
        <w:t>（1）暂列金额应按招标工程量清单中列出的金额填写；</w:t>
      </w:r>
    </w:p>
    <w:p>
      <w:pPr>
        <w:spacing w:line="360" w:lineRule="auto"/>
        <w:rPr>
          <w:rFonts w:hint="eastAsia" w:ascii="宋体" w:hAnsi="宋体"/>
          <w:color w:val="auto"/>
          <w:szCs w:val="32"/>
        </w:rPr>
      </w:pPr>
      <w:r>
        <w:rPr>
          <w:rFonts w:hint="eastAsia" w:ascii="宋体" w:hAnsi="宋体"/>
          <w:color w:val="auto"/>
          <w:szCs w:val="32"/>
        </w:rPr>
        <w:t>（2）材料、工程设备暂估价应按招标工程量清单中列出的单价计入综合单价；</w:t>
      </w:r>
    </w:p>
    <w:p>
      <w:pPr>
        <w:spacing w:line="360" w:lineRule="auto"/>
        <w:rPr>
          <w:rFonts w:hint="eastAsia" w:ascii="宋体" w:hAnsi="宋体"/>
          <w:color w:val="auto"/>
          <w:szCs w:val="32"/>
        </w:rPr>
      </w:pPr>
      <w:r>
        <w:rPr>
          <w:rFonts w:hint="eastAsia" w:ascii="宋体" w:hAnsi="宋体"/>
          <w:color w:val="auto"/>
          <w:szCs w:val="32"/>
        </w:rPr>
        <w:t>（3）专业工程暂估价应按招标工程量清单中列出的金额填写；</w:t>
      </w:r>
    </w:p>
    <w:p>
      <w:pPr>
        <w:spacing w:line="360" w:lineRule="auto"/>
        <w:rPr>
          <w:rFonts w:hint="eastAsia" w:ascii="宋体" w:hAnsi="宋体"/>
          <w:color w:val="auto"/>
          <w:szCs w:val="32"/>
        </w:rPr>
      </w:pPr>
      <w:r>
        <w:rPr>
          <w:rFonts w:hint="eastAsia" w:ascii="宋体" w:hAnsi="宋体"/>
          <w:color w:val="auto"/>
          <w:szCs w:val="32"/>
        </w:rPr>
        <w:t>（4）计日工应按招标工程量清单中列出的项目和数量，自主确定综合单价并计算计日工总额；</w:t>
      </w:r>
    </w:p>
    <w:p>
      <w:pPr>
        <w:spacing w:line="360" w:lineRule="auto"/>
        <w:rPr>
          <w:rFonts w:hint="eastAsia" w:ascii="宋体" w:hAnsi="宋体"/>
          <w:color w:val="auto"/>
          <w:szCs w:val="32"/>
        </w:rPr>
      </w:pPr>
      <w:r>
        <w:rPr>
          <w:rFonts w:hint="eastAsia" w:ascii="宋体" w:hAnsi="宋体"/>
          <w:color w:val="auto"/>
          <w:szCs w:val="32"/>
        </w:rPr>
        <w:t>（5）总承包服务费应根据招标工程量清单中列出的内容和供应材料、设备情况，按照招标人提出的协调、配合与服务要求和施工现场管理需要自主确定。</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.7 规费和税金应按规定确定，作为不可竞争费用，且规费中的建安劳保费要单列。</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.8 招标工程量清单与计价表中列明的所有需要填写的单价和合价的项目，投标人均应填写且只允许有一个报价。未填写单价和合价的项目，视为此项费用已包含在已标价工程量清单中其他项目的单价和合价之中。竣工结算时，此项目不得重新组价予以调整。</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.9 投标总价应当与分部分项工程费、措施项目费、其他项目费和规费、税金的合计金额一致。</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.10 因分部分项工程量清单漏项、设计变更、相关签证引起工程项目、工程量任何变化的，变更合同价款按专用合同条款中变更估价原则处理。</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.11 投标人应按《承包人提供的主要材料和设备一览表》的内容填报，不得擅自调整材料和设备名称型号规格、单位、风险系数、基准单价。</w:t>
      </w:r>
    </w:p>
    <w:p>
      <w:pPr>
        <w:spacing w:line="360" w:lineRule="auto"/>
        <w:rPr>
          <w:rFonts w:hint="eastAsia" w:ascii="宋体" w:hAnsi="宋体"/>
          <w:color w:val="auto"/>
          <w:szCs w:val="32"/>
        </w:rPr>
      </w:pPr>
      <w:r>
        <w:rPr>
          <w:rFonts w:hint="eastAsia" w:ascii="宋体" w:hAnsi="宋体"/>
          <w:color w:val="auto"/>
          <w:szCs w:val="32"/>
          <w:lang w:val="en-US" w:eastAsia="zh-CN"/>
        </w:rPr>
        <w:t>9</w:t>
      </w:r>
      <w:r>
        <w:rPr>
          <w:rFonts w:hint="eastAsia" w:ascii="宋体" w:hAnsi="宋体"/>
          <w:color w:val="auto"/>
          <w:szCs w:val="32"/>
        </w:rPr>
        <w:t>.12投标报价表格按本工程工程量清单表格要求填写，并应按招标文件的要求，附上《工程量清单综合单价分析表》（表-09）和《主要清单项目工料机分析表》（表-10）。</w:t>
      </w:r>
    </w:p>
    <w:p>
      <w:pPr>
        <w:spacing w:line="360" w:lineRule="auto"/>
        <w:rPr>
          <w:rFonts w:hint="eastAsia" w:ascii="宋体" w:hAnsi="宋体"/>
          <w:color w:val="auto"/>
          <w:szCs w:val="32"/>
        </w:rPr>
      </w:pPr>
      <w:r>
        <w:rPr>
          <w:rFonts w:hint="eastAsia" w:ascii="宋体" w:hAnsi="宋体"/>
          <w:color w:val="auto"/>
          <w:szCs w:val="32"/>
        </w:rPr>
        <w:t>未尽事宜详见本工程招标工程量清单、招标控制价编制说明以及现行《计价规范》等有关规定执行。</w:t>
      </w:r>
    </w:p>
    <w:p>
      <w:pPr>
        <w:widowControl/>
        <w:ind w:firstLine="480" w:firstLineChars="200"/>
        <w:jc w:val="left"/>
        <w:rPr>
          <w:color w:val="auto"/>
        </w:rPr>
      </w:pPr>
      <w:r>
        <w:rPr>
          <w:rFonts w:ascii="宋体" w:hAnsi="宋体" w:cs="宋体"/>
          <w:color w:val="auto"/>
          <w:kern w:val="0"/>
          <w:sz w:val="24"/>
          <w:szCs w:val="24"/>
        </w:rPr>
        <w:br w:type="textWrapping"/>
      </w:r>
    </w:p>
    <w:p>
      <w:pPr>
        <w:rPr>
          <w:rFonts w:hint="default" w:ascii="黑体" w:hAnsi="黑体" w:eastAsia="黑体" w:cs="黑体"/>
          <w:b/>
          <w:color w:val="auto"/>
          <w:sz w:val="32"/>
        </w:rPr>
      </w:pPr>
    </w:p>
    <w:p>
      <w:pPr>
        <w:rPr>
          <w:rFonts w:hint="default" w:ascii="黑体" w:hAnsi="黑体" w:eastAsia="黑体" w:cs="黑体"/>
          <w:b/>
          <w:color w:val="auto"/>
          <w:sz w:val="32"/>
        </w:rPr>
      </w:pPr>
      <w:r>
        <w:rPr>
          <w:rFonts w:hint="default"/>
          <w:color w:val="auto"/>
        </w:rPr>
        <w:br w:type="page"/>
      </w:r>
    </w:p>
    <w:p>
      <w:pPr>
        <w:pStyle w:val="2"/>
        <w:bidi w:val="0"/>
        <w:rPr>
          <w:rFonts w:hint="default" w:ascii="黑体" w:hAnsi="黑体" w:eastAsia="黑体" w:cs="黑体"/>
          <w:b/>
          <w:color w:val="auto"/>
        </w:rPr>
      </w:pPr>
      <w:r>
        <w:rPr>
          <w:rFonts w:hint="default"/>
          <w:color w:val="auto"/>
        </w:rPr>
        <w:t>第</w:t>
      </w:r>
      <w:r>
        <w:rPr>
          <w:rFonts w:hint="eastAsia" w:eastAsia="宋体"/>
          <w:color w:val="auto"/>
          <w:lang w:eastAsia="zh-CN"/>
        </w:rPr>
        <w:t>二</w:t>
      </w:r>
      <w:r>
        <w:rPr>
          <w:rFonts w:hint="default"/>
          <w:color w:val="auto"/>
        </w:rPr>
        <w:t>卷</w:t>
      </w:r>
    </w:p>
    <w:p>
      <w:pPr>
        <w:pStyle w:val="2"/>
        <w:bidi w:val="0"/>
        <w:rPr>
          <w:rFonts w:hint="default"/>
          <w:color w:val="auto"/>
        </w:rPr>
      </w:pPr>
      <w:bookmarkStart w:id="155" w:name="_Toc17128_WPSOffice_Level1"/>
      <w:bookmarkStart w:id="156" w:name="_Toc27487_WPSOffice_Level1"/>
      <w:r>
        <w:rPr>
          <w:rFonts w:hint="default"/>
          <w:color w:val="auto"/>
        </w:rPr>
        <w:t>第</w:t>
      </w:r>
      <w:r>
        <w:rPr>
          <w:rFonts w:hint="eastAsia" w:eastAsia="宋体"/>
          <w:color w:val="auto"/>
          <w:lang w:eastAsia="zh-CN"/>
        </w:rPr>
        <w:t>六</w:t>
      </w:r>
      <w:r>
        <w:rPr>
          <w:rFonts w:hint="default"/>
          <w:color w:val="auto"/>
        </w:rPr>
        <w:t>章 技术标准和要求</w:t>
      </w:r>
      <w:bookmarkEnd w:id="155"/>
      <w:bookmarkEnd w:id="156"/>
    </w:p>
    <w:p>
      <w:pPr>
        <w:autoSpaceDE w:val="0"/>
        <w:autoSpaceDN w:val="0"/>
        <w:snapToGrid w:val="0"/>
        <w:spacing w:before="694" w:after="0" w:line="363" w:lineRule="exact"/>
        <w:ind w:left="14" w:right="14" w:firstLine="0"/>
        <w:jc w:val="center"/>
        <w:textAlignment w:val="auto"/>
        <w:rPr>
          <w:rFonts w:hint="default" w:ascii="宋体" w:hAnsi="宋体" w:eastAsia="宋体" w:cs="宋体"/>
          <w:color w:val="auto"/>
          <w:sz w:val="28"/>
        </w:rPr>
      </w:pPr>
      <w:bookmarkStart w:id="157" w:name="_Toc11456_WPSOffice_Level2"/>
      <w:bookmarkStart w:id="158" w:name="_Toc13716_WPSOffice_Level2"/>
      <w:bookmarkStart w:id="159" w:name="_Toc22777_WPSOffice_Level2"/>
      <w:r>
        <w:rPr>
          <w:rFonts w:hint="default" w:ascii="宋体" w:hAnsi="宋体" w:eastAsia="宋体" w:cs="宋体"/>
          <w:color w:val="auto"/>
          <w:spacing w:val="-1"/>
          <w:sz w:val="28"/>
        </w:rPr>
        <w:t>本节由招标人</w:t>
      </w:r>
      <w:r>
        <w:rPr>
          <w:rFonts w:hint="default" w:ascii="宋体" w:hAnsi="宋体" w:eastAsia="宋体" w:cs="宋体"/>
          <w:color w:val="auto"/>
          <w:sz w:val="28"/>
        </w:rPr>
        <w:t>根据国家行业和地方现行标准、规范和规程等，</w:t>
      </w:r>
      <w:bookmarkEnd w:id="157"/>
      <w:bookmarkEnd w:id="158"/>
      <w:bookmarkEnd w:id="159"/>
    </w:p>
    <w:p>
      <w:pPr>
        <w:autoSpaceDE w:val="0"/>
        <w:autoSpaceDN w:val="0"/>
        <w:snapToGrid w:val="0"/>
        <w:spacing w:before="0" w:after="0" w:line="363" w:lineRule="exact"/>
        <w:ind w:left="14" w:right="14" w:firstLine="0"/>
        <w:jc w:val="center"/>
        <w:textAlignment w:val="auto"/>
        <w:rPr>
          <w:rFonts w:hint="default" w:ascii="宋体" w:hAnsi="宋体" w:eastAsia="宋体" w:cs="宋体"/>
          <w:color w:val="auto"/>
          <w:sz w:val="28"/>
        </w:rPr>
      </w:pPr>
      <w:bookmarkStart w:id="160" w:name="_Toc11249_WPSOffice_Level2"/>
      <w:bookmarkStart w:id="161" w:name="_Toc22730_WPSOffice_Level2"/>
      <w:bookmarkStart w:id="162" w:name="_Toc20692_WPSOffice_Level2"/>
      <w:r>
        <w:rPr>
          <w:rFonts w:hint="default" w:ascii="宋体" w:hAnsi="宋体" w:eastAsia="宋体" w:cs="宋体"/>
          <w:color w:val="auto"/>
          <w:sz w:val="28"/>
        </w:rPr>
        <w:t>以及项目具体情况摘录。</w:t>
      </w:r>
      <w:bookmarkEnd w:id="160"/>
      <w:bookmarkEnd w:id="161"/>
      <w:bookmarkEnd w:id="162"/>
    </w:p>
    <w:p>
      <w:pPr>
        <w:rPr>
          <w:rFonts w:hint="default" w:ascii="黑体" w:hAnsi="黑体" w:eastAsia="黑体" w:cs="黑体"/>
          <w:b/>
          <w:color w:val="auto"/>
          <w:sz w:val="32"/>
        </w:rPr>
      </w:pPr>
      <w:r>
        <w:rPr>
          <w:rFonts w:hint="default" w:ascii="黑体" w:hAnsi="黑体" w:eastAsia="黑体" w:cs="黑体"/>
          <w:b/>
          <w:color w:val="auto"/>
          <w:sz w:val="32"/>
        </w:rPr>
        <w:br w:type="page"/>
      </w:r>
    </w:p>
    <w:p>
      <w:pPr>
        <w:pStyle w:val="2"/>
        <w:bidi w:val="0"/>
        <w:rPr>
          <w:rFonts w:hint="default" w:ascii="黑体" w:hAnsi="黑体" w:eastAsia="黑体" w:cs="黑体"/>
          <w:b/>
          <w:color w:val="auto"/>
        </w:rPr>
      </w:pPr>
      <w:r>
        <w:rPr>
          <w:rFonts w:hint="default"/>
          <w:color w:val="auto"/>
        </w:rPr>
        <w:t>第</w:t>
      </w:r>
      <w:r>
        <w:rPr>
          <w:rFonts w:hint="eastAsia" w:eastAsia="宋体"/>
          <w:color w:val="auto"/>
          <w:lang w:eastAsia="zh-CN"/>
        </w:rPr>
        <w:t>三</w:t>
      </w:r>
      <w:r>
        <w:rPr>
          <w:rFonts w:hint="default"/>
          <w:color w:val="auto"/>
        </w:rPr>
        <w:t>卷</w:t>
      </w:r>
    </w:p>
    <w:p>
      <w:pPr>
        <w:pStyle w:val="2"/>
        <w:bidi w:val="0"/>
        <w:rPr>
          <w:rFonts w:hint="default"/>
          <w:color w:val="auto"/>
        </w:rPr>
      </w:pPr>
      <w:bookmarkStart w:id="163" w:name="_Toc709_WPSOffice_Level1"/>
      <w:bookmarkStart w:id="164" w:name="_Toc15145_WPSOffice_Level1"/>
      <w:r>
        <w:rPr>
          <w:rFonts w:hint="default"/>
          <w:color w:val="auto"/>
        </w:rPr>
        <w:t>第</w:t>
      </w:r>
      <w:r>
        <w:rPr>
          <w:rFonts w:hint="eastAsia" w:eastAsia="宋体"/>
          <w:color w:val="auto"/>
          <w:lang w:eastAsia="zh-CN"/>
        </w:rPr>
        <w:t>七</w:t>
      </w:r>
      <w:r>
        <w:rPr>
          <w:rFonts w:hint="default"/>
          <w:color w:val="auto"/>
        </w:rPr>
        <w:t>章 投标文件格式</w:t>
      </w:r>
      <w:bookmarkEnd w:id="163"/>
      <w:bookmarkEnd w:id="164"/>
    </w:p>
    <w:p>
      <w:pPr>
        <w:pStyle w:val="2"/>
        <w:bidi w:val="0"/>
        <w:rPr>
          <w:rFonts w:hint="default"/>
          <w:color w:val="auto"/>
        </w:rPr>
      </w:pPr>
      <w:r>
        <w:rPr>
          <w:rFonts w:hint="default"/>
          <w:color w:val="auto"/>
        </w:rPr>
        <w:br w:type="page"/>
      </w:r>
    </w:p>
    <w:p>
      <w:pPr>
        <w:autoSpaceDE w:val="0"/>
        <w:autoSpaceDN w:val="0"/>
        <w:snapToGrid w:val="0"/>
        <w:spacing w:before="66" w:after="0" w:line="350" w:lineRule="exact"/>
        <w:ind w:left="3433" w:right="0" w:firstLine="0"/>
        <w:jc w:val="left"/>
        <w:textAlignment w:val="auto"/>
        <w:rPr>
          <w:rFonts w:hint="default" w:ascii="宋体" w:hAnsi="宋体" w:eastAsia="宋体" w:cs="宋体"/>
          <w:color w:val="auto"/>
          <w:sz w:val="28"/>
        </w:rPr>
      </w:pPr>
    </w:p>
    <w:p>
      <w:pPr>
        <w:autoSpaceDE w:val="0"/>
        <w:autoSpaceDN w:val="0"/>
        <w:snapToGrid w:val="0"/>
        <w:spacing w:before="66" w:after="0" w:line="350" w:lineRule="exact"/>
        <w:ind w:right="0"/>
        <w:jc w:val="center"/>
        <w:textAlignment w:val="auto"/>
        <w:rPr>
          <w:rFonts w:hint="default" w:ascii="宋体" w:hAnsi="宋体" w:eastAsia="宋体" w:cs="宋体"/>
          <w:color w:val="auto"/>
          <w:sz w:val="28"/>
        </w:rPr>
      </w:pPr>
      <w:bookmarkStart w:id="165" w:name="_Toc17159_WPSOffice_Level2"/>
      <w:bookmarkStart w:id="166" w:name="_Toc5707_WPSOffice_Level2"/>
      <w:bookmarkStart w:id="167" w:name="_Toc26016_WPSOffice_Level2"/>
      <w:r>
        <w:rPr>
          <w:rFonts w:hint="eastAsia" w:ascii="宋体" w:hAnsi="宋体" w:eastAsia="宋体" w:cs="宋体"/>
          <w:color w:val="FFFFFF" w:themeColor="background1"/>
          <w:sz w:val="28"/>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（项目名称）施工招标</w:t>
      </w:r>
      <w:bookmarkEnd w:id="165"/>
      <w:bookmarkEnd w:id="166"/>
      <w:bookmarkEnd w:id="167"/>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bookmarkStart w:id="168" w:name="_Toc26328_WPSOffice_Level1"/>
      <w:bookmarkStart w:id="169" w:name="_Toc14938_WPSOffice_Level1"/>
      <w:bookmarkStart w:id="170" w:name="_Toc7028_WPSOffice_Level1"/>
      <w:r>
        <w:rPr>
          <w:rFonts w:hint="default" w:ascii="宋体" w:hAnsi="宋体" w:eastAsia="宋体" w:cs="宋体"/>
          <w:color w:val="auto"/>
          <w:sz w:val="52"/>
        </w:rPr>
        <w:t>投</w:t>
      </w:r>
      <w:r>
        <w:rPr>
          <w:rFonts w:hint="default" w:ascii="宋体" w:hAnsi="宋体" w:eastAsia="宋体" w:cs="宋体"/>
          <w:color w:val="auto"/>
          <w:spacing w:val="130"/>
          <w:sz w:val="52"/>
        </w:rPr>
        <w:t xml:space="preserve"> </w:t>
      </w:r>
      <w:r>
        <w:rPr>
          <w:rFonts w:hint="default" w:ascii="宋体" w:hAnsi="宋体" w:eastAsia="宋体" w:cs="宋体"/>
          <w:color w:val="auto"/>
          <w:sz w:val="52"/>
        </w:rPr>
        <w:t>标</w:t>
      </w:r>
      <w:r>
        <w:rPr>
          <w:rFonts w:hint="default" w:ascii="宋体" w:hAnsi="宋体" w:eastAsia="宋体" w:cs="宋体"/>
          <w:color w:val="auto"/>
          <w:spacing w:val="130"/>
          <w:sz w:val="52"/>
        </w:rPr>
        <w:t xml:space="preserve"> </w:t>
      </w:r>
      <w:r>
        <w:rPr>
          <w:rFonts w:hint="default" w:ascii="宋体" w:hAnsi="宋体" w:eastAsia="宋体" w:cs="宋体"/>
          <w:color w:val="auto"/>
          <w:sz w:val="52"/>
        </w:rPr>
        <w:t>文</w:t>
      </w:r>
      <w:r>
        <w:rPr>
          <w:rFonts w:hint="default" w:ascii="宋体" w:hAnsi="宋体" w:eastAsia="宋体" w:cs="宋体"/>
          <w:color w:val="auto"/>
          <w:spacing w:val="130"/>
          <w:sz w:val="52"/>
        </w:rPr>
        <w:t xml:space="preserve"> </w:t>
      </w:r>
      <w:r>
        <w:rPr>
          <w:rFonts w:hint="default" w:ascii="宋体" w:hAnsi="宋体" w:eastAsia="宋体" w:cs="宋体"/>
          <w:color w:val="auto"/>
          <w:sz w:val="52"/>
        </w:rPr>
        <w:t>件</w:t>
      </w:r>
      <w:bookmarkEnd w:id="168"/>
      <w:bookmarkEnd w:id="169"/>
      <w:bookmarkEnd w:id="170"/>
    </w:p>
    <w:p>
      <w:pPr>
        <w:autoSpaceDE w:val="0"/>
        <w:autoSpaceDN w:val="0"/>
        <w:snapToGrid w:val="0"/>
        <w:spacing w:before="1492" w:after="0" w:line="350" w:lineRule="exact"/>
        <w:ind w:right="0"/>
        <w:jc w:val="center"/>
        <w:textAlignment w:val="auto"/>
        <w:rPr>
          <w:rFonts w:hint="default" w:ascii="宋体" w:hAnsi="宋体" w:eastAsia="宋体" w:cs="宋体"/>
          <w:color w:val="auto"/>
          <w:sz w:val="28"/>
          <w:u w:val="single"/>
          <w:lang w:val="en-US" w:eastAsia="zh-CN"/>
        </w:rPr>
      </w:pPr>
      <w:bookmarkStart w:id="171" w:name="_Toc16878_WPSOffice_Level2"/>
      <w:bookmarkStart w:id="172" w:name="_Toc32306_WPSOffice_Level2"/>
      <w:bookmarkStart w:id="173" w:name="_Toc13568_WPSOffice_Level2"/>
      <w:r>
        <w:rPr>
          <w:rFonts w:hint="default"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bookmarkEnd w:id="171"/>
      <w:bookmarkEnd w:id="172"/>
      <w:bookmarkEnd w:id="173"/>
    </w:p>
    <w:p>
      <w:pPr>
        <w:autoSpaceDE w:val="0"/>
        <w:autoSpaceDN w:val="0"/>
        <w:snapToGrid w:val="0"/>
        <w:spacing w:before="563" w:after="0" w:line="400" w:lineRule="exact"/>
        <w:ind w:right="0"/>
        <w:jc w:val="center"/>
        <w:textAlignment w:val="auto"/>
        <w:rPr>
          <w:rFonts w:hint="default" w:ascii="宋体" w:hAnsi="宋体" w:eastAsia="宋体" w:cs="宋体"/>
          <w:color w:val="auto"/>
          <w:sz w:val="28"/>
        </w:rPr>
      </w:pPr>
      <w:r>
        <w:rPr>
          <w:rFonts w:hint="default" w:ascii="宋体" w:hAnsi="宋体" w:eastAsia="宋体" w:cs="宋体"/>
          <w:color w:val="auto"/>
          <w:sz w:val="32"/>
        </w:rPr>
        <w:t>（正本</w:t>
      </w:r>
      <w:r>
        <w:rPr>
          <w:rFonts w:hint="default" w:ascii="Times New Roman" w:hAnsi="Times New Roman" w:eastAsia="Times New Roman" w:cs="Times New Roman"/>
          <w:color w:val="auto"/>
          <w:sz w:val="32"/>
        </w:rPr>
        <w:t>/</w:t>
      </w:r>
      <w:r>
        <w:rPr>
          <w:rFonts w:hint="default" w:ascii="宋体" w:hAnsi="宋体" w:eastAsia="宋体" w:cs="宋体"/>
          <w:color w:val="auto"/>
          <w:sz w:val="32"/>
        </w:rPr>
        <w:t>副本）</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280" w:firstLineChars="1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280" w:firstLineChars="1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400" w:firstLineChars="500"/>
        <w:jc w:val="left"/>
        <w:textAlignment w:val="auto"/>
        <w:rPr>
          <w:rFonts w:hint="default" w:ascii="宋体" w:hAnsi="宋体" w:eastAsia="宋体" w:cs="宋体"/>
          <w:color w:val="auto"/>
          <w:sz w:val="28"/>
          <w:u w:val="single"/>
          <w:lang w:val="en-US" w:eastAsia="zh-CN"/>
        </w:rPr>
      </w:pPr>
      <w:r>
        <w:rPr>
          <w:rFonts w:hint="default" w:ascii="宋体" w:hAnsi="宋体" w:eastAsia="宋体" w:cs="宋体"/>
          <w:color w:val="auto"/>
          <w:sz w:val="28"/>
        </w:rPr>
        <w:t>投标内容：</w:t>
      </w:r>
      <w:r>
        <w:rPr>
          <w:rFonts w:hint="default" w:ascii="宋体" w:hAnsi="宋体" w:eastAsia="宋体" w:cs="宋体"/>
          <w:color w:val="auto"/>
          <w:spacing w:val="770"/>
          <w:sz w:val="28"/>
          <w:u w:val="single"/>
        </w:rPr>
        <w:t xml:space="preserve"> </w:t>
      </w:r>
      <w:r>
        <w:rPr>
          <w:rFonts w:hint="default" w:ascii="宋体" w:hAnsi="宋体" w:eastAsia="宋体" w:cs="宋体"/>
          <w:color w:val="auto"/>
          <w:sz w:val="28"/>
          <w:u w:val="single"/>
        </w:rPr>
        <w:t>资格审查部分</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p>
    <w:p>
      <w:pPr>
        <w:autoSpaceDE w:val="0"/>
        <w:autoSpaceDN w:val="0"/>
        <w:snapToGrid w:val="0"/>
        <w:spacing w:before="195" w:after="0" w:line="350" w:lineRule="exact"/>
        <w:ind w:left="320" w:right="0" w:firstLine="1112" w:firstLineChars="400"/>
        <w:jc w:val="left"/>
        <w:textAlignment w:val="auto"/>
        <w:rPr>
          <w:rFonts w:hint="default" w:ascii="宋体" w:hAnsi="宋体" w:eastAsia="宋体" w:cs="宋体"/>
          <w:color w:val="auto"/>
          <w:sz w:val="28"/>
        </w:rPr>
      </w:pPr>
      <w:r>
        <w:rPr>
          <w:rFonts w:hint="default" w:ascii="宋体" w:hAnsi="宋体" w:eastAsia="宋体" w:cs="宋体"/>
          <w:color w:val="auto"/>
          <w:spacing w:val="-1"/>
          <w:sz w:val="28"/>
        </w:rPr>
        <w:t>投标人：</w:t>
      </w:r>
      <w:r>
        <w:rPr>
          <w:rFonts w:hint="default" w:ascii="宋体" w:hAnsi="宋体" w:eastAsia="宋体" w:cs="宋体"/>
          <w:color w:val="auto"/>
          <w:spacing w:val="2169"/>
          <w:sz w:val="28"/>
          <w:u w:val="single"/>
        </w:rPr>
        <w:t xml:space="preserve"> </w:t>
      </w:r>
      <w:r>
        <w:rPr>
          <w:rFonts w:hint="default" w:ascii="宋体" w:hAnsi="宋体" w:eastAsia="宋体" w:cs="宋体"/>
          <w:color w:val="auto"/>
          <w:spacing w:val="-1"/>
          <w:sz w:val="28"/>
        </w:rPr>
        <w:t>（</w:t>
      </w:r>
      <w:r>
        <w:rPr>
          <w:rFonts w:hint="default" w:ascii="宋体" w:hAnsi="宋体" w:eastAsia="宋体" w:cs="宋体"/>
          <w:color w:val="auto"/>
          <w:sz w:val="28"/>
        </w:rPr>
        <w:t>盖单位章）</w:t>
      </w:r>
    </w:p>
    <w:p>
      <w:pPr>
        <w:autoSpaceDE w:val="0"/>
        <w:autoSpaceDN w:val="0"/>
        <w:snapToGrid w:val="0"/>
        <w:spacing w:before="195" w:after="0" w:line="350" w:lineRule="exact"/>
        <w:ind w:left="320" w:right="0" w:firstLine="1120" w:firstLineChars="400"/>
        <w:jc w:val="left"/>
        <w:textAlignment w:val="auto"/>
        <w:rPr>
          <w:rFonts w:hint="default" w:ascii="宋体" w:hAnsi="宋体" w:eastAsia="宋体" w:cs="宋体"/>
          <w:color w:val="auto"/>
          <w:sz w:val="28"/>
        </w:rPr>
      </w:pPr>
      <w:r>
        <w:rPr>
          <w:rFonts w:hint="default" w:ascii="宋体" w:hAnsi="宋体" w:eastAsia="宋体" w:cs="宋体"/>
          <w:color w:val="auto"/>
          <w:sz w:val="28"/>
        </w:rPr>
        <w:t>法定代表人或其委托代理人：</w:t>
      </w:r>
      <w:r>
        <w:rPr>
          <w:rFonts w:hint="default" w:ascii="宋体" w:hAnsi="宋体" w:eastAsia="宋体" w:cs="宋体"/>
          <w:color w:val="auto"/>
          <w:spacing w:val="700"/>
          <w:sz w:val="28"/>
          <w:u w:val="single"/>
        </w:rPr>
        <w:t xml:space="preserve"> </w:t>
      </w:r>
      <w:r>
        <w:rPr>
          <w:rFonts w:hint="default" w:ascii="宋体" w:hAnsi="宋体" w:eastAsia="宋体" w:cs="宋体"/>
          <w:color w:val="auto"/>
          <w:sz w:val="28"/>
        </w:rPr>
        <w:t>（签字或盖章）</w:t>
      </w:r>
    </w:p>
    <w:p>
      <w:pPr>
        <w:autoSpaceDE w:val="0"/>
        <w:autoSpaceDN w:val="0"/>
        <w:snapToGrid w:val="0"/>
        <w:spacing w:before="839" w:after="0" w:line="350" w:lineRule="exact"/>
        <w:ind w:left="2744" w:right="0" w:firstLine="0"/>
        <w:jc w:val="left"/>
        <w:textAlignment w:val="auto"/>
        <w:rPr>
          <w:rFonts w:hint="default" w:ascii="宋体" w:hAnsi="宋体" w:eastAsia="宋体" w:cs="宋体"/>
          <w:color w:val="auto"/>
          <w:sz w:val="28"/>
        </w:rPr>
      </w:pPr>
      <w:r>
        <w:rPr>
          <w:rFonts w:hint="eastAsia" w:ascii="宋体" w:hAnsi="宋体" w:eastAsia="宋体" w:cs="宋体"/>
          <w:color w:val="FFFFFF" w:themeColor="background1"/>
          <w:sz w:val="28"/>
          <w:u w:val="single"/>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年</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月</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日</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4312"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目</w:t>
      </w:r>
      <w:r>
        <w:rPr>
          <w:rFonts w:hint="default" w:ascii="宋体" w:hAnsi="宋体" w:eastAsia="宋体" w:cs="宋体"/>
          <w:b/>
          <w:color w:val="auto"/>
          <w:spacing w:val="211"/>
          <w:sz w:val="28"/>
        </w:rPr>
        <w:t xml:space="preserve"> </w:t>
      </w:r>
      <w:r>
        <w:rPr>
          <w:rFonts w:hint="default" w:ascii="宋体" w:hAnsi="宋体" w:eastAsia="宋体" w:cs="宋体"/>
          <w:b/>
          <w:color w:val="auto"/>
          <w:sz w:val="28"/>
        </w:rPr>
        <w:t>录</w:t>
      </w:r>
    </w:p>
    <w:p>
      <w:pPr>
        <w:autoSpaceDE w:val="0"/>
        <w:autoSpaceDN w:val="0"/>
        <w:snapToGrid w:val="0"/>
        <w:spacing w:before="253" w:after="0" w:line="350" w:lineRule="exact"/>
        <w:ind w:left="3887"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（应附有页码）</w:t>
      </w:r>
    </w:p>
    <w:p>
      <w:pPr>
        <w:autoSpaceDE w:val="0"/>
        <w:autoSpaceDN w:val="0"/>
        <w:snapToGrid w:val="0"/>
        <w:spacing w:before="7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、法定代表人身份证明原件及身份证复印件（法定代表人签署投标文件时提供）或者投标文件签署</w:t>
      </w:r>
    </w:p>
    <w:p>
      <w:pPr>
        <w:autoSpaceDE w:val="0"/>
        <w:autoSpaceDN w:val="0"/>
        <w:snapToGrid w:val="0"/>
        <w:spacing w:before="39" w:after="0" w:line="420" w:lineRule="exact"/>
        <w:ind w:left="0" w:right="5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授权委托书（</w:t>
      </w:r>
      <w:r>
        <w:rPr>
          <w:rFonts w:hint="default" w:ascii="宋体" w:hAnsi="宋体" w:eastAsia="宋体" w:cs="宋体"/>
          <w:color w:val="auto"/>
          <w:sz w:val="21"/>
        </w:rPr>
        <w:t>原件），附：法定代表人身份证明原件及身份证复印件、委托代理人身份证等材料的复印件（委托代理人签署投标文件时提供）；</w:t>
      </w:r>
    </w:p>
    <w:p>
      <w:pPr>
        <w:autoSpaceDE w:val="0"/>
        <w:autoSpaceDN w:val="0"/>
        <w:snapToGrid w:val="0"/>
        <w:spacing w:before="0" w:after="0" w:line="420" w:lineRule="exact"/>
        <w:ind w:left="0" w:right="158"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2</w:t>
      </w:r>
      <w:r>
        <w:rPr>
          <w:rFonts w:hint="default" w:ascii="宋体" w:hAnsi="宋体" w:eastAsia="宋体" w:cs="宋体"/>
          <w:color w:val="auto"/>
          <w:spacing w:val="-1"/>
          <w:sz w:val="21"/>
        </w:rPr>
        <w:t>、投标人基</w:t>
      </w:r>
      <w:r>
        <w:rPr>
          <w:rFonts w:hint="default" w:ascii="宋体" w:hAnsi="宋体" w:eastAsia="宋体" w:cs="宋体"/>
          <w:color w:val="auto"/>
          <w:sz w:val="21"/>
        </w:rPr>
        <w:t>本情况表，附：有效的企业营业执照副本、企业资质证书副本和安全生产许可证副本等的复印件；</w:t>
      </w:r>
    </w:p>
    <w:p>
      <w:pPr>
        <w:autoSpaceDE w:val="0"/>
        <w:autoSpaceDN w:val="0"/>
        <w:snapToGrid w:val="0"/>
        <w:spacing w:before="12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、联合体协议书（联合体投标人适用，附联合体各家相关等资料复印件）；</w:t>
      </w:r>
    </w:p>
    <w:p>
      <w:pPr>
        <w:autoSpaceDE w:val="0"/>
        <w:autoSpaceDN w:val="0"/>
        <w:snapToGrid w:val="0"/>
        <w:spacing w:before="39" w:after="0" w:line="420" w:lineRule="exact"/>
        <w:ind w:left="0" w:right="158"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、投标</w:t>
      </w:r>
      <w:r>
        <w:rPr>
          <w:rFonts w:hint="eastAsia" w:ascii="宋体" w:hAnsi="宋体" w:eastAsia="宋体" w:cs="宋体"/>
          <w:color w:val="auto"/>
          <w:sz w:val="21"/>
          <w:lang w:eastAsia="zh-CN"/>
        </w:rPr>
        <w:t>保证金缴纳证明材料</w:t>
      </w:r>
      <w:r>
        <w:rPr>
          <w:rFonts w:hint="default" w:ascii="宋体" w:hAnsi="宋体" w:eastAsia="宋体" w:cs="宋体"/>
          <w:color w:val="auto"/>
          <w:sz w:val="21"/>
        </w:rPr>
        <w:t>复印件、公司开户许可证复印件</w:t>
      </w:r>
      <w:r>
        <w:rPr>
          <w:rFonts w:hint="eastAsia" w:ascii="宋体" w:hAnsi="宋体" w:eastAsia="宋体" w:cs="宋体"/>
          <w:color w:val="auto"/>
          <w:sz w:val="21"/>
          <w:lang w:eastAsia="zh-CN"/>
        </w:rPr>
        <w:t>（</w:t>
      </w:r>
      <w:r>
        <w:rPr>
          <w:rFonts w:hint="default" w:ascii="宋体" w:hAnsi="宋体" w:eastAsia="宋体" w:cs="宋体"/>
          <w:color w:val="auto"/>
          <w:sz w:val="21"/>
        </w:rPr>
        <w:t>或基本存款账户信息复印件</w:t>
      </w:r>
      <w:r>
        <w:rPr>
          <w:rFonts w:hint="eastAsia" w:ascii="宋体" w:hAnsi="宋体" w:eastAsia="宋体" w:cs="宋体"/>
          <w:color w:val="auto"/>
          <w:sz w:val="21"/>
          <w:lang w:eastAsia="zh-CN"/>
        </w:rPr>
        <w:t>）</w:t>
      </w:r>
      <w:r>
        <w:rPr>
          <w:rFonts w:hint="default" w:ascii="宋体" w:hAnsi="宋体" w:eastAsia="宋体" w:cs="宋体"/>
          <w:color w:val="auto"/>
          <w:sz w:val="21"/>
        </w:rPr>
        <w:t>；</w:t>
      </w:r>
    </w:p>
    <w:p>
      <w:pPr>
        <w:autoSpaceDE w:val="0"/>
        <w:autoSpaceDN w:val="0"/>
        <w:snapToGrid w:val="0"/>
        <w:spacing w:before="126"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w:t>
      </w:r>
      <w:r>
        <w:rPr>
          <w:rFonts w:hint="default" w:ascii="宋体" w:hAnsi="宋体" w:eastAsia="宋体" w:cs="宋体"/>
          <w:color w:val="auto"/>
          <w:sz w:val="21"/>
        </w:rPr>
        <w:t>、建设工程项目管理承诺书；</w:t>
      </w:r>
    </w:p>
    <w:p>
      <w:pPr>
        <w:autoSpaceDE w:val="0"/>
        <w:autoSpaceDN w:val="0"/>
        <w:snapToGrid w:val="0"/>
        <w:spacing w:before="16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w:t>
      </w:r>
      <w:r>
        <w:rPr>
          <w:rFonts w:hint="default" w:ascii="宋体" w:hAnsi="宋体" w:eastAsia="宋体" w:cs="宋体"/>
          <w:color w:val="auto"/>
          <w:sz w:val="21"/>
        </w:rPr>
        <w:t>、项目经理注册建造师执业资格证书和安全生产考核合格证书（</w:t>
      </w:r>
      <w:r>
        <w:rPr>
          <w:rFonts w:hint="default" w:ascii="Times New Roman" w:hAnsi="Times New Roman" w:eastAsia="Times New Roman" w:cs="Times New Roman"/>
          <w:color w:val="auto"/>
          <w:spacing w:val="52"/>
          <w:sz w:val="21"/>
        </w:rPr>
        <w:t>B</w:t>
      </w:r>
      <w:r>
        <w:rPr>
          <w:rFonts w:hint="default" w:ascii="宋体" w:hAnsi="宋体" w:eastAsia="宋体" w:cs="宋体"/>
          <w:color w:val="auto"/>
          <w:sz w:val="21"/>
        </w:rPr>
        <w:t>类）的复印件；</w:t>
      </w:r>
    </w:p>
    <w:p>
      <w:pPr>
        <w:autoSpaceDE w:val="0"/>
        <w:autoSpaceDN w:val="0"/>
        <w:snapToGrid w:val="0"/>
        <w:spacing w:before="16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w:t>
      </w:r>
      <w:r>
        <w:rPr>
          <w:rFonts w:hint="default" w:ascii="宋体" w:hAnsi="宋体" w:eastAsia="宋体" w:cs="宋体"/>
          <w:color w:val="auto"/>
          <w:sz w:val="21"/>
        </w:rPr>
        <w:t>、安全员安全生产考核合格证书（</w:t>
      </w:r>
      <w:r>
        <w:rPr>
          <w:rFonts w:hint="default" w:ascii="Times New Roman" w:hAnsi="Times New Roman" w:eastAsia="Times New Roman" w:cs="Times New Roman"/>
          <w:color w:val="auto"/>
          <w:spacing w:val="52"/>
          <w:sz w:val="21"/>
        </w:rPr>
        <w:t>C</w:t>
      </w:r>
      <w:r>
        <w:rPr>
          <w:rFonts w:hint="default" w:ascii="宋体" w:hAnsi="宋体" w:eastAsia="宋体" w:cs="宋体"/>
          <w:color w:val="auto"/>
          <w:sz w:val="21"/>
        </w:rPr>
        <w:t>类）的复印件；</w:t>
      </w:r>
    </w:p>
    <w:p>
      <w:pPr>
        <w:autoSpaceDE w:val="0"/>
        <w:autoSpaceDN w:val="0"/>
        <w:snapToGrid w:val="0"/>
        <w:spacing w:before="39" w:after="0" w:line="42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8</w:t>
      </w:r>
      <w:r>
        <w:rPr>
          <w:rFonts w:hint="default" w:ascii="宋体" w:hAnsi="宋体" w:eastAsia="宋体" w:cs="宋体"/>
          <w:color w:val="auto"/>
          <w:spacing w:val="-1"/>
          <w:sz w:val="21"/>
        </w:rPr>
        <w:t>、委托代理</w:t>
      </w:r>
      <w:r>
        <w:rPr>
          <w:rFonts w:hint="default" w:ascii="宋体" w:hAnsi="宋体" w:eastAsia="宋体" w:cs="宋体"/>
          <w:color w:val="auto"/>
          <w:sz w:val="21"/>
        </w:rPr>
        <w:t>人、项目经理、技术负责人和主要管理人员</w:t>
      </w:r>
      <w:r>
        <w:rPr>
          <w:rFonts w:hint="eastAsia" w:ascii="宋体" w:hAnsi="宋体" w:eastAsia="宋体" w:cs="宋体"/>
          <w:color w:val="auto"/>
          <w:sz w:val="21"/>
          <w:lang w:eastAsia="zh-CN"/>
        </w:rPr>
        <w:t>近半年连续三个月</w:t>
      </w:r>
      <w:r>
        <w:rPr>
          <w:rFonts w:hint="default" w:ascii="宋体" w:hAnsi="宋体" w:eastAsia="宋体" w:cs="宋体"/>
          <w:color w:val="auto"/>
          <w:sz w:val="21"/>
        </w:rPr>
        <w:t>在现任职单位依法缴纳社会保险的凭证复印件；</w:t>
      </w:r>
    </w:p>
    <w:p>
      <w:pPr>
        <w:autoSpaceDE w:val="0"/>
        <w:autoSpaceDN w:val="0"/>
        <w:snapToGrid w:val="0"/>
        <w:spacing w:before="0" w:after="0" w:line="420" w:lineRule="exact"/>
        <w:ind w:left="0" w:right="158"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9</w:t>
      </w:r>
      <w:r>
        <w:rPr>
          <w:rFonts w:hint="default" w:ascii="宋体" w:hAnsi="宋体" w:eastAsia="宋体" w:cs="宋体"/>
          <w:color w:val="auto"/>
          <w:spacing w:val="-1"/>
          <w:sz w:val="21"/>
        </w:rPr>
        <w:t>、资格审查</w:t>
      </w:r>
      <w:r>
        <w:rPr>
          <w:rFonts w:hint="default" w:ascii="宋体" w:hAnsi="宋体" w:eastAsia="宋体" w:cs="宋体"/>
          <w:color w:val="auto"/>
          <w:sz w:val="21"/>
        </w:rPr>
        <w:t>需要的其他材料：项目管理机构配备情况表、拟投入施工机械设备情况表、企业近年财务状况表、企业近年已完成类似项目一览表（如有）、近年发生的诉讼和仲裁情况（如有）等。</w:t>
      </w:r>
    </w:p>
    <w:p>
      <w:pPr>
        <w:autoSpaceDE w:val="0"/>
        <w:autoSpaceDN w:val="0"/>
        <w:snapToGrid w:val="0"/>
        <w:spacing w:before="423"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240" w:lineRule="auto"/>
        <w:ind w:left="3112"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1</w:t>
      </w:r>
      <w:r>
        <w:rPr>
          <w:rFonts w:hint="default" w:ascii="宋体" w:hAnsi="宋体" w:eastAsia="宋体" w:cs="宋体"/>
          <w:b/>
          <w:color w:val="auto"/>
          <w:sz w:val="28"/>
        </w:rPr>
        <w:t>、投标文件签署授权委托书</w:t>
      </w:r>
    </w:p>
    <w:p>
      <w:pPr>
        <w:autoSpaceDE w:val="0"/>
        <w:autoSpaceDN w:val="0"/>
        <w:snapToGrid w:val="0"/>
        <w:spacing w:before="1058" w:after="0" w:line="263" w:lineRule="exact"/>
        <w:ind w:left="61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本授权委托书</w:t>
      </w:r>
      <w:r>
        <w:rPr>
          <w:rFonts w:hint="default" w:ascii="宋体" w:hAnsi="宋体" w:eastAsia="宋体" w:cs="宋体"/>
          <w:color w:val="auto"/>
          <w:sz w:val="21"/>
        </w:rPr>
        <w:t>声明：我</w:t>
      </w:r>
      <w:r>
        <w:rPr>
          <w:rFonts w:hint="default" w:ascii="Times New Roman" w:hAnsi="Times New Roman" w:eastAsia="Times New Roman" w:cs="Times New Roman"/>
          <w:color w:val="auto"/>
          <w:spacing w:val="-47"/>
          <w:sz w:val="21"/>
          <w:u w:val="single" w:color="000000"/>
        </w:rPr>
        <w:t></w:t>
      </w:r>
      <w:r>
        <w:rPr>
          <w:rFonts w:hint="default" w:ascii="Times New Roman" w:hAnsi="Times New Roman" w:eastAsia="Times New Roman" w:cs="Times New Roman"/>
          <w:color w:val="auto"/>
          <w:spacing w:val="10"/>
          <w:sz w:val="21"/>
          <w:u w:val="single" w:color="000000"/>
        </w:rPr>
        <w:t></w:t>
      </w:r>
      <w:r>
        <w:rPr>
          <w:rFonts w:hint="default" w:ascii="Times New Roman" w:hAnsi="Times New Roman" w:eastAsia="Times New Roman" w:cs="Times New Roman"/>
          <w:color w:val="auto"/>
          <w:spacing w:val="-47"/>
          <w:sz w:val="21"/>
          <w:u w:val="single" w:color="000000"/>
        </w:rPr>
        <w:t></w:t>
      </w:r>
      <w:r>
        <w:rPr>
          <w:rFonts w:hint="default" w:ascii="宋体" w:hAnsi="宋体" w:eastAsia="宋体" w:cs="宋体"/>
          <w:color w:val="auto"/>
          <w:sz w:val="21"/>
        </w:rPr>
        <w:t>（姓名）系</w:t>
      </w:r>
      <w:r>
        <w:rPr>
          <w:rFonts w:hint="default" w:ascii="宋体" w:hAnsi="宋体" w:eastAsia="宋体" w:cs="宋体"/>
          <w:color w:val="auto"/>
          <w:spacing w:val="1092"/>
          <w:sz w:val="21"/>
          <w:u w:val="single" w:color="000000"/>
        </w:rPr>
        <w:t xml:space="preserve"> </w:t>
      </w:r>
      <w:r>
        <w:rPr>
          <w:rFonts w:hint="default" w:ascii="宋体" w:hAnsi="宋体" w:eastAsia="宋体" w:cs="宋体"/>
          <w:color w:val="auto"/>
          <w:sz w:val="21"/>
        </w:rPr>
        <w:t>（投标人名称）的法定代表人，现</w:t>
      </w:r>
    </w:p>
    <w:p>
      <w:pPr>
        <w:autoSpaceDE w:val="0"/>
        <w:autoSpaceDN w:val="0"/>
        <w:snapToGrid w:val="0"/>
        <w:spacing w:before="1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授权委托</w:t>
      </w:r>
      <w:r>
        <w:rPr>
          <w:rFonts w:hint="default" w:ascii="宋体" w:hAnsi="宋体" w:eastAsia="宋体" w:cs="宋体"/>
          <w:color w:val="auto"/>
          <w:spacing w:val="1122"/>
          <w:sz w:val="21"/>
          <w:u w:val="single" w:color="000000"/>
        </w:rPr>
        <w:t xml:space="preserve"> </w:t>
      </w:r>
      <w:r>
        <w:rPr>
          <w:rFonts w:hint="default" w:ascii="宋体" w:hAnsi="宋体" w:eastAsia="宋体" w:cs="宋体"/>
          <w:color w:val="auto"/>
          <w:spacing w:val="-1"/>
          <w:sz w:val="21"/>
        </w:rPr>
        <w:t>（</w:t>
      </w:r>
      <w:r>
        <w:rPr>
          <w:rFonts w:hint="default" w:ascii="宋体" w:hAnsi="宋体" w:eastAsia="宋体" w:cs="宋体"/>
          <w:color w:val="auto"/>
          <w:sz w:val="21"/>
        </w:rPr>
        <w:t>单位名称）的</w:t>
      </w:r>
      <w:r>
        <w:rPr>
          <w:rFonts w:hint="default" w:ascii="宋体" w:hAnsi="宋体" w:eastAsia="宋体" w:cs="宋体"/>
          <w:color w:val="auto"/>
          <w:spacing w:val="482"/>
          <w:sz w:val="21"/>
          <w:u w:val="single" w:color="000000"/>
        </w:rPr>
        <w:t xml:space="preserve"> </w:t>
      </w:r>
      <w:r>
        <w:rPr>
          <w:rFonts w:hint="default" w:ascii="宋体" w:hAnsi="宋体" w:eastAsia="宋体" w:cs="宋体"/>
          <w:color w:val="auto"/>
          <w:sz w:val="21"/>
        </w:rPr>
        <w:t>（姓名）为我公司签署</w:t>
      </w:r>
      <w:r>
        <w:rPr>
          <w:rFonts w:hint="default" w:ascii="宋体" w:hAnsi="宋体" w:eastAsia="宋体" w:cs="宋体"/>
          <w:color w:val="auto"/>
          <w:spacing w:val="696"/>
          <w:sz w:val="21"/>
          <w:u w:val="single" w:color="000000"/>
        </w:rPr>
        <w:t xml:space="preserve"> </w:t>
      </w:r>
      <w:r>
        <w:rPr>
          <w:rFonts w:hint="default" w:ascii="宋体" w:hAnsi="宋体" w:eastAsia="宋体" w:cs="宋体"/>
          <w:color w:val="auto"/>
          <w:sz w:val="21"/>
        </w:rPr>
        <w:t>（项</w:t>
      </w:r>
    </w:p>
    <w:p>
      <w:pPr>
        <w:autoSpaceDE w:val="0"/>
        <w:autoSpaceDN w:val="0"/>
        <w:snapToGrid w:val="0"/>
        <w:spacing w:before="40" w:after="0" w:line="46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目名称及项目</w:t>
      </w:r>
      <w:r>
        <w:rPr>
          <w:rFonts w:hint="default" w:ascii="宋体" w:hAnsi="宋体" w:eastAsia="宋体" w:cs="宋体"/>
          <w:color w:val="auto"/>
          <w:sz w:val="21"/>
        </w:rPr>
        <w:t>招标编号）的投标文件的法定代表人授权委托代理人，我承认代理人全权代表我所签署的本工程的投标文件的内容。</w:t>
      </w:r>
    </w:p>
    <w:p>
      <w:pPr>
        <w:autoSpaceDE w:val="0"/>
        <w:autoSpaceDN w:val="0"/>
        <w:snapToGrid w:val="0"/>
        <w:spacing w:before="486" w:after="0" w:line="263" w:lineRule="exact"/>
        <w:ind w:left="69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代理人无转委托权，特此委托。</w:t>
      </w:r>
    </w:p>
    <w:p>
      <w:pPr>
        <w:tabs>
          <w:tab w:val="left" w:leader="underscore" w:pos="8369"/>
        </w:tabs>
        <w:autoSpaceDE w:val="0"/>
        <w:autoSpaceDN w:val="0"/>
        <w:snapToGrid w:val="0"/>
        <w:spacing w:before="2214" w:after="0" w:line="263" w:lineRule="exact"/>
        <w:ind w:left="2699"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代理人：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性别 ：</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年龄：</w:t>
      </w:r>
      <w:r>
        <w:rPr>
          <w:rFonts w:hint="default" w:ascii="Times New Roman" w:hAnsi="Times New Roman" w:eastAsia="Times New Roman" w:cs="Times New Roman"/>
          <w:color w:val="auto"/>
          <w:sz w:val="21"/>
        </w:rPr>
        <w:tab/>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身份证号码：</w:t>
      </w:r>
      <w:r>
        <w:rPr>
          <w:rFonts w:hint="default" w:ascii="宋体" w:hAnsi="宋体" w:eastAsia="宋体" w:cs="宋体"/>
          <w:color w:val="auto"/>
          <w:spacing w:val="998"/>
          <w:sz w:val="21"/>
          <w:u w:val="single" w:color="000000"/>
        </w:rPr>
        <w:t xml:space="preserve"> </w:t>
      </w:r>
      <w:r>
        <w:rPr>
          <w:rFonts w:hint="default" w:ascii="宋体" w:hAnsi="宋体" w:eastAsia="宋体" w:cs="宋体"/>
          <w:color w:val="auto"/>
          <w:sz w:val="21"/>
        </w:rPr>
        <w:t>职务：</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4933315</wp:posOffset>
                </wp:positionH>
                <wp:positionV relativeFrom="page">
                  <wp:posOffset>5057775</wp:posOffset>
                </wp:positionV>
                <wp:extent cx="1066800" cy="0"/>
                <wp:effectExtent l="0" t="0" r="0" b="0"/>
                <wp:wrapNone/>
                <wp:docPr id="1160" name="1160"/>
                <wp:cNvGraphicFramePr/>
                <a:graphic xmlns:a="http://schemas.openxmlformats.org/drawingml/2006/main">
                  <a:graphicData uri="http://schemas.microsoft.com/office/word/2010/wordprocessingShape">
                    <wps:wsp>
                      <wps:cNvCnPr/>
                      <wps:spPr>
                        <a:xfrm>
                          <a:off x="0" y="0"/>
                          <a:ext cx="1066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0" o:spid="_x0000_s1026" o:spt="20" style="position:absolute;left:0pt;margin-left:388.45pt;margin-top:398.25pt;height:0pt;width:84pt;mso-position-horizontal-relative:page;mso-position-vertical-relative:page;z-index:-251657216;mso-width-relative:page;mso-height-relative:page;" fillcolor="#FFFFFF" filled="t" stroked="t" coordsize="21600,21600" o:gfxdata="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PLK8inXAAAACwEAAA8AAAAAAAAAAQAgAAAAIgAAAGRycy9k&#10;b3ducmV2LnhtbFBLAQIUABQAAAAIAIdO4kBGtC/OAwIAAEAEAAAOAAAAAAAAAAEAIAAAACYBAABk&#10;cnMvZTJvRG9jLnhtbFBLBQYAAAAABgAGAFkBAACbBQAAAAA=&#10;">
                <v:fill on="t" opacity="0f" focussize="0,0"/>
                <v:stroke weight="0.5pt" color="#000000" joinstyle="round" endcap="round"/>
                <v:imagedata o:title=""/>
                <o:lock v:ext="edit" aspectratio="f"/>
              </v:line>
            </w:pict>
          </mc:Fallback>
        </mc:AlternateContent>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投标人：</w:t>
      </w:r>
      <w:r>
        <w:rPr>
          <w:rFonts w:hint="default" w:ascii="宋体" w:hAnsi="宋体" w:eastAsia="宋体" w:cs="宋体"/>
          <w:color w:val="auto"/>
          <w:spacing w:val="1733"/>
          <w:sz w:val="21"/>
          <w:u w:val="single" w:color="000000"/>
        </w:rPr>
        <w:t xml:space="preserve"> </w:t>
      </w:r>
      <w:r>
        <w:rPr>
          <w:rFonts w:hint="default" w:ascii="宋体" w:hAnsi="宋体" w:eastAsia="宋体" w:cs="宋体"/>
          <w:color w:val="auto"/>
          <w:sz w:val="21"/>
          <w:u w:val="single" w:color="000000"/>
        </w:rPr>
        <w:t>（盖单位章）</w:t>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法定代表人：</w:t>
      </w:r>
      <w:r>
        <w:rPr>
          <w:rFonts w:hint="default" w:ascii="宋体" w:hAnsi="宋体" w:eastAsia="宋体" w:cs="宋体"/>
          <w:color w:val="auto"/>
          <w:spacing w:val="1418"/>
          <w:sz w:val="21"/>
          <w:u w:val="single" w:color="000000"/>
        </w:rPr>
        <w:t xml:space="preserve"> </w:t>
      </w:r>
      <w:r>
        <w:rPr>
          <w:rFonts w:hint="default" w:ascii="宋体" w:hAnsi="宋体" w:eastAsia="宋体" w:cs="宋体"/>
          <w:color w:val="auto"/>
          <w:sz w:val="21"/>
          <w:u w:val="single" w:color="000000"/>
        </w:rPr>
        <w:t>（签字或盖章）</w:t>
      </w:r>
    </w:p>
    <w:p>
      <w:pPr>
        <w:autoSpaceDE w:val="0"/>
        <w:autoSpaceDN w:val="0"/>
        <w:snapToGrid w:val="0"/>
        <w:spacing w:before="282" w:after="0" w:line="263" w:lineRule="exact"/>
        <w:ind w:left="26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授权委托日期：</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10"/>
          <w:sz w:val="21"/>
          <w:u w:val="single" w:color="000000"/>
        </w:rPr>
        <w:t xml:space="preserve"> </w:t>
      </w:r>
      <w:r>
        <w:rPr>
          <w:rFonts w:hint="default" w:ascii="宋体" w:hAnsi="宋体" w:eastAsia="宋体" w:cs="宋体"/>
          <w:color w:val="auto"/>
          <w:sz w:val="21"/>
        </w:rPr>
        <w:t>日</w:t>
      </w:r>
    </w:p>
    <w:p>
      <w:pPr>
        <w:autoSpaceDE w:val="0"/>
        <w:autoSpaceDN w:val="0"/>
        <w:snapToGrid w:val="0"/>
        <w:spacing w:before="528" w:after="0" w:line="408" w:lineRule="exact"/>
        <w:ind w:left="0" w:right="87"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【备注：附法</w:t>
      </w:r>
      <w:r>
        <w:rPr>
          <w:rFonts w:hint="default" w:ascii="楷体" w:hAnsi="楷体" w:eastAsia="楷体" w:cs="楷体"/>
          <w:color w:val="auto"/>
          <w:sz w:val="21"/>
        </w:rPr>
        <w:t>定代表人身份证明及其身份证委托代理人身份证等材料的复印件。以上复印件均须加盖投标人单位公章】</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3342"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法定代表人身份证明</w:t>
      </w:r>
    </w:p>
    <w:p>
      <w:pPr>
        <w:autoSpaceDE w:val="0"/>
        <w:autoSpaceDN w:val="0"/>
        <w:snapToGrid w:val="0"/>
        <w:spacing w:before="610"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 标 人：</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1685925</wp:posOffset>
                </wp:positionH>
                <wp:positionV relativeFrom="page">
                  <wp:posOffset>1483995</wp:posOffset>
                </wp:positionV>
                <wp:extent cx="3733800" cy="0"/>
                <wp:effectExtent l="0" t="0" r="0" b="0"/>
                <wp:wrapNone/>
                <wp:docPr id="1161" name="1161"/>
                <wp:cNvGraphicFramePr/>
                <a:graphic xmlns:a="http://schemas.openxmlformats.org/drawingml/2006/main">
                  <a:graphicData uri="http://schemas.microsoft.com/office/word/2010/wordprocessingShape">
                    <wps:wsp>
                      <wps:cNvCnPr/>
                      <wps:spPr>
                        <a:xfrm>
                          <a:off x="0" y="0"/>
                          <a:ext cx="3733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1" o:spid="_x0000_s1026" o:spt="20" style="position:absolute;left:0pt;margin-left:132.75pt;margin-top:116.85pt;height:0pt;width:294pt;mso-position-horizontal-relative:page;mso-position-vertical-relative:page;z-index:-251657216;mso-width-relative:page;mso-height-relative:page;" fillcolor="#FFFFFF" filled="t" stroked="t" coordsize="21600,21600" o:gfxdata="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&#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QJQn9dgAAAALAQAADwAAAAAAAAABACAAAAAiAAAAZHJz&#10;L2Rvd25yZXYueG1sUEsBAhQAFAAAAAgAh07iQDjczvEEAgAAQAQAAA4AAAAAAAAAAQAgAAAAJw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单位性质：</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1685925</wp:posOffset>
                </wp:positionH>
                <wp:positionV relativeFrom="page">
                  <wp:posOffset>1839595</wp:posOffset>
                </wp:positionV>
                <wp:extent cx="3733800" cy="0"/>
                <wp:effectExtent l="0" t="0" r="0" b="0"/>
                <wp:wrapNone/>
                <wp:docPr id="1162" name="1162"/>
                <wp:cNvGraphicFramePr/>
                <a:graphic xmlns:a="http://schemas.openxmlformats.org/drawingml/2006/main">
                  <a:graphicData uri="http://schemas.microsoft.com/office/word/2010/wordprocessingShape">
                    <wps:wsp>
                      <wps:cNvCnPr/>
                      <wps:spPr>
                        <a:xfrm>
                          <a:off x="0" y="0"/>
                          <a:ext cx="3733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2" o:spid="_x0000_s1026" o:spt="20" style="position:absolute;left:0pt;margin-left:132.75pt;margin-top:144.85pt;height:0pt;width:294pt;mso-position-horizontal-relative:page;mso-position-vertical-relative:page;z-index:-251657216;mso-width-relative:page;mso-height-relative:page;" fillcolor="#FFFFFF" filled="t" stroked="t" coordsize="21600,21600" o:gfxdata="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I859B1wAAAAsBAAAPAAAAAAAAAAEAIAAAACIAAABkcnMv&#10;ZG93bnJldi54bWxQSwECFAAUAAAACACHTuJARQ34lwQCAABABAAADgAAAAAAAAABACAAAAAmAQAA&#10;ZHJzL2Uyb0RvYy54bWxQSwUGAAAAAAYABgBZAQAAnAU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地</w:t>
      </w:r>
      <w:r>
        <w:rPr>
          <w:rFonts w:hint="default" w:ascii="宋体" w:hAnsi="宋体" w:eastAsia="宋体" w:cs="宋体"/>
          <w:color w:val="auto"/>
          <w:spacing w:val="158"/>
          <w:sz w:val="21"/>
        </w:rPr>
        <w:t xml:space="preserve"> </w:t>
      </w:r>
      <w:r>
        <w:rPr>
          <w:rFonts w:hint="default" w:ascii="宋体" w:hAnsi="宋体" w:eastAsia="宋体" w:cs="宋体"/>
          <w:color w:val="auto"/>
          <w:sz w:val="21"/>
        </w:rPr>
        <w:t>址：</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1685925</wp:posOffset>
                </wp:positionH>
                <wp:positionV relativeFrom="page">
                  <wp:posOffset>2195195</wp:posOffset>
                </wp:positionV>
                <wp:extent cx="3733800" cy="0"/>
                <wp:effectExtent l="0" t="0" r="0" b="0"/>
                <wp:wrapNone/>
                <wp:docPr id="1163" name="1163"/>
                <wp:cNvGraphicFramePr/>
                <a:graphic xmlns:a="http://schemas.openxmlformats.org/drawingml/2006/main">
                  <a:graphicData uri="http://schemas.microsoft.com/office/word/2010/wordprocessingShape">
                    <wps:wsp>
                      <wps:cNvCnPr/>
                      <wps:spPr>
                        <a:xfrm>
                          <a:off x="0" y="0"/>
                          <a:ext cx="3733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3" o:spid="_x0000_s1026" o:spt="20" style="position:absolute;left:0pt;margin-left:132.75pt;margin-top:172.85pt;height:0pt;width:294pt;mso-position-horizontal-relative:page;mso-position-vertical-relative:page;z-index:-251657216;mso-width-relative:page;mso-height-relative:page;" fillcolor="#FFFFFF" filled="t" stroked="t" coordsize="21600,21600" o:gfxdata="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aTZEJ1wAAAAsBAAAPAAAAAAAAAAEAIAAAACIAAABkcnMv&#10;ZG93bnJldi54bWxQSwECFAAUAAAACACHTuJAbkLqtQQCAABABAAADgAAAAAAAAABACAAAAAmAQAA&#10;ZHJzL2Uyb0RvYy54bWxQSwUGAAAAAAYABgBZAQAAnAU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成立时间：</w:t>
      </w:r>
      <w:r>
        <w:rPr>
          <w:rFonts w:hint="default" w:ascii="宋体" w:hAnsi="宋体" w:eastAsia="宋体" w:cs="宋体"/>
          <w:color w:val="auto"/>
          <w:spacing w:val="84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日</w: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经营期限：</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1685925</wp:posOffset>
                </wp:positionH>
                <wp:positionV relativeFrom="page">
                  <wp:posOffset>2906395</wp:posOffset>
                </wp:positionV>
                <wp:extent cx="3733800" cy="0"/>
                <wp:effectExtent l="0" t="0" r="0" b="0"/>
                <wp:wrapNone/>
                <wp:docPr id="1164" name="1164"/>
                <wp:cNvGraphicFramePr/>
                <a:graphic xmlns:a="http://schemas.openxmlformats.org/drawingml/2006/main">
                  <a:graphicData uri="http://schemas.microsoft.com/office/word/2010/wordprocessingShape">
                    <wps:wsp>
                      <wps:cNvCnPr/>
                      <wps:spPr>
                        <a:xfrm>
                          <a:off x="0" y="0"/>
                          <a:ext cx="37338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4" o:spid="_x0000_s1026" o:spt="20" style="position:absolute;left:0pt;margin-left:132.75pt;margin-top:228.85pt;height:0pt;width:294pt;mso-position-horizontal-relative:page;mso-position-vertical-relative:page;z-index:-251657216;mso-width-relative:page;mso-height-relative:page;" fillcolor="#FFFFFF" filled="t" stroked="t" coordsize="21600,21600" o:gfxdata="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zg4hN1wAAAAsBAAAPAAAAAAAAAAEAIAAAACIAAABkcnMv&#10;ZG93bnJldi54bWxQSwECFAAUAAAACACHTuJAv6+VWwQCAABABAAADgAAAAAAAAABACAAAAAmAQAA&#10;ZHJzL2Uyb0RvYy54bWxQSwUGAAAAAAYABgBZAQAAnAU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w:t>
      </w:r>
      <w:r>
        <w:rPr>
          <w:rFonts w:hint="default" w:ascii="宋体" w:hAnsi="宋体" w:eastAsia="宋体" w:cs="宋体"/>
          <w:color w:val="auto"/>
          <w:spacing w:val="158"/>
          <w:sz w:val="21"/>
        </w:rPr>
        <w:t xml:space="preserve"> </w:t>
      </w:r>
      <w:r>
        <w:rPr>
          <w:rFonts w:hint="default" w:ascii="宋体" w:hAnsi="宋体" w:eastAsia="宋体" w:cs="宋体"/>
          <w:color w:val="auto"/>
          <w:sz w:val="21"/>
        </w:rPr>
        <w:t>名：</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性</w:t>
      </w:r>
      <w:r>
        <w:rPr>
          <w:rFonts w:hint="default" w:ascii="宋体" w:hAnsi="宋体" w:eastAsia="宋体" w:cs="宋体"/>
          <w:color w:val="auto"/>
          <w:spacing w:val="210"/>
          <w:sz w:val="21"/>
        </w:rPr>
        <w:t xml:space="preserve"> </w:t>
      </w:r>
      <w:r>
        <w:rPr>
          <w:rFonts w:hint="default" w:ascii="宋体" w:hAnsi="宋体" w:eastAsia="宋体" w:cs="宋体"/>
          <w:color w:val="auto"/>
          <w:sz w:val="21"/>
        </w:rPr>
        <w:t>别：</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4152900</wp:posOffset>
                </wp:positionH>
                <wp:positionV relativeFrom="page">
                  <wp:posOffset>3261995</wp:posOffset>
                </wp:positionV>
                <wp:extent cx="1266825" cy="0"/>
                <wp:effectExtent l="0" t="0" r="0" b="0"/>
                <wp:wrapNone/>
                <wp:docPr id="1165" name="1165"/>
                <wp:cNvGraphicFramePr/>
                <a:graphic xmlns:a="http://schemas.openxmlformats.org/drawingml/2006/main">
                  <a:graphicData uri="http://schemas.microsoft.com/office/word/2010/wordprocessingShape">
                    <wps:wsp>
                      <wps:cNvCnPr/>
                      <wps:spPr>
                        <a:xfrm>
                          <a:off x="0" y="0"/>
                          <a:ext cx="12668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5" o:spid="_x0000_s1026" o:spt="20" style="position:absolute;left:0pt;margin-left:327pt;margin-top:256.85pt;height:0pt;width:99.75pt;mso-position-horizontal-relative:page;mso-position-vertical-relative:page;z-index:-251657216;mso-width-relative:page;mso-height-relative:page;" fillcolor="#FFFFFF" filled="t" stroked="t" coordsize="21600,21600" o:gfxdata="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aDTTN9gAAAALAQAADwAAAAAAAAABACAAAAAiAAAAZHJz&#10;L2Rvd25yZXYueG1sUEsBAhQAFAAAAAgAh07iQIPVMzAEAgAAQAQAAA4AAAAAAAAAAQAgAAAAJw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w:t>
      </w:r>
      <w:r>
        <w:rPr>
          <w:rFonts w:hint="default" w:ascii="宋体" w:hAnsi="宋体" w:eastAsia="宋体" w:cs="宋体"/>
          <w:color w:val="auto"/>
          <w:spacing w:val="158"/>
          <w:sz w:val="21"/>
        </w:rPr>
        <w:t xml:space="preserve"> </w:t>
      </w:r>
      <w:r>
        <w:rPr>
          <w:rFonts w:hint="default" w:ascii="宋体" w:hAnsi="宋体" w:eastAsia="宋体" w:cs="宋体"/>
          <w:color w:val="auto"/>
          <w:sz w:val="21"/>
        </w:rPr>
        <w:t>龄：</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职</w:t>
      </w:r>
      <w:r>
        <w:rPr>
          <w:rFonts w:hint="default" w:ascii="宋体" w:hAnsi="宋体" w:eastAsia="宋体" w:cs="宋体"/>
          <w:color w:val="auto"/>
          <w:spacing w:val="210"/>
          <w:sz w:val="21"/>
        </w:rPr>
        <w:t xml:space="preserve"> </w:t>
      </w:r>
      <w:r>
        <w:rPr>
          <w:rFonts w:hint="default" w:ascii="宋体" w:hAnsi="宋体" w:eastAsia="宋体" w:cs="宋体"/>
          <w:color w:val="auto"/>
          <w:sz w:val="21"/>
        </w:rPr>
        <w:t>务：</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4152900</wp:posOffset>
                </wp:positionH>
                <wp:positionV relativeFrom="page">
                  <wp:posOffset>3617595</wp:posOffset>
                </wp:positionV>
                <wp:extent cx="1266825" cy="0"/>
                <wp:effectExtent l="0" t="0" r="0" b="0"/>
                <wp:wrapNone/>
                <wp:docPr id="1166" name="1166"/>
                <wp:cNvGraphicFramePr/>
                <a:graphic xmlns:a="http://schemas.openxmlformats.org/drawingml/2006/main">
                  <a:graphicData uri="http://schemas.microsoft.com/office/word/2010/wordprocessingShape">
                    <wps:wsp>
                      <wps:cNvCnPr/>
                      <wps:spPr>
                        <a:xfrm>
                          <a:off x="0" y="0"/>
                          <a:ext cx="12668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6" o:spid="_x0000_s1026" o:spt="20" style="position:absolute;left:0pt;margin-left:327pt;margin-top:284.85pt;height:0pt;width:99.75pt;mso-position-horizontal-relative:page;mso-position-vertical-relative:page;z-index:-251657216;mso-width-relative:page;mso-height-relative:page;" fillcolor="#FFFFFF" filled="t" stroked="t" coordsize="21600,21600" o:gfxdata="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DIe5M2QAAAAsBAAAPAAAAAAAAAAEAIAAAACIAAABk&#10;cnMvZG93bnJldi54bWxQSwECFAAUAAAACACHTuJA/gQFVgUCAABABAAADgAAAAAAAAABACAAAAAo&#10;AQAAZHJzL2Uyb0RvYy54bWxQSwUGAAAAAAYABgBZAQAAnwUAAAAA&#10;">
                <v:fill on="t" opacity="0f" focussize="0,0"/>
                <v:stroke weight="0.5pt" color="#000000" joinstyle="round" endcap="round"/>
                <v:imagedata o:title=""/>
                <o:lock v:ext="edit" aspectratio="f"/>
              </v:line>
            </w:pict>
          </mc:Fallback>
        </mc:AlternateContent>
      </w:r>
    </w:p>
    <w:p>
      <w:pPr>
        <w:autoSpaceDE w:val="0"/>
        <w:autoSpaceDN w:val="0"/>
        <w:snapToGrid w:val="0"/>
        <w:spacing w:before="29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系</w:t>
      </w:r>
      <w:r>
        <w:rPr>
          <w:rFonts w:hint="default" w:ascii="宋体" w:hAnsi="宋体" w:eastAsia="宋体" w:cs="宋体"/>
          <w:color w:val="auto"/>
          <w:spacing w:val="2520"/>
          <w:sz w:val="21"/>
          <w:u w:val="single" w:color="000000"/>
        </w:rPr>
        <w:t xml:space="preserve"> </w:t>
      </w:r>
      <w:r>
        <w:rPr>
          <w:rFonts w:hint="default" w:ascii="宋体" w:hAnsi="宋体" w:eastAsia="宋体" w:cs="宋体"/>
          <w:color w:val="auto"/>
          <w:sz w:val="21"/>
        </w:rPr>
        <w:t>（投标人名称）的法定代表人。</w:t>
      </w:r>
    </w:p>
    <w:p>
      <w:pPr>
        <w:autoSpaceDE w:val="0"/>
        <w:autoSpaceDN w:val="0"/>
        <w:snapToGrid w:val="0"/>
        <w:spacing w:before="29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特此证明。</w:t>
      </w:r>
    </w:p>
    <w:p>
      <w:pPr>
        <w:autoSpaceDE w:val="0"/>
        <w:autoSpaceDN w:val="0"/>
        <w:snapToGrid w:val="0"/>
        <w:spacing w:before="1250" w:after="0" w:line="263" w:lineRule="exact"/>
        <w:ind w:left="439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投标人：</w:t>
      </w:r>
      <w:r>
        <w:rPr>
          <w:rFonts w:hint="default" w:ascii="宋体" w:hAnsi="宋体" w:eastAsia="宋体" w:cs="宋体"/>
          <w:color w:val="auto"/>
          <w:spacing w:val="1312"/>
          <w:sz w:val="21"/>
          <w:u w:val="single" w:color="000000"/>
        </w:rPr>
        <w:t xml:space="preserve"> </w:t>
      </w:r>
      <w:r>
        <w:rPr>
          <w:rFonts w:hint="default" w:ascii="宋体" w:hAnsi="宋体" w:eastAsia="宋体" w:cs="宋体"/>
          <w:color w:val="auto"/>
          <w:spacing w:val="-1"/>
          <w:sz w:val="21"/>
        </w:rPr>
        <w:t>（</w:t>
      </w:r>
      <w:r>
        <w:rPr>
          <w:rFonts w:hint="default" w:ascii="宋体" w:hAnsi="宋体" w:eastAsia="宋体" w:cs="宋体"/>
          <w:color w:val="auto"/>
          <w:sz w:val="21"/>
        </w:rPr>
        <w:t>盖单位章）</w:t>
      </w:r>
    </w:p>
    <w:p>
      <w:pPr>
        <w:autoSpaceDE w:val="0"/>
        <w:autoSpaceDN w:val="0"/>
        <w:snapToGrid w:val="0"/>
        <w:spacing w:before="238" w:after="0" w:line="263" w:lineRule="exact"/>
        <w:ind w:left="691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2"/>
          <w:sz w:val="21"/>
        </w:rPr>
        <w:t>年</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pacing w:val="-1"/>
          <w:sz w:val="21"/>
        </w:rPr>
        <w:t>月</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z w:val="21"/>
        </w:rPr>
        <w:t>日</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381" w:line="240" w:lineRule="auto"/>
        <w:ind w:left="2528"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2</w:t>
      </w:r>
      <w:r>
        <w:rPr>
          <w:rFonts w:hint="default" w:ascii="宋体" w:hAnsi="宋体" w:eastAsia="宋体" w:cs="宋体"/>
          <w:b/>
          <w:color w:val="auto"/>
          <w:sz w:val="28"/>
        </w:rPr>
        <w:t>、投标人基本情况表（包含联合体各方）</w:t>
      </w:r>
    </w:p>
    <w:tbl>
      <w:tblPr>
        <w:tblStyle w:val="6"/>
        <w:tblW w:w="8967" w:type="dxa"/>
        <w:tblInd w:w="39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626"/>
        <w:gridCol w:w="897"/>
        <w:gridCol w:w="1021"/>
        <w:gridCol w:w="1160"/>
        <w:gridCol w:w="311"/>
        <w:gridCol w:w="1246"/>
        <w:gridCol w:w="63"/>
        <w:gridCol w:w="720"/>
        <w:gridCol w:w="192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2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投标人名称</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注册地址</w:t>
            </w:r>
          </w:p>
        </w:tc>
        <w:tc>
          <w:tcPr>
            <w:tcW w:w="3389" w:type="dxa"/>
            <w:gridSpan w:val="4"/>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46" w:type="dxa"/>
            <w:vAlign w:val="top"/>
          </w:tcPr>
          <w:p>
            <w:pPr>
              <w:autoSpaceDE w:val="0"/>
              <w:autoSpaceDN w:val="0"/>
              <w:snapToGrid w:val="0"/>
              <w:spacing w:before="151" w:after="0" w:line="263" w:lineRule="exact"/>
              <w:ind w:left="1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邮政编码</w:t>
            </w:r>
          </w:p>
        </w:tc>
        <w:tc>
          <w:tcPr>
            <w:tcW w:w="2706"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Merge w:val="restart"/>
            <w:vAlign w:val="top"/>
          </w:tcPr>
          <w:p>
            <w:pPr>
              <w:autoSpaceDE w:val="0"/>
              <w:autoSpaceDN w:val="0"/>
              <w:snapToGrid w:val="0"/>
              <w:spacing w:before="439"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联系方式</w:t>
            </w:r>
          </w:p>
        </w:tc>
        <w:tc>
          <w:tcPr>
            <w:tcW w:w="897" w:type="dxa"/>
            <w:vAlign w:val="top"/>
          </w:tcPr>
          <w:p>
            <w:pPr>
              <w:autoSpaceDE w:val="0"/>
              <w:autoSpaceDN w:val="0"/>
              <w:snapToGrid w:val="0"/>
              <w:spacing w:before="151" w:after="0" w:line="263" w:lineRule="exact"/>
              <w:ind w:left="12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联系人</w:t>
            </w:r>
          </w:p>
        </w:tc>
        <w:tc>
          <w:tcPr>
            <w:tcW w:w="2492"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46" w:type="dxa"/>
            <w:vAlign w:val="top"/>
          </w:tcPr>
          <w:p>
            <w:pPr>
              <w:autoSpaceDE w:val="0"/>
              <w:autoSpaceDN w:val="0"/>
              <w:snapToGrid w:val="0"/>
              <w:spacing w:before="151" w:after="0" w:line="263" w:lineRule="exact"/>
              <w:ind w:left="3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w:t>
            </w:r>
            <w:r>
              <w:rPr>
                <w:rFonts w:hint="default" w:ascii="宋体" w:hAnsi="宋体" w:eastAsia="宋体" w:cs="宋体"/>
                <w:color w:val="auto"/>
                <w:spacing w:val="53"/>
                <w:sz w:val="21"/>
              </w:rPr>
              <w:t xml:space="preserve"> </w:t>
            </w:r>
            <w:r>
              <w:rPr>
                <w:rFonts w:hint="default" w:ascii="宋体" w:hAnsi="宋体" w:eastAsia="宋体" w:cs="宋体"/>
                <w:color w:val="auto"/>
                <w:sz w:val="21"/>
              </w:rPr>
              <w:t>话</w:t>
            </w:r>
          </w:p>
        </w:tc>
        <w:tc>
          <w:tcPr>
            <w:tcW w:w="2706"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97" w:type="dxa"/>
            <w:vAlign w:val="top"/>
          </w:tcPr>
          <w:p>
            <w:pPr>
              <w:autoSpaceDE w:val="0"/>
              <w:autoSpaceDN w:val="0"/>
              <w:snapToGrid w:val="0"/>
              <w:spacing w:before="151" w:after="0" w:line="263" w:lineRule="exact"/>
              <w:ind w:left="12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传</w:t>
            </w:r>
            <w:r>
              <w:rPr>
                <w:rFonts w:hint="default" w:ascii="宋体" w:hAnsi="宋体" w:eastAsia="宋体" w:cs="宋体"/>
                <w:color w:val="auto"/>
                <w:spacing w:val="53"/>
                <w:sz w:val="21"/>
              </w:rPr>
              <w:t xml:space="preserve"> </w:t>
            </w:r>
            <w:r>
              <w:rPr>
                <w:rFonts w:hint="default" w:ascii="宋体" w:hAnsi="宋体" w:eastAsia="宋体" w:cs="宋体"/>
                <w:color w:val="auto"/>
                <w:sz w:val="21"/>
              </w:rPr>
              <w:t>真</w:t>
            </w:r>
          </w:p>
        </w:tc>
        <w:tc>
          <w:tcPr>
            <w:tcW w:w="2492"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46" w:type="dxa"/>
            <w:vAlign w:val="top"/>
          </w:tcPr>
          <w:p>
            <w:pPr>
              <w:autoSpaceDE w:val="0"/>
              <w:autoSpaceDN w:val="0"/>
              <w:snapToGrid w:val="0"/>
              <w:spacing w:before="151" w:after="0" w:line="263" w:lineRule="exact"/>
              <w:ind w:left="3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网</w:t>
            </w:r>
            <w:r>
              <w:rPr>
                <w:rFonts w:hint="default" w:ascii="宋体" w:hAnsi="宋体" w:eastAsia="宋体" w:cs="宋体"/>
                <w:color w:val="auto"/>
                <w:spacing w:val="53"/>
                <w:sz w:val="21"/>
              </w:rPr>
              <w:t xml:space="preserve"> </w:t>
            </w:r>
            <w:r>
              <w:rPr>
                <w:rFonts w:hint="default" w:ascii="宋体" w:hAnsi="宋体" w:eastAsia="宋体" w:cs="宋体"/>
                <w:color w:val="auto"/>
                <w:sz w:val="21"/>
              </w:rPr>
              <w:t>址</w:t>
            </w:r>
          </w:p>
        </w:tc>
        <w:tc>
          <w:tcPr>
            <w:tcW w:w="2706"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4" w:after="0" w:line="263" w:lineRule="exact"/>
              <w:ind w:left="178"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统一社会信用</w:t>
            </w:r>
          </w:p>
          <w:p>
            <w:pPr>
              <w:autoSpaceDE w:val="0"/>
              <w:autoSpaceDN w:val="0"/>
              <w:snapToGrid w:val="0"/>
              <w:spacing w:before="10" w:after="0" w:line="263" w:lineRule="exact"/>
              <w:ind w:left="598"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代码</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楷体" w:hAnsi="楷体" w:eastAsia="楷体" w:cs="楷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2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w:t>
            </w:r>
          </w:p>
        </w:tc>
        <w:tc>
          <w:tcPr>
            <w:tcW w:w="897" w:type="dxa"/>
            <w:vAlign w:val="top"/>
          </w:tcPr>
          <w:p>
            <w:pPr>
              <w:autoSpaceDE w:val="0"/>
              <w:autoSpaceDN w:val="0"/>
              <w:snapToGrid w:val="0"/>
              <w:spacing w:before="151" w:after="0" w:line="263" w:lineRule="exact"/>
              <w:ind w:left="2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102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Align w:val="top"/>
          </w:tcPr>
          <w:p>
            <w:pPr>
              <w:autoSpaceDE w:val="0"/>
              <w:autoSpaceDN w:val="0"/>
              <w:snapToGrid w:val="0"/>
              <w:spacing w:before="151" w:after="0" w:line="263" w:lineRule="exact"/>
              <w:ind w:left="15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技术职称</w:t>
            </w:r>
          </w:p>
        </w:tc>
        <w:tc>
          <w:tcPr>
            <w:tcW w:w="162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0" w:type="dxa"/>
            <w:vAlign w:val="top"/>
          </w:tcPr>
          <w:p>
            <w:pPr>
              <w:autoSpaceDE w:val="0"/>
              <w:autoSpaceDN w:val="0"/>
              <w:snapToGrid w:val="0"/>
              <w:spacing w:before="151" w:after="0" w:line="263" w:lineRule="exact"/>
              <w:ind w:left="1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电话</w:t>
            </w:r>
          </w:p>
        </w:tc>
        <w:tc>
          <w:tcPr>
            <w:tcW w:w="192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2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技术负责人</w:t>
            </w:r>
          </w:p>
        </w:tc>
        <w:tc>
          <w:tcPr>
            <w:tcW w:w="897" w:type="dxa"/>
            <w:vAlign w:val="top"/>
          </w:tcPr>
          <w:p>
            <w:pPr>
              <w:autoSpaceDE w:val="0"/>
              <w:autoSpaceDN w:val="0"/>
              <w:snapToGrid w:val="0"/>
              <w:spacing w:before="151" w:after="0" w:line="263" w:lineRule="exact"/>
              <w:ind w:left="2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102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Align w:val="top"/>
          </w:tcPr>
          <w:p>
            <w:pPr>
              <w:autoSpaceDE w:val="0"/>
              <w:autoSpaceDN w:val="0"/>
              <w:snapToGrid w:val="0"/>
              <w:spacing w:before="151" w:after="0" w:line="263" w:lineRule="exact"/>
              <w:ind w:left="15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技术职称</w:t>
            </w:r>
          </w:p>
        </w:tc>
        <w:tc>
          <w:tcPr>
            <w:tcW w:w="162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20" w:type="dxa"/>
            <w:vAlign w:val="top"/>
          </w:tcPr>
          <w:p>
            <w:pPr>
              <w:autoSpaceDE w:val="0"/>
              <w:autoSpaceDN w:val="0"/>
              <w:snapToGrid w:val="0"/>
              <w:spacing w:before="151" w:after="0" w:line="263" w:lineRule="exact"/>
              <w:ind w:left="1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电话</w:t>
            </w:r>
          </w:p>
        </w:tc>
        <w:tc>
          <w:tcPr>
            <w:tcW w:w="192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成立时间</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5423" w:type="dxa"/>
            <w:gridSpan w:val="6"/>
            <w:vAlign w:val="top"/>
          </w:tcPr>
          <w:p>
            <w:pPr>
              <w:autoSpaceDE w:val="0"/>
              <w:autoSpaceDN w:val="0"/>
              <w:snapToGrid w:val="0"/>
              <w:spacing w:before="151" w:after="0" w:line="263" w:lineRule="exact"/>
              <w:ind w:left="20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资质等级</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restart"/>
            <w:vAlign w:val="top"/>
          </w:tcPr>
          <w:p>
            <w:pPr>
              <w:autoSpaceDE w:val="0"/>
              <w:autoSpaceDN w:val="0"/>
              <w:snapToGrid w:val="0"/>
              <w:spacing w:before="1305" w:after="0" w:line="263" w:lineRule="exact"/>
              <w:ind w:left="36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其中</w:t>
            </w:r>
          </w:p>
        </w:tc>
        <w:tc>
          <w:tcPr>
            <w:tcW w:w="1620" w:type="dxa"/>
            <w:gridSpan w:val="3"/>
            <w:vAlign w:val="top"/>
          </w:tcPr>
          <w:p>
            <w:pPr>
              <w:autoSpaceDE w:val="0"/>
              <w:autoSpaceDN w:val="0"/>
              <w:snapToGrid w:val="0"/>
              <w:spacing w:before="151" w:after="0" w:line="263" w:lineRule="exact"/>
              <w:ind w:left="3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4" w:after="0" w:line="263" w:lineRule="exact"/>
              <w:ind w:left="17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安全生产许可</w:t>
            </w:r>
          </w:p>
          <w:p>
            <w:pPr>
              <w:autoSpaceDE w:val="0"/>
              <w:autoSpaceDN w:val="0"/>
              <w:snapToGrid w:val="0"/>
              <w:spacing w:before="10" w:after="0" w:line="263" w:lineRule="exact"/>
              <w:ind w:left="5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证号</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1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高级职称人员</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注册资金</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1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中级职称人员</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17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初级职称人员</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5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账号</w:t>
            </w:r>
          </w:p>
        </w:tc>
        <w:tc>
          <w:tcPr>
            <w:tcW w:w="191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60"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20" w:type="dxa"/>
            <w:gridSpan w:val="3"/>
            <w:vAlign w:val="top"/>
          </w:tcPr>
          <w:p>
            <w:pPr>
              <w:autoSpaceDE w:val="0"/>
              <w:autoSpaceDN w:val="0"/>
              <w:snapToGrid w:val="0"/>
              <w:spacing w:before="151" w:after="0" w:line="263" w:lineRule="exact"/>
              <w:ind w:left="49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技</w:t>
            </w:r>
            <w:r>
              <w:rPr>
                <w:rFonts w:hint="default" w:ascii="宋体" w:hAnsi="宋体" w:eastAsia="宋体" w:cs="宋体"/>
                <w:color w:val="auto"/>
                <w:spacing w:val="53"/>
                <w:sz w:val="21"/>
              </w:rPr>
              <w:t xml:space="preserve"> </w:t>
            </w:r>
            <w:r>
              <w:rPr>
                <w:rFonts w:hint="default" w:ascii="宋体" w:hAnsi="宋体" w:eastAsia="宋体" w:cs="宋体"/>
                <w:color w:val="auto"/>
                <w:sz w:val="21"/>
              </w:rPr>
              <w:t>工</w:t>
            </w:r>
          </w:p>
        </w:tc>
        <w:tc>
          <w:tcPr>
            <w:tcW w:w="264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847" w:hRule="exact"/>
        </w:trPr>
        <w:tc>
          <w:tcPr>
            <w:tcW w:w="1626" w:type="dxa"/>
            <w:vAlign w:val="top"/>
          </w:tcPr>
          <w:p>
            <w:pPr>
              <w:autoSpaceDE w:val="0"/>
              <w:autoSpaceDN w:val="0"/>
              <w:snapToGrid w:val="0"/>
              <w:spacing w:before="786" w:after="0" w:line="263" w:lineRule="exact"/>
              <w:ind w:left="3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经营范围</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1626" w:type="dxa"/>
            <w:vAlign w:val="top"/>
          </w:tcPr>
          <w:p>
            <w:pPr>
              <w:autoSpaceDE w:val="0"/>
              <w:autoSpaceDN w:val="0"/>
              <w:snapToGrid w:val="0"/>
              <w:spacing w:before="151" w:after="0" w:line="263" w:lineRule="exact"/>
              <w:ind w:left="5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c>
          <w:tcPr>
            <w:tcW w:w="7341" w:type="dxa"/>
            <w:gridSpan w:val="8"/>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440" w:after="0" w:line="440"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【备注：附已</w:t>
      </w:r>
      <w:r>
        <w:rPr>
          <w:rFonts w:hint="default" w:ascii="楷体" w:hAnsi="楷体" w:eastAsia="楷体" w:cs="楷体"/>
          <w:color w:val="auto"/>
          <w:sz w:val="21"/>
        </w:rPr>
        <w:t>有效的企业营业执照副本、企业资质证书副本和安全生产许可证副本等复印件</w:t>
      </w:r>
      <w:r>
        <w:rPr>
          <w:rFonts w:hint="default" w:ascii="宋体" w:hAnsi="宋体" w:eastAsia="宋体" w:cs="宋体"/>
          <w:color w:val="auto"/>
          <w:sz w:val="21"/>
        </w:rPr>
        <w:t>。</w:t>
      </w:r>
      <w:r>
        <w:rPr>
          <w:rFonts w:hint="default" w:ascii="楷体" w:hAnsi="楷体" w:eastAsia="楷体" w:cs="楷体"/>
          <w:color w:val="auto"/>
          <w:sz w:val="21"/>
        </w:rPr>
        <w:t>以上复印件均须加盖投标人单位公章】</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240" w:lineRule="auto"/>
        <w:ind w:left="2669"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3</w:t>
      </w:r>
      <w:r>
        <w:rPr>
          <w:rFonts w:hint="default" w:ascii="宋体" w:hAnsi="宋体" w:eastAsia="宋体" w:cs="宋体"/>
          <w:b/>
          <w:color w:val="auto"/>
          <w:sz w:val="28"/>
        </w:rPr>
        <w:t>、联合体协议书（联合体投标人适用）</w:t>
      </w:r>
    </w:p>
    <w:p>
      <w:pPr>
        <w:autoSpaceDE w:val="0"/>
        <w:autoSpaceDN w:val="0"/>
        <w:snapToGrid w:val="0"/>
        <w:spacing w:before="487"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牵头人名称：</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1485900</wp:posOffset>
                </wp:positionH>
                <wp:positionV relativeFrom="page">
                  <wp:posOffset>1399540</wp:posOffset>
                </wp:positionV>
                <wp:extent cx="3333750" cy="0"/>
                <wp:effectExtent l="0" t="0" r="0" b="0"/>
                <wp:wrapNone/>
                <wp:docPr id="1168" name="1168"/>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8" o:spid="_x0000_s1026" o:spt="20" style="position:absolute;left:0pt;margin-left:117pt;margin-top:110.2pt;height:0pt;width:262.5pt;mso-position-horizontal-relative:page;mso-position-vertical-relative:page;z-index:-251657216;mso-width-relative:page;mso-height-relative:page;" fillcolor="#FFFFFF" filled="t" stroked="t" coordsize="21600,21600" o:gfxdata="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O2q9tcAAAALAQAADwAAAAAAAAABACAAAAAiAAAAZHJzL2Rv&#10;d25yZXYueG1sUEsBAhQAFAAAAAgAh07iQNLekNYCAgAAQA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1485900</wp:posOffset>
                </wp:positionH>
                <wp:positionV relativeFrom="page">
                  <wp:posOffset>1649730</wp:posOffset>
                </wp:positionV>
                <wp:extent cx="3333750" cy="0"/>
                <wp:effectExtent l="0" t="0" r="0" b="0"/>
                <wp:wrapNone/>
                <wp:docPr id="1169" name="1169"/>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69" o:spid="_x0000_s1026" o:spt="20" style="position:absolute;left:0pt;margin-left:117pt;margin-top:129.9pt;height:0pt;width:262.5pt;mso-position-horizontal-relative:page;mso-position-vertical-relative:page;z-index:-251657216;mso-width-relative:page;mso-height-relative:page;" fillcolor="#FFFFFF" filled="t" stroked="t" coordsize="21600,21600" o:gfxdata="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YXuo91gAAAAsBAAAPAAAAAAAAAAEAIAAAACIAAABkcnMvZG93&#10;bnJldi54bWxQSwECFAAUAAAACACHTuJA+ZGC9AICAABABAAADgAAAAAAAAABACAAAAAlAQAAZHJz&#10;L2Uyb0RvYy54bWxQSwUGAAAAAAYABgBZAQAAmQUAAAAA&#10;">
                <v:fill on="t" opacity="0f" focussize="0,0"/>
                <v:stroke weight="0.5pt" color="#000000" joinstyle="round" endcap="round"/>
                <v:imagedata o:title=""/>
                <o:lock v:ext="edit" aspectratio="f"/>
              </v:line>
            </w:pict>
          </mc:Fallback>
        </mc:AlternateContent>
      </w:r>
    </w:p>
    <w:p>
      <w:pPr>
        <w:autoSpaceDE w:val="0"/>
        <w:autoSpaceDN w:val="0"/>
        <w:snapToGrid w:val="0"/>
        <w:spacing w:before="131"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法定住所：</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1352550</wp:posOffset>
                </wp:positionH>
                <wp:positionV relativeFrom="page">
                  <wp:posOffset>1899920</wp:posOffset>
                </wp:positionV>
                <wp:extent cx="3467100" cy="0"/>
                <wp:effectExtent l="0" t="0" r="0" b="0"/>
                <wp:wrapNone/>
                <wp:docPr id="1170" name="1170"/>
                <wp:cNvGraphicFramePr/>
                <a:graphic xmlns:a="http://schemas.openxmlformats.org/drawingml/2006/main">
                  <a:graphicData uri="http://schemas.microsoft.com/office/word/2010/wordprocessingShape">
                    <wps:wsp>
                      <wps:cNvCnPr/>
                      <wps:spPr>
                        <a:xfrm>
                          <a:off x="0" y="0"/>
                          <a:ext cx="34671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0" o:spid="_x0000_s1026" o:spt="20" style="position:absolute;left:0pt;margin-left:106.5pt;margin-top:149.6pt;height:0pt;width:273pt;mso-position-horizontal-relative:page;mso-position-vertical-relative:page;z-index:-251657216;mso-width-relative:page;mso-height-relative:page;" fillcolor="#FFFFFF" filled="t" stroked="t" coordsize="21600,21600" o:gfxdata="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xdMDfWAAAACwEAAA8AAAAAAAAAAQAgAAAAIgAAAGRycy9k&#10;b3ducmV2LnhtbFBLAQIUABQAAAAIAIdO4kCRb/k5BAIAAEAEAAAOAAAAAAAAAAEAIAAAACUBAABk&#10;cnMvZTJvRG9jLnhtbFBLBQYAAAAABgAGAFkBAACbBQ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成员二名称：</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1485900</wp:posOffset>
                </wp:positionH>
                <wp:positionV relativeFrom="page">
                  <wp:posOffset>2150110</wp:posOffset>
                </wp:positionV>
                <wp:extent cx="3333750" cy="0"/>
                <wp:effectExtent l="0" t="0" r="0" b="0"/>
                <wp:wrapNone/>
                <wp:docPr id="1171" name="1171"/>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1" o:spid="_x0000_s1026" o:spt="20" style="position:absolute;left:0pt;margin-left:117pt;margin-top:169.3pt;height:0pt;width:262.5pt;mso-position-horizontal-relative:page;mso-position-vertical-relative:page;z-index:-251657216;mso-width-relative:page;mso-height-relative:page;" fillcolor="#FFFFFF" filled="t" stroked="t" coordsize="21600,21600" o:gfxdata="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pEKG9cAAAALAQAADwAAAAAAAAABACAAAAAiAAAAZHJzL2Rv&#10;d25yZXYueG1sUEsBAhQAFAAAAAgAh07iQO8F/5MCAgAAQA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1485900</wp:posOffset>
                </wp:positionH>
                <wp:positionV relativeFrom="page">
                  <wp:posOffset>2400300</wp:posOffset>
                </wp:positionV>
                <wp:extent cx="3333750" cy="0"/>
                <wp:effectExtent l="0" t="0" r="0" b="0"/>
                <wp:wrapNone/>
                <wp:docPr id="1172" name="1172"/>
                <wp:cNvGraphicFramePr/>
                <a:graphic xmlns:a="http://schemas.openxmlformats.org/drawingml/2006/main">
                  <a:graphicData uri="http://schemas.microsoft.com/office/word/2010/wordprocessingShape">
                    <wps:wsp>
                      <wps:cNvCnPr/>
                      <wps:spPr>
                        <a:xfrm>
                          <a:off x="0" y="0"/>
                          <a:ext cx="3333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2" o:spid="_x0000_s1026" o:spt="20" style="position:absolute;left:0pt;margin-left:117pt;margin-top:189pt;height:0pt;width:262.5pt;mso-position-horizontal-relative:page;mso-position-vertical-relative:page;z-index:-251657216;mso-width-relative:page;mso-height-relative:page;" fillcolor="#FFFFFF" filled="t" stroked="t" coordsize="21600,21600" o:gfxdata="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78i4wdcAAAALAQAADwAAAAAAAAABACAAAAAiAAAAZHJzL2Rv&#10;d25yZXYueG1sUEsBAhQAFAAAAAgAh07iQJLUyfUCAgAAQAQAAA4AAAAAAAAAAQAgAAAAJg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13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法定住所：</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1352550</wp:posOffset>
                </wp:positionH>
                <wp:positionV relativeFrom="page">
                  <wp:posOffset>2650490</wp:posOffset>
                </wp:positionV>
                <wp:extent cx="3467100" cy="0"/>
                <wp:effectExtent l="0" t="0" r="0" b="0"/>
                <wp:wrapNone/>
                <wp:docPr id="1173" name="1173"/>
                <wp:cNvGraphicFramePr/>
                <a:graphic xmlns:a="http://schemas.openxmlformats.org/drawingml/2006/main">
                  <a:graphicData uri="http://schemas.microsoft.com/office/word/2010/wordprocessingShape">
                    <wps:wsp>
                      <wps:cNvCnPr/>
                      <wps:spPr>
                        <a:xfrm>
                          <a:off x="0" y="0"/>
                          <a:ext cx="34671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3" o:spid="_x0000_s1026" o:spt="20" style="position:absolute;left:0pt;margin-left:106.5pt;margin-top:208.7pt;height:0pt;width:273pt;mso-position-horizontal-relative:page;mso-position-vertical-relative:page;z-index:-251657216;mso-width-relative:page;mso-height-relative:page;" fillcolor="#FFFFFF" filled="t" stroked="t" coordsize="21600,21600" o:gfxdata="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jfzGMNcAAAALAQAADwAAAAAAAAABACAAAAAiAAAAZHJz&#10;L2Rvd25yZXYueG1sUEsBAhQAFAAAAAgAh07iQOy+z18FAgAAQAQAAA4AAAAAAAAAAQAgAAAAJg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145" w:after="0" w:line="240" w:lineRule="auto"/>
        <w:ind w:left="0"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p>
      <w:pPr>
        <w:autoSpaceDE w:val="0"/>
        <w:autoSpaceDN w:val="0"/>
        <w:snapToGrid w:val="0"/>
        <w:spacing w:before="143"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鉴于上述各成</w:t>
      </w:r>
      <w:r>
        <w:rPr>
          <w:rFonts w:hint="default" w:ascii="宋体" w:hAnsi="宋体" w:eastAsia="宋体" w:cs="宋体"/>
          <w:color w:val="auto"/>
          <w:sz w:val="21"/>
        </w:rPr>
        <w:t>员单位经过友好协商，自愿组成</w:t>
      </w:r>
      <w:r>
        <w:rPr>
          <w:rFonts w:hint="default" w:ascii="宋体" w:hAnsi="宋体" w:eastAsia="宋体" w:cs="宋体"/>
          <w:color w:val="auto"/>
          <w:spacing w:val="1356"/>
          <w:sz w:val="21"/>
          <w:u w:val="single" w:color="000000"/>
        </w:rPr>
        <w:t xml:space="preserve"> </w:t>
      </w:r>
      <w:r>
        <w:rPr>
          <w:rFonts w:hint="default" w:ascii="宋体" w:hAnsi="宋体" w:eastAsia="宋体" w:cs="宋体"/>
          <w:color w:val="auto"/>
          <w:sz w:val="21"/>
        </w:rPr>
        <w:t>（联合体名称）联合体，</w:t>
      </w:r>
    </w:p>
    <w:p>
      <w:pPr>
        <w:autoSpaceDE w:val="0"/>
        <w:autoSpaceDN w:val="0"/>
        <w:snapToGrid w:val="0"/>
        <w:spacing w:before="13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共同参加</w:t>
      </w:r>
      <w:r>
        <w:rPr>
          <w:rFonts w:hint="default" w:ascii="宋体" w:hAnsi="宋体" w:eastAsia="宋体" w:cs="宋体"/>
          <w:color w:val="auto"/>
          <w:spacing w:val="1890"/>
          <w:sz w:val="21"/>
          <w:u w:val="single" w:color="000000"/>
        </w:rPr>
        <w:t xml:space="preserve"> </w:t>
      </w:r>
      <w:r>
        <w:rPr>
          <w:rFonts w:hint="default" w:ascii="宋体" w:hAnsi="宋体" w:eastAsia="宋体" w:cs="宋体"/>
          <w:color w:val="auto"/>
          <w:sz w:val="21"/>
        </w:rPr>
        <w:t>（招标人名称）（以下简称招标人）</w:t>
      </w:r>
    </w:p>
    <w:p>
      <w:pPr>
        <w:autoSpaceDE w:val="0"/>
        <w:autoSpaceDN w:val="0"/>
        <w:snapToGrid w:val="0"/>
        <w:spacing w:before="28" w:after="0" w:line="400" w:lineRule="exact"/>
        <w:ind w:left="0" w:right="192" w:firstLine="2835"/>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（项目名称）</w:t>
      </w:r>
      <w:r>
        <w:rPr>
          <w:rFonts w:hint="default" w:ascii="宋体" w:hAnsi="宋体" w:eastAsia="宋体" w:cs="宋体"/>
          <w:color w:val="auto"/>
          <w:sz w:val="21"/>
        </w:rPr>
        <w:t>（以下简称本工程）的施工投标并争取赢得本工程施工承包合同（以下简称合同）。现就联合体投标事宜订立如下协议：</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3662045</wp:posOffset>
                </wp:positionV>
                <wp:extent cx="1800225" cy="0"/>
                <wp:effectExtent l="0" t="0" r="0" b="0"/>
                <wp:wrapNone/>
                <wp:docPr id="1174" name="1174"/>
                <wp:cNvGraphicFramePr/>
                <a:graphic xmlns:a="http://schemas.openxmlformats.org/drawingml/2006/main">
                  <a:graphicData uri="http://schemas.microsoft.com/office/word/2010/wordprocessingShape">
                    <wps:wsp>
                      <wps:cNvCnPr/>
                      <wps:spPr>
                        <a:xfrm>
                          <a:off x="0" y="0"/>
                          <a:ext cx="18002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74" o:spid="_x0000_s1026" o:spt="20" style="position:absolute;left:0pt;margin-left:54pt;margin-top:288.35pt;height:0pt;width:141.75pt;mso-position-horizontal-relative:page;mso-position-vertical-relative:page;z-index:-251657216;mso-width-relative:page;mso-height-relative:page;" fillcolor="#FFFFFF" filled="t" stroked="t" coordsize="21600,21600" o:gfxdata="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&#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FWNVedcAAAALAQAADwAAAAAAAAABACAAAAAiAAAAZHJz&#10;L2Rvd25yZXYueG1sUEsBAhQAFAAAAAgAh07iQEYnEvUFAgAAQAQAAA4AAAAAAAAAAQAgAAAAJgEA&#10;AGRycy9lMm9Eb2MueG1sUEsFBgAAAAAGAAYAWQEAAJ0FAAAAAA==&#10;">
                <v:fill on="t" opacity="0f" focussize="0,0"/>
                <v:stroke weight="0.5pt" color="#000000" joinstyle="round" endcap="round"/>
                <v:imagedata o:title=""/>
                <o:lock v:ext="edit" aspectratio="f"/>
              </v:line>
            </w:pict>
          </mc:Fallback>
        </mc:AlternateConten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（某成员单位名称）为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（联合体名称）牵头人。</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．在本工程投标阶段，联合体牵头人合法代表联合体各成员负责本工程投标文件编制活动，代表联</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合体提交和接</w:t>
      </w:r>
      <w:r>
        <w:rPr>
          <w:rFonts w:hint="default" w:ascii="宋体" w:hAnsi="宋体" w:eastAsia="宋体" w:cs="宋体"/>
          <w:color w:val="auto"/>
          <w:sz w:val="21"/>
        </w:rPr>
        <w:t>收相关的资料、信息及指示，并处理与投标和中标有关的一切事务；联合体中标后，联合体牵头人负责合同订立和合同实施阶段的主办、组织和协调工作。</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．联合体将严格按照招标文件的各项要求，递交投标文件，履行投标义务和中标后的合同，共同承</w:t>
      </w:r>
    </w:p>
    <w:p>
      <w:pPr>
        <w:autoSpaceDE w:val="0"/>
        <w:autoSpaceDN w:val="0"/>
        <w:snapToGrid w:val="0"/>
        <w:spacing w:before="35" w:after="0" w:line="400" w:lineRule="exact"/>
        <w:ind w:left="0" w:right="87"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担合同规定的</w:t>
      </w:r>
      <w:r>
        <w:rPr>
          <w:rFonts w:hint="default" w:ascii="宋体" w:hAnsi="宋体" w:eastAsia="宋体" w:cs="宋体"/>
          <w:color w:val="auto"/>
          <w:sz w:val="21"/>
        </w:rPr>
        <w:t>一切义务和责任，联合体各成员单位按照内部职责的部分，承担各自所负的责任和风险，并向招标人承担连带责任。</w:t>
      </w:r>
    </w:p>
    <w:p>
      <w:pPr>
        <w:autoSpaceDE w:val="0"/>
        <w:autoSpaceDN w:val="0"/>
        <w:snapToGrid w:val="0"/>
        <w:spacing w:before="11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4</w:t>
      </w:r>
      <w:r>
        <w:rPr>
          <w:rFonts w:hint="default" w:ascii="宋体" w:hAnsi="宋体" w:eastAsia="宋体" w:cs="宋体"/>
          <w:color w:val="auto"/>
          <w:spacing w:val="-1"/>
          <w:sz w:val="21"/>
        </w:rPr>
        <w:t>．联合体各</w:t>
      </w:r>
      <w:r>
        <w:rPr>
          <w:rFonts w:hint="default" w:ascii="宋体" w:hAnsi="宋体" w:eastAsia="宋体" w:cs="宋体"/>
          <w:color w:val="auto"/>
          <w:sz w:val="21"/>
        </w:rPr>
        <w:t>成员单位内部的职责分工如下：</w:t>
      </w:r>
      <w:r>
        <w:rPr>
          <w:rFonts w:hint="default" w:ascii="宋体" w:hAnsi="宋体" w:eastAsia="宋体" w:cs="宋体"/>
          <w:color w:val="auto"/>
          <w:spacing w:val="1933"/>
          <w:sz w:val="21"/>
          <w:u w:val="single" w:color="000000"/>
        </w:rPr>
        <w:t xml:space="preserve"> </w:t>
      </w:r>
      <w:r>
        <w:rPr>
          <w:rFonts w:hint="default" w:ascii="宋体" w:hAnsi="宋体" w:eastAsia="宋体" w:cs="宋体"/>
          <w:color w:val="auto"/>
          <w:sz w:val="21"/>
        </w:rPr>
        <w:t>。按照本条上</w:t>
      </w:r>
    </w:p>
    <w:p>
      <w:pPr>
        <w:autoSpaceDE w:val="0"/>
        <w:autoSpaceDN w:val="0"/>
        <w:snapToGrid w:val="0"/>
        <w:spacing w:before="145"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述分工，联合体成员单位各自所承担的合同工作量比例如下：</w:t>
      </w:r>
      <w:r>
        <w:rPr>
          <w:rFonts w:hint="default" w:ascii="宋体" w:hAnsi="宋体" w:eastAsia="宋体" w:cs="宋体"/>
          <w:color w:val="auto"/>
          <w:spacing w:val="735"/>
          <w:sz w:val="21"/>
          <w:u w:val="single" w:color="000000"/>
        </w:rPr>
        <w:t xml:space="preserve"> </w:t>
      </w:r>
      <w:r>
        <w:rPr>
          <w:rFonts w:hint="default" w:ascii="宋体" w:hAnsi="宋体" w:eastAsia="宋体" w:cs="宋体"/>
          <w:color w:val="auto"/>
          <w:sz w:val="21"/>
        </w:rPr>
        <w:t>。</w:t>
      </w:r>
    </w:p>
    <w:p>
      <w:pPr>
        <w:autoSpaceDE w:val="0"/>
        <w:autoSpaceDN w:val="0"/>
        <w:snapToGrid w:val="0"/>
        <w:spacing w:before="13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w:t>
      </w:r>
      <w:r>
        <w:rPr>
          <w:rFonts w:hint="default" w:ascii="宋体" w:hAnsi="宋体" w:eastAsia="宋体" w:cs="宋体"/>
          <w:color w:val="auto"/>
          <w:sz w:val="21"/>
        </w:rPr>
        <w:t>．投标工作和联合体在中标后工程实施过程中的有关费用按各自承担的工作量分摊。</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6</w:t>
      </w:r>
      <w:r>
        <w:rPr>
          <w:rFonts w:hint="default" w:ascii="宋体" w:hAnsi="宋体" w:eastAsia="宋体" w:cs="宋体"/>
          <w:color w:val="auto"/>
          <w:sz w:val="21"/>
        </w:rPr>
        <w:t>．联合体中标后，本联合体协议是合同的附件，对联合体各成员单位有合同约束力。</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7</w:t>
      </w:r>
      <w:r>
        <w:rPr>
          <w:rFonts w:hint="default" w:ascii="宋体" w:hAnsi="宋体" w:eastAsia="宋体" w:cs="宋体"/>
          <w:color w:val="auto"/>
          <w:sz w:val="21"/>
        </w:rPr>
        <w:t>．本协议书自签署之日起生效，联合体未中标或者中标时合同履行完毕后自动失效。</w:t>
      </w:r>
    </w:p>
    <w:p>
      <w:pPr>
        <w:autoSpaceDE w:val="0"/>
        <w:autoSpaceDN w:val="0"/>
        <w:snapToGrid w:val="0"/>
        <w:spacing w:before="14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8</w:t>
      </w:r>
      <w:r>
        <w:rPr>
          <w:rFonts w:hint="default" w:ascii="宋体" w:hAnsi="宋体" w:eastAsia="宋体" w:cs="宋体"/>
          <w:color w:val="auto"/>
          <w:sz w:val="21"/>
        </w:rPr>
        <w:t>．本协议书一式</w:t>
      </w:r>
      <w:r>
        <w:rPr>
          <w:rFonts w:hint="default" w:ascii="宋体" w:hAnsi="宋体" w:eastAsia="宋体" w:cs="宋体"/>
          <w:color w:val="auto"/>
          <w:spacing w:val="578"/>
          <w:sz w:val="21"/>
          <w:u w:val="single" w:color="000000"/>
        </w:rPr>
        <w:t xml:space="preserve"> </w:t>
      </w:r>
      <w:r>
        <w:rPr>
          <w:rFonts w:hint="default" w:ascii="宋体" w:hAnsi="宋体" w:eastAsia="宋体" w:cs="宋体"/>
          <w:color w:val="auto"/>
          <w:sz w:val="21"/>
        </w:rPr>
        <w:t>份，联合体成员和招标人各执一份。</w:t>
      </w:r>
    </w:p>
    <w:p>
      <w:pPr>
        <w:autoSpaceDE w:val="0"/>
        <w:autoSpaceDN w:val="0"/>
        <w:snapToGrid w:val="0"/>
        <w:spacing w:before="534"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牵头人名称：</w:t>
      </w:r>
      <w:r>
        <w:rPr>
          <w:rFonts w:hint="default" w:ascii="宋体" w:hAnsi="宋体" w:eastAsia="宋体" w:cs="宋体"/>
          <w:color w:val="auto"/>
          <w:spacing w:val="1838"/>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32"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526"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成员二名称：</w:t>
      </w:r>
      <w:r>
        <w:rPr>
          <w:rFonts w:hint="default" w:ascii="宋体" w:hAnsi="宋体" w:eastAsia="宋体" w:cs="宋体"/>
          <w:color w:val="auto"/>
          <w:spacing w:val="1838"/>
          <w:sz w:val="21"/>
          <w:u w:val="single" w:color="000000"/>
        </w:rPr>
        <w:t xml:space="preserve"> </w:t>
      </w:r>
      <w:r>
        <w:rPr>
          <w:rFonts w:hint="default" w:ascii="宋体" w:hAnsi="宋体" w:eastAsia="宋体" w:cs="宋体"/>
          <w:color w:val="auto"/>
          <w:sz w:val="21"/>
        </w:rPr>
        <w:t>（盖单位章）</w:t>
      </w:r>
    </w:p>
    <w:p>
      <w:pPr>
        <w:autoSpaceDE w:val="0"/>
        <w:autoSpaceDN w:val="0"/>
        <w:snapToGrid w:val="0"/>
        <w:spacing w:before="131" w:after="0" w:line="263" w:lineRule="exact"/>
        <w:ind w:left="178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default" w:ascii="宋体" w:hAnsi="宋体" w:eastAsia="宋体" w:cs="宋体"/>
          <w:color w:val="auto"/>
          <w:spacing w:val="1313"/>
          <w:sz w:val="21"/>
          <w:u w:val="single" w:color="000000"/>
        </w:rPr>
        <w:t xml:space="preserve"> </w:t>
      </w:r>
      <w:r>
        <w:rPr>
          <w:rFonts w:hint="default" w:ascii="宋体" w:hAnsi="宋体" w:eastAsia="宋体" w:cs="宋体"/>
          <w:color w:val="auto"/>
          <w:sz w:val="21"/>
        </w:rPr>
        <w:t>（签字）</w:t>
      </w:r>
    </w:p>
    <w:p>
      <w:pPr>
        <w:autoSpaceDE w:val="0"/>
        <w:autoSpaceDN w:val="0"/>
        <w:snapToGrid w:val="0"/>
        <w:spacing w:before="145" w:after="0" w:line="240" w:lineRule="auto"/>
        <w:ind w:left="1785"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p>
      <w:pPr>
        <w:autoSpaceDE w:val="0"/>
        <w:autoSpaceDN w:val="0"/>
        <w:snapToGrid w:val="0"/>
        <w:spacing w:before="139" w:after="0" w:line="263" w:lineRule="exact"/>
        <w:ind w:right="0" w:firstLine="5150" w:firstLineChars="2500"/>
        <w:jc w:val="left"/>
        <w:textAlignment w:val="auto"/>
        <w:rPr>
          <w:rFonts w:hint="default" w:ascii="宋体" w:hAnsi="宋体" w:eastAsia="宋体" w:cs="宋体"/>
          <w:color w:val="auto"/>
          <w:sz w:val="21"/>
        </w:rPr>
      </w:pPr>
      <w:r>
        <w:rPr>
          <w:rFonts w:hint="eastAsia" w:ascii="宋体" w:hAnsi="宋体" w:eastAsia="宋体" w:cs="宋体"/>
          <w:color w:val="FFFFFF" w:themeColor="background1"/>
          <w:spacing w:val="-2"/>
          <w:sz w:val="21"/>
          <w:lang w:val="en-US" w:eastAsia="zh-CN"/>
          <w14:textFill>
            <w14:solidFill>
              <w14:schemeClr w14:val="bg1"/>
            </w14:solidFill>
          </w14:textFill>
        </w:rPr>
        <w:t>1</w:t>
      </w:r>
      <w:r>
        <w:rPr>
          <w:rFonts w:hint="eastAsia" w:ascii="宋体" w:hAnsi="宋体" w:eastAsia="宋体" w:cs="宋体"/>
          <w:color w:val="auto"/>
          <w:spacing w:val="-2"/>
          <w:sz w:val="21"/>
          <w:u w:val="single"/>
          <w:lang w:val="en-US" w:eastAsia="zh-CN"/>
        </w:rPr>
        <w:t xml:space="preserve">             </w:t>
      </w:r>
      <w:r>
        <w:rPr>
          <w:rFonts w:hint="default" w:ascii="宋体" w:hAnsi="宋体" w:eastAsia="宋体" w:cs="宋体"/>
          <w:color w:val="auto"/>
          <w:spacing w:val="-2"/>
          <w:sz w:val="21"/>
        </w:rPr>
        <w:t>年</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pacing w:val="-1"/>
          <w:sz w:val="21"/>
        </w:rPr>
        <w:t>月</w:t>
      </w:r>
      <w:r>
        <w:rPr>
          <w:rFonts w:hint="default" w:ascii="宋体" w:hAnsi="宋体" w:eastAsia="宋体" w:cs="宋体"/>
          <w:color w:val="auto"/>
          <w:spacing w:val="366"/>
          <w:sz w:val="21"/>
          <w:u w:val="single" w:color="000000"/>
        </w:rPr>
        <w:t xml:space="preserve"> </w:t>
      </w:r>
      <w:r>
        <w:rPr>
          <w:rFonts w:hint="default" w:ascii="宋体" w:hAnsi="宋体" w:eastAsia="宋体" w:cs="宋体"/>
          <w:color w:val="auto"/>
          <w:sz w:val="21"/>
        </w:rPr>
        <w:t>日</w:t>
      </w:r>
    </w:p>
    <w:p>
      <w:pPr>
        <w:autoSpaceDE w:val="0"/>
        <w:autoSpaceDN w:val="0"/>
        <w:snapToGrid w:val="0"/>
        <w:spacing w:before="132"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【备注：本协议书由委托代理人签字的，应附法定代表人签字的授权委托书】</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726" w:lineRule="exact"/>
        <w:ind w:left="0" w:right="0" w:firstLine="700"/>
        <w:jc w:val="both"/>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4</w:t>
      </w:r>
      <w:r>
        <w:rPr>
          <w:rFonts w:hint="default" w:ascii="宋体" w:hAnsi="宋体" w:eastAsia="宋体" w:cs="宋体"/>
          <w:b/>
          <w:color w:val="auto"/>
          <w:sz w:val="28"/>
        </w:rPr>
        <w:t>、投标</w:t>
      </w:r>
      <w:r>
        <w:rPr>
          <w:rFonts w:hint="eastAsia" w:ascii="宋体" w:hAnsi="宋体" w:eastAsia="宋体" w:cs="宋体"/>
          <w:b/>
          <w:color w:val="auto"/>
          <w:sz w:val="28"/>
          <w:lang w:eastAsia="zh-CN"/>
        </w:rPr>
        <w:t>保证金缴纳证明材料</w:t>
      </w:r>
      <w:r>
        <w:rPr>
          <w:rFonts w:hint="default" w:ascii="宋体" w:hAnsi="宋体" w:eastAsia="宋体" w:cs="宋体"/>
          <w:b/>
          <w:color w:val="auto"/>
          <w:sz w:val="28"/>
        </w:rPr>
        <w:t>复印件、公司开户许可证复印件</w:t>
      </w:r>
      <w:r>
        <w:rPr>
          <w:rFonts w:hint="eastAsia" w:ascii="宋体" w:hAnsi="宋体" w:eastAsia="宋体" w:cs="宋体"/>
          <w:b/>
          <w:color w:val="auto"/>
          <w:sz w:val="28"/>
          <w:lang w:eastAsia="zh-CN"/>
        </w:rPr>
        <w:t>（</w:t>
      </w:r>
      <w:r>
        <w:rPr>
          <w:rFonts w:hint="default" w:ascii="宋体" w:hAnsi="宋体" w:eastAsia="宋体" w:cs="宋体"/>
          <w:b/>
          <w:color w:val="auto"/>
          <w:sz w:val="28"/>
        </w:rPr>
        <w:t>或基本存款账户信息复印件</w:t>
      </w:r>
      <w:r>
        <w:rPr>
          <w:rFonts w:hint="eastAsia" w:ascii="宋体" w:hAnsi="宋体" w:eastAsia="宋体" w:cs="宋体"/>
          <w:b/>
          <w:color w:val="auto"/>
          <w:sz w:val="28"/>
          <w:lang w:eastAsia="zh-CN"/>
        </w:rPr>
        <w:t>）</w:t>
      </w:r>
      <w:r>
        <w:rPr>
          <w:rFonts w:hint="default" w:ascii="宋体" w:hAnsi="宋体" w:eastAsia="宋体" w:cs="宋体"/>
          <w:b/>
          <w:color w:val="auto"/>
          <w:sz w:val="28"/>
        </w:rPr>
        <w:t>。</w:t>
      </w:r>
    </w:p>
    <w:p>
      <w:pPr>
        <w:autoSpaceDE w:val="0"/>
        <w:autoSpaceDN w:val="0"/>
        <w:snapToGrid w:val="0"/>
        <w:spacing w:before="944" w:after="0" w:line="263" w:lineRule="exact"/>
        <w:ind w:left="525"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rPr>
          <w:rFonts w:hint="default" w:ascii="Times New Roman" w:hAnsi="Times New Roman" w:eastAsia="Times New Roman" w:cs="Times New Roman"/>
          <w:b/>
          <w:color w:val="auto"/>
          <w:sz w:val="28"/>
        </w:rPr>
      </w:pPr>
      <w:r>
        <w:rPr>
          <w:rFonts w:hint="default" w:ascii="Times New Roman" w:hAnsi="Times New Roman" w:eastAsia="Times New Roman" w:cs="Times New Roman"/>
          <w:b/>
          <w:color w:val="auto"/>
          <w:sz w:val="28"/>
        </w:rPr>
        <w:br w:type="page"/>
      </w:r>
    </w:p>
    <w:p>
      <w:pPr>
        <w:autoSpaceDE w:val="0"/>
        <w:autoSpaceDN w:val="0"/>
        <w:snapToGrid w:val="0"/>
        <w:spacing w:before="0" w:after="0" w:line="240" w:lineRule="auto"/>
        <w:ind w:left="3122"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5</w:t>
      </w:r>
      <w:r>
        <w:rPr>
          <w:rFonts w:hint="default" w:ascii="宋体" w:hAnsi="宋体" w:eastAsia="宋体" w:cs="宋体"/>
          <w:b/>
          <w:color w:val="auto"/>
          <w:sz w:val="28"/>
        </w:rPr>
        <w:t>、建设工程项目管理承诺书</w:t>
      </w:r>
    </w:p>
    <w:p>
      <w:pPr>
        <w:autoSpaceDE w:val="0"/>
        <w:autoSpaceDN w:val="0"/>
        <w:snapToGrid w:val="0"/>
        <w:spacing w:before="849" w:after="0" w:line="263" w:lineRule="exact"/>
        <w:ind w:left="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致</w:t>
      </w:r>
      <w:r>
        <w:rPr>
          <w:rFonts w:hint="default" w:ascii="宋体" w:hAnsi="宋体" w:eastAsia="宋体" w:cs="宋体"/>
          <w:color w:val="auto"/>
          <w:spacing w:val="1208"/>
          <w:sz w:val="21"/>
          <w:u w:val="single" w:color="000000"/>
        </w:rPr>
        <w:t xml:space="preserve"> </w:t>
      </w:r>
      <w:r>
        <w:rPr>
          <w:rFonts w:hint="default" w:ascii="宋体" w:hAnsi="宋体" w:eastAsia="宋体" w:cs="宋体"/>
          <w:color w:val="auto"/>
          <w:sz w:val="21"/>
        </w:rPr>
        <w:t>（招标人名称）：</w:t>
      </w:r>
    </w:p>
    <w:p>
      <w:pPr>
        <w:autoSpaceDE w:val="0"/>
        <w:autoSpaceDN w:val="0"/>
        <w:snapToGrid w:val="0"/>
        <w:spacing w:before="485" w:after="0" w:line="263" w:lineRule="exact"/>
        <w:ind w:left="45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作为参与</w:t>
      </w:r>
      <w:r>
        <w:rPr>
          <w:rFonts w:hint="default" w:ascii="Times New Roman" w:hAnsi="Times New Roman" w:eastAsia="Times New Roman" w:cs="Times New Roman"/>
          <w:color w:val="auto"/>
          <w:spacing w:val="-47"/>
          <w:sz w:val="21"/>
          <w:u w:val="single" w:color="000000"/>
        </w:rPr>
        <w:t></w:t>
      </w:r>
      <w:r>
        <w:rPr>
          <w:rFonts w:hint="default" w:ascii="Times New Roman" w:hAnsi="Times New Roman" w:eastAsia="Times New Roman" w:cs="Times New Roman"/>
          <w:color w:val="auto"/>
          <w:sz w:val="21"/>
          <w:u w:val="single" w:color="000000"/>
        </w:rPr>
        <w:t></w:t>
      </w:r>
      <w:r>
        <w:rPr>
          <w:rFonts w:hint="default" w:ascii="Times New Roman" w:hAnsi="Times New Roman" w:eastAsia="Times New Roman" w:cs="Times New Roman"/>
          <w:color w:val="auto"/>
          <w:spacing w:val="1791"/>
          <w:sz w:val="21"/>
          <w:u w:val="single" w:color="000000"/>
        </w:rPr>
        <w:t xml:space="preserve"> </w:t>
      </w:r>
      <w:r>
        <w:rPr>
          <w:rFonts w:hint="default" w:ascii="Times New Roman" w:hAnsi="Times New Roman" w:eastAsia="Times New Roman" w:cs="Times New Roman"/>
          <w:color w:val="auto"/>
          <w:spacing w:val="-47"/>
          <w:sz w:val="21"/>
          <w:u w:val="single" w:color="000000"/>
        </w:rPr>
        <w:t></w:t>
      </w:r>
      <w:r>
        <w:rPr>
          <w:rFonts w:hint="default" w:ascii="宋体" w:hAnsi="宋体" w:eastAsia="宋体" w:cs="宋体"/>
          <w:color w:val="auto"/>
          <w:sz w:val="21"/>
        </w:rPr>
        <w:t>（工程名称）项目的投标方，根据国家、自治区相关文件规定，</w:t>
      </w:r>
    </w:p>
    <w:p>
      <w:pPr>
        <w:autoSpaceDE w:val="0"/>
        <w:autoSpaceDN w:val="0"/>
        <w:snapToGrid w:val="0"/>
        <w:spacing w:before="25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我方在此向招标人承诺：</w:t>
      </w:r>
    </w:p>
    <w:p>
      <w:pPr>
        <w:autoSpaceDE w:val="0"/>
        <w:autoSpaceDN w:val="0"/>
        <w:snapToGrid w:val="0"/>
        <w:spacing w:before="258" w:after="0" w:line="240" w:lineRule="auto"/>
        <w:ind w:left="456"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、一旦中标，我方保证按照政府相关部门的规定，在发出中标通知书之日</w:t>
      </w:r>
      <w:r>
        <w:rPr>
          <w:rFonts w:hint="default" w:ascii="宋体" w:hAnsi="宋体" w:eastAsia="宋体" w:cs="宋体"/>
          <w:color w:val="auto"/>
          <w:spacing w:val="26"/>
          <w:sz w:val="21"/>
        </w:rPr>
        <w:t>起</w:t>
      </w:r>
      <w:r>
        <w:rPr>
          <w:rFonts w:hint="default" w:ascii="Times New Roman" w:hAnsi="Times New Roman" w:eastAsia="Times New Roman" w:cs="Times New Roman"/>
          <w:color w:val="auto"/>
          <w:spacing w:val="53"/>
          <w:sz w:val="21"/>
        </w:rPr>
        <w:t>7</w:t>
      </w:r>
      <w:r>
        <w:rPr>
          <w:rFonts w:hint="default" w:ascii="宋体" w:hAnsi="宋体" w:eastAsia="宋体" w:cs="宋体"/>
          <w:color w:val="auto"/>
          <w:sz w:val="21"/>
        </w:rPr>
        <w:t>个工作日内足额将农</w:t>
      </w:r>
    </w:p>
    <w:p>
      <w:pPr>
        <w:autoSpaceDE w:val="0"/>
        <w:autoSpaceDN w:val="0"/>
        <w:snapToGrid w:val="0"/>
        <w:spacing w:before="59" w:after="0" w:line="520" w:lineRule="exact"/>
        <w:ind w:left="0" w:right="53"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民工工资保障</w:t>
      </w:r>
      <w:r>
        <w:rPr>
          <w:rFonts w:hint="default" w:ascii="宋体" w:hAnsi="宋体" w:eastAsia="宋体" w:cs="宋体"/>
          <w:color w:val="auto"/>
          <w:sz w:val="21"/>
        </w:rPr>
        <w:t>金转入农民工工资保障金专用账户。一旦我方所承包的该项目中出现拖欠农民工工资情况，</w:t>
      </w:r>
      <w:r>
        <w:rPr>
          <w:rFonts w:hint="default" w:ascii="宋体" w:hAnsi="宋体" w:eastAsia="宋体" w:cs="宋体"/>
          <w:color w:val="auto"/>
          <w:spacing w:val="-1"/>
          <w:sz w:val="21"/>
        </w:rPr>
        <w:t>由劳动保障、</w:t>
      </w:r>
      <w:r>
        <w:rPr>
          <w:rFonts w:hint="default" w:ascii="宋体" w:hAnsi="宋体" w:eastAsia="宋体" w:cs="宋体"/>
          <w:color w:val="auto"/>
          <w:sz w:val="21"/>
        </w:rPr>
        <w:t>住房城乡建设行政主管部门按照《关于进一步完善建筑行业农民工工资保证金制度的通知》（桂劳社发〔</w:t>
      </w:r>
      <w:r>
        <w:rPr>
          <w:rFonts w:hint="default" w:ascii="Times New Roman" w:hAnsi="Times New Roman" w:eastAsia="Times New Roman" w:cs="Times New Roman"/>
          <w:color w:val="auto"/>
          <w:sz w:val="21"/>
        </w:rPr>
        <w:t>2009</w:t>
      </w:r>
      <w:r>
        <w:rPr>
          <w:rFonts w:hint="default" w:ascii="宋体" w:hAnsi="宋体" w:eastAsia="宋体" w:cs="宋体"/>
          <w:color w:val="auto"/>
          <w:sz w:val="21"/>
        </w:rPr>
        <w:t>〕</w:t>
      </w:r>
      <w:r>
        <w:rPr>
          <w:rFonts w:hint="default" w:ascii="Times New Roman" w:hAnsi="Times New Roman" w:eastAsia="Times New Roman" w:cs="Times New Roman"/>
          <w:color w:val="auto"/>
          <w:sz w:val="21"/>
        </w:rPr>
        <w:t>5</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号）从我方农民工工资保障金中先予划支。</w:t>
      </w:r>
    </w:p>
    <w:p>
      <w:pPr>
        <w:autoSpaceDE w:val="0"/>
        <w:autoSpaceDN w:val="0"/>
        <w:snapToGrid w:val="0"/>
        <w:spacing w:before="206" w:after="0" w:line="240" w:lineRule="auto"/>
        <w:ind w:left="456"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、一旦中标，我方保证在施工过程中，严格执行《广西壮族自治区建设工程安全文明施工费使用管</w:t>
      </w:r>
    </w:p>
    <w:p>
      <w:pPr>
        <w:autoSpaceDE w:val="0"/>
        <w:autoSpaceDN w:val="0"/>
        <w:snapToGrid w:val="0"/>
        <w:spacing w:before="59" w:after="0" w:line="52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理细则》（桂</w:t>
      </w:r>
      <w:r>
        <w:rPr>
          <w:rFonts w:hint="default" w:ascii="宋体" w:hAnsi="宋体" w:eastAsia="宋体" w:cs="宋体"/>
          <w:color w:val="auto"/>
          <w:sz w:val="21"/>
        </w:rPr>
        <w:t>建质【</w:t>
      </w:r>
      <w:r>
        <w:rPr>
          <w:rFonts w:hint="default" w:ascii="Times New Roman" w:hAnsi="Times New Roman" w:eastAsia="Times New Roman" w:cs="Times New Roman"/>
          <w:color w:val="auto"/>
          <w:sz w:val="21"/>
        </w:rPr>
        <w:t>2015</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6</w:t>
      </w:r>
      <w:r>
        <w:rPr>
          <w:rFonts w:hint="default" w:ascii="宋体" w:hAnsi="宋体" w:eastAsia="宋体" w:cs="宋体"/>
          <w:color w:val="auto"/>
          <w:sz w:val="21"/>
        </w:rPr>
        <w:t>号）的有关规定，确保建设工程各项安全防护、文明施工措施落实到位。如</w:t>
      </w:r>
      <w:r>
        <w:rPr>
          <w:rFonts w:hint="default" w:ascii="宋体" w:hAnsi="宋体" w:eastAsia="宋体" w:cs="宋体"/>
          <w:color w:val="auto"/>
          <w:spacing w:val="-1"/>
          <w:sz w:val="21"/>
        </w:rPr>
        <w:t>我方在该项目</w:t>
      </w:r>
      <w:r>
        <w:rPr>
          <w:rFonts w:hint="default" w:ascii="宋体" w:hAnsi="宋体" w:eastAsia="宋体" w:cs="宋体"/>
          <w:color w:val="auto"/>
          <w:sz w:val="21"/>
        </w:rPr>
        <w:t>的承包中出现未按桂建质【</w:t>
      </w:r>
      <w:r>
        <w:rPr>
          <w:rFonts w:hint="default" w:ascii="Times New Roman" w:hAnsi="Times New Roman" w:eastAsia="Times New Roman" w:cs="Times New Roman"/>
          <w:color w:val="auto"/>
          <w:sz w:val="21"/>
        </w:rPr>
        <w:t>2015</w:t>
      </w:r>
      <w:r>
        <w:rPr>
          <w:rFonts w:hint="default" w:ascii="宋体" w:hAnsi="宋体" w:eastAsia="宋体" w:cs="宋体"/>
          <w:color w:val="auto"/>
          <w:sz w:val="21"/>
        </w:rPr>
        <w:t>】</w:t>
      </w: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53"/>
          <w:sz w:val="21"/>
        </w:rPr>
        <w:t>6</w:t>
      </w:r>
      <w:r>
        <w:rPr>
          <w:rFonts w:hint="default" w:ascii="宋体" w:hAnsi="宋体" w:eastAsia="宋体" w:cs="宋体"/>
          <w:color w:val="auto"/>
          <w:sz w:val="21"/>
        </w:rPr>
        <w:t>号文附件一规定执行的情形，我方愿意按照相关规定接受建设单位及有关主管部门的处罚。</w:t>
      </w:r>
    </w:p>
    <w:p>
      <w:pPr>
        <w:autoSpaceDE w:val="0"/>
        <w:autoSpaceDN w:val="0"/>
        <w:snapToGrid w:val="0"/>
        <w:spacing w:before="206" w:after="0" w:line="240" w:lineRule="auto"/>
        <w:ind w:left="457"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、一旦中标，我方保证在施工过程中，严格执行散装水泥和预拌混凝土管理的有关规定，确保建设</w:t>
      </w:r>
    </w:p>
    <w:p>
      <w:pPr>
        <w:autoSpaceDE w:val="0"/>
        <w:autoSpaceDN w:val="0"/>
        <w:snapToGrid w:val="0"/>
        <w:spacing w:before="59" w:after="0" w:line="520" w:lineRule="exact"/>
        <w:ind w:left="0" w:right="44"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工程</w:t>
      </w:r>
      <w:r>
        <w:rPr>
          <w:rFonts w:hint="default" w:ascii="宋体" w:hAnsi="宋体" w:eastAsia="宋体" w:cs="宋体"/>
          <w:color w:val="auto"/>
          <w:sz w:val="21"/>
        </w:rPr>
        <w:t>按规定使用散装水泥和预拌混凝土。如我方在该项目的承包中出现未按规定执行的情形，我方愿意按照相关规定接受建设单位及有关主管部门的处罚。</w:t>
      </w:r>
    </w:p>
    <w:p>
      <w:pPr>
        <w:autoSpaceDE w:val="0"/>
        <w:autoSpaceDN w:val="0"/>
        <w:snapToGrid w:val="0"/>
        <w:spacing w:before="206" w:after="0" w:line="240" w:lineRule="auto"/>
        <w:ind w:left="456"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w:t>
      </w:r>
      <w:r>
        <w:rPr>
          <w:rFonts w:hint="default" w:ascii="宋体" w:hAnsi="宋体" w:eastAsia="宋体" w:cs="宋体"/>
          <w:color w:val="auto"/>
          <w:sz w:val="21"/>
        </w:rPr>
        <w:t>、一旦中标，我方保证在施工过程中，严格执行《关于禁止使用不符合规范要求的竹脚手架的通</w:t>
      </w:r>
    </w:p>
    <w:p>
      <w:pPr>
        <w:autoSpaceDE w:val="0"/>
        <w:autoSpaceDN w:val="0"/>
        <w:snapToGrid w:val="0"/>
        <w:spacing w:before="59" w:after="0" w:line="520" w:lineRule="exact"/>
        <w:ind w:left="0" w:right="0"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知》（桂建管</w:t>
      </w:r>
      <w:r>
        <w:rPr>
          <w:rFonts w:hint="default" w:ascii="宋体" w:hAnsi="宋体" w:eastAsia="宋体" w:cs="宋体"/>
          <w:color w:val="auto"/>
          <w:sz w:val="21"/>
        </w:rPr>
        <w:t>字〔</w:t>
      </w:r>
      <w:r>
        <w:rPr>
          <w:rFonts w:hint="default" w:ascii="Times New Roman" w:hAnsi="Times New Roman" w:eastAsia="Times New Roman" w:cs="Times New Roman"/>
          <w:color w:val="auto"/>
          <w:sz w:val="21"/>
        </w:rPr>
        <w:t>2003</w:t>
      </w:r>
      <w:r>
        <w:rPr>
          <w:rFonts w:hint="default" w:ascii="宋体" w:hAnsi="宋体" w:eastAsia="宋体" w:cs="宋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0</w:t>
      </w:r>
      <w:r>
        <w:rPr>
          <w:rFonts w:hint="default" w:ascii="宋体" w:hAnsi="宋体" w:eastAsia="宋体" w:cs="宋体"/>
          <w:color w:val="auto"/>
          <w:sz w:val="21"/>
        </w:rPr>
        <w:t>号）的有关规定，不使用竹脚手架。如我方在该项目的承包中出现未按规定执行的情形，我方愿意按照相关规定接受建设单位及有关主管部门的处罚。</w:t>
      </w:r>
    </w:p>
    <w:p>
      <w:pPr>
        <w:autoSpaceDE w:val="0"/>
        <w:autoSpaceDN w:val="0"/>
        <w:snapToGrid w:val="0"/>
        <w:spacing w:before="1248" w:after="0" w:line="263" w:lineRule="exact"/>
        <w:ind w:left="4420"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投标人：</w:t>
      </w:r>
      <w:r>
        <w:rPr>
          <w:rFonts w:hint="default" w:ascii="宋体" w:hAnsi="宋体" w:eastAsia="宋体" w:cs="宋体"/>
          <w:color w:val="auto"/>
          <w:spacing w:val="1050"/>
          <w:sz w:val="21"/>
          <w:u w:val="single" w:color="000000"/>
        </w:rPr>
        <w:t xml:space="preserve"> </w:t>
      </w:r>
      <w:r>
        <w:rPr>
          <w:rFonts w:hint="default" w:ascii="宋体" w:hAnsi="宋体" w:eastAsia="宋体" w:cs="宋体"/>
          <w:color w:val="auto"/>
          <w:sz w:val="21"/>
          <w:u w:val="single" w:color="000000"/>
        </w:rPr>
        <w:t>（盖单位章）</w:t>
      </w:r>
    </w:p>
    <w:p>
      <w:pPr>
        <w:autoSpaceDE w:val="0"/>
        <w:autoSpaceDN w:val="0"/>
        <w:snapToGrid w:val="0"/>
        <w:spacing w:before="508" w:after="0" w:line="263" w:lineRule="exact"/>
        <w:ind w:left="3475" w:right="0" w:firstLine="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法定代表人或授权代理人：</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u w:val="single" w:color="000000"/>
        </w:rPr>
        <w:t>（签字或盖章）</w:t>
      </w:r>
    </w:p>
    <w:p>
      <w:pPr>
        <w:autoSpaceDE w:val="0"/>
        <w:autoSpaceDN w:val="0"/>
        <w:snapToGrid w:val="0"/>
        <w:spacing w:before="508" w:after="0" w:line="263" w:lineRule="exact"/>
        <w:ind w:left="45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日</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right="0"/>
        <w:jc w:val="center"/>
        <w:textAlignment w:val="auto"/>
        <w:rPr>
          <w:rFonts w:hint="default" w:ascii="宋体" w:hAnsi="宋体" w:eastAsia="宋体" w:cs="宋体"/>
          <w:b/>
          <w:color w:val="auto"/>
          <w:sz w:val="28"/>
        </w:rPr>
      </w:pPr>
      <w:r>
        <w:rPr>
          <w:rFonts w:hint="default" w:ascii="宋体" w:hAnsi="宋体" w:eastAsia="宋体" w:cs="宋体"/>
          <w:b/>
          <w:color w:val="auto"/>
          <w:sz w:val="28"/>
        </w:rPr>
        <w:t>广西壮族自治区建筑工程安全文明施工措施项目清单内容</w:t>
      </w:r>
    </w:p>
    <w:p>
      <w:pPr>
        <w:autoSpaceDE w:val="0"/>
        <w:autoSpaceDN w:val="0"/>
        <w:snapToGrid w:val="0"/>
        <w:spacing w:before="194" w:after="0" w:line="300" w:lineRule="exact"/>
        <w:ind w:right="0"/>
        <w:jc w:val="center"/>
        <w:textAlignment w:val="auto"/>
        <w:rPr>
          <w:rFonts w:hint="default" w:ascii="宋体" w:hAnsi="宋体" w:eastAsia="宋体" w:cs="宋体"/>
          <w:color w:val="auto"/>
        </w:rPr>
      </w:pPr>
      <w:r>
        <w:rPr>
          <w:rFonts w:hint="default" w:ascii="宋体" w:hAnsi="宋体" w:eastAsia="宋体" w:cs="宋体"/>
          <w:color w:val="auto"/>
        </w:rPr>
        <w:t>（桂建质【</w:t>
      </w:r>
      <w:r>
        <w:rPr>
          <w:rFonts w:hint="default" w:ascii="Times New Roman" w:hAnsi="Times New Roman" w:eastAsia="Times New Roman" w:cs="Times New Roman"/>
          <w:color w:val="auto"/>
        </w:rPr>
        <w:t>2015</w:t>
      </w:r>
      <w:r>
        <w:rPr>
          <w:rFonts w:hint="default" w:ascii="宋体" w:hAnsi="宋体" w:eastAsia="宋体" w:cs="宋体"/>
          <w:color w:val="auto"/>
        </w:rPr>
        <w:t>】</w:t>
      </w:r>
      <w:r>
        <w:rPr>
          <w:rFonts w:hint="default" w:ascii="Times New Roman" w:hAnsi="Times New Roman" w:eastAsia="Times New Roman" w:cs="Times New Roman"/>
          <w:color w:val="auto"/>
        </w:rPr>
        <w:t>1</w:t>
      </w:r>
      <w:r>
        <w:rPr>
          <w:rFonts w:hint="default" w:ascii="Times New Roman" w:hAnsi="Times New Roman" w:eastAsia="Times New Roman" w:cs="Times New Roman"/>
          <w:color w:val="auto"/>
          <w:spacing w:val="60"/>
        </w:rPr>
        <w:t>6</w:t>
      </w:r>
      <w:r>
        <w:rPr>
          <w:rFonts w:hint="default" w:ascii="宋体" w:hAnsi="宋体" w:eastAsia="宋体" w:cs="宋体"/>
          <w:color w:val="auto"/>
        </w:rPr>
        <w:t>号文附件一）</w:t>
      </w:r>
    </w:p>
    <w:tbl>
      <w:tblPr>
        <w:tblStyle w:val="6"/>
        <w:tblpPr w:leftFromText="180" w:rightFromText="180" w:vertAnchor="text" w:horzAnchor="page" w:tblpX="1051" w:tblpY="312"/>
        <w:tblOverlap w:val="never"/>
        <w:tblW w:w="9453" w:type="dxa"/>
        <w:tblInd w:w="0" w:type="dxa"/>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Layout w:type="fixed"/>
        <w:tblCellMar>
          <w:top w:w="0" w:type="dxa"/>
          <w:left w:w="0" w:type="dxa"/>
          <w:bottom w:w="0" w:type="dxa"/>
          <w:right w:w="0" w:type="dxa"/>
        </w:tblCellMar>
      </w:tblPr>
      <w:tblGrid>
        <w:gridCol w:w="738"/>
        <w:gridCol w:w="525"/>
        <w:gridCol w:w="1545"/>
        <w:gridCol w:w="6645"/>
      </w:tblGrid>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491" w:hRule="exact"/>
        </w:trPr>
        <w:tc>
          <w:tcPr>
            <w:tcW w:w="738" w:type="dxa"/>
            <w:vAlign w:val="top"/>
          </w:tcPr>
          <w:p>
            <w:pPr>
              <w:autoSpaceDE w:val="0"/>
              <w:autoSpaceDN w:val="0"/>
              <w:snapToGrid w:val="0"/>
              <w:spacing w:before="116" w:after="0" w:line="263" w:lineRule="exact"/>
              <w:ind w:left="144" w:right="0" w:firstLine="0"/>
              <w:jc w:val="left"/>
              <w:textAlignment w:val="auto"/>
              <w:rPr>
                <w:rFonts w:hint="default" w:ascii="PMingLiU" w:hAnsi="PMingLiU" w:eastAsia="PMingLiU" w:cs="PMingLiU"/>
                <w:b/>
                <w:color w:val="auto"/>
                <w:sz w:val="21"/>
              </w:rPr>
            </w:pPr>
            <w:r>
              <w:rPr>
                <w:rFonts w:hint="default" w:ascii="PMingLiU" w:hAnsi="PMingLiU" w:eastAsia="PMingLiU" w:cs="PMingLiU"/>
                <w:b/>
                <w:color w:val="auto"/>
                <w:sz w:val="21"/>
              </w:rPr>
              <w:t>类别</w:t>
            </w:r>
          </w:p>
        </w:tc>
        <w:tc>
          <w:tcPr>
            <w:tcW w:w="2070" w:type="dxa"/>
            <w:gridSpan w:val="2"/>
            <w:tcBorders>
              <w:left w:val="single" w:color="000000" w:sz="4" w:space="0"/>
            </w:tcBorders>
            <w:vAlign w:val="top"/>
          </w:tcPr>
          <w:p>
            <w:pPr>
              <w:autoSpaceDE w:val="0"/>
              <w:autoSpaceDN w:val="0"/>
              <w:snapToGrid w:val="0"/>
              <w:spacing w:before="116" w:after="0" w:line="263" w:lineRule="exact"/>
              <w:ind w:left="608" w:right="0" w:firstLine="0"/>
              <w:jc w:val="left"/>
              <w:textAlignment w:val="auto"/>
              <w:rPr>
                <w:rFonts w:hint="default" w:ascii="MS UI Gothic" w:hAnsi="MS UI Gothic" w:eastAsia="MS UI Gothic" w:cs="MS UI Gothic"/>
                <w:b/>
                <w:color w:val="auto"/>
                <w:sz w:val="21"/>
              </w:rPr>
            </w:pPr>
            <w:r>
              <w:rPr>
                <w:rFonts w:hint="default" w:ascii="PMingLiU" w:hAnsi="PMingLiU" w:eastAsia="PMingLiU" w:cs="PMingLiU"/>
                <w:b/>
                <w:color w:val="auto"/>
                <w:sz w:val="21"/>
              </w:rPr>
              <w:t>项</w:t>
            </w:r>
            <w:r>
              <w:rPr>
                <w:rFonts w:hint="default" w:ascii="MS UI Gothic" w:hAnsi="MS UI Gothic" w:eastAsia="MS UI Gothic" w:cs="MS UI Gothic"/>
                <w:b/>
                <w:color w:val="auto"/>
                <w:sz w:val="21"/>
              </w:rPr>
              <w:t>目名称</w:t>
            </w:r>
          </w:p>
        </w:tc>
        <w:tc>
          <w:tcPr>
            <w:tcW w:w="6645" w:type="dxa"/>
            <w:tcBorders>
              <w:left w:val="single" w:color="000000" w:sz="4" w:space="0"/>
              <w:right w:val="single" w:color="000000" w:sz="12" w:space="0"/>
            </w:tcBorders>
            <w:vAlign w:val="top"/>
          </w:tcPr>
          <w:p>
            <w:pPr>
              <w:autoSpaceDE w:val="0"/>
              <w:autoSpaceDN w:val="0"/>
              <w:snapToGrid w:val="0"/>
              <w:spacing w:before="145" w:after="0" w:line="226" w:lineRule="exact"/>
              <w:ind w:left="2577" w:right="0" w:firstLine="0"/>
              <w:jc w:val="left"/>
              <w:textAlignment w:val="auto"/>
              <w:rPr>
                <w:rFonts w:hint="default" w:ascii="MS UI Gothic" w:hAnsi="MS UI Gothic" w:eastAsia="MS UI Gothic" w:cs="MS UI Gothic"/>
                <w:b/>
                <w:color w:val="auto"/>
                <w:sz w:val="21"/>
              </w:rPr>
            </w:pPr>
            <w:r>
              <w:rPr>
                <w:rFonts w:hint="default" w:ascii="MS UI Gothic" w:hAnsi="MS UI Gothic" w:eastAsia="MS UI Gothic" w:cs="MS UI Gothic"/>
                <w:b/>
                <w:color w:val="auto"/>
                <w:sz w:val="21"/>
              </w:rPr>
              <w:t>主要内容和要求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restart"/>
            <w:tcBorders>
              <w:top w:val="single" w:color="000000" w:sz="4" w:space="0"/>
            </w:tcBorders>
            <w:vAlign w:val="top"/>
          </w:tcPr>
          <w:p>
            <w:pPr>
              <w:autoSpaceDE w:val="0"/>
              <w:autoSpaceDN w:val="0"/>
              <w:snapToGrid w:val="0"/>
              <w:spacing w:before="2555"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文明</w:t>
            </w:r>
          </w:p>
          <w:p>
            <w:pPr>
              <w:autoSpaceDE w:val="0"/>
              <w:autoSpaceDN w:val="0"/>
              <w:snapToGrid w:val="0"/>
              <w:spacing w:before="74"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施工</w:t>
            </w:r>
          </w:p>
          <w:p>
            <w:pPr>
              <w:autoSpaceDE w:val="0"/>
              <w:autoSpaceDN w:val="0"/>
              <w:snapToGrid w:val="0"/>
              <w:spacing w:before="74" w:after="0" w:line="226" w:lineRule="exact"/>
              <w:ind w:left="249"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与</w:t>
            </w:r>
          </w:p>
          <w:p>
            <w:pPr>
              <w:autoSpaceDE w:val="0"/>
              <w:autoSpaceDN w:val="0"/>
              <w:snapToGrid w:val="0"/>
              <w:spacing w:before="45" w:after="0" w:line="263" w:lineRule="exact"/>
              <w:ind w:left="144"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环</w:t>
            </w:r>
            <w:r>
              <w:rPr>
                <w:rFonts w:hint="default" w:ascii="MS UI Gothic" w:hAnsi="MS UI Gothic" w:eastAsia="MS UI Gothic" w:cs="MS UI Gothic"/>
                <w:color w:val="auto"/>
                <w:sz w:val="21"/>
              </w:rPr>
              <w:t>境</w:t>
            </w:r>
          </w:p>
          <w:p>
            <w:pPr>
              <w:autoSpaceDE w:val="0"/>
              <w:autoSpaceDN w:val="0"/>
              <w:snapToGrid w:val="0"/>
              <w:spacing w:before="38" w:after="0" w:line="263" w:lineRule="exact"/>
              <w:ind w:left="144"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p>
        </w:tc>
        <w:tc>
          <w:tcPr>
            <w:tcW w:w="2070" w:type="dxa"/>
            <w:gridSpan w:val="2"/>
            <w:tcBorders>
              <w:top w:val="single" w:color="000000" w:sz="4" w:space="0"/>
              <w:left w:val="single" w:color="000000" w:sz="4" w:space="0"/>
            </w:tcBorders>
            <w:vAlign w:val="top"/>
          </w:tcPr>
          <w:p>
            <w:pPr>
              <w:autoSpaceDE w:val="0"/>
              <w:autoSpaceDN w:val="0"/>
              <w:snapToGrid w:val="0"/>
              <w:spacing w:before="60" w:after="0" w:line="226"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安全警示</w:t>
            </w:r>
          </w:p>
          <w:p>
            <w:pPr>
              <w:autoSpaceDE w:val="0"/>
              <w:autoSpaceDN w:val="0"/>
              <w:snapToGrid w:val="0"/>
              <w:spacing w:before="45" w:after="0" w:line="263" w:lineRule="exact"/>
              <w:ind w:left="715"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标</w:t>
            </w:r>
            <w:r>
              <w:rPr>
                <w:rFonts w:hint="default" w:ascii="MS UI Gothic" w:hAnsi="MS UI Gothic" w:eastAsia="MS UI Gothic" w:cs="MS UI Gothic"/>
                <w:color w:val="auto"/>
                <w:sz w:val="21"/>
              </w:rPr>
              <w:t>志牌</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293"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在易</w:t>
            </w:r>
            <w:r>
              <w:rPr>
                <w:rFonts w:hint="default" w:ascii="PMingLiU" w:hAnsi="PMingLiU" w:eastAsia="PMingLiU" w:cs="PMingLiU"/>
                <w:color w:val="auto"/>
                <w:spacing w:val="-1"/>
                <w:sz w:val="21"/>
              </w:rPr>
              <w:t>发伤</w:t>
            </w:r>
            <w:r>
              <w:rPr>
                <w:rFonts w:hint="default" w:ascii="MS UI Gothic" w:hAnsi="MS UI Gothic" w:eastAsia="MS UI Gothic" w:cs="MS UI Gothic"/>
                <w:color w:val="auto"/>
                <w:spacing w:val="-1"/>
                <w:sz w:val="21"/>
              </w:rPr>
              <w:t>亡</w:t>
            </w:r>
            <w:r>
              <w:rPr>
                <w:rFonts w:hint="default" w:ascii="MS UI Gothic" w:hAnsi="MS UI Gothic" w:eastAsia="MS UI Gothic" w:cs="MS UI Gothic"/>
                <w:color w:val="auto"/>
                <w:sz w:val="21"/>
              </w:rPr>
              <w:t>事故（或危</w:t>
            </w:r>
            <w:r>
              <w:rPr>
                <w:rFonts w:hint="default" w:ascii="PMingLiU" w:hAnsi="PMingLiU" w:eastAsia="PMingLiU" w:cs="PMingLiU"/>
                <w:color w:val="auto"/>
                <w:sz w:val="21"/>
              </w:rPr>
              <w:t>险</w:t>
            </w:r>
            <w:r>
              <w:rPr>
                <w:rFonts w:hint="default" w:ascii="MS UI Gothic" w:hAnsi="MS UI Gothic" w:eastAsia="MS UI Gothic" w:cs="MS UI Gothic"/>
                <w:color w:val="auto"/>
                <w:sz w:val="21"/>
              </w:rPr>
              <w:t>）</w:t>
            </w:r>
            <w:r>
              <w:rPr>
                <w:rFonts w:hint="default" w:ascii="PMingLiU" w:hAnsi="PMingLiU" w:eastAsia="PMingLiU" w:cs="PMingLiU"/>
                <w:color w:val="auto"/>
                <w:sz w:val="21"/>
              </w:rPr>
              <w:t>处设</w:t>
            </w:r>
            <w:r>
              <w:rPr>
                <w:rFonts w:hint="default" w:ascii="MS UI Gothic" w:hAnsi="MS UI Gothic" w:eastAsia="MS UI Gothic" w:cs="MS UI Gothic"/>
                <w:color w:val="auto"/>
                <w:sz w:val="21"/>
              </w:rPr>
              <w:t>置明</w:t>
            </w:r>
            <w:r>
              <w:rPr>
                <w:rFonts w:hint="default" w:ascii="PMingLiU" w:hAnsi="PMingLiU" w:eastAsia="PMingLiU" w:cs="PMingLiU"/>
                <w:color w:val="auto"/>
                <w:sz w:val="21"/>
              </w:rPr>
              <w:t>显</w:t>
            </w:r>
            <w:r>
              <w:rPr>
                <w:rFonts w:hint="default" w:ascii="MS UI Gothic" w:hAnsi="MS UI Gothic" w:eastAsia="MS UI Gothic" w:cs="MS UI Gothic"/>
                <w:color w:val="auto"/>
                <w:sz w:val="21"/>
              </w:rPr>
              <w:t>的、符合国家</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准要求的安全警示</w:t>
            </w:r>
            <w:r>
              <w:rPr>
                <w:rFonts w:hint="default" w:ascii="PMingLiU" w:hAnsi="PMingLiU" w:eastAsia="PMingLiU" w:cs="PMingLiU"/>
                <w:color w:val="auto"/>
                <w:sz w:val="21"/>
              </w:rPr>
              <w:t>标</w:t>
            </w:r>
            <w:r>
              <w:rPr>
                <w:rFonts w:hint="default" w:ascii="MS UI Gothic" w:hAnsi="MS UI Gothic" w:eastAsia="MS UI Gothic" w:cs="MS UI Gothic"/>
                <w:color w:val="auto"/>
                <w:sz w:val="21"/>
              </w:rPr>
              <w:t>志牌。</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180" w:after="0" w:line="263" w:lineRule="exact"/>
              <w:ind w:left="610"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现场围挡</w:t>
            </w:r>
          </w:p>
        </w:tc>
        <w:tc>
          <w:tcPr>
            <w:tcW w:w="6645" w:type="dxa"/>
            <w:tcBorders>
              <w:top w:val="single" w:color="000000" w:sz="4" w:space="0"/>
              <w:left w:val="single" w:color="000000" w:sz="4" w:space="0"/>
              <w:right w:val="single" w:color="000000" w:sz="12" w:space="0"/>
            </w:tcBorders>
            <w:vAlign w:val="top"/>
          </w:tcPr>
          <w:p>
            <w:pPr>
              <w:numPr>
                <w:ilvl w:val="0"/>
                <w:numId w:val="99"/>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现场</w:t>
            </w:r>
            <w:r>
              <w:rPr>
                <w:rFonts w:hint="default" w:ascii="MS UI Gothic" w:hAnsi="MS UI Gothic" w:eastAsia="MS UI Gothic" w:cs="MS UI Gothic"/>
                <w:color w:val="auto"/>
                <w:sz w:val="21"/>
              </w:rPr>
              <w:t>采用封</w:t>
            </w:r>
            <w:r>
              <w:rPr>
                <w:rFonts w:hint="default" w:ascii="PMingLiU" w:hAnsi="PMingLiU" w:eastAsia="PMingLiU" w:cs="PMingLiU"/>
                <w:color w:val="auto"/>
                <w:sz w:val="21"/>
              </w:rPr>
              <w:t>闭围挡</w:t>
            </w:r>
            <w:r>
              <w:rPr>
                <w:rFonts w:hint="default" w:ascii="MS UI Gothic" w:hAnsi="MS UI Gothic" w:eastAsia="MS UI Gothic" w:cs="MS UI Gothic"/>
                <w:color w:val="auto"/>
                <w:sz w:val="21"/>
              </w:rPr>
              <w:t>，高度不小于</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1.8m</w:t>
            </w:r>
            <w:r>
              <w:rPr>
                <w:rFonts w:hint="default" w:ascii="MS UI Gothic" w:hAnsi="MS UI Gothic" w:eastAsia="MS UI Gothic" w:cs="MS UI Gothic"/>
                <w:color w:val="auto"/>
                <w:sz w:val="21"/>
              </w:rPr>
              <w:t>。</w:t>
            </w:r>
          </w:p>
          <w:p>
            <w:pPr>
              <w:numPr>
                <w:ilvl w:val="0"/>
                <w:numId w:val="99"/>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围挡</w:t>
            </w:r>
            <w:r>
              <w:rPr>
                <w:rFonts w:hint="default" w:ascii="MS UI Gothic" w:hAnsi="MS UI Gothic" w:eastAsia="MS UI Gothic" w:cs="MS UI Gothic"/>
                <w:color w:val="auto"/>
                <w:sz w:val="21"/>
              </w:rPr>
              <w:t>材料可用彩色、定型</w:t>
            </w:r>
            <w:r>
              <w:rPr>
                <w:rFonts w:hint="default" w:ascii="PMingLiU" w:hAnsi="PMingLiU" w:eastAsia="PMingLiU" w:cs="PMingLiU"/>
                <w:color w:val="auto"/>
                <w:sz w:val="21"/>
              </w:rPr>
              <w:t>钢</w:t>
            </w:r>
            <w:r>
              <w:rPr>
                <w:rFonts w:hint="default" w:ascii="MS UI Gothic" w:hAnsi="MS UI Gothic" w:eastAsia="MS UI Gothic" w:cs="MS UI Gothic"/>
                <w:color w:val="auto"/>
                <w:sz w:val="21"/>
              </w:rPr>
              <w:t>板，砌</w:t>
            </w:r>
            <w:r>
              <w:rPr>
                <w:rFonts w:hint="default" w:ascii="PMingLiU" w:hAnsi="PMingLiU" w:eastAsia="PMingLiU" w:cs="PMingLiU"/>
                <w:color w:val="auto"/>
                <w:sz w:val="21"/>
              </w:rPr>
              <w:t>块</w:t>
            </w:r>
            <w:r>
              <w:rPr>
                <w:rFonts w:hint="default" w:ascii="MS UI Gothic" w:hAnsi="MS UI Gothic" w:eastAsia="MS UI Gothic" w:cs="MS UI Gothic"/>
                <w:color w:val="auto"/>
                <w:sz w:val="21"/>
              </w:rPr>
              <w:t>等</w:t>
            </w:r>
            <w:r>
              <w:rPr>
                <w:rFonts w:hint="default" w:ascii="PMingLiU" w:hAnsi="PMingLiU" w:eastAsia="PMingLiU" w:cs="PMingLiU"/>
                <w:color w:val="auto"/>
                <w:sz w:val="21"/>
              </w:rPr>
              <w:t>墙</w:t>
            </w:r>
            <w:r>
              <w:rPr>
                <w:rFonts w:hint="default" w:ascii="MS UI Gothic" w:hAnsi="MS UI Gothic" w:eastAsia="MS UI Gothic" w:cs="MS UI Gothic"/>
                <w:color w:val="auto"/>
                <w:sz w:val="21"/>
              </w:rPr>
              <w:t>体。</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9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330" w:after="0" w:line="263" w:lineRule="exact"/>
              <w:ind w:left="610"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七牌二</w:t>
            </w:r>
            <w:r>
              <w:rPr>
                <w:rFonts w:hint="default" w:ascii="PMingLiU" w:hAnsi="PMingLiU" w:eastAsia="PMingLiU" w:cs="PMingLiU"/>
                <w:color w:val="auto"/>
                <w:sz w:val="21"/>
              </w:rPr>
              <w:t>图</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在</w:t>
            </w:r>
            <w:r>
              <w:rPr>
                <w:rFonts w:hint="default" w:ascii="PMingLiU" w:hAnsi="PMingLiU" w:eastAsia="PMingLiU" w:cs="PMingLiU"/>
                <w:color w:val="auto"/>
                <w:spacing w:val="1"/>
                <w:sz w:val="21"/>
              </w:rPr>
              <w:t>进门处悬</w:t>
            </w:r>
            <w:r>
              <w:rPr>
                <w:rFonts w:hint="default" w:ascii="MS UI Gothic" w:hAnsi="MS UI Gothic" w:eastAsia="MS UI Gothic" w:cs="MS UI Gothic"/>
                <w:color w:val="auto"/>
                <w:spacing w:val="1"/>
                <w:sz w:val="21"/>
              </w:rPr>
              <w:t>挂工程概况、</w:t>
            </w:r>
            <w:r>
              <w:rPr>
                <w:rFonts w:hint="default" w:ascii="PMingLiU" w:hAnsi="PMingLiU" w:eastAsia="PMingLiU" w:cs="PMingLiU"/>
                <w:color w:val="auto"/>
                <w:spacing w:val="1"/>
                <w:sz w:val="21"/>
              </w:rPr>
              <w:t>现</w:t>
            </w:r>
            <w:r>
              <w:rPr>
                <w:rFonts w:hint="default" w:ascii="PMingLiU" w:hAnsi="PMingLiU" w:eastAsia="PMingLiU" w:cs="PMingLiU"/>
                <w:color w:val="auto"/>
                <w:sz w:val="21"/>
              </w:rPr>
              <w:t>场</w:t>
            </w:r>
            <w:r>
              <w:rPr>
                <w:rFonts w:hint="default" w:ascii="MS UI Gothic" w:hAnsi="MS UI Gothic" w:eastAsia="MS UI Gothic" w:cs="MS UI Gothic"/>
                <w:color w:val="auto"/>
                <w:sz w:val="21"/>
              </w:rPr>
              <w:t>出入制度、管理人</w:t>
            </w:r>
            <w:r>
              <w:rPr>
                <w:rFonts w:hint="default" w:ascii="PMingLiU" w:hAnsi="PMingLiU" w:eastAsia="PMingLiU" w:cs="PMingLiU"/>
                <w:color w:val="auto"/>
                <w:sz w:val="21"/>
              </w:rPr>
              <w:t>员</w:t>
            </w:r>
            <w:r>
              <w:rPr>
                <w:rFonts w:hint="default" w:ascii="MS UI Gothic" w:hAnsi="MS UI Gothic" w:eastAsia="MS UI Gothic" w:cs="MS UI Gothic"/>
                <w:color w:val="auto"/>
                <w:sz w:val="21"/>
              </w:rPr>
              <w:t>名</w:t>
            </w:r>
            <w:r>
              <w:rPr>
                <w:rFonts w:hint="default" w:ascii="PMingLiU" w:hAnsi="PMingLiU" w:eastAsia="PMingLiU" w:cs="PMingLiU"/>
                <w:color w:val="auto"/>
                <w:sz w:val="21"/>
              </w:rPr>
              <w:t>单</w:t>
            </w:r>
            <w:r>
              <w:rPr>
                <w:rFonts w:hint="default" w:ascii="MS UI Gothic" w:hAnsi="MS UI Gothic" w:eastAsia="MS UI Gothic" w:cs="MS UI Gothic"/>
                <w:color w:val="auto"/>
                <w:sz w:val="21"/>
              </w:rPr>
              <w:t>及</w:t>
            </w:r>
            <w:r>
              <w:rPr>
                <w:rFonts w:hint="default" w:ascii="PMingLiU" w:hAnsi="PMingLiU" w:eastAsia="PMingLiU" w:cs="PMingLiU"/>
                <w:color w:val="auto"/>
                <w:sz w:val="21"/>
              </w:rPr>
              <w:t>监</w:t>
            </w:r>
            <w:r>
              <w:rPr>
                <w:rFonts w:hint="default" w:ascii="MS UI Gothic" w:hAnsi="MS UI Gothic" w:eastAsia="MS UI Gothic" w:cs="MS UI Gothic"/>
                <w:color w:val="auto"/>
                <w:sz w:val="21"/>
              </w:rPr>
              <w:t>督</w:t>
            </w:r>
            <w:r>
              <w:rPr>
                <w:rFonts w:hint="default" w:ascii="PMingLiU" w:hAnsi="PMingLiU" w:eastAsia="PMingLiU" w:cs="PMingLiU"/>
                <w:color w:val="auto"/>
                <w:sz w:val="21"/>
              </w:rPr>
              <w:t>电话</w:t>
            </w:r>
            <w:r>
              <w:rPr>
                <w:rFonts w:hint="default" w:ascii="MS UI Gothic" w:hAnsi="MS UI Gothic" w:eastAsia="MS UI Gothic" w:cs="MS UI Gothic"/>
                <w:color w:val="auto"/>
                <w:sz w:val="21"/>
              </w:rPr>
              <w:t>、安</w:t>
            </w:r>
            <w:r>
              <w:rPr>
                <w:rFonts w:hint="default" w:ascii="MS UI Gothic" w:hAnsi="MS UI Gothic" w:eastAsia="MS UI Gothic" w:cs="MS UI Gothic"/>
                <w:color w:val="auto"/>
                <w:spacing w:val="1"/>
                <w:sz w:val="21"/>
              </w:rPr>
              <w:t>全生</w:t>
            </w:r>
            <w:r>
              <w:rPr>
                <w:rFonts w:hint="default" w:ascii="PMingLiU" w:hAnsi="PMingLiU" w:eastAsia="PMingLiU" w:cs="PMingLiU"/>
                <w:color w:val="auto"/>
                <w:spacing w:val="1"/>
                <w:sz w:val="21"/>
              </w:rPr>
              <w:t>产规</w:t>
            </w:r>
            <w:r>
              <w:rPr>
                <w:rFonts w:hint="default" w:ascii="MS UI Gothic" w:hAnsi="MS UI Gothic" w:eastAsia="MS UI Gothic" w:cs="MS UI Gothic"/>
                <w:color w:val="auto"/>
                <w:spacing w:val="1"/>
                <w:sz w:val="21"/>
              </w:rPr>
              <w:t>定、文明施工、消</w:t>
            </w:r>
            <w:r>
              <w:rPr>
                <w:rFonts w:hint="default" w:ascii="MS UI Gothic" w:hAnsi="MS UI Gothic" w:eastAsia="MS UI Gothic" w:cs="MS UI Gothic"/>
                <w:color w:val="auto"/>
                <w:sz w:val="21"/>
              </w:rPr>
              <w:t>防保</w:t>
            </w:r>
            <w:r>
              <w:rPr>
                <w:rFonts w:hint="default" w:ascii="PMingLiU" w:hAnsi="PMingLiU" w:eastAsia="PMingLiU" w:cs="PMingLiU"/>
                <w:color w:val="auto"/>
                <w:sz w:val="21"/>
              </w:rPr>
              <w:t>卫</w:t>
            </w:r>
            <w:r>
              <w:rPr>
                <w:rFonts w:hint="default" w:ascii="MS UI Gothic" w:hAnsi="MS UI Gothic" w:eastAsia="MS UI Gothic" w:cs="MS UI Gothic"/>
                <w:color w:val="auto"/>
                <w:sz w:val="21"/>
              </w:rPr>
              <w:t>、</w:t>
            </w:r>
            <w:r>
              <w:rPr>
                <w:rFonts w:hint="default" w:ascii="PMingLiU" w:hAnsi="PMingLiU" w:eastAsia="PMingLiU" w:cs="PMingLiU"/>
                <w:color w:val="auto"/>
                <w:sz w:val="21"/>
              </w:rPr>
              <w:t>节</w:t>
            </w:r>
            <w:r>
              <w:rPr>
                <w:rFonts w:hint="default" w:ascii="MS UI Gothic" w:hAnsi="MS UI Gothic" w:eastAsia="MS UI Gothic" w:cs="MS UI Gothic"/>
                <w:color w:val="auto"/>
                <w:sz w:val="21"/>
              </w:rPr>
              <w:t>能公示等七牌以及施工</w:t>
            </w:r>
            <w:r>
              <w:rPr>
                <w:rFonts w:hint="default" w:ascii="PMingLiU" w:hAnsi="PMingLiU" w:eastAsia="PMingLiU" w:cs="PMingLiU"/>
                <w:color w:val="auto"/>
                <w:sz w:val="21"/>
              </w:rPr>
              <w:t>现场总</w:t>
            </w:r>
            <w:r>
              <w:rPr>
                <w:rFonts w:hint="default" w:ascii="MS UI Gothic" w:hAnsi="MS UI Gothic" w:eastAsia="MS UI Gothic" w:cs="MS UI Gothic"/>
                <w:color w:val="auto"/>
                <w:sz w:val="21"/>
              </w:rPr>
              <w:t>平面</w:t>
            </w:r>
            <w:r>
              <w:rPr>
                <w:rFonts w:hint="default" w:ascii="PMingLiU" w:hAnsi="PMingLiU" w:eastAsia="PMingLiU" w:cs="PMingLiU"/>
                <w:color w:val="auto"/>
                <w:sz w:val="21"/>
              </w:rPr>
              <w:t>图</w:t>
            </w:r>
            <w:r>
              <w:rPr>
                <w:rFonts w:hint="default" w:ascii="MS UI Gothic" w:hAnsi="MS UI Gothic" w:eastAsia="MS UI Gothic" w:cs="MS UI Gothic"/>
                <w:color w:val="auto"/>
                <w:sz w:val="21"/>
              </w:rPr>
              <w:t>、工程效果</w:t>
            </w:r>
            <w:r>
              <w:rPr>
                <w:rFonts w:hint="default" w:ascii="PMingLiU" w:hAnsi="PMingLiU" w:eastAsia="PMingLiU" w:cs="PMingLiU"/>
                <w:color w:val="auto"/>
                <w:sz w:val="21"/>
              </w:rPr>
              <w:t>图</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2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135" w:after="0" w:line="263"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企</w:t>
            </w:r>
            <w:r>
              <w:rPr>
                <w:rFonts w:hint="default" w:ascii="PMingLiU" w:hAnsi="PMingLiU" w:eastAsia="PMingLiU" w:cs="PMingLiU"/>
                <w:color w:val="auto"/>
                <w:sz w:val="21"/>
              </w:rPr>
              <w:t>业标</w:t>
            </w:r>
            <w:r>
              <w:rPr>
                <w:rFonts w:hint="default" w:ascii="MS UI Gothic" w:hAnsi="MS UI Gothic" w:eastAsia="MS UI Gothic" w:cs="MS UI Gothic"/>
                <w:color w:val="auto"/>
                <w:sz w:val="21"/>
              </w:rPr>
              <w:t>志</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135"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现场</w:t>
            </w:r>
            <w:r>
              <w:rPr>
                <w:rFonts w:hint="default" w:ascii="MS UI Gothic" w:hAnsi="MS UI Gothic" w:eastAsia="MS UI Gothic" w:cs="MS UI Gothic"/>
                <w:color w:val="auto"/>
                <w:sz w:val="21"/>
              </w:rPr>
              <w:t>出入的大</w:t>
            </w:r>
            <w:r>
              <w:rPr>
                <w:rFonts w:hint="default" w:ascii="PMingLiU" w:hAnsi="PMingLiU" w:eastAsia="PMingLiU" w:cs="PMingLiU"/>
                <w:color w:val="auto"/>
                <w:sz w:val="21"/>
              </w:rPr>
              <w:t>门应设</w:t>
            </w:r>
            <w:r>
              <w:rPr>
                <w:rFonts w:hint="default" w:ascii="MS UI Gothic" w:hAnsi="MS UI Gothic" w:eastAsia="MS UI Gothic" w:cs="MS UI Gothic"/>
                <w:color w:val="auto"/>
                <w:sz w:val="21"/>
              </w:rPr>
              <w:t>有本企</w:t>
            </w:r>
            <w:r>
              <w:rPr>
                <w:rFonts w:hint="default" w:ascii="PMingLiU" w:hAnsi="PMingLiU" w:eastAsia="PMingLiU" w:cs="PMingLiU"/>
                <w:color w:val="auto"/>
                <w:sz w:val="21"/>
              </w:rPr>
              <w:t>业标</w:t>
            </w:r>
            <w:r>
              <w:rPr>
                <w:rFonts w:hint="default" w:ascii="MS UI Gothic" w:hAnsi="MS UI Gothic" w:eastAsia="MS UI Gothic" w:cs="MS UI Gothic"/>
                <w:color w:val="auto"/>
                <w:sz w:val="21"/>
              </w:rPr>
              <w:t>志或企</w:t>
            </w:r>
            <w:r>
              <w:rPr>
                <w:rFonts w:hint="default" w:ascii="PMingLiU" w:hAnsi="PMingLiU" w:eastAsia="PMingLiU" w:cs="PMingLiU"/>
                <w:color w:val="auto"/>
                <w:sz w:val="21"/>
              </w:rPr>
              <w:t>业标识</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2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480" w:after="0" w:line="263" w:lineRule="exact"/>
              <w:ind w:left="610"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场</w:t>
            </w:r>
            <w:r>
              <w:rPr>
                <w:rFonts w:hint="default" w:ascii="MS UI Gothic" w:hAnsi="MS UI Gothic" w:eastAsia="MS UI Gothic" w:cs="MS UI Gothic"/>
                <w:color w:val="auto"/>
                <w:sz w:val="21"/>
              </w:rPr>
              <w:t>容</w:t>
            </w:r>
            <w:r>
              <w:rPr>
                <w:rFonts w:hint="default" w:ascii="PMingLiU" w:hAnsi="PMingLiU" w:eastAsia="PMingLiU" w:cs="PMingLiU"/>
                <w:color w:val="auto"/>
                <w:sz w:val="21"/>
              </w:rPr>
              <w:t>场</w:t>
            </w:r>
            <w:r>
              <w:rPr>
                <w:rFonts w:hint="default" w:ascii="MS UI Gothic" w:hAnsi="MS UI Gothic" w:eastAsia="MS UI Gothic" w:cs="MS UI Gothic"/>
                <w:color w:val="auto"/>
                <w:sz w:val="21"/>
              </w:rPr>
              <w:t>貌</w:t>
            </w:r>
          </w:p>
        </w:tc>
        <w:tc>
          <w:tcPr>
            <w:tcW w:w="6645" w:type="dxa"/>
            <w:tcBorders>
              <w:top w:val="single" w:color="000000" w:sz="4" w:space="0"/>
              <w:left w:val="single" w:color="000000" w:sz="4" w:space="0"/>
              <w:right w:val="single" w:color="000000" w:sz="12" w:space="0"/>
            </w:tcBorders>
            <w:vAlign w:val="top"/>
          </w:tcPr>
          <w:p>
            <w:pPr>
              <w:numPr>
                <w:ilvl w:val="0"/>
                <w:numId w:val="100"/>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道路</w:t>
            </w:r>
            <w:r>
              <w:rPr>
                <w:rFonts w:hint="default" w:ascii="PMingLiU" w:hAnsi="PMingLiU" w:eastAsia="PMingLiU" w:cs="PMingLiU"/>
                <w:color w:val="auto"/>
                <w:sz w:val="21"/>
              </w:rPr>
              <w:t>畅</w:t>
            </w:r>
            <w:r>
              <w:rPr>
                <w:rFonts w:hint="default" w:ascii="MS UI Gothic" w:hAnsi="MS UI Gothic" w:eastAsia="MS UI Gothic" w:cs="MS UI Gothic"/>
                <w:color w:val="auto"/>
                <w:sz w:val="21"/>
              </w:rPr>
              <w:t>通。</w:t>
            </w:r>
          </w:p>
          <w:p>
            <w:pPr>
              <w:numPr>
                <w:ilvl w:val="0"/>
                <w:numId w:val="100"/>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排水</w:t>
            </w:r>
            <w:r>
              <w:rPr>
                <w:rFonts w:hint="default" w:ascii="PMingLiU" w:hAnsi="PMingLiU" w:eastAsia="PMingLiU" w:cs="PMingLiU"/>
                <w:color w:val="auto"/>
                <w:sz w:val="21"/>
              </w:rPr>
              <w:t>设</w:t>
            </w:r>
            <w:r>
              <w:rPr>
                <w:rFonts w:hint="default" w:ascii="MS UI Gothic" w:hAnsi="MS UI Gothic" w:eastAsia="MS UI Gothic" w:cs="MS UI Gothic"/>
                <w:color w:val="auto"/>
                <w:sz w:val="21"/>
              </w:rPr>
              <w:t>施</w:t>
            </w:r>
            <w:r>
              <w:rPr>
                <w:rFonts w:hint="default" w:ascii="PMingLiU" w:hAnsi="PMingLiU" w:eastAsia="PMingLiU" w:cs="PMingLiU"/>
                <w:color w:val="auto"/>
                <w:sz w:val="21"/>
              </w:rPr>
              <w:t>齐</w:t>
            </w:r>
            <w:r>
              <w:rPr>
                <w:rFonts w:hint="default" w:ascii="MS UI Gothic" w:hAnsi="MS UI Gothic" w:eastAsia="MS UI Gothic" w:cs="MS UI Gothic"/>
                <w:color w:val="auto"/>
                <w:sz w:val="21"/>
              </w:rPr>
              <w:t>全</w:t>
            </w:r>
            <w:r>
              <w:rPr>
                <w:rFonts w:hint="default" w:ascii="PMingLiU" w:hAnsi="PMingLiU" w:eastAsia="PMingLiU" w:cs="PMingLiU"/>
                <w:color w:val="auto"/>
                <w:sz w:val="21"/>
              </w:rPr>
              <w:t>畅</w:t>
            </w:r>
            <w:r>
              <w:rPr>
                <w:rFonts w:hint="default" w:ascii="MS UI Gothic" w:hAnsi="MS UI Gothic" w:eastAsia="MS UI Gothic" w:cs="MS UI Gothic"/>
                <w:color w:val="auto"/>
                <w:sz w:val="21"/>
              </w:rPr>
              <w:t>通。</w:t>
            </w:r>
          </w:p>
          <w:p>
            <w:pPr>
              <w:autoSpaceDE w:val="0"/>
              <w:autoSpaceDN w:val="0"/>
              <w:snapToGrid w:val="0"/>
              <w:spacing w:before="8" w:after="0" w:line="300" w:lineRule="exact"/>
              <w:ind w:left="103" w:right="93" w:firstLine="0"/>
              <w:jc w:val="both"/>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pacing w:val="-1"/>
                <w:sz w:val="21"/>
              </w:rPr>
              <w:t>3.</w:t>
            </w:r>
            <w:r>
              <w:rPr>
                <w:rFonts w:hint="default" w:ascii="Times New Roman" w:hAnsi="Times New Roman" w:eastAsia="Times New Roman" w:cs="Times New Roman"/>
                <w:color w:val="auto"/>
                <w:spacing w:val="21"/>
                <w:sz w:val="21"/>
              </w:rPr>
              <w:t xml:space="preserve"> </w:t>
            </w:r>
            <w:r>
              <w:rPr>
                <w:rFonts w:hint="default" w:ascii="MS UI Gothic" w:hAnsi="MS UI Gothic" w:eastAsia="MS UI Gothic" w:cs="MS UI Gothic"/>
                <w:color w:val="auto"/>
                <w:spacing w:val="-1"/>
                <w:sz w:val="21"/>
              </w:rPr>
              <w:t>工地地面</w:t>
            </w:r>
            <w:r>
              <w:rPr>
                <w:rFonts w:hint="default" w:ascii="MS UI Gothic" w:hAnsi="MS UI Gothic" w:eastAsia="MS UI Gothic" w:cs="MS UI Gothic"/>
                <w:color w:val="auto"/>
                <w:sz w:val="21"/>
              </w:rPr>
              <w:t>硬化</w:t>
            </w:r>
            <w:r>
              <w:rPr>
                <w:rFonts w:hint="default" w:ascii="PMingLiU" w:hAnsi="PMingLiU" w:eastAsia="PMingLiU" w:cs="PMingLiU"/>
                <w:color w:val="auto"/>
                <w:sz w:val="21"/>
              </w:rPr>
              <w:t>处</w:t>
            </w:r>
            <w:r>
              <w:rPr>
                <w:rFonts w:hint="default" w:ascii="MS UI Gothic" w:hAnsi="MS UI Gothic" w:eastAsia="MS UI Gothic" w:cs="MS UI Gothic"/>
                <w:color w:val="auto"/>
                <w:sz w:val="21"/>
              </w:rPr>
              <w:t>理（</w:t>
            </w:r>
            <w:r>
              <w:rPr>
                <w:rFonts w:hint="default" w:ascii="PMingLiU" w:hAnsi="PMingLiU" w:eastAsia="PMingLiU" w:cs="PMingLiU"/>
                <w:color w:val="auto"/>
                <w:sz w:val="21"/>
              </w:rPr>
              <w:t>办</w:t>
            </w:r>
            <w:r>
              <w:rPr>
                <w:rFonts w:hint="default" w:ascii="MS UI Gothic" w:hAnsi="MS UI Gothic" w:eastAsia="MS UI Gothic" w:cs="MS UI Gothic"/>
                <w:color w:val="auto"/>
                <w:sz w:val="21"/>
              </w:rPr>
              <w:t>公区、生活区、</w:t>
            </w:r>
            <w:r>
              <w:rPr>
                <w:rFonts w:hint="default" w:ascii="PMingLiU" w:hAnsi="PMingLiU" w:eastAsia="PMingLiU" w:cs="PMingLiU"/>
                <w:color w:val="auto"/>
                <w:sz w:val="21"/>
              </w:rPr>
              <w:t>现场</w:t>
            </w:r>
            <w:r>
              <w:rPr>
                <w:rFonts w:hint="default" w:ascii="MS UI Gothic" w:hAnsi="MS UI Gothic" w:eastAsia="MS UI Gothic" w:cs="MS UI Gothic"/>
                <w:color w:val="auto"/>
                <w:sz w:val="21"/>
              </w:rPr>
              <w:t>道路、材料堆放、混凝土</w:t>
            </w:r>
            <w:r>
              <w:rPr>
                <w:rFonts w:hint="default" w:ascii="PMingLiU" w:hAnsi="PMingLiU" w:eastAsia="PMingLiU" w:cs="PMingLiU"/>
                <w:color w:val="auto"/>
                <w:sz w:val="21"/>
              </w:rPr>
              <w:t>搅</w:t>
            </w:r>
            <w:r>
              <w:rPr>
                <w:rFonts w:hint="default" w:ascii="MS UI Gothic" w:hAnsi="MS UI Gothic" w:eastAsia="MS UI Gothic" w:cs="MS UI Gothic"/>
                <w:color w:val="auto"/>
                <w:sz w:val="21"/>
              </w:rPr>
              <w:t>拌、砂</w:t>
            </w:r>
            <w:r>
              <w:rPr>
                <w:rFonts w:hint="default" w:ascii="PMingLiU" w:hAnsi="PMingLiU" w:eastAsia="PMingLiU" w:cs="PMingLiU"/>
                <w:color w:val="auto"/>
                <w:sz w:val="21"/>
              </w:rPr>
              <w:t>浆搅</w:t>
            </w:r>
            <w:r>
              <w:rPr>
                <w:rFonts w:hint="default" w:ascii="MS UI Gothic" w:hAnsi="MS UI Gothic" w:eastAsia="MS UI Gothic" w:cs="MS UI Gothic"/>
                <w:color w:val="auto"/>
                <w:sz w:val="21"/>
              </w:rPr>
              <w:t>拌、</w:t>
            </w:r>
            <w:r>
              <w:rPr>
                <w:rFonts w:hint="default" w:ascii="PMingLiU" w:hAnsi="PMingLiU" w:eastAsia="PMingLiU" w:cs="PMingLiU"/>
                <w:color w:val="auto"/>
                <w:sz w:val="21"/>
              </w:rPr>
              <w:t>钢</w:t>
            </w:r>
            <w:r>
              <w:rPr>
                <w:rFonts w:hint="default" w:ascii="MS UI Gothic" w:hAnsi="MS UI Gothic" w:eastAsia="MS UI Gothic" w:cs="MS UI Gothic"/>
                <w:color w:val="auto"/>
                <w:sz w:val="21"/>
              </w:rPr>
              <w:t>筋加工等</w:t>
            </w:r>
            <w:r>
              <w:rPr>
                <w:rFonts w:hint="default" w:ascii="PMingLiU" w:hAnsi="PMingLiU" w:eastAsia="PMingLiU" w:cs="PMingLiU"/>
                <w:color w:val="auto"/>
                <w:sz w:val="21"/>
              </w:rPr>
              <w:t>场</w:t>
            </w:r>
            <w:r>
              <w:rPr>
                <w:rFonts w:hint="default" w:ascii="MS UI Gothic" w:hAnsi="MS UI Gothic" w:eastAsia="MS UI Gothic" w:cs="MS UI Gothic"/>
                <w:color w:val="auto"/>
                <w:sz w:val="21"/>
              </w:rPr>
              <w:t>地和外脚手架基</w:t>
            </w:r>
            <w:r>
              <w:rPr>
                <w:rFonts w:hint="default" w:ascii="PMingLiU" w:hAnsi="PMingLiU" w:eastAsia="PMingLiU" w:cs="PMingLiU"/>
                <w:color w:val="auto"/>
                <w:sz w:val="21"/>
              </w:rPr>
              <w:t>础</w:t>
            </w:r>
            <w:r>
              <w:rPr>
                <w:rFonts w:hint="default" w:ascii="MS UI Gothic" w:hAnsi="MS UI Gothic" w:eastAsia="MS UI Gothic" w:cs="MS UI Gothic"/>
                <w:color w:val="auto"/>
                <w:sz w:val="21"/>
              </w:rPr>
              <w:t>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9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360" w:after="0" w:line="226"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材料堆放</w:t>
            </w:r>
          </w:p>
        </w:tc>
        <w:tc>
          <w:tcPr>
            <w:tcW w:w="6645" w:type="dxa"/>
            <w:tcBorders>
              <w:top w:val="single" w:color="000000" w:sz="4" w:space="0"/>
              <w:left w:val="single" w:color="000000" w:sz="4" w:space="0"/>
              <w:right w:val="single" w:color="000000" w:sz="12" w:space="0"/>
            </w:tcBorders>
            <w:vAlign w:val="top"/>
          </w:tcPr>
          <w:p>
            <w:pPr>
              <w:numPr>
                <w:ilvl w:val="0"/>
                <w:numId w:val="101"/>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材料、构件、料具等堆放</w:t>
            </w:r>
            <w:r>
              <w:rPr>
                <w:rFonts w:hint="default" w:ascii="PMingLiU" w:hAnsi="PMingLiU" w:eastAsia="PMingLiU" w:cs="PMingLiU"/>
                <w:color w:val="auto"/>
                <w:sz w:val="21"/>
              </w:rPr>
              <w:t>时</w:t>
            </w:r>
            <w:r>
              <w:rPr>
                <w:rFonts w:hint="default" w:ascii="MS UI Gothic" w:hAnsi="MS UI Gothic" w:eastAsia="MS UI Gothic" w:cs="MS UI Gothic"/>
                <w:color w:val="auto"/>
                <w:sz w:val="21"/>
              </w:rPr>
              <w:t>，</w:t>
            </w:r>
            <w:r>
              <w:rPr>
                <w:rFonts w:hint="default" w:ascii="PMingLiU" w:hAnsi="PMingLiU" w:eastAsia="PMingLiU" w:cs="PMingLiU"/>
                <w:color w:val="auto"/>
                <w:sz w:val="21"/>
              </w:rPr>
              <w:t>应</w:t>
            </w:r>
            <w:r>
              <w:rPr>
                <w:rFonts w:hint="default" w:ascii="MS UI Gothic" w:hAnsi="MS UI Gothic" w:eastAsia="MS UI Gothic" w:cs="MS UI Gothic"/>
                <w:color w:val="auto"/>
                <w:sz w:val="21"/>
              </w:rPr>
              <w:t>有名称、品种、</w:t>
            </w:r>
            <w:r>
              <w:rPr>
                <w:rFonts w:hint="default" w:ascii="PMingLiU" w:hAnsi="PMingLiU" w:eastAsia="PMingLiU" w:cs="PMingLiU"/>
                <w:color w:val="auto"/>
                <w:sz w:val="21"/>
              </w:rPr>
              <w:t>规</w:t>
            </w:r>
            <w:r>
              <w:rPr>
                <w:rFonts w:hint="default" w:ascii="MS UI Gothic" w:hAnsi="MS UI Gothic" w:eastAsia="MS UI Gothic" w:cs="MS UI Gothic"/>
                <w:color w:val="auto"/>
                <w:sz w:val="21"/>
              </w:rPr>
              <w:t>格等</w:t>
            </w:r>
            <w:r>
              <w:rPr>
                <w:rFonts w:hint="default" w:ascii="PMingLiU" w:hAnsi="PMingLiU" w:eastAsia="PMingLiU" w:cs="PMingLiU"/>
                <w:color w:val="auto"/>
                <w:sz w:val="21"/>
              </w:rPr>
              <w:t>标</w:t>
            </w:r>
            <w:r>
              <w:rPr>
                <w:rFonts w:hint="default" w:ascii="MS UI Gothic" w:hAnsi="MS UI Gothic" w:eastAsia="MS UI Gothic" w:cs="MS UI Gothic"/>
                <w:color w:val="auto"/>
                <w:sz w:val="21"/>
              </w:rPr>
              <w:t>牌。</w:t>
            </w:r>
          </w:p>
          <w:p>
            <w:pPr>
              <w:numPr>
                <w:ilvl w:val="0"/>
                <w:numId w:val="101"/>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水泥和其它易</w:t>
            </w:r>
            <w:r>
              <w:rPr>
                <w:rFonts w:hint="default" w:ascii="PMingLiU" w:hAnsi="PMingLiU" w:eastAsia="PMingLiU" w:cs="PMingLiU"/>
                <w:color w:val="auto"/>
                <w:sz w:val="21"/>
              </w:rPr>
              <w:t>飞扬细颗</w:t>
            </w:r>
            <w:r>
              <w:rPr>
                <w:rFonts w:hint="default" w:ascii="MS UI Gothic" w:hAnsi="MS UI Gothic" w:eastAsia="MS UI Gothic" w:cs="MS UI Gothic"/>
                <w:color w:val="auto"/>
                <w:sz w:val="21"/>
              </w:rPr>
              <w:t>粒建筑材料</w:t>
            </w:r>
            <w:r>
              <w:rPr>
                <w:rFonts w:hint="default" w:ascii="PMingLiU" w:hAnsi="PMingLiU" w:eastAsia="PMingLiU" w:cs="PMingLiU"/>
                <w:color w:val="auto"/>
                <w:sz w:val="21"/>
              </w:rPr>
              <w:t>应</w:t>
            </w:r>
            <w:r>
              <w:rPr>
                <w:rFonts w:hint="default" w:ascii="MS UI Gothic" w:hAnsi="MS UI Gothic" w:eastAsia="MS UI Gothic" w:cs="MS UI Gothic"/>
                <w:color w:val="auto"/>
                <w:sz w:val="21"/>
              </w:rPr>
              <w:t>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存放或采取覆盖等措施。</w:t>
            </w:r>
          </w:p>
          <w:p>
            <w:pPr>
              <w:numPr>
                <w:ilvl w:val="0"/>
                <w:numId w:val="101"/>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易燃、易爆和有毒有害物品分</w:t>
            </w:r>
            <w:r>
              <w:rPr>
                <w:rFonts w:hint="default" w:ascii="PMingLiU" w:hAnsi="PMingLiU" w:eastAsia="PMingLiU" w:cs="PMingLiU"/>
                <w:color w:val="auto"/>
                <w:sz w:val="21"/>
              </w:rPr>
              <w:t>类</w:t>
            </w:r>
            <w:r>
              <w:rPr>
                <w:rFonts w:hint="default" w:ascii="MS UI Gothic" w:hAnsi="MS UI Gothic" w:eastAsia="MS UI Gothic" w:cs="MS UI Gothic"/>
                <w:color w:val="auto"/>
                <w:sz w:val="21"/>
              </w:rPr>
              <w:t>存放。</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130" w:after="0" w:line="263" w:lineRule="exact"/>
              <w:ind w:left="610"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现场</w:t>
            </w:r>
            <w:r>
              <w:rPr>
                <w:rFonts w:hint="default" w:ascii="MS UI Gothic" w:hAnsi="MS UI Gothic" w:eastAsia="MS UI Gothic" w:cs="MS UI Gothic"/>
                <w:color w:val="auto"/>
                <w:sz w:val="21"/>
              </w:rPr>
              <w:t>防火</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160"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消防器材配置合理，符合消防要求。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210" w:after="0" w:line="226" w:lineRule="exact"/>
              <w:ind w:left="61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垃圾清运</w:t>
            </w:r>
          </w:p>
        </w:tc>
        <w:tc>
          <w:tcPr>
            <w:tcW w:w="6645" w:type="dxa"/>
            <w:tcBorders>
              <w:top w:val="single" w:color="000000" w:sz="4" w:space="0"/>
              <w:left w:val="single" w:color="000000" w:sz="4" w:space="0"/>
              <w:right w:val="single" w:color="000000" w:sz="12" w:space="0"/>
            </w:tcBorders>
            <w:vAlign w:val="top"/>
          </w:tcPr>
          <w:p>
            <w:pPr>
              <w:numPr>
                <w:ilvl w:val="0"/>
                <w:numId w:val="102"/>
              </w:numPr>
              <w:tabs>
                <w:tab w:val="left" w:pos="370"/>
              </w:tabs>
              <w:autoSpaceDE w:val="0"/>
              <w:autoSpaceDN w:val="0"/>
              <w:snapToGrid w:val="0"/>
              <w:spacing w:before="30"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施工</w:t>
            </w:r>
            <w:r>
              <w:rPr>
                <w:rFonts w:hint="default" w:ascii="PMingLiU" w:hAnsi="PMingLiU" w:eastAsia="PMingLiU" w:cs="PMingLiU"/>
                <w:color w:val="auto"/>
                <w:sz w:val="21"/>
              </w:rPr>
              <w:t>现场应设</w:t>
            </w:r>
            <w:r>
              <w:rPr>
                <w:rFonts w:hint="default" w:ascii="MS UI Gothic" w:hAnsi="MS UI Gothic" w:eastAsia="MS UI Gothic" w:cs="MS UI Gothic"/>
                <w:color w:val="auto"/>
                <w:sz w:val="21"/>
              </w:rPr>
              <w:t>置密</w:t>
            </w:r>
            <w:r>
              <w:rPr>
                <w:rFonts w:hint="default" w:ascii="PMingLiU" w:hAnsi="PMingLiU" w:eastAsia="PMingLiU" w:cs="PMingLiU"/>
                <w:color w:val="auto"/>
                <w:sz w:val="21"/>
              </w:rPr>
              <w:t>闭</w:t>
            </w:r>
            <w:r>
              <w:rPr>
                <w:rFonts w:hint="default" w:ascii="MS UI Gothic" w:hAnsi="MS UI Gothic" w:eastAsia="MS UI Gothic" w:cs="MS UI Gothic"/>
                <w:color w:val="auto"/>
                <w:sz w:val="21"/>
              </w:rPr>
              <w:t>式垃圾站，施工垃圾、生活垃圾</w:t>
            </w:r>
            <w:r>
              <w:rPr>
                <w:rFonts w:hint="default" w:ascii="PMingLiU" w:hAnsi="PMingLiU" w:eastAsia="PMingLiU" w:cs="PMingLiU"/>
                <w:color w:val="auto"/>
                <w:sz w:val="21"/>
              </w:rPr>
              <w:t>应</w:t>
            </w:r>
            <w:r>
              <w:rPr>
                <w:rFonts w:hint="default" w:ascii="MS UI Gothic" w:hAnsi="MS UI Gothic" w:eastAsia="MS UI Gothic" w:cs="MS UI Gothic"/>
                <w:color w:val="auto"/>
                <w:sz w:val="21"/>
              </w:rPr>
              <w:t>分</w:t>
            </w:r>
            <w:r>
              <w:rPr>
                <w:rFonts w:hint="default" w:ascii="PMingLiU" w:hAnsi="PMingLiU" w:eastAsia="PMingLiU" w:cs="PMingLiU"/>
                <w:color w:val="auto"/>
                <w:sz w:val="21"/>
              </w:rPr>
              <w:t>类</w:t>
            </w:r>
            <w:r>
              <w:rPr>
                <w:rFonts w:hint="default" w:ascii="MS UI Gothic" w:hAnsi="MS UI Gothic" w:eastAsia="MS UI Gothic" w:cs="MS UI Gothic"/>
                <w:color w:val="auto"/>
                <w:sz w:val="21"/>
              </w:rPr>
              <w:t>存放。</w:t>
            </w:r>
          </w:p>
          <w:p>
            <w:pPr>
              <w:numPr>
                <w:ilvl w:val="0"/>
                <w:numId w:val="102"/>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施工垃圾必</w:t>
            </w:r>
            <w:r>
              <w:rPr>
                <w:rFonts w:hint="default" w:ascii="PMingLiU" w:hAnsi="PMingLiU" w:eastAsia="PMingLiU" w:cs="PMingLiU"/>
                <w:color w:val="auto"/>
                <w:sz w:val="21"/>
              </w:rPr>
              <w:t>须</w:t>
            </w:r>
            <w:r>
              <w:rPr>
                <w:rFonts w:hint="default" w:ascii="MS UI Gothic" w:hAnsi="MS UI Gothic" w:eastAsia="MS UI Gothic" w:cs="MS UI Gothic"/>
                <w:color w:val="auto"/>
                <w:sz w:val="21"/>
              </w:rPr>
              <w:t>采用相</w:t>
            </w:r>
            <w:r>
              <w:rPr>
                <w:rFonts w:hint="default" w:ascii="PMingLiU" w:hAnsi="PMingLiU" w:eastAsia="PMingLiU" w:cs="PMingLiU"/>
                <w:color w:val="auto"/>
                <w:sz w:val="21"/>
              </w:rPr>
              <w:t>应</w:t>
            </w:r>
            <w:r>
              <w:rPr>
                <w:rFonts w:hint="default" w:ascii="MS UI Gothic" w:hAnsi="MS UI Gothic" w:eastAsia="MS UI Gothic" w:cs="MS UI Gothic"/>
                <w:color w:val="auto"/>
                <w:sz w:val="21"/>
              </w:rPr>
              <w:t>容器或管道运</w:t>
            </w:r>
            <w:r>
              <w:rPr>
                <w:rFonts w:hint="default" w:ascii="PMingLiU" w:hAnsi="PMingLiU" w:eastAsia="PMingLiU" w:cs="PMingLiU"/>
                <w:color w:val="auto"/>
                <w:sz w:val="21"/>
              </w:rPr>
              <w:t>输</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38"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70" w:type="dxa"/>
            <w:gridSpan w:val="2"/>
            <w:tcBorders>
              <w:top w:val="single" w:color="000000" w:sz="4" w:space="0"/>
              <w:left w:val="single" w:color="000000" w:sz="4" w:space="0"/>
            </w:tcBorders>
            <w:vAlign w:val="top"/>
          </w:tcPr>
          <w:p>
            <w:pPr>
              <w:autoSpaceDE w:val="0"/>
              <w:autoSpaceDN w:val="0"/>
              <w:snapToGrid w:val="0"/>
              <w:spacing w:before="30" w:after="0" w:line="263" w:lineRule="exact"/>
              <w:ind w:left="103"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宣</w:t>
            </w:r>
            <w:r>
              <w:rPr>
                <w:rFonts w:hint="default" w:ascii="PMingLiU" w:hAnsi="PMingLiU" w:eastAsia="PMingLiU" w:cs="PMingLiU"/>
                <w:color w:val="auto"/>
                <w:sz w:val="21"/>
              </w:rPr>
              <w:t>传栏</w:t>
            </w:r>
            <w:r>
              <w:rPr>
                <w:rFonts w:hint="default" w:ascii="MS UI Gothic" w:hAnsi="MS UI Gothic" w:eastAsia="MS UI Gothic" w:cs="MS UI Gothic"/>
                <w:color w:val="auto"/>
                <w:sz w:val="21"/>
              </w:rPr>
              <w:t>、</w:t>
            </w:r>
            <w:r>
              <w:rPr>
                <w:rFonts w:hint="default" w:ascii="PMingLiU" w:hAnsi="PMingLiU" w:eastAsia="PMingLiU" w:cs="PMingLiU"/>
                <w:color w:val="auto"/>
                <w:sz w:val="21"/>
              </w:rPr>
              <w:t>环</w:t>
            </w:r>
            <w:r>
              <w:rPr>
                <w:rFonts w:hint="default" w:ascii="MS UI Gothic" w:hAnsi="MS UI Gothic" w:eastAsia="MS UI Gothic" w:cs="MS UI Gothic"/>
                <w:color w:val="auto"/>
                <w:sz w:val="21"/>
              </w:rPr>
              <w:t>保及不</w:t>
            </w:r>
            <w:r>
              <w:rPr>
                <w:rFonts w:hint="default" w:ascii="PMingLiU" w:hAnsi="PMingLiU" w:eastAsia="PMingLiU" w:cs="PMingLiU"/>
                <w:color w:val="auto"/>
                <w:sz w:val="21"/>
              </w:rPr>
              <w:t>扰</w:t>
            </w:r>
          </w:p>
          <w:p>
            <w:pPr>
              <w:autoSpaceDE w:val="0"/>
              <w:autoSpaceDN w:val="0"/>
              <w:snapToGrid w:val="0"/>
              <w:spacing w:before="67"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民措施</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294"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宣</w:t>
            </w:r>
            <w:r>
              <w:rPr>
                <w:rFonts w:hint="default" w:ascii="PMingLiU" w:hAnsi="PMingLiU" w:eastAsia="PMingLiU" w:cs="PMingLiU"/>
                <w:color w:val="auto"/>
                <w:spacing w:val="-1"/>
                <w:sz w:val="21"/>
              </w:rPr>
              <w:t>传栏</w:t>
            </w:r>
            <w:r>
              <w:rPr>
                <w:rFonts w:hint="default" w:ascii="MS UI Gothic" w:hAnsi="MS UI Gothic" w:eastAsia="MS UI Gothic" w:cs="MS UI Gothic"/>
                <w:color w:val="auto"/>
                <w:spacing w:val="-1"/>
                <w:sz w:val="21"/>
              </w:rPr>
              <w:t>、安</w:t>
            </w:r>
            <w:r>
              <w:rPr>
                <w:rFonts w:hint="default" w:ascii="MS UI Gothic" w:hAnsi="MS UI Gothic" w:eastAsia="MS UI Gothic" w:cs="MS UI Gothic"/>
                <w:color w:val="auto"/>
                <w:sz w:val="21"/>
              </w:rPr>
              <w:t>全宣</w:t>
            </w:r>
            <w:r>
              <w:rPr>
                <w:rFonts w:hint="default" w:ascii="PMingLiU" w:hAnsi="PMingLiU" w:eastAsia="PMingLiU" w:cs="PMingLiU"/>
                <w:color w:val="auto"/>
                <w:sz w:val="21"/>
              </w:rPr>
              <w:t>传标语</w:t>
            </w:r>
            <w:r>
              <w:rPr>
                <w:rFonts w:hint="default" w:ascii="MS UI Gothic" w:hAnsi="MS UI Gothic" w:eastAsia="MS UI Gothic" w:cs="MS UI Gothic"/>
                <w:color w:val="auto"/>
                <w:sz w:val="21"/>
              </w:rPr>
              <w:t>等，洗</w:t>
            </w:r>
            <w:r>
              <w:rPr>
                <w:rFonts w:hint="default" w:ascii="PMingLiU" w:hAnsi="PMingLiU" w:eastAsia="PMingLiU" w:cs="PMingLiU"/>
                <w:color w:val="auto"/>
                <w:sz w:val="21"/>
              </w:rPr>
              <w:t>车</w:t>
            </w:r>
            <w:r>
              <w:rPr>
                <w:rFonts w:hint="default" w:ascii="MS UI Gothic" w:hAnsi="MS UI Gothic" w:eastAsia="MS UI Gothic" w:cs="MS UI Gothic"/>
                <w:color w:val="auto"/>
                <w:sz w:val="21"/>
              </w:rPr>
              <w:t>（防止</w:t>
            </w:r>
            <w:r>
              <w:rPr>
                <w:rFonts w:hint="default" w:ascii="PMingLiU" w:hAnsi="PMingLiU" w:eastAsia="PMingLiU" w:cs="PMingLiU"/>
                <w:color w:val="auto"/>
                <w:sz w:val="21"/>
              </w:rPr>
              <w:t>污</w:t>
            </w:r>
            <w:r>
              <w:rPr>
                <w:rFonts w:hint="default" w:ascii="MS UI Gothic" w:hAnsi="MS UI Gothic" w:eastAsia="MS UI Gothic" w:cs="MS UI Gothic"/>
                <w:color w:val="auto"/>
                <w:sz w:val="21"/>
              </w:rPr>
              <w:t>染市区道路）、粉</w:t>
            </w:r>
            <w:r>
              <w:rPr>
                <w:rFonts w:hint="default" w:ascii="PMingLiU" w:hAnsi="PMingLiU" w:eastAsia="PMingLiU" w:cs="PMingLiU"/>
                <w:color w:val="auto"/>
                <w:sz w:val="21"/>
              </w:rPr>
              <w:t>尘</w:t>
            </w:r>
            <w:r>
              <w:rPr>
                <w:rFonts w:hint="default" w:ascii="MS UI Gothic" w:hAnsi="MS UI Gothic" w:eastAsia="MS UI Gothic" w:cs="MS UI Gothic"/>
                <w:color w:val="auto"/>
                <w:sz w:val="21"/>
              </w:rPr>
              <w:t>、噪声控制和排</w:t>
            </w:r>
            <w:r>
              <w:rPr>
                <w:rFonts w:hint="default" w:ascii="PMingLiU" w:hAnsi="PMingLiU" w:eastAsia="PMingLiU" w:cs="PMingLiU"/>
                <w:color w:val="auto"/>
                <w:sz w:val="21"/>
              </w:rPr>
              <w:t>污</w:t>
            </w:r>
            <w:r>
              <w:rPr>
                <w:rFonts w:hint="default" w:ascii="MS UI Gothic" w:hAnsi="MS UI Gothic" w:eastAsia="MS UI Gothic" w:cs="MS UI Gothic"/>
                <w:color w:val="auto"/>
                <w:sz w:val="21"/>
              </w:rPr>
              <w:t>（</w:t>
            </w:r>
            <w:r>
              <w:rPr>
                <w:rFonts w:hint="default" w:ascii="PMingLiU" w:hAnsi="PMingLiU" w:eastAsia="PMingLiU" w:cs="PMingLiU"/>
                <w:color w:val="auto"/>
                <w:sz w:val="21"/>
              </w:rPr>
              <w:t>污</w:t>
            </w:r>
            <w:r>
              <w:rPr>
                <w:rFonts w:hint="default" w:ascii="MS UI Gothic" w:hAnsi="MS UI Gothic" w:eastAsia="MS UI Gothic" w:cs="MS UI Gothic"/>
                <w:color w:val="auto"/>
                <w:sz w:val="21"/>
              </w:rPr>
              <w:t>水、</w:t>
            </w:r>
            <w:r>
              <w:rPr>
                <w:rFonts w:hint="default" w:ascii="PMingLiU" w:hAnsi="PMingLiU" w:eastAsia="PMingLiU" w:cs="PMingLiU"/>
                <w:color w:val="auto"/>
                <w:sz w:val="21"/>
              </w:rPr>
              <w:t>废</w:t>
            </w:r>
            <w:r>
              <w:rPr>
                <w:rFonts w:hint="default" w:ascii="MS UI Gothic" w:hAnsi="MS UI Gothic" w:eastAsia="MS UI Gothic" w:cs="MS UI Gothic"/>
                <w:color w:val="auto"/>
                <w:sz w:val="21"/>
              </w:rPr>
              <w:t>气）措施等。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070" w:hRule="exact"/>
        </w:trPr>
        <w:tc>
          <w:tcPr>
            <w:tcW w:w="738" w:type="dxa"/>
            <w:vMerge w:val="restart"/>
            <w:tcBorders>
              <w:top w:val="single" w:color="000000" w:sz="4" w:space="0"/>
              <w:bottom w:val="single" w:color="000000" w:sz="12" w:space="0"/>
            </w:tcBorders>
            <w:vAlign w:val="top"/>
          </w:tcPr>
          <w:p>
            <w:pPr>
              <w:autoSpaceDE w:val="0"/>
              <w:autoSpaceDN w:val="0"/>
              <w:snapToGrid w:val="0"/>
              <w:spacing w:before="2445" w:after="0" w:line="263" w:lineRule="exact"/>
              <w:ind w:left="144"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临时</w:t>
            </w:r>
          </w:p>
          <w:p>
            <w:pPr>
              <w:autoSpaceDE w:val="0"/>
              <w:autoSpaceDN w:val="0"/>
              <w:snapToGrid w:val="0"/>
              <w:spacing w:before="38" w:after="0" w:line="263" w:lineRule="exact"/>
              <w:ind w:left="144"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施</w:t>
            </w:r>
          </w:p>
        </w:tc>
        <w:tc>
          <w:tcPr>
            <w:tcW w:w="2070" w:type="dxa"/>
            <w:gridSpan w:val="2"/>
            <w:tcBorders>
              <w:top w:val="single" w:color="000000" w:sz="4" w:space="0"/>
              <w:left w:val="single" w:color="000000" w:sz="4" w:space="0"/>
            </w:tcBorders>
            <w:vAlign w:val="top"/>
          </w:tcPr>
          <w:p>
            <w:pPr>
              <w:autoSpaceDE w:val="0"/>
              <w:autoSpaceDN w:val="0"/>
              <w:snapToGrid w:val="0"/>
              <w:spacing w:before="150" w:after="0" w:line="300" w:lineRule="exact"/>
              <w:ind w:left="610" w:right="610" w:firstLine="0"/>
              <w:jc w:val="both"/>
              <w:textAlignment w:val="auto"/>
              <w:rPr>
                <w:rFonts w:hint="default" w:ascii="MS UI Gothic" w:hAnsi="MS UI Gothic" w:eastAsia="MS UI Gothic" w:cs="MS UI Gothic"/>
                <w:color w:val="auto"/>
                <w:sz w:val="21"/>
              </w:rPr>
            </w:pPr>
            <w:r>
              <w:rPr>
                <w:rFonts w:hint="default" w:ascii="PMingLiU" w:hAnsi="PMingLiU" w:eastAsia="PMingLiU" w:cs="PMingLiU"/>
                <w:color w:val="auto"/>
                <w:spacing w:val="-2"/>
                <w:sz w:val="21"/>
              </w:rPr>
              <w:t>现场办</w:t>
            </w:r>
            <w:r>
              <w:rPr>
                <w:rFonts w:hint="default" w:ascii="MS UI Gothic" w:hAnsi="MS UI Gothic" w:eastAsia="MS UI Gothic" w:cs="MS UI Gothic"/>
                <w:color w:val="auto"/>
                <w:sz w:val="21"/>
              </w:rPr>
              <w:t>公</w:t>
            </w:r>
            <w:r>
              <w:rPr>
                <w:rFonts w:hint="default" w:ascii="MS UI Gothic" w:hAnsi="MS UI Gothic" w:eastAsia="MS UI Gothic" w:cs="MS UI Gothic"/>
                <w:color w:val="auto"/>
                <w:spacing w:val="-2"/>
                <w:sz w:val="21"/>
              </w:rPr>
              <w:t>生活</w:t>
            </w:r>
            <w:r>
              <w:rPr>
                <w:rFonts w:hint="default" w:ascii="PMingLiU" w:hAnsi="PMingLiU" w:eastAsia="PMingLiU" w:cs="PMingLiU"/>
                <w:color w:val="auto"/>
                <w:spacing w:val="-2"/>
                <w:sz w:val="21"/>
              </w:rPr>
              <w:t>设</w:t>
            </w:r>
            <w:r>
              <w:rPr>
                <w:rFonts w:hint="default" w:ascii="MS UI Gothic" w:hAnsi="MS UI Gothic" w:eastAsia="MS UI Gothic" w:cs="MS UI Gothic"/>
                <w:color w:val="auto"/>
                <w:sz w:val="21"/>
              </w:rPr>
              <w:t>施</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 xml:space="preserve">1. </w:t>
            </w:r>
            <w:r>
              <w:rPr>
                <w:rFonts w:hint="default" w:ascii="MS UI Gothic" w:hAnsi="MS UI Gothic" w:eastAsia="MS UI Gothic" w:cs="MS UI Gothic"/>
                <w:color w:val="auto"/>
                <w:sz w:val="21"/>
              </w:rPr>
              <w:t>施工</w:t>
            </w:r>
            <w:r>
              <w:rPr>
                <w:rFonts w:hint="default" w:ascii="PMingLiU" w:hAnsi="PMingLiU" w:eastAsia="PMingLiU" w:cs="PMingLiU"/>
                <w:color w:val="auto"/>
                <w:sz w:val="21"/>
              </w:rPr>
              <w:t>现场办</w:t>
            </w:r>
            <w:r>
              <w:rPr>
                <w:rFonts w:hint="default" w:ascii="MS UI Gothic" w:hAnsi="MS UI Gothic" w:eastAsia="MS UI Gothic" w:cs="MS UI Gothic"/>
                <w:color w:val="auto"/>
                <w:sz w:val="21"/>
              </w:rPr>
              <w:t>公、生活区与作</w:t>
            </w:r>
            <w:r>
              <w:rPr>
                <w:rFonts w:hint="default" w:ascii="PMingLiU" w:hAnsi="PMingLiU" w:eastAsia="PMingLiU" w:cs="PMingLiU"/>
                <w:color w:val="auto"/>
                <w:sz w:val="21"/>
              </w:rPr>
              <w:t>业</w:t>
            </w:r>
            <w:r>
              <w:rPr>
                <w:rFonts w:hint="default" w:ascii="MS UI Gothic" w:hAnsi="MS UI Gothic" w:eastAsia="MS UI Gothic" w:cs="MS UI Gothic"/>
                <w:color w:val="auto"/>
                <w:sz w:val="21"/>
              </w:rPr>
              <w:t>区分开</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置，保持安全距离。</w:t>
            </w:r>
          </w:p>
          <w:p>
            <w:pPr>
              <w:autoSpaceDE w:val="0"/>
              <w:autoSpaceDN w:val="0"/>
              <w:snapToGrid w:val="0"/>
              <w:spacing w:before="8" w:after="0" w:line="300" w:lineRule="exact"/>
              <w:ind w:left="103" w:right="93" w:firstLine="0"/>
              <w:jc w:val="both"/>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pacing w:val="-1"/>
                <w:sz w:val="21"/>
              </w:rPr>
              <w:t>2.</w:t>
            </w:r>
            <w:r>
              <w:rPr>
                <w:rFonts w:hint="default" w:ascii="Times New Roman" w:hAnsi="Times New Roman" w:eastAsia="Times New Roman" w:cs="Times New Roman"/>
                <w:color w:val="auto"/>
                <w:spacing w:val="39"/>
                <w:sz w:val="21"/>
              </w:rPr>
              <w:t xml:space="preserve"> </w:t>
            </w:r>
            <w:r>
              <w:rPr>
                <w:rFonts w:hint="default" w:ascii="MS UI Gothic" w:hAnsi="MS UI Gothic" w:eastAsia="MS UI Gothic" w:cs="MS UI Gothic"/>
                <w:color w:val="auto"/>
                <w:spacing w:val="-1"/>
                <w:sz w:val="21"/>
              </w:rPr>
              <w:t>工地</w:t>
            </w:r>
            <w:r>
              <w:rPr>
                <w:rFonts w:hint="default" w:ascii="PMingLiU" w:hAnsi="PMingLiU" w:eastAsia="PMingLiU" w:cs="PMingLiU"/>
                <w:color w:val="auto"/>
                <w:spacing w:val="-1"/>
                <w:sz w:val="21"/>
              </w:rPr>
              <w:t>办</w:t>
            </w:r>
            <w:r>
              <w:rPr>
                <w:rFonts w:hint="default" w:ascii="MS UI Gothic" w:hAnsi="MS UI Gothic" w:eastAsia="MS UI Gothic" w:cs="MS UI Gothic"/>
                <w:color w:val="auto"/>
                <w:spacing w:val="-1"/>
                <w:sz w:val="21"/>
              </w:rPr>
              <w:t>公</w:t>
            </w:r>
            <w:r>
              <w:rPr>
                <w:rFonts w:hint="default" w:ascii="MS UI Gothic" w:hAnsi="MS UI Gothic" w:eastAsia="MS UI Gothic" w:cs="MS UI Gothic"/>
                <w:color w:val="auto"/>
                <w:sz w:val="21"/>
              </w:rPr>
              <w:t>室、</w:t>
            </w:r>
            <w:r>
              <w:rPr>
                <w:rFonts w:hint="default" w:ascii="PMingLiU" w:hAnsi="PMingLiU" w:eastAsia="PMingLiU" w:cs="PMingLiU"/>
                <w:color w:val="auto"/>
                <w:sz w:val="21"/>
              </w:rPr>
              <w:t>现场</w:t>
            </w:r>
            <w:r>
              <w:rPr>
                <w:rFonts w:hint="default" w:ascii="MS UI Gothic" w:hAnsi="MS UI Gothic" w:eastAsia="MS UI Gothic" w:cs="MS UI Gothic"/>
                <w:color w:val="auto"/>
                <w:sz w:val="21"/>
              </w:rPr>
              <w:t>宿舍、食堂、</w:t>
            </w:r>
            <w:r>
              <w:rPr>
                <w:rFonts w:hint="default" w:ascii="PMingLiU" w:hAnsi="PMingLiU" w:eastAsia="PMingLiU" w:cs="PMingLiU"/>
                <w:color w:val="auto"/>
                <w:sz w:val="21"/>
              </w:rPr>
              <w:t>厕</w:t>
            </w:r>
            <w:r>
              <w:rPr>
                <w:rFonts w:hint="default" w:ascii="MS UI Gothic" w:hAnsi="MS UI Gothic" w:eastAsia="MS UI Gothic" w:cs="MS UI Gothic"/>
                <w:color w:val="auto"/>
                <w:sz w:val="21"/>
              </w:rPr>
              <w:t>所、</w:t>
            </w:r>
            <w:r>
              <w:rPr>
                <w:rFonts w:hint="default" w:ascii="PMingLiU" w:hAnsi="PMingLiU" w:eastAsia="PMingLiU" w:cs="PMingLiU"/>
                <w:color w:val="auto"/>
                <w:sz w:val="21"/>
              </w:rPr>
              <w:t>饮</w:t>
            </w:r>
            <w:r>
              <w:rPr>
                <w:rFonts w:hint="default" w:ascii="MS UI Gothic" w:hAnsi="MS UI Gothic" w:eastAsia="MS UI Gothic" w:cs="MS UI Gothic"/>
                <w:color w:val="auto"/>
                <w:sz w:val="21"/>
              </w:rPr>
              <w:t>水、沐浴、休息</w:t>
            </w:r>
            <w:r>
              <w:rPr>
                <w:rFonts w:hint="default" w:ascii="PMingLiU" w:hAnsi="PMingLiU" w:eastAsia="PMingLiU" w:cs="PMingLiU"/>
                <w:color w:val="auto"/>
                <w:sz w:val="21"/>
              </w:rPr>
              <w:t>场</w:t>
            </w:r>
            <w:r>
              <w:rPr>
                <w:rFonts w:hint="default" w:ascii="MS UI Gothic" w:hAnsi="MS UI Gothic" w:eastAsia="MS UI Gothic" w:cs="MS UI Gothic"/>
                <w:color w:val="auto"/>
                <w:sz w:val="21"/>
              </w:rPr>
              <w:t>所等符合</w:t>
            </w:r>
            <w:r>
              <w:rPr>
                <w:rFonts w:hint="default" w:ascii="PMingLiU" w:hAnsi="PMingLiU" w:eastAsia="PMingLiU" w:cs="PMingLiU"/>
                <w:color w:val="auto"/>
                <w:sz w:val="21"/>
              </w:rPr>
              <w:t>卫</w:t>
            </w:r>
            <w:r>
              <w:rPr>
                <w:rFonts w:hint="default" w:ascii="MS UI Gothic" w:hAnsi="MS UI Gothic" w:eastAsia="MS UI Gothic" w:cs="MS UI Gothic"/>
                <w:color w:val="auto"/>
                <w:sz w:val="21"/>
              </w:rPr>
              <w:t>生、消防安全要求。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403"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restart"/>
            <w:tcBorders>
              <w:top w:val="single" w:color="000000" w:sz="4" w:space="0"/>
              <w:left w:val="single" w:color="000000" w:sz="4" w:space="0"/>
              <w:bottom w:val="single" w:color="000000" w:sz="12" w:space="0"/>
            </w:tcBorders>
            <w:vAlign w:val="top"/>
          </w:tcPr>
          <w:p>
            <w:pPr>
              <w:autoSpaceDE w:val="0"/>
              <w:autoSpaceDN w:val="0"/>
              <w:snapToGrid w:val="0"/>
              <w:spacing w:before="1120"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w:t>
            </w:r>
          </w:p>
          <w:p>
            <w:pPr>
              <w:autoSpaceDE w:val="0"/>
              <w:autoSpaceDN w:val="0"/>
              <w:snapToGrid w:val="0"/>
              <w:spacing w:before="74"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工</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现</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场</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临</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时</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用</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电</w:t>
            </w:r>
          </w:p>
        </w:tc>
        <w:tc>
          <w:tcPr>
            <w:tcW w:w="1545" w:type="dxa"/>
            <w:tcBorders>
              <w:top w:val="single" w:color="000000" w:sz="4" w:space="0"/>
              <w:left w:val="single" w:color="000000" w:sz="4" w:space="0"/>
            </w:tcBorders>
            <w:vAlign w:val="top"/>
          </w:tcPr>
          <w:p>
            <w:pPr>
              <w:autoSpaceDE w:val="0"/>
              <w:autoSpaceDN w:val="0"/>
              <w:snapToGrid w:val="0"/>
              <w:spacing w:before="480" w:after="0" w:line="263" w:lineRule="exact"/>
              <w:ind w:left="347"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配</w:t>
            </w:r>
            <w:r>
              <w:rPr>
                <w:rFonts w:hint="default" w:ascii="PMingLiU" w:hAnsi="PMingLiU" w:eastAsia="PMingLiU" w:cs="PMingLiU"/>
                <w:color w:val="auto"/>
                <w:sz w:val="21"/>
              </w:rPr>
              <w:t>电线</w:t>
            </w:r>
            <w:r>
              <w:rPr>
                <w:rFonts w:hint="default" w:ascii="MS UI Gothic" w:hAnsi="MS UI Gothic" w:eastAsia="MS UI Gothic" w:cs="MS UI Gothic"/>
                <w:color w:val="auto"/>
                <w:sz w:val="21"/>
              </w:rPr>
              <w:t>路</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 xml:space="preserve">1. </w:t>
            </w:r>
            <w:r>
              <w:rPr>
                <w:rFonts w:hint="default" w:ascii="MS UI Gothic" w:hAnsi="MS UI Gothic" w:eastAsia="MS UI Gothic" w:cs="MS UI Gothic"/>
                <w:color w:val="auto"/>
                <w:sz w:val="21"/>
              </w:rPr>
              <w:t>按照</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TN-</w:t>
            </w:r>
            <w:r>
              <w:rPr>
                <w:rFonts w:hint="default" w:ascii="Times New Roman" w:hAnsi="Times New Roman" w:eastAsia="Times New Roman" w:cs="Times New Roman"/>
                <w:color w:val="auto"/>
                <w:spacing w:val="53"/>
                <w:sz w:val="21"/>
              </w:rPr>
              <w:t>S</w:t>
            </w:r>
            <w:r>
              <w:rPr>
                <w:rFonts w:hint="default" w:ascii="MS UI Gothic" w:hAnsi="MS UI Gothic" w:eastAsia="MS UI Gothic" w:cs="MS UI Gothic"/>
                <w:color w:val="auto"/>
                <w:sz w:val="21"/>
              </w:rPr>
              <w:t>系</w:t>
            </w:r>
            <w:r>
              <w:rPr>
                <w:rFonts w:hint="default" w:ascii="PMingLiU" w:hAnsi="PMingLiU" w:eastAsia="PMingLiU" w:cs="PMingLiU"/>
                <w:color w:val="auto"/>
                <w:sz w:val="21"/>
              </w:rPr>
              <w:t>统</w:t>
            </w:r>
            <w:r>
              <w:rPr>
                <w:rFonts w:hint="default" w:ascii="MS UI Gothic" w:hAnsi="MS UI Gothic" w:eastAsia="MS UI Gothic" w:cs="MS UI Gothic"/>
                <w:color w:val="auto"/>
                <w:sz w:val="21"/>
              </w:rPr>
              <w:t>要求配</w:t>
            </w:r>
            <w:r>
              <w:rPr>
                <w:rFonts w:hint="default" w:ascii="PMingLiU" w:hAnsi="PMingLiU" w:eastAsia="PMingLiU" w:cs="PMingLiU"/>
                <w:color w:val="auto"/>
                <w:sz w:val="21"/>
              </w:rPr>
              <w:t>备</w:t>
            </w:r>
            <w:r>
              <w:rPr>
                <w:rFonts w:hint="default" w:ascii="MS UI Gothic" w:hAnsi="MS UI Gothic" w:eastAsia="MS UI Gothic" w:cs="MS UI Gothic"/>
                <w:color w:val="auto"/>
                <w:sz w:val="21"/>
              </w:rPr>
              <w:t>五芯</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、四芯</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和三芯</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w:t>
            </w:r>
          </w:p>
          <w:p>
            <w:pPr>
              <w:autoSpaceDE w:val="0"/>
              <w:autoSpaceDN w:val="0"/>
              <w:snapToGrid w:val="0"/>
              <w:spacing w:before="38" w:after="0" w:line="240" w:lineRule="auto"/>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74"/>
                <w:sz w:val="21"/>
              </w:rPr>
              <w:t xml:space="preserve"> </w:t>
            </w:r>
            <w:r>
              <w:rPr>
                <w:rFonts w:hint="default" w:ascii="MS UI Gothic" w:hAnsi="MS UI Gothic" w:eastAsia="MS UI Gothic" w:cs="MS UI Gothic"/>
                <w:color w:val="auto"/>
                <w:sz w:val="21"/>
              </w:rPr>
              <w:t>按要求架</w:t>
            </w:r>
            <w:r>
              <w:rPr>
                <w:rFonts w:hint="default" w:ascii="PMingLiU" w:hAnsi="PMingLiU" w:eastAsia="PMingLiU" w:cs="PMingLiU"/>
                <w:color w:val="auto"/>
                <w:sz w:val="21"/>
              </w:rPr>
              <w:t>设临时</w:t>
            </w:r>
            <w:r>
              <w:rPr>
                <w:rFonts w:hint="default" w:ascii="MS UI Gothic" w:hAnsi="MS UI Gothic" w:eastAsia="MS UI Gothic" w:cs="MS UI Gothic"/>
                <w:color w:val="auto"/>
                <w:sz w:val="21"/>
              </w:rPr>
              <w:t>用</w:t>
            </w:r>
            <w:r>
              <w:rPr>
                <w:rFonts w:hint="default" w:ascii="PMingLiU" w:hAnsi="PMingLiU" w:eastAsia="PMingLiU" w:cs="PMingLiU"/>
                <w:color w:val="auto"/>
                <w:sz w:val="21"/>
              </w:rPr>
              <w:t>电线</w:t>
            </w:r>
            <w:r>
              <w:rPr>
                <w:rFonts w:hint="default" w:ascii="MS UI Gothic" w:hAnsi="MS UI Gothic" w:eastAsia="MS UI Gothic" w:cs="MS UI Gothic"/>
                <w:color w:val="auto"/>
                <w:sz w:val="21"/>
              </w:rPr>
              <w:t>路的</w:t>
            </w:r>
            <w:r>
              <w:rPr>
                <w:rFonts w:hint="default" w:ascii="PMingLiU" w:hAnsi="PMingLiU" w:eastAsia="PMingLiU" w:cs="PMingLiU"/>
                <w:color w:val="auto"/>
                <w:sz w:val="21"/>
              </w:rPr>
              <w:t>电</w:t>
            </w:r>
            <w:r>
              <w:rPr>
                <w:rFonts w:hint="default" w:ascii="MS UI Gothic" w:hAnsi="MS UI Gothic" w:eastAsia="MS UI Gothic" w:cs="MS UI Gothic"/>
                <w:color w:val="auto"/>
                <w:sz w:val="21"/>
              </w:rPr>
              <w:t>杆、横担、瓷</w:t>
            </w:r>
            <w:r>
              <w:rPr>
                <w:rFonts w:hint="default" w:ascii="PMingLiU" w:hAnsi="PMingLiU" w:eastAsia="PMingLiU" w:cs="PMingLiU"/>
                <w:color w:val="auto"/>
                <w:sz w:val="21"/>
              </w:rPr>
              <w:t>夹</w:t>
            </w:r>
            <w:r>
              <w:rPr>
                <w:rFonts w:hint="default" w:ascii="MS UI Gothic" w:hAnsi="MS UI Gothic" w:eastAsia="MS UI Gothic" w:cs="MS UI Gothic"/>
                <w:color w:val="auto"/>
                <w:sz w:val="21"/>
              </w:rPr>
              <w:t>、瓷瓶等，或</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埋地</w:t>
            </w:r>
          </w:p>
          <w:p>
            <w:pPr>
              <w:autoSpaceDE w:val="0"/>
              <w:autoSpaceDN w:val="0"/>
              <w:snapToGrid w:val="0"/>
              <w:spacing w:before="74"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的地沟。</w:t>
            </w:r>
          </w:p>
          <w:p>
            <w:pPr>
              <w:numPr>
                <w:ilvl w:val="0"/>
                <w:numId w:val="102"/>
              </w:numPr>
              <w:tabs>
                <w:tab w:val="left" w:pos="370"/>
              </w:tabs>
              <w:autoSpaceDE w:val="0"/>
              <w:autoSpaceDN w:val="0"/>
              <w:snapToGrid w:val="0"/>
              <w:spacing w:before="45"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对</w:t>
            </w:r>
            <w:r>
              <w:rPr>
                <w:rFonts w:hint="default" w:ascii="MS UI Gothic" w:hAnsi="MS UI Gothic" w:eastAsia="MS UI Gothic" w:cs="MS UI Gothic"/>
                <w:color w:val="auto"/>
                <w:sz w:val="21"/>
              </w:rPr>
              <w:t>靠近施工</w:t>
            </w:r>
            <w:r>
              <w:rPr>
                <w:rFonts w:hint="default" w:ascii="PMingLiU" w:hAnsi="PMingLiU" w:eastAsia="PMingLiU" w:cs="PMingLiU"/>
                <w:color w:val="auto"/>
                <w:sz w:val="21"/>
              </w:rPr>
              <w:t>现场</w:t>
            </w:r>
            <w:r>
              <w:rPr>
                <w:rFonts w:hint="default" w:ascii="MS UI Gothic" w:hAnsi="MS UI Gothic" w:eastAsia="MS UI Gothic" w:cs="MS UI Gothic"/>
                <w:color w:val="auto"/>
                <w:sz w:val="21"/>
              </w:rPr>
              <w:t>的外</w:t>
            </w:r>
            <w:r>
              <w:rPr>
                <w:rFonts w:hint="default" w:ascii="PMingLiU" w:hAnsi="PMingLiU" w:eastAsia="PMingLiU" w:cs="PMingLiU"/>
                <w:color w:val="auto"/>
                <w:sz w:val="21"/>
              </w:rPr>
              <w:t>电线</w:t>
            </w:r>
            <w:r>
              <w:rPr>
                <w:rFonts w:hint="default" w:ascii="MS UI Gothic" w:hAnsi="MS UI Gothic" w:eastAsia="MS UI Gothic" w:cs="MS UI Gothic"/>
                <w:color w:val="auto"/>
                <w:sz w:val="21"/>
              </w:rPr>
              <w:t>路，</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置木</w:t>
            </w:r>
            <w:r>
              <w:rPr>
                <w:rFonts w:hint="default" w:ascii="PMingLiU" w:hAnsi="PMingLiU" w:eastAsia="PMingLiU" w:cs="PMingLiU"/>
                <w:color w:val="auto"/>
                <w:sz w:val="21"/>
              </w:rPr>
              <w:t>质</w:t>
            </w:r>
            <w:r>
              <w:rPr>
                <w:rFonts w:hint="default" w:ascii="MS UI Gothic" w:hAnsi="MS UI Gothic" w:eastAsia="MS UI Gothic" w:cs="MS UI Gothic"/>
                <w:color w:val="auto"/>
                <w:sz w:val="21"/>
              </w:rPr>
              <w:t>、塑料等</w:t>
            </w:r>
            <w:r>
              <w:rPr>
                <w:rFonts w:hint="default" w:ascii="PMingLiU" w:hAnsi="PMingLiU" w:eastAsia="PMingLiU" w:cs="PMingLiU"/>
                <w:color w:val="auto"/>
                <w:sz w:val="21"/>
              </w:rPr>
              <w:t>绝缘</w:t>
            </w:r>
            <w:r>
              <w:rPr>
                <w:rFonts w:hint="default" w:ascii="MS UI Gothic" w:hAnsi="MS UI Gothic" w:eastAsia="MS UI Gothic" w:cs="MS UI Gothic"/>
                <w:color w:val="auto"/>
                <w:sz w:val="21"/>
              </w:rPr>
              <w:t>体的防</w:t>
            </w:r>
            <w:r>
              <w:rPr>
                <w:rFonts w:hint="default" w:ascii="PMingLiU" w:hAnsi="PMingLiU" w:eastAsia="PMingLiU" w:cs="PMingLiU"/>
                <w:color w:val="auto"/>
                <w:sz w:val="21"/>
              </w:rPr>
              <w:t>护设</w:t>
            </w:r>
            <w:r>
              <w:rPr>
                <w:rFonts w:hint="default" w:ascii="MS UI Gothic" w:hAnsi="MS UI Gothic" w:eastAsia="MS UI Gothic" w:cs="MS UI Gothic"/>
                <w:color w:val="auto"/>
                <w:sz w:val="21"/>
              </w:rPr>
              <w:t>施。</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920"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continue"/>
            <w:tcBorders>
              <w:top w:val="single" w:color="000000" w:sz="4" w:space="0"/>
              <w:left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45" w:type="dxa"/>
            <w:tcBorders>
              <w:top w:val="single" w:color="000000" w:sz="4" w:space="0"/>
              <w:left w:val="single" w:color="000000" w:sz="4" w:space="0"/>
            </w:tcBorders>
            <w:vAlign w:val="top"/>
          </w:tcPr>
          <w:p>
            <w:pPr>
              <w:autoSpaceDE w:val="0"/>
              <w:autoSpaceDN w:val="0"/>
              <w:snapToGrid w:val="0"/>
              <w:spacing w:before="630" w:after="0" w:line="263" w:lineRule="exact"/>
              <w:ind w:left="4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w:t>
            </w:r>
          </w:p>
          <w:p>
            <w:pPr>
              <w:autoSpaceDE w:val="0"/>
              <w:autoSpaceDN w:val="0"/>
              <w:snapToGrid w:val="0"/>
              <w:spacing w:before="67" w:after="0" w:line="226" w:lineRule="exact"/>
              <w:ind w:left="4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开关箱</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1.</w:t>
            </w:r>
            <w:r>
              <w:rPr>
                <w:rFonts w:hint="default" w:ascii="Times New Roman" w:hAnsi="Times New Roman" w:eastAsia="Times New Roman" w:cs="Times New Roman"/>
                <w:color w:val="auto"/>
                <w:spacing w:val="39"/>
                <w:sz w:val="21"/>
              </w:rPr>
              <w:t xml:space="preserve"> </w:t>
            </w:r>
            <w:r>
              <w:rPr>
                <w:rFonts w:hint="default" w:ascii="MS UI Gothic" w:hAnsi="MS UI Gothic" w:eastAsia="MS UI Gothic" w:cs="MS UI Gothic"/>
                <w:color w:val="auto"/>
                <w:sz w:val="21"/>
              </w:rPr>
              <w:t>按三</w:t>
            </w:r>
            <w:r>
              <w:rPr>
                <w:rFonts w:hint="default" w:ascii="PMingLiU" w:hAnsi="PMingLiU" w:eastAsia="PMingLiU" w:cs="PMingLiU"/>
                <w:color w:val="auto"/>
                <w:sz w:val="21"/>
              </w:rPr>
              <w:t>级</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要求，配</w:t>
            </w:r>
            <w:r>
              <w:rPr>
                <w:rFonts w:hint="default" w:ascii="PMingLiU" w:hAnsi="PMingLiU" w:eastAsia="PMingLiU" w:cs="PMingLiU"/>
                <w:color w:val="auto"/>
                <w:sz w:val="21"/>
              </w:rPr>
              <w:t>备总</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箱、分配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箱、开关箱三</w:t>
            </w:r>
            <w:r>
              <w:rPr>
                <w:rFonts w:hint="default" w:ascii="PMingLiU" w:hAnsi="PMingLiU" w:eastAsia="PMingLiU" w:cs="PMingLiU"/>
                <w:color w:val="auto"/>
                <w:sz w:val="21"/>
              </w:rPr>
              <w:t>类</w:t>
            </w:r>
            <w:r>
              <w:rPr>
                <w:rFonts w:hint="default" w:ascii="MS UI Gothic" w:hAnsi="MS UI Gothic" w:eastAsia="MS UI Gothic" w:cs="MS UI Gothic"/>
                <w:color w:val="auto"/>
                <w:sz w:val="21"/>
              </w:rPr>
              <w:t>（</w:t>
            </w:r>
            <w:r>
              <w:rPr>
                <w:rFonts w:hint="default" w:ascii="PMingLiU" w:hAnsi="PMingLiU" w:eastAsia="PMingLiU" w:cs="PMingLiU"/>
                <w:color w:val="auto"/>
                <w:sz w:val="21"/>
              </w:rPr>
              <w:t>铁质</w:t>
            </w:r>
            <w:r>
              <w:rPr>
                <w:rFonts w:hint="default" w:ascii="MS UI Gothic" w:hAnsi="MS UI Gothic" w:eastAsia="MS UI Gothic" w:cs="MS UI Gothic"/>
                <w:color w:val="auto"/>
                <w:sz w:val="21"/>
              </w:rPr>
              <w:t>）</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箱，开关箱</w:t>
            </w:r>
            <w:r>
              <w:rPr>
                <w:rFonts w:hint="default" w:ascii="PMingLiU" w:hAnsi="PMingLiU" w:eastAsia="PMingLiU" w:cs="PMingLiU"/>
                <w:color w:val="auto"/>
                <w:sz w:val="21"/>
              </w:rPr>
              <w:t>应</w:t>
            </w:r>
            <w:r>
              <w:rPr>
                <w:rFonts w:hint="default" w:ascii="MS UI Gothic" w:hAnsi="MS UI Gothic" w:eastAsia="MS UI Gothic" w:cs="MS UI Gothic"/>
                <w:color w:val="auto"/>
                <w:sz w:val="21"/>
              </w:rPr>
              <w:t>符合</w:t>
            </w:r>
            <w:r>
              <w:rPr>
                <w:rFonts w:hint="default" w:ascii="Times New Roman" w:hAnsi="Times New Roman" w:eastAsia="Times New Roman" w:cs="Times New Roman"/>
                <w:color w:val="auto"/>
                <w:sz w:val="21"/>
              </w:rPr>
              <w:t>“</w:t>
            </w:r>
            <w:r>
              <w:rPr>
                <w:rFonts w:hint="default" w:ascii="MS UI Gothic" w:hAnsi="MS UI Gothic" w:eastAsia="MS UI Gothic" w:cs="MS UI Gothic"/>
                <w:color w:val="auto"/>
                <w:sz w:val="21"/>
              </w:rPr>
              <w:t>一机、一箱、一</w:t>
            </w:r>
            <w:r>
              <w:rPr>
                <w:rFonts w:hint="default" w:ascii="PMingLiU" w:hAnsi="PMingLiU" w:eastAsia="PMingLiU" w:cs="PMingLiU"/>
                <w:color w:val="auto"/>
                <w:sz w:val="21"/>
              </w:rPr>
              <w:t>闸</w:t>
            </w:r>
            <w:r>
              <w:rPr>
                <w:rFonts w:hint="default" w:ascii="MS UI Gothic" w:hAnsi="MS UI Gothic" w:eastAsia="MS UI Gothic" w:cs="MS UI Gothic"/>
                <w:color w:val="auto"/>
                <w:sz w:val="21"/>
              </w:rPr>
              <w:t>、一漏</w:t>
            </w:r>
            <w:r>
              <w:rPr>
                <w:rFonts w:hint="default" w:ascii="Times New Roman" w:hAnsi="Times New Roman" w:eastAsia="Times New Roman" w:cs="Times New Roman"/>
                <w:color w:val="auto"/>
                <w:sz w:val="21"/>
              </w:rPr>
              <w:t>”</w:t>
            </w:r>
            <w:r>
              <w:rPr>
                <w:rFonts w:hint="default" w:ascii="MS UI Gothic" w:hAnsi="MS UI Gothic" w:eastAsia="MS UI Gothic" w:cs="MS UI Gothic"/>
                <w:color w:val="auto"/>
                <w:sz w:val="21"/>
              </w:rPr>
              <w:t>，三</w:t>
            </w:r>
            <w:r>
              <w:rPr>
                <w:rFonts w:hint="default" w:ascii="PMingLiU" w:hAnsi="PMingLiU" w:eastAsia="PMingLiU" w:cs="PMingLiU"/>
                <w:color w:val="auto"/>
                <w:sz w:val="21"/>
              </w:rPr>
              <w:t>类电</w:t>
            </w:r>
            <w:r>
              <w:rPr>
                <w:rFonts w:hint="default" w:ascii="MS UI Gothic" w:hAnsi="MS UI Gothic" w:eastAsia="MS UI Gothic" w:cs="MS UI Gothic"/>
                <w:color w:val="auto"/>
                <w:sz w:val="21"/>
              </w:rPr>
              <w:t>箱中的各</w:t>
            </w:r>
            <w:r>
              <w:rPr>
                <w:rFonts w:hint="default" w:ascii="PMingLiU" w:hAnsi="PMingLiU" w:eastAsia="PMingLiU" w:cs="PMingLiU"/>
                <w:color w:val="auto"/>
                <w:sz w:val="21"/>
              </w:rPr>
              <w:t>类电</w:t>
            </w:r>
            <w:r>
              <w:rPr>
                <w:rFonts w:hint="default" w:ascii="MS UI Gothic" w:hAnsi="MS UI Gothic" w:eastAsia="MS UI Gothic" w:cs="MS UI Gothic"/>
                <w:color w:val="auto"/>
                <w:sz w:val="21"/>
              </w:rPr>
              <w:t>器</w:t>
            </w:r>
            <w:r>
              <w:rPr>
                <w:rFonts w:hint="default" w:ascii="PMingLiU" w:hAnsi="PMingLiU" w:eastAsia="PMingLiU" w:cs="PMingLiU"/>
                <w:color w:val="auto"/>
                <w:sz w:val="21"/>
              </w:rPr>
              <w:t>应</w:t>
            </w:r>
            <w:r>
              <w:rPr>
                <w:rFonts w:hint="default" w:ascii="MS UI Gothic" w:hAnsi="MS UI Gothic" w:eastAsia="MS UI Gothic" w:cs="MS UI Gothic"/>
                <w:color w:val="auto"/>
                <w:sz w:val="21"/>
              </w:rPr>
              <w:t>是合格品。</w:t>
            </w:r>
          </w:p>
          <w:p>
            <w:pPr>
              <w:autoSpaceDE w:val="0"/>
              <w:autoSpaceDN w:val="0"/>
              <w:snapToGrid w:val="0"/>
              <w:spacing w:before="30" w:after="0" w:line="240" w:lineRule="auto"/>
              <w:ind w:left="103" w:right="0" w:firstLine="0"/>
              <w:jc w:val="left"/>
              <w:textAlignment w:val="auto"/>
              <w:rPr>
                <w:rFonts w:hint="default" w:ascii="MS UI Gothic" w:hAnsi="MS UI Gothic" w:eastAsia="MS UI Gothic" w:cs="MS UI Gothic"/>
                <w:color w:val="auto"/>
                <w:sz w:val="21"/>
              </w:rPr>
            </w:pPr>
            <w:r>
              <w:rPr>
                <w:rFonts w:hint="default" w:ascii="Times New Roman" w:hAnsi="Times New Roman" w:eastAsia="Times New Roman" w:cs="Times New Roman"/>
                <w:color w:val="auto"/>
                <w:sz w:val="21"/>
              </w:rPr>
              <w:t>2.</w:t>
            </w:r>
            <w:r>
              <w:rPr>
                <w:rFonts w:hint="default" w:ascii="Times New Roman" w:hAnsi="Times New Roman" w:eastAsia="Times New Roman" w:cs="Times New Roman"/>
                <w:color w:val="auto"/>
                <w:spacing w:val="74"/>
                <w:sz w:val="21"/>
              </w:rPr>
              <w:t xml:space="preserve"> </w:t>
            </w:r>
            <w:r>
              <w:rPr>
                <w:rFonts w:hint="default" w:ascii="MS UI Gothic" w:hAnsi="MS UI Gothic" w:eastAsia="MS UI Gothic" w:cs="MS UI Gothic"/>
                <w:color w:val="auto"/>
                <w:sz w:val="21"/>
              </w:rPr>
              <w:t>按两</w:t>
            </w:r>
            <w:r>
              <w:rPr>
                <w:rFonts w:hint="default" w:ascii="PMingLiU" w:hAnsi="PMingLiU" w:eastAsia="PMingLiU" w:cs="PMingLiU"/>
                <w:color w:val="auto"/>
                <w:sz w:val="21"/>
              </w:rPr>
              <w:t>级</w:t>
            </w: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r>
              <w:rPr>
                <w:rFonts w:hint="default" w:ascii="MS UI Gothic" w:hAnsi="MS UI Gothic" w:eastAsia="MS UI Gothic" w:cs="MS UI Gothic"/>
                <w:color w:val="auto"/>
                <w:sz w:val="21"/>
              </w:rPr>
              <w:t>的要求，</w:t>
            </w:r>
            <w:r>
              <w:rPr>
                <w:rFonts w:hint="default" w:ascii="PMingLiU" w:hAnsi="PMingLiU" w:eastAsia="PMingLiU" w:cs="PMingLiU"/>
                <w:color w:val="auto"/>
                <w:sz w:val="21"/>
              </w:rPr>
              <w:t>选</w:t>
            </w:r>
            <w:r>
              <w:rPr>
                <w:rFonts w:hint="default" w:ascii="MS UI Gothic" w:hAnsi="MS UI Gothic" w:eastAsia="MS UI Gothic" w:cs="MS UI Gothic"/>
                <w:color w:val="auto"/>
                <w:sz w:val="21"/>
              </w:rPr>
              <w:t>取符合容量要求和</w:t>
            </w:r>
            <w:r>
              <w:rPr>
                <w:rFonts w:hint="default" w:ascii="PMingLiU" w:hAnsi="PMingLiU" w:eastAsia="PMingLiU" w:cs="PMingLiU"/>
                <w:color w:val="auto"/>
                <w:sz w:val="21"/>
              </w:rPr>
              <w:t>质</w:t>
            </w:r>
            <w:r>
              <w:rPr>
                <w:rFonts w:hint="default" w:ascii="MS UI Gothic" w:hAnsi="MS UI Gothic" w:eastAsia="MS UI Gothic" w:cs="MS UI Gothic"/>
                <w:color w:val="auto"/>
                <w:sz w:val="21"/>
              </w:rPr>
              <w:t>量合格的</w:t>
            </w:r>
            <w:r>
              <w:rPr>
                <w:rFonts w:hint="default" w:ascii="PMingLiU" w:hAnsi="PMingLiU" w:eastAsia="PMingLiU" w:cs="PMingLiU"/>
                <w:color w:val="auto"/>
                <w:sz w:val="21"/>
              </w:rPr>
              <w:t>总</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箱和开</w:t>
            </w:r>
          </w:p>
          <w:p>
            <w:pPr>
              <w:autoSpaceDE w:val="0"/>
              <w:autoSpaceDN w:val="0"/>
              <w:snapToGrid w:val="0"/>
              <w:spacing w:before="45"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关箱中的漏</w:t>
            </w:r>
            <w:r>
              <w:rPr>
                <w:rFonts w:hint="default" w:ascii="PMingLiU" w:hAnsi="PMingLiU" w:eastAsia="PMingLiU" w:cs="PMingLiU"/>
                <w:color w:val="auto"/>
                <w:sz w:val="21"/>
              </w:rPr>
              <w:t>电</w:t>
            </w: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r>
              <w:rPr>
                <w:rFonts w:hint="default" w:ascii="MS UI Gothic" w:hAnsi="MS UI Gothic" w:eastAsia="MS UI Gothic" w:cs="MS UI Gothic"/>
                <w:color w:val="auto"/>
                <w:sz w:val="21"/>
              </w:rPr>
              <w:t>器。</w:t>
            </w:r>
          </w:p>
          <w:p>
            <w:pPr>
              <w:numPr>
                <w:ilvl w:val="0"/>
                <w:numId w:val="100"/>
              </w:numPr>
              <w:tabs>
                <w:tab w:val="left" w:pos="370"/>
              </w:tabs>
              <w:autoSpaceDE w:val="0"/>
              <w:autoSpaceDN w:val="0"/>
              <w:snapToGrid w:val="0"/>
              <w:spacing w:before="3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PMingLiU" w:hAnsi="PMingLiU" w:eastAsia="PMingLiU" w:cs="PMingLiU"/>
                <w:color w:val="auto"/>
                <w:sz w:val="21"/>
              </w:rPr>
              <w:t>对</w:t>
            </w:r>
            <w:r>
              <w:rPr>
                <w:rFonts w:hint="default" w:ascii="MS UI Gothic" w:hAnsi="MS UI Gothic" w:eastAsia="MS UI Gothic" w:cs="MS UI Gothic"/>
                <w:color w:val="auto"/>
                <w:sz w:val="21"/>
              </w:rPr>
              <w:t>大型、落地式分配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箱、开关箱</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棚和通透式</w:t>
            </w:r>
            <w:r>
              <w:rPr>
                <w:rFonts w:hint="default" w:ascii="PMingLiU" w:hAnsi="PMingLiU" w:eastAsia="PMingLiU" w:cs="PMingLiU"/>
                <w:color w:val="auto"/>
                <w:sz w:val="21"/>
              </w:rPr>
              <w:t>围挡</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85"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continue"/>
            <w:tcBorders>
              <w:top w:val="single" w:color="000000" w:sz="4" w:space="0"/>
              <w:left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45" w:type="dxa"/>
            <w:tcBorders>
              <w:top w:val="single" w:color="000000" w:sz="4" w:space="0"/>
              <w:left w:val="single" w:color="000000" w:sz="4" w:space="0"/>
            </w:tcBorders>
            <w:vAlign w:val="top"/>
          </w:tcPr>
          <w:p>
            <w:pPr>
              <w:autoSpaceDE w:val="0"/>
              <w:autoSpaceDN w:val="0"/>
              <w:snapToGrid w:val="0"/>
              <w:spacing w:before="197" w:after="0" w:line="226" w:lineRule="exact"/>
              <w:ind w:left="347"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接地装置</w:t>
            </w:r>
          </w:p>
        </w:tc>
        <w:tc>
          <w:tcPr>
            <w:tcW w:w="6645" w:type="dxa"/>
            <w:tcBorders>
              <w:top w:val="single" w:color="000000" w:sz="4" w:space="0"/>
              <w:left w:val="single" w:color="000000" w:sz="4" w:space="0"/>
              <w:right w:val="single" w:color="000000" w:sz="12" w:space="0"/>
            </w:tcBorders>
            <w:vAlign w:val="top"/>
          </w:tcPr>
          <w:p>
            <w:pPr>
              <w:autoSpaceDE w:val="0"/>
              <w:autoSpaceDN w:val="0"/>
              <w:snapToGrid w:val="0"/>
              <w:spacing w:before="168"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施工</w:t>
            </w:r>
            <w:r>
              <w:rPr>
                <w:rFonts w:hint="default" w:ascii="PMingLiU" w:hAnsi="PMingLiU" w:eastAsia="PMingLiU" w:cs="PMingLiU"/>
                <w:color w:val="auto"/>
                <w:sz w:val="21"/>
              </w:rPr>
              <w:t>现场应设</w:t>
            </w:r>
            <w:r>
              <w:rPr>
                <w:rFonts w:hint="default" w:ascii="MS UI Gothic" w:hAnsi="MS UI Gothic" w:eastAsia="MS UI Gothic" w:cs="MS UI Gothic"/>
                <w:color w:val="auto"/>
                <w:sz w:val="21"/>
              </w:rPr>
              <w:t>置不少于三</w:t>
            </w:r>
            <w:r>
              <w:rPr>
                <w:rFonts w:hint="default" w:ascii="PMingLiU" w:hAnsi="PMingLiU" w:eastAsia="PMingLiU" w:cs="PMingLiU"/>
                <w:color w:val="auto"/>
                <w:sz w:val="21"/>
              </w:rPr>
              <w:t>处</w:t>
            </w:r>
            <w:r>
              <w:rPr>
                <w:rFonts w:hint="default" w:ascii="MS UI Gothic" w:hAnsi="MS UI Gothic" w:eastAsia="MS UI Gothic" w:cs="MS UI Gothic"/>
                <w:color w:val="auto"/>
                <w:sz w:val="21"/>
              </w:rPr>
              <w:t>的重复接地装置。</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936" w:hRule="exact"/>
        </w:trPr>
        <w:tc>
          <w:tcPr>
            <w:tcW w:w="738"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25" w:type="dxa"/>
            <w:vMerge w:val="continue"/>
            <w:tcBorders>
              <w:top w:val="single" w:color="000000" w:sz="4" w:space="0"/>
              <w:left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45" w:type="dxa"/>
            <w:tcBorders>
              <w:top w:val="single" w:color="000000" w:sz="4" w:space="0"/>
              <w:left w:val="single" w:color="000000" w:sz="4" w:space="0"/>
              <w:bottom w:val="single" w:color="000000" w:sz="12" w:space="0"/>
            </w:tcBorders>
            <w:vAlign w:val="top"/>
          </w:tcPr>
          <w:p>
            <w:pPr>
              <w:autoSpaceDE w:val="0"/>
              <w:autoSpaceDN w:val="0"/>
              <w:snapToGrid w:val="0"/>
              <w:spacing w:before="188" w:after="0" w:line="263" w:lineRule="exact"/>
              <w:ind w:left="137"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现场变</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装</w:t>
            </w:r>
          </w:p>
          <w:p>
            <w:pPr>
              <w:autoSpaceDE w:val="0"/>
              <w:autoSpaceDN w:val="0"/>
              <w:snapToGrid w:val="0"/>
              <w:spacing w:before="67" w:after="0" w:line="226" w:lineRule="exact"/>
              <w:ind w:left="66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置</w:t>
            </w:r>
          </w:p>
        </w:tc>
        <w:tc>
          <w:tcPr>
            <w:tcW w:w="6645" w:type="dxa"/>
            <w:tcBorders>
              <w:top w:val="single" w:color="000000" w:sz="4" w:space="0"/>
              <w:left w:val="single" w:color="000000" w:sz="4" w:space="0"/>
              <w:bottom w:val="single" w:color="000000" w:sz="12" w:space="0"/>
              <w:right w:val="single" w:color="000000" w:sz="12" w:space="0"/>
            </w:tcBorders>
            <w:vAlign w:val="top"/>
          </w:tcPr>
          <w:p>
            <w:pPr>
              <w:autoSpaceDE w:val="0"/>
              <w:autoSpaceDN w:val="0"/>
              <w:snapToGrid w:val="0"/>
              <w:spacing w:before="338"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总</w:t>
            </w:r>
            <w:r>
              <w:rPr>
                <w:rFonts w:hint="default" w:ascii="MS UI Gothic" w:hAnsi="MS UI Gothic" w:eastAsia="MS UI Gothic" w:cs="MS UI Gothic"/>
                <w:color w:val="auto"/>
                <w:sz w:val="21"/>
              </w:rPr>
              <w:t>配</w:t>
            </w:r>
            <w:r>
              <w:rPr>
                <w:rFonts w:hint="default" w:ascii="PMingLiU" w:hAnsi="PMingLiU" w:eastAsia="PMingLiU" w:cs="PMingLiU"/>
                <w:color w:val="auto"/>
                <w:sz w:val="21"/>
              </w:rPr>
              <w:t>电</w:t>
            </w:r>
            <w:r>
              <w:rPr>
                <w:rFonts w:hint="default" w:ascii="MS UI Gothic" w:hAnsi="MS UI Gothic" w:eastAsia="MS UI Gothic" w:cs="MS UI Gothic"/>
                <w:color w:val="auto"/>
                <w:sz w:val="21"/>
              </w:rPr>
              <w:t>房建筑材料必</w:t>
            </w:r>
            <w:r>
              <w:rPr>
                <w:rFonts w:hint="default" w:ascii="PMingLiU" w:hAnsi="PMingLiU" w:eastAsia="PMingLiU" w:cs="PMingLiU"/>
                <w:color w:val="auto"/>
                <w:sz w:val="21"/>
              </w:rPr>
              <w:t>须</w:t>
            </w:r>
            <w:r>
              <w:rPr>
                <w:rFonts w:hint="default" w:ascii="MS UI Gothic" w:hAnsi="MS UI Gothic" w:eastAsia="MS UI Gothic" w:cs="MS UI Gothic"/>
                <w:color w:val="auto"/>
                <w:sz w:val="21"/>
              </w:rPr>
              <w:t>达到消防防火要求，室内做硬地坪、</w:t>
            </w:r>
            <w:r>
              <w:rPr>
                <w:rFonts w:hint="default" w:ascii="PMingLiU" w:hAnsi="PMingLiU" w:eastAsia="PMingLiU" w:cs="PMingLiU"/>
                <w:color w:val="auto"/>
                <w:sz w:val="21"/>
              </w:rPr>
              <w:t>电缆</w:t>
            </w:r>
            <w:r>
              <w:rPr>
                <w:rFonts w:hint="default" w:ascii="MS UI Gothic" w:hAnsi="MS UI Gothic" w:eastAsia="MS UI Gothic" w:cs="MS UI Gothic"/>
                <w:color w:val="auto"/>
                <w:sz w:val="21"/>
              </w:rPr>
              <w:t>沟。</w:t>
            </w:r>
          </w:p>
        </w:tc>
      </w:tr>
    </w:tbl>
    <w:p>
      <w:pPr>
        <w:autoSpaceDE w:val="0"/>
        <w:autoSpaceDN w:val="0"/>
        <w:snapToGrid w:val="0"/>
        <w:spacing w:before="11" w:after="8" w:line="300" w:lineRule="exact"/>
        <w:ind w:right="0"/>
        <w:jc w:val="center"/>
        <w:textAlignment w:val="auto"/>
        <w:rPr>
          <w:rFonts w:hint="default" w:ascii="宋体" w:hAnsi="宋体" w:eastAsia="宋体" w:cs="宋体"/>
          <w:b/>
          <w:color w:val="auto"/>
          <w:w w:val="90"/>
        </w:rPr>
      </w:pPr>
    </w:p>
    <w:p>
      <w:pPr>
        <w:autoSpaceDE w:val="0"/>
        <w:autoSpaceDN w:val="0"/>
        <w:snapToGrid w:val="0"/>
        <w:spacing w:before="167" w:after="0" w:line="300" w:lineRule="exact"/>
        <w:ind w:right="0"/>
        <w:jc w:val="both"/>
        <w:textAlignment w:val="auto"/>
        <w:rPr>
          <w:rFonts w:hint="default" w:ascii="宋体" w:hAnsi="宋体" w:eastAsia="宋体" w:cs="宋体"/>
          <w:b/>
          <w:color w:val="auto"/>
        </w:rPr>
      </w:pPr>
    </w:p>
    <w:p>
      <w:pPr>
        <w:autoSpaceDE w:val="0"/>
        <w:autoSpaceDN w:val="0"/>
        <w:snapToGrid w:val="0"/>
        <w:spacing w:before="167" w:after="0" w:line="300" w:lineRule="exact"/>
        <w:ind w:right="0"/>
        <w:jc w:val="center"/>
        <w:textAlignment w:val="auto"/>
        <w:rPr>
          <w:rFonts w:hint="default" w:ascii="宋体" w:hAnsi="宋体" w:eastAsia="宋体" w:cs="宋体"/>
          <w:b/>
          <w:color w:val="auto"/>
          <w:w w:val="90"/>
        </w:rPr>
      </w:pPr>
      <w:r>
        <w:rPr>
          <w:rFonts w:hint="default" w:ascii="宋体" w:hAnsi="宋体" w:eastAsia="宋体" w:cs="宋体"/>
          <w:b/>
          <w:color w:val="auto"/>
        </w:rPr>
        <w:t>广西壮族自治区</w:t>
      </w:r>
      <w:r>
        <w:rPr>
          <w:rFonts w:hint="default" w:ascii="宋体" w:hAnsi="宋体" w:eastAsia="宋体" w:cs="宋体"/>
          <w:b/>
          <w:color w:val="auto"/>
          <w:w w:val="90"/>
        </w:rPr>
        <w:t>建设工程安全文明施工措施项目清单内容</w:t>
      </w:r>
    </w:p>
    <w:tbl>
      <w:tblPr>
        <w:tblStyle w:val="6"/>
        <w:tblW w:w="9484" w:type="dxa"/>
        <w:tblInd w:w="86" w:type="dxa"/>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Layout w:type="fixed"/>
        <w:tblCellMar>
          <w:top w:w="0" w:type="dxa"/>
          <w:left w:w="0" w:type="dxa"/>
          <w:bottom w:w="0" w:type="dxa"/>
          <w:right w:w="0" w:type="dxa"/>
        </w:tblCellMar>
      </w:tblPr>
      <w:tblGrid>
        <w:gridCol w:w="750"/>
        <w:gridCol w:w="534"/>
        <w:gridCol w:w="1533"/>
        <w:gridCol w:w="6667"/>
      </w:tblGrid>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32" w:hRule="exact"/>
        </w:trPr>
        <w:tc>
          <w:tcPr>
            <w:tcW w:w="750" w:type="dxa"/>
            <w:vAlign w:val="top"/>
          </w:tcPr>
          <w:p>
            <w:pPr>
              <w:autoSpaceDE w:val="0"/>
              <w:autoSpaceDN w:val="0"/>
              <w:snapToGrid w:val="0"/>
              <w:spacing w:before="186" w:after="0" w:line="263" w:lineRule="exact"/>
              <w:ind w:left="144" w:right="0" w:firstLine="0"/>
              <w:jc w:val="left"/>
              <w:textAlignment w:val="auto"/>
              <w:rPr>
                <w:rFonts w:hint="default" w:ascii="PMingLiU" w:hAnsi="PMingLiU" w:eastAsia="PMingLiU" w:cs="PMingLiU"/>
                <w:b/>
                <w:color w:val="auto"/>
                <w:sz w:val="21"/>
              </w:rPr>
            </w:pPr>
            <w:r>
              <w:rPr>
                <w:rFonts w:hint="default" w:ascii="PMingLiU" w:hAnsi="PMingLiU" w:eastAsia="PMingLiU" w:cs="PMingLiU"/>
                <w:b/>
                <w:color w:val="auto"/>
                <w:sz w:val="21"/>
              </w:rPr>
              <w:t>类别</w:t>
            </w:r>
          </w:p>
        </w:tc>
        <w:tc>
          <w:tcPr>
            <w:tcW w:w="2067" w:type="dxa"/>
            <w:gridSpan w:val="2"/>
            <w:tcBorders>
              <w:left w:val="single" w:color="000000" w:sz="4" w:space="0"/>
            </w:tcBorders>
            <w:vAlign w:val="top"/>
          </w:tcPr>
          <w:p>
            <w:pPr>
              <w:autoSpaceDE w:val="0"/>
              <w:autoSpaceDN w:val="0"/>
              <w:snapToGrid w:val="0"/>
              <w:spacing w:before="186" w:after="0" w:line="263" w:lineRule="exact"/>
              <w:ind w:left="608" w:right="0" w:firstLine="0"/>
              <w:jc w:val="left"/>
              <w:textAlignment w:val="auto"/>
              <w:rPr>
                <w:rFonts w:hint="default" w:ascii="MS UI Gothic" w:hAnsi="MS UI Gothic" w:eastAsia="MS UI Gothic" w:cs="MS UI Gothic"/>
                <w:b/>
                <w:color w:val="auto"/>
                <w:sz w:val="21"/>
              </w:rPr>
            </w:pPr>
            <w:r>
              <w:rPr>
                <w:rFonts w:hint="default" w:ascii="PMingLiU" w:hAnsi="PMingLiU" w:eastAsia="PMingLiU" w:cs="PMingLiU"/>
                <w:b/>
                <w:color w:val="auto"/>
                <w:sz w:val="21"/>
              </w:rPr>
              <w:t>项</w:t>
            </w:r>
            <w:r>
              <w:rPr>
                <w:rFonts w:hint="default" w:ascii="MS UI Gothic" w:hAnsi="MS UI Gothic" w:eastAsia="MS UI Gothic" w:cs="MS UI Gothic"/>
                <w:b/>
                <w:color w:val="auto"/>
                <w:sz w:val="21"/>
              </w:rPr>
              <w:t>目名称</w:t>
            </w:r>
          </w:p>
        </w:tc>
        <w:tc>
          <w:tcPr>
            <w:tcW w:w="6667" w:type="dxa"/>
            <w:tcBorders>
              <w:left w:val="single" w:color="000000" w:sz="4" w:space="0"/>
              <w:right w:val="single" w:color="000000" w:sz="12" w:space="0"/>
            </w:tcBorders>
            <w:vAlign w:val="top"/>
          </w:tcPr>
          <w:p>
            <w:pPr>
              <w:autoSpaceDE w:val="0"/>
              <w:autoSpaceDN w:val="0"/>
              <w:snapToGrid w:val="0"/>
              <w:spacing w:before="216" w:after="0" w:line="226" w:lineRule="exact"/>
              <w:ind w:left="2577" w:right="0" w:firstLine="0"/>
              <w:jc w:val="left"/>
              <w:textAlignment w:val="auto"/>
              <w:rPr>
                <w:rFonts w:hint="default" w:ascii="MS UI Gothic" w:hAnsi="MS UI Gothic" w:eastAsia="MS UI Gothic" w:cs="MS UI Gothic"/>
                <w:b/>
                <w:color w:val="auto"/>
                <w:sz w:val="21"/>
              </w:rPr>
            </w:pPr>
            <w:r>
              <w:rPr>
                <w:rFonts w:hint="default" w:ascii="MS UI Gothic" w:hAnsi="MS UI Gothic" w:eastAsia="MS UI Gothic" w:cs="MS UI Gothic"/>
                <w:b/>
                <w:color w:val="auto"/>
                <w:sz w:val="21"/>
              </w:rPr>
              <w:t>主要内容和要求</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restart"/>
            <w:tcBorders>
              <w:top w:val="single" w:color="000000" w:sz="4" w:space="0"/>
            </w:tcBorders>
            <w:vAlign w:val="top"/>
          </w:tcPr>
          <w:p>
            <w:pPr>
              <w:autoSpaceDE w:val="0"/>
              <w:autoSpaceDN w:val="0"/>
              <w:snapToGrid w:val="0"/>
              <w:spacing w:before="2352"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w:t>
            </w:r>
          </w:p>
          <w:p>
            <w:pPr>
              <w:autoSpaceDE w:val="0"/>
              <w:autoSpaceDN w:val="0"/>
              <w:snapToGrid w:val="0"/>
              <w:spacing w:before="74"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施工</w:t>
            </w:r>
          </w:p>
        </w:tc>
        <w:tc>
          <w:tcPr>
            <w:tcW w:w="534" w:type="dxa"/>
            <w:vMerge w:val="restart"/>
            <w:tcBorders>
              <w:top w:val="single" w:color="000000" w:sz="4" w:space="0"/>
              <w:left w:val="single" w:color="000000" w:sz="4" w:space="0"/>
            </w:tcBorders>
            <w:vAlign w:val="top"/>
          </w:tcPr>
          <w:p>
            <w:pPr>
              <w:autoSpaceDE w:val="0"/>
              <w:autoSpaceDN w:val="0"/>
              <w:snapToGrid w:val="0"/>
              <w:spacing w:before="144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高</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处</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作</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业</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防</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护</w:t>
            </w:r>
          </w:p>
        </w:tc>
        <w:tc>
          <w:tcPr>
            <w:tcW w:w="1533" w:type="dxa"/>
            <w:tcBorders>
              <w:top w:val="single" w:color="000000" w:sz="4" w:space="0"/>
              <w:left w:val="single" w:color="000000" w:sz="4" w:space="0"/>
            </w:tcBorders>
            <w:vAlign w:val="top"/>
          </w:tcPr>
          <w:p>
            <w:pPr>
              <w:autoSpaceDE w:val="0"/>
              <w:autoSpaceDN w:val="0"/>
              <w:snapToGrid w:val="0"/>
              <w:spacing w:before="0" w:after="0" w:line="300" w:lineRule="exact"/>
              <w:ind w:left="103" w:right="103" w:firstLine="0"/>
              <w:jc w:val="both"/>
              <w:textAlignment w:val="auto"/>
              <w:rPr>
                <w:rFonts w:hint="default" w:ascii="PMingLiU" w:hAnsi="PMingLiU" w:eastAsia="PMingLiU" w:cs="PMingLiU"/>
                <w:color w:val="auto"/>
                <w:sz w:val="21"/>
              </w:rPr>
            </w:pPr>
            <w:r>
              <w:rPr>
                <w:rFonts w:hint="default" w:ascii="MS UI Gothic" w:hAnsi="MS UI Gothic" w:eastAsia="MS UI Gothic" w:cs="MS UI Gothic"/>
                <w:color w:val="auto"/>
                <w:spacing w:val="-1"/>
                <w:sz w:val="21"/>
              </w:rPr>
              <w:t>楼</w:t>
            </w:r>
            <w:r>
              <w:rPr>
                <w:rFonts w:hint="default" w:ascii="PMingLiU" w:hAnsi="PMingLiU" w:eastAsia="PMingLiU" w:cs="PMingLiU"/>
                <w:color w:val="auto"/>
                <w:spacing w:val="-1"/>
                <w:sz w:val="21"/>
              </w:rPr>
              <w:t>层</w:t>
            </w:r>
            <w:r>
              <w:rPr>
                <w:rFonts w:hint="default" w:ascii="MS UI Gothic" w:hAnsi="MS UI Gothic" w:eastAsia="MS UI Gothic" w:cs="MS UI Gothic"/>
                <w:color w:val="auto"/>
                <w:spacing w:val="-1"/>
                <w:sz w:val="21"/>
              </w:rPr>
              <w:t>、屋面、</w:t>
            </w:r>
            <w:r>
              <w:rPr>
                <w:rFonts w:hint="default" w:ascii="MS UI Gothic" w:hAnsi="MS UI Gothic" w:eastAsia="MS UI Gothic" w:cs="MS UI Gothic"/>
                <w:color w:val="auto"/>
                <w:sz w:val="21"/>
              </w:rPr>
              <w:t>阳台等</w:t>
            </w:r>
            <w:r>
              <w:rPr>
                <w:rFonts w:hint="default" w:ascii="PMingLiU" w:hAnsi="PMingLiU" w:eastAsia="PMingLiU" w:cs="PMingLiU"/>
                <w:color w:val="auto"/>
                <w:sz w:val="21"/>
              </w:rPr>
              <w:t>临边</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两道防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杆和</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18c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高的踢脚板，用密目式安全立网全封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210"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通道口</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165" w:firstLine="0"/>
              <w:jc w:val="both"/>
              <w:textAlignment w:val="auto"/>
              <w:rPr>
                <w:rFonts w:hint="default" w:ascii="MS UI Gothic" w:hAnsi="MS UI Gothic" w:eastAsia="MS UI Gothic" w:cs="MS UI Gothic"/>
                <w:color w:val="auto"/>
                <w:sz w:val="21"/>
              </w:rPr>
            </w:pPr>
            <w:r>
              <w:rPr>
                <w:rFonts w:hint="default" w:ascii="PMingLiU" w:hAnsi="PMingLiU" w:eastAsia="PMingLiU" w:cs="PMingLiU"/>
                <w:color w:val="auto"/>
                <w:spacing w:val="-1"/>
                <w:sz w:val="21"/>
              </w:rPr>
              <w:t>设</w:t>
            </w:r>
            <w:r>
              <w:rPr>
                <w:rFonts w:hint="default" w:ascii="MS UI Gothic" w:hAnsi="MS UI Gothic" w:eastAsia="MS UI Gothic" w:cs="MS UI Gothic"/>
                <w:color w:val="auto"/>
                <w:spacing w:val="-1"/>
                <w:sz w:val="21"/>
              </w:rPr>
              <w:t>防</w:t>
            </w:r>
            <w:r>
              <w:rPr>
                <w:rFonts w:hint="default" w:ascii="PMingLiU" w:hAnsi="PMingLiU" w:eastAsia="PMingLiU" w:cs="PMingLiU"/>
                <w:color w:val="auto"/>
                <w:spacing w:val="-1"/>
                <w:sz w:val="21"/>
              </w:rPr>
              <w:t>护</w:t>
            </w:r>
            <w:r>
              <w:rPr>
                <w:rFonts w:hint="default" w:ascii="MS UI Gothic" w:hAnsi="MS UI Gothic" w:eastAsia="MS UI Gothic" w:cs="MS UI Gothic"/>
                <w:color w:val="auto"/>
                <w:spacing w:val="-1"/>
                <w:sz w:val="21"/>
              </w:rPr>
              <w:t>棚，</w:t>
            </w:r>
            <w:r>
              <w:rPr>
                <w:rFonts w:hint="default" w:ascii="MS UI Gothic" w:hAnsi="MS UI Gothic" w:eastAsia="MS UI Gothic" w:cs="MS UI Gothic"/>
                <w:color w:val="auto"/>
                <w:sz w:val="21"/>
              </w:rPr>
              <w:t>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w:t>
            </w:r>
            <w:r>
              <w:rPr>
                <w:rFonts w:hint="default" w:ascii="PMingLiU" w:hAnsi="PMingLiU" w:eastAsia="PMingLiU" w:cs="PMingLiU"/>
                <w:color w:val="auto"/>
                <w:sz w:val="21"/>
              </w:rPr>
              <w:t>应为</w:t>
            </w:r>
            <w:r>
              <w:rPr>
                <w:rFonts w:hint="default" w:ascii="MS UI Gothic" w:hAnsi="MS UI Gothic" w:eastAsia="MS UI Gothic" w:cs="MS UI Gothic"/>
                <w:color w:val="auto"/>
                <w:sz w:val="21"/>
              </w:rPr>
              <w:t>不小于</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5c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厚的木板或两道相距</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50c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的竹笆。两</w:t>
            </w:r>
            <w:r>
              <w:rPr>
                <w:rFonts w:hint="default" w:ascii="PMingLiU" w:hAnsi="PMingLiU" w:eastAsia="PMingLiU" w:cs="PMingLiU"/>
                <w:color w:val="auto"/>
                <w:sz w:val="21"/>
              </w:rPr>
              <w:t>侧应</w:t>
            </w:r>
            <w:r>
              <w:rPr>
                <w:rFonts w:hint="default" w:ascii="MS UI Gothic" w:hAnsi="MS UI Gothic" w:eastAsia="MS UI Gothic" w:cs="MS UI Gothic"/>
                <w:color w:val="auto"/>
                <w:sz w:val="21"/>
              </w:rPr>
              <w:t>沿</w:t>
            </w:r>
            <w:r>
              <w:rPr>
                <w:rFonts w:hint="default" w:ascii="PMingLiU" w:hAnsi="PMingLiU" w:eastAsia="PMingLiU" w:cs="PMingLiU"/>
                <w:color w:val="auto"/>
                <w:sz w:val="21"/>
              </w:rPr>
              <w:t>栏</w:t>
            </w:r>
            <w:r>
              <w:rPr>
                <w:rFonts w:hint="default" w:ascii="MS UI Gothic" w:hAnsi="MS UI Gothic" w:eastAsia="MS UI Gothic" w:cs="MS UI Gothic"/>
                <w:color w:val="auto"/>
                <w:sz w:val="21"/>
              </w:rPr>
              <w:t>杆架用密目式安全网封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预</w:t>
            </w:r>
            <w:r>
              <w:rPr>
                <w:rFonts w:hint="default" w:ascii="MS UI Gothic" w:hAnsi="MS UI Gothic" w:eastAsia="MS UI Gothic" w:cs="MS UI Gothic"/>
                <w:color w:val="auto"/>
                <w:sz w:val="21"/>
              </w:rPr>
              <w:t>留洞口</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0" w:after="0" w:line="300" w:lineRule="exact"/>
              <w:ind w:left="103" w:right="252"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1"/>
                <w:sz w:val="21"/>
              </w:rPr>
              <w:t>用硬</w:t>
            </w:r>
            <w:r>
              <w:rPr>
                <w:rFonts w:hint="default" w:ascii="PMingLiU" w:hAnsi="PMingLiU" w:eastAsia="PMingLiU" w:cs="PMingLiU"/>
                <w:color w:val="auto"/>
                <w:spacing w:val="-1"/>
                <w:sz w:val="21"/>
              </w:rPr>
              <w:t>质</w:t>
            </w:r>
            <w:r>
              <w:rPr>
                <w:rFonts w:hint="default" w:ascii="MS UI Gothic" w:hAnsi="MS UI Gothic" w:eastAsia="MS UI Gothic" w:cs="MS UI Gothic"/>
                <w:color w:val="auto"/>
                <w:spacing w:val="-1"/>
                <w:sz w:val="21"/>
              </w:rPr>
              <w:t>材料全</w:t>
            </w:r>
            <w:r>
              <w:rPr>
                <w:rFonts w:hint="default" w:ascii="MS UI Gothic" w:hAnsi="MS UI Gothic" w:eastAsia="MS UI Gothic" w:cs="MS UI Gothic"/>
                <w:color w:val="auto"/>
                <w:sz w:val="21"/>
              </w:rPr>
              <w:t>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，短</w:t>
            </w:r>
            <w:r>
              <w:rPr>
                <w:rFonts w:hint="default" w:ascii="PMingLiU" w:hAnsi="PMingLiU" w:eastAsia="PMingLiU" w:cs="PMingLiU"/>
                <w:color w:val="auto"/>
                <w:sz w:val="21"/>
              </w:rPr>
              <w:t>边</w:t>
            </w:r>
            <w:r>
              <w:rPr>
                <w:rFonts w:hint="default" w:ascii="MS UI Gothic" w:hAnsi="MS UI Gothic" w:eastAsia="MS UI Gothic" w:cs="MS UI Gothic"/>
                <w:color w:val="auto"/>
                <w:sz w:val="21"/>
              </w:rPr>
              <w:t>超</w:t>
            </w:r>
            <w:r>
              <w:rPr>
                <w:rFonts w:hint="default" w:ascii="PMingLiU" w:hAnsi="PMingLiU" w:eastAsia="PMingLiU" w:cs="PMingLiU"/>
                <w:color w:val="auto"/>
                <w:sz w:val="21"/>
              </w:rPr>
              <w:t>过</w:t>
            </w:r>
            <w:r>
              <w:rPr>
                <w:rFonts w:hint="default" w:ascii="PMingLiU" w:hAnsi="PMingLiU" w:eastAsia="PMingLiU" w:cs="PMingLiU"/>
                <w:color w:val="auto"/>
                <w:spacing w:val="-26"/>
                <w:sz w:val="21"/>
              </w:rPr>
              <w:t xml:space="preserve"> </w:t>
            </w:r>
            <w:r>
              <w:rPr>
                <w:rFonts w:hint="default" w:ascii="Times New Roman" w:hAnsi="Times New Roman" w:eastAsia="Times New Roman" w:cs="Times New Roman"/>
                <w:color w:val="auto"/>
                <w:sz w:val="21"/>
              </w:rPr>
              <w:t>1.5</w:t>
            </w:r>
            <w:r>
              <w:rPr>
                <w:rFonts w:hint="default" w:ascii="Times New Roman" w:hAnsi="Times New Roman" w:eastAsia="Times New Roman" w:cs="Times New Roman"/>
                <w:color w:val="auto"/>
                <w:spacing w:val="52"/>
                <w:sz w:val="21"/>
              </w:rPr>
              <w:t>m</w:t>
            </w:r>
            <w:r>
              <w:rPr>
                <w:rFonts w:hint="default" w:ascii="PMingLiU" w:hAnsi="PMingLiU" w:eastAsia="PMingLiU" w:cs="PMingLiU"/>
                <w:color w:val="auto"/>
                <w:sz w:val="21"/>
              </w:rPr>
              <w:t>长</w:t>
            </w:r>
            <w:r>
              <w:rPr>
                <w:rFonts w:hint="default" w:ascii="MS UI Gothic" w:hAnsi="MS UI Gothic" w:eastAsia="MS UI Gothic" w:cs="MS UI Gothic"/>
                <w:color w:val="auto"/>
                <w:sz w:val="21"/>
              </w:rPr>
              <w:t>的洞口，除封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外四周</w:t>
            </w:r>
            <w:r>
              <w:rPr>
                <w:rFonts w:hint="default" w:ascii="PMingLiU" w:hAnsi="PMingLiU" w:eastAsia="PMingLiU" w:cs="PMingLiU"/>
                <w:color w:val="auto"/>
                <w:sz w:val="21"/>
              </w:rPr>
              <w:t>还应设</w:t>
            </w:r>
            <w:r>
              <w:rPr>
                <w:rFonts w:hint="default" w:ascii="MS UI Gothic" w:hAnsi="MS UI Gothic" w:eastAsia="MS UI Gothic" w:cs="MS UI Gothic"/>
                <w:color w:val="auto"/>
                <w:sz w:val="21"/>
              </w:rPr>
              <w:t>有防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杆。</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5"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182"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电</w:t>
            </w:r>
            <w:r>
              <w:rPr>
                <w:rFonts w:hint="default" w:ascii="MS UI Gothic" w:hAnsi="MS UI Gothic" w:eastAsia="MS UI Gothic" w:cs="MS UI Gothic"/>
                <w:color w:val="auto"/>
                <w:sz w:val="21"/>
              </w:rPr>
              <w:t>梯井口</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2" w:after="0" w:line="300" w:lineRule="exact"/>
              <w:ind w:left="103" w:right="147" w:firstLine="0"/>
              <w:jc w:val="both"/>
              <w:textAlignment w:val="auto"/>
              <w:rPr>
                <w:rFonts w:hint="default" w:ascii="MS UI Gothic" w:hAnsi="MS UI Gothic" w:eastAsia="MS UI Gothic" w:cs="MS UI Gothic"/>
                <w:color w:val="auto"/>
                <w:sz w:val="21"/>
              </w:rPr>
            </w:pPr>
            <w:r>
              <w:rPr>
                <w:rFonts w:hint="default" w:ascii="PMingLiU" w:hAnsi="PMingLiU" w:eastAsia="PMingLiU" w:cs="PMingLiU"/>
                <w:color w:val="auto"/>
                <w:spacing w:val="-1"/>
                <w:sz w:val="21"/>
              </w:rPr>
              <w:t>设</w:t>
            </w:r>
            <w:r>
              <w:rPr>
                <w:rFonts w:hint="default" w:ascii="MS UI Gothic" w:hAnsi="MS UI Gothic" w:eastAsia="MS UI Gothic" w:cs="MS UI Gothic"/>
                <w:color w:val="auto"/>
                <w:spacing w:val="-1"/>
                <w:sz w:val="21"/>
              </w:rPr>
              <w:t>置定型化、</w:t>
            </w:r>
            <w:r>
              <w:rPr>
                <w:rFonts w:hint="default" w:ascii="MS UI Gothic" w:hAnsi="MS UI Gothic" w:eastAsia="MS UI Gothic" w:cs="MS UI Gothic"/>
                <w:color w:val="auto"/>
                <w:sz w:val="21"/>
              </w:rPr>
              <w:t>工具化的防</w:t>
            </w:r>
            <w:r>
              <w:rPr>
                <w:rFonts w:hint="default" w:ascii="PMingLiU" w:hAnsi="PMingLiU" w:eastAsia="PMingLiU" w:cs="PMingLiU"/>
                <w:color w:val="auto"/>
                <w:sz w:val="21"/>
              </w:rPr>
              <w:t>护门</w:t>
            </w:r>
            <w:r>
              <w:rPr>
                <w:rFonts w:hint="default" w:ascii="MS UI Gothic" w:hAnsi="MS UI Gothic" w:eastAsia="MS UI Gothic" w:cs="MS UI Gothic"/>
                <w:color w:val="auto"/>
                <w:sz w:val="21"/>
              </w:rPr>
              <w:t>，在</w:t>
            </w:r>
            <w:r>
              <w:rPr>
                <w:rFonts w:hint="default" w:ascii="PMingLiU" w:hAnsi="PMingLiU" w:eastAsia="PMingLiU" w:cs="PMingLiU"/>
                <w:color w:val="auto"/>
                <w:sz w:val="21"/>
              </w:rPr>
              <w:t>电</w:t>
            </w:r>
            <w:r>
              <w:rPr>
                <w:rFonts w:hint="default" w:ascii="MS UI Gothic" w:hAnsi="MS UI Gothic" w:eastAsia="MS UI Gothic" w:cs="MS UI Gothic"/>
                <w:color w:val="auto"/>
                <w:sz w:val="21"/>
              </w:rPr>
              <w:t>梯井内每隔</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pacing w:val="53"/>
                <w:sz w:val="21"/>
              </w:rPr>
              <w:t>2</w:t>
            </w:r>
            <w:r>
              <w:rPr>
                <w:rFonts w:hint="default" w:ascii="PMingLiU" w:hAnsi="PMingLiU" w:eastAsia="PMingLiU" w:cs="PMingLiU"/>
                <w:color w:val="auto"/>
                <w:sz w:val="21"/>
              </w:rPr>
              <w:t>层</w:t>
            </w:r>
            <w:r>
              <w:rPr>
                <w:rFonts w:hint="default" w:ascii="MS UI Gothic" w:hAnsi="MS UI Gothic" w:eastAsia="MS UI Gothic" w:cs="MS UI Gothic"/>
                <w:color w:val="auto"/>
                <w:sz w:val="21"/>
              </w:rPr>
              <w:t>（不大于</w:t>
            </w:r>
            <w:r>
              <w:rPr>
                <w:rFonts w:hint="default" w:ascii="MS UI Gothic" w:hAnsi="MS UI Gothic" w:eastAsia="MS UI Gothic" w:cs="MS UI Gothic"/>
                <w:color w:val="auto"/>
                <w:spacing w:val="-26"/>
                <w:sz w:val="21"/>
              </w:rPr>
              <w:t xml:space="preserve"> </w:t>
            </w:r>
            <w:r>
              <w:rPr>
                <w:rFonts w:hint="default" w:ascii="Times New Roman" w:hAnsi="Times New Roman" w:eastAsia="Times New Roman" w:cs="Times New Roman"/>
                <w:color w:val="auto"/>
                <w:sz w:val="21"/>
              </w:rPr>
              <w:t>10m</w:t>
            </w:r>
            <w:r>
              <w:rPr>
                <w:rFonts w:hint="default" w:ascii="MS UI Gothic" w:hAnsi="MS UI Gothic" w:eastAsia="MS UI Gothic" w:cs="MS UI Gothic"/>
                <w:color w:val="auto"/>
                <w:sz w:val="21"/>
              </w:rPr>
              <w:t>）</w:t>
            </w:r>
            <w:r>
              <w:rPr>
                <w:rFonts w:hint="default" w:ascii="PMingLiU" w:hAnsi="PMingLiU" w:eastAsia="PMingLiU" w:cs="PMingLiU"/>
                <w:color w:val="auto"/>
                <w:sz w:val="21"/>
              </w:rPr>
              <w:t>设</w:t>
            </w:r>
            <w:r>
              <w:rPr>
                <w:rFonts w:hint="default" w:ascii="MS UI Gothic" w:hAnsi="MS UI Gothic" w:eastAsia="MS UI Gothic" w:cs="MS UI Gothic"/>
                <w:color w:val="auto"/>
                <w:sz w:val="21"/>
              </w:rPr>
              <w:t>置一道水平防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3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30" w:after="0" w:line="263" w:lineRule="exact"/>
              <w:ind w:left="103"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楼梯</w:t>
            </w:r>
            <w:r>
              <w:rPr>
                <w:rFonts w:hint="default" w:ascii="PMingLiU" w:hAnsi="PMingLiU" w:eastAsia="PMingLiU" w:cs="PMingLiU"/>
                <w:color w:val="auto"/>
                <w:sz w:val="21"/>
              </w:rPr>
              <w:t>边</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PMingLiU" w:hAnsi="PMingLiU" w:eastAsia="PMingLiU" w:cs="PMingLiU"/>
                <w:color w:val="auto"/>
                <w:spacing w:val="-26"/>
                <w:sz w:val="21"/>
              </w:rPr>
              <w:t xml:space="preserve"> </w:t>
            </w:r>
            <w:r>
              <w:rPr>
                <w:rFonts w:hint="default" w:ascii="Times New Roman" w:hAnsi="Times New Roman" w:eastAsia="Times New Roman" w:cs="Times New Roman"/>
                <w:color w:val="auto"/>
                <w:sz w:val="21"/>
              </w:rPr>
              <w:t>1.2</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高的定型化、工具化的防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w:t>
            </w:r>
            <w:r>
              <w:rPr>
                <w:rFonts w:hint="default" w:ascii="Times New Roman" w:hAnsi="Times New Roman" w:eastAsia="Times New Roman" w:cs="Times New Roman"/>
                <w:color w:val="auto"/>
                <w:sz w:val="21"/>
              </w:rPr>
              <w:t>18c</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高的踢脚板。</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0" w:after="0" w:line="300" w:lineRule="exact"/>
              <w:ind w:left="103" w:right="172" w:firstLine="0"/>
              <w:jc w:val="both"/>
              <w:textAlignment w:val="auto"/>
              <w:rPr>
                <w:rFonts w:hint="default" w:ascii="PMingLiU" w:hAnsi="PMingLiU" w:eastAsia="PMingLiU" w:cs="PMingLiU"/>
                <w:color w:val="auto"/>
                <w:sz w:val="21"/>
              </w:rPr>
            </w:pPr>
            <w:r>
              <w:rPr>
                <w:rFonts w:hint="default" w:ascii="MS UI Gothic" w:hAnsi="MS UI Gothic" w:eastAsia="MS UI Gothic" w:cs="MS UI Gothic"/>
                <w:color w:val="auto"/>
                <w:spacing w:val="-2"/>
                <w:sz w:val="21"/>
              </w:rPr>
              <w:t>垂</w:t>
            </w:r>
            <w:r>
              <w:rPr>
                <w:rFonts w:hint="default" w:ascii="MS UI Gothic" w:hAnsi="MS UI Gothic" w:eastAsia="MS UI Gothic" w:cs="MS UI Gothic"/>
                <w:color w:val="auto"/>
                <w:spacing w:val="-1"/>
                <w:sz w:val="21"/>
              </w:rPr>
              <w:t>直方向交</w:t>
            </w:r>
            <w:r>
              <w:rPr>
                <w:rFonts w:hint="default" w:ascii="MS UI Gothic" w:hAnsi="MS UI Gothic" w:eastAsia="MS UI Gothic" w:cs="MS UI Gothic"/>
                <w:color w:val="auto"/>
                <w:sz w:val="21"/>
              </w:rPr>
              <w:t>叉作</w:t>
            </w:r>
            <w:r>
              <w:rPr>
                <w:rFonts w:hint="default" w:ascii="PMingLiU" w:hAnsi="PMingLiU" w:eastAsia="PMingLiU" w:cs="PMingLiU"/>
                <w:color w:val="auto"/>
                <w:sz w:val="21"/>
              </w:rPr>
              <w:t>业</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置防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隔离棚或其它</w:t>
            </w:r>
            <w:r>
              <w:rPr>
                <w:rFonts w:hint="default" w:ascii="PMingLiU" w:hAnsi="PMingLiU" w:eastAsia="PMingLiU" w:cs="PMingLiU"/>
                <w:color w:val="auto"/>
                <w:sz w:val="21"/>
              </w:rPr>
              <w:t>设</w:t>
            </w:r>
            <w:r>
              <w:rPr>
                <w:rFonts w:hint="default" w:ascii="MS UI Gothic" w:hAnsi="MS UI Gothic" w:eastAsia="MS UI Gothic" w:cs="MS UI Gothic"/>
                <w:color w:val="auto"/>
                <w:sz w:val="21"/>
              </w:rPr>
              <w:t>施。</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180" w:after="0" w:line="263" w:lineRule="exact"/>
              <w:ind w:left="103"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高</w:t>
            </w:r>
            <w:r>
              <w:rPr>
                <w:rFonts w:hint="default" w:ascii="PMingLiU" w:hAnsi="PMingLiU" w:eastAsia="PMingLiU" w:cs="PMingLiU"/>
                <w:color w:val="auto"/>
                <w:sz w:val="21"/>
              </w:rPr>
              <w:t>处</w:t>
            </w:r>
            <w:r>
              <w:rPr>
                <w:rFonts w:hint="default" w:ascii="MS UI Gothic" w:hAnsi="MS UI Gothic" w:eastAsia="MS UI Gothic" w:cs="MS UI Gothic"/>
                <w:color w:val="auto"/>
                <w:sz w:val="21"/>
              </w:rPr>
              <w:t>作</w:t>
            </w:r>
            <w:r>
              <w:rPr>
                <w:rFonts w:hint="default" w:ascii="PMingLiU" w:hAnsi="PMingLiU" w:eastAsia="PMingLiU" w:cs="PMingLiU"/>
                <w:color w:val="auto"/>
                <w:sz w:val="21"/>
              </w:rPr>
              <w:t>业</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有</w:t>
            </w:r>
            <w:r>
              <w:rPr>
                <w:rFonts w:hint="default" w:ascii="PMingLiU" w:hAnsi="PMingLiU" w:eastAsia="PMingLiU" w:cs="PMingLiU"/>
                <w:color w:val="auto"/>
                <w:sz w:val="21"/>
              </w:rPr>
              <w:t>悬</w:t>
            </w:r>
            <w:r>
              <w:rPr>
                <w:rFonts w:hint="default" w:ascii="MS UI Gothic" w:hAnsi="MS UI Gothic" w:eastAsia="MS UI Gothic" w:cs="MS UI Gothic"/>
                <w:color w:val="auto"/>
                <w:sz w:val="21"/>
              </w:rPr>
              <w:t>挂安全</w:t>
            </w:r>
            <w:r>
              <w:rPr>
                <w:rFonts w:hint="default" w:ascii="PMingLiU" w:hAnsi="PMingLiU" w:eastAsia="PMingLiU" w:cs="PMingLiU"/>
                <w:color w:val="auto"/>
                <w:sz w:val="21"/>
              </w:rPr>
              <w:t>带</w:t>
            </w:r>
            <w:r>
              <w:rPr>
                <w:rFonts w:hint="default" w:ascii="MS UI Gothic" w:hAnsi="MS UI Gothic" w:eastAsia="MS UI Gothic" w:cs="MS UI Gothic"/>
                <w:color w:val="auto"/>
                <w:sz w:val="21"/>
              </w:rPr>
              <w:t>的</w:t>
            </w:r>
            <w:r>
              <w:rPr>
                <w:rFonts w:hint="default" w:ascii="PMingLiU" w:hAnsi="PMingLiU" w:eastAsia="PMingLiU" w:cs="PMingLiU"/>
                <w:color w:val="auto"/>
                <w:sz w:val="21"/>
              </w:rPr>
              <w:t>悬</w:t>
            </w:r>
            <w:r>
              <w:rPr>
                <w:rFonts w:hint="default" w:ascii="MS UI Gothic" w:hAnsi="MS UI Gothic" w:eastAsia="MS UI Gothic" w:cs="MS UI Gothic"/>
                <w:color w:val="auto"/>
                <w:sz w:val="21"/>
              </w:rPr>
              <w:t>索或其它</w:t>
            </w:r>
            <w:r>
              <w:rPr>
                <w:rFonts w:hint="default" w:ascii="PMingLiU" w:hAnsi="PMingLiU" w:eastAsia="PMingLiU" w:cs="PMingLiU"/>
                <w:color w:val="auto"/>
                <w:sz w:val="21"/>
              </w:rPr>
              <w:t>设</w:t>
            </w:r>
            <w:r>
              <w:rPr>
                <w:rFonts w:hint="default" w:ascii="MS UI Gothic" w:hAnsi="MS UI Gothic" w:eastAsia="MS UI Gothic" w:cs="MS UI Gothic"/>
                <w:color w:val="auto"/>
                <w:sz w:val="21"/>
              </w:rPr>
              <w:t>施，有操作平台，有上下的梯子或其它形</w:t>
            </w:r>
          </w:p>
          <w:p>
            <w:pPr>
              <w:autoSpaceDE w:val="0"/>
              <w:autoSpaceDN w:val="0"/>
              <w:snapToGrid w:val="0"/>
              <w:spacing w:before="67"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式的通道。</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0" w:after="0" w:line="300" w:lineRule="exact"/>
              <w:ind w:left="103" w:right="243"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2"/>
                <w:sz w:val="21"/>
              </w:rPr>
              <w:t>基</w:t>
            </w:r>
            <w:r>
              <w:rPr>
                <w:rFonts w:hint="default" w:ascii="MS UI Gothic" w:hAnsi="MS UI Gothic" w:eastAsia="MS UI Gothic" w:cs="MS UI Gothic"/>
                <w:color w:val="auto"/>
                <w:spacing w:val="-1"/>
                <w:sz w:val="21"/>
              </w:rPr>
              <w:t>坑、物料</w:t>
            </w:r>
            <w:r>
              <w:rPr>
                <w:rFonts w:hint="default" w:ascii="MS UI Gothic" w:hAnsi="MS UI Gothic" w:eastAsia="MS UI Gothic" w:cs="MS UI Gothic"/>
                <w:color w:val="auto"/>
                <w:sz w:val="21"/>
              </w:rPr>
              <w:t>平台</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80"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PMingLiU" w:hAnsi="PMingLiU" w:eastAsia="PMingLiU" w:cs="PMingLiU"/>
                <w:color w:val="auto"/>
                <w:spacing w:val="-26"/>
                <w:sz w:val="21"/>
              </w:rPr>
              <w:t xml:space="preserve"> </w:t>
            </w:r>
            <w:r>
              <w:rPr>
                <w:rFonts w:hint="default" w:ascii="Times New Roman" w:hAnsi="Times New Roman" w:eastAsia="Times New Roman" w:cs="Times New Roman"/>
                <w:color w:val="auto"/>
                <w:sz w:val="21"/>
              </w:rPr>
              <w:t>1.2</w:t>
            </w:r>
            <w:r>
              <w:rPr>
                <w:rFonts w:hint="default" w:ascii="Times New Roman" w:hAnsi="Times New Roman" w:eastAsia="Times New Roman" w:cs="Times New Roman"/>
                <w:color w:val="auto"/>
                <w:spacing w:val="52"/>
                <w:sz w:val="21"/>
              </w:rPr>
              <w:t>m</w:t>
            </w:r>
            <w:r>
              <w:rPr>
                <w:rFonts w:hint="default" w:ascii="MS UI Gothic" w:hAnsi="MS UI Gothic" w:eastAsia="MS UI Gothic" w:cs="MS UI Gothic"/>
                <w:color w:val="auto"/>
                <w:sz w:val="21"/>
              </w:rPr>
              <w:t>高</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准化的防</w:t>
            </w:r>
            <w:r>
              <w:rPr>
                <w:rFonts w:hint="default" w:ascii="PMingLiU" w:hAnsi="PMingLiU" w:eastAsia="PMingLiU" w:cs="PMingLiU"/>
                <w:color w:val="auto"/>
                <w:sz w:val="21"/>
              </w:rPr>
              <w:t>护栏</w:t>
            </w:r>
            <w:r>
              <w:rPr>
                <w:rFonts w:hint="default" w:ascii="MS UI Gothic" w:hAnsi="MS UI Gothic" w:eastAsia="MS UI Gothic" w:cs="MS UI Gothic"/>
                <w:color w:val="auto"/>
                <w:sz w:val="21"/>
              </w:rPr>
              <w:t>，用密目式安全立网封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w:t>
            </w:r>
            <w:r>
              <w:rPr>
                <w:rFonts w:hint="default" w:ascii="PMingLiU" w:hAnsi="PMingLiU" w:eastAsia="PMingLiU" w:cs="PMingLiU"/>
                <w:color w:val="auto"/>
                <w:sz w:val="21"/>
              </w:rPr>
              <w:t>悬</w:t>
            </w:r>
            <w:r>
              <w:rPr>
                <w:rFonts w:hint="default" w:ascii="MS UI Gothic" w:hAnsi="MS UI Gothic" w:eastAsia="MS UI Gothic" w:cs="MS UI Gothic"/>
                <w:color w:val="auto"/>
                <w:sz w:val="21"/>
              </w:rPr>
              <w:t>挂</w:t>
            </w:r>
            <w:r>
              <w:rPr>
                <w:rFonts w:hint="default" w:ascii="PMingLiU" w:hAnsi="PMingLiU" w:eastAsia="PMingLiU" w:cs="PMingLiU"/>
                <w:color w:val="auto"/>
                <w:sz w:val="21"/>
              </w:rPr>
              <w:t>标识</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10" w:hRule="exact"/>
        </w:trPr>
        <w:tc>
          <w:tcPr>
            <w:tcW w:w="750" w:type="dxa"/>
            <w:vMerge w:val="continue"/>
            <w:tcBorders>
              <w:top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tcBorders>
            <w:vAlign w:val="top"/>
          </w:tcPr>
          <w:p>
            <w:pPr>
              <w:autoSpaceDE w:val="0"/>
              <w:autoSpaceDN w:val="0"/>
              <w:snapToGrid w:val="0"/>
              <w:spacing w:before="180" w:after="0" w:line="263" w:lineRule="exact"/>
              <w:ind w:left="400"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用品</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安全帽、安全</w:t>
            </w:r>
            <w:r>
              <w:rPr>
                <w:rFonts w:hint="default" w:ascii="PMingLiU" w:hAnsi="PMingLiU" w:eastAsia="PMingLiU" w:cs="PMingLiU"/>
                <w:color w:val="auto"/>
                <w:sz w:val="21"/>
              </w:rPr>
              <w:t>带</w:t>
            </w:r>
            <w:r>
              <w:rPr>
                <w:rFonts w:hint="default" w:ascii="MS UI Gothic" w:hAnsi="MS UI Gothic" w:eastAsia="MS UI Gothic" w:cs="MS UI Gothic"/>
                <w:color w:val="auto"/>
                <w:sz w:val="21"/>
              </w:rPr>
              <w:t>、特种作</w:t>
            </w:r>
            <w:r>
              <w:rPr>
                <w:rFonts w:hint="default" w:ascii="PMingLiU" w:hAnsi="PMingLiU" w:eastAsia="PMingLiU" w:cs="PMingLiU"/>
                <w:color w:val="auto"/>
                <w:sz w:val="21"/>
              </w:rPr>
              <w:t>业</w:t>
            </w:r>
            <w:r>
              <w:rPr>
                <w:rFonts w:hint="default" w:ascii="MS UI Gothic" w:hAnsi="MS UI Gothic" w:eastAsia="MS UI Gothic" w:cs="MS UI Gothic"/>
                <w:color w:val="auto"/>
                <w:sz w:val="21"/>
              </w:rPr>
              <w:t>人</w:t>
            </w:r>
            <w:r>
              <w:rPr>
                <w:rFonts w:hint="default" w:ascii="PMingLiU" w:hAnsi="PMingLiU" w:eastAsia="PMingLiU" w:cs="PMingLiU"/>
                <w:color w:val="auto"/>
                <w:sz w:val="21"/>
              </w:rPr>
              <w:t>员</w:t>
            </w:r>
            <w:r>
              <w:rPr>
                <w:rFonts w:hint="default" w:ascii="MS UI Gothic" w:hAnsi="MS UI Gothic" w:eastAsia="MS UI Gothic" w:cs="MS UI Gothic"/>
                <w:color w:val="auto"/>
                <w:sz w:val="21"/>
              </w:rPr>
              <w:t>（</w:t>
            </w:r>
            <w:r>
              <w:rPr>
                <w:rFonts w:hint="default" w:ascii="PMingLiU" w:hAnsi="PMingLiU" w:eastAsia="PMingLiU" w:cs="PMingLiU"/>
                <w:color w:val="auto"/>
                <w:sz w:val="21"/>
              </w:rPr>
              <w:t>电</w:t>
            </w:r>
            <w:r>
              <w:rPr>
                <w:rFonts w:hint="default" w:ascii="MS UI Gothic" w:hAnsi="MS UI Gothic" w:eastAsia="MS UI Gothic" w:cs="MS UI Gothic"/>
                <w:color w:val="auto"/>
                <w:sz w:val="21"/>
              </w:rPr>
              <w:t>工、</w:t>
            </w:r>
            <w:r>
              <w:rPr>
                <w:rFonts w:hint="default" w:ascii="PMingLiU" w:hAnsi="PMingLiU" w:eastAsia="PMingLiU" w:cs="PMingLiU"/>
                <w:color w:val="auto"/>
                <w:sz w:val="21"/>
              </w:rPr>
              <w:t>焊</w:t>
            </w:r>
            <w:r>
              <w:rPr>
                <w:rFonts w:hint="default" w:ascii="MS UI Gothic" w:hAnsi="MS UI Gothic" w:eastAsia="MS UI Gothic" w:cs="MS UI Gothic"/>
                <w:color w:val="auto"/>
                <w:sz w:val="21"/>
              </w:rPr>
              <w:t>工、架子工等）防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服装、用品</w:t>
            </w:r>
          </w:p>
          <w:p>
            <w:pPr>
              <w:autoSpaceDE w:val="0"/>
              <w:autoSpaceDN w:val="0"/>
              <w:snapToGrid w:val="0"/>
              <w:spacing w:before="67" w:after="0" w:line="226"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65" w:hRule="exact"/>
        </w:trPr>
        <w:tc>
          <w:tcPr>
            <w:tcW w:w="750" w:type="dxa"/>
            <w:vMerge w:val="restart"/>
            <w:tcBorders>
              <w:top w:val="single" w:color="000000" w:sz="4" w:space="0"/>
              <w:bottom w:val="single" w:color="000000" w:sz="12" w:space="0"/>
            </w:tcBorders>
            <w:vAlign w:val="top"/>
          </w:tcPr>
          <w:p>
            <w:pPr>
              <w:autoSpaceDE w:val="0"/>
              <w:autoSpaceDN w:val="0"/>
              <w:snapToGrid w:val="0"/>
              <w:spacing w:before="1625" w:after="0" w:line="226" w:lineRule="exact"/>
              <w:ind w:left="144"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其它</w:t>
            </w:r>
          </w:p>
        </w:tc>
        <w:tc>
          <w:tcPr>
            <w:tcW w:w="534" w:type="dxa"/>
            <w:vMerge w:val="restart"/>
            <w:tcBorders>
              <w:top w:val="single" w:color="000000" w:sz="4" w:space="0"/>
              <w:left w:val="single" w:color="000000" w:sz="4" w:space="0"/>
            </w:tcBorders>
            <w:vAlign w:val="top"/>
          </w:tcPr>
          <w:p>
            <w:pPr>
              <w:autoSpaceDE w:val="0"/>
              <w:autoSpaceDN w:val="0"/>
              <w:snapToGrid w:val="0"/>
              <w:spacing w:before="60"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机</w:t>
            </w:r>
          </w:p>
          <w:p>
            <w:pPr>
              <w:autoSpaceDE w:val="0"/>
              <w:autoSpaceDN w:val="0"/>
              <w:snapToGrid w:val="0"/>
              <w:spacing w:before="74"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械</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设</w:t>
            </w:r>
          </w:p>
          <w:p>
            <w:pPr>
              <w:autoSpaceDE w:val="0"/>
              <w:autoSpaceDN w:val="0"/>
              <w:snapToGrid w:val="0"/>
              <w:spacing w:before="38"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备</w:t>
            </w:r>
          </w:p>
          <w:p>
            <w:pPr>
              <w:autoSpaceDE w:val="0"/>
              <w:autoSpaceDN w:val="0"/>
              <w:snapToGrid w:val="0"/>
              <w:spacing w:before="67" w:after="0" w:line="226" w:lineRule="exact"/>
              <w:ind w:left="15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防</w:t>
            </w:r>
          </w:p>
          <w:p>
            <w:pPr>
              <w:autoSpaceDE w:val="0"/>
              <w:autoSpaceDN w:val="0"/>
              <w:snapToGrid w:val="0"/>
              <w:spacing w:before="45" w:after="0" w:line="263" w:lineRule="exact"/>
              <w:ind w:left="152"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护</w:t>
            </w:r>
          </w:p>
        </w:tc>
        <w:tc>
          <w:tcPr>
            <w:tcW w:w="1533" w:type="dxa"/>
            <w:tcBorders>
              <w:top w:val="single" w:color="000000" w:sz="4" w:space="0"/>
              <w:left w:val="single" w:color="000000" w:sz="4" w:space="0"/>
            </w:tcBorders>
            <w:vAlign w:val="top"/>
          </w:tcPr>
          <w:p>
            <w:pPr>
              <w:autoSpaceDE w:val="0"/>
              <w:autoSpaceDN w:val="0"/>
              <w:snapToGrid w:val="0"/>
              <w:spacing w:before="237" w:after="0" w:line="226" w:lineRule="exact"/>
              <w:ind w:left="242"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中小型机械</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208" w:after="0" w:line="263" w:lineRule="exact"/>
              <w:ind w:left="103"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设</w:t>
            </w:r>
            <w:r>
              <w:rPr>
                <w:rFonts w:hint="default" w:ascii="MS UI Gothic" w:hAnsi="MS UI Gothic" w:eastAsia="MS UI Gothic" w:cs="MS UI Gothic"/>
                <w:color w:val="auto"/>
                <w:sz w:val="21"/>
              </w:rPr>
              <w:t>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棚（同通道口防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并有防雨措施）。</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1145"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534" w:type="dxa"/>
            <w:vMerge w:val="continue"/>
            <w:tcBorders>
              <w:top w:val="single" w:color="000000" w:sz="4" w:space="0"/>
              <w:left w:val="single" w:color="000000" w:sz="4"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1533" w:type="dxa"/>
            <w:tcBorders>
              <w:top w:val="single" w:color="000000" w:sz="4" w:space="0"/>
              <w:left w:val="single" w:color="000000" w:sz="4" w:space="0"/>
            </w:tcBorders>
            <w:vAlign w:val="top"/>
          </w:tcPr>
          <w:p>
            <w:pPr>
              <w:autoSpaceDE w:val="0"/>
              <w:autoSpaceDN w:val="0"/>
              <w:snapToGrid w:val="0"/>
              <w:spacing w:before="448" w:after="0" w:line="263" w:lineRule="exact"/>
              <w:ind w:left="137"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z w:val="21"/>
              </w:rPr>
              <w:t>垂直运</w:t>
            </w:r>
            <w:r>
              <w:rPr>
                <w:rFonts w:hint="default" w:ascii="PMingLiU" w:hAnsi="PMingLiU" w:eastAsia="PMingLiU" w:cs="PMingLiU"/>
                <w:color w:val="auto"/>
                <w:sz w:val="21"/>
              </w:rPr>
              <w:t>输设备</w:t>
            </w:r>
          </w:p>
        </w:tc>
        <w:tc>
          <w:tcPr>
            <w:tcW w:w="6667" w:type="dxa"/>
            <w:tcBorders>
              <w:top w:val="single" w:color="000000" w:sz="4" w:space="0"/>
              <w:left w:val="single" w:color="000000" w:sz="4" w:space="0"/>
              <w:right w:val="single" w:color="000000" w:sz="12" w:space="0"/>
            </w:tcBorders>
            <w:vAlign w:val="top"/>
          </w:tcPr>
          <w:p>
            <w:pPr>
              <w:numPr>
                <w:ilvl w:val="0"/>
                <w:numId w:val="103"/>
              </w:numPr>
              <w:tabs>
                <w:tab w:val="left" w:pos="370"/>
              </w:tabs>
              <w:autoSpaceDE w:val="0"/>
              <w:autoSpaceDN w:val="0"/>
              <w:snapToGrid w:val="0"/>
              <w:spacing w:before="148" w:after="0" w:line="263" w:lineRule="exact"/>
              <w:ind w:left="103" w:right="0" w:firstLine="0"/>
              <w:jc w:val="left"/>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z w:val="21"/>
              </w:rPr>
              <w:t>垂直运</w:t>
            </w:r>
            <w:r>
              <w:rPr>
                <w:rFonts w:hint="default" w:ascii="PMingLiU" w:hAnsi="PMingLiU" w:eastAsia="PMingLiU" w:cs="PMingLiU"/>
                <w:color w:val="auto"/>
                <w:sz w:val="21"/>
              </w:rPr>
              <w:t>输设备检测</w:t>
            </w:r>
            <w:r>
              <w:rPr>
                <w:rFonts w:hint="default" w:ascii="MS UI Gothic" w:hAnsi="MS UI Gothic" w:eastAsia="MS UI Gothic" w:cs="MS UI Gothic"/>
                <w:color w:val="auto"/>
                <w:sz w:val="21"/>
              </w:rPr>
              <w:t>、</w:t>
            </w:r>
            <w:r>
              <w:rPr>
                <w:rFonts w:hint="default" w:ascii="PMingLiU" w:hAnsi="PMingLiU" w:eastAsia="PMingLiU" w:cs="PMingLiU"/>
                <w:color w:val="auto"/>
                <w:sz w:val="21"/>
              </w:rPr>
              <w:t>检验</w:t>
            </w:r>
            <w:r>
              <w:rPr>
                <w:rFonts w:hint="default" w:ascii="MS UI Gothic" w:hAnsi="MS UI Gothic" w:eastAsia="MS UI Gothic" w:cs="MS UI Gothic"/>
                <w:color w:val="auto"/>
                <w:sz w:val="21"/>
              </w:rPr>
              <w:t>、日常</w:t>
            </w:r>
            <w:r>
              <w:rPr>
                <w:rFonts w:hint="default" w:ascii="PMingLiU" w:hAnsi="PMingLiU" w:eastAsia="PMingLiU" w:cs="PMingLiU"/>
                <w:color w:val="auto"/>
                <w:sz w:val="21"/>
              </w:rPr>
              <w:t>维护</w:t>
            </w:r>
            <w:r>
              <w:rPr>
                <w:rFonts w:hint="default" w:ascii="MS UI Gothic" w:hAnsi="MS UI Gothic" w:eastAsia="MS UI Gothic" w:cs="MS UI Gothic"/>
                <w:color w:val="auto"/>
                <w:sz w:val="21"/>
              </w:rPr>
              <w:t>、保养等。</w:t>
            </w:r>
          </w:p>
          <w:p>
            <w:pPr>
              <w:numPr>
                <w:ilvl w:val="0"/>
                <w:numId w:val="103"/>
              </w:numPr>
              <w:tabs>
                <w:tab w:val="left" w:pos="378"/>
              </w:tabs>
              <w:autoSpaceDE w:val="0"/>
              <w:autoSpaceDN w:val="0"/>
              <w:snapToGrid w:val="0"/>
              <w:spacing w:before="8" w:after="0" w:line="300" w:lineRule="exact"/>
              <w:ind w:left="103" w:right="93" w:firstLine="0"/>
              <w:jc w:val="both"/>
              <w:textAlignment w:val="auto"/>
              <w:rPr>
                <w:rFonts w:hint="default" w:ascii="Times New Roman" w:hAnsi="Times New Roman" w:eastAsia="Times New Roman" w:cs="Times New Roman"/>
                <w:color w:val="auto"/>
                <w:sz w:val="21"/>
              </w:rPr>
            </w:pPr>
            <w:r>
              <w:rPr>
                <w:rFonts w:hint="default" w:ascii="MS UI Gothic" w:hAnsi="MS UI Gothic" w:eastAsia="MS UI Gothic" w:cs="MS UI Gothic"/>
                <w:color w:val="auto"/>
                <w:spacing w:val="-1"/>
                <w:sz w:val="21"/>
              </w:rPr>
              <w:t>物料提升机</w:t>
            </w:r>
            <w:r>
              <w:rPr>
                <w:rFonts w:hint="default" w:ascii="MS UI Gothic" w:hAnsi="MS UI Gothic" w:eastAsia="MS UI Gothic" w:cs="MS UI Gothic"/>
                <w:color w:val="auto"/>
                <w:sz w:val="21"/>
              </w:rPr>
              <w:t>、施工</w:t>
            </w:r>
            <w:r>
              <w:rPr>
                <w:rFonts w:hint="default" w:ascii="PMingLiU" w:hAnsi="PMingLiU" w:eastAsia="PMingLiU" w:cs="PMingLiU"/>
                <w:color w:val="auto"/>
                <w:sz w:val="21"/>
              </w:rPr>
              <w:t>电</w:t>
            </w:r>
            <w:r>
              <w:rPr>
                <w:rFonts w:hint="default" w:ascii="MS UI Gothic" w:hAnsi="MS UI Gothic" w:eastAsia="MS UI Gothic" w:cs="MS UI Gothic"/>
                <w:color w:val="auto"/>
                <w:sz w:val="21"/>
              </w:rPr>
              <w:t>梯等物料平台搭</w:t>
            </w:r>
            <w:r>
              <w:rPr>
                <w:rFonts w:hint="default" w:ascii="PMingLiU" w:hAnsi="PMingLiU" w:eastAsia="PMingLiU" w:cs="PMingLiU"/>
                <w:color w:val="auto"/>
                <w:sz w:val="21"/>
              </w:rPr>
              <w:t>设</w:t>
            </w:r>
            <w:r>
              <w:rPr>
                <w:rFonts w:hint="default" w:ascii="MS UI Gothic" w:hAnsi="MS UI Gothic" w:eastAsia="MS UI Gothic" w:cs="MS UI Gothic"/>
                <w:color w:val="auto"/>
                <w:sz w:val="21"/>
              </w:rPr>
              <w:t>、外</w:t>
            </w:r>
            <w:r>
              <w:rPr>
                <w:rFonts w:hint="default" w:ascii="PMingLiU" w:hAnsi="PMingLiU" w:eastAsia="PMingLiU" w:cs="PMingLiU"/>
                <w:color w:val="auto"/>
                <w:sz w:val="21"/>
              </w:rPr>
              <w:t>侧</w:t>
            </w:r>
            <w:r>
              <w:rPr>
                <w:rFonts w:hint="default" w:ascii="MS UI Gothic" w:hAnsi="MS UI Gothic" w:eastAsia="MS UI Gothic" w:cs="MS UI Gothic"/>
                <w:color w:val="auto"/>
                <w:sz w:val="21"/>
              </w:rPr>
              <w:t>用密目式安全立网全封</w:t>
            </w:r>
            <w:r>
              <w:rPr>
                <w:rFonts w:hint="default" w:ascii="PMingLiU" w:hAnsi="PMingLiU" w:eastAsia="PMingLiU" w:cs="PMingLiU"/>
                <w:color w:val="auto"/>
                <w:sz w:val="21"/>
              </w:rPr>
              <w:t>闭</w:t>
            </w:r>
            <w:r>
              <w:rPr>
                <w:rFonts w:hint="default" w:ascii="MS UI Gothic" w:hAnsi="MS UI Gothic" w:eastAsia="MS UI Gothic" w:cs="MS UI Gothic"/>
                <w:color w:val="auto"/>
                <w:sz w:val="21"/>
              </w:rPr>
              <w:t>，有安全通道、安全防</w:t>
            </w:r>
            <w:r>
              <w:rPr>
                <w:rFonts w:hint="default" w:ascii="PMingLiU" w:hAnsi="PMingLiU" w:eastAsia="PMingLiU" w:cs="PMingLiU"/>
                <w:color w:val="auto"/>
                <w:sz w:val="21"/>
              </w:rPr>
              <w:t>护门</w:t>
            </w:r>
            <w:r>
              <w:rPr>
                <w:rFonts w:hint="default" w:ascii="MS UI Gothic" w:hAnsi="MS UI Gothic" w:eastAsia="MS UI Gothic" w:cs="MS UI Gothic"/>
                <w:color w:val="auto"/>
                <w:sz w:val="21"/>
              </w:rPr>
              <w:t>、防</w:t>
            </w:r>
            <w:r>
              <w:rPr>
                <w:rFonts w:hint="default" w:ascii="PMingLiU" w:hAnsi="PMingLiU" w:eastAsia="PMingLiU" w:cs="PMingLiU"/>
                <w:color w:val="auto"/>
                <w:sz w:val="21"/>
              </w:rPr>
              <w:t>护</w:t>
            </w:r>
            <w:r>
              <w:rPr>
                <w:rFonts w:hint="default" w:ascii="MS UI Gothic" w:hAnsi="MS UI Gothic" w:eastAsia="MS UI Gothic" w:cs="MS UI Gothic"/>
                <w:color w:val="auto"/>
                <w:sz w:val="21"/>
              </w:rPr>
              <w:t>棚等。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10"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tcBorders>
            <w:vAlign w:val="top"/>
          </w:tcPr>
          <w:p>
            <w:pPr>
              <w:autoSpaceDE w:val="0"/>
              <w:autoSpaceDN w:val="0"/>
              <w:snapToGrid w:val="0"/>
              <w:spacing w:before="130" w:after="0" w:line="263" w:lineRule="exact"/>
              <w:ind w:left="400" w:right="0" w:firstLine="0"/>
              <w:jc w:val="left"/>
              <w:textAlignment w:val="auto"/>
              <w:rPr>
                <w:rFonts w:hint="default" w:ascii="PMingLiU" w:hAnsi="PMingLiU" w:eastAsia="PMingLiU" w:cs="PMingLiU"/>
                <w:color w:val="auto"/>
                <w:sz w:val="21"/>
              </w:rPr>
            </w:pPr>
            <w:r>
              <w:rPr>
                <w:rFonts w:hint="default" w:ascii="PMingLiU" w:hAnsi="PMingLiU" w:eastAsia="PMingLiU" w:cs="PMingLiU"/>
                <w:color w:val="auto"/>
                <w:sz w:val="21"/>
              </w:rPr>
              <w:t>专</w:t>
            </w:r>
            <w:r>
              <w:rPr>
                <w:rFonts w:hint="default" w:ascii="MS UI Gothic" w:hAnsi="MS UI Gothic" w:eastAsia="MS UI Gothic" w:cs="MS UI Gothic"/>
                <w:color w:val="auto"/>
                <w:sz w:val="21"/>
              </w:rPr>
              <w:t>家</w:t>
            </w:r>
            <w:r>
              <w:rPr>
                <w:rFonts w:hint="default" w:ascii="PMingLiU" w:hAnsi="PMingLiU" w:eastAsia="PMingLiU" w:cs="PMingLiU"/>
                <w:color w:val="auto"/>
                <w:sz w:val="21"/>
              </w:rPr>
              <w:t>论证审查</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超</w:t>
            </w:r>
            <w:r>
              <w:rPr>
                <w:rFonts w:hint="default" w:ascii="PMingLiU" w:hAnsi="PMingLiU" w:eastAsia="PMingLiU" w:cs="PMingLiU"/>
                <w:color w:val="auto"/>
                <w:sz w:val="21"/>
              </w:rPr>
              <w:t>过</w:t>
            </w:r>
            <w:r>
              <w:rPr>
                <w:rFonts w:hint="default" w:ascii="MS UI Gothic" w:hAnsi="MS UI Gothic" w:eastAsia="MS UI Gothic" w:cs="MS UI Gothic"/>
                <w:color w:val="auto"/>
                <w:sz w:val="21"/>
              </w:rPr>
              <w:t>一定</w:t>
            </w:r>
            <w:r>
              <w:rPr>
                <w:rFonts w:hint="default" w:ascii="PMingLiU" w:hAnsi="PMingLiU" w:eastAsia="PMingLiU" w:cs="PMingLiU"/>
                <w:color w:val="auto"/>
                <w:sz w:val="21"/>
              </w:rPr>
              <w:t>规</w:t>
            </w:r>
            <w:r>
              <w:rPr>
                <w:rFonts w:hint="default" w:ascii="MS UI Gothic" w:hAnsi="MS UI Gothic" w:eastAsia="MS UI Gothic" w:cs="MS UI Gothic"/>
                <w:color w:val="auto"/>
                <w:sz w:val="21"/>
              </w:rPr>
              <w:t>模的危</w:t>
            </w:r>
            <w:r>
              <w:rPr>
                <w:rFonts w:hint="default" w:ascii="PMingLiU" w:hAnsi="PMingLiU" w:eastAsia="PMingLiU" w:cs="PMingLiU"/>
                <w:color w:val="auto"/>
                <w:sz w:val="21"/>
              </w:rPr>
              <w:t>险</w:t>
            </w:r>
            <w:r>
              <w:rPr>
                <w:rFonts w:hint="default" w:ascii="MS UI Gothic" w:hAnsi="MS UI Gothic" w:eastAsia="MS UI Gothic" w:cs="MS UI Gothic"/>
                <w:color w:val="auto"/>
                <w:sz w:val="21"/>
              </w:rPr>
              <w:t>性</w:t>
            </w:r>
            <w:r>
              <w:rPr>
                <w:rFonts w:hint="default" w:ascii="PMingLiU" w:hAnsi="PMingLiU" w:eastAsia="PMingLiU" w:cs="PMingLiU"/>
                <w:color w:val="auto"/>
                <w:sz w:val="21"/>
              </w:rPr>
              <w:t>较</w:t>
            </w:r>
            <w:r>
              <w:rPr>
                <w:rFonts w:hint="default" w:ascii="MS UI Gothic" w:hAnsi="MS UI Gothic" w:eastAsia="MS UI Gothic" w:cs="MS UI Gothic"/>
                <w:color w:val="auto"/>
                <w:sz w:val="21"/>
              </w:rPr>
              <w:t>大分部分</w:t>
            </w:r>
            <w:r>
              <w:rPr>
                <w:rFonts w:hint="default" w:ascii="PMingLiU" w:hAnsi="PMingLiU" w:eastAsia="PMingLiU" w:cs="PMingLiU"/>
                <w:color w:val="auto"/>
                <w:sz w:val="21"/>
              </w:rPr>
              <w:t>项</w:t>
            </w:r>
            <w:r>
              <w:rPr>
                <w:rFonts w:hint="default" w:ascii="MS UI Gothic" w:hAnsi="MS UI Gothic" w:eastAsia="MS UI Gothic" w:cs="MS UI Gothic"/>
                <w:color w:val="auto"/>
                <w:sz w:val="21"/>
              </w:rPr>
              <w:t>工程</w:t>
            </w:r>
            <w:r>
              <w:rPr>
                <w:rFonts w:hint="default" w:ascii="PMingLiU" w:hAnsi="PMingLiU" w:eastAsia="PMingLiU" w:cs="PMingLiU"/>
                <w:color w:val="auto"/>
                <w:sz w:val="21"/>
              </w:rPr>
              <w:t>专</w:t>
            </w:r>
            <w:r>
              <w:rPr>
                <w:rFonts w:hint="default" w:ascii="MS UI Gothic" w:hAnsi="MS UI Gothic" w:eastAsia="MS UI Gothic" w:cs="MS UI Gothic"/>
                <w:color w:val="auto"/>
                <w:sz w:val="21"/>
              </w:rPr>
              <w:t>家</w:t>
            </w:r>
            <w:r>
              <w:rPr>
                <w:rFonts w:hint="default" w:ascii="PMingLiU" w:hAnsi="PMingLiU" w:eastAsia="PMingLiU" w:cs="PMingLiU"/>
                <w:color w:val="auto"/>
                <w:sz w:val="21"/>
              </w:rPr>
              <w:t>论证审查</w:t>
            </w:r>
            <w:r>
              <w:rPr>
                <w:rFonts w:hint="default" w:ascii="MS UI Gothic" w:hAnsi="MS UI Gothic" w:eastAsia="MS UI Gothic" w:cs="MS UI Gothic"/>
                <w:color w:val="auto"/>
                <w:sz w:val="21"/>
              </w:rPr>
              <w:t>。</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510"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tcBorders>
            <w:vAlign w:val="top"/>
          </w:tcPr>
          <w:p>
            <w:pPr>
              <w:autoSpaceDE w:val="0"/>
              <w:autoSpaceDN w:val="0"/>
              <w:snapToGrid w:val="0"/>
              <w:spacing w:before="130" w:after="0" w:line="263" w:lineRule="exact"/>
              <w:ind w:left="400" w:right="0" w:firstLine="0"/>
              <w:jc w:val="left"/>
              <w:textAlignment w:val="auto"/>
              <w:rPr>
                <w:rFonts w:hint="default" w:ascii="MS UI Gothic" w:hAnsi="MS UI Gothic" w:eastAsia="MS UI Gothic" w:cs="MS UI Gothic"/>
                <w:color w:val="auto"/>
                <w:sz w:val="21"/>
              </w:rPr>
            </w:pPr>
            <w:r>
              <w:rPr>
                <w:rFonts w:hint="default" w:ascii="PMingLiU" w:hAnsi="PMingLiU" w:eastAsia="PMingLiU" w:cs="PMingLiU"/>
                <w:color w:val="auto"/>
                <w:sz w:val="21"/>
              </w:rPr>
              <w:t>应</w:t>
            </w:r>
            <w:r>
              <w:rPr>
                <w:rFonts w:hint="default" w:ascii="MS UI Gothic" w:hAnsi="MS UI Gothic" w:eastAsia="MS UI Gothic" w:cs="MS UI Gothic"/>
                <w:color w:val="auto"/>
                <w:sz w:val="21"/>
              </w:rPr>
              <w:t>急救援</w:t>
            </w:r>
            <w:r>
              <w:rPr>
                <w:rFonts w:hint="default" w:ascii="PMingLiU" w:hAnsi="PMingLiU" w:eastAsia="PMingLiU" w:cs="PMingLiU"/>
                <w:color w:val="auto"/>
                <w:sz w:val="21"/>
              </w:rPr>
              <w:t>预</w:t>
            </w:r>
            <w:r>
              <w:rPr>
                <w:rFonts w:hint="default" w:ascii="MS UI Gothic" w:hAnsi="MS UI Gothic" w:eastAsia="MS UI Gothic" w:cs="MS UI Gothic"/>
                <w:color w:val="auto"/>
                <w:sz w:val="21"/>
              </w:rPr>
              <w:t>案</w:t>
            </w:r>
          </w:p>
        </w:tc>
        <w:tc>
          <w:tcPr>
            <w:tcW w:w="6667" w:type="dxa"/>
            <w:tcBorders>
              <w:top w:val="single" w:color="000000" w:sz="4" w:space="0"/>
              <w:left w:val="single" w:color="000000" w:sz="4" w:space="0"/>
              <w:right w:val="single" w:color="000000" w:sz="12" w:space="0"/>
            </w:tcBorders>
            <w:vAlign w:val="top"/>
          </w:tcPr>
          <w:p>
            <w:pPr>
              <w:autoSpaceDE w:val="0"/>
              <w:autoSpaceDN w:val="0"/>
              <w:snapToGrid w:val="0"/>
              <w:spacing w:before="130" w:after="0" w:line="263" w:lineRule="exact"/>
              <w:ind w:left="103"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救援器材准</w:t>
            </w:r>
            <w:r>
              <w:rPr>
                <w:rFonts w:hint="default" w:ascii="PMingLiU" w:hAnsi="PMingLiU" w:eastAsia="PMingLiU" w:cs="PMingLiU"/>
                <w:color w:val="auto"/>
                <w:sz w:val="21"/>
              </w:rPr>
              <w:t>备</w:t>
            </w:r>
            <w:r>
              <w:rPr>
                <w:rFonts w:hint="default" w:ascii="MS UI Gothic" w:hAnsi="MS UI Gothic" w:eastAsia="MS UI Gothic" w:cs="MS UI Gothic"/>
                <w:color w:val="auto"/>
                <w:sz w:val="21"/>
              </w:rPr>
              <w:t>及演</w:t>
            </w:r>
            <w:r>
              <w:rPr>
                <w:rFonts w:hint="default" w:ascii="PMingLiU" w:hAnsi="PMingLiU" w:eastAsia="PMingLiU" w:cs="PMingLiU"/>
                <w:color w:val="auto"/>
                <w:sz w:val="21"/>
              </w:rPr>
              <w:t>练</w:t>
            </w:r>
            <w:r>
              <w:rPr>
                <w:rFonts w:hint="default" w:ascii="MS UI Gothic" w:hAnsi="MS UI Gothic" w:eastAsia="MS UI Gothic" w:cs="MS UI Gothic"/>
                <w:color w:val="auto"/>
                <w:sz w:val="21"/>
              </w:rPr>
              <w:t>等。</w:t>
            </w:r>
          </w:p>
        </w:tc>
      </w:tr>
      <w:tr>
        <w:tblPrEx>
          <w:tblBorders>
            <w:top w:val="single" w:color="000000" w:sz="12" w:space="0"/>
            <w:left w:val="single" w:color="000000" w:sz="12" w:space="0"/>
            <w:bottom w:val="single" w:color="000000" w:sz="4" w:space="0"/>
            <w:right w:val="single" w:color="000000" w:sz="4" w:space="0"/>
            <w:insideH w:val="single" w:color="000000" w:sz="12" w:space="0"/>
            <w:insideV w:val="single" w:color="000000" w:sz="12" w:space="0"/>
          </w:tblBorders>
          <w:tblCellMar>
            <w:top w:w="0" w:type="dxa"/>
            <w:left w:w="0" w:type="dxa"/>
            <w:bottom w:w="0" w:type="dxa"/>
            <w:right w:w="0" w:type="dxa"/>
          </w:tblCellMar>
        </w:tblPrEx>
        <w:trPr>
          <w:cantSplit/>
          <w:trHeight w:val="620" w:hRule="exact"/>
        </w:trPr>
        <w:tc>
          <w:tcPr>
            <w:tcW w:w="750" w:type="dxa"/>
            <w:vMerge w:val="continue"/>
            <w:tcBorders>
              <w:top w:val="single" w:color="000000" w:sz="4" w:space="0"/>
              <w:bottom w:val="single" w:color="000000" w:sz="12" w:space="0"/>
            </w:tcBorders>
            <w:vAlign w:val="top"/>
          </w:tcPr>
          <w:p>
            <w:pPr>
              <w:autoSpaceDE w:val="0"/>
              <w:autoSpaceDN w:val="0"/>
              <w:snapToGrid w:val="0"/>
              <w:spacing w:before="0" w:after="0" w:line="240" w:lineRule="auto"/>
              <w:ind w:left="0" w:right="0" w:firstLine="0"/>
              <w:jc w:val="left"/>
              <w:textAlignment w:val="auto"/>
              <w:rPr>
                <w:rFonts w:hint="default" w:ascii="MS UI Gothic" w:hAnsi="MS UI Gothic" w:eastAsia="MS UI Gothic" w:cs="MS UI Gothic"/>
                <w:color w:val="auto"/>
                <w:sz w:val="21"/>
              </w:rPr>
            </w:pPr>
          </w:p>
        </w:tc>
        <w:tc>
          <w:tcPr>
            <w:tcW w:w="2067" w:type="dxa"/>
            <w:gridSpan w:val="2"/>
            <w:tcBorders>
              <w:top w:val="single" w:color="000000" w:sz="4" w:space="0"/>
              <w:left w:val="single" w:color="000000" w:sz="4" w:space="0"/>
              <w:bottom w:val="single" w:color="000000" w:sz="12" w:space="0"/>
            </w:tcBorders>
            <w:vAlign w:val="top"/>
          </w:tcPr>
          <w:p>
            <w:pPr>
              <w:autoSpaceDE w:val="0"/>
              <w:autoSpaceDN w:val="0"/>
              <w:snapToGrid w:val="0"/>
              <w:spacing w:before="210" w:after="0" w:line="226" w:lineRule="exact"/>
              <w:ind w:left="295"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非正常情况施工</w:t>
            </w:r>
          </w:p>
        </w:tc>
        <w:tc>
          <w:tcPr>
            <w:tcW w:w="6667" w:type="dxa"/>
            <w:tcBorders>
              <w:top w:val="single" w:color="000000" w:sz="4" w:space="0"/>
              <w:left w:val="single" w:color="000000" w:sz="4" w:space="0"/>
              <w:bottom w:val="single" w:color="000000" w:sz="12" w:space="0"/>
              <w:right w:val="single" w:color="000000" w:sz="12" w:space="0"/>
            </w:tcBorders>
            <w:vAlign w:val="top"/>
          </w:tcPr>
          <w:p>
            <w:pPr>
              <w:autoSpaceDE w:val="0"/>
              <w:autoSpaceDN w:val="0"/>
              <w:snapToGrid w:val="0"/>
              <w:spacing w:before="0" w:after="0" w:line="300" w:lineRule="exact"/>
              <w:ind w:left="103" w:right="119" w:firstLine="0"/>
              <w:jc w:val="both"/>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pacing w:val="-2"/>
                <w:sz w:val="21"/>
              </w:rPr>
              <w:t>其它特殊情况</w:t>
            </w:r>
            <w:r>
              <w:rPr>
                <w:rFonts w:hint="default" w:ascii="MS UI Gothic" w:hAnsi="MS UI Gothic" w:eastAsia="MS UI Gothic" w:cs="MS UI Gothic"/>
                <w:color w:val="auto"/>
                <w:spacing w:val="-1"/>
                <w:sz w:val="21"/>
              </w:rPr>
              <w:t>下的防</w:t>
            </w:r>
            <w:r>
              <w:rPr>
                <w:rFonts w:hint="default" w:ascii="PMingLiU" w:hAnsi="PMingLiU" w:eastAsia="PMingLiU" w:cs="PMingLiU"/>
                <w:color w:val="auto"/>
                <w:spacing w:val="-1"/>
                <w:sz w:val="21"/>
              </w:rPr>
              <w:t>护费</w:t>
            </w:r>
            <w:r>
              <w:rPr>
                <w:rFonts w:hint="default" w:ascii="MS UI Gothic" w:hAnsi="MS UI Gothic" w:eastAsia="MS UI Gothic" w:cs="MS UI Gothic"/>
                <w:color w:val="auto"/>
                <w:spacing w:val="-1"/>
                <w:sz w:val="21"/>
              </w:rPr>
              <w:t>用，如：城市主干道、人流密集、河</w:t>
            </w:r>
            <w:r>
              <w:rPr>
                <w:rFonts w:hint="default" w:ascii="PMingLiU" w:hAnsi="PMingLiU" w:eastAsia="PMingLiU" w:cs="PMingLiU"/>
                <w:color w:val="auto"/>
                <w:spacing w:val="-1"/>
                <w:sz w:val="21"/>
              </w:rPr>
              <w:t>边</w:t>
            </w:r>
            <w:r>
              <w:rPr>
                <w:rFonts w:hint="default" w:ascii="MS UI Gothic" w:hAnsi="MS UI Gothic" w:eastAsia="MS UI Gothic" w:cs="MS UI Gothic"/>
                <w:color w:val="auto"/>
                <w:spacing w:val="-1"/>
                <w:sz w:val="21"/>
              </w:rPr>
              <w:t>等</w:t>
            </w:r>
            <w:r>
              <w:rPr>
                <w:rFonts w:hint="default" w:ascii="PMingLiU" w:hAnsi="PMingLiU" w:eastAsia="PMingLiU" w:cs="PMingLiU"/>
                <w:color w:val="auto"/>
                <w:spacing w:val="-1"/>
                <w:sz w:val="21"/>
              </w:rPr>
              <w:t>处</w:t>
            </w:r>
            <w:r>
              <w:rPr>
                <w:rFonts w:hint="default" w:ascii="MS UI Gothic" w:hAnsi="MS UI Gothic" w:eastAsia="MS UI Gothic" w:cs="MS UI Gothic"/>
                <w:color w:val="auto"/>
                <w:spacing w:val="-1"/>
                <w:sz w:val="21"/>
              </w:rPr>
              <w:t>施工</w:t>
            </w:r>
            <w:r>
              <w:rPr>
                <w:rFonts w:hint="default" w:ascii="MS UI Gothic" w:hAnsi="MS UI Gothic" w:eastAsia="MS UI Gothic" w:cs="MS UI Gothic"/>
                <w:color w:val="auto"/>
                <w:sz w:val="21"/>
              </w:rPr>
              <w:t xml:space="preserve"> 及文物、古建筑、古</w:t>
            </w:r>
            <w:r>
              <w:rPr>
                <w:rFonts w:hint="default" w:ascii="PMingLiU" w:hAnsi="PMingLiU" w:eastAsia="PMingLiU" w:cs="PMingLiU"/>
                <w:color w:val="auto"/>
                <w:sz w:val="21"/>
              </w:rPr>
              <w:t>树</w:t>
            </w:r>
            <w:r>
              <w:rPr>
                <w:rFonts w:hint="default" w:ascii="MS UI Gothic" w:hAnsi="MS UI Gothic" w:eastAsia="MS UI Gothic" w:cs="MS UI Gothic"/>
                <w:color w:val="auto"/>
                <w:sz w:val="21"/>
              </w:rPr>
              <w:t>保</w:t>
            </w:r>
            <w:r>
              <w:rPr>
                <w:rFonts w:hint="default" w:ascii="PMingLiU" w:hAnsi="PMingLiU" w:eastAsia="PMingLiU" w:cs="PMingLiU"/>
                <w:color w:val="auto"/>
                <w:sz w:val="21"/>
              </w:rPr>
              <w:t>护</w:t>
            </w:r>
            <w:r>
              <w:rPr>
                <w:rFonts w:hint="default" w:ascii="MS UI Gothic" w:hAnsi="MS UI Gothic" w:eastAsia="MS UI Gothic" w:cs="MS UI Gothic"/>
                <w:color w:val="auto"/>
                <w:sz w:val="21"/>
              </w:rPr>
              <w:t>等。</w:t>
            </w:r>
          </w:p>
        </w:tc>
      </w:tr>
    </w:tbl>
    <w:p>
      <w:pPr>
        <w:autoSpaceDE w:val="0"/>
        <w:autoSpaceDN w:val="0"/>
        <w:snapToGrid w:val="0"/>
        <w:spacing w:before="3" w:after="0" w:line="263" w:lineRule="exact"/>
        <w:ind w:left="0" w:right="0" w:firstLine="0"/>
        <w:jc w:val="left"/>
        <w:textAlignment w:val="auto"/>
        <w:rPr>
          <w:rFonts w:hint="default" w:ascii="PMingLiU" w:hAnsi="PMingLiU" w:eastAsia="PMingLiU" w:cs="PMingLiU"/>
          <w:color w:val="auto"/>
          <w:sz w:val="21"/>
        </w:rPr>
      </w:pPr>
      <w:r>
        <w:rPr>
          <w:rFonts w:hint="default" w:ascii="MS UI Gothic" w:hAnsi="MS UI Gothic" w:eastAsia="MS UI Gothic" w:cs="MS UI Gothic"/>
          <w:color w:val="auto"/>
          <w:spacing w:val="-1"/>
          <w:sz w:val="21"/>
        </w:rPr>
        <w:t>注：本表所</w:t>
      </w:r>
      <w:r>
        <w:rPr>
          <w:rFonts w:hint="default" w:ascii="MS UI Gothic" w:hAnsi="MS UI Gothic" w:eastAsia="MS UI Gothic" w:cs="MS UI Gothic"/>
          <w:color w:val="auto"/>
          <w:sz w:val="21"/>
        </w:rPr>
        <w:t>列建</w:t>
      </w:r>
      <w:r>
        <w:rPr>
          <w:rFonts w:hint="default" w:ascii="PMingLiU" w:hAnsi="PMingLiU" w:eastAsia="PMingLiU" w:cs="PMingLiU"/>
          <w:color w:val="auto"/>
          <w:sz w:val="21"/>
        </w:rPr>
        <w:t>设</w:t>
      </w:r>
      <w:r>
        <w:rPr>
          <w:rFonts w:hint="default" w:ascii="MS UI Gothic" w:hAnsi="MS UI Gothic" w:eastAsia="MS UI Gothic" w:cs="MS UI Gothic"/>
          <w:color w:val="auto"/>
          <w:sz w:val="21"/>
        </w:rPr>
        <w:t>工程安全文明施工</w:t>
      </w:r>
      <w:r>
        <w:rPr>
          <w:rFonts w:hint="default" w:ascii="PMingLiU" w:hAnsi="PMingLiU" w:eastAsia="PMingLiU" w:cs="PMingLiU"/>
          <w:color w:val="auto"/>
          <w:sz w:val="21"/>
        </w:rPr>
        <w:t>费</w:t>
      </w:r>
      <w:r>
        <w:rPr>
          <w:rFonts w:hint="default" w:ascii="MS UI Gothic" w:hAnsi="MS UI Gothic" w:eastAsia="MS UI Gothic" w:cs="MS UI Gothic"/>
          <w:color w:val="auto"/>
          <w:sz w:val="21"/>
        </w:rPr>
        <w:t>，是依据</w:t>
      </w:r>
      <w:r>
        <w:rPr>
          <w:rFonts w:hint="default" w:ascii="PMingLiU" w:hAnsi="PMingLiU" w:eastAsia="PMingLiU" w:cs="PMingLiU"/>
          <w:color w:val="auto"/>
          <w:sz w:val="21"/>
        </w:rPr>
        <w:t>现</w:t>
      </w:r>
      <w:r>
        <w:rPr>
          <w:rFonts w:hint="default" w:ascii="MS UI Gothic" w:hAnsi="MS UI Gothic" w:eastAsia="MS UI Gothic" w:cs="MS UI Gothic"/>
          <w:color w:val="auto"/>
          <w:sz w:val="21"/>
        </w:rPr>
        <w:t>行法律法</w:t>
      </w:r>
      <w:r>
        <w:rPr>
          <w:rFonts w:hint="default" w:ascii="PMingLiU" w:hAnsi="PMingLiU" w:eastAsia="PMingLiU" w:cs="PMingLiU"/>
          <w:color w:val="auto"/>
          <w:sz w:val="21"/>
        </w:rPr>
        <w:t>规</w:t>
      </w:r>
      <w:r>
        <w:rPr>
          <w:rFonts w:hint="default" w:ascii="MS UI Gothic" w:hAnsi="MS UI Gothic" w:eastAsia="MS UI Gothic" w:cs="MS UI Gothic"/>
          <w:color w:val="auto"/>
          <w:sz w:val="21"/>
        </w:rPr>
        <w:t>及</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w:t>
      </w:r>
      <w:r>
        <w:rPr>
          <w:rFonts w:hint="default" w:ascii="PMingLiU" w:hAnsi="PMingLiU" w:eastAsia="PMingLiU" w:cs="PMingLiU"/>
          <w:color w:val="auto"/>
          <w:sz w:val="21"/>
        </w:rPr>
        <w:t>规</w:t>
      </w:r>
      <w:r>
        <w:rPr>
          <w:rFonts w:hint="default" w:ascii="MS UI Gothic" w:hAnsi="MS UI Gothic" w:eastAsia="MS UI Gothic" w:cs="MS UI Gothic"/>
          <w:color w:val="auto"/>
          <w:sz w:val="21"/>
        </w:rPr>
        <w:t>范确定的。如法律法</w:t>
      </w:r>
      <w:r>
        <w:rPr>
          <w:rFonts w:hint="default" w:ascii="PMingLiU" w:hAnsi="PMingLiU" w:eastAsia="PMingLiU" w:cs="PMingLiU"/>
          <w:color w:val="auto"/>
          <w:sz w:val="21"/>
        </w:rPr>
        <w:t>规</w:t>
      </w:r>
      <w:r>
        <w:rPr>
          <w:rFonts w:hint="default" w:ascii="MS UI Gothic" w:hAnsi="MS UI Gothic" w:eastAsia="MS UI Gothic" w:cs="MS UI Gothic"/>
          <w:color w:val="auto"/>
          <w:sz w:val="21"/>
        </w:rPr>
        <w:t>和</w:t>
      </w:r>
      <w:r>
        <w:rPr>
          <w:rFonts w:hint="default" w:ascii="PMingLiU" w:hAnsi="PMingLiU" w:eastAsia="PMingLiU" w:cs="PMingLiU"/>
          <w:color w:val="auto"/>
          <w:sz w:val="21"/>
        </w:rPr>
        <w:t>标</w:t>
      </w:r>
    </w:p>
    <w:p>
      <w:pPr>
        <w:autoSpaceDE w:val="0"/>
        <w:autoSpaceDN w:val="0"/>
        <w:snapToGrid w:val="0"/>
        <w:spacing w:before="171" w:after="0" w:line="263" w:lineRule="exact"/>
        <w:ind w:left="735" w:right="0" w:firstLine="0"/>
        <w:jc w:val="left"/>
        <w:textAlignment w:val="auto"/>
        <w:rPr>
          <w:rFonts w:hint="default" w:ascii="MS UI Gothic" w:hAnsi="MS UI Gothic" w:eastAsia="MS UI Gothic" w:cs="MS UI Gothic"/>
          <w:color w:val="auto"/>
          <w:sz w:val="21"/>
        </w:rPr>
      </w:pPr>
      <w:r>
        <w:rPr>
          <w:rFonts w:hint="default" w:ascii="MS UI Gothic" w:hAnsi="MS UI Gothic" w:eastAsia="MS UI Gothic" w:cs="MS UI Gothic"/>
          <w:color w:val="auto"/>
          <w:sz w:val="21"/>
        </w:rPr>
        <w:t>准、</w:t>
      </w:r>
      <w:r>
        <w:rPr>
          <w:rFonts w:hint="default" w:ascii="PMingLiU" w:hAnsi="PMingLiU" w:eastAsia="PMingLiU" w:cs="PMingLiU"/>
          <w:color w:val="auto"/>
          <w:sz w:val="21"/>
        </w:rPr>
        <w:t>规</w:t>
      </w:r>
      <w:r>
        <w:rPr>
          <w:rFonts w:hint="default" w:ascii="MS UI Gothic" w:hAnsi="MS UI Gothic" w:eastAsia="MS UI Gothic" w:cs="MS UI Gothic"/>
          <w:color w:val="auto"/>
          <w:sz w:val="21"/>
        </w:rPr>
        <w:t>范修</w:t>
      </w:r>
      <w:r>
        <w:rPr>
          <w:rFonts w:hint="default" w:ascii="PMingLiU" w:hAnsi="PMingLiU" w:eastAsia="PMingLiU" w:cs="PMingLiU"/>
          <w:color w:val="auto"/>
          <w:sz w:val="21"/>
        </w:rPr>
        <w:t>订</w:t>
      </w:r>
      <w:r>
        <w:rPr>
          <w:rFonts w:hint="default" w:ascii="MS UI Gothic" w:hAnsi="MS UI Gothic" w:eastAsia="MS UI Gothic" w:cs="MS UI Gothic"/>
          <w:color w:val="auto"/>
          <w:sz w:val="21"/>
        </w:rPr>
        <w:t>，本表所列</w:t>
      </w:r>
      <w:r>
        <w:rPr>
          <w:rFonts w:hint="default" w:ascii="PMingLiU" w:hAnsi="PMingLiU" w:eastAsia="PMingLiU" w:cs="PMingLiU"/>
          <w:color w:val="auto"/>
          <w:sz w:val="21"/>
        </w:rPr>
        <w:t>项</w:t>
      </w:r>
      <w:r>
        <w:rPr>
          <w:rFonts w:hint="default" w:ascii="MS UI Gothic" w:hAnsi="MS UI Gothic" w:eastAsia="MS UI Gothic" w:cs="MS UI Gothic"/>
          <w:color w:val="auto"/>
          <w:sz w:val="21"/>
        </w:rPr>
        <w:t>目</w:t>
      </w:r>
      <w:r>
        <w:rPr>
          <w:rFonts w:hint="default" w:ascii="PMingLiU" w:hAnsi="PMingLiU" w:eastAsia="PMingLiU" w:cs="PMingLiU"/>
          <w:color w:val="auto"/>
          <w:sz w:val="21"/>
        </w:rPr>
        <w:t>应</w:t>
      </w:r>
      <w:r>
        <w:rPr>
          <w:rFonts w:hint="default" w:ascii="MS UI Gothic" w:hAnsi="MS UI Gothic" w:eastAsia="MS UI Gothic" w:cs="MS UI Gothic"/>
          <w:color w:val="auto"/>
          <w:sz w:val="21"/>
        </w:rPr>
        <w:t>按照修</w:t>
      </w:r>
      <w:r>
        <w:rPr>
          <w:rFonts w:hint="default" w:ascii="PMingLiU" w:hAnsi="PMingLiU" w:eastAsia="PMingLiU" w:cs="PMingLiU"/>
          <w:color w:val="auto"/>
          <w:sz w:val="21"/>
        </w:rPr>
        <w:t>订</w:t>
      </w:r>
      <w:r>
        <w:rPr>
          <w:rFonts w:hint="default" w:ascii="MS UI Gothic" w:hAnsi="MS UI Gothic" w:eastAsia="MS UI Gothic" w:cs="MS UI Gothic"/>
          <w:color w:val="auto"/>
          <w:sz w:val="21"/>
        </w:rPr>
        <w:t>后的法律法</w:t>
      </w:r>
      <w:r>
        <w:rPr>
          <w:rFonts w:hint="default" w:ascii="PMingLiU" w:hAnsi="PMingLiU" w:eastAsia="PMingLiU" w:cs="PMingLiU"/>
          <w:color w:val="auto"/>
          <w:sz w:val="21"/>
        </w:rPr>
        <w:t>规</w:t>
      </w:r>
      <w:r>
        <w:rPr>
          <w:rFonts w:hint="default" w:ascii="MS UI Gothic" w:hAnsi="MS UI Gothic" w:eastAsia="MS UI Gothic" w:cs="MS UI Gothic"/>
          <w:color w:val="auto"/>
          <w:sz w:val="21"/>
        </w:rPr>
        <w:t>和</w:t>
      </w:r>
      <w:r>
        <w:rPr>
          <w:rFonts w:hint="default" w:ascii="PMingLiU" w:hAnsi="PMingLiU" w:eastAsia="PMingLiU" w:cs="PMingLiU"/>
          <w:color w:val="auto"/>
          <w:sz w:val="21"/>
        </w:rPr>
        <w:t>标</w:t>
      </w:r>
      <w:r>
        <w:rPr>
          <w:rFonts w:hint="default" w:ascii="MS UI Gothic" w:hAnsi="MS UI Gothic" w:eastAsia="MS UI Gothic" w:cs="MS UI Gothic"/>
          <w:color w:val="auto"/>
          <w:sz w:val="21"/>
        </w:rPr>
        <w:t>准</w:t>
      </w:r>
      <w:r>
        <w:rPr>
          <w:rFonts w:hint="default" w:ascii="PMingLiU" w:hAnsi="PMingLiU" w:eastAsia="PMingLiU" w:cs="PMingLiU"/>
          <w:color w:val="auto"/>
          <w:sz w:val="21"/>
        </w:rPr>
        <w:t>规</w:t>
      </w:r>
      <w:r>
        <w:rPr>
          <w:rFonts w:hint="default" w:ascii="MS UI Gothic" w:hAnsi="MS UI Gothic" w:eastAsia="MS UI Gothic" w:cs="MS UI Gothic"/>
          <w:color w:val="auto"/>
          <w:sz w:val="21"/>
        </w:rPr>
        <w:t>范</w:t>
      </w:r>
      <w:r>
        <w:rPr>
          <w:rFonts w:hint="default" w:ascii="PMingLiU" w:hAnsi="PMingLiU" w:eastAsia="PMingLiU" w:cs="PMingLiU"/>
          <w:color w:val="auto"/>
          <w:sz w:val="21"/>
        </w:rPr>
        <w:t>进</w:t>
      </w:r>
      <w:r>
        <w:rPr>
          <w:rFonts w:hint="default" w:ascii="MS UI Gothic" w:hAnsi="MS UI Gothic" w:eastAsia="MS UI Gothic" w:cs="MS UI Gothic"/>
          <w:color w:val="auto"/>
          <w:sz w:val="21"/>
        </w:rPr>
        <w:t>行</w:t>
      </w:r>
      <w:r>
        <w:rPr>
          <w:rFonts w:hint="default" w:ascii="PMingLiU" w:hAnsi="PMingLiU" w:eastAsia="PMingLiU" w:cs="PMingLiU"/>
          <w:color w:val="auto"/>
          <w:sz w:val="21"/>
        </w:rPr>
        <w:t>调</w:t>
      </w:r>
      <w:r>
        <w:rPr>
          <w:rFonts w:hint="default" w:ascii="MS UI Gothic" w:hAnsi="MS UI Gothic" w:eastAsia="MS UI Gothic" w:cs="MS UI Gothic"/>
          <w:color w:val="auto"/>
          <w:sz w:val="21"/>
        </w:rPr>
        <w:t>整。</w:t>
      </w:r>
    </w:p>
    <w:p>
      <w:pPr>
        <w:numPr>
          <w:ilvl w:val="0"/>
          <w:numId w:val="33"/>
        </w:numPr>
        <w:autoSpaceDE w:val="0"/>
        <w:autoSpaceDN w:val="0"/>
        <w:snapToGrid w:val="0"/>
        <w:spacing w:before="4644" w:after="0" w:line="240" w:lineRule="auto"/>
        <w:ind w:left="-254" w:right="0" w:firstLine="4363"/>
        <w:jc w:val="left"/>
        <w:textAlignment w:val="auto"/>
        <w:rPr>
          <w:rFonts w:hint="default" w:ascii="MS UI Gothic" w:hAnsi="MS UI Gothic" w:eastAsia="MS UI Gothic" w:cs="MS UI Gothic"/>
          <w:color w:val="auto"/>
          <w:sz w:val="21"/>
        </w:rPr>
        <w:sectPr>
          <w:footnotePr>
            <w:numStart w:val="0"/>
          </w:footnotePr>
          <w:endnotePr>
            <w:numFmt w:val="decimal"/>
            <w:numStart w:val="0"/>
          </w:endnotePr>
          <w:pgSz w:w="11907" w:h="16840"/>
          <w:pgMar w:top="1134" w:right="1229" w:bottom="649" w:left="1034"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545" w:lineRule="exact"/>
        <w:ind w:left="0" w:right="25" w:firstLine="0"/>
        <w:jc w:val="both"/>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6</w:t>
      </w:r>
      <w:r>
        <w:rPr>
          <w:rFonts w:hint="default" w:ascii="宋体" w:hAnsi="宋体" w:eastAsia="宋体" w:cs="宋体"/>
          <w:b/>
          <w:color w:val="auto"/>
          <w:sz w:val="28"/>
        </w:rPr>
        <w:t>、项目经理注册建造师执业资格证书和安全生产考核合格证书（</w:t>
      </w:r>
      <w:r>
        <w:rPr>
          <w:rFonts w:hint="default" w:ascii="Times New Roman" w:hAnsi="Times New Roman" w:eastAsia="Times New Roman" w:cs="Times New Roman"/>
          <w:b/>
          <w:color w:val="auto"/>
          <w:spacing w:val="70"/>
          <w:sz w:val="28"/>
        </w:rPr>
        <w:t>B</w:t>
      </w:r>
      <w:r>
        <w:rPr>
          <w:rFonts w:hint="default" w:ascii="宋体" w:hAnsi="宋体" w:eastAsia="宋体" w:cs="宋体"/>
          <w:b/>
          <w:color w:val="auto"/>
          <w:sz w:val="28"/>
        </w:rPr>
        <w:t>类）的复印件；</w:t>
      </w:r>
    </w:p>
    <w:p>
      <w:pPr>
        <w:autoSpaceDE w:val="0"/>
        <w:autoSpaceDN w:val="0"/>
        <w:snapToGrid w:val="0"/>
        <w:spacing w:before="275"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autoSpaceDE w:val="0"/>
        <w:autoSpaceDN w:val="0"/>
        <w:snapToGrid w:val="0"/>
        <w:spacing w:before="267" w:after="0" w:line="240" w:lineRule="auto"/>
        <w:ind w:left="0"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7</w:t>
      </w:r>
      <w:r>
        <w:rPr>
          <w:rFonts w:hint="default" w:ascii="宋体" w:hAnsi="宋体" w:eastAsia="宋体" w:cs="宋体"/>
          <w:b/>
          <w:color w:val="auto"/>
          <w:sz w:val="28"/>
        </w:rPr>
        <w:t>、安全员安全生产考核合格证书（</w:t>
      </w:r>
      <w:r>
        <w:rPr>
          <w:rFonts w:hint="default" w:ascii="Times New Roman" w:hAnsi="Times New Roman" w:eastAsia="Times New Roman" w:cs="Times New Roman"/>
          <w:b/>
          <w:color w:val="auto"/>
          <w:spacing w:val="70"/>
          <w:sz w:val="28"/>
        </w:rPr>
        <w:t>C</w:t>
      </w:r>
      <w:r>
        <w:rPr>
          <w:rFonts w:hint="default" w:ascii="宋体" w:hAnsi="宋体" w:eastAsia="宋体" w:cs="宋体"/>
          <w:b/>
          <w:color w:val="auto"/>
          <w:sz w:val="28"/>
        </w:rPr>
        <w:t>类）的复印件；</w:t>
      </w:r>
    </w:p>
    <w:p>
      <w:pPr>
        <w:autoSpaceDE w:val="0"/>
        <w:autoSpaceDN w:val="0"/>
        <w:snapToGrid w:val="0"/>
        <w:spacing w:before="323"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autoSpaceDE w:val="0"/>
        <w:autoSpaceDN w:val="0"/>
        <w:snapToGrid w:val="0"/>
        <w:spacing w:before="204" w:after="0" w:line="350" w:lineRule="exact"/>
        <w:ind w:left="0"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8</w:t>
      </w:r>
      <w:r>
        <w:rPr>
          <w:rFonts w:hint="default" w:ascii="宋体" w:hAnsi="宋体" w:eastAsia="宋体" w:cs="宋体"/>
          <w:b/>
          <w:color w:val="auto"/>
          <w:sz w:val="28"/>
        </w:rPr>
        <w:t>、委托代理人、项目经理、技术负责人和主要管理人员</w:t>
      </w:r>
      <w:r>
        <w:rPr>
          <w:rFonts w:hint="default" w:ascii="宋体" w:hAnsi="宋体" w:eastAsia="宋体" w:cs="宋体"/>
          <w:b/>
          <w:color w:val="auto"/>
          <w:spacing w:val="36"/>
          <w:sz w:val="28"/>
        </w:rPr>
        <w:t>近半年连续三个月</w:t>
      </w:r>
      <w:r>
        <w:rPr>
          <w:rFonts w:hint="default" w:ascii="宋体" w:hAnsi="宋体" w:eastAsia="宋体" w:cs="宋体"/>
          <w:b/>
          <w:color w:val="auto"/>
          <w:sz w:val="28"/>
        </w:rPr>
        <w:t>在现任职单位依法缴纳社会保险的凭证复印件；</w:t>
      </w:r>
    </w:p>
    <w:p>
      <w:pPr>
        <w:autoSpaceDE w:val="0"/>
        <w:autoSpaceDN w:val="0"/>
        <w:snapToGrid w:val="0"/>
        <w:spacing w:before="314"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【备注：以上复印件均须加盖投标人单位公章】</w:t>
      </w:r>
    </w:p>
    <w:p>
      <w:pPr>
        <w:autoSpaceDE w:val="0"/>
        <w:autoSpaceDN w:val="0"/>
        <w:snapToGrid w:val="0"/>
        <w:spacing w:before="111" w:after="0" w:line="545" w:lineRule="exact"/>
        <w:ind w:left="0" w:right="0" w:firstLine="0"/>
        <w:jc w:val="left"/>
        <w:textAlignment w:val="auto"/>
        <w:rPr>
          <w:rFonts w:hint="default" w:ascii="宋体" w:hAnsi="宋体" w:eastAsia="宋体" w:cs="宋体"/>
          <w:b/>
          <w:color w:val="auto"/>
          <w:sz w:val="28"/>
        </w:rPr>
      </w:pPr>
      <w:r>
        <w:rPr>
          <w:rFonts w:hint="default" w:ascii="Times New Roman" w:hAnsi="Times New Roman" w:eastAsia="Times New Roman" w:cs="Times New Roman"/>
          <w:b/>
          <w:color w:val="auto"/>
          <w:sz w:val="28"/>
        </w:rPr>
        <w:t>9</w:t>
      </w:r>
      <w:r>
        <w:rPr>
          <w:rFonts w:hint="default" w:ascii="宋体" w:hAnsi="宋体" w:eastAsia="宋体" w:cs="宋体"/>
          <w:b/>
          <w:color w:val="auto"/>
          <w:sz w:val="28"/>
        </w:rPr>
        <w:t>、资格审查需要的其他材料：项目管理机构配备情况表、拟投入施工机械设备情况表、企业近年已完成类似项目一览表（如有）、企业近年财务状况表、近年发生的诉讼和仲裁情况（如有）等。</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0"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附表：</w:t>
      </w:r>
    </w:p>
    <w:p>
      <w:pPr>
        <w:autoSpaceDE w:val="0"/>
        <w:autoSpaceDN w:val="0"/>
        <w:snapToGrid w:val="0"/>
        <w:spacing w:before="262" w:after="0" w:line="300" w:lineRule="exact"/>
        <w:ind w:left="480" w:right="0" w:firstLine="0"/>
        <w:jc w:val="left"/>
        <w:textAlignment w:val="auto"/>
        <w:rPr>
          <w:rFonts w:hint="default" w:ascii="宋体" w:hAnsi="宋体" w:eastAsia="宋体" w:cs="宋体"/>
          <w:b/>
          <w:color w:val="auto"/>
        </w:rPr>
      </w:pPr>
      <w:bookmarkStart w:id="174" w:name="_Toc24942_WPSOffice_Level2"/>
      <w:bookmarkStart w:id="175" w:name="_Toc26886_WPSOffice_Level2"/>
      <w:bookmarkStart w:id="176" w:name="_Toc8366_WPSOffice_Level2"/>
      <w:r>
        <w:rPr>
          <w:rFonts w:hint="default" w:ascii="宋体" w:hAnsi="宋体" w:eastAsia="宋体" w:cs="宋体"/>
          <w:b/>
          <w:color w:val="auto"/>
        </w:rPr>
        <w:t>（</w:t>
      </w:r>
      <w:r>
        <w:rPr>
          <w:rFonts w:hint="default" w:ascii="Times New Roman" w:hAnsi="Times New Roman" w:eastAsia="Times New Roman" w:cs="Times New Roman"/>
          <w:b/>
          <w:color w:val="auto"/>
        </w:rPr>
        <w:t>1</w:t>
      </w:r>
      <w:r>
        <w:rPr>
          <w:rFonts w:hint="default" w:ascii="宋体" w:hAnsi="宋体" w:eastAsia="宋体" w:cs="宋体"/>
          <w:b/>
          <w:color w:val="auto"/>
        </w:rPr>
        <w:t>）项目管理机构配备情况表</w:t>
      </w:r>
      <w:bookmarkEnd w:id="174"/>
      <w:bookmarkEnd w:id="175"/>
      <w:bookmarkEnd w:id="176"/>
    </w:p>
    <w:p>
      <w:pPr>
        <w:autoSpaceDE w:val="0"/>
        <w:autoSpaceDN w:val="0"/>
        <w:snapToGrid w:val="0"/>
        <w:spacing w:before="287"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rPr>
        <w:t>（招标工程项目名称）</w:t>
      </w:r>
      <w:r>
        <w:rPr>
          <w:rFonts w:hint="default" w:ascii="宋体" w:hAnsi="宋体" w:eastAsia="宋体" w:cs="宋体"/>
          <w:color w:val="auto"/>
          <w:spacing w:val="420"/>
          <w:sz w:val="21"/>
          <w:u w:val="single"/>
        </w:rPr>
        <w:t xml:space="preserve"> </w:t>
      </w:r>
      <w:r>
        <w:rPr>
          <w:rFonts w:hint="default" w:ascii="宋体" w:hAnsi="宋体" w:eastAsia="宋体" w:cs="宋体"/>
          <w:color w:val="auto"/>
          <w:sz w:val="21"/>
        </w:rPr>
        <w:t>工程</w:t>
      </w:r>
    </w:p>
    <w:tbl>
      <w:tblPr>
        <w:tblStyle w:val="6"/>
        <w:tblW w:w="9759" w:type="dxa"/>
        <w:tblInd w:w="-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8"/>
        <w:gridCol w:w="1148"/>
        <w:gridCol w:w="1148"/>
        <w:gridCol w:w="1148"/>
        <w:gridCol w:w="850"/>
        <w:gridCol w:w="16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7" w:hRule="exact"/>
        </w:trPr>
        <w:tc>
          <w:tcPr>
            <w:tcW w:w="993" w:type="dxa"/>
            <w:vMerge w:val="restart"/>
            <w:vAlign w:val="top"/>
          </w:tcPr>
          <w:p>
            <w:pPr>
              <w:autoSpaceDE w:val="0"/>
              <w:autoSpaceDN w:val="0"/>
              <w:snapToGrid w:val="0"/>
              <w:spacing w:before="378" w:after="0" w:line="263" w:lineRule="exact"/>
              <w:ind w:left="28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岗位</w:t>
            </w:r>
          </w:p>
        </w:tc>
        <w:tc>
          <w:tcPr>
            <w:tcW w:w="829" w:type="dxa"/>
            <w:vMerge w:val="restart"/>
            <w:vAlign w:val="top"/>
          </w:tcPr>
          <w:p>
            <w:pPr>
              <w:autoSpaceDE w:val="0"/>
              <w:autoSpaceDN w:val="0"/>
              <w:snapToGrid w:val="0"/>
              <w:spacing w:before="378" w:after="0" w:line="263" w:lineRule="exact"/>
              <w:ind w:left="20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816" w:type="dxa"/>
            <w:vMerge w:val="restart"/>
            <w:vAlign w:val="top"/>
          </w:tcPr>
          <w:p>
            <w:pPr>
              <w:autoSpaceDE w:val="0"/>
              <w:autoSpaceDN w:val="0"/>
              <w:snapToGrid w:val="0"/>
              <w:spacing w:before="378" w:after="0" w:line="263" w:lineRule="exact"/>
              <w:ind w:left="1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4592" w:type="dxa"/>
            <w:gridSpan w:val="4"/>
            <w:vAlign w:val="top"/>
          </w:tcPr>
          <w:p>
            <w:pPr>
              <w:autoSpaceDE w:val="0"/>
              <w:autoSpaceDN w:val="0"/>
              <w:snapToGrid w:val="0"/>
              <w:spacing w:before="101" w:after="0" w:line="263" w:lineRule="exact"/>
              <w:ind w:left="134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执业或职业资格证明</w:t>
            </w:r>
          </w:p>
        </w:tc>
        <w:tc>
          <w:tcPr>
            <w:tcW w:w="2529" w:type="dxa"/>
            <w:gridSpan w:val="2"/>
            <w:vAlign w:val="top"/>
          </w:tcPr>
          <w:p>
            <w:pPr>
              <w:autoSpaceDE w:val="0"/>
              <w:autoSpaceDN w:val="0"/>
              <w:snapToGrid w:val="0"/>
              <w:spacing w:before="101" w:after="0" w:line="263" w:lineRule="exact"/>
              <w:ind w:left="4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139" w:after="0" w:line="263" w:lineRule="exact"/>
              <w:ind w:left="1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证书名称</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级别</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证号</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专业</w:t>
            </w:r>
          </w:p>
        </w:tc>
        <w:tc>
          <w:tcPr>
            <w:tcW w:w="850" w:type="dxa"/>
            <w:vAlign w:val="top"/>
          </w:tcPr>
          <w:p>
            <w:pPr>
              <w:autoSpaceDE w:val="0"/>
              <w:autoSpaceDN w:val="0"/>
              <w:snapToGrid w:val="0"/>
              <w:spacing w:before="139" w:after="0" w:line="263" w:lineRule="exact"/>
              <w:ind w:left="1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项目数</w:t>
            </w:r>
          </w:p>
        </w:tc>
        <w:tc>
          <w:tcPr>
            <w:tcW w:w="1679" w:type="dxa"/>
            <w:vAlign w:val="top"/>
          </w:tcPr>
          <w:p>
            <w:pPr>
              <w:autoSpaceDE w:val="0"/>
              <w:autoSpaceDN w:val="0"/>
              <w:snapToGrid w:val="0"/>
              <w:spacing w:before="3" w:after="0" w:line="263" w:lineRule="exact"/>
              <w:ind w:left="41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主要项目</w:t>
            </w:r>
          </w:p>
          <w:p>
            <w:pPr>
              <w:autoSpaceDE w:val="0"/>
              <w:autoSpaceDN w:val="0"/>
              <w:snapToGrid w:val="0"/>
              <w:spacing w:before="10" w:after="0" w:line="263" w:lineRule="exact"/>
              <w:ind w:left="6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67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067" w:hRule="exact"/>
        </w:trPr>
        <w:tc>
          <w:tcPr>
            <w:tcW w:w="9759" w:type="dxa"/>
            <w:gridSpan w:val="9"/>
            <w:vAlign w:val="top"/>
          </w:tcPr>
          <w:p>
            <w:pPr>
              <w:autoSpaceDE w:val="0"/>
              <w:autoSpaceDN w:val="0"/>
              <w:snapToGrid w:val="0"/>
              <w:spacing w:before="6" w:after="0" w:line="408" w:lineRule="exact"/>
              <w:ind w:left="103" w:right="196" w:firstLine="0"/>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一旦我单位中</w:t>
            </w:r>
            <w:r>
              <w:rPr>
                <w:rFonts w:hint="default" w:ascii="宋体" w:hAnsi="宋体" w:eastAsia="宋体" w:cs="宋体"/>
                <w:color w:val="auto"/>
                <w:sz w:val="21"/>
              </w:rPr>
              <w:t>标，将实行项目经理负责制，我方保证并配备上述项目管理机构。上述填报内容真实，若不真实，愿按有关规定接受处理。项目管理班子机构设置、职责分工等情况另附资料说明。</w:t>
            </w:r>
          </w:p>
        </w:tc>
      </w:tr>
    </w:tbl>
    <w:p>
      <w:pPr>
        <w:autoSpaceDE w:val="0"/>
        <w:autoSpaceDN w:val="0"/>
        <w:snapToGrid w:val="0"/>
        <w:spacing w:before="249" w:after="0" w:line="409"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【备注：附以</w:t>
      </w:r>
      <w:r>
        <w:rPr>
          <w:rFonts w:hint="default" w:ascii="楷体" w:hAnsi="楷体" w:eastAsia="楷体" w:cs="楷体"/>
          <w:color w:val="auto"/>
          <w:sz w:val="21"/>
        </w:rPr>
        <w:t>上各岗位人员资格证件复印件，以及投标人认为需要的其他证明材料复印件。以上复印件均须加盖投标人单位公章】</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0" w:line="300" w:lineRule="exact"/>
        <w:ind w:left="0" w:right="0" w:firstLine="0"/>
        <w:jc w:val="left"/>
        <w:textAlignment w:val="auto"/>
        <w:rPr>
          <w:rFonts w:hint="default" w:ascii="宋体" w:hAnsi="宋体" w:eastAsia="宋体" w:cs="宋体"/>
          <w:b/>
          <w:color w:val="auto"/>
        </w:rPr>
      </w:pPr>
      <w:bookmarkStart w:id="177" w:name="_Toc14914_WPSOffice_Level2"/>
      <w:bookmarkStart w:id="178" w:name="_Toc12886_WPSOffice_Level2"/>
      <w:bookmarkStart w:id="179" w:name="_Toc17459_WPSOffice_Level2"/>
      <w:r>
        <w:rPr>
          <w:rFonts w:hint="default" w:ascii="宋体" w:hAnsi="宋体" w:eastAsia="宋体" w:cs="宋体"/>
          <w:b/>
          <w:color w:val="auto"/>
        </w:rPr>
        <w:t>（</w:t>
      </w:r>
      <w:r>
        <w:rPr>
          <w:rFonts w:hint="default" w:ascii="Times New Roman" w:hAnsi="Times New Roman" w:eastAsia="Times New Roman" w:cs="Times New Roman"/>
          <w:b/>
          <w:color w:val="auto"/>
        </w:rPr>
        <w:t>2</w:t>
      </w:r>
      <w:r>
        <w:rPr>
          <w:rFonts w:hint="default" w:ascii="宋体" w:hAnsi="宋体" w:eastAsia="宋体" w:cs="宋体"/>
          <w:b/>
          <w:color w:val="auto"/>
        </w:rPr>
        <w:t>）拟投入施工机械设备情况表（格式自拟）</w:t>
      </w:r>
      <w:bookmarkEnd w:id="177"/>
      <w:bookmarkEnd w:id="178"/>
      <w:bookmarkEnd w:id="179"/>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8" w:line="300" w:lineRule="exact"/>
        <w:ind w:left="480" w:right="0" w:firstLine="0"/>
        <w:jc w:val="left"/>
        <w:textAlignment w:val="auto"/>
        <w:rPr>
          <w:rFonts w:hint="default" w:ascii="宋体" w:hAnsi="宋体" w:eastAsia="宋体" w:cs="宋体"/>
          <w:b/>
          <w:color w:val="auto"/>
        </w:rPr>
      </w:pPr>
      <w:bookmarkStart w:id="180" w:name="_Toc13181_WPSOffice_Level2"/>
      <w:bookmarkStart w:id="181" w:name="_Toc2940_WPSOffice_Level2"/>
      <w:bookmarkStart w:id="182" w:name="_Toc5602_WPSOffice_Level2"/>
      <w:r>
        <w:rPr>
          <w:rFonts w:hint="default" w:ascii="宋体" w:hAnsi="宋体" w:eastAsia="宋体" w:cs="宋体"/>
          <w:b/>
          <w:color w:val="auto"/>
        </w:rPr>
        <w:t>（</w:t>
      </w:r>
      <w:r>
        <w:rPr>
          <w:rFonts w:hint="default" w:ascii="Times New Roman" w:hAnsi="Times New Roman" w:eastAsia="Times New Roman" w:cs="Times New Roman"/>
          <w:b/>
          <w:color w:val="auto"/>
        </w:rPr>
        <w:t>3</w:t>
      </w:r>
      <w:r>
        <w:rPr>
          <w:rFonts w:hint="default" w:ascii="宋体" w:hAnsi="宋体" w:eastAsia="宋体" w:cs="宋体"/>
          <w:b/>
          <w:color w:val="auto"/>
        </w:rPr>
        <w:t>）近年已完成类似工程一览表</w:t>
      </w:r>
      <w:bookmarkEnd w:id="180"/>
      <w:bookmarkEnd w:id="181"/>
      <w:bookmarkEnd w:id="182"/>
    </w:p>
    <w:tbl>
      <w:tblPr>
        <w:tblStyle w:val="6"/>
        <w:tblW w:w="9356"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1"/>
        <w:gridCol w:w="1701"/>
        <w:gridCol w:w="1417"/>
        <w:gridCol w:w="851"/>
        <w:gridCol w:w="992"/>
        <w:gridCol w:w="1134"/>
        <w:gridCol w:w="1276"/>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875" w:hRule="exact"/>
        </w:trPr>
        <w:tc>
          <w:tcPr>
            <w:tcW w:w="851" w:type="dxa"/>
            <w:vAlign w:val="top"/>
          </w:tcPr>
          <w:p>
            <w:pPr>
              <w:autoSpaceDE w:val="0"/>
              <w:autoSpaceDN w:val="0"/>
              <w:snapToGrid w:val="0"/>
              <w:spacing w:before="30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1701" w:type="dxa"/>
            <w:vAlign w:val="top"/>
          </w:tcPr>
          <w:p>
            <w:pPr>
              <w:autoSpaceDE w:val="0"/>
              <w:autoSpaceDN w:val="0"/>
              <w:snapToGrid w:val="0"/>
              <w:spacing w:before="300" w:after="0" w:line="263" w:lineRule="exact"/>
              <w:ind w:left="3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发包人名称</w:t>
            </w:r>
          </w:p>
        </w:tc>
        <w:tc>
          <w:tcPr>
            <w:tcW w:w="1417" w:type="dxa"/>
            <w:vAlign w:val="top"/>
          </w:tcPr>
          <w:p>
            <w:pPr>
              <w:autoSpaceDE w:val="0"/>
              <w:autoSpaceDN w:val="0"/>
              <w:snapToGrid w:val="0"/>
              <w:spacing w:before="156" w:after="0" w:line="272" w:lineRule="exact"/>
              <w:ind w:left="178" w:right="104" w:firstLine="105"/>
              <w:jc w:val="left"/>
              <w:textAlignment w:val="auto"/>
              <w:rPr>
                <w:rFonts w:hint="default" w:ascii="宋体" w:hAnsi="宋体" w:eastAsia="宋体" w:cs="宋体"/>
                <w:color w:val="auto"/>
                <w:sz w:val="21"/>
              </w:rPr>
            </w:pPr>
            <w:r>
              <w:rPr>
                <w:rFonts w:hint="default" w:ascii="宋体" w:hAnsi="宋体" w:eastAsia="宋体" w:cs="宋体"/>
                <w:color w:val="auto"/>
                <w:sz w:val="21"/>
              </w:rPr>
              <w:t>工程名称 及建设地点</w:t>
            </w:r>
          </w:p>
        </w:tc>
        <w:tc>
          <w:tcPr>
            <w:tcW w:w="851" w:type="dxa"/>
            <w:vAlign w:val="top"/>
          </w:tcPr>
          <w:p>
            <w:pPr>
              <w:autoSpaceDE w:val="0"/>
              <w:autoSpaceDN w:val="0"/>
              <w:snapToGrid w:val="0"/>
              <w:spacing w:before="163"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结构</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类型</w:t>
            </w:r>
          </w:p>
        </w:tc>
        <w:tc>
          <w:tcPr>
            <w:tcW w:w="992" w:type="dxa"/>
            <w:vAlign w:val="top"/>
          </w:tcPr>
          <w:p>
            <w:pPr>
              <w:autoSpaceDE w:val="0"/>
              <w:autoSpaceDN w:val="0"/>
              <w:snapToGrid w:val="0"/>
              <w:spacing w:before="163"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w:t>
            </w:r>
          </w:p>
          <w:p>
            <w:pPr>
              <w:autoSpaceDE w:val="0"/>
              <w:autoSpaceDN w:val="0"/>
              <w:snapToGrid w:val="0"/>
              <w:spacing w:before="10"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规模</w:t>
            </w:r>
          </w:p>
        </w:tc>
        <w:tc>
          <w:tcPr>
            <w:tcW w:w="1134" w:type="dxa"/>
            <w:vAlign w:val="top"/>
          </w:tcPr>
          <w:p>
            <w:pPr>
              <w:autoSpaceDE w:val="0"/>
              <w:autoSpaceDN w:val="0"/>
              <w:snapToGrid w:val="0"/>
              <w:spacing w:before="156" w:after="0" w:line="272" w:lineRule="exact"/>
              <w:ind w:left="142" w:right="142"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合同金</w:t>
            </w:r>
            <w:r>
              <w:rPr>
                <w:rFonts w:hint="default" w:ascii="宋体" w:hAnsi="宋体" w:eastAsia="宋体" w:cs="宋体"/>
                <w:color w:val="auto"/>
                <w:sz w:val="21"/>
              </w:rPr>
              <w:t>额</w:t>
            </w:r>
            <w:r>
              <w:rPr>
                <w:rFonts w:hint="default" w:ascii="宋体" w:hAnsi="宋体" w:eastAsia="宋体" w:cs="宋体"/>
                <w:color w:val="auto"/>
                <w:spacing w:val="-2"/>
                <w:sz w:val="21"/>
              </w:rPr>
              <w:t>（万元</w:t>
            </w:r>
            <w:r>
              <w:rPr>
                <w:rFonts w:hint="default" w:ascii="宋体" w:hAnsi="宋体" w:eastAsia="宋体" w:cs="宋体"/>
                <w:color w:val="auto"/>
                <w:sz w:val="21"/>
              </w:rPr>
              <w:t>）</w:t>
            </w:r>
          </w:p>
        </w:tc>
        <w:tc>
          <w:tcPr>
            <w:tcW w:w="1276" w:type="dxa"/>
            <w:vAlign w:val="top"/>
          </w:tcPr>
          <w:p>
            <w:pPr>
              <w:autoSpaceDE w:val="0"/>
              <w:autoSpaceDN w:val="0"/>
              <w:snapToGrid w:val="0"/>
              <w:spacing w:before="156" w:after="0" w:line="272" w:lineRule="exact"/>
              <w:ind w:left="213" w:right="213" w:firstLine="0"/>
              <w:jc w:val="both"/>
              <w:textAlignment w:val="auto"/>
              <w:rPr>
                <w:rFonts w:hint="default" w:ascii="宋体" w:hAnsi="宋体" w:eastAsia="宋体" w:cs="宋体"/>
                <w:color w:val="auto"/>
                <w:sz w:val="21"/>
              </w:rPr>
            </w:pPr>
            <w:r>
              <w:rPr>
                <w:rFonts w:hint="default" w:ascii="宋体" w:hAnsi="宋体" w:eastAsia="宋体" w:cs="宋体"/>
                <w:color w:val="auto"/>
                <w:spacing w:val="-2"/>
                <w:sz w:val="21"/>
              </w:rPr>
              <w:t>竣工达</w:t>
            </w:r>
            <w:r>
              <w:rPr>
                <w:rFonts w:hint="default" w:ascii="宋体" w:hAnsi="宋体" w:eastAsia="宋体" w:cs="宋体"/>
                <w:color w:val="auto"/>
                <w:sz w:val="21"/>
              </w:rPr>
              <w:t>到</w:t>
            </w:r>
            <w:r>
              <w:rPr>
                <w:rFonts w:hint="default" w:ascii="宋体" w:hAnsi="宋体" w:eastAsia="宋体" w:cs="宋体"/>
                <w:color w:val="auto"/>
                <w:spacing w:val="-2"/>
                <w:sz w:val="21"/>
              </w:rPr>
              <w:t>质量标</w:t>
            </w:r>
            <w:r>
              <w:rPr>
                <w:rFonts w:hint="default" w:ascii="宋体" w:hAnsi="宋体" w:eastAsia="宋体" w:cs="宋体"/>
                <w:color w:val="auto"/>
                <w:sz w:val="21"/>
              </w:rPr>
              <w:t>准</w:t>
            </w:r>
          </w:p>
        </w:tc>
        <w:tc>
          <w:tcPr>
            <w:tcW w:w="1134" w:type="dxa"/>
            <w:vAlign w:val="top"/>
          </w:tcPr>
          <w:p>
            <w:pPr>
              <w:autoSpaceDE w:val="0"/>
              <w:autoSpaceDN w:val="0"/>
              <w:snapToGrid w:val="0"/>
              <w:spacing w:before="163"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开竣工</w:t>
            </w:r>
          </w:p>
          <w:p>
            <w:pPr>
              <w:autoSpaceDE w:val="0"/>
              <w:autoSpaceDN w:val="0"/>
              <w:snapToGrid w:val="0"/>
              <w:spacing w:before="10"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w:t>
            </w:r>
            <w:r>
              <w:rPr>
                <w:rFonts w:hint="default" w:ascii="宋体" w:hAnsi="宋体" w:eastAsia="宋体" w:cs="宋体"/>
                <w:color w:val="auto"/>
                <w:spacing w:val="53"/>
                <w:sz w:val="21"/>
              </w:rPr>
              <w:t xml:space="preserve"> </w:t>
            </w:r>
            <w:r>
              <w:rPr>
                <w:rFonts w:hint="default" w:ascii="宋体" w:hAnsi="宋体" w:eastAsia="宋体" w:cs="宋体"/>
                <w:color w:val="auto"/>
                <w:sz w:val="21"/>
              </w:rPr>
              <w:t>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4" w:hRule="exact"/>
        </w:trPr>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1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245"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0"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pacing w:val="-1"/>
          <w:sz w:val="21"/>
        </w:rPr>
        <w:t>附以上类似工</w:t>
      </w:r>
      <w:r>
        <w:rPr>
          <w:rFonts w:hint="default" w:ascii="楷体" w:hAnsi="楷体" w:eastAsia="楷体" w:cs="楷体"/>
          <w:color w:val="auto"/>
          <w:sz w:val="21"/>
        </w:rPr>
        <w:t>程的中标通知书（如有）、工程合同协议书（如有）、工程竣工验收证明材料（如有）的复印件，以及投标人认为需要增加的其他证明材料复印件，以上复印件均须加盖投标人单位公章。</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0" w:line="300" w:lineRule="exact"/>
        <w:ind w:left="420" w:right="0" w:firstLine="0"/>
        <w:jc w:val="left"/>
        <w:textAlignment w:val="auto"/>
        <w:rPr>
          <w:rFonts w:hint="default" w:ascii="宋体" w:hAnsi="宋体" w:eastAsia="宋体" w:cs="宋体"/>
          <w:b/>
          <w:color w:val="auto"/>
        </w:rPr>
      </w:pPr>
      <w:bookmarkStart w:id="183" w:name="_Toc5844_WPSOffice_Level2"/>
      <w:bookmarkStart w:id="184" w:name="_Toc26303_WPSOffice_Level2"/>
      <w:bookmarkStart w:id="185" w:name="_Toc27883_WPSOffice_Level2"/>
      <w:r>
        <w:rPr>
          <w:rFonts w:hint="default" w:ascii="宋体" w:hAnsi="宋体" w:eastAsia="宋体" w:cs="宋体"/>
          <w:b/>
          <w:color w:val="auto"/>
        </w:rPr>
        <w:t>（</w:t>
      </w:r>
      <w:r>
        <w:rPr>
          <w:rFonts w:hint="eastAsia" w:eastAsia="宋体" w:cs="Times New Roman"/>
          <w:b/>
          <w:color w:val="auto"/>
          <w:lang w:val="en-US" w:eastAsia="zh-CN"/>
        </w:rPr>
        <w:t>4</w:t>
      </w:r>
      <w:r>
        <w:rPr>
          <w:rFonts w:hint="default" w:ascii="宋体" w:hAnsi="宋体" w:eastAsia="宋体" w:cs="宋体"/>
          <w:b/>
          <w:color w:val="auto"/>
        </w:rPr>
        <w:t>）近年财务状况表（格式自拟）</w:t>
      </w:r>
      <w:bookmarkEnd w:id="183"/>
      <w:bookmarkEnd w:id="184"/>
      <w:bookmarkEnd w:id="185"/>
    </w:p>
    <w:p>
      <w:pPr>
        <w:autoSpaceDE w:val="0"/>
        <w:autoSpaceDN w:val="0"/>
        <w:snapToGrid w:val="0"/>
        <w:spacing w:before="626" w:after="0" w:line="263" w:lineRule="exact"/>
        <w:ind w:left="63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【备注：附经会计师事务所或审计机构审计的财务会计报表复印件，包括资产负债表、现金流量</w:t>
      </w:r>
    </w:p>
    <w:p>
      <w:pPr>
        <w:autoSpaceDE w:val="0"/>
        <w:autoSpaceDN w:val="0"/>
        <w:snapToGrid w:val="0"/>
        <w:spacing w:before="40" w:after="0" w:line="460"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表、利润表，</w:t>
      </w:r>
      <w:r>
        <w:rPr>
          <w:rFonts w:hint="default" w:ascii="楷体" w:hAnsi="楷体" w:eastAsia="楷体" w:cs="楷体"/>
          <w:color w:val="auto"/>
          <w:sz w:val="21"/>
        </w:rPr>
        <w:t>以及上述材料的复印件、投标人认为需要增加的其他证明材料复印件，以上复印件均须加盖投标人单位公章。】</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370" w:line="300" w:lineRule="exact"/>
        <w:ind w:left="480" w:right="0" w:firstLine="0"/>
        <w:jc w:val="left"/>
        <w:textAlignment w:val="auto"/>
        <w:rPr>
          <w:rFonts w:hint="default" w:ascii="宋体" w:hAnsi="宋体" w:eastAsia="宋体" w:cs="宋体"/>
          <w:b/>
          <w:color w:val="auto"/>
        </w:rPr>
      </w:pPr>
      <w:bookmarkStart w:id="186" w:name="_Toc16155_WPSOffice_Level2"/>
      <w:bookmarkStart w:id="187" w:name="_Toc13738_WPSOffice_Level2"/>
      <w:bookmarkStart w:id="188" w:name="_Toc15568_WPSOffice_Level2"/>
      <w:r>
        <w:rPr>
          <w:rFonts w:hint="default" w:ascii="宋体" w:hAnsi="宋体" w:eastAsia="宋体" w:cs="宋体"/>
          <w:b/>
          <w:color w:val="auto"/>
        </w:rPr>
        <w:t>（</w:t>
      </w:r>
      <w:r>
        <w:rPr>
          <w:rFonts w:hint="eastAsia" w:eastAsia="宋体" w:cs="Times New Roman"/>
          <w:b/>
          <w:color w:val="auto"/>
          <w:lang w:val="en-US" w:eastAsia="zh-CN"/>
        </w:rPr>
        <w:t>5</w:t>
      </w:r>
      <w:r>
        <w:rPr>
          <w:rFonts w:hint="default" w:ascii="宋体" w:hAnsi="宋体" w:eastAsia="宋体" w:cs="宋体"/>
          <w:b/>
          <w:color w:val="auto"/>
        </w:rPr>
        <w:t>）近年发生的诉讼和仲裁情况</w:t>
      </w:r>
      <w:bookmarkEnd w:id="186"/>
      <w:bookmarkEnd w:id="187"/>
      <w:bookmarkEnd w:id="188"/>
    </w:p>
    <w:tbl>
      <w:tblPr>
        <w:tblStyle w:val="6"/>
        <w:tblW w:w="8619" w:type="dxa"/>
        <w:tblInd w:w="5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436"/>
        <w:gridCol w:w="2871"/>
        <w:gridCol w:w="1436"/>
        <w:gridCol w:w="1439"/>
        <w:gridCol w:w="143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8619" w:type="dxa"/>
            <w:gridSpan w:val="5"/>
            <w:vAlign w:val="top"/>
          </w:tcPr>
          <w:p>
            <w:pPr>
              <w:autoSpaceDE w:val="0"/>
              <w:autoSpaceDN w:val="0"/>
              <w:snapToGrid w:val="0"/>
              <w:spacing w:before="91" w:after="0" w:line="263" w:lineRule="exact"/>
              <w:ind w:left="388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诉讼情况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82" w:after="0" w:line="263" w:lineRule="exact"/>
              <w:ind w:left="5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2871" w:type="dxa"/>
            <w:vAlign w:val="top"/>
          </w:tcPr>
          <w:p>
            <w:pPr>
              <w:autoSpaceDE w:val="0"/>
              <w:autoSpaceDN w:val="0"/>
              <w:snapToGrid w:val="0"/>
              <w:spacing w:before="82" w:after="0" w:line="263" w:lineRule="exact"/>
              <w:ind w:left="69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判决或裁定时间</w:t>
            </w:r>
          </w:p>
        </w:tc>
        <w:tc>
          <w:tcPr>
            <w:tcW w:w="1436" w:type="dxa"/>
            <w:vAlign w:val="top"/>
          </w:tcPr>
          <w:p>
            <w:pPr>
              <w:autoSpaceDE w:val="0"/>
              <w:autoSpaceDN w:val="0"/>
              <w:snapToGrid w:val="0"/>
              <w:spacing w:before="82"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诉讼相对人</w:t>
            </w:r>
          </w:p>
        </w:tc>
        <w:tc>
          <w:tcPr>
            <w:tcW w:w="1439" w:type="dxa"/>
            <w:vAlign w:val="top"/>
          </w:tcPr>
          <w:p>
            <w:pPr>
              <w:autoSpaceDE w:val="0"/>
              <w:autoSpaceDN w:val="0"/>
              <w:snapToGrid w:val="0"/>
              <w:spacing w:before="82"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诉讼原因</w:t>
            </w:r>
          </w:p>
        </w:tc>
        <w:tc>
          <w:tcPr>
            <w:tcW w:w="1437" w:type="dxa"/>
            <w:vAlign w:val="top"/>
          </w:tcPr>
          <w:p>
            <w:pPr>
              <w:autoSpaceDE w:val="0"/>
              <w:autoSpaceDN w:val="0"/>
              <w:snapToGrid w:val="0"/>
              <w:spacing w:before="82"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103" w:after="0" w:line="240" w:lineRule="auto"/>
              <w:ind w:left="60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2871" w:type="dxa"/>
            <w:vAlign w:val="top"/>
          </w:tcPr>
          <w:p>
            <w:pPr>
              <w:autoSpaceDE w:val="0"/>
              <w:autoSpaceDN w:val="0"/>
              <w:snapToGrid w:val="0"/>
              <w:spacing w:before="103" w:after="0" w:line="240" w:lineRule="auto"/>
              <w:ind w:left="132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143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8619" w:type="dxa"/>
            <w:gridSpan w:val="5"/>
            <w:vAlign w:val="top"/>
          </w:tcPr>
          <w:p>
            <w:pPr>
              <w:autoSpaceDE w:val="0"/>
              <w:autoSpaceDN w:val="0"/>
              <w:snapToGrid w:val="0"/>
              <w:spacing w:before="91" w:after="0" w:line="263" w:lineRule="exact"/>
              <w:ind w:left="388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仲裁情况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91" w:after="0" w:line="263" w:lineRule="exact"/>
              <w:ind w:left="5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2871" w:type="dxa"/>
            <w:vAlign w:val="top"/>
          </w:tcPr>
          <w:p>
            <w:pPr>
              <w:autoSpaceDE w:val="0"/>
              <w:autoSpaceDN w:val="0"/>
              <w:snapToGrid w:val="0"/>
              <w:spacing w:before="91" w:after="0" w:line="263" w:lineRule="exact"/>
              <w:ind w:left="10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裁决时间</w:t>
            </w:r>
          </w:p>
        </w:tc>
        <w:tc>
          <w:tcPr>
            <w:tcW w:w="1436" w:type="dxa"/>
            <w:vAlign w:val="top"/>
          </w:tcPr>
          <w:p>
            <w:pPr>
              <w:autoSpaceDE w:val="0"/>
              <w:autoSpaceDN w:val="0"/>
              <w:snapToGrid w:val="0"/>
              <w:spacing w:before="91"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仲裁相对人</w:t>
            </w:r>
          </w:p>
        </w:tc>
        <w:tc>
          <w:tcPr>
            <w:tcW w:w="1439" w:type="dxa"/>
            <w:vAlign w:val="top"/>
          </w:tcPr>
          <w:p>
            <w:pPr>
              <w:autoSpaceDE w:val="0"/>
              <w:autoSpaceDN w:val="0"/>
              <w:snapToGrid w:val="0"/>
              <w:spacing w:before="91"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仲裁原因</w:t>
            </w:r>
          </w:p>
        </w:tc>
        <w:tc>
          <w:tcPr>
            <w:tcW w:w="1437" w:type="dxa"/>
            <w:vAlign w:val="top"/>
          </w:tcPr>
          <w:p>
            <w:pPr>
              <w:autoSpaceDE w:val="0"/>
              <w:autoSpaceDN w:val="0"/>
              <w:snapToGrid w:val="0"/>
              <w:spacing w:before="91" w:after="0" w:line="263" w:lineRule="exact"/>
              <w:ind w:left="29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证明材料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39"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87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exact"/>
        </w:trPr>
        <w:tc>
          <w:tcPr>
            <w:tcW w:w="1436" w:type="dxa"/>
            <w:vAlign w:val="top"/>
          </w:tcPr>
          <w:p>
            <w:pPr>
              <w:autoSpaceDE w:val="0"/>
              <w:autoSpaceDN w:val="0"/>
              <w:snapToGrid w:val="0"/>
              <w:spacing w:before="103" w:after="0" w:line="240" w:lineRule="auto"/>
              <w:ind w:left="60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2871" w:type="dxa"/>
            <w:vAlign w:val="top"/>
          </w:tcPr>
          <w:p>
            <w:pPr>
              <w:autoSpaceDE w:val="0"/>
              <w:autoSpaceDN w:val="0"/>
              <w:snapToGrid w:val="0"/>
              <w:spacing w:before="103" w:after="0" w:line="240" w:lineRule="auto"/>
              <w:ind w:left="132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143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43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bl>
    <w:p>
      <w:pPr>
        <w:autoSpaceDE w:val="0"/>
        <w:autoSpaceDN w:val="0"/>
        <w:snapToGrid w:val="0"/>
        <w:spacing w:before="249" w:after="0" w:line="408"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【备注：近年</w:t>
      </w:r>
      <w:r>
        <w:rPr>
          <w:rFonts w:hint="default" w:ascii="楷体" w:hAnsi="楷体" w:eastAsia="楷体" w:cs="楷体"/>
          <w:color w:val="auto"/>
          <w:sz w:val="21"/>
        </w:rPr>
        <w:t>发生的诉讼和仲裁情况仅限于投标人败诉的，且与履行施工承包合同有关的案件，不包括调</w:t>
      </w:r>
      <w:r>
        <w:rPr>
          <w:rFonts w:hint="default" w:ascii="楷体" w:hAnsi="楷体" w:eastAsia="楷体" w:cs="楷体"/>
          <w:color w:val="auto"/>
          <w:spacing w:val="-1"/>
          <w:sz w:val="21"/>
        </w:rPr>
        <w:t>解结案以及未</w:t>
      </w:r>
      <w:r>
        <w:rPr>
          <w:rFonts w:hint="default" w:ascii="楷体" w:hAnsi="楷体" w:eastAsia="楷体" w:cs="楷体"/>
          <w:color w:val="auto"/>
          <w:sz w:val="21"/>
        </w:rPr>
        <w:t>裁决的仲裁或未终审判决的诉讼。附裁决书、裁定书、仲裁裁决书及有关文件的复印件并加盖投标人单位公章。】</w:t>
      </w:r>
    </w:p>
    <w:p>
      <w:pPr>
        <w:rPr>
          <w:rFonts w:hint="default" w:ascii="宋体" w:hAnsi="宋体" w:eastAsia="宋体" w:cs="宋体"/>
          <w:color w:val="auto"/>
          <w:sz w:val="28"/>
        </w:rPr>
      </w:pPr>
      <w:r>
        <w:rPr>
          <w:rFonts w:hint="default" w:ascii="宋体" w:hAnsi="宋体" w:eastAsia="宋体" w:cs="宋体"/>
          <w:color w:val="auto"/>
          <w:sz w:val="28"/>
        </w:rPr>
        <w:br w:type="page"/>
      </w:r>
    </w:p>
    <w:p>
      <w:pPr>
        <w:autoSpaceDE w:val="0"/>
        <w:autoSpaceDN w:val="0"/>
        <w:snapToGrid w:val="0"/>
        <w:spacing w:before="2596" w:after="0" w:line="350" w:lineRule="exact"/>
        <w:ind w:right="0"/>
        <w:jc w:val="center"/>
        <w:textAlignment w:val="auto"/>
        <w:rPr>
          <w:rFonts w:hint="eastAsia" w:ascii="宋体" w:hAnsi="宋体" w:eastAsia="宋体" w:cs="宋体"/>
          <w:color w:val="auto"/>
          <w:sz w:val="28"/>
          <w:u w:val="single"/>
          <w:shd w:val="clear"/>
          <w:lang w:val="en-US" w:eastAsia="zh-CN"/>
        </w:rPr>
      </w:pPr>
    </w:p>
    <w:p>
      <w:pPr>
        <w:keepNext w:val="0"/>
        <w:keepLines w:val="0"/>
        <w:pageBreakBefore w:val="0"/>
        <w:widowControl w:val="0"/>
        <w:kinsoku/>
        <w:wordWrap/>
        <w:overflowPunct/>
        <w:topLinePunct w:val="0"/>
        <w:autoSpaceDE w:val="0"/>
        <w:autoSpaceDN w:val="0"/>
        <w:bidi w:val="0"/>
        <w:adjustRightInd/>
        <w:snapToGrid w:val="0"/>
        <w:spacing w:after="0" w:line="400" w:lineRule="exact"/>
        <w:ind w:right="0"/>
        <w:jc w:val="center"/>
        <w:textAlignment w:val="auto"/>
        <w:rPr>
          <w:rFonts w:hint="default" w:ascii="宋体" w:hAnsi="宋体" w:eastAsia="宋体" w:cs="宋体"/>
          <w:color w:val="auto"/>
          <w:sz w:val="28"/>
        </w:rPr>
      </w:pPr>
      <w:bookmarkStart w:id="189" w:name="_Toc124_WPSOffice_Level1"/>
      <w:bookmarkStart w:id="190" w:name="_Toc15587_WPSOffice_Level1"/>
      <w:bookmarkStart w:id="191" w:name="_Toc20856_WPSOffice_Level1"/>
      <w:r>
        <w:rPr>
          <w:rFonts w:hint="eastAsia" w:ascii="宋体" w:hAnsi="宋体" w:eastAsia="宋体" w:cs="宋体"/>
          <w:color w:val="FFFFFF" w:themeColor="background1"/>
          <w:sz w:val="28"/>
          <w:u w:val="single"/>
          <w:shd w:val="clear"/>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（项目名称）施工招标</w:t>
      </w:r>
      <w:bookmarkEnd w:id="189"/>
      <w:bookmarkEnd w:id="190"/>
      <w:bookmarkEnd w:id="191"/>
    </w:p>
    <w:p>
      <w:pPr>
        <w:autoSpaceDE w:val="0"/>
        <w:autoSpaceDN w:val="0"/>
        <w:snapToGrid w:val="0"/>
        <w:spacing w:before="579" w:after="0" w:line="650" w:lineRule="exact"/>
        <w:ind w:left="1974" w:right="0" w:firstLine="0"/>
        <w:jc w:val="left"/>
        <w:textAlignment w:val="auto"/>
        <w:rPr>
          <w:rFonts w:hint="default" w:ascii="宋体" w:hAnsi="宋体" w:eastAsia="宋体" w:cs="宋体"/>
          <w:color w:val="auto"/>
          <w:sz w:val="52"/>
        </w:rPr>
      </w:pPr>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bookmarkStart w:id="192" w:name="_Toc6437_WPSOffice_Level1"/>
      <w:bookmarkStart w:id="193" w:name="_Toc11307_WPSOffice_Level1"/>
      <w:bookmarkStart w:id="194" w:name="_Toc30035_WPSOffice_Level1"/>
      <w:r>
        <w:rPr>
          <w:rFonts w:hint="default" w:ascii="宋体" w:hAnsi="宋体" w:eastAsia="宋体" w:cs="宋体"/>
          <w:color w:val="auto"/>
          <w:sz w:val="52"/>
        </w:rPr>
        <w:t>投</w:t>
      </w:r>
      <w:r>
        <w:rPr>
          <w:rFonts w:hint="default" w:ascii="宋体" w:hAnsi="宋体" w:eastAsia="宋体" w:cs="宋体"/>
          <w:color w:val="auto"/>
          <w:spacing w:val="130"/>
          <w:sz w:val="52"/>
        </w:rPr>
        <w:t xml:space="preserve"> </w:t>
      </w:r>
      <w:r>
        <w:rPr>
          <w:rFonts w:hint="default" w:ascii="宋体" w:hAnsi="宋体" w:eastAsia="宋体" w:cs="宋体"/>
          <w:color w:val="auto"/>
          <w:sz w:val="52"/>
        </w:rPr>
        <w:t>标</w:t>
      </w:r>
      <w:r>
        <w:rPr>
          <w:rFonts w:hint="default" w:ascii="宋体" w:hAnsi="宋体" w:eastAsia="宋体" w:cs="宋体"/>
          <w:color w:val="auto"/>
          <w:spacing w:val="130"/>
          <w:sz w:val="52"/>
        </w:rPr>
        <w:t xml:space="preserve"> </w:t>
      </w:r>
      <w:r>
        <w:rPr>
          <w:rFonts w:hint="default" w:ascii="宋体" w:hAnsi="宋体" w:eastAsia="宋体" w:cs="宋体"/>
          <w:color w:val="auto"/>
          <w:sz w:val="52"/>
        </w:rPr>
        <w:t>文</w:t>
      </w:r>
      <w:r>
        <w:rPr>
          <w:rFonts w:hint="default" w:ascii="宋体" w:hAnsi="宋体" w:eastAsia="宋体" w:cs="宋体"/>
          <w:color w:val="auto"/>
          <w:spacing w:val="130"/>
          <w:sz w:val="52"/>
        </w:rPr>
        <w:t xml:space="preserve"> </w:t>
      </w:r>
      <w:r>
        <w:rPr>
          <w:rFonts w:hint="default" w:ascii="宋体" w:hAnsi="宋体" w:eastAsia="宋体" w:cs="宋体"/>
          <w:color w:val="auto"/>
          <w:sz w:val="52"/>
        </w:rPr>
        <w:t>件</w:t>
      </w:r>
      <w:bookmarkEnd w:id="192"/>
      <w:bookmarkEnd w:id="193"/>
      <w:bookmarkEnd w:id="194"/>
    </w:p>
    <w:p>
      <w:pPr>
        <w:autoSpaceDE w:val="0"/>
        <w:autoSpaceDN w:val="0"/>
        <w:snapToGrid w:val="0"/>
        <w:spacing w:before="1492" w:after="0" w:line="350" w:lineRule="exact"/>
        <w:ind w:left="130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jc w:val="center"/>
        <w:textAlignment w:val="auto"/>
        <w:rPr>
          <w:rFonts w:hint="default" w:ascii="宋体" w:hAnsi="宋体" w:eastAsia="宋体" w:cs="宋体"/>
          <w:color w:val="auto"/>
          <w:sz w:val="28"/>
          <w:u w:val="single"/>
          <w:lang w:val="en-US" w:eastAsia="zh-CN"/>
        </w:rPr>
      </w:pPr>
      <w:bookmarkStart w:id="195" w:name="_Toc21681_WPSOffice_Level2"/>
      <w:bookmarkStart w:id="196" w:name="_Toc26100_WPSOffice_Level2"/>
      <w:bookmarkStart w:id="197" w:name="_Toc28399_WPSOffice_Level2"/>
      <w:r>
        <w:rPr>
          <w:rFonts w:hint="default"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bookmarkEnd w:id="195"/>
      <w:bookmarkEnd w:id="196"/>
      <w:bookmarkEnd w:id="197"/>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32"/>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32"/>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32"/>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center"/>
        <w:textAlignment w:val="auto"/>
        <w:rPr>
          <w:rFonts w:hint="default" w:ascii="宋体" w:hAnsi="宋体" w:eastAsia="宋体" w:cs="宋体"/>
          <w:color w:val="auto"/>
          <w:sz w:val="32"/>
        </w:rPr>
      </w:pPr>
      <w:r>
        <w:rPr>
          <w:rFonts w:hint="default" w:ascii="宋体" w:hAnsi="宋体" w:eastAsia="宋体" w:cs="宋体"/>
          <w:color w:val="auto"/>
          <w:sz w:val="32"/>
        </w:rPr>
        <w:t>（正本</w:t>
      </w:r>
      <w:r>
        <w:rPr>
          <w:rFonts w:hint="default" w:ascii="Times New Roman" w:hAnsi="Times New Roman" w:eastAsia="Times New Roman" w:cs="Times New Roman"/>
          <w:color w:val="auto"/>
          <w:sz w:val="32"/>
        </w:rPr>
        <w:t>/</w:t>
      </w:r>
      <w:r>
        <w:rPr>
          <w:rFonts w:hint="default" w:ascii="宋体" w:hAnsi="宋体" w:eastAsia="宋体" w:cs="宋体"/>
          <w:color w:val="auto"/>
          <w:sz w:val="32"/>
        </w:rPr>
        <w:t>副本）</w:t>
      </w: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680" w:firstLineChars="6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680" w:firstLineChars="60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680" w:firstLineChars="600"/>
        <w:jc w:val="left"/>
        <w:textAlignment w:val="auto"/>
        <w:rPr>
          <w:rFonts w:hint="default" w:ascii="宋体" w:hAnsi="宋体" w:eastAsia="宋体" w:cs="宋体"/>
          <w:color w:val="auto"/>
          <w:sz w:val="28"/>
          <w:u w:val="single"/>
          <w:lang w:val="en-US"/>
        </w:rPr>
      </w:pPr>
      <w:r>
        <w:rPr>
          <w:rFonts w:hint="default" w:ascii="宋体" w:hAnsi="宋体" w:eastAsia="宋体" w:cs="宋体"/>
          <w:color w:val="auto"/>
          <w:sz w:val="28"/>
        </w:rPr>
        <w:t>投标内容：</w:t>
      </w:r>
      <w:r>
        <w:rPr>
          <w:rFonts w:hint="default" w:ascii="宋体" w:hAnsi="宋体" w:eastAsia="宋体" w:cs="宋体"/>
          <w:color w:val="auto"/>
          <w:spacing w:val="770"/>
          <w:sz w:val="28"/>
          <w:u w:val="single"/>
        </w:rPr>
        <w:t xml:space="preserve"> </w:t>
      </w:r>
      <w:r>
        <w:rPr>
          <w:rFonts w:hint="default" w:ascii="宋体" w:hAnsi="宋体" w:eastAsia="宋体" w:cs="宋体"/>
          <w:color w:val="auto"/>
          <w:sz w:val="28"/>
          <w:u w:val="single"/>
        </w:rPr>
        <w:t>商务标部分</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p>
    <w:p>
      <w:pPr>
        <w:autoSpaceDE w:val="0"/>
        <w:autoSpaceDN w:val="0"/>
        <w:snapToGrid w:val="0"/>
        <w:spacing w:before="195" w:after="0" w:line="350" w:lineRule="exact"/>
        <w:ind w:left="320" w:right="0" w:firstLine="1400" w:firstLineChars="500"/>
        <w:jc w:val="left"/>
        <w:textAlignment w:val="auto"/>
        <w:rPr>
          <w:rFonts w:hint="default" w:ascii="宋体" w:hAnsi="宋体" w:eastAsia="宋体" w:cs="宋体"/>
          <w:color w:val="auto"/>
          <w:sz w:val="28"/>
        </w:rPr>
      </w:pPr>
      <w:r>
        <w:rPr>
          <w:rFonts w:hint="default" w:ascii="宋体" w:hAnsi="宋体" w:eastAsia="宋体" w:cs="宋体"/>
          <w:color w:val="auto"/>
          <w:sz w:val="28"/>
        </w:rPr>
        <w:t>投标人：</w:t>
      </w:r>
      <w:r>
        <w:rPr>
          <w:rFonts w:hint="default" w:ascii="宋体" w:hAnsi="宋体" w:eastAsia="宋体" w:cs="宋体"/>
          <w:color w:val="auto"/>
          <w:spacing w:val="2240"/>
          <w:sz w:val="28"/>
          <w:u w:val="single"/>
        </w:rPr>
        <w:t xml:space="preserve"> </w:t>
      </w:r>
      <w:r>
        <w:rPr>
          <w:rFonts w:hint="default" w:ascii="宋体" w:hAnsi="宋体" w:eastAsia="宋体" w:cs="宋体"/>
          <w:color w:val="auto"/>
          <w:sz w:val="28"/>
        </w:rPr>
        <w:t>（盖单位章）</w:t>
      </w:r>
    </w:p>
    <w:p>
      <w:pPr>
        <w:autoSpaceDE w:val="0"/>
        <w:autoSpaceDN w:val="0"/>
        <w:snapToGrid w:val="0"/>
        <w:spacing w:before="195" w:after="0" w:line="350" w:lineRule="exact"/>
        <w:ind w:left="320" w:right="0" w:firstLine="1390" w:firstLineChars="500"/>
        <w:jc w:val="left"/>
        <w:textAlignment w:val="auto"/>
        <w:rPr>
          <w:rFonts w:hint="default" w:ascii="宋体" w:hAnsi="宋体" w:eastAsia="宋体" w:cs="宋体"/>
          <w:color w:val="auto"/>
          <w:sz w:val="28"/>
        </w:rPr>
      </w:pPr>
      <w:r>
        <w:rPr>
          <w:rFonts w:hint="default" w:ascii="宋体" w:hAnsi="宋体" w:eastAsia="宋体" w:cs="宋体"/>
          <w:color w:val="auto"/>
          <w:spacing w:val="-1"/>
          <w:sz w:val="28"/>
        </w:rPr>
        <w:t>法定代表人或</w:t>
      </w:r>
      <w:r>
        <w:rPr>
          <w:rFonts w:hint="default" w:ascii="宋体" w:hAnsi="宋体" w:eastAsia="宋体" w:cs="宋体"/>
          <w:color w:val="auto"/>
          <w:sz w:val="28"/>
        </w:rPr>
        <w:t>其委托代理人：</w:t>
      </w:r>
      <w:r>
        <w:rPr>
          <w:rFonts w:hint="default" w:ascii="宋体" w:hAnsi="宋体" w:eastAsia="宋体" w:cs="宋体"/>
          <w:color w:val="auto"/>
          <w:spacing w:val="910"/>
          <w:sz w:val="28"/>
          <w:u w:val="single"/>
        </w:rPr>
        <w:t xml:space="preserve"> </w:t>
      </w:r>
      <w:r>
        <w:rPr>
          <w:rFonts w:hint="default" w:ascii="宋体" w:hAnsi="宋体" w:eastAsia="宋体" w:cs="宋体"/>
          <w:color w:val="auto"/>
          <w:sz w:val="28"/>
        </w:rPr>
        <w:t>（签字或盖章）</w:t>
      </w:r>
    </w:p>
    <w:p>
      <w:pPr>
        <w:autoSpaceDE w:val="0"/>
        <w:autoSpaceDN w:val="0"/>
        <w:snapToGrid w:val="0"/>
        <w:spacing w:before="839" w:after="0" w:line="350" w:lineRule="exact"/>
        <w:ind w:left="2744" w:right="0" w:firstLine="280" w:firstLineChars="100"/>
        <w:jc w:val="left"/>
        <w:textAlignment w:val="auto"/>
        <w:rPr>
          <w:rFonts w:hint="default" w:ascii="宋体" w:hAnsi="宋体" w:eastAsia="宋体" w:cs="宋体"/>
          <w:color w:val="auto"/>
          <w:sz w:val="28"/>
        </w:rPr>
      </w:pPr>
      <w:r>
        <w:rPr>
          <w:rFonts w:hint="default" w:ascii="宋体" w:hAnsi="宋体" w:eastAsia="宋体" w:cs="宋体"/>
          <w:color w:val="auto"/>
          <w:sz w:val="28"/>
        </w:rPr>
        <w:t>年</w:t>
      </w:r>
      <w:r>
        <w:rPr>
          <w:rFonts w:hint="default" w:ascii="宋体" w:hAnsi="宋体" w:eastAsia="宋体" w:cs="宋体"/>
          <w:color w:val="auto"/>
          <w:spacing w:val="560"/>
          <w:sz w:val="28"/>
        </w:rPr>
        <w:t xml:space="preserve"> </w:t>
      </w:r>
      <w:r>
        <w:rPr>
          <w:rFonts w:hint="default" w:ascii="宋体" w:hAnsi="宋体" w:eastAsia="宋体" w:cs="宋体"/>
          <w:color w:val="auto"/>
          <w:sz w:val="28"/>
        </w:rPr>
        <w:t>月</w:t>
      </w:r>
      <w:r>
        <w:rPr>
          <w:rFonts w:hint="default" w:ascii="宋体" w:hAnsi="宋体" w:eastAsia="宋体" w:cs="宋体"/>
          <w:color w:val="auto"/>
          <w:spacing w:val="560"/>
          <w:sz w:val="28"/>
        </w:rPr>
        <w:t xml:space="preserve"> </w:t>
      </w:r>
      <w:r>
        <w:rPr>
          <w:rFonts w:hint="default" w:ascii="宋体" w:hAnsi="宋体" w:eastAsia="宋体" w:cs="宋体"/>
          <w:color w:val="auto"/>
          <w:sz w:val="28"/>
        </w:rPr>
        <w:t>日</w:t>
      </w:r>
    </w:p>
    <w:p>
      <w:pPr>
        <w:numPr>
          <w:ilvl w:val="0"/>
          <w:numId w:val="33"/>
        </w:numPr>
        <w:autoSpaceDE w:val="0"/>
        <w:autoSpaceDN w:val="0"/>
        <w:snapToGrid w:val="0"/>
        <w:spacing w:before="2145" w:after="0" w:line="240" w:lineRule="auto"/>
        <w:ind w:left="-660" w:right="0" w:firstLine="4363"/>
        <w:jc w:val="left"/>
        <w:textAlignment w:val="auto"/>
        <w:rPr>
          <w:rFonts w:hint="default" w:ascii="宋体" w:hAnsi="宋体" w:eastAsia="宋体" w:cs="宋体"/>
          <w:color w:val="auto"/>
          <w:sz w:val="28"/>
        </w:rPr>
        <w:sectPr>
          <w:footnotePr>
            <w:numStart w:val="0"/>
          </w:footnotePr>
          <w:endnotePr>
            <w:numFmt w:val="decimal"/>
            <w:numStart w:val="0"/>
          </w:endnotePr>
          <w:pgSz w:w="11907" w:h="16840"/>
          <w:pgMar w:top="1440" w:right="1107" w:bottom="649" w:left="96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00" w:lineRule="exact"/>
        <w:ind w:left="3544" w:right="0" w:firstLine="0"/>
        <w:jc w:val="left"/>
        <w:textAlignment w:val="auto"/>
        <w:rPr>
          <w:rFonts w:hint="default" w:ascii="宋体" w:hAnsi="宋体" w:eastAsia="宋体" w:cs="宋体"/>
          <w:b/>
          <w:color w:val="auto"/>
        </w:rPr>
      </w:pPr>
      <w:r>
        <w:rPr>
          <w:rFonts w:hint="default" w:ascii="宋体" w:hAnsi="宋体" w:eastAsia="宋体" w:cs="宋体"/>
          <w:b/>
          <w:color w:val="auto"/>
        </w:rPr>
        <w:t>一、投标函及投标函附录</w:t>
      </w:r>
    </w:p>
    <w:p>
      <w:pPr>
        <w:autoSpaceDE w:val="0"/>
        <w:autoSpaceDN w:val="0"/>
        <w:snapToGrid w:val="0"/>
        <w:spacing w:before="252" w:after="0" w:line="263" w:lineRule="exact"/>
        <w:ind w:left="4239"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（一）投标函</w:t>
      </w:r>
    </w:p>
    <w:p>
      <w:pPr>
        <w:autoSpaceDE w:val="0"/>
        <w:autoSpaceDN w:val="0"/>
        <w:snapToGrid w:val="0"/>
        <w:spacing w:before="7" w:after="0" w:line="460" w:lineRule="exact"/>
        <w:ind w:left="0" w:right="0"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1</w:t>
      </w:r>
      <w:r>
        <w:rPr>
          <w:rFonts w:hint="default" w:ascii="宋体" w:hAnsi="宋体" w:eastAsia="宋体" w:cs="宋体"/>
          <w:color w:val="auto"/>
          <w:spacing w:val="-1"/>
          <w:sz w:val="21"/>
        </w:rPr>
        <w:t>、根据你方项</w:t>
      </w:r>
      <w:r>
        <w:rPr>
          <w:rFonts w:hint="default" w:ascii="宋体" w:hAnsi="宋体" w:eastAsia="宋体" w:cs="宋体"/>
          <w:color w:val="auto"/>
          <w:sz w:val="21"/>
        </w:rPr>
        <w:t>目招标编号为</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u w:val="single" w:color="000000"/>
        </w:rPr>
        <w:t>（项目编号）</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rPr>
        <w:t>的</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u w:val="single" w:color="000000"/>
        </w:rPr>
        <w:t>（项目名称）</w:t>
      </w:r>
      <w:r>
        <w:rPr>
          <w:rFonts w:hint="default" w:ascii="宋体" w:hAnsi="宋体" w:eastAsia="宋体" w:cs="宋体"/>
          <w:color w:val="auto"/>
          <w:spacing w:val="103"/>
          <w:sz w:val="21"/>
          <w:u w:val="single" w:color="000000"/>
        </w:rPr>
        <w:t xml:space="preserve"> </w:t>
      </w:r>
      <w:r>
        <w:rPr>
          <w:rFonts w:hint="default" w:ascii="宋体" w:hAnsi="宋体" w:eastAsia="宋体" w:cs="宋体"/>
          <w:color w:val="auto"/>
          <w:sz w:val="21"/>
        </w:rPr>
        <w:t>招标文件，遵照《中华人民共和国招标投标法》等有关规定，经踏勘项目现场和研究上述招标文件的投标须知、合同条</w:t>
      </w:r>
      <w:r>
        <w:rPr>
          <w:rFonts w:hint="default" w:ascii="宋体" w:hAnsi="宋体" w:eastAsia="宋体" w:cs="宋体"/>
          <w:color w:val="auto"/>
          <w:spacing w:val="-1"/>
          <w:sz w:val="21"/>
        </w:rPr>
        <w:t>款、工</w:t>
      </w:r>
      <w:r>
        <w:rPr>
          <w:rFonts w:hint="default" w:ascii="宋体" w:hAnsi="宋体" w:eastAsia="宋体" w:cs="宋体"/>
          <w:color w:val="auto"/>
          <w:sz w:val="21"/>
        </w:rPr>
        <w:t>程建设标准和工程量清单及其他有关文件后，我方愿以人民币（大写）</w:t>
      </w:r>
      <w:r>
        <w:rPr>
          <w:rFonts w:hint="default" w:ascii="宋体" w:hAnsi="宋体" w:eastAsia="宋体" w:cs="宋体"/>
          <w:color w:val="auto"/>
          <w:spacing w:val="388"/>
          <w:sz w:val="21"/>
          <w:u w:val="single" w:color="000000"/>
        </w:rPr>
        <w:t xml:space="preserve"> </w:t>
      </w:r>
      <w:r>
        <w:rPr>
          <w:rFonts w:hint="default" w:ascii="宋体" w:hAnsi="宋体" w:eastAsia="宋体" w:cs="宋体"/>
          <w:color w:val="auto"/>
          <w:sz w:val="21"/>
        </w:rPr>
        <w:t>元（</w:t>
      </w:r>
      <w:r>
        <w:rPr>
          <w:rFonts w:hint="default" w:ascii="Times New Roman" w:hAnsi="Times New Roman" w:eastAsia="Times New Roman" w:cs="Times New Roman"/>
          <w:color w:val="auto"/>
          <w:sz w:val="21"/>
        </w:rPr>
        <w:t>RMB</w:t>
      </w:r>
      <w:r>
        <w:rPr>
          <w:rFonts w:hint="default" w:ascii="宋体" w:hAnsi="宋体" w:eastAsia="宋体" w:cs="宋体"/>
          <w:color w:val="auto"/>
          <w:sz w:val="21"/>
          <w:u w:val="single" w:color="000000"/>
        </w:rPr>
        <w:t>￥</w:t>
      </w:r>
      <w:r>
        <w:rPr>
          <w:rFonts w:hint="eastAsia" w:ascii="宋体" w:hAnsi="宋体" w:eastAsia="宋体" w:cs="宋体"/>
          <w:color w:val="auto"/>
          <w:sz w:val="21"/>
          <w:u w:val="single" w:color="000000"/>
          <w:lang w:val="en-US" w:eastAsia="zh-CN"/>
        </w:rPr>
        <w:t xml:space="preserve">       </w:t>
      </w:r>
      <w:r>
        <w:rPr>
          <w:rFonts w:hint="default" w:ascii="宋体" w:hAnsi="宋体" w:eastAsia="宋体" w:cs="宋体"/>
          <w:color w:val="auto"/>
          <w:sz w:val="21"/>
        </w:rPr>
        <w:t>元）的投标报价并按上述合同条款、工程建设标准和工程量清单（如有时）的条件要求承包上述工程的施工、竣工，并承担任何质量缺陷保修责任。我方保证工程质量达到</w:t>
      </w:r>
      <w:r>
        <w:rPr>
          <w:rFonts w:hint="default" w:ascii="宋体" w:hAnsi="宋体" w:eastAsia="宋体" w:cs="宋体"/>
          <w:color w:val="auto"/>
          <w:spacing w:val="315"/>
          <w:sz w:val="21"/>
          <w:u w:val="single" w:color="000000"/>
        </w:rPr>
        <w:t xml:space="preserve"> </w:t>
      </w:r>
      <w:r>
        <w:rPr>
          <w:rFonts w:hint="default" w:ascii="宋体" w:hAnsi="宋体" w:eastAsia="宋体" w:cs="宋体"/>
          <w:color w:val="auto"/>
          <w:sz w:val="21"/>
        </w:rPr>
        <w:t>等级。</w:t>
      </w:r>
    </w:p>
    <w:p>
      <w:pPr>
        <w:autoSpaceDE w:val="0"/>
        <w:autoSpaceDN w:val="0"/>
        <w:snapToGrid w:val="0"/>
        <w:spacing w:before="19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、我方已详细审核全部招标文件，包括修改文件（如有时）及有关附件。</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3</w:t>
      </w:r>
      <w:r>
        <w:rPr>
          <w:rFonts w:hint="default" w:ascii="宋体" w:hAnsi="宋体" w:eastAsia="宋体" w:cs="宋体"/>
          <w:color w:val="auto"/>
          <w:sz w:val="21"/>
        </w:rPr>
        <w:t>、我方承认投标函附录是我方投标函的组成部分。</w:t>
      </w:r>
    </w:p>
    <w:p>
      <w:pPr>
        <w:autoSpaceDE w:val="0"/>
        <w:autoSpaceDN w:val="0"/>
        <w:snapToGrid w:val="0"/>
        <w:spacing w:before="205" w:after="0" w:line="240" w:lineRule="auto"/>
        <w:ind w:right="0" w:firstLine="420"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4</w:t>
      </w:r>
      <w:r>
        <w:rPr>
          <w:rFonts w:hint="default" w:ascii="宋体" w:hAnsi="宋体" w:eastAsia="宋体" w:cs="宋体"/>
          <w:color w:val="auto"/>
          <w:sz w:val="21"/>
        </w:rPr>
        <w:t>、一旦我方中标，我方保证按合同书中规定的工期</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日历天内完成并移交全部工程。</w:t>
      </w:r>
    </w:p>
    <w:p>
      <w:pPr>
        <w:autoSpaceDE w:val="0"/>
        <w:autoSpaceDN w:val="0"/>
        <w:snapToGrid w:val="0"/>
        <w:spacing w:before="205"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5</w:t>
      </w:r>
      <w:r>
        <w:rPr>
          <w:rFonts w:hint="default" w:ascii="宋体" w:hAnsi="宋体" w:eastAsia="宋体" w:cs="宋体"/>
          <w:color w:val="auto"/>
          <w:sz w:val="21"/>
        </w:rPr>
        <w:t>、如果我方中标，我方将按照文件规定提交履约保证金作为履约担保。</w:t>
      </w:r>
    </w:p>
    <w:p>
      <w:pPr>
        <w:autoSpaceDE w:val="0"/>
        <w:autoSpaceDN w:val="0"/>
        <w:snapToGrid w:val="0"/>
        <w:spacing w:before="47" w:after="0" w:line="460" w:lineRule="exact"/>
        <w:ind w:left="0" w:right="87"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6</w:t>
      </w:r>
      <w:r>
        <w:rPr>
          <w:rFonts w:hint="default" w:ascii="宋体" w:hAnsi="宋体" w:eastAsia="宋体" w:cs="宋体"/>
          <w:color w:val="auto"/>
          <w:spacing w:val="-1"/>
          <w:sz w:val="21"/>
        </w:rPr>
        <w:t>、我方同意</w:t>
      </w:r>
      <w:r>
        <w:rPr>
          <w:rFonts w:hint="default" w:ascii="宋体" w:hAnsi="宋体" w:eastAsia="宋体" w:cs="宋体"/>
          <w:color w:val="auto"/>
          <w:sz w:val="21"/>
        </w:rPr>
        <w:t>所提交的投标文件在招标文件的“投标人须知”中</w:t>
      </w:r>
      <w:r>
        <w:rPr>
          <w:rFonts w:hint="default" w:ascii="宋体" w:hAnsi="宋体" w:eastAsia="宋体" w:cs="宋体"/>
          <w:color w:val="auto"/>
          <w:spacing w:val="26"/>
          <w:sz w:val="21"/>
        </w:rPr>
        <w:t>第</w:t>
      </w:r>
      <w:r>
        <w:rPr>
          <w:rFonts w:hint="default" w:ascii="Times New Roman" w:hAnsi="Times New Roman" w:eastAsia="Times New Roman" w:cs="Times New Roman"/>
          <w:color w:val="auto"/>
          <w:sz w:val="21"/>
        </w:rPr>
        <w:t>3.3.</w:t>
      </w:r>
      <w:r>
        <w:rPr>
          <w:rFonts w:hint="default" w:ascii="Times New Roman" w:hAnsi="Times New Roman" w:eastAsia="Times New Roman" w:cs="Times New Roman"/>
          <w:color w:val="auto"/>
          <w:spacing w:val="53"/>
          <w:sz w:val="21"/>
        </w:rPr>
        <w:t>1</w:t>
      </w:r>
      <w:r>
        <w:rPr>
          <w:rFonts w:hint="default" w:ascii="宋体" w:hAnsi="宋体" w:eastAsia="宋体" w:cs="宋体"/>
          <w:color w:val="auto"/>
          <w:sz w:val="21"/>
        </w:rPr>
        <w:t>条规定的投标有效期内有效，在此期间内如果中标，我方将受此约束。</w:t>
      </w:r>
    </w:p>
    <w:p>
      <w:pPr>
        <w:autoSpaceDE w:val="0"/>
        <w:autoSpaceDN w:val="0"/>
        <w:snapToGrid w:val="0"/>
        <w:spacing w:before="0" w:after="0" w:line="460" w:lineRule="exact"/>
        <w:ind w:left="0" w:right="192" w:firstLine="420"/>
        <w:jc w:val="both"/>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7</w:t>
      </w:r>
      <w:r>
        <w:rPr>
          <w:rFonts w:hint="default" w:ascii="宋体" w:hAnsi="宋体" w:eastAsia="宋体" w:cs="宋体"/>
          <w:color w:val="auto"/>
          <w:spacing w:val="-1"/>
          <w:sz w:val="21"/>
        </w:rPr>
        <w:t>、除非另外</w:t>
      </w:r>
      <w:r>
        <w:rPr>
          <w:rFonts w:hint="default" w:ascii="宋体" w:hAnsi="宋体" w:eastAsia="宋体" w:cs="宋体"/>
          <w:color w:val="auto"/>
          <w:sz w:val="21"/>
        </w:rPr>
        <w:t>达成协议并生效，你方的中标通知书和本投标文件将成为约束双方的合同文件的组成部分。</w:t>
      </w:r>
    </w:p>
    <w:p>
      <w:pPr>
        <w:autoSpaceDE w:val="0"/>
        <w:autoSpaceDN w:val="0"/>
        <w:snapToGrid w:val="0"/>
        <w:spacing w:before="158" w:after="0" w:line="240" w:lineRule="auto"/>
        <w:ind w:right="0" w:firstLine="416" w:firstLineChars="20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pacing w:val="-1"/>
          <w:sz w:val="21"/>
        </w:rPr>
        <w:t>8</w:t>
      </w:r>
      <w:r>
        <w:rPr>
          <w:rFonts w:hint="default" w:ascii="宋体" w:hAnsi="宋体" w:eastAsia="宋体" w:cs="宋体"/>
          <w:color w:val="auto"/>
          <w:spacing w:val="-1"/>
          <w:sz w:val="21"/>
        </w:rPr>
        <w:t>、我方将</w:t>
      </w:r>
      <w:r>
        <w:rPr>
          <w:rFonts w:hint="default" w:ascii="宋体" w:hAnsi="宋体" w:eastAsia="宋体" w:cs="宋体"/>
          <w:color w:val="auto"/>
          <w:sz w:val="21"/>
        </w:rPr>
        <w:t>与本投标函一起，提交无条件保函（保证额度</w:t>
      </w:r>
      <w:r>
        <w:rPr>
          <w:rFonts w:hint="default" w:ascii="宋体" w:hAnsi="宋体" w:eastAsia="宋体" w:cs="宋体"/>
          <w:color w:val="auto"/>
          <w:spacing w:val="235"/>
          <w:sz w:val="21"/>
          <w:u w:val="single" w:color="000000"/>
        </w:rPr>
        <w:t xml:space="preserve"> </w:t>
      </w:r>
      <w:r>
        <w:rPr>
          <w:rFonts w:hint="default" w:ascii="宋体" w:hAnsi="宋体" w:eastAsia="宋体" w:cs="宋体"/>
          <w:color w:val="auto"/>
          <w:sz w:val="21"/>
          <w:u w:val="single" w:color="000000"/>
        </w:rPr>
        <w:t>元</w:t>
      </w:r>
      <w:r>
        <w:rPr>
          <w:rFonts w:hint="default" w:ascii="宋体" w:hAnsi="宋体" w:eastAsia="宋体" w:cs="宋体"/>
          <w:color w:val="auto"/>
          <w:sz w:val="21"/>
        </w:rPr>
        <w:t>）或人民币</w:t>
      </w:r>
      <w:r>
        <w:rPr>
          <w:rFonts w:hint="default" w:ascii="Times New Roman" w:hAnsi="Times New Roman" w:eastAsia="Times New Roman" w:cs="Times New Roman"/>
          <w:color w:val="auto"/>
          <w:sz w:val="21"/>
          <w:u w:val="single" w:color="000000"/>
        </w:rPr>
        <w:t></w:t>
      </w:r>
      <w:r>
        <w:rPr>
          <w:rFonts w:hint="default" w:ascii="Times New Roman" w:hAnsi="Times New Roman" w:eastAsia="Times New Roman" w:cs="Times New Roman"/>
          <w:color w:val="auto"/>
          <w:spacing w:val="707"/>
          <w:sz w:val="21"/>
          <w:u w:val="single" w:color="000000"/>
        </w:rPr>
        <w:t xml:space="preserve"> </w:t>
      </w:r>
      <w:r>
        <w:rPr>
          <w:rFonts w:hint="default" w:ascii="Times New Roman" w:hAnsi="Times New Roman" w:eastAsia="Times New Roman" w:cs="Times New Roman"/>
          <w:color w:val="auto"/>
          <w:spacing w:val="-47"/>
          <w:sz w:val="21"/>
          <w:u w:val="single" w:color="000000"/>
        </w:rPr>
        <w:t></w:t>
      </w:r>
      <w:r>
        <w:rPr>
          <w:rFonts w:hint="default" w:ascii="宋体" w:hAnsi="宋体" w:eastAsia="宋体" w:cs="宋体"/>
          <w:color w:val="auto"/>
          <w:sz w:val="21"/>
        </w:rPr>
        <w:t>元作为投标保证金。</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firstLine="1890" w:firstLineChars="90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firstLine="1890" w:firstLineChars="900"/>
        <w:jc w:val="left"/>
        <w:textAlignment w:val="auto"/>
        <w:rPr>
          <w:rFonts w:hint="default" w:ascii="宋体" w:hAnsi="宋体" w:eastAsia="宋体" w:cs="宋体"/>
          <w:color w:val="auto"/>
          <w:sz w:val="21"/>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right="0" w:firstLine="1890" w:firstLineChars="900"/>
        <w:jc w:val="left"/>
        <w:textAlignment w:val="auto"/>
        <w:rPr>
          <w:rFonts w:hint="default" w:ascii="宋体" w:hAnsi="宋体" w:eastAsia="宋体" w:cs="宋体"/>
          <w:color w:val="auto"/>
          <w:sz w:val="21"/>
          <w:u w:val="single" w:color="000000"/>
        </w:rPr>
      </w:pPr>
      <w:r>
        <w:rPr>
          <w:rFonts w:hint="default" w:ascii="宋体" w:hAnsi="宋体" w:eastAsia="宋体" w:cs="宋体"/>
          <w:color w:val="auto"/>
          <w:sz w:val="21"/>
        </w:rPr>
        <w:t>投 标 人：</w:t>
      </w:r>
      <w:r>
        <w:rPr>
          <w:rFonts w:hint="eastAsia" w:ascii="宋体" w:hAnsi="宋体" w:eastAsia="宋体" w:cs="宋体"/>
          <w:color w:val="auto"/>
          <w:sz w:val="21"/>
          <w:u w:val="single"/>
          <w:lang w:val="en-US" w:eastAsia="zh-CN"/>
        </w:rPr>
        <w:t xml:space="preserve">                            </w:t>
      </w:r>
      <w:r>
        <w:rPr>
          <w:rFonts w:hint="default" w:ascii="宋体" w:hAnsi="宋体" w:eastAsia="宋体" w:cs="宋体"/>
          <w:color w:val="auto"/>
          <w:sz w:val="21"/>
          <w:u w:val="single" w:color="000000"/>
        </w:rPr>
        <w:t>（盖单位章）</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单位地址：</w:t>
      </w:r>
      <w:r>
        <w:rPr>
          <w:rFonts w:hint="eastAsia" w:ascii="宋体" w:hAnsi="宋体" w:eastAsia="宋体" w:cs="宋体"/>
          <w:color w:val="auto"/>
          <w:sz w:val="21"/>
          <w:u w:val="single"/>
          <w:lang w:val="en-US" w:eastAsia="zh-CN"/>
        </w:rPr>
        <w:t xml:space="preserve">                                          </w:t>
      </w:r>
      <w:r>
        <w:rPr>
          <w:rFonts w:hint="eastAsia" w:ascii="宋体" w:hAnsi="宋体" w:eastAsia="宋体" w:cs="宋体"/>
          <w:color w:val="FFFFFF" w:themeColor="background1"/>
          <w:sz w:val="21"/>
          <w:u w:val="single"/>
          <w:lang w:val="en-US" w:eastAsia="zh-CN"/>
          <w14:textFill>
            <w14:solidFill>
              <w14:schemeClr w14:val="bg1"/>
            </w14:solidFill>
          </w14:textFill>
        </w:rPr>
        <w:t>1</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w:t>
      </w:r>
      <w:r>
        <w:rPr>
          <w:rFonts w:hint="eastAsia" w:ascii="宋体" w:hAnsi="宋体" w:eastAsia="宋体" w:cs="宋体"/>
          <w:color w:val="auto"/>
          <w:sz w:val="21"/>
          <w:lang w:val="en-US" w:eastAsia="zh-CN"/>
        </w:rPr>
        <w:t xml:space="preserve"> </w:t>
      </w:r>
      <w:r>
        <w:rPr>
          <w:rFonts w:hint="default" w:ascii="宋体" w:hAnsi="宋体" w:eastAsia="宋体" w:cs="宋体"/>
          <w:color w:val="auto"/>
          <w:spacing w:val="368"/>
          <w:sz w:val="21"/>
          <w:u w:val="single"/>
        </w:rPr>
        <w:t xml:space="preserve"> </w:t>
      </w:r>
      <w:r>
        <w:rPr>
          <w:rFonts w:hint="eastAsia" w:ascii="宋体" w:hAnsi="宋体" w:eastAsia="宋体" w:cs="宋体"/>
          <w:color w:val="auto"/>
          <w:spacing w:val="368"/>
          <w:sz w:val="21"/>
          <w:u w:val="single"/>
          <w:lang w:val="en-US" w:eastAsia="zh-CN"/>
        </w:rPr>
        <w:t xml:space="preserve"> </w:t>
      </w:r>
      <w:r>
        <w:rPr>
          <w:rFonts w:hint="default" w:ascii="宋体" w:hAnsi="宋体" w:eastAsia="宋体" w:cs="宋体"/>
          <w:color w:val="auto"/>
          <w:sz w:val="21"/>
        </w:rPr>
        <w:t>（签字或盖章）</w:t>
      </w:r>
    </w:p>
    <w:p>
      <w:pPr>
        <w:autoSpaceDE w:val="0"/>
        <w:autoSpaceDN w:val="0"/>
        <w:snapToGrid w:val="0"/>
        <w:spacing w:before="146" w:after="0" w:line="263" w:lineRule="exact"/>
        <w:ind w:left="1944"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邮政编码：</w:t>
      </w:r>
      <w:r>
        <w:rPr>
          <w:rFonts w:hint="default" w:ascii="宋体" w:hAnsi="宋体" w:eastAsia="宋体" w:cs="宋体"/>
          <w:color w:val="auto"/>
          <w:spacing w:val="473"/>
          <w:sz w:val="21"/>
          <w:u w:val="single" w:color="000000"/>
        </w:rPr>
        <w:t xml:space="preserve"> </w:t>
      </w:r>
      <w:r>
        <w:rPr>
          <w:rFonts w:hint="default" w:ascii="宋体" w:hAnsi="宋体" w:eastAsia="宋体" w:cs="宋体"/>
          <w:color w:val="auto"/>
          <w:sz w:val="21"/>
        </w:rPr>
        <w:t>电话：</w:t>
      </w:r>
      <w:r>
        <w:rPr>
          <w:rFonts w:hint="default" w:ascii="宋体" w:hAnsi="宋体" w:eastAsia="宋体" w:cs="宋体"/>
          <w:color w:val="auto"/>
          <w:spacing w:val="473"/>
          <w:sz w:val="21"/>
          <w:u w:val="single"/>
        </w:rPr>
        <w:t xml:space="preserve"> </w:t>
      </w:r>
      <w:r>
        <w:rPr>
          <w:rFonts w:hint="default" w:ascii="宋体" w:hAnsi="宋体" w:eastAsia="宋体" w:cs="宋体"/>
          <w:color w:val="auto"/>
          <w:sz w:val="21"/>
        </w:rPr>
        <w:t>传真：</w:t>
      </w:r>
      <w:r>
        <w:rPr>
          <w:rFonts w:hint="eastAsia" w:ascii="宋体" w:hAnsi="宋体" w:eastAsia="宋体" w:cs="宋体"/>
          <w:color w:val="auto"/>
          <w:sz w:val="21"/>
          <w:u w:val="single"/>
          <w:lang w:val="en-US" w:eastAsia="zh-CN"/>
        </w:rPr>
        <w:t xml:space="preserve">          </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lang w:val="en-US" w:eastAsia="zh-CN"/>
        </w:rPr>
      </w:pPr>
      <w:r>
        <w:rPr>
          <w:rFonts w:hint="default" w:ascii="宋体" w:hAnsi="宋体" w:eastAsia="宋体" w:cs="宋体"/>
          <w:color w:val="auto"/>
          <w:sz w:val="21"/>
        </w:rPr>
        <w:t>开户银行名称：</w:t>
      </w:r>
      <w:r>
        <w:rPr>
          <w:rFonts w:hint="eastAsia" w:ascii="宋体" w:hAnsi="宋体" w:eastAsia="宋体" w:cs="宋体"/>
          <w:color w:val="auto"/>
          <w:sz w:val="21"/>
          <w:lang w:val="en-US" w:eastAsia="zh-CN"/>
        </w:rPr>
        <w:t xml:space="preserve">  </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开户银行账号：</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开户银行地址：</w:t>
      </w:r>
    </w:p>
    <w:p>
      <w:pPr>
        <w:autoSpaceDE w:val="0"/>
        <w:autoSpaceDN w:val="0"/>
        <w:snapToGrid w:val="0"/>
        <w:spacing w:before="146" w:after="0" w:line="263" w:lineRule="exact"/>
        <w:ind w:left="194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开户银行电话：</w:t>
      </w:r>
    </w:p>
    <w:p>
      <w:pPr>
        <w:autoSpaceDE w:val="0"/>
        <w:autoSpaceDN w:val="0"/>
        <w:snapToGrid w:val="0"/>
        <w:spacing w:before="146" w:after="0" w:line="263" w:lineRule="exact"/>
        <w:ind w:left="197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420"/>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368"/>
          <w:sz w:val="21"/>
          <w:u w:val="single" w:color="000000"/>
        </w:rPr>
        <w:t xml:space="preserve"> </w:t>
      </w:r>
      <w:r>
        <w:rPr>
          <w:rFonts w:hint="default" w:ascii="宋体" w:hAnsi="宋体" w:eastAsia="宋体" w:cs="宋体"/>
          <w:color w:val="auto"/>
          <w:sz w:val="21"/>
        </w:rPr>
        <w:t>日</w:t>
      </w:r>
    </w:p>
    <w:p>
      <w:pPr>
        <w:rPr>
          <w:rFonts w:hint="default" w:ascii="宋体" w:hAnsi="宋体" w:eastAsia="宋体" w:cs="宋体"/>
          <w:b/>
          <w:color w:val="auto"/>
          <w:sz w:val="21"/>
        </w:rPr>
      </w:pPr>
      <w:r>
        <w:rPr>
          <w:rFonts w:hint="default" w:ascii="宋体" w:hAnsi="宋体" w:eastAsia="宋体" w:cs="宋体"/>
          <w:b/>
          <w:color w:val="auto"/>
          <w:sz w:val="21"/>
        </w:rPr>
        <w:br w:type="page"/>
      </w:r>
    </w:p>
    <w:p>
      <w:pPr>
        <w:autoSpaceDE w:val="0"/>
        <w:autoSpaceDN w:val="0"/>
        <w:snapToGrid w:val="0"/>
        <w:spacing w:before="0" w:after="0" w:line="263" w:lineRule="exact"/>
        <w:ind w:left="3608" w:right="0" w:firstLine="0"/>
        <w:jc w:val="left"/>
        <w:textAlignment w:val="auto"/>
        <w:rPr>
          <w:rFonts w:hint="default" w:ascii="宋体" w:hAnsi="宋体" w:eastAsia="宋体" w:cs="宋体"/>
          <w:b/>
          <w:color w:val="auto"/>
          <w:sz w:val="21"/>
        </w:rPr>
      </w:pPr>
      <w:r>
        <w:rPr>
          <w:rFonts w:hint="default" w:ascii="宋体" w:hAnsi="宋体" w:eastAsia="宋体" w:cs="宋体"/>
          <w:b/>
          <w:color w:val="auto"/>
          <w:sz w:val="21"/>
        </w:rPr>
        <w:t>（二）投标函附录</w:t>
      </w:r>
    </w:p>
    <w:p>
      <w:pPr>
        <w:autoSpaceDE w:val="0"/>
        <w:autoSpaceDN w:val="0"/>
        <w:snapToGrid w:val="0"/>
        <w:spacing w:before="332" w:after="7" w:line="263" w:lineRule="exact"/>
        <w:ind w:left="9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w:t>
      </w:r>
      <w:r>
        <w:rPr>
          <w:rFonts w:hint="default" w:ascii="宋体" w:hAnsi="宋体" w:eastAsia="宋体" w:cs="宋体"/>
          <w:color w:val="auto"/>
          <w:spacing w:val="1628"/>
          <w:sz w:val="21"/>
        </w:rPr>
        <w:t xml:space="preserve"> </w:t>
      </w:r>
      <w:r>
        <w:rPr>
          <w:rFonts w:hint="default" w:ascii="宋体" w:hAnsi="宋体" w:eastAsia="宋体" w:cs="宋体"/>
          <w:color w:val="auto"/>
          <w:sz w:val="21"/>
        </w:rPr>
        <w:t>项目编号：</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1679575</wp:posOffset>
                </wp:positionH>
                <wp:positionV relativeFrom="page">
                  <wp:posOffset>1250950</wp:posOffset>
                </wp:positionV>
                <wp:extent cx="3867150" cy="0"/>
                <wp:effectExtent l="0" t="0" r="0" b="0"/>
                <wp:wrapNone/>
                <wp:docPr id="1193" name="1193"/>
                <wp:cNvGraphicFramePr/>
                <a:graphic xmlns:a="http://schemas.openxmlformats.org/drawingml/2006/main">
                  <a:graphicData uri="http://schemas.microsoft.com/office/word/2010/wordprocessingShape">
                    <wps:wsp>
                      <wps:cNvCnPr/>
                      <wps:spPr>
                        <a:xfrm>
                          <a:off x="0" y="0"/>
                          <a:ext cx="38671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3" o:spid="_x0000_s1026" o:spt="20" style="position:absolute;left:0pt;margin-left:132.25pt;margin-top:98.5pt;height:0pt;width:304.5pt;mso-position-horizontal-relative:page;mso-position-vertical-relative:page;z-index:-251657216;mso-width-relative:page;mso-height-relative:page;" fillcolor="#FFFFFF" filled="t" stroked="t" coordsize="21600,21600" o:gfxdata="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qfj12dYAAAALAQAADwAAAAAAAAABACAAAAAiAAAAZHJzL2Rv&#10;d25yZXYueG1sUEsBAhQAFAAAAAgAh07iQDcrpBwDAgAAQAQAAA4AAAAAAAAAAQAgAAAAJQEAAGRy&#10;cy9lMm9Eb2MueG1sUEsFBgAAAAAGAAYAWQEAAJoFAAAAAA==&#10;">
                <v:fill on="t" opacity="0f" focussize="0,0"/>
                <v:stroke weight="0.5pt" color="#000000" joinstyle="round" endcap="round"/>
                <v:imagedata o:title=""/>
                <o:lock v:ext="edit" aspectratio="f"/>
              </v:line>
            </w:pict>
          </mc:Fallback>
        </mc:AlternateContent>
      </w:r>
    </w:p>
    <w:tbl>
      <w:tblPr>
        <w:tblStyle w:val="6"/>
        <w:tblW w:w="8929" w:type="dxa"/>
        <w:tblInd w:w="-1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2"/>
        <w:gridCol w:w="1985"/>
        <w:gridCol w:w="2126"/>
        <w:gridCol w:w="1983"/>
        <w:gridCol w:w="184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51" w:after="0" w:line="263" w:lineRule="exact"/>
              <w:ind w:left="22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 号</w:t>
            </w:r>
          </w:p>
        </w:tc>
        <w:tc>
          <w:tcPr>
            <w:tcW w:w="1985" w:type="dxa"/>
            <w:vAlign w:val="top"/>
          </w:tcPr>
          <w:p>
            <w:pPr>
              <w:autoSpaceDE w:val="0"/>
              <w:autoSpaceDN w:val="0"/>
              <w:snapToGrid w:val="0"/>
              <w:spacing w:before="151" w:after="0" w:line="263" w:lineRule="exact"/>
              <w:ind w:left="56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条款内容</w:t>
            </w:r>
          </w:p>
        </w:tc>
        <w:tc>
          <w:tcPr>
            <w:tcW w:w="2126" w:type="dxa"/>
            <w:vAlign w:val="top"/>
          </w:tcPr>
          <w:p>
            <w:pPr>
              <w:autoSpaceDE w:val="0"/>
              <w:autoSpaceDN w:val="0"/>
              <w:snapToGrid w:val="0"/>
              <w:spacing w:before="151" w:after="0" w:line="263" w:lineRule="exact"/>
              <w:ind w:left="53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合同条款号</w:t>
            </w:r>
          </w:p>
        </w:tc>
        <w:tc>
          <w:tcPr>
            <w:tcW w:w="1983" w:type="dxa"/>
            <w:vAlign w:val="top"/>
          </w:tcPr>
          <w:p>
            <w:pPr>
              <w:autoSpaceDE w:val="0"/>
              <w:autoSpaceDN w:val="0"/>
              <w:snapToGrid w:val="0"/>
              <w:spacing w:before="151" w:after="0" w:line="263" w:lineRule="exact"/>
              <w:ind w:left="56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约定内容</w:t>
            </w:r>
          </w:p>
        </w:tc>
        <w:tc>
          <w:tcPr>
            <w:tcW w:w="1843" w:type="dxa"/>
            <w:vAlign w:val="top"/>
          </w:tcPr>
          <w:p>
            <w:pPr>
              <w:autoSpaceDE w:val="0"/>
              <w:autoSpaceDN w:val="0"/>
              <w:snapToGrid w:val="0"/>
              <w:spacing w:before="151" w:after="0" w:line="263" w:lineRule="exact"/>
              <w:ind w:left="70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项目经理</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投标有效期</w:t>
            </w:r>
          </w:p>
        </w:tc>
        <w:tc>
          <w:tcPr>
            <w:tcW w:w="21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983" w:type="dxa"/>
            <w:vAlign w:val="top"/>
          </w:tcPr>
          <w:p>
            <w:pPr>
              <w:autoSpaceDE w:val="0"/>
              <w:autoSpaceDN w:val="0"/>
              <w:snapToGrid w:val="0"/>
              <w:spacing w:before="151" w:after="0" w:line="263" w:lineRule="exact"/>
              <w:ind w:left="119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日历天</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工期</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19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日历天</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4</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缺陷责任期</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5</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发包人支付担保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6</w:t>
            </w:r>
          </w:p>
        </w:tc>
        <w:tc>
          <w:tcPr>
            <w:tcW w:w="1985" w:type="dxa"/>
            <w:vAlign w:val="top"/>
          </w:tcPr>
          <w:p>
            <w:pPr>
              <w:autoSpaceDE w:val="0"/>
              <w:autoSpaceDN w:val="0"/>
              <w:snapToGrid w:val="0"/>
              <w:spacing w:before="1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承包人履约担保金</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7</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分包</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见分包项目情况表</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8</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逾期竣工违约金</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合同价款</w:t>
            </w:r>
            <w:r>
              <w:rPr>
                <w:rFonts w:hint="default" w:ascii="宋体" w:hAnsi="宋体" w:eastAsia="宋体" w:cs="宋体"/>
                <w:color w:val="auto"/>
                <w:spacing w:val="158"/>
                <w:sz w:val="21"/>
                <w:u w:val="single" w:color="000000"/>
              </w:rPr>
              <w:t xml:space="preserve"> </w:t>
            </w:r>
            <w:r>
              <w:rPr>
                <w:rFonts w:hint="default" w:ascii="Times New Roman" w:hAnsi="Times New Roman" w:eastAsia="Times New Roman" w:cs="Times New Roman"/>
                <w:color w:val="auto"/>
                <w:sz w:val="21"/>
              </w:rPr>
              <w:t>%/</w:t>
            </w:r>
            <w:r>
              <w:rPr>
                <w:rFonts w:hint="default" w:ascii="宋体" w:hAnsi="宋体" w:eastAsia="宋体" w:cs="宋体"/>
                <w:color w:val="auto"/>
                <w:sz w:val="21"/>
              </w:rPr>
              <w:t>天</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439"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9</w:t>
            </w:r>
          </w:p>
        </w:tc>
        <w:tc>
          <w:tcPr>
            <w:tcW w:w="1985" w:type="dxa"/>
            <w:vAlign w:val="top"/>
          </w:tcPr>
          <w:p>
            <w:pPr>
              <w:autoSpaceDE w:val="0"/>
              <w:autoSpaceDN w:val="0"/>
              <w:snapToGrid w:val="0"/>
              <w:spacing w:before="1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逾期竣工违约金最</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高限额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103" w:right="0" w:firstLine="0"/>
              <w:jc w:val="left"/>
              <w:textAlignment w:val="auto"/>
              <w:rPr>
                <w:rFonts w:hint="default" w:ascii="Times New Roman" w:hAnsi="Times New Roman" w:eastAsia="Times New Roman" w:cs="Times New Roman"/>
                <w:color w:val="auto"/>
                <w:sz w:val="21"/>
                <w:u w:val="single" w:color="000000"/>
              </w:rPr>
            </w:pPr>
            <w:r>
              <w:rPr>
                <w:rFonts w:hint="default" w:ascii="宋体" w:hAnsi="宋体" w:eastAsia="宋体" w:cs="宋体"/>
                <w:color w:val="auto"/>
                <w:sz w:val="21"/>
              </w:rPr>
              <w:t>合同价款</w:t>
            </w:r>
            <w:r>
              <w:rPr>
                <w:rFonts w:hint="default" w:ascii="宋体" w:hAnsi="宋体" w:eastAsia="宋体" w:cs="宋体"/>
                <w:color w:val="auto"/>
                <w:spacing w:val="158"/>
                <w:sz w:val="21"/>
                <w:u w:val="single" w:color="000000"/>
              </w:rPr>
              <w:t xml:space="preserve"> </w:t>
            </w:r>
            <w:r>
              <w:rPr>
                <w:rFonts w:hint="default" w:ascii="Times New Roman" w:hAnsi="Times New Roman" w:eastAsia="Times New Roman" w:cs="Times New Roman"/>
                <w:color w:val="auto"/>
                <w:sz w:val="21"/>
                <w:u w:val="single" w:color="000000"/>
              </w:rPr>
              <w:t>%</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u w:val="single" w:color="00000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10</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质量标准</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11</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预付款额度</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12</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预付款保函金额</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386"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13</w:t>
            </w:r>
          </w:p>
        </w:tc>
        <w:tc>
          <w:tcPr>
            <w:tcW w:w="1985" w:type="dxa"/>
            <w:vAlign w:val="top"/>
          </w:tcPr>
          <w:p>
            <w:pPr>
              <w:autoSpaceDE w:val="0"/>
              <w:autoSpaceDN w:val="0"/>
              <w:snapToGrid w:val="0"/>
              <w:spacing w:before="151"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质量保证金额度</w:t>
            </w:r>
          </w:p>
        </w:tc>
        <w:tc>
          <w:tcPr>
            <w:tcW w:w="2126" w:type="dxa"/>
            <w:vAlign w:val="top"/>
          </w:tcPr>
          <w:p>
            <w:pPr>
              <w:autoSpaceDE w:val="0"/>
              <w:autoSpaceDN w:val="0"/>
              <w:snapToGrid w:val="0"/>
              <w:spacing w:before="151" w:after="0" w:line="263" w:lineRule="exact"/>
              <w:ind w:left="66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专用条款</w:t>
            </w:r>
          </w:p>
        </w:tc>
        <w:tc>
          <w:tcPr>
            <w:tcW w:w="1983" w:type="dxa"/>
            <w:vAlign w:val="top"/>
          </w:tcPr>
          <w:p>
            <w:pPr>
              <w:autoSpaceDE w:val="0"/>
              <w:autoSpaceDN w:val="0"/>
              <w:snapToGrid w:val="0"/>
              <w:spacing w:before="151" w:after="0" w:line="263" w:lineRule="exact"/>
              <w:ind w:left="217" w:right="0" w:firstLine="0"/>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结算价的</w:t>
            </w:r>
            <w:r>
              <w:rPr>
                <w:rFonts w:hint="default" w:ascii="宋体" w:hAnsi="宋体" w:eastAsia="宋体" w:cs="宋体"/>
                <w:color w:val="auto"/>
                <w:spacing w:val="210"/>
                <w:sz w:val="21"/>
                <w:u w:val="single" w:color="000000"/>
              </w:rPr>
              <w:t xml:space="preserve"> </w:t>
            </w:r>
            <w:r>
              <w:rPr>
                <w:rFonts w:hint="default" w:ascii="Times New Roman" w:hAnsi="Times New Roman" w:eastAsia="Times New Roman" w:cs="Times New Roman"/>
                <w:color w:val="auto"/>
                <w:sz w:val="21"/>
              </w:rPr>
              <w:t>%</w:t>
            </w:r>
          </w:p>
        </w:tc>
        <w:tc>
          <w:tcPr>
            <w:tcW w:w="184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77" w:hRule="exact"/>
        </w:trPr>
        <w:tc>
          <w:tcPr>
            <w:tcW w:w="992" w:type="dxa"/>
            <w:vAlign w:val="top"/>
          </w:tcPr>
          <w:p>
            <w:pPr>
              <w:autoSpaceDE w:val="0"/>
              <w:autoSpaceDN w:val="0"/>
              <w:snapToGrid w:val="0"/>
              <w:spacing w:before="163" w:after="0" w:line="240" w:lineRule="auto"/>
              <w:ind w:left="281"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1985" w:type="dxa"/>
            <w:vAlign w:val="top"/>
          </w:tcPr>
          <w:p>
            <w:pPr>
              <w:autoSpaceDE w:val="0"/>
              <w:autoSpaceDN w:val="0"/>
              <w:snapToGrid w:val="0"/>
              <w:spacing w:before="163" w:after="0" w:line="240" w:lineRule="auto"/>
              <w:ind w:left="777"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212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98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3"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36" w:hRule="exact"/>
        </w:trPr>
        <w:tc>
          <w:tcPr>
            <w:tcW w:w="8929" w:type="dxa"/>
            <w:gridSpan w:val="5"/>
            <w:vAlign w:val="top"/>
          </w:tcPr>
          <w:p>
            <w:pPr>
              <w:autoSpaceDE w:val="0"/>
              <w:autoSpaceDN w:val="0"/>
              <w:snapToGrid w:val="0"/>
              <w:spacing w:before="58"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备注：投标人在响应招标文件中规定的实质性要求和条件的基础上，可做出其他有利于招标人</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的承诺。此类承诺可在本表中予以补充填写。</w:t>
            </w:r>
          </w:p>
        </w:tc>
      </w:tr>
    </w:tbl>
    <w:p>
      <w:pPr>
        <w:autoSpaceDE w:val="0"/>
        <w:autoSpaceDN w:val="0"/>
        <w:snapToGrid w:val="0"/>
        <w:spacing w:before="174"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投标人（盖单位章）：</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4654550</wp:posOffset>
                </wp:positionH>
                <wp:positionV relativeFrom="page">
                  <wp:posOffset>1890395</wp:posOffset>
                </wp:positionV>
                <wp:extent cx="666750" cy="0"/>
                <wp:effectExtent l="0" t="0" r="0" b="0"/>
                <wp:wrapNone/>
                <wp:docPr id="1194" name="1194"/>
                <wp:cNvGraphicFramePr/>
                <a:graphic xmlns:a="http://schemas.openxmlformats.org/drawingml/2006/main">
                  <a:graphicData uri="http://schemas.microsoft.com/office/word/2010/wordprocessingShape">
                    <wps:wsp>
                      <wps:cNvCnPr/>
                      <wps:spPr>
                        <a:xfrm>
                          <a:off x="0" y="0"/>
                          <a:ext cx="666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4" o:spid="_x0000_s1026" o:spt="20" style="position:absolute;left:0pt;margin-left:366.5pt;margin-top:148.85pt;height:0pt;width:52.5pt;mso-position-horizontal-relative:page;mso-position-vertical-relative:page;z-index:-251657216;mso-width-relative:page;mso-height-relative:page;" fillcolor="#FFFFFF" filled="t" stroked="t" coordsize="21600,21600" o:gfxdata="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pi9Vw9cAAAALAQAADwAAAAAAAAABACAAAAAiAAAAZHJzL2Rv&#10;d25yZXYueG1sUEsBAhQAFAAAAAgAh07iQCR3qaQCAgAAPwQAAA4AAAAAAAAAAQAgAAAAJgEAAGRy&#10;cy9lMm9Eb2MueG1sUEsFBgAAAAAGAAYAWQEAAJoFA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4281805</wp:posOffset>
                </wp:positionH>
                <wp:positionV relativeFrom="page">
                  <wp:posOffset>2256790</wp:posOffset>
                </wp:positionV>
                <wp:extent cx="666750" cy="0"/>
                <wp:effectExtent l="0" t="0" r="0" b="0"/>
                <wp:wrapNone/>
                <wp:docPr id="1195" name="1195"/>
                <wp:cNvGraphicFramePr/>
                <a:graphic xmlns:a="http://schemas.openxmlformats.org/drawingml/2006/main">
                  <a:graphicData uri="http://schemas.microsoft.com/office/word/2010/wordprocessingShape">
                    <wps:wsp>
                      <wps:cNvCnPr/>
                      <wps:spPr>
                        <a:xfrm>
                          <a:off x="0" y="0"/>
                          <a:ext cx="666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5" o:spid="_x0000_s1026" o:spt="20" style="position:absolute;left:0pt;margin-left:337.15pt;margin-top:177.7pt;height:0pt;width:52.5pt;mso-position-horizontal-relative:page;mso-position-vertical-relative:page;z-index:-251657216;mso-width-relative:page;mso-height-relative:page;" fillcolor="#FFFFFF" filled="t" stroked="t" coordsize="21600,21600" o:gfxdata="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chEstNcAAAALAQAADwAAAAAAAAABACAAAAAiAAAAZHJzL2Rv&#10;d25yZXYueG1sUEsBAhQAFAAAAAgAh07iQJLl8LQCAgAAPwQAAA4AAAAAAAAAAQAgAAAAJgEAAGRy&#10;cy9lMm9Eb2MueG1sUEsFBgAAAAAGAAYAWQEAAJoFA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4281805</wp:posOffset>
                </wp:positionH>
                <wp:positionV relativeFrom="page">
                  <wp:posOffset>2623185</wp:posOffset>
                </wp:positionV>
                <wp:extent cx="666750" cy="0"/>
                <wp:effectExtent l="0" t="0" r="0" b="0"/>
                <wp:wrapNone/>
                <wp:docPr id="1196" name="1196"/>
                <wp:cNvGraphicFramePr/>
                <a:graphic xmlns:a="http://schemas.openxmlformats.org/drawingml/2006/main">
                  <a:graphicData uri="http://schemas.microsoft.com/office/word/2010/wordprocessingShape">
                    <wps:wsp>
                      <wps:cNvCnPr/>
                      <wps:spPr>
                        <a:xfrm>
                          <a:off x="0" y="0"/>
                          <a:ext cx="66675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6" o:spid="_x0000_s1026" o:spt="20" style="position:absolute;left:0pt;margin-left:337.15pt;margin-top:206.55pt;height:0pt;width:52.5pt;mso-position-horizontal-relative:page;mso-position-vertical-relative:page;z-index:-251657216;mso-width-relative:page;mso-height-relative:page;" fillcolor="#FFFFFF" filled="t" stroked="t" coordsize="21600,21600" o:gfxdata="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qG+F9cAAAALAQAADwAAAAAAAAABACAAAAAiAAAAZHJzL2Rv&#10;d25yZXYueG1sUEsBAhQAFAAAAAgAh07iQEhSGoQCAgAAPwQAAA4AAAAAAAAAAQAgAAAAJgEAAGRy&#10;cy9lMm9Eb2MueG1sUEsFBgAAAAAGAAYAWQEAAJoFA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4815205</wp:posOffset>
                </wp:positionH>
                <wp:positionV relativeFrom="page">
                  <wp:posOffset>5186680</wp:posOffset>
                </wp:positionV>
                <wp:extent cx="466725" cy="0"/>
                <wp:effectExtent l="0" t="0" r="0" b="0"/>
                <wp:wrapNone/>
                <wp:docPr id="1197" name="1197"/>
                <wp:cNvGraphicFramePr/>
                <a:graphic xmlns:a="http://schemas.openxmlformats.org/drawingml/2006/main">
                  <a:graphicData uri="http://schemas.microsoft.com/office/word/2010/wordprocessingShape">
                    <wps:wsp>
                      <wps:cNvCnPr/>
                      <wps:spPr>
                        <a:xfrm>
                          <a:off x="0" y="0"/>
                          <a:ext cx="4667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7" o:spid="_x0000_s1026" o:spt="20" style="position:absolute;left:0pt;margin-left:379.15pt;margin-top:408.4pt;height:0pt;width:36.75pt;mso-position-horizontal-relative:page;mso-position-vertical-relative:page;z-index:-251657216;mso-width-relative:page;mso-height-relative:page;" fillcolor="#FFFFFF" filled="t" stroked="t" coordsize="21600,21600" o:gfxdata="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20Stf1wAAAAsBAAAPAAAAAAAAAAEAIAAAACIAAABkcnMv&#10;ZG93bnJldi54bWxQSwECFAAUAAAACACHTuJA4Bz4TAQCAAA/BAAADgAAAAAAAAABACAAAAAmAQAA&#10;ZHJzL2Uyb0RvYy54bWxQSwUGAAAAAAYABgBZAQAAnA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4815205</wp:posOffset>
                </wp:positionH>
                <wp:positionV relativeFrom="page">
                  <wp:posOffset>5553075</wp:posOffset>
                </wp:positionV>
                <wp:extent cx="466725" cy="0"/>
                <wp:effectExtent l="0" t="0" r="0" b="0"/>
                <wp:wrapNone/>
                <wp:docPr id="1198" name="1198"/>
                <wp:cNvGraphicFramePr/>
                <a:graphic xmlns:a="http://schemas.openxmlformats.org/drawingml/2006/main">
                  <a:graphicData uri="http://schemas.microsoft.com/office/word/2010/wordprocessingShape">
                    <wps:wsp>
                      <wps:cNvCnPr/>
                      <wps:spPr>
                        <a:xfrm>
                          <a:off x="0" y="0"/>
                          <a:ext cx="4667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8" o:spid="_x0000_s1026" o:spt="20" style="position:absolute;left:0pt;margin-left:379.15pt;margin-top:437.25pt;height:0pt;width:36.75pt;mso-position-horizontal-relative:page;mso-position-vertical-relative:page;z-index:-251657216;mso-width-relative:page;mso-height-relative:page;" fillcolor="#FFFFFF" filled="t" stroked="t" coordsize="21600,21600" o:gfxdata="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vHNHa1wAAAAsBAAAPAAAAAAAAAAEAIAAAACIAAABkcnMv&#10;ZG93bnJldi54bWxQSwECFAAUAAAACACHTuJAUnS4vwQCAAA/BAAADgAAAAAAAAABACAAAAAmAQAA&#10;ZHJzL2Uyb0RvYy54bWxQSwUGAAAAAAYABgBZAQAAnA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4815205</wp:posOffset>
                </wp:positionH>
                <wp:positionV relativeFrom="page">
                  <wp:posOffset>5919470</wp:posOffset>
                </wp:positionV>
                <wp:extent cx="466725" cy="0"/>
                <wp:effectExtent l="0" t="0" r="0" b="0"/>
                <wp:wrapNone/>
                <wp:docPr id="1199" name="1199"/>
                <wp:cNvGraphicFramePr/>
                <a:graphic xmlns:a="http://schemas.openxmlformats.org/drawingml/2006/main">
                  <a:graphicData uri="http://schemas.microsoft.com/office/word/2010/wordprocessingShape">
                    <wps:wsp>
                      <wps:cNvCnPr/>
                      <wps:spPr>
                        <a:xfrm>
                          <a:off x="0" y="0"/>
                          <a:ext cx="46672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199" o:spid="_x0000_s1026" o:spt="20" style="position:absolute;left:0pt;margin-left:379.15pt;margin-top:466.1pt;height:0pt;width:36.75pt;mso-position-horizontal-relative:page;mso-position-vertical-relative:page;z-index:-251657216;mso-width-relative:page;mso-height-relative:page;" fillcolor="#FFFFFF" filled="t" stroked="t" coordsize="21600,21600" o:gfxdata="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5ue7w1wAAAAsBAAAPAAAAAAAAAAEAIAAAACIAAABkcnMv&#10;ZG93bnJldi54bWxQSwECFAAUAAAACACHTuJA5ObhrwQCAAA/BAAADgAAAAAAAAABACAAAAAmAQAA&#10;ZHJzL2Uyb0RvYy54bWxQSwUGAAAAAAYABgBZAQAAnAUAAAAA&#10;">
                <v:fill on="t" opacity="0f" focussize="0,0"/>
                <v:stroke weight="0.5pt" color="#000000" joinstyle="round" endcap="round"/>
                <v:imagedata o:title=""/>
                <o:lock v:ext="edit" aspectratio="f"/>
              </v:line>
            </w:pict>
          </mc:Fallback>
        </mc:AlternateConten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5370830</wp:posOffset>
                </wp:positionH>
                <wp:positionV relativeFrom="page">
                  <wp:posOffset>6287135</wp:posOffset>
                </wp:positionV>
                <wp:extent cx="5715" cy="0"/>
                <wp:effectExtent l="0" t="0" r="0" b="0"/>
                <wp:wrapNone/>
                <wp:docPr id="1200" name="1200"/>
                <wp:cNvGraphicFramePr/>
                <a:graphic xmlns:a="http://schemas.openxmlformats.org/drawingml/2006/main">
                  <a:graphicData uri="http://schemas.microsoft.com/office/word/2010/wordprocessingShape">
                    <wps:wsp>
                      <wps:cNvCnPr/>
                      <wps:spPr>
                        <a:xfrm>
                          <a:off x="0" y="0"/>
                          <a:ext cx="5715"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200" o:spid="_x0000_s1026" o:spt="20" style="position:absolute;left:0pt;margin-left:422.9pt;margin-top:495.05pt;height:0pt;width:0.45pt;mso-position-horizontal-relative:page;mso-position-vertical-relative:page;z-index:-251657216;mso-width-relative:page;mso-height-relative:page;" fillcolor="#FFFFFF" filled="t" stroked="t" coordsize="21600,21600" o:gfxdata="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WTNkrNgAAAALAQAADwAAAAAAAAABACAAAAAiAAAAZHJzL2Rv&#10;d25yZXYueG1sUEsBAhQAFAAAAAgAh07iQAnX9XUBAgAAPQQAAA4AAAAAAAAAAQAgAAAAJwEAAGRy&#10;cy9lMm9Eb2MueG1sUEsFBgAAAAAGAAYAWQEAAJoFAAAAAA==&#10;">
                <v:fill on="t" opacity="0f" focussize="0,0"/>
                <v:stroke weight="0.5pt" color="#000000" joinstyle="round" endcap="round"/>
                <v:imagedata o:title=""/>
                <o:lock v:ext="edit" aspectratio="f"/>
              </v:line>
            </w:pict>
          </mc:Fallback>
        </mc:AlternateContent>
      </w:r>
    </w:p>
    <w:p>
      <w:pPr>
        <w:autoSpaceDE w:val="0"/>
        <w:autoSpaceDN w:val="0"/>
        <w:snapToGrid w:val="0"/>
        <w:spacing w:before="21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法人代表或委托代理人（签字或盖章）：</w:t>
      </w:r>
    </w:p>
    <w:p>
      <w:pPr>
        <w:autoSpaceDE w:val="0"/>
        <w:autoSpaceDN w:val="0"/>
        <w:snapToGrid w:val="0"/>
        <w:spacing w:before="218"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日</w:t>
      </w:r>
    </w:p>
    <w:p>
      <w:pPr>
        <w:numPr>
          <w:ilvl w:val="0"/>
          <w:numId w:val="33"/>
        </w:numPr>
        <w:autoSpaceDE w:val="0"/>
        <w:autoSpaceDN w:val="0"/>
        <w:snapToGrid w:val="0"/>
        <w:spacing w:before="2786" w:after="0" w:line="240" w:lineRule="auto"/>
        <w:ind w:left="0" w:right="0" w:firstLine="4363"/>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7" w:right="2160" w:bottom="649" w:left="150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300" w:lineRule="exact"/>
        <w:ind w:left="4028" w:right="0" w:firstLine="0"/>
        <w:jc w:val="left"/>
        <w:textAlignment w:val="auto"/>
        <w:rPr>
          <w:rFonts w:hint="default" w:ascii="宋体" w:hAnsi="宋体" w:eastAsia="宋体" w:cs="宋体"/>
          <w:b/>
          <w:color w:val="auto"/>
        </w:rPr>
      </w:pPr>
      <w:r>
        <w:rPr>
          <w:rFonts w:hint="default" w:ascii="宋体" w:hAnsi="宋体" w:eastAsia="宋体" w:cs="宋体"/>
          <w:b/>
          <w:color w:val="auto"/>
        </w:rPr>
        <w:t>二、投标报价表</w:t>
      </w:r>
    </w:p>
    <w:p>
      <w:pPr>
        <w:autoSpaceDE w:val="0"/>
        <w:autoSpaceDN w:val="0"/>
        <w:snapToGrid w:val="0"/>
        <w:spacing w:before="287" w:after="7" w:line="263" w:lineRule="exact"/>
        <w:ind w:left="6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工程规模：</w:t>
      </w:r>
      <w:r>
        <w:rPr>
          <w:rFonts w:hint="default" w:ascii="宋体" w:hAnsi="宋体" w:eastAsia="宋体" w:cs="宋体"/>
          <w:color w:val="auto"/>
          <w:spacing w:val="2573"/>
          <w:sz w:val="21"/>
        </w:rPr>
        <w:t xml:space="preserve"> </w:t>
      </w:r>
      <w:r>
        <w:rPr>
          <w:rFonts w:hint="default" w:ascii="宋体" w:hAnsi="宋体" w:eastAsia="宋体" w:cs="宋体"/>
          <w:color w:val="auto"/>
          <w:sz w:val="21"/>
        </w:rPr>
        <w:t>币种：人民币</w:t>
      </w:r>
    </w:p>
    <w:tbl>
      <w:tblPr>
        <w:tblStyle w:val="6"/>
        <w:tblW w:w="8793" w:type="dxa"/>
        <w:tblInd w:w="47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984"/>
        <w:gridCol w:w="3119"/>
        <w:gridCol w:w="1985"/>
        <w:gridCol w:w="170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4" w:hRule="exact"/>
        </w:trPr>
        <w:tc>
          <w:tcPr>
            <w:tcW w:w="5103" w:type="dxa"/>
            <w:gridSpan w:val="2"/>
            <w:vAlign w:val="top"/>
          </w:tcPr>
          <w:p>
            <w:pPr>
              <w:autoSpaceDE w:val="0"/>
              <w:autoSpaceDN w:val="0"/>
              <w:snapToGrid w:val="0"/>
              <w:spacing w:before="134" w:after="0" w:line="263" w:lineRule="exact"/>
              <w:ind w:left="212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投标报价</w:t>
            </w:r>
          </w:p>
        </w:tc>
        <w:tc>
          <w:tcPr>
            <w:tcW w:w="1985" w:type="dxa"/>
            <w:vAlign w:val="top"/>
          </w:tcPr>
          <w:p>
            <w:pPr>
              <w:autoSpaceDE w:val="0"/>
              <w:autoSpaceDN w:val="0"/>
              <w:snapToGrid w:val="0"/>
              <w:spacing w:before="134"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134" w:after="0" w:line="263" w:lineRule="exact"/>
              <w:ind w:left="63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4" w:hRule="exact"/>
        </w:trPr>
        <w:tc>
          <w:tcPr>
            <w:tcW w:w="1984" w:type="dxa"/>
            <w:vMerge w:val="restart"/>
            <w:vAlign w:val="top"/>
          </w:tcPr>
          <w:p>
            <w:pPr>
              <w:autoSpaceDE w:val="0"/>
              <w:autoSpaceDN w:val="0"/>
              <w:snapToGrid w:val="0"/>
              <w:spacing w:before="1544" w:after="0" w:line="263" w:lineRule="exact"/>
              <w:ind w:left="7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其中</w:t>
            </w:r>
          </w:p>
        </w:tc>
        <w:tc>
          <w:tcPr>
            <w:tcW w:w="3119" w:type="dxa"/>
            <w:vAlign w:val="top"/>
          </w:tcPr>
          <w:p>
            <w:pPr>
              <w:autoSpaceDE w:val="0"/>
              <w:autoSpaceDN w:val="0"/>
              <w:snapToGrid w:val="0"/>
              <w:spacing w:before="139"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安全文明施工费</w:t>
            </w:r>
          </w:p>
        </w:tc>
        <w:tc>
          <w:tcPr>
            <w:tcW w:w="1985" w:type="dxa"/>
            <w:vAlign w:val="top"/>
          </w:tcPr>
          <w:p>
            <w:pPr>
              <w:autoSpaceDE w:val="0"/>
              <w:autoSpaceDN w:val="0"/>
              <w:snapToGrid w:val="0"/>
              <w:spacing w:before="139"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7"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规费中按规定向建安劳保费管</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理机构缴纳的建安劳保费</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43" w:after="0" w:line="263" w:lineRule="exact"/>
              <w:ind w:left="39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发包人提供材料（如有）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7" w:after="0" w:line="263" w:lineRule="exact"/>
              <w:ind w:left="18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承包人提供材料（设备）暂估</w:t>
            </w:r>
          </w:p>
          <w:p>
            <w:pPr>
              <w:autoSpaceDE w:val="0"/>
              <w:autoSpaceDN w:val="0"/>
              <w:snapToGrid w:val="0"/>
              <w:spacing w:before="10" w:after="0" w:line="263" w:lineRule="exact"/>
              <w:ind w:left="102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价（如有）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7" w:after="0" w:line="263" w:lineRule="exact"/>
              <w:ind w:left="10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暂估专业工程（如</w:t>
            </w:r>
          </w:p>
          <w:p>
            <w:pPr>
              <w:autoSpaceDE w:val="0"/>
              <w:autoSpaceDN w:val="0"/>
              <w:snapToGrid w:val="0"/>
              <w:spacing w:before="10"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2"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43" w:after="0" w:line="263" w:lineRule="exact"/>
              <w:ind w:left="10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暂列金额（如有）</w:t>
            </w:r>
          </w:p>
        </w:tc>
        <w:tc>
          <w:tcPr>
            <w:tcW w:w="1985" w:type="dxa"/>
            <w:vAlign w:val="top"/>
          </w:tcPr>
          <w:p>
            <w:pPr>
              <w:autoSpaceDE w:val="0"/>
              <w:autoSpaceDN w:val="0"/>
              <w:snapToGrid w:val="0"/>
              <w:spacing w:before="143" w:after="0" w:line="263" w:lineRule="exact"/>
              <w:ind w:left="14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万元</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46" w:hRule="exact"/>
        </w:trPr>
        <w:tc>
          <w:tcPr>
            <w:tcW w:w="1984" w:type="dxa"/>
            <w:vMerge w:val="restart"/>
            <w:vAlign w:val="top"/>
          </w:tcPr>
          <w:p>
            <w:pPr>
              <w:autoSpaceDE w:val="0"/>
              <w:autoSpaceDN w:val="0"/>
              <w:snapToGrid w:val="0"/>
              <w:spacing w:before="695" w:after="0" w:line="263" w:lineRule="exact"/>
              <w:ind w:left="56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主要材料</w:t>
            </w:r>
          </w:p>
        </w:tc>
        <w:tc>
          <w:tcPr>
            <w:tcW w:w="3119" w:type="dxa"/>
            <w:vAlign w:val="top"/>
          </w:tcPr>
          <w:p>
            <w:pPr>
              <w:autoSpaceDE w:val="0"/>
              <w:autoSpaceDN w:val="0"/>
              <w:snapToGrid w:val="0"/>
              <w:spacing w:before="135" w:after="0" w:line="263" w:lineRule="exact"/>
              <w:ind w:left="134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钢筋</w:t>
            </w:r>
          </w:p>
        </w:tc>
        <w:tc>
          <w:tcPr>
            <w:tcW w:w="1985" w:type="dxa"/>
            <w:vAlign w:val="top"/>
          </w:tcPr>
          <w:p>
            <w:pPr>
              <w:autoSpaceDE w:val="0"/>
              <w:autoSpaceDN w:val="0"/>
              <w:snapToGrid w:val="0"/>
              <w:spacing w:before="135" w:after="0" w:line="263" w:lineRule="exact"/>
              <w:ind w:left="166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吨</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68"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46" w:after="0" w:line="263" w:lineRule="exact"/>
              <w:ind w:left="18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水泥（不含商品混凝土用量）</w:t>
            </w:r>
          </w:p>
        </w:tc>
        <w:tc>
          <w:tcPr>
            <w:tcW w:w="1985" w:type="dxa"/>
            <w:vAlign w:val="top"/>
          </w:tcPr>
          <w:p>
            <w:pPr>
              <w:autoSpaceDE w:val="0"/>
              <w:autoSpaceDN w:val="0"/>
              <w:snapToGrid w:val="0"/>
              <w:spacing w:before="146" w:after="0" w:line="263" w:lineRule="exact"/>
              <w:ind w:left="164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吨</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98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3119" w:type="dxa"/>
            <w:vAlign w:val="top"/>
          </w:tcPr>
          <w:p>
            <w:pPr>
              <w:autoSpaceDE w:val="0"/>
              <w:autoSpaceDN w:val="0"/>
              <w:snapToGrid w:val="0"/>
              <w:spacing w:before="138" w:after="0" w:line="263" w:lineRule="exact"/>
              <w:ind w:left="102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商品混凝土</w:t>
            </w:r>
          </w:p>
        </w:tc>
        <w:tc>
          <w:tcPr>
            <w:tcW w:w="1985" w:type="dxa"/>
            <w:vAlign w:val="top"/>
          </w:tcPr>
          <w:p>
            <w:pPr>
              <w:autoSpaceDE w:val="0"/>
              <w:autoSpaceDN w:val="0"/>
              <w:snapToGrid w:val="0"/>
              <w:spacing w:before="150" w:after="0" w:line="240" w:lineRule="auto"/>
              <w:ind w:left="1639" w:right="0" w:firstLine="0"/>
              <w:jc w:val="left"/>
              <w:textAlignment w:val="auto"/>
              <w:rPr>
                <w:rFonts w:hint="default" w:ascii="Times New Roman" w:hAnsi="Times New Roman" w:eastAsia="Times New Roman" w:cs="Times New Roman"/>
                <w:color w:val="auto"/>
                <w:position w:val="6"/>
                <w:sz w:val="14"/>
              </w:rPr>
            </w:pPr>
            <w:r>
              <w:rPr>
                <w:rFonts w:hint="default" w:ascii="Times New Roman" w:hAnsi="Times New Roman" w:eastAsia="Times New Roman" w:cs="Times New Roman"/>
                <w:color w:val="auto"/>
                <w:sz w:val="21"/>
              </w:rPr>
              <w:t>m</w:t>
            </w:r>
            <w:r>
              <w:rPr>
                <w:rFonts w:hint="default" w:ascii="Times New Roman" w:hAnsi="Times New Roman" w:eastAsia="Times New Roman" w:cs="Times New Roman"/>
                <w:color w:val="auto"/>
                <w:position w:val="6"/>
                <w:sz w:val="14"/>
              </w:rPr>
              <w:t>3</w:t>
            </w:r>
          </w:p>
        </w:tc>
        <w:tc>
          <w:tcPr>
            <w:tcW w:w="1705"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position w:val="6"/>
                <w:sz w:val="14"/>
              </w:rPr>
            </w:pPr>
          </w:p>
        </w:tc>
      </w:tr>
    </w:tbl>
    <w:p>
      <w:pPr>
        <w:autoSpaceDE w:val="0"/>
        <w:autoSpaceDN w:val="0"/>
        <w:snapToGrid w:val="0"/>
        <w:spacing w:before="162" w:after="0" w:line="408"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【备注：投标报价规费中含按规定向建安劳保费管理机构缴纳的建安劳保费（依据为桂政发〔</w:t>
      </w:r>
      <w:r>
        <w:rPr>
          <w:rFonts w:hint="default" w:ascii="Times New Roman" w:hAnsi="Times New Roman" w:eastAsia="Times New Roman" w:cs="Times New Roman"/>
          <w:color w:val="auto"/>
          <w:sz w:val="21"/>
        </w:rPr>
        <w:t>2012</w:t>
      </w:r>
      <w:r>
        <w:rPr>
          <w:rFonts w:hint="default" w:ascii="楷体" w:hAnsi="楷体" w:eastAsia="楷体" w:cs="楷体"/>
          <w:color w:val="auto"/>
          <w:sz w:val="21"/>
        </w:rPr>
        <w:t>〕</w:t>
      </w:r>
      <w:r>
        <w:rPr>
          <w:rFonts w:hint="default" w:ascii="Times New Roman" w:hAnsi="Times New Roman" w:eastAsia="Times New Roman" w:cs="Times New Roman"/>
          <w:color w:val="auto"/>
          <w:sz w:val="21"/>
        </w:rPr>
        <w:t xml:space="preserve">42 </w:t>
      </w:r>
      <w:r>
        <w:rPr>
          <w:rFonts w:hint="default" w:ascii="楷体" w:hAnsi="楷体" w:eastAsia="楷体" w:cs="楷体"/>
          <w:color w:val="auto"/>
          <w:spacing w:val="-1"/>
          <w:sz w:val="21"/>
        </w:rPr>
        <w:t>号、桂建计〔</w:t>
      </w:r>
      <w:r>
        <w:rPr>
          <w:rFonts w:hint="default" w:ascii="Times New Roman" w:hAnsi="Times New Roman" w:eastAsia="Times New Roman" w:cs="Times New Roman"/>
          <w:color w:val="auto"/>
          <w:sz w:val="21"/>
        </w:rPr>
        <w:t>2000</w:t>
      </w:r>
      <w:r>
        <w:rPr>
          <w:rFonts w:hint="default" w:ascii="楷体" w:hAnsi="楷体" w:eastAsia="楷体" w:cs="楷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8</w:t>
      </w:r>
      <w:r>
        <w:rPr>
          <w:rFonts w:hint="default" w:ascii="楷体" w:hAnsi="楷体" w:eastAsia="楷体" w:cs="楷体"/>
          <w:color w:val="auto"/>
          <w:sz w:val="21"/>
        </w:rPr>
        <w:t>号），现行收取标准依据桂建计字〔</w:t>
      </w:r>
      <w:r>
        <w:rPr>
          <w:rFonts w:hint="default" w:ascii="Times New Roman" w:hAnsi="Times New Roman" w:eastAsia="Times New Roman" w:cs="Times New Roman"/>
          <w:color w:val="auto"/>
          <w:sz w:val="21"/>
        </w:rPr>
        <w:t>2000</w:t>
      </w:r>
      <w:r>
        <w:rPr>
          <w:rFonts w:hint="default" w:ascii="楷体" w:hAnsi="楷体" w:eastAsia="楷体" w:cs="楷体"/>
          <w:color w:val="auto"/>
          <w:sz w:val="21"/>
        </w:rPr>
        <w:t>〕</w:t>
      </w:r>
      <w:r>
        <w:rPr>
          <w:rFonts w:hint="default" w:ascii="Times New Roman" w:hAnsi="Times New Roman" w:eastAsia="Times New Roman" w:cs="Times New Roman"/>
          <w:color w:val="auto"/>
          <w:sz w:val="21"/>
        </w:rPr>
        <w:t>4</w:t>
      </w:r>
      <w:r>
        <w:rPr>
          <w:rFonts w:hint="default" w:ascii="Times New Roman" w:hAnsi="Times New Roman" w:eastAsia="Times New Roman" w:cs="Times New Roman"/>
          <w:color w:val="auto"/>
          <w:spacing w:val="53"/>
          <w:sz w:val="21"/>
        </w:rPr>
        <w:t>8</w:t>
      </w:r>
      <w:r>
        <w:rPr>
          <w:rFonts w:hint="default" w:ascii="楷体" w:hAnsi="楷体" w:eastAsia="楷体" w:cs="楷体"/>
          <w:color w:val="auto"/>
          <w:sz w:val="21"/>
        </w:rPr>
        <w:t>号有关规定执行，即按建筑安装工程造价</w:t>
      </w:r>
      <w:r>
        <w:rPr>
          <w:rFonts w:hint="default" w:ascii="楷体" w:hAnsi="楷体" w:eastAsia="楷体" w:cs="楷体"/>
          <w:color w:val="auto"/>
          <w:spacing w:val="26"/>
          <w:sz w:val="21"/>
        </w:rPr>
        <w:t>的</w:t>
      </w:r>
      <w:r>
        <w:rPr>
          <w:rFonts w:hint="default" w:ascii="Times New Roman" w:hAnsi="Times New Roman" w:eastAsia="Times New Roman" w:cs="Times New Roman"/>
          <w:color w:val="auto"/>
          <w:sz w:val="21"/>
        </w:rPr>
        <w:t>2%</w:t>
      </w:r>
      <w:r>
        <w:rPr>
          <w:rFonts w:hint="default" w:ascii="楷体" w:hAnsi="楷体" w:eastAsia="楷体" w:cs="楷体"/>
          <w:color w:val="auto"/>
          <w:sz w:val="21"/>
        </w:rPr>
        <w:t>收取】</w:t>
      </w:r>
    </w:p>
    <w:p>
      <w:pPr>
        <w:autoSpaceDE w:val="0"/>
        <w:autoSpaceDN w:val="0"/>
        <w:snapToGrid w:val="0"/>
        <w:spacing w:before="1566"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投标人（盖单位章）：</w:t>
      </w:r>
    </w:p>
    <w:p>
      <w:pPr>
        <w:autoSpaceDE w:val="0"/>
        <w:autoSpaceDN w:val="0"/>
        <w:snapToGrid w:val="0"/>
        <w:spacing w:before="282"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法定代表人或其委托代理人（签字或盖章）：</w:t>
      </w:r>
    </w:p>
    <w:p>
      <w:pPr>
        <w:autoSpaceDE w:val="0"/>
        <w:autoSpaceDN w:val="0"/>
        <w:snapToGrid w:val="0"/>
        <w:spacing w:before="282"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日期：</w:t>
      </w:r>
      <w:r>
        <w:rPr>
          <w:rFonts w:hint="default" w:ascii="宋体" w:hAnsi="宋体" w:eastAsia="宋体" w:cs="宋体"/>
          <w:color w:val="auto"/>
          <w:spacing w:val="683"/>
          <w:sz w:val="21"/>
          <w:u w:val="single" w:color="000000"/>
        </w:rPr>
        <w:t xml:space="preserve"> </w:t>
      </w:r>
      <w:r>
        <w:rPr>
          <w:rFonts w:hint="default" w:ascii="宋体" w:hAnsi="宋体" w:eastAsia="宋体" w:cs="宋体"/>
          <w:color w:val="auto"/>
          <w:sz w:val="21"/>
        </w:rPr>
        <w:t>年</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月</w:t>
      </w:r>
      <w:r>
        <w:rPr>
          <w:rFonts w:hint="default" w:ascii="宋体" w:hAnsi="宋体" w:eastAsia="宋体" w:cs="宋体"/>
          <w:color w:val="auto"/>
          <w:spacing w:val="263"/>
          <w:sz w:val="21"/>
          <w:u w:val="single" w:color="000000"/>
        </w:rPr>
        <w:t xml:space="preserve"> </w:t>
      </w:r>
      <w:r>
        <w:rPr>
          <w:rFonts w:hint="default" w:ascii="宋体" w:hAnsi="宋体" w:eastAsia="宋体" w:cs="宋体"/>
          <w:color w:val="auto"/>
          <w:sz w:val="21"/>
        </w:rPr>
        <w:t>日</w:t>
      </w:r>
    </w:p>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0" w:line="300" w:lineRule="exact"/>
        <w:ind w:left="3876" w:right="0" w:firstLine="0"/>
        <w:jc w:val="left"/>
        <w:textAlignment w:val="auto"/>
        <w:rPr>
          <w:rFonts w:hint="default" w:ascii="宋体" w:hAnsi="宋体" w:eastAsia="宋体" w:cs="宋体"/>
          <w:b/>
          <w:color w:val="auto"/>
        </w:rPr>
      </w:pPr>
      <w:r>
        <w:rPr>
          <w:rFonts w:hint="default" w:ascii="宋体" w:hAnsi="宋体" w:eastAsia="宋体" w:cs="宋体"/>
          <w:b/>
          <w:color w:val="auto"/>
        </w:rPr>
        <w:t>三、已标价工程量清单</w:t>
      </w:r>
    </w:p>
    <w:p>
      <w:pPr>
        <w:numPr>
          <w:ilvl w:val="0"/>
          <w:numId w:val="0"/>
        </w:numPr>
        <w:autoSpaceDE w:val="0"/>
        <w:autoSpaceDN w:val="0"/>
        <w:snapToGrid w:val="0"/>
        <w:spacing w:before="216" w:after="0" w:line="408" w:lineRule="exact"/>
        <w:ind w:right="0" w:rightChars="0" w:firstLine="416" w:firstLineChars="200"/>
        <w:jc w:val="both"/>
        <w:textAlignment w:val="auto"/>
        <w:rPr>
          <w:rFonts w:hint="default" w:ascii="Times New Roman" w:hAnsi="Times New Roman" w:eastAsia="Times New Roman" w:cs="Times New Roman"/>
          <w:color w:val="auto"/>
          <w:sz w:val="21"/>
        </w:rPr>
      </w:pPr>
      <w:r>
        <w:rPr>
          <w:rFonts w:hint="eastAsia" w:ascii="宋体" w:hAnsi="宋体" w:eastAsia="宋体" w:cs="宋体"/>
          <w:color w:val="auto"/>
          <w:spacing w:val="-1"/>
          <w:sz w:val="21"/>
          <w:lang w:eastAsia="zh-CN"/>
        </w:rPr>
        <w:t>说明：</w:t>
      </w:r>
      <w:r>
        <w:rPr>
          <w:rFonts w:hint="default" w:ascii="宋体" w:hAnsi="宋体" w:eastAsia="宋体" w:cs="宋体"/>
          <w:color w:val="auto"/>
          <w:spacing w:val="-1"/>
          <w:sz w:val="21"/>
        </w:rPr>
        <w:t>已标价工程量</w:t>
      </w:r>
      <w:r>
        <w:rPr>
          <w:rFonts w:hint="default" w:ascii="宋体" w:hAnsi="宋体" w:eastAsia="宋体" w:cs="宋体"/>
          <w:color w:val="auto"/>
          <w:sz w:val="21"/>
        </w:rPr>
        <w:t>清单应按第五章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工程量清单</w:t>
      </w:r>
      <w:r>
        <w:rPr>
          <w:rFonts w:hint="default" w:ascii="Times New Roman" w:hAnsi="Times New Roman" w:eastAsia="Times New Roman" w:cs="Times New Roman"/>
          <w:color w:val="auto"/>
          <w:sz w:val="21"/>
        </w:rPr>
        <w:t>”</w:t>
      </w:r>
      <w:r>
        <w:rPr>
          <w:rFonts w:hint="default" w:ascii="宋体" w:hAnsi="宋体" w:eastAsia="宋体" w:cs="宋体"/>
          <w:color w:val="auto"/>
          <w:sz w:val="21"/>
        </w:rPr>
        <w:t>中的相关表格及投标报价说明填写。构成合同文件的已标价工程量清单包括第五章</w:t>
      </w:r>
      <w:r>
        <w:rPr>
          <w:rFonts w:hint="default" w:ascii="Times New Roman" w:hAnsi="Times New Roman" w:eastAsia="Times New Roman" w:cs="Times New Roman"/>
          <w:color w:val="auto"/>
          <w:sz w:val="21"/>
        </w:rPr>
        <w:t>“</w:t>
      </w:r>
      <w:r>
        <w:rPr>
          <w:rFonts w:hint="default" w:ascii="宋体" w:hAnsi="宋体" w:eastAsia="宋体" w:cs="宋体"/>
          <w:color w:val="auto"/>
          <w:sz w:val="21"/>
        </w:rPr>
        <w:t>工程量清单</w:t>
      </w:r>
      <w:r>
        <w:rPr>
          <w:rFonts w:hint="default" w:ascii="Times New Roman" w:hAnsi="Times New Roman" w:eastAsia="Times New Roman" w:cs="Times New Roman"/>
          <w:color w:val="auto"/>
          <w:sz w:val="21"/>
        </w:rPr>
        <w:t>”</w:t>
      </w:r>
      <w:r>
        <w:rPr>
          <w:rFonts w:hint="default" w:ascii="宋体" w:hAnsi="宋体" w:eastAsia="宋体" w:cs="宋体"/>
          <w:color w:val="auto"/>
          <w:sz w:val="21"/>
        </w:rPr>
        <w:t>有关工程量清单、投标报价以及其他说明的内容。</w:t>
      </w:r>
    </w:p>
    <w:p>
      <w:pPr>
        <w:rPr>
          <w:rFonts w:hint="eastAsia" w:ascii="宋体" w:hAnsi="宋体" w:eastAsia="宋体" w:cs="宋体"/>
          <w:color w:val="auto"/>
          <w:sz w:val="28"/>
          <w:lang w:val="en-US" w:eastAsia="zh-CN"/>
        </w:rPr>
      </w:pPr>
      <w:r>
        <w:rPr>
          <w:rFonts w:hint="eastAsia" w:ascii="宋体" w:hAnsi="宋体" w:eastAsia="宋体" w:cs="宋体"/>
          <w:color w:val="auto"/>
          <w:sz w:val="28"/>
          <w:lang w:val="en-US" w:eastAsia="zh-CN"/>
        </w:rPr>
        <w:br w:type="page"/>
      </w:r>
    </w:p>
    <w:p>
      <w:pPr>
        <w:autoSpaceDE w:val="0"/>
        <w:autoSpaceDN w:val="0"/>
        <w:snapToGrid w:val="0"/>
        <w:spacing w:before="1170" w:after="0" w:line="350" w:lineRule="exact"/>
        <w:ind w:right="0"/>
        <w:jc w:val="center"/>
        <w:textAlignment w:val="auto"/>
        <w:rPr>
          <w:rFonts w:hint="default" w:ascii="宋体" w:hAnsi="宋体" w:eastAsia="宋体" w:cs="宋体"/>
          <w:color w:val="auto"/>
          <w:sz w:val="28"/>
        </w:rPr>
      </w:pPr>
      <w:r>
        <w:rPr>
          <w:rFonts w:hint="eastAsia" w:ascii="宋体" w:hAnsi="宋体" w:eastAsia="宋体" w:cs="宋体"/>
          <w:color w:val="FFFFFF" w:themeColor="background1"/>
          <w:sz w:val="28"/>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（项目名称）施工招标</w:t>
      </w:r>
    </w:p>
    <w:p>
      <w:pPr>
        <w:autoSpaceDE w:val="0"/>
        <w:autoSpaceDN w:val="0"/>
        <w:snapToGrid w:val="0"/>
        <w:spacing w:before="579" w:after="0" w:line="650" w:lineRule="exact"/>
        <w:ind w:right="0"/>
        <w:jc w:val="center"/>
        <w:textAlignment w:val="auto"/>
        <w:rPr>
          <w:rFonts w:hint="default" w:ascii="宋体" w:hAnsi="宋体" w:eastAsia="宋体" w:cs="宋体"/>
          <w:color w:val="auto"/>
          <w:sz w:val="52"/>
        </w:rPr>
      </w:pPr>
      <w:bookmarkStart w:id="198" w:name="_Toc4554_WPSOffice_Level1"/>
      <w:bookmarkStart w:id="199" w:name="_Toc21512_WPSOffice_Level1"/>
      <w:bookmarkStart w:id="200" w:name="_Toc1823_WPSOffice_Level1"/>
      <w:r>
        <w:rPr>
          <w:rFonts w:hint="default" w:ascii="宋体" w:hAnsi="宋体" w:eastAsia="宋体" w:cs="宋体"/>
          <w:color w:val="auto"/>
          <w:sz w:val="52"/>
        </w:rPr>
        <w:t>投</w:t>
      </w:r>
      <w:r>
        <w:rPr>
          <w:rFonts w:hint="default" w:ascii="宋体" w:hAnsi="宋体" w:eastAsia="宋体" w:cs="宋体"/>
          <w:color w:val="auto"/>
          <w:spacing w:val="130"/>
          <w:sz w:val="52"/>
        </w:rPr>
        <w:t xml:space="preserve"> </w:t>
      </w:r>
      <w:r>
        <w:rPr>
          <w:rFonts w:hint="default" w:ascii="宋体" w:hAnsi="宋体" w:eastAsia="宋体" w:cs="宋体"/>
          <w:color w:val="auto"/>
          <w:sz w:val="52"/>
        </w:rPr>
        <w:t>标</w:t>
      </w:r>
      <w:r>
        <w:rPr>
          <w:rFonts w:hint="default" w:ascii="宋体" w:hAnsi="宋体" w:eastAsia="宋体" w:cs="宋体"/>
          <w:color w:val="auto"/>
          <w:spacing w:val="130"/>
          <w:sz w:val="52"/>
        </w:rPr>
        <w:t xml:space="preserve"> </w:t>
      </w:r>
      <w:r>
        <w:rPr>
          <w:rFonts w:hint="default" w:ascii="宋体" w:hAnsi="宋体" w:eastAsia="宋体" w:cs="宋体"/>
          <w:color w:val="auto"/>
          <w:sz w:val="52"/>
        </w:rPr>
        <w:t>文</w:t>
      </w:r>
      <w:r>
        <w:rPr>
          <w:rFonts w:hint="default" w:ascii="宋体" w:hAnsi="宋体" w:eastAsia="宋体" w:cs="宋体"/>
          <w:color w:val="auto"/>
          <w:spacing w:val="130"/>
          <w:sz w:val="52"/>
        </w:rPr>
        <w:t xml:space="preserve"> </w:t>
      </w:r>
      <w:r>
        <w:rPr>
          <w:rFonts w:hint="default" w:ascii="宋体" w:hAnsi="宋体" w:eastAsia="宋体" w:cs="宋体"/>
          <w:color w:val="auto"/>
          <w:sz w:val="52"/>
        </w:rPr>
        <w:t>件</w:t>
      </w:r>
      <w:bookmarkEnd w:id="198"/>
      <w:bookmarkEnd w:id="199"/>
      <w:bookmarkEnd w:id="200"/>
    </w:p>
    <w:p>
      <w:pPr>
        <w:autoSpaceDE w:val="0"/>
        <w:autoSpaceDN w:val="0"/>
        <w:snapToGrid w:val="0"/>
        <w:spacing w:before="1492" w:after="0" w:line="350" w:lineRule="exact"/>
        <w:ind w:right="0"/>
        <w:jc w:val="center"/>
        <w:textAlignment w:val="auto"/>
        <w:rPr>
          <w:rFonts w:hint="default" w:ascii="宋体" w:hAnsi="宋体" w:eastAsia="宋体" w:cs="宋体"/>
          <w:color w:val="auto"/>
          <w:sz w:val="28"/>
          <w:u w:val="single"/>
          <w:lang w:val="en-US" w:eastAsia="zh-CN"/>
        </w:rPr>
      </w:pPr>
      <w:bookmarkStart w:id="201" w:name="_Toc1905_WPSOffice_Level2"/>
      <w:bookmarkStart w:id="202" w:name="_Toc16224_WPSOffice_Level2"/>
      <w:bookmarkStart w:id="203" w:name="_Toc16329_WPSOffice_Level2"/>
      <w:r>
        <w:rPr>
          <w:rFonts w:hint="default" w:ascii="宋体" w:hAnsi="宋体" w:eastAsia="宋体" w:cs="宋体"/>
          <w:color w:val="auto"/>
          <w:sz w:val="28"/>
        </w:rPr>
        <w:t>项目编号：</w:t>
      </w:r>
      <w:r>
        <w:rPr>
          <w:rFonts w:hint="eastAsia" w:ascii="宋体" w:hAnsi="宋体" w:eastAsia="宋体" w:cs="宋体"/>
          <w:color w:val="auto"/>
          <w:sz w:val="28"/>
          <w:u w:val="single"/>
          <w:lang w:val="en-US" w:eastAsia="zh-CN"/>
        </w:rPr>
        <w:t xml:space="preserve">                    </w:t>
      </w:r>
      <w:r>
        <w:rPr>
          <w:rFonts w:hint="eastAsia" w:ascii="宋体" w:hAnsi="宋体" w:eastAsia="宋体" w:cs="宋体"/>
          <w:color w:val="FFFFFF" w:themeColor="background1"/>
          <w:sz w:val="28"/>
          <w:u w:val="single"/>
          <w:lang w:val="en-US" w:eastAsia="zh-CN"/>
          <w14:textFill>
            <w14:solidFill>
              <w14:schemeClr w14:val="bg1"/>
            </w14:solidFill>
          </w14:textFill>
        </w:rPr>
        <w:t>1</w:t>
      </w:r>
      <w:bookmarkEnd w:id="201"/>
      <w:bookmarkEnd w:id="202"/>
      <w:bookmarkEnd w:id="203"/>
    </w:p>
    <w:p>
      <w:pPr>
        <w:autoSpaceDE w:val="0"/>
        <w:autoSpaceDN w:val="0"/>
        <w:snapToGrid w:val="0"/>
        <w:spacing w:before="563" w:after="0" w:line="400" w:lineRule="exact"/>
        <w:ind w:right="0"/>
        <w:jc w:val="center"/>
        <w:textAlignment w:val="auto"/>
        <w:rPr>
          <w:rFonts w:hint="default" w:ascii="宋体" w:hAnsi="宋体" w:eastAsia="宋体" w:cs="宋体"/>
          <w:color w:val="auto"/>
          <w:sz w:val="28"/>
        </w:rPr>
      </w:pPr>
      <w:r>
        <w:rPr>
          <w:rFonts w:hint="default" w:ascii="宋体" w:hAnsi="宋体" w:eastAsia="宋体" w:cs="宋体"/>
          <w:color w:val="auto"/>
          <w:sz w:val="32"/>
        </w:rPr>
        <w:t>（正本</w:t>
      </w:r>
      <w:r>
        <w:rPr>
          <w:rFonts w:hint="default" w:ascii="Times New Roman" w:hAnsi="Times New Roman" w:eastAsia="Times New Roman" w:cs="Times New Roman"/>
          <w:color w:val="auto"/>
          <w:sz w:val="32"/>
        </w:rPr>
        <w:t>/</w:t>
      </w:r>
      <w:r>
        <w:rPr>
          <w:rFonts w:hint="default" w:ascii="宋体" w:hAnsi="宋体" w:eastAsia="宋体" w:cs="宋体"/>
          <w:color w:val="auto"/>
          <w:sz w:val="32"/>
        </w:rPr>
        <w:t>副本）</w:t>
      </w: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0"/>
        <w:jc w:val="left"/>
        <w:textAlignment w:val="auto"/>
        <w:rPr>
          <w:rFonts w:hint="default" w:ascii="宋体" w:hAnsi="宋体" w:eastAsia="宋体" w:cs="宋体"/>
          <w:color w:val="auto"/>
          <w:sz w:val="28"/>
        </w:rPr>
      </w:pPr>
    </w:p>
    <w:p>
      <w:pPr>
        <w:keepNext w:val="0"/>
        <w:keepLines w:val="0"/>
        <w:pageBreakBefore w:val="0"/>
        <w:widowControl w:val="0"/>
        <w:kinsoku/>
        <w:wordWrap/>
        <w:overflowPunct/>
        <w:topLinePunct w:val="0"/>
        <w:autoSpaceDE w:val="0"/>
        <w:autoSpaceDN w:val="0"/>
        <w:bidi w:val="0"/>
        <w:adjustRightInd/>
        <w:snapToGrid w:val="0"/>
        <w:spacing w:after="0" w:line="440" w:lineRule="exact"/>
        <w:ind w:left="0" w:right="0" w:firstLine="1120" w:firstLineChars="400"/>
        <w:jc w:val="left"/>
        <w:textAlignment w:val="auto"/>
        <w:rPr>
          <w:rFonts w:hint="default" w:ascii="宋体" w:hAnsi="宋体" w:eastAsia="宋体" w:cs="宋体"/>
          <w:color w:val="auto"/>
          <w:sz w:val="28"/>
          <w:u w:val="single"/>
        </w:rPr>
      </w:pPr>
      <w:r>
        <w:rPr>
          <w:rFonts w:hint="default" w:ascii="宋体" w:hAnsi="宋体" w:eastAsia="宋体" w:cs="宋体"/>
          <w:color w:val="auto"/>
          <w:sz w:val="28"/>
        </w:rPr>
        <w:t>投标内容：</w:t>
      </w:r>
      <w:r>
        <w:rPr>
          <w:rFonts w:hint="default" w:ascii="宋体" w:hAnsi="宋体" w:eastAsia="宋体" w:cs="宋体"/>
          <w:color w:val="auto"/>
          <w:spacing w:val="770"/>
          <w:sz w:val="28"/>
          <w:u w:val="single"/>
        </w:rPr>
        <w:t xml:space="preserve"> </w:t>
      </w:r>
      <w:r>
        <w:rPr>
          <w:rFonts w:hint="default" w:ascii="宋体" w:hAnsi="宋体" w:eastAsia="宋体" w:cs="宋体"/>
          <w:color w:val="auto"/>
          <w:sz w:val="28"/>
          <w:u w:val="single"/>
        </w:rPr>
        <w:t>技术标部分</w:t>
      </w:r>
    </w:p>
    <w:p>
      <w:pPr>
        <w:autoSpaceDE w:val="0"/>
        <w:autoSpaceDN w:val="0"/>
        <w:snapToGrid w:val="0"/>
        <w:spacing w:before="195" w:after="0" w:line="350" w:lineRule="exact"/>
        <w:ind w:left="0" w:right="0" w:firstLine="1120" w:firstLineChars="400"/>
        <w:jc w:val="left"/>
        <w:textAlignment w:val="auto"/>
        <w:rPr>
          <w:rFonts w:hint="default" w:ascii="宋体" w:hAnsi="宋体" w:eastAsia="宋体" w:cs="宋体"/>
          <w:color w:val="auto"/>
          <w:sz w:val="28"/>
        </w:rPr>
      </w:pPr>
      <w:r>
        <w:rPr>
          <w:rFonts w:hint="default" w:ascii="宋体" w:hAnsi="宋体" w:eastAsia="宋体" w:cs="宋体"/>
          <w:color w:val="auto"/>
          <w:sz w:val="28"/>
        </w:rPr>
        <w:t>投标人：</w:t>
      </w:r>
      <w:r>
        <w:rPr>
          <w:rFonts w:hint="default" w:ascii="宋体" w:hAnsi="宋体" w:eastAsia="宋体" w:cs="宋体"/>
          <w:color w:val="auto"/>
          <w:spacing w:val="2100"/>
          <w:sz w:val="28"/>
          <w:u w:val="single"/>
        </w:rPr>
        <w:t xml:space="preserve"> </w:t>
      </w:r>
      <w:r>
        <w:rPr>
          <w:rFonts w:hint="default" w:ascii="宋体" w:hAnsi="宋体" w:eastAsia="宋体" w:cs="宋体"/>
          <w:color w:val="auto"/>
          <w:sz w:val="28"/>
        </w:rPr>
        <w:t>（盖单位章）</w:t>
      </w:r>
    </w:p>
    <w:p>
      <w:pPr>
        <w:autoSpaceDE w:val="0"/>
        <w:autoSpaceDN w:val="0"/>
        <w:snapToGrid w:val="0"/>
        <w:spacing w:before="195" w:after="0" w:line="350" w:lineRule="exact"/>
        <w:ind w:left="0" w:right="0" w:firstLine="1120" w:firstLineChars="400"/>
        <w:jc w:val="left"/>
        <w:textAlignment w:val="auto"/>
        <w:rPr>
          <w:rFonts w:hint="default" w:ascii="宋体" w:hAnsi="宋体" w:eastAsia="宋体" w:cs="宋体"/>
          <w:color w:val="auto"/>
          <w:sz w:val="28"/>
        </w:rPr>
      </w:pPr>
      <w:r>
        <w:rPr>
          <w:rFonts w:hint="default" w:ascii="宋体" w:hAnsi="宋体" w:eastAsia="宋体" w:cs="宋体"/>
          <w:color w:val="auto"/>
          <w:sz w:val="28"/>
        </w:rPr>
        <w:t>法定代表人或其委托代理人：</w:t>
      </w:r>
      <w:r>
        <w:rPr>
          <w:rFonts w:hint="default" w:ascii="宋体" w:hAnsi="宋体" w:eastAsia="宋体" w:cs="宋体"/>
          <w:color w:val="auto"/>
          <w:spacing w:val="700"/>
          <w:sz w:val="28"/>
          <w:u w:val="single"/>
        </w:rPr>
        <w:t xml:space="preserve"> </w:t>
      </w:r>
      <w:r>
        <w:rPr>
          <w:rFonts w:hint="default" w:ascii="宋体" w:hAnsi="宋体" w:eastAsia="宋体" w:cs="宋体"/>
          <w:color w:val="auto"/>
          <w:sz w:val="28"/>
        </w:rPr>
        <w:t>（签字或盖章）</w:t>
      </w:r>
    </w:p>
    <w:p>
      <w:pPr>
        <w:autoSpaceDE w:val="0"/>
        <w:autoSpaceDN w:val="0"/>
        <w:snapToGrid w:val="0"/>
        <w:spacing w:before="839" w:after="0" w:line="350" w:lineRule="exact"/>
        <w:ind w:left="2844" w:right="0" w:firstLine="0"/>
        <w:jc w:val="left"/>
        <w:textAlignment w:val="auto"/>
        <w:rPr>
          <w:rFonts w:hint="eastAsia" w:ascii="宋体" w:hAnsi="宋体" w:eastAsia="宋体" w:cs="宋体"/>
          <w:color w:val="auto"/>
          <w:sz w:val="28"/>
          <w:u w:val="single"/>
          <w:lang w:val="en-US" w:eastAsia="zh-CN"/>
        </w:rPr>
      </w:pPr>
    </w:p>
    <w:p>
      <w:pPr>
        <w:autoSpaceDE w:val="0"/>
        <w:autoSpaceDN w:val="0"/>
        <w:snapToGrid w:val="0"/>
        <w:spacing w:before="839" w:after="0" w:line="350" w:lineRule="exact"/>
        <w:ind w:left="2844" w:right="0" w:firstLine="0"/>
        <w:jc w:val="left"/>
        <w:textAlignment w:val="auto"/>
        <w:rPr>
          <w:rFonts w:hint="default" w:ascii="宋体" w:hAnsi="宋体" w:eastAsia="宋体" w:cs="宋体"/>
          <w:color w:val="auto"/>
          <w:sz w:val="28"/>
        </w:rPr>
      </w:pPr>
      <w:r>
        <w:rPr>
          <w:rFonts w:hint="eastAsia" w:ascii="宋体" w:hAnsi="宋体" w:eastAsia="宋体" w:cs="宋体"/>
          <w:color w:val="FFFFFF" w:themeColor="background1"/>
          <w:sz w:val="28"/>
          <w:u w:val="single"/>
          <w:lang w:val="en-US" w:eastAsia="zh-CN"/>
          <w14:textFill>
            <w14:solidFill>
              <w14:schemeClr w14:val="bg1"/>
            </w14:solidFill>
          </w14:textFill>
        </w:rPr>
        <w:t>1</w:t>
      </w:r>
      <w:r>
        <w:rPr>
          <w:rFonts w:hint="eastAsia" w:ascii="宋体" w:hAnsi="宋体" w:eastAsia="宋体" w:cs="宋体"/>
          <w:color w:val="auto"/>
          <w:sz w:val="28"/>
          <w:u w:val="single"/>
          <w:lang w:val="en-US" w:eastAsia="zh-CN"/>
        </w:rPr>
        <w:t xml:space="preserve">         </w:t>
      </w:r>
      <w:r>
        <w:rPr>
          <w:rFonts w:hint="default" w:ascii="宋体" w:hAnsi="宋体" w:eastAsia="宋体" w:cs="宋体"/>
          <w:color w:val="auto"/>
          <w:sz w:val="28"/>
        </w:rPr>
        <w:t>年</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月</w:t>
      </w:r>
      <w:r>
        <w:rPr>
          <w:rFonts w:hint="default" w:ascii="宋体" w:hAnsi="宋体" w:eastAsia="宋体" w:cs="宋体"/>
          <w:color w:val="auto"/>
          <w:spacing w:val="560"/>
          <w:sz w:val="28"/>
          <w:u w:val="single"/>
        </w:rPr>
        <w:t xml:space="preserve"> </w:t>
      </w:r>
      <w:r>
        <w:rPr>
          <w:rFonts w:hint="default" w:ascii="宋体" w:hAnsi="宋体" w:eastAsia="宋体" w:cs="宋体"/>
          <w:color w:val="auto"/>
          <w:sz w:val="28"/>
        </w:rPr>
        <w:t>日</w:t>
      </w:r>
    </w:p>
    <w:p>
      <w:pPr>
        <w:rPr>
          <w:rFonts w:hint="default" w:ascii="宋体" w:hAnsi="宋体" w:eastAsia="宋体" w:cs="宋体"/>
          <w:b/>
          <w:color w:val="auto"/>
          <w:sz w:val="28"/>
        </w:rPr>
      </w:pPr>
      <w:r>
        <w:rPr>
          <w:rFonts w:hint="default" w:ascii="宋体" w:hAnsi="宋体" w:eastAsia="宋体" w:cs="宋体"/>
          <w:b/>
          <w:color w:val="auto"/>
          <w:sz w:val="28"/>
        </w:rPr>
        <w:br w:type="page"/>
      </w:r>
    </w:p>
    <w:p>
      <w:pPr>
        <w:autoSpaceDE w:val="0"/>
        <w:autoSpaceDN w:val="0"/>
        <w:snapToGrid w:val="0"/>
        <w:spacing w:before="0" w:after="0" w:line="350" w:lineRule="exact"/>
        <w:ind w:left="4662" w:right="0" w:firstLine="0"/>
        <w:jc w:val="left"/>
        <w:textAlignment w:val="auto"/>
        <w:rPr>
          <w:rFonts w:hint="default" w:ascii="宋体" w:hAnsi="宋体" w:eastAsia="宋体" w:cs="宋体"/>
          <w:b/>
          <w:color w:val="auto"/>
          <w:sz w:val="28"/>
        </w:rPr>
      </w:pPr>
      <w:r>
        <w:rPr>
          <w:rFonts w:hint="default" w:ascii="宋体" w:hAnsi="宋体" w:eastAsia="宋体" w:cs="宋体"/>
          <w:b/>
          <w:color w:val="auto"/>
          <w:sz w:val="28"/>
        </w:rPr>
        <w:t>目</w:t>
      </w:r>
      <w:r>
        <w:rPr>
          <w:rFonts w:hint="default" w:ascii="宋体" w:hAnsi="宋体" w:eastAsia="宋体" w:cs="宋体"/>
          <w:b/>
          <w:color w:val="auto"/>
          <w:spacing w:val="141"/>
          <w:sz w:val="28"/>
        </w:rPr>
        <w:t xml:space="preserve"> </w:t>
      </w:r>
      <w:r>
        <w:rPr>
          <w:rFonts w:hint="default" w:ascii="宋体" w:hAnsi="宋体" w:eastAsia="宋体" w:cs="宋体"/>
          <w:b/>
          <w:color w:val="auto"/>
          <w:sz w:val="28"/>
        </w:rPr>
        <w:t>录</w:t>
      </w:r>
    </w:p>
    <w:p>
      <w:pPr>
        <w:keepNext w:val="0"/>
        <w:keepLines w:val="0"/>
        <w:pageBreakBefore w:val="0"/>
        <w:widowControl w:val="0"/>
        <w:kinsoku/>
        <w:wordWrap/>
        <w:overflowPunct/>
        <w:topLinePunct w:val="0"/>
        <w:autoSpaceDE w:val="0"/>
        <w:autoSpaceDN w:val="0"/>
        <w:bidi w:val="0"/>
        <w:adjustRightInd/>
        <w:snapToGrid w:val="0"/>
        <w:spacing w:after="0" w:line="480" w:lineRule="auto"/>
        <w:ind w:left="0" w:right="0" w:firstLine="0"/>
        <w:jc w:val="left"/>
        <w:textAlignment w:val="auto"/>
        <w:rPr>
          <w:rFonts w:hint="default" w:ascii="宋体" w:hAnsi="宋体" w:eastAsia="宋体" w:cs="宋体"/>
          <w:color w:val="auto"/>
          <w:sz w:val="28"/>
          <w:szCs w:val="24"/>
        </w:rPr>
      </w:pPr>
      <w:bookmarkStart w:id="204" w:name="_Toc10147_WPSOffice_Level1"/>
      <w:bookmarkStart w:id="205" w:name="_Toc23945_WPSOffice_Level1"/>
      <w:bookmarkStart w:id="206" w:name="_Toc6501_WPSOffice_Level1"/>
      <w:r>
        <w:rPr>
          <w:rFonts w:hint="eastAsia" w:ascii="宋体" w:hAnsi="宋体" w:eastAsia="宋体" w:cs="宋体"/>
          <w:color w:val="auto"/>
          <w:sz w:val="28"/>
          <w:szCs w:val="24"/>
          <w:lang w:eastAsia="zh-CN"/>
        </w:rPr>
        <w:t>一</w:t>
      </w:r>
      <w:r>
        <w:rPr>
          <w:rFonts w:hint="default" w:ascii="宋体" w:hAnsi="宋体" w:eastAsia="宋体" w:cs="宋体"/>
          <w:color w:val="auto"/>
          <w:sz w:val="28"/>
          <w:szCs w:val="24"/>
        </w:rPr>
        <w:t>、施工组织设计</w:t>
      </w:r>
      <w:bookmarkEnd w:id="204"/>
      <w:bookmarkEnd w:id="205"/>
      <w:bookmarkEnd w:id="206"/>
    </w:p>
    <w:p>
      <w:pPr>
        <w:keepNext w:val="0"/>
        <w:keepLines w:val="0"/>
        <w:pageBreakBefore w:val="0"/>
        <w:widowControl w:val="0"/>
        <w:kinsoku/>
        <w:wordWrap/>
        <w:overflowPunct/>
        <w:topLinePunct w:val="0"/>
        <w:autoSpaceDE w:val="0"/>
        <w:autoSpaceDN w:val="0"/>
        <w:bidi w:val="0"/>
        <w:adjustRightInd/>
        <w:snapToGrid w:val="0"/>
        <w:spacing w:after="0" w:line="480" w:lineRule="auto"/>
        <w:ind w:left="0" w:right="0" w:firstLine="0"/>
        <w:jc w:val="left"/>
        <w:textAlignment w:val="auto"/>
        <w:rPr>
          <w:rFonts w:hint="default" w:ascii="宋体" w:hAnsi="宋体" w:eastAsia="宋体" w:cs="宋体"/>
          <w:color w:val="auto"/>
          <w:sz w:val="28"/>
          <w:szCs w:val="24"/>
        </w:rPr>
      </w:pPr>
      <w:bookmarkStart w:id="207" w:name="_Toc6771_WPSOffice_Level1"/>
      <w:bookmarkStart w:id="208" w:name="_Toc16835_WPSOffice_Level1"/>
      <w:bookmarkStart w:id="209" w:name="_Toc22318_WPSOffice_Level1"/>
      <w:r>
        <w:rPr>
          <w:rFonts w:hint="eastAsia" w:ascii="宋体" w:hAnsi="宋体" w:eastAsia="宋体" w:cs="宋体"/>
          <w:color w:val="auto"/>
          <w:sz w:val="28"/>
          <w:szCs w:val="24"/>
          <w:lang w:eastAsia="zh-CN"/>
        </w:rPr>
        <w:t>二</w:t>
      </w:r>
      <w:r>
        <w:rPr>
          <w:rFonts w:hint="default" w:ascii="宋体" w:hAnsi="宋体" w:eastAsia="宋体" w:cs="宋体"/>
          <w:color w:val="auto"/>
          <w:sz w:val="28"/>
          <w:szCs w:val="24"/>
        </w:rPr>
        <w:t>、拟分包计划表</w:t>
      </w:r>
      <w:bookmarkEnd w:id="207"/>
      <w:bookmarkEnd w:id="208"/>
      <w:bookmarkEnd w:id="209"/>
    </w:p>
    <w:p>
      <w:pPr>
        <w:keepNext w:val="0"/>
        <w:keepLines w:val="0"/>
        <w:pageBreakBefore w:val="0"/>
        <w:widowControl w:val="0"/>
        <w:kinsoku/>
        <w:wordWrap/>
        <w:overflowPunct/>
        <w:topLinePunct w:val="0"/>
        <w:bidi w:val="0"/>
        <w:adjustRightInd/>
        <w:spacing w:line="480" w:lineRule="auto"/>
        <w:textAlignment w:val="auto"/>
        <w:rPr>
          <w:rFonts w:hint="default" w:ascii="宋体" w:hAnsi="宋体" w:eastAsia="宋体" w:cs="宋体"/>
          <w:b/>
          <w:color w:val="auto"/>
        </w:rPr>
      </w:pPr>
      <w:bookmarkStart w:id="210" w:name="_Toc18567_WPSOffice_Level1"/>
      <w:bookmarkStart w:id="211" w:name="_Toc18909_WPSOffice_Level1"/>
      <w:bookmarkStart w:id="212" w:name="_Toc7026_WPSOffice_Level1"/>
      <w:r>
        <w:rPr>
          <w:rFonts w:hint="eastAsia" w:cs="Times New Roman"/>
          <w:b w:val="0"/>
          <w:i w:val="0"/>
          <w:strike w:val="0"/>
          <w:color w:val="auto"/>
          <w:sz w:val="28"/>
          <w:szCs w:val="32"/>
          <w:lang w:val="en-US" w:eastAsia="zh-CN"/>
        </w:rPr>
        <w:t>三</w:t>
      </w:r>
      <w:r>
        <w:rPr>
          <w:rFonts w:hint="eastAsia" w:ascii="Times New Roman" w:hAnsi="Times New Roman" w:eastAsia="Times New Roman" w:cs="Times New Roman"/>
          <w:b w:val="0"/>
          <w:i w:val="0"/>
          <w:strike w:val="0"/>
          <w:color w:val="auto"/>
          <w:sz w:val="28"/>
          <w:szCs w:val="32"/>
          <w:lang w:val="en-US" w:eastAsia="zh-CN"/>
        </w:rPr>
        <w:t>、项目管理机构</w:t>
      </w:r>
      <w:bookmarkEnd w:id="210"/>
      <w:bookmarkEnd w:id="211"/>
      <w:bookmarkEnd w:id="212"/>
      <w:r>
        <w:rPr>
          <w:rFonts w:hint="default" w:ascii="宋体" w:hAnsi="宋体" w:eastAsia="宋体" w:cs="宋体"/>
          <w:b/>
          <w:color w:val="auto"/>
        </w:rPr>
        <w:br w:type="page"/>
      </w:r>
    </w:p>
    <w:p>
      <w:pPr>
        <w:autoSpaceDE w:val="0"/>
        <w:autoSpaceDN w:val="0"/>
        <w:snapToGrid w:val="0"/>
        <w:spacing w:before="9752" w:after="0" w:line="300" w:lineRule="exact"/>
        <w:ind w:left="3907" w:right="0" w:firstLine="0"/>
        <w:jc w:val="left"/>
        <w:textAlignment w:val="auto"/>
        <w:rPr>
          <w:rFonts w:hint="default" w:ascii="宋体" w:hAnsi="宋体" w:eastAsia="宋体" w:cs="宋体"/>
          <w:b/>
          <w:color w:val="auto"/>
        </w:rPr>
      </w:pPr>
      <w:bookmarkStart w:id="213" w:name="_Toc21824_WPSOffice_Level1"/>
      <w:bookmarkStart w:id="214" w:name="_Toc8184_WPSOffice_Level1"/>
      <w:bookmarkStart w:id="215" w:name="_Toc15441_WPSOffice_Level1"/>
      <w:r>
        <w:rPr>
          <w:rFonts w:hint="default" w:ascii="宋体" w:hAnsi="宋体" w:eastAsia="宋体" w:cs="宋体"/>
          <w:b/>
          <w:color w:val="auto"/>
        </w:rPr>
        <w:t>一、施工组织设计</w:t>
      </w:r>
      <w:bookmarkEnd w:id="213"/>
      <w:bookmarkEnd w:id="214"/>
      <w:bookmarkEnd w:id="215"/>
    </w:p>
    <w:p>
      <w:pPr>
        <w:autoSpaceDE w:val="0"/>
        <w:autoSpaceDN w:val="0"/>
        <w:snapToGrid w:val="0"/>
        <w:spacing w:before="0"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1</w:t>
      </w:r>
      <w:r>
        <w:rPr>
          <w:rFonts w:hint="default" w:ascii="宋体" w:hAnsi="宋体" w:eastAsia="宋体" w:cs="宋体"/>
          <w:color w:val="auto"/>
          <w:sz w:val="21"/>
        </w:rPr>
        <w:t>、投标人编制施工组织设计的要求：编制时应采用文字并结合图表形式说明施工方法；拟投入本工</w:t>
      </w:r>
      <w:r>
        <w:rPr>
          <w:rFonts w:hint="default" w:ascii="宋体" w:hAnsi="宋体" w:eastAsia="宋体" w:cs="宋体"/>
          <w:color w:val="auto"/>
          <w:spacing w:val="-1"/>
          <w:sz w:val="21"/>
        </w:rPr>
        <w:t>程的主要施工</w:t>
      </w:r>
      <w:r>
        <w:rPr>
          <w:rFonts w:hint="default" w:ascii="宋体" w:hAnsi="宋体" w:eastAsia="宋体" w:cs="宋体"/>
          <w:color w:val="auto"/>
          <w:sz w:val="21"/>
        </w:rPr>
        <w:t>设备情况、拟配备本工程的试验和检测仪器设备情况、劳动力计划等；结合工程特点提出切</w:t>
      </w:r>
      <w:r>
        <w:rPr>
          <w:rFonts w:hint="default" w:ascii="宋体" w:hAnsi="宋体" w:eastAsia="宋体" w:cs="宋体"/>
          <w:color w:val="auto"/>
          <w:spacing w:val="-1"/>
          <w:sz w:val="21"/>
        </w:rPr>
        <w:t>实可行的工程</w:t>
      </w:r>
      <w:r>
        <w:rPr>
          <w:rFonts w:hint="default" w:ascii="宋体" w:hAnsi="宋体" w:eastAsia="宋体" w:cs="宋体"/>
          <w:color w:val="auto"/>
          <w:sz w:val="21"/>
        </w:rPr>
        <w:t>质量、安全生产、文明施工、工程进度、技术组织措施，同时应对关键工序、复杂环节重点</w:t>
      </w:r>
      <w:r>
        <w:rPr>
          <w:rFonts w:hint="default" w:ascii="宋体" w:hAnsi="宋体" w:eastAsia="宋体" w:cs="宋体"/>
          <w:color w:val="auto"/>
          <w:spacing w:val="-1"/>
          <w:sz w:val="21"/>
        </w:rPr>
        <w:t>提出相应技术</w:t>
      </w:r>
      <w:r>
        <w:rPr>
          <w:rFonts w:hint="default" w:ascii="宋体" w:hAnsi="宋体" w:eastAsia="宋体" w:cs="宋体"/>
          <w:color w:val="auto"/>
          <w:sz w:val="21"/>
        </w:rPr>
        <w:t>措施，如冬雨季施工技术、减少噪音、降低环境污染、地下管线及其他地上地下设施的保护加固措施等。</w:t>
      </w:r>
    </w:p>
    <w:p>
      <w:pPr>
        <w:autoSpaceDE w:val="0"/>
        <w:autoSpaceDN w:val="0"/>
        <w:snapToGrid w:val="0"/>
        <w:spacing w:before="158" w:after="0" w:line="240" w:lineRule="auto"/>
        <w:ind w:left="420" w:right="0" w:firstLine="0"/>
        <w:jc w:val="left"/>
        <w:textAlignment w:val="auto"/>
        <w:rPr>
          <w:rFonts w:hint="default" w:ascii="宋体" w:hAnsi="宋体" w:eastAsia="宋体" w:cs="宋体"/>
          <w:color w:val="auto"/>
          <w:sz w:val="21"/>
        </w:rPr>
      </w:pPr>
      <w:r>
        <w:rPr>
          <w:rFonts w:hint="default" w:ascii="Times New Roman" w:hAnsi="Times New Roman" w:eastAsia="Times New Roman" w:cs="Times New Roman"/>
          <w:color w:val="auto"/>
          <w:sz w:val="21"/>
        </w:rPr>
        <w:t>2</w:t>
      </w:r>
      <w:r>
        <w:rPr>
          <w:rFonts w:hint="default" w:ascii="宋体" w:hAnsi="宋体" w:eastAsia="宋体" w:cs="宋体"/>
          <w:color w:val="auto"/>
          <w:sz w:val="21"/>
        </w:rPr>
        <w:t>．施工组织设计除采用文字表述外可附下列图表，图表及格式要求附后。</w:t>
      </w:r>
    </w:p>
    <w:p>
      <w:pPr>
        <w:autoSpaceDE w:val="0"/>
        <w:autoSpaceDN w:val="0"/>
        <w:snapToGrid w:val="0"/>
        <w:spacing w:before="205" w:after="0" w:line="263" w:lineRule="exact"/>
        <w:ind w:left="420" w:right="0" w:firstLine="0"/>
        <w:jc w:val="left"/>
        <w:textAlignment w:val="auto"/>
        <w:rPr>
          <w:rFonts w:hint="default" w:ascii="宋体" w:hAnsi="宋体" w:eastAsia="宋体" w:cs="宋体"/>
          <w:color w:val="auto"/>
          <w:sz w:val="21"/>
        </w:rPr>
      </w:pPr>
      <w:bookmarkStart w:id="216" w:name="_Toc3296_WPSOffice_Level2"/>
      <w:bookmarkStart w:id="217" w:name="_Toc19209_WPSOffice_Level2"/>
      <w:bookmarkStart w:id="218" w:name="_Toc556_WPSOffice_Level2"/>
      <w:r>
        <w:rPr>
          <w:rFonts w:hint="default" w:ascii="宋体" w:hAnsi="宋体" w:eastAsia="宋体" w:cs="宋体"/>
          <w:color w:val="auto"/>
          <w:sz w:val="21"/>
        </w:rPr>
        <w:t>附表一</w:t>
      </w:r>
      <w:r>
        <w:rPr>
          <w:rFonts w:hint="default" w:ascii="宋体" w:hAnsi="宋体" w:eastAsia="宋体" w:cs="宋体"/>
          <w:color w:val="auto"/>
          <w:spacing w:val="53"/>
          <w:sz w:val="21"/>
        </w:rPr>
        <w:t xml:space="preserve"> </w:t>
      </w:r>
      <w:r>
        <w:rPr>
          <w:rFonts w:hint="default" w:ascii="宋体" w:hAnsi="宋体" w:eastAsia="宋体" w:cs="宋体"/>
          <w:color w:val="auto"/>
          <w:sz w:val="21"/>
        </w:rPr>
        <w:t>拟投入本工程的主要施工设备表</w:t>
      </w:r>
      <w:bookmarkEnd w:id="216"/>
      <w:bookmarkEnd w:id="217"/>
      <w:bookmarkEnd w:id="218"/>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19" w:name="_Toc31477_WPSOffice_Level2"/>
      <w:bookmarkStart w:id="220" w:name="_Toc25290_WPSOffice_Level2"/>
      <w:bookmarkStart w:id="221" w:name="_Toc21904_WPSOffice_Level2"/>
      <w:r>
        <w:rPr>
          <w:rFonts w:hint="default" w:ascii="宋体" w:hAnsi="宋体" w:eastAsia="宋体" w:cs="宋体"/>
          <w:color w:val="auto"/>
          <w:sz w:val="21"/>
        </w:rPr>
        <w:t>附表二</w:t>
      </w:r>
      <w:r>
        <w:rPr>
          <w:rFonts w:hint="default" w:ascii="宋体" w:hAnsi="宋体" w:eastAsia="宋体" w:cs="宋体"/>
          <w:color w:val="auto"/>
          <w:spacing w:val="53"/>
          <w:sz w:val="21"/>
        </w:rPr>
        <w:t xml:space="preserve"> </w:t>
      </w:r>
      <w:r>
        <w:rPr>
          <w:rFonts w:hint="default" w:ascii="宋体" w:hAnsi="宋体" w:eastAsia="宋体" w:cs="宋体"/>
          <w:color w:val="auto"/>
          <w:sz w:val="21"/>
        </w:rPr>
        <w:t>拟配备本工程的试验和检测仪器设备表</w:t>
      </w:r>
      <w:bookmarkEnd w:id="219"/>
      <w:bookmarkEnd w:id="220"/>
      <w:bookmarkEnd w:id="221"/>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22" w:name="_Toc22_WPSOffice_Level2"/>
      <w:bookmarkStart w:id="223" w:name="_Toc17247_WPSOffice_Level2"/>
      <w:bookmarkStart w:id="224" w:name="_Toc28476_WPSOffice_Level2"/>
      <w:r>
        <w:rPr>
          <w:rFonts w:hint="default" w:ascii="宋体" w:hAnsi="宋体" w:eastAsia="宋体" w:cs="宋体"/>
          <w:color w:val="auto"/>
          <w:sz w:val="21"/>
        </w:rPr>
        <w:t>附表三</w:t>
      </w:r>
      <w:r>
        <w:rPr>
          <w:rFonts w:hint="default" w:ascii="宋体" w:hAnsi="宋体" w:eastAsia="宋体" w:cs="宋体"/>
          <w:color w:val="auto"/>
          <w:spacing w:val="53"/>
          <w:sz w:val="21"/>
        </w:rPr>
        <w:t xml:space="preserve"> </w:t>
      </w:r>
      <w:r>
        <w:rPr>
          <w:rFonts w:hint="default" w:ascii="宋体" w:hAnsi="宋体" w:eastAsia="宋体" w:cs="宋体"/>
          <w:color w:val="auto"/>
          <w:sz w:val="21"/>
        </w:rPr>
        <w:t>劳动力计划表</w:t>
      </w:r>
      <w:bookmarkEnd w:id="222"/>
      <w:bookmarkEnd w:id="223"/>
      <w:bookmarkEnd w:id="224"/>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25" w:name="_Toc27071_WPSOffice_Level2"/>
      <w:bookmarkStart w:id="226" w:name="_Toc25092_WPSOffice_Level2"/>
      <w:bookmarkStart w:id="227" w:name="_Toc30050_WPSOffice_Level2"/>
      <w:r>
        <w:rPr>
          <w:rFonts w:hint="default" w:ascii="宋体" w:hAnsi="宋体" w:eastAsia="宋体" w:cs="宋体"/>
          <w:color w:val="auto"/>
          <w:sz w:val="21"/>
        </w:rPr>
        <w:t>附表四</w:t>
      </w:r>
      <w:r>
        <w:rPr>
          <w:rFonts w:hint="default" w:ascii="宋体" w:hAnsi="宋体" w:eastAsia="宋体" w:cs="宋体"/>
          <w:color w:val="auto"/>
          <w:spacing w:val="53"/>
          <w:sz w:val="21"/>
        </w:rPr>
        <w:t xml:space="preserve"> </w:t>
      </w:r>
      <w:r>
        <w:rPr>
          <w:rFonts w:hint="default" w:ascii="宋体" w:hAnsi="宋体" w:eastAsia="宋体" w:cs="宋体"/>
          <w:color w:val="auto"/>
          <w:sz w:val="21"/>
        </w:rPr>
        <w:t>计划开、竣工日期和施工进度网络图</w:t>
      </w:r>
      <w:bookmarkEnd w:id="225"/>
      <w:bookmarkEnd w:id="226"/>
      <w:bookmarkEnd w:id="227"/>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28" w:name="_Toc31582_WPSOffice_Level2"/>
      <w:bookmarkStart w:id="229" w:name="_Toc11733_WPSOffice_Level2"/>
      <w:bookmarkStart w:id="230" w:name="_Toc32084_WPSOffice_Level2"/>
      <w:r>
        <w:rPr>
          <w:rFonts w:hint="default" w:ascii="宋体" w:hAnsi="宋体" w:eastAsia="宋体" w:cs="宋体"/>
          <w:color w:val="auto"/>
          <w:sz w:val="21"/>
        </w:rPr>
        <w:t>附表五</w:t>
      </w:r>
      <w:r>
        <w:rPr>
          <w:rFonts w:hint="default" w:ascii="宋体" w:hAnsi="宋体" w:eastAsia="宋体" w:cs="宋体"/>
          <w:color w:val="auto"/>
          <w:spacing w:val="53"/>
          <w:sz w:val="21"/>
        </w:rPr>
        <w:t xml:space="preserve"> </w:t>
      </w:r>
      <w:r>
        <w:rPr>
          <w:rFonts w:hint="default" w:ascii="宋体" w:hAnsi="宋体" w:eastAsia="宋体" w:cs="宋体"/>
          <w:color w:val="auto"/>
          <w:sz w:val="21"/>
        </w:rPr>
        <w:t>施工总平面图</w:t>
      </w:r>
      <w:bookmarkEnd w:id="228"/>
      <w:bookmarkEnd w:id="229"/>
      <w:bookmarkEnd w:id="230"/>
    </w:p>
    <w:p>
      <w:pPr>
        <w:autoSpaceDE w:val="0"/>
        <w:autoSpaceDN w:val="0"/>
        <w:snapToGrid w:val="0"/>
        <w:spacing w:before="198" w:after="0" w:line="263" w:lineRule="exact"/>
        <w:ind w:left="420" w:right="0" w:firstLine="0"/>
        <w:jc w:val="left"/>
        <w:textAlignment w:val="auto"/>
        <w:rPr>
          <w:rFonts w:hint="default" w:ascii="宋体" w:hAnsi="宋体" w:eastAsia="宋体" w:cs="宋体"/>
          <w:color w:val="auto"/>
          <w:sz w:val="21"/>
        </w:rPr>
      </w:pPr>
      <w:bookmarkStart w:id="231" w:name="_Toc6835_WPSOffice_Level2"/>
      <w:bookmarkStart w:id="232" w:name="_Toc28026_WPSOffice_Level2"/>
      <w:bookmarkStart w:id="233" w:name="_Toc22612_WPSOffice_Level2"/>
      <w:r>
        <w:rPr>
          <w:rFonts w:hint="default" w:ascii="宋体" w:hAnsi="宋体" w:eastAsia="宋体" w:cs="宋体"/>
          <w:color w:val="auto"/>
          <w:sz w:val="21"/>
        </w:rPr>
        <w:t>附表六</w:t>
      </w:r>
      <w:r>
        <w:rPr>
          <w:rFonts w:hint="default" w:ascii="宋体" w:hAnsi="宋体" w:eastAsia="宋体" w:cs="宋体"/>
          <w:color w:val="auto"/>
          <w:spacing w:val="53"/>
          <w:sz w:val="21"/>
        </w:rPr>
        <w:t xml:space="preserve"> </w:t>
      </w:r>
      <w:r>
        <w:rPr>
          <w:rFonts w:hint="default" w:ascii="宋体" w:hAnsi="宋体" w:eastAsia="宋体" w:cs="宋体"/>
          <w:color w:val="auto"/>
          <w:sz w:val="21"/>
        </w:rPr>
        <w:t>临时用地表</w:t>
      </w:r>
      <w:bookmarkEnd w:id="231"/>
      <w:bookmarkEnd w:id="232"/>
      <w:bookmarkEnd w:id="233"/>
    </w:p>
    <w:p>
      <w:pPr>
        <w:autoSpaceDE w:val="0"/>
        <w:autoSpaceDN w:val="0"/>
        <w:snapToGrid w:val="0"/>
        <w:spacing w:before="503" w:after="7" w:line="263" w:lineRule="exact"/>
        <w:ind w:left="0" w:right="0" w:firstLine="0"/>
        <w:jc w:val="left"/>
        <w:textAlignment w:val="auto"/>
        <w:rPr>
          <w:rFonts w:hint="default" w:ascii="宋体" w:hAnsi="宋体" w:eastAsia="宋体" w:cs="宋体"/>
          <w:color w:val="auto"/>
          <w:sz w:val="21"/>
        </w:rPr>
      </w:pPr>
      <w:bookmarkStart w:id="234" w:name="_Toc24434_WPSOffice_Level2"/>
      <w:bookmarkStart w:id="235" w:name="_Toc25324_WPSOffice_Level2"/>
      <w:bookmarkStart w:id="236" w:name="_Toc7395_WPSOffice_Level2"/>
      <w:r>
        <w:rPr>
          <w:rFonts w:hint="default" w:ascii="宋体" w:hAnsi="宋体" w:eastAsia="宋体" w:cs="宋体"/>
          <w:color w:val="auto"/>
          <w:sz w:val="21"/>
        </w:rPr>
        <w:t>附表一：拟投入本工程的主要施工设备表</w:t>
      </w:r>
      <w:bookmarkEnd w:id="234"/>
      <w:bookmarkEnd w:id="235"/>
      <w:bookmarkEnd w:id="236"/>
    </w:p>
    <w:tbl>
      <w:tblPr>
        <w:tblStyle w:val="6"/>
        <w:tblW w:w="9355"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851"/>
        <w:gridCol w:w="1134"/>
        <w:gridCol w:w="992"/>
        <w:gridCol w:w="1134"/>
        <w:gridCol w:w="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27" w:hRule="exact"/>
        </w:trPr>
        <w:tc>
          <w:tcPr>
            <w:tcW w:w="758" w:type="dxa"/>
            <w:vAlign w:val="top"/>
          </w:tcPr>
          <w:p>
            <w:pPr>
              <w:autoSpaceDE w:val="0"/>
              <w:autoSpaceDN w:val="0"/>
              <w:snapToGrid w:val="0"/>
              <w:spacing w:before="326" w:after="0" w:line="263" w:lineRule="exact"/>
              <w:ind w:left="1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1226" w:type="dxa"/>
            <w:vAlign w:val="top"/>
          </w:tcPr>
          <w:p>
            <w:pPr>
              <w:autoSpaceDE w:val="0"/>
              <w:autoSpaceDN w:val="0"/>
              <w:snapToGrid w:val="0"/>
              <w:spacing w:before="326"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设备名称</w:t>
            </w:r>
          </w:p>
        </w:tc>
        <w:tc>
          <w:tcPr>
            <w:tcW w:w="851" w:type="dxa"/>
            <w:vAlign w:val="top"/>
          </w:tcPr>
          <w:p>
            <w:pPr>
              <w:autoSpaceDE w:val="0"/>
              <w:autoSpaceDN w:val="0"/>
              <w:snapToGrid w:val="0"/>
              <w:spacing w:before="189"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型号</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规格</w:t>
            </w:r>
          </w:p>
        </w:tc>
        <w:tc>
          <w:tcPr>
            <w:tcW w:w="708" w:type="dxa"/>
            <w:vAlign w:val="top"/>
          </w:tcPr>
          <w:p>
            <w:pPr>
              <w:autoSpaceDE w:val="0"/>
              <w:autoSpaceDN w:val="0"/>
              <w:snapToGrid w:val="0"/>
              <w:spacing w:before="326"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数量</w:t>
            </w:r>
          </w:p>
        </w:tc>
        <w:tc>
          <w:tcPr>
            <w:tcW w:w="709" w:type="dxa"/>
            <w:vAlign w:val="top"/>
          </w:tcPr>
          <w:p>
            <w:pPr>
              <w:autoSpaceDE w:val="0"/>
              <w:autoSpaceDN w:val="0"/>
              <w:snapToGrid w:val="0"/>
              <w:spacing w:before="189"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国别</w:t>
            </w:r>
          </w:p>
          <w:p>
            <w:pPr>
              <w:autoSpaceDE w:val="0"/>
              <w:autoSpaceDN w:val="0"/>
              <w:snapToGrid w:val="0"/>
              <w:spacing w:before="10"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产地</w:t>
            </w:r>
          </w:p>
        </w:tc>
        <w:tc>
          <w:tcPr>
            <w:tcW w:w="851" w:type="dxa"/>
            <w:vAlign w:val="top"/>
          </w:tcPr>
          <w:p>
            <w:pPr>
              <w:autoSpaceDE w:val="0"/>
              <w:autoSpaceDN w:val="0"/>
              <w:snapToGrid w:val="0"/>
              <w:spacing w:before="189"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制造</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年份</w:t>
            </w:r>
          </w:p>
        </w:tc>
        <w:tc>
          <w:tcPr>
            <w:tcW w:w="1134" w:type="dxa"/>
            <w:vAlign w:val="top"/>
          </w:tcPr>
          <w:p>
            <w:pPr>
              <w:autoSpaceDE w:val="0"/>
              <w:autoSpaceDN w:val="0"/>
              <w:snapToGrid w:val="0"/>
              <w:spacing w:before="189" w:after="0" w:line="263" w:lineRule="exact"/>
              <w:ind w:left="14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额定功率</w:t>
            </w:r>
          </w:p>
          <w:p>
            <w:pPr>
              <w:autoSpaceDE w:val="0"/>
              <w:autoSpaceDN w:val="0"/>
              <w:snapToGrid w:val="0"/>
              <w:spacing w:before="10"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w:t>
            </w:r>
            <w:r>
              <w:rPr>
                <w:rFonts w:hint="default" w:ascii="Times New Roman" w:hAnsi="Times New Roman" w:eastAsia="Times New Roman" w:cs="Times New Roman"/>
                <w:color w:val="auto"/>
                <w:sz w:val="21"/>
              </w:rPr>
              <w:t>KW</w:t>
            </w:r>
            <w:r>
              <w:rPr>
                <w:rFonts w:hint="default" w:ascii="宋体" w:hAnsi="宋体" w:eastAsia="宋体" w:cs="宋体"/>
                <w:color w:val="auto"/>
                <w:sz w:val="21"/>
              </w:rPr>
              <w:t>）</w:t>
            </w:r>
          </w:p>
        </w:tc>
        <w:tc>
          <w:tcPr>
            <w:tcW w:w="992" w:type="dxa"/>
            <w:vAlign w:val="top"/>
          </w:tcPr>
          <w:p>
            <w:pPr>
              <w:autoSpaceDE w:val="0"/>
              <w:autoSpaceDN w:val="0"/>
              <w:snapToGrid w:val="0"/>
              <w:spacing w:before="189"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生产</w:t>
            </w:r>
          </w:p>
          <w:p>
            <w:pPr>
              <w:autoSpaceDE w:val="0"/>
              <w:autoSpaceDN w:val="0"/>
              <w:snapToGrid w:val="0"/>
              <w:spacing w:before="10"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能力</w:t>
            </w:r>
          </w:p>
        </w:tc>
        <w:tc>
          <w:tcPr>
            <w:tcW w:w="1134" w:type="dxa"/>
            <w:vAlign w:val="top"/>
          </w:tcPr>
          <w:p>
            <w:pPr>
              <w:autoSpaceDE w:val="0"/>
              <w:autoSpaceDN w:val="0"/>
              <w:snapToGrid w:val="0"/>
              <w:spacing w:before="189"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用于施</w:t>
            </w:r>
          </w:p>
          <w:p>
            <w:pPr>
              <w:autoSpaceDE w:val="0"/>
              <w:autoSpaceDN w:val="0"/>
              <w:snapToGrid w:val="0"/>
              <w:spacing w:before="10" w:after="0" w:line="263" w:lineRule="exact"/>
              <w:ind w:left="24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工部位</w:t>
            </w:r>
          </w:p>
        </w:tc>
        <w:tc>
          <w:tcPr>
            <w:tcW w:w="992" w:type="dxa"/>
            <w:vAlign w:val="top"/>
          </w:tcPr>
          <w:p>
            <w:pPr>
              <w:autoSpaceDE w:val="0"/>
              <w:autoSpaceDN w:val="0"/>
              <w:snapToGrid w:val="0"/>
              <w:spacing w:before="326" w:after="0" w:line="263" w:lineRule="exact"/>
              <w:ind w:left="28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92"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486" w:after="7" w:line="263" w:lineRule="exact"/>
        <w:ind w:left="0" w:right="0" w:firstLine="0"/>
        <w:jc w:val="left"/>
        <w:textAlignment w:val="auto"/>
        <w:rPr>
          <w:rFonts w:hint="default" w:ascii="宋体" w:hAnsi="宋体" w:eastAsia="宋体" w:cs="宋体"/>
          <w:color w:val="auto"/>
          <w:sz w:val="21"/>
        </w:rPr>
      </w:pPr>
      <w:bookmarkStart w:id="237" w:name="_Toc25844_WPSOffice_Level2"/>
      <w:bookmarkStart w:id="238" w:name="_Toc7475_WPSOffice_Level2"/>
      <w:bookmarkStart w:id="239" w:name="_Toc22936_WPSOffice_Level2"/>
      <w:r>
        <w:rPr>
          <w:rFonts w:hint="default" w:ascii="宋体" w:hAnsi="宋体" w:eastAsia="宋体" w:cs="宋体"/>
          <w:color w:val="auto"/>
          <w:sz w:val="21"/>
        </w:rPr>
        <w:t>附表二：拟配备本工程的试验和检测仪器设备表</w:t>
      </w:r>
      <w:bookmarkEnd w:id="237"/>
      <w:bookmarkEnd w:id="238"/>
      <w:bookmarkEnd w:id="239"/>
    </w:p>
    <w:tbl>
      <w:tblPr>
        <w:tblStyle w:val="6"/>
        <w:tblW w:w="9355"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58"/>
        <w:gridCol w:w="1226"/>
        <w:gridCol w:w="851"/>
        <w:gridCol w:w="708"/>
        <w:gridCol w:w="709"/>
        <w:gridCol w:w="1134"/>
        <w:gridCol w:w="1276"/>
        <w:gridCol w:w="1134"/>
        <w:gridCol w:w="155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exact"/>
        </w:trPr>
        <w:tc>
          <w:tcPr>
            <w:tcW w:w="758" w:type="dxa"/>
            <w:vAlign w:val="top"/>
          </w:tcPr>
          <w:p>
            <w:pPr>
              <w:autoSpaceDE w:val="0"/>
              <w:autoSpaceDN w:val="0"/>
              <w:snapToGrid w:val="0"/>
              <w:spacing w:before="139" w:after="0" w:line="263" w:lineRule="exact"/>
              <w:ind w:left="1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序号</w:t>
            </w:r>
          </w:p>
        </w:tc>
        <w:tc>
          <w:tcPr>
            <w:tcW w:w="1226" w:type="dxa"/>
            <w:vAlign w:val="top"/>
          </w:tcPr>
          <w:p>
            <w:pPr>
              <w:autoSpaceDE w:val="0"/>
              <w:autoSpaceDN w:val="0"/>
              <w:snapToGrid w:val="0"/>
              <w:spacing w:before="3" w:after="0" w:line="263" w:lineRule="exact"/>
              <w:ind w:left="18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仪器设备</w:t>
            </w:r>
          </w:p>
          <w:p>
            <w:pPr>
              <w:autoSpaceDE w:val="0"/>
              <w:autoSpaceDN w:val="0"/>
              <w:snapToGrid w:val="0"/>
              <w:spacing w:before="10" w:after="0" w:line="263" w:lineRule="exact"/>
              <w:ind w:left="3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名称</w:t>
            </w:r>
          </w:p>
        </w:tc>
        <w:tc>
          <w:tcPr>
            <w:tcW w:w="851" w:type="dxa"/>
            <w:vAlign w:val="top"/>
          </w:tcPr>
          <w:p>
            <w:pPr>
              <w:autoSpaceDE w:val="0"/>
              <w:autoSpaceDN w:val="0"/>
              <w:snapToGrid w:val="0"/>
              <w:spacing w:before="3"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型号</w:t>
            </w:r>
          </w:p>
          <w:p>
            <w:pPr>
              <w:autoSpaceDE w:val="0"/>
              <w:autoSpaceDN w:val="0"/>
              <w:snapToGrid w:val="0"/>
              <w:spacing w:before="10" w:after="0" w:line="263" w:lineRule="exact"/>
              <w:ind w:left="2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规格</w:t>
            </w:r>
          </w:p>
        </w:tc>
        <w:tc>
          <w:tcPr>
            <w:tcW w:w="708" w:type="dxa"/>
            <w:vAlign w:val="top"/>
          </w:tcPr>
          <w:p>
            <w:pPr>
              <w:autoSpaceDE w:val="0"/>
              <w:autoSpaceDN w:val="0"/>
              <w:snapToGrid w:val="0"/>
              <w:spacing w:before="139"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数量</w:t>
            </w:r>
          </w:p>
        </w:tc>
        <w:tc>
          <w:tcPr>
            <w:tcW w:w="709" w:type="dxa"/>
            <w:vAlign w:val="top"/>
          </w:tcPr>
          <w:p>
            <w:pPr>
              <w:autoSpaceDE w:val="0"/>
              <w:autoSpaceDN w:val="0"/>
              <w:snapToGrid w:val="0"/>
              <w:spacing w:before="3"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国别</w:t>
            </w:r>
          </w:p>
          <w:p>
            <w:pPr>
              <w:autoSpaceDE w:val="0"/>
              <w:autoSpaceDN w:val="0"/>
              <w:snapToGrid w:val="0"/>
              <w:spacing w:before="10"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产地</w:t>
            </w:r>
          </w:p>
        </w:tc>
        <w:tc>
          <w:tcPr>
            <w:tcW w:w="1134" w:type="dxa"/>
            <w:vAlign w:val="top"/>
          </w:tcPr>
          <w:p>
            <w:pPr>
              <w:autoSpaceDE w:val="0"/>
              <w:autoSpaceDN w:val="0"/>
              <w:snapToGrid w:val="0"/>
              <w:spacing w:before="139" w:after="0" w:line="263" w:lineRule="exact"/>
              <w:ind w:left="14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制造年份</w:t>
            </w:r>
          </w:p>
        </w:tc>
        <w:tc>
          <w:tcPr>
            <w:tcW w:w="1276" w:type="dxa"/>
            <w:vAlign w:val="top"/>
          </w:tcPr>
          <w:p>
            <w:pPr>
              <w:autoSpaceDE w:val="0"/>
              <w:autoSpaceDN w:val="0"/>
              <w:snapToGrid w:val="0"/>
              <w:spacing w:before="3" w:after="0" w:line="263" w:lineRule="exact"/>
              <w:ind w:left="31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已使用</w:t>
            </w:r>
          </w:p>
          <w:p>
            <w:pPr>
              <w:autoSpaceDE w:val="0"/>
              <w:autoSpaceDN w:val="0"/>
              <w:snapToGrid w:val="0"/>
              <w:spacing w:before="10" w:after="0" w:line="263" w:lineRule="exact"/>
              <w:ind w:left="31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台时数</w:t>
            </w:r>
          </w:p>
        </w:tc>
        <w:tc>
          <w:tcPr>
            <w:tcW w:w="1134" w:type="dxa"/>
            <w:vAlign w:val="top"/>
          </w:tcPr>
          <w:p>
            <w:pPr>
              <w:autoSpaceDE w:val="0"/>
              <w:autoSpaceDN w:val="0"/>
              <w:snapToGrid w:val="0"/>
              <w:spacing w:before="139" w:after="0" w:line="263" w:lineRule="exact"/>
              <w:ind w:left="35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用途</w:t>
            </w:r>
          </w:p>
        </w:tc>
        <w:tc>
          <w:tcPr>
            <w:tcW w:w="1559" w:type="dxa"/>
            <w:vAlign w:val="top"/>
          </w:tcPr>
          <w:p>
            <w:pPr>
              <w:autoSpaceDE w:val="0"/>
              <w:autoSpaceDN w:val="0"/>
              <w:snapToGrid w:val="0"/>
              <w:spacing w:before="139" w:after="0" w:line="263" w:lineRule="exact"/>
              <w:ind w:left="56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372" w:hRule="exact"/>
        </w:trPr>
        <w:tc>
          <w:tcPr>
            <w:tcW w:w="7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2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0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34"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5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rPr>
          <w:rFonts w:hint="default" w:ascii="宋体" w:hAnsi="宋体" w:eastAsia="宋体" w:cs="宋体"/>
          <w:color w:val="auto"/>
          <w:sz w:val="21"/>
        </w:rPr>
      </w:pPr>
      <w:r>
        <w:rPr>
          <w:rFonts w:hint="default" w:ascii="宋体" w:hAnsi="宋体" w:eastAsia="宋体" w:cs="宋体"/>
          <w:color w:val="auto"/>
          <w:sz w:val="21"/>
        </w:rPr>
        <w:br w:type="page"/>
      </w:r>
    </w:p>
    <w:p>
      <w:pPr>
        <w:autoSpaceDE w:val="0"/>
        <w:autoSpaceDN w:val="0"/>
        <w:snapToGrid w:val="0"/>
        <w:spacing w:before="969" w:after="0" w:line="263" w:lineRule="exact"/>
        <w:ind w:left="0" w:right="0" w:firstLine="0"/>
        <w:jc w:val="left"/>
        <w:textAlignment w:val="auto"/>
        <w:rPr>
          <w:rFonts w:hint="default" w:ascii="宋体" w:hAnsi="宋体" w:eastAsia="宋体" w:cs="宋体"/>
          <w:color w:val="auto"/>
          <w:sz w:val="21"/>
        </w:rPr>
      </w:pPr>
      <w:bookmarkStart w:id="240" w:name="_Toc25786_WPSOffice_Level2"/>
      <w:bookmarkStart w:id="241" w:name="_Toc8989_WPSOffice_Level2"/>
      <w:bookmarkStart w:id="242" w:name="_Toc14282_WPSOffice_Level2"/>
      <w:r>
        <w:rPr>
          <w:rFonts w:hint="default" w:ascii="宋体" w:hAnsi="宋体" w:eastAsia="宋体" w:cs="宋体"/>
          <w:color w:val="auto"/>
          <w:sz w:val="21"/>
        </w:rPr>
        <w:t>附表三：劳动力计划表</w:t>
      </w:r>
      <w:bookmarkEnd w:id="240"/>
      <w:bookmarkEnd w:id="241"/>
      <w:bookmarkEnd w:id="242"/>
    </w:p>
    <w:p>
      <w:pPr>
        <w:autoSpaceDE w:val="0"/>
        <w:autoSpaceDN w:val="0"/>
        <w:snapToGrid w:val="0"/>
        <w:spacing w:before="10" w:after="0" w:line="263" w:lineRule="exact"/>
        <w:ind w:left="766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单位：人</w:t>
      </w:r>
    </w:p>
    <w:tbl>
      <w:tblPr>
        <w:tblStyle w:val="6"/>
        <w:tblW w:w="9359" w:type="dxa"/>
        <w:tblInd w:w="2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53"/>
        <w:gridCol w:w="961"/>
        <w:gridCol w:w="1257"/>
        <w:gridCol w:w="1258"/>
        <w:gridCol w:w="1257"/>
        <w:gridCol w:w="1258"/>
        <w:gridCol w:w="1257"/>
        <w:gridCol w:w="12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19" w:hRule="exact"/>
        </w:trPr>
        <w:tc>
          <w:tcPr>
            <w:tcW w:w="853" w:type="dxa"/>
            <w:vAlign w:val="top"/>
          </w:tcPr>
          <w:p>
            <w:pPr>
              <w:autoSpaceDE w:val="0"/>
              <w:autoSpaceDN w:val="0"/>
              <w:snapToGrid w:val="0"/>
              <w:spacing w:before="3" w:after="0" w:line="263" w:lineRule="exact"/>
              <w:ind w:left="21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工种</w:t>
            </w:r>
          </w:p>
        </w:tc>
        <w:tc>
          <w:tcPr>
            <w:tcW w:w="8506" w:type="dxa"/>
            <w:gridSpan w:val="7"/>
            <w:vAlign w:val="top"/>
          </w:tcPr>
          <w:p>
            <w:pPr>
              <w:autoSpaceDE w:val="0"/>
              <w:autoSpaceDN w:val="0"/>
              <w:snapToGrid w:val="0"/>
              <w:spacing w:before="3" w:after="0" w:line="263" w:lineRule="exact"/>
              <w:ind w:left="277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按工程施工阶段投入劳动力情况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72" w:hRule="exact"/>
        </w:trPr>
        <w:tc>
          <w:tcPr>
            <w:tcW w:w="85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961"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5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486" w:after="0" w:line="263" w:lineRule="exact"/>
        <w:ind w:left="6" w:right="0" w:firstLine="0"/>
        <w:jc w:val="left"/>
        <w:textAlignment w:val="auto"/>
        <w:rPr>
          <w:rFonts w:hint="default" w:ascii="宋体" w:hAnsi="宋体" w:eastAsia="宋体" w:cs="宋体"/>
          <w:color w:val="auto"/>
          <w:sz w:val="21"/>
        </w:rPr>
      </w:pPr>
      <w:bookmarkStart w:id="243" w:name="_Toc11087_WPSOffice_Level2"/>
      <w:bookmarkStart w:id="244" w:name="_Toc14693_WPSOffice_Level2"/>
      <w:bookmarkStart w:id="245" w:name="_Toc6272_WPSOffice_Level2"/>
      <w:r>
        <w:rPr>
          <w:rFonts w:hint="default" w:ascii="宋体" w:hAnsi="宋体" w:eastAsia="宋体" w:cs="宋体"/>
          <w:color w:val="auto"/>
          <w:sz w:val="21"/>
        </w:rPr>
        <w:t>附表四：计划开、竣工日期和施工进度计划（网络图或横道图）</w:t>
      </w:r>
      <w:bookmarkEnd w:id="243"/>
      <w:bookmarkEnd w:id="244"/>
      <w:bookmarkEnd w:id="245"/>
    </w:p>
    <w:p>
      <w:pPr>
        <w:numPr>
          <w:ilvl w:val="0"/>
          <w:numId w:val="104"/>
        </w:numPr>
        <w:autoSpaceDE w:val="0"/>
        <w:autoSpaceDN w:val="0"/>
        <w:snapToGrid w:val="0"/>
        <w:spacing w:before="7" w:after="0" w:line="460"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投标人应提交</w:t>
      </w:r>
      <w:r>
        <w:rPr>
          <w:rFonts w:hint="default" w:ascii="宋体" w:hAnsi="宋体" w:eastAsia="宋体" w:cs="宋体"/>
          <w:color w:val="auto"/>
          <w:sz w:val="21"/>
        </w:rPr>
        <w:t>施工进度计划，说明按招标文件要求的工期进行施工的各个关键日期。中标的投标人还应按合同条件有关条款的要求提交详细的施工进度计划。</w:t>
      </w:r>
    </w:p>
    <w:p>
      <w:pPr>
        <w:numPr>
          <w:ilvl w:val="0"/>
          <w:numId w:val="104"/>
        </w:numPr>
        <w:autoSpaceDE w:val="0"/>
        <w:autoSpaceDN w:val="0"/>
        <w:snapToGrid w:val="0"/>
        <w:spacing w:before="0" w:after="0" w:line="460" w:lineRule="exact"/>
        <w:ind w:left="0" w:right="0" w:firstLine="420"/>
        <w:jc w:val="both"/>
        <w:textAlignment w:val="auto"/>
        <w:rPr>
          <w:rFonts w:hint="default" w:ascii="Times New Roman" w:hAnsi="Times New Roman" w:eastAsia="Times New Roman" w:cs="Times New Roman"/>
          <w:color w:val="auto"/>
          <w:sz w:val="21"/>
        </w:rPr>
      </w:pPr>
      <w:r>
        <w:rPr>
          <w:rFonts w:hint="default" w:ascii="宋体" w:hAnsi="宋体" w:eastAsia="宋体" w:cs="宋体"/>
          <w:color w:val="auto"/>
          <w:spacing w:val="-1"/>
          <w:sz w:val="21"/>
        </w:rPr>
        <w:t>施工进度计划</w:t>
      </w:r>
      <w:r>
        <w:rPr>
          <w:rFonts w:hint="default" w:ascii="宋体" w:hAnsi="宋体" w:eastAsia="宋体" w:cs="宋体"/>
          <w:color w:val="auto"/>
          <w:sz w:val="21"/>
        </w:rPr>
        <w:t>可采用网络图（或横道图）表示，说明计划开工日期和各分项工程各阶段的完工日期和分包合同签订的日期。</w:t>
      </w:r>
    </w:p>
    <w:p>
      <w:pPr>
        <w:numPr>
          <w:ilvl w:val="0"/>
          <w:numId w:val="97"/>
        </w:numPr>
        <w:autoSpaceDE w:val="0"/>
        <w:autoSpaceDN w:val="0"/>
        <w:snapToGrid w:val="0"/>
        <w:spacing w:before="158" w:after="0" w:line="240" w:lineRule="auto"/>
        <w:ind w:left="683" w:right="0" w:hanging="263"/>
        <w:jc w:val="left"/>
        <w:textAlignment w:val="auto"/>
        <w:rPr>
          <w:rFonts w:hint="default" w:ascii="Times New Roman" w:hAnsi="Times New Roman" w:eastAsia="Times New Roman" w:cs="Times New Roman"/>
          <w:color w:val="auto"/>
          <w:sz w:val="21"/>
        </w:rPr>
      </w:pPr>
      <w:r>
        <w:rPr>
          <w:rFonts w:hint="default" w:ascii="宋体" w:hAnsi="宋体" w:eastAsia="宋体" w:cs="宋体"/>
          <w:color w:val="auto"/>
          <w:sz w:val="21"/>
        </w:rPr>
        <w:t>施工进度计划应与施工组织设计相适应。</w:t>
      </w:r>
    </w:p>
    <w:p>
      <w:pPr>
        <w:autoSpaceDE w:val="0"/>
        <w:autoSpaceDN w:val="0"/>
        <w:snapToGrid w:val="0"/>
        <w:spacing w:before="654" w:after="0" w:line="263" w:lineRule="exact"/>
        <w:ind w:left="6" w:right="0" w:firstLine="0"/>
        <w:jc w:val="left"/>
        <w:textAlignment w:val="auto"/>
        <w:rPr>
          <w:rFonts w:hint="default" w:ascii="宋体" w:hAnsi="宋体" w:eastAsia="宋体" w:cs="宋体"/>
          <w:color w:val="auto"/>
          <w:sz w:val="21"/>
        </w:rPr>
      </w:pPr>
      <w:bookmarkStart w:id="246" w:name="_Toc21966_WPSOffice_Level2"/>
      <w:bookmarkStart w:id="247" w:name="_Toc6570_WPSOffice_Level2"/>
      <w:bookmarkStart w:id="248" w:name="_Toc31080_WPSOffice_Level2"/>
      <w:r>
        <w:rPr>
          <w:rFonts w:hint="default" w:ascii="宋体" w:hAnsi="宋体" w:eastAsia="宋体" w:cs="宋体"/>
          <w:color w:val="auto"/>
          <w:sz w:val="21"/>
        </w:rPr>
        <w:t>附表五：施工总平面图</w:t>
      </w:r>
      <w:bookmarkEnd w:id="246"/>
      <w:bookmarkEnd w:id="247"/>
      <w:bookmarkEnd w:id="248"/>
    </w:p>
    <w:p>
      <w:pPr>
        <w:autoSpaceDE w:val="0"/>
        <w:autoSpaceDN w:val="0"/>
        <w:snapToGrid w:val="0"/>
        <w:spacing w:before="7" w:after="0" w:line="460" w:lineRule="exact"/>
        <w:ind w:left="0" w:right="87" w:firstLine="426"/>
        <w:jc w:val="both"/>
        <w:textAlignment w:val="auto"/>
        <w:rPr>
          <w:rFonts w:hint="default" w:ascii="宋体" w:hAnsi="宋体" w:eastAsia="宋体" w:cs="宋体"/>
          <w:color w:val="auto"/>
          <w:sz w:val="21"/>
        </w:rPr>
      </w:pPr>
      <w:r>
        <w:rPr>
          <w:rFonts w:hint="default" w:ascii="宋体" w:hAnsi="宋体" w:eastAsia="宋体" w:cs="宋体"/>
          <w:color w:val="auto"/>
          <w:spacing w:val="-1"/>
          <w:sz w:val="21"/>
        </w:rPr>
        <w:t>投标人应递交</w:t>
      </w:r>
      <w:r>
        <w:rPr>
          <w:rFonts w:hint="default" w:ascii="宋体" w:hAnsi="宋体" w:eastAsia="宋体" w:cs="宋体"/>
          <w:color w:val="auto"/>
          <w:sz w:val="21"/>
        </w:rPr>
        <w:t>一份施工总平面图，绘出现场临时设施布置图表并附文字说明，说明临时设施、加工车间、现场办公、设备及仓储、供电、供水、卫生、生活、道路、消防等设施的情况和布置。</w:t>
      </w:r>
    </w:p>
    <w:p>
      <w:pPr>
        <w:autoSpaceDE w:val="0"/>
        <w:autoSpaceDN w:val="0"/>
        <w:snapToGrid w:val="0"/>
        <w:spacing w:before="486" w:after="7" w:line="263" w:lineRule="exact"/>
        <w:ind w:left="6" w:right="0" w:firstLine="0"/>
        <w:jc w:val="left"/>
        <w:textAlignment w:val="auto"/>
        <w:rPr>
          <w:rFonts w:hint="default" w:ascii="宋体" w:hAnsi="宋体" w:eastAsia="宋体" w:cs="宋体"/>
          <w:color w:val="auto"/>
          <w:sz w:val="21"/>
        </w:rPr>
      </w:pPr>
      <w:bookmarkStart w:id="249" w:name="_Toc3915_WPSOffice_Level2"/>
      <w:bookmarkStart w:id="250" w:name="_Toc27887_WPSOffice_Level2"/>
      <w:bookmarkStart w:id="251" w:name="_Toc23618_WPSOffice_Level2"/>
      <w:r>
        <w:rPr>
          <w:rFonts w:hint="default" w:ascii="宋体" w:hAnsi="宋体" w:eastAsia="宋体" w:cs="宋体"/>
          <w:color w:val="auto"/>
          <w:sz w:val="21"/>
        </w:rPr>
        <w:t>附表六：临时用地表</w:t>
      </w:r>
      <w:bookmarkEnd w:id="249"/>
      <w:bookmarkEnd w:id="250"/>
      <w:bookmarkEnd w:id="251"/>
    </w:p>
    <w:tbl>
      <w:tblPr>
        <w:tblStyle w:val="6"/>
        <w:tblW w:w="9426" w:type="dxa"/>
        <w:tblInd w:w="16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356"/>
        <w:gridCol w:w="2356"/>
        <w:gridCol w:w="2357"/>
        <w:gridCol w:w="235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23" w:hRule="exact"/>
        </w:trPr>
        <w:tc>
          <w:tcPr>
            <w:tcW w:w="2356" w:type="dxa"/>
            <w:vAlign w:val="top"/>
          </w:tcPr>
          <w:p>
            <w:pPr>
              <w:autoSpaceDE w:val="0"/>
              <w:autoSpaceDN w:val="0"/>
              <w:snapToGrid w:val="0"/>
              <w:spacing w:before="174" w:after="0" w:line="263" w:lineRule="exact"/>
              <w:ind w:left="96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用途</w:t>
            </w:r>
          </w:p>
        </w:tc>
        <w:tc>
          <w:tcPr>
            <w:tcW w:w="2356" w:type="dxa"/>
            <w:vAlign w:val="top"/>
          </w:tcPr>
          <w:p>
            <w:pPr>
              <w:autoSpaceDE w:val="0"/>
              <w:autoSpaceDN w:val="0"/>
              <w:snapToGrid w:val="0"/>
              <w:spacing w:before="174" w:after="0" w:line="263" w:lineRule="exact"/>
              <w:ind w:left="43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面积（平方米）</w:t>
            </w:r>
          </w:p>
        </w:tc>
        <w:tc>
          <w:tcPr>
            <w:tcW w:w="2357" w:type="dxa"/>
            <w:vAlign w:val="top"/>
          </w:tcPr>
          <w:p>
            <w:pPr>
              <w:autoSpaceDE w:val="0"/>
              <w:autoSpaceDN w:val="0"/>
              <w:snapToGrid w:val="0"/>
              <w:spacing w:before="174" w:after="0" w:line="263" w:lineRule="exact"/>
              <w:ind w:left="96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位置</w:t>
            </w:r>
          </w:p>
        </w:tc>
        <w:tc>
          <w:tcPr>
            <w:tcW w:w="2357" w:type="dxa"/>
            <w:vAlign w:val="top"/>
          </w:tcPr>
          <w:p>
            <w:pPr>
              <w:autoSpaceDE w:val="0"/>
              <w:autoSpaceDN w:val="0"/>
              <w:snapToGrid w:val="0"/>
              <w:spacing w:before="174" w:after="0" w:line="263" w:lineRule="exact"/>
              <w:ind w:left="75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需用时间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4"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23" w:hRule="exact"/>
        </w:trPr>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35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rPr>
          <w:rFonts w:hint="default" w:ascii="宋体" w:hAnsi="宋体" w:eastAsia="宋体" w:cs="宋体"/>
          <w:b/>
          <w:color w:val="auto"/>
        </w:rPr>
      </w:pPr>
      <w:r>
        <w:rPr>
          <w:rFonts w:hint="default" w:ascii="宋体" w:hAnsi="宋体" w:eastAsia="宋体" w:cs="宋体"/>
          <w:b/>
          <w:color w:val="auto"/>
        </w:rPr>
        <w:br w:type="page"/>
      </w:r>
    </w:p>
    <w:p>
      <w:pPr>
        <w:autoSpaceDE w:val="0"/>
        <w:autoSpaceDN w:val="0"/>
        <w:snapToGrid w:val="0"/>
        <w:spacing w:before="0" w:after="329" w:line="300" w:lineRule="exact"/>
        <w:ind w:left="3487" w:right="0" w:firstLine="0"/>
        <w:jc w:val="left"/>
        <w:textAlignment w:val="auto"/>
        <w:rPr>
          <w:rFonts w:hint="default" w:ascii="宋体" w:hAnsi="宋体" w:eastAsia="宋体" w:cs="宋体"/>
          <w:b/>
          <w:color w:val="auto"/>
        </w:rPr>
      </w:pPr>
      <w:bookmarkStart w:id="252" w:name="_Toc29090_WPSOffice_Level1"/>
      <w:bookmarkStart w:id="253" w:name="_Toc4774_WPSOffice_Level1"/>
      <w:bookmarkStart w:id="254" w:name="_Toc12191_WPSOffice_Level1"/>
      <w:r>
        <w:rPr>
          <w:rFonts w:hint="default" w:ascii="宋体" w:hAnsi="宋体" w:eastAsia="宋体" w:cs="宋体"/>
          <w:b/>
          <w:color w:val="auto"/>
        </w:rPr>
        <w:t>二、拟分包计划表</w:t>
      </w:r>
      <w:bookmarkEnd w:id="252"/>
      <w:bookmarkEnd w:id="253"/>
      <w:bookmarkEnd w:id="254"/>
    </w:p>
    <w:tbl>
      <w:tblPr>
        <w:tblStyle w:val="6"/>
        <w:tblW w:w="8789" w:type="dxa"/>
        <w:tblInd w:w="5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567"/>
        <w:gridCol w:w="1844"/>
        <w:gridCol w:w="751"/>
        <w:gridCol w:w="950"/>
        <w:gridCol w:w="1122"/>
        <w:gridCol w:w="1090"/>
        <w:gridCol w:w="1198"/>
        <w:gridCol w:w="126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restart"/>
            <w:vAlign w:val="top"/>
          </w:tcPr>
          <w:p>
            <w:pPr>
              <w:autoSpaceDE w:val="0"/>
              <w:autoSpaceDN w:val="0"/>
              <w:snapToGrid w:val="0"/>
              <w:spacing w:before="190" w:after="0" w:line="263" w:lineRule="exact"/>
              <w:ind w:left="17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序</w:t>
            </w:r>
          </w:p>
          <w:p>
            <w:pPr>
              <w:autoSpaceDE w:val="0"/>
              <w:autoSpaceDN w:val="0"/>
              <w:snapToGrid w:val="0"/>
              <w:spacing w:before="10" w:after="0" w:line="263" w:lineRule="exact"/>
              <w:ind w:left="174"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号</w:t>
            </w:r>
          </w:p>
        </w:tc>
        <w:tc>
          <w:tcPr>
            <w:tcW w:w="1844" w:type="dxa"/>
            <w:vMerge w:val="restart"/>
            <w:vAlign w:val="top"/>
          </w:tcPr>
          <w:p>
            <w:pPr>
              <w:autoSpaceDE w:val="0"/>
              <w:autoSpaceDN w:val="0"/>
              <w:snapToGrid w:val="0"/>
              <w:spacing w:before="182" w:after="0" w:line="272" w:lineRule="exact"/>
              <w:ind w:left="182" w:right="106" w:firstLine="105"/>
              <w:jc w:val="left"/>
              <w:textAlignment w:val="auto"/>
              <w:rPr>
                <w:rFonts w:hint="default" w:ascii="宋体" w:hAnsi="宋体" w:eastAsia="宋体" w:cs="宋体"/>
                <w:color w:val="auto"/>
                <w:sz w:val="21"/>
              </w:rPr>
            </w:pPr>
            <w:r>
              <w:rPr>
                <w:rFonts w:hint="default" w:ascii="宋体" w:hAnsi="宋体" w:eastAsia="宋体" w:cs="宋体"/>
                <w:color w:val="auto"/>
                <w:sz w:val="21"/>
              </w:rPr>
              <w:t>拟分包项目名称、范围及理由</w:t>
            </w:r>
          </w:p>
        </w:tc>
        <w:tc>
          <w:tcPr>
            <w:tcW w:w="5111" w:type="dxa"/>
            <w:gridSpan w:val="5"/>
            <w:vAlign w:val="top"/>
          </w:tcPr>
          <w:p>
            <w:pPr>
              <w:autoSpaceDE w:val="0"/>
              <w:autoSpaceDN w:val="0"/>
              <w:snapToGrid w:val="0"/>
              <w:spacing w:before="94" w:after="0" w:line="263" w:lineRule="exact"/>
              <w:ind w:left="202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拟选分包人</w:t>
            </w:r>
          </w:p>
        </w:tc>
        <w:tc>
          <w:tcPr>
            <w:tcW w:w="1267" w:type="dxa"/>
            <w:vMerge w:val="restart"/>
            <w:vAlign w:val="top"/>
          </w:tcPr>
          <w:p>
            <w:pPr>
              <w:autoSpaceDE w:val="0"/>
              <w:autoSpaceDN w:val="0"/>
              <w:snapToGrid w:val="0"/>
              <w:spacing w:before="326" w:after="0" w:line="263" w:lineRule="exact"/>
              <w:ind w:left="41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701" w:type="dxa"/>
            <w:gridSpan w:val="2"/>
            <w:vAlign w:val="top"/>
          </w:tcPr>
          <w:p>
            <w:pPr>
              <w:autoSpaceDE w:val="0"/>
              <w:autoSpaceDN w:val="0"/>
              <w:snapToGrid w:val="0"/>
              <w:spacing w:before="94" w:after="0" w:line="263" w:lineRule="exact"/>
              <w:ind w:left="11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拟选分包人名称</w:t>
            </w:r>
          </w:p>
        </w:tc>
        <w:tc>
          <w:tcPr>
            <w:tcW w:w="1122" w:type="dxa"/>
            <w:vAlign w:val="top"/>
          </w:tcPr>
          <w:p>
            <w:pPr>
              <w:autoSpaceDE w:val="0"/>
              <w:autoSpaceDN w:val="0"/>
              <w:snapToGrid w:val="0"/>
              <w:spacing w:before="94" w:after="0" w:line="263" w:lineRule="exact"/>
              <w:ind w:left="13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注册地点</w:t>
            </w:r>
          </w:p>
        </w:tc>
        <w:tc>
          <w:tcPr>
            <w:tcW w:w="1090" w:type="dxa"/>
            <w:vAlign w:val="top"/>
          </w:tcPr>
          <w:p>
            <w:pPr>
              <w:autoSpaceDE w:val="0"/>
              <w:autoSpaceDN w:val="0"/>
              <w:snapToGrid w:val="0"/>
              <w:spacing w:before="94" w:after="0" w:line="263" w:lineRule="exact"/>
              <w:ind w:left="12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企业资质</w:t>
            </w:r>
          </w:p>
        </w:tc>
        <w:tc>
          <w:tcPr>
            <w:tcW w:w="1198" w:type="dxa"/>
            <w:vAlign w:val="top"/>
          </w:tcPr>
          <w:p>
            <w:pPr>
              <w:autoSpaceDE w:val="0"/>
              <w:autoSpaceDN w:val="0"/>
              <w:snapToGrid w:val="0"/>
              <w:spacing w:before="94" w:after="0" w:line="263" w:lineRule="exact"/>
              <w:ind w:left="17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有关业绩</w:t>
            </w:r>
          </w:p>
        </w:tc>
        <w:tc>
          <w:tcPr>
            <w:tcW w:w="1267"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44" w:type="dxa"/>
            <w:vMerge w:val="restart"/>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restart"/>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restart"/>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1</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2</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4" w:hRule="exact"/>
        </w:trPr>
        <w:tc>
          <w:tcPr>
            <w:tcW w:w="567"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844" w:type="dxa"/>
            <w:vMerge w:val="continue"/>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751" w:type="dxa"/>
            <w:vAlign w:val="top"/>
          </w:tcPr>
          <w:p>
            <w:pPr>
              <w:autoSpaceDE w:val="0"/>
              <w:autoSpaceDN w:val="0"/>
              <w:snapToGrid w:val="0"/>
              <w:spacing w:before="106" w:after="0" w:line="240" w:lineRule="auto"/>
              <w:ind w:left="318"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3</w:t>
            </w:r>
          </w:p>
        </w:tc>
        <w:tc>
          <w:tcPr>
            <w:tcW w:w="9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22"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09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9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6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bl>
    <w:p>
      <w:pPr>
        <w:autoSpaceDE w:val="0"/>
        <w:autoSpaceDN w:val="0"/>
        <w:snapToGrid w:val="0"/>
        <w:spacing w:before="142" w:after="0" w:line="263" w:lineRule="exact"/>
        <w:ind w:left="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备注：本表所列分包仅限于承包人自行施工范围内的非主体、非关键工程。</w:t>
      </w:r>
    </w:p>
    <w:p>
      <w:pPr>
        <w:autoSpaceDE w:val="0"/>
        <w:autoSpaceDN w:val="0"/>
        <w:snapToGrid w:val="0"/>
        <w:spacing w:before="618" w:after="0" w:line="263" w:lineRule="exact"/>
        <w:ind w:left="5862" w:right="0" w:firstLine="0"/>
        <w:jc w:val="left"/>
        <w:textAlignment w:val="auto"/>
        <w:rPr>
          <w:rFonts w:hint="default" w:ascii="宋体" w:hAnsi="宋体" w:eastAsia="宋体" w:cs="宋体"/>
          <w:color w:val="auto"/>
          <w:sz w:val="21"/>
        </w:rPr>
      </w:pPr>
      <w:r>
        <w:rPr>
          <w:rFonts w:hint="default" w:ascii="宋体" w:hAnsi="宋体" w:eastAsia="宋体" w:cs="宋体"/>
          <w:color w:val="auto"/>
          <w:spacing w:val="-1"/>
          <w:sz w:val="21"/>
        </w:rPr>
        <w:t>日期：</w:t>
      </w:r>
      <w:r>
        <w:rPr>
          <w:rFonts w:hint="default" w:ascii="宋体" w:hAnsi="宋体" w:eastAsia="宋体" w:cs="宋体"/>
          <w:color w:val="auto"/>
          <w:spacing w:val="314"/>
          <w:sz w:val="21"/>
        </w:rPr>
        <w:t xml:space="preserve"> </w:t>
      </w:r>
      <w:r>
        <w:rPr>
          <w:rFonts w:hint="default" w:ascii="宋体" w:hAnsi="宋体" w:eastAsia="宋体" w:cs="宋体"/>
          <w:color w:val="auto"/>
          <w:spacing w:val="-1"/>
          <w:sz w:val="21"/>
        </w:rPr>
        <w:t>年</w:t>
      </w:r>
      <w:r>
        <w:rPr>
          <w:rFonts w:hint="default" w:ascii="宋体" w:hAnsi="宋体" w:eastAsia="宋体" w:cs="宋体"/>
          <w:color w:val="auto"/>
          <w:spacing w:val="209"/>
          <w:sz w:val="21"/>
        </w:rPr>
        <w:t xml:space="preserve"> </w:t>
      </w:r>
      <w:r>
        <w:rPr>
          <w:rFonts w:hint="default" w:ascii="宋体" w:hAnsi="宋体" w:eastAsia="宋体" w:cs="宋体"/>
          <w:color w:val="auto"/>
          <w:sz w:val="21"/>
        </w:rPr>
        <w:t>月</w:t>
      </w:r>
      <w:r>
        <w:rPr>
          <w:rFonts w:hint="default" w:ascii="宋体" w:hAnsi="宋体" w:eastAsia="宋体" w:cs="宋体"/>
          <w:color w:val="auto"/>
          <w:spacing w:val="210"/>
          <w:sz w:val="21"/>
        </w:rPr>
        <w:t xml:space="preserve"> </w:t>
      </w:r>
      <w:r>
        <w:rPr>
          <w:rFonts w:hint="default" w:ascii="宋体" w:hAnsi="宋体" w:eastAsia="宋体" w:cs="宋体"/>
          <w:color w:val="auto"/>
          <w:sz w:val="21"/>
        </w:rPr>
        <w:t>日</w:t>
      </w:r>
    </w:p>
    <w:p>
      <w:pPr>
        <w:numPr>
          <w:ilvl w:val="0"/>
          <w:numId w:val="0"/>
        </w:numPr>
        <w:autoSpaceDE w:val="0"/>
        <w:autoSpaceDN w:val="0"/>
        <w:snapToGrid w:val="0"/>
        <w:spacing w:before="9010" w:after="0" w:line="240" w:lineRule="auto"/>
        <w:ind w:left="4318" w:leftChars="0" w:right="0" w:rightChars="0"/>
        <w:jc w:val="left"/>
        <w:textAlignment w:val="auto"/>
        <w:rPr>
          <w:rFonts w:hint="default" w:ascii="宋体" w:hAnsi="宋体" w:eastAsia="宋体" w:cs="宋体"/>
          <w:color w:val="auto"/>
          <w:sz w:val="21"/>
        </w:rPr>
        <w:sectPr>
          <w:footnotePr>
            <w:numStart w:val="0"/>
          </w:footnotePr>
          <w:endnotePr>
            <w:numFmt w:val="decimal"/>
            <w:numStart w:val="0"/>
          </w:endnotePr>
          <w:pgSz w:w="11907" w:h="16840"/>
          <w:pgMar w:top="1138" w:right="1500" w:bottom="649" w:left="1500" w:header="0" w:footer="567" w:gutter="0"/>
          <w:pgBorders>
            <w:top w:val="none" w:sz="0" w:space="0"/>
            <w:left w:val="none" w:sz="0" w:space="0"/>
            <w:bottom w:val="none" w:sz="0" w:space="0"/>
            <w:right w:val="none" w:sz="0" w:space="0"/>
          </w:pgBorders>
          <w:pgNumType w:fmt="decimal"/>
          <w:cols w:space="720" w:num="1"/>
          <w:docGrid w:linePitch="0" w:charSpace="0"/>
        </w:sectPr>
      </w:pPr>
      <w:r>
        <w:rPr>
          <w:rFonts w:hint="default" w:ascii="宋体" w:hAnsi="宋体" w:eastAsia="宋体" w:cs="宋体"/>
          <w:color w:val="auto"/>
          <w:sz w:val="21"/>
        </w:rPr>
        <w:t xml:space="preserve"> </w:t>
      </w:r>
    </w:p>
    <w:p>
      <w:pPr>
        <w:rPr>
          <w:rFonts w:hint="default" w:ascii="宋体" w:hAnsi="宋体" w:eastAsia="宋体" w:cs="宋体"/>
          <w:b/>
          <w:color w:val="auto"/>
          <w:sz w:val="32"/>
        </w:rPr>
      </w:pPr>
    </w:p>
    <w:p>
      <w:pPr>
        <w:autoSpaceDE w:val="0"/>
        <w:autoSpaceDN w:val="0"/>
        <w:snapToGrid w:val="0"/>
        <w:spacing w:before="0" w:after="0" w:line="400" w:lineRule="exact"/>
        <w:ind w:right="0"/>
        <w:jc w:val="center"/>
        <w:textAlignment w:val="auto"/>
        <w:rPr>
          <w:rFonts w:hint="default" w:ascii="Times New Roman" w:hAnsi="Times New Roman" w:eastAsia="Times New Roman" w:cs="Times New Roman"/>
          <w:b/>
          <w:color w:val="auto"/>
        </w:rPr>
      </w:pPr>
      <w:bookmarkStart w:id="255" w:name="_Toc30326_WPSOffice_Level1"/>
      <w:bookmarkStart w:id="256" w:name="_Toc25810_WPSOffice_Level1"/>
      <w:bookmarkStart w:id="257" w:name="_Toc13682_WPSOffice_Level1"/>
      <w:r>
        <w:rPr>
          <w:rFonts w:hint="eastAsia" w:ascii="宋体" w:hAnsi="宋体" w:eastAsia="宋体" w:cs="宋体"/>
          <w:b/>
          <w:color w:val="auto"/>
          <w:sz w:val="32"/>
          <w:lang w:eastAsia="zh-CN"/>
        </w:rPr>
        <w:t>三、</w:t>
      </w:r>
      <w:r>
        <w:rPr>
          <w:rFonts w:hint="default" w:ascii="宋体" w:hAnsi="宋体" w:eastAsia="宋体" w:cs="宋体"/>
          <w:b/>
          <w:color w:val="auto"/>
          <w:sz w:val="32"/>
        </w:rPr>
        <w:t>项目管理机构</w:t>
      </w:r>
      <w:bookmarkEnd w:id="255"/>
      <w:bookmarkEnd w:id="256"/>
      <w:bookmarkEnd w:id="257"/>
    </w:p>
    <w:p>
      <w:pPr>
        <w:autoSpaceDE w:val="0"/>
        <w:autoSpaceDN w:val="0"/>
        <w:snapToGrid w:val="0"/>
        <w:spacing w:before="14" w:after="0" w:line="240" w:lineRule="auto"/>
        <w:ind w:left="3363" w:right="0" w:firstLine="0"/>
        <w:jc w:val="left"/>
        <w:textAlignment w:val="auto"/>
        <w:rPr>
          <w:rFonts w:hint="default" w:ascii="Times New Roman" w:hAnsi="Times New Roman" w:eastAsia="Times New Roman" w:cs="Times New Roman"/>
          <w:b/>
          <w:color w:val="auto"/>
        </w:rPr>
      </w:pPr>
    </w:p>
    <w:p>
      <w:pPr>
        <w:autoSpaceDE w:val="0"/>
        <w:autoSpaceDN w:val="0"/>
        <w:snapToGrid w:val="0"/>
        <w:spacing w:before="14" w:after="0" w:line="240" w:lineRule="auto"/>
        <w:ind w:left="3363" w:right="0" w:firstLine="0"/>
        <w:jc w:val="left"/>
        <w:textAlignment w:val="auto"/>
        <w:rPr>
          <w:rFonts w:hint="default" w:ascii="宋体" w:hAnsi="宋体" w:eastAsia="宋体" w:cs="宋体"/>
          <w:b/>
          <w:color w:val="auto"/>
        </w:rPr>
      </w:pPr>
      <w:bookmarkStart w:id="258" w:name="_Toc23050_WPSOffice_Level2"/>
      <w:bookmarkStart w:id="259" w:name="_Toc2231_WPSOffice_Level2"/>
      <w:bookmarkStart w:id="260" w:name="_Toc28571_WPSOffice_Level2"/>
      <w:r>
        <w:rPr>
          <w:rFonts w:hint="default" w:ascii="Times New Roman" w:hAnsi="Times New Roman" w:eastAsia="Times New Roman" w:cs="Times New Roman"/>
          <w:b/>
          <w:color w:val="auto"/>
        </w:rPr>
        <w:t>1</w:t>
      </w:r>
      <w:r>
        <w:rPr>
          <w:rFonts w:hint="default" w:ascii="宋体" w:hAnsi="宋体" w:eastAsia="宋体" w:cs="宋体"/>
          <w:b/>
          <w:color w:val="auto"/>
        </w:rPr>
        <w:t>、项目管理机构配备情况表</w:t>
      </w:r>
      <w:bookmarkEnd w:id="258"/>
      <w:bookmarkEnd w:id="259"/>
      <w:bookmarkEnd w:id="260"/>
    </w:p>
    <w:p>
      <w:pPr>
        <w:autoSpaceDE w:val="0"/>
        <w:autoSpaceDN w:val="0"/>
        <w:snapToGrid w:val="0"/>
        <w:spacing w:before="260"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u w:val="single"/>
          <w:shd w:val="clear" w:fill="FFFFFF" w:themeFill="background1"/>
        </w:rPr>
        <w:t>（招标工程项目名称）</w:t>
      </w:r>
      <w:r>
        <w:rPr>
          <w:rFonts w:hint="default" w:ascii="宋体" w:hAnsi="宋体" w:eastAsia="宋体" w:cs="宋体"/>
          <w:color w:val="auto"/>
          <w:spacing w:val="420"/>
          <w:sz w:val="21"/>
          <w:u w:val="single"/>
          <w:shd w:val="clear" w:fill="FFFFFF" w:themeFill="background1"/>
        </w:rPr>
        <w:t xml:space="preserve"> </w:t>
      </w:r>
      <w:r>
        <w:rPr>
          <w:rFonts w:hint="default" w:ascii="宋体" w:hAnsi="宋体" w:eastAsia="宋体" w:cs="宋体"/>
          <w:color w:val="auto"/>
          <w:sz w:val="21"/>
          <w:shd w:val="clear" w:fill="FFFFFF" w:themeFill="background1"/>
        </w:rPr>
        <w:t>工</w:t>
      </w:r>
      <w:r>
        <w:rPr>
          <w:rFonts w:hint="default" w:ascii="宋体" w:hAnsi="宋体" w:eastAsia="宋体" w:cs="宋体"/>
          <w:color w:val="auto"/>
          <w:sz w:val="21"/>
        </w:rPr>
        <w:t>程</w:t>
      </w:r>
    </w:p>
    <w:tbl>
      <w:tblPr>
        <w:tblStyle w:val="6"/>
        <w:tblW w:w="9356" w:type="dxa"/>
        <w:tblInd w:w="19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93"/>
        <w:gridCol w:w="829"/>
        <w:gridCol w:w="816"/>
        <w:gridCol w:w="1147"/>
        <w:gridCol w:w="1149"/>
        <w:gridCol w:w="1148"/>
        <w:gridCol w:w="1148"/>
        <w:gridCol w:w="850"/>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7" w:hRule="exact"/>
        </w:trPr>
        <w:tc>
          <w:tcPr>
            <w:tcW w:w="993" w:type="dxa"/>
            <w:vMerge w:val="restart"/>
            <w:vAlign w:val="top"/>
          </w:tcPr>
          <w:p>
            <w:pPr>
              <w:autoSpaceDE w:val="0"/>
              <w:autoSpaceDN w:val="0"/>
              <w:snapToGrid w:val="0"/>
              <w:spacing w:before="378" w:after="0" w:line="263" w:lineRule="exact"/>
              <w:ind w:left="282"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岗位</w:t>
            </w:r>
          </w:p>
        </w:tc>
        <w:tc>
          <w:tcPr>
            <w:tcW w:w="829" w:type="dxa"/>
            <w:vMerge w:val="restart"/>
            <w:vAlign w:val="top"/>
          </w:tcPr>
          <w:p>
            <w:pPr>
              <w:autoSpaceDE w:val="0"/>
              <w:autoSpaceDN w:val="0"/>
              <w:snapToGrid w:val="0"/>
              <w:spacing w:before="378" w:after="0" w:line="263" w:lineRule="exact"/>
              <w:ind w:left="20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816" w:type="dxa"/>
            <w:vMerge w:val="restart"/>
            <w:vAlign w:val="top"/>
          </w:tcPr>
          <w:p>
            <w:pPr>
              <w:autoSpaceDE w:val="0"/>
              <w:autoSpaceDN w:val="0"/>
              <w:snapToGrid w:val="0"/>
              <w:spacing w:before="378" w:after="0" w:line="263" w:lineRule="exact"/>
              <w:ind w:left="1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4592" w:type="dxa"/>
            <w:gridSpan w:val="4"/>
            <w:vAlign w:val="top"/>
          </w:tcPr>
          <w:p>
            <w:pPr>
              <w:autoSpaceDE w:val="0"/>
              <w:autoSpaceDN w:val="0"/>
              <w:snapToGrid w:val="0"/>
              <w:spacing w:before="101" w:after="0" w:line="263" w:lineRule="exact"/>
              <w:ind w:left="134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执业或职业资格证明</w:t>
            </w:r>
          </w:p>
        </w:tc>
        <w:tc>
          <w:tcPr>
            <w:tcW w:w="2126" w:type="dxa"/>
            <w:gridSpan w:val="2"/>
            <w:vAlign w:val="top"/>
          </w:tcPr>
          <w:p>
            <w:pPr>
              <w:autoSpaceDE w:val="0"/>
              <w:autoSpaceDN w:val="0"/>
              <w:snapToGrid w:val="0"/>
              <w:spacing w:before="101" w:after="0" w:line="263" w:lineRule="exact"/>
              <w:ind w:left="21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承担完工工程情况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5"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139" w:after="0" w:line="263" w:lineRule="exact"/>
              <w:ind w:left="1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证书名称</w:t>
            </w:r>
          </w:p>
        </w:tc>
        <w:tc>
          <w:tcPr>
            <w:tcW w:w="1149"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级别</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证号</w:t>
            </w:r>
          </w:p>
        </w:tc>
        <w:tc>
          <w:tcPr>
            <w:tcW w:w="1148" w:type="dxa"/>
            <w:vAlign w:val="top"/>
          </w:tcPr>
          <w:p>
            <w:pPr>
              <w:autoSpaceDE w:val="0"/>
              <w:autoSpaceDN w:val="0"/>
              <w:snapToGrid w:val="0"/>
              <w:spacing w:before="139" w:after="0" w:line="263" w:lineRule="exact"/>
              <w:ind w:left="35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专业</w:t>
            </w:r>
          </w:p>
        </w:tc>
        <w:tc>
          <w:tcPr>
            <w:tcW w:w="850" w:type="dxa"/>
            <w:vAlign w:val="top"/>
          </w:tcPr>
          <w:p>
            <w:pPr>
              <w:autoSpaceDE w:val="0"/>
              <w:autoSpaceDN w:val="0"/>
              <w:snapToGrid w:val="0"/>
              <w:spacing w:before="139" w:after="0" w:line="263" w:lineRule="exact"/>
              <w:ind w:left="105"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项目数</w:t>
            </w:r>
          </w:p>
        </w:tc>
        <w:tc>
          <w:tcPr>
            <w:tcW w:w="1276" w:type="dxa"/>
            <w:vAlign w:val="top"/>
          </w:tcPr>
          <w:p>
            <w:pPr>
              <w:autoSpaceDE w:val="0"/>
              <w:autoSpaceDN w:val="0"/>
              <w:snapToGrid w:val="0"/>
              <w:spacing w:before="3" w:after="0" w:line="263" w:lineRule="exact"/>
              <w:ind w:left="21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主要项目</w:t>
            </w:r>
          </w:p>
          <w:p>
            <w:pPr>
              <w:autoSpaceDE w:val="0"/>
              <w:autoSpaceDN w:val="0"/>
              <w:snapToGrid w:val="0"/>
              <w:spacing w:before="10" w:after="0" w:line="263" w:lineRule="exact"/>
              <w:ind w:left="42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名称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197"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施工员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1372" w:hRule="exact"/>
        </w:trPr>
        <w:tc>
          <w:tcPr>
            <w:tcW w:w="993" w:type="dxa"/>
            <w:vAlign w:val="top"/>
          </w:tcPr>
          <w:p>
            <w:pPr>
              <w:autoSpaceDE w:val="0"/>
              <w:autoSpaceDN w:val="0"/>
              <w:snapToGrid w:val="0"/>
              <w:spacing w:before="3"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质检员</w:t>
            </w:r>
          </w:p>
          <w:p>
            <w:pPr>
              <w:autoSpaceDE w:val="0"/>
              <w:autoSpaceDN w:val="0"/>
              <w:snapToGrid w:val="0"/>
              <w:spacing w:before="10" w:after="0" w:line="263" w:lineRule="exact"/>
              <w:ind w:left="3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（质</w:t>
            </w:r>
          </w:p>
          <w:p>
            <w:pPr>
              <w:autoSpaceDE w:val="0"/>
              <w:autoSpaceDN w:val="0"/>
              <w:snapToGrid w:val="0"/>
              <w:spacing w:before="10" w:after="0" w:line="263" w:lineRule="exact"/>
              <w:ind w:left="3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量管</w:t>
            </w:r>
          </w:p>
          <w:p>
            <w:pPr>
              <w:autoSpaceDE w:val="0"/>
              <w:autoSpaceDN w:val="0"/>
              <w:snapToGrid w:val="0"/>
              <w:spacing w:before="10" w:after="0" w:line="263" w:lineRule="exact"/>
              <w:ind w:left="49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理</w:t>
            </w:r>
          </w:p>
          <w:p>
            <w:pPr>
              <w:autoSpaceDE w:val="0"/>
              <w:autoSpaceDN w:val="0"/>
              <w:snapToGrid w:val="0"/>
              <w:spacing w:before="10" w:after="0" w:line="263" w:lineRule="exact"/>
              <w:ind w:left="39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Merge w:val="restart"/>
            <w:vAlign w:val="top"/>
          </w:tcPr>
          <w:p>
            <w:pPr>
              <w:autoSpaceDE w:val="0"/>
              <w:autoSpaceDN w:val="0"/>
              <w:snapToGrid w:val="0"/>
              <w:spacing w:before="867"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安全员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Merge w:val="continue"/>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197" w:after="0" w:line="263" w:lineRule="exact"/>
              <w:ind w:left="17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材料员</w:t>
            </w: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2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70" w:hRule="exact"/>
        </w:trPr>
        <w:tc>
          <w:tcPr>
            <w:tcW w:w="993" w:type="dxa"/>
            <w:vAlign w:val="top"/>
          </w:tcPr>
          <w:p>
            <w:pPr>
              <w:autoSpaceDE w:val="0"/>
              <w:autoSpaceDN w:val="0"/>
              <w:snapToGrid w:val="0"/>
              <w:spacing w:before="209" w:after="0" w:line="240" w:lineRule="auto"/>
              <w:ind w:left="282" w:right="0" w:firstLine="0"/>
              <w:jc w:val="left"/>
              <w:textAlignment w:val="auto"/>
              <w:rPr>
                <w:rFonts w:hint="default" w:ascii="Times New Roman" w:hAnsi="Times New Roman" w:eastAsia="Times New Roman" w:cs="Times New Roman"/>
                <w:color w:val="auto"/>
                <w:sz w:val="21"/>
              </w:rPr>
            </w:pPr>
            <w:r>
              <w:rPr>
                <w:rFonts w:hint="default" w:ascii="Times New Roman" w:hAnsi="Times New Roman" w:eastAsia="Times New Roman" w:cs="Times New Roman"/>
                <w:color w:val="auto"/>
                <w:sz w:val="21"/>
              </w:rPr>
              <w:t>……</w:t>
            </w:r>
          </w:p>
        </w:tc>
        <w:tc>
          <w:tcPr>
            <w:tcW w:w="82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81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7"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9"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148"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850"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c>
          <w:tcPr>
            <w:tcW w:w="1276" w:type="dxa"/>
            <w:vAlign w:val="top"/>
          </w:tcPr>
          <w:p>
            <w:pPr>
              <w:autoSpaceDE w:val="0"/>
              <w:autoSpaceDN w:val="0"/>
              <w:snapToGrid w:val="0"/>
              <w:spacing w:before="0" w:after="0" w:line="240" w:lineRule="auto"/>
              <w:ind w:left="0" w:right="0" w:firstLine="0"/>
              <w:jc w:val="left"/>
              <w:textAlignment w:val="auto"/>
              <w:rPr>
                <w:rFonts w:hint="default" w:ascii="Times New Roman" w:hAnsi="Times New Roman" w:eastAsia="Times New Roman" w:cs="Times New Roman"/>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989" w:hRule="exact"/>
        </w:trPr>
        <w:tc>
          <w:tcPr>
            <w:tcW w:w="9356" w:type="dxa"/>
            <w:gridSpan w:val="9"/>
            <w:vAlign w:val="top"/>
          </w:tcPr>
          <w:p>
            <w:pPr>
              <w:autoSpaceDE w:val="0"/>
              <w:autoSpaceDN w:val="0"/>
              <w:snapToGrid w:val="0"/>
              <w:spacing w:before="84"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一旦我单位中标，将实行项目经理负责制，我方保证并配备上述项目管理机构。上述填报内容真</w:t>
            </w:r>
          </w:p>
          <w:p>
            <w:pPr>
              <w:autoSpaceDE w:val="0"/>
              <w:autoSpaceDN w:val="0"/>
              <w:snapToGrid w:val="0"/>
              <w:spacing w:before="146" w:after="0" w:line="263" w:lineRule="exact"/>
              <w:ind w:left="10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实，若不真实，愿按有关规定接受处理。项目管理班子机构设置、职责分工等情况另附资料说明。</w:t>
            </w:r>
          </w:p>
        </w:tc>
      </w:tr>
    </w:tbl>
    <w:p>
      <w:pPr>
        <w:autoSpaceDE w:val="0"/>
        <w:autoSpaceDN w:val="0"/>
        <w:snapToGrid w:val="0"/>
        <w:spacing w:before="249" w:after="0" w:line="408"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【备注：附以</w:t>
      </w:r>
      <w:r>
        <w:rPr>
          <w:rFonts w:hint="default" w:ascii="楷体" w:hAnsi="楷体" w:eastAsia="楷体" w:cs="楷体"/>
          <w:color w:val="auto"/>
          <w:sz w:val="21"/>
        </w:rPr>
        <w:t>上各岗位人员资格证件等相关证明材料的复印件，以及投标人认为需要增加的其他证明材料复印件，以上复印件均须加盖投标人单位公章。】</w:t>
      </w:r>
    </w:p>
    <w:p>
      <w:pPr>
        <w:numPr>
          <w:ilvl w:val="0"/>
          <w:numId w:val="33"/>
        </w:numPr>
        <w:autoSpaceDE w:val="0"/>
        <w:autoSpaceDN w:val="0"/>
        <w:snapToGrid w:val="0"/>
        <w:spacing w:before="4252" w:after="0" w:line="240" w:lineRule="auto"/>
        <w:ind w:left="375" w:right="0" w:firstLine="4363"/>
        <w:jc w:val="left"/>
        <w:textAlignment w:val="auto"/>
        <w:rPr>
          <w:rFonts w:hint="default" w:ascii="楷体" w:hAnsi="楷体" w:eastAsia="楷体" w:cs="楷体"/>
          <w:color w:val="auto"/>
          <w:sz w:val="21"/>
        </w:rPr>
        <w:sectPr>
          <w:footnotePr>
            <w:numStart w:val="0"/>
          </w:footnotePr>
          <w:endnotePr>
            <w:numFmt w:val="decimal"/>
            <w:numStart w:val="0"/>
          </w:endnotePr>
          <w:pgSz w:w="11907" w:h="16840"/>
          <w:pgMar w:top="1139" w:right="116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40" w:lineRule="auto"/>
        <w:ind w:left="3001" w:right="0" w:firstLine="0"/>
        <w:jc w:val="left"/>
        <w:textAlignment w:val="auto"/>
        <w:rPr>
          <w:rFonts w:hint="default" w:ascii="宋体" w:hAnsi="宋体" w:eastAsia="宋体" w:cs="宋体"/>
          <w:b/>
          <w:color w:val="auto"/>
        </w:rPr>
      </w:pPr>
      <w:bookmarkStart w:id="261" w:name="_Toc12256_WPSOffice_Level2"/>
      <w:bookmarkStart w:id="262" w:name="_Toc3837_WPSOffice_Level2"/>
      <w:bookmarkStart w:id="263" w:name="_Toc27158_WPSOffice_Level2"/>
      <w:r>
        <w:rPr>
          <w:rFonts w:hint="default" w:ascii="Times New Roman" w:hAnsi="Times New Roman" w:eastAsia="Times New Roman" w:cs="Times New Roman"/>
          <w:b/>
          <w:color w:val="auto"/>
        </w:rPr>
        <w:t>2</w:t>
      </w:r>
      <w:r>
        <w:rPr>
          <w:rFonts w:hint="default" w:ascii="宋体" w:hAnsi="宋体" w:eastAsia="宋体" w:cs="宋体"/>
          <w:b/>
          <w:color w:val="auto"/>
        </w:rPr>
        <w:t>、项目经理（注册建造师）简历表</w:t>
      </w:r>
      <w:bookmarkEnd w:id="261"/>
      <w:bookmarkEnd w:id="262"/>
      <w:bookmarkEnd w:id="263"/>
    </w:p>
    <w:p>
      <w:pPr>
        <w:autoSpaceDE w:val="0"/>
        <w:autoSpaceDN w:val="0"/>
        <w:snapToGrid w:val="0"/>
        <w:spacing w:before="260"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（招标工程项目名称）</w:t>
      </w:r>
      <w:r>
        <w:rPr>
          <w:rFonts w:hint="default" w:ascii="宋体" w:hAnsi="宋体" w:eastAsia="宋体" w:cs="宋体"/>
          <w:color w:val="auto"/>
          <w:spacing w:val="420"/>
          <w:sz w:val="21"/>
        </w:rPr>
        <w:t xml:space="preserve"> </w:t>
      </w:r>
      <w:r>
        <w:rPr>
          <w:rFonts w:hint="default" w:ascii="宋体" w:hAnsi="宋体" w:eastAsia="宋体" w:cs="宋体"/>
          <w:color w:val="auto"/>
          <w:sz w:val="21"/>
        </w:rPr>
        <w:t>工程</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1224915</wp:posOffset>
                </wp:positionV>
                <wp:extent cx="2667000" cy="0"/>
                <wp:effectExtent l="0" t="0" r="0" b="0"/>
                <wp:wrapNone/>
                <wp:docPr id="1213" name="1213"/>
                <wp:cNvGraphicFramePr/>
                <a:graphic xmlns:a="http://schemas.openxmlformats.org/drawingml/2006/main">
                  <a:graphicData uri="http://schemas.microsoft.com/office/word/2010/wordprocessingShape">
                    <wps:wsp>
                      <wps:cNvCnPr/>
                      <wps:spPr>
                        <a:xfrm>
                          <a:off x="0" y="0"/>
                          <a:ext cx="26670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213" o:spid="_x0000_s1026" o:spt="20" style="position:absolute;left:0pt;margin-left:54pt;margin-top:96.45pt;height:0pt;width:210pt;mso-position-horizontal-relative:page;mso-position-vertical-relative:page;z-index:-251657216;mso-width-relative:page;mso-height-relative:page;" fillcolor="#FFFFFF" filled="t" stroked="t" coordsize="21600,21600" o:gfxdata="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GxYXDrTAAAACwEAAA8AAAAAAAAAAQAgAAAAIgAAAGRycy9kb3du&#10;cmV2LnhtbFBLAQIUABQAAAAIAIdO4kCBc/v8BAIAAEAEAAAOAAAAAAAAAAEAIAAAACIBAABkcnMv&#10;ZTJvRG9jLnhtbFBLBQYAAAAABgAGAFkBAACYBQAAAAA=&#10;">
                <v:fill on="t" opacity="0f" focussize="0,0"/>
                <v:stroke weight="0.5pt" color="#000000" joinstyle="round" endcap="round"/>
                <v:imagedata o:title=""/>
                <o:lock v:ext="edit" aspectratio="f"/>
              </v:line>
            </w:pict>
          </mc:Fallback>
        </mc:AlternateContent>
      </w:r>
    </w:p>
    <w:tbl>
      <w:tblPr>
        <w:tblStyle w:val="6"/>
        <w:tblW w:w="928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083" w:type="dxa"/>
            <w:vAlign w:val="top"/>
          </w:tcPr>
          <w:p>
            <w:pPr>
              <w:autoSpaceDE w:val="0"/>
              <w:autoSpaceDN w:val="0"/>
              <w:snapToGrid w:val="0"/>
              <w:spacing w:before="167"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67"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性别</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67"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年龄</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3" w:hRule="exact"/>
        </w:trPr>
        <w:tc>
          <w:tcPr>
            <w:tcW w:w="1083" w:type="dxa"/>
            <w:vAlign w:val="top"/>
          </w:tcPr>
          <w:p>
            <w:pPr>
              <w:autoSpaceDE w:val="0"/>
              <w:autoSpaceDN w:val="0"/>
              <w:snapToGrid w:val="0"/>
              <w:spacing w:before="179"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职务</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79"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79"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学历</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3423" w:type="dxa"/>
            <w:gridSpan w:val="4"/>
            <w:vAlign w:val="top"/>
          </w:tcPr>
          <w:p>
            <w:pPr>
              <w:autoSpaceDE w:val="0"/>
              <w:autoSpaceDN w:val="0"/>
              <w:snapToGrid w:val="0"/>
              <w:spacing w:before="167" w:after="0" w:line="263" w:lineRule="exact"/>
              <w:ind w:left="107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参加工作时间</w:t>
            </w:r>
          </w:p>
        </w:tc>
        <w:tc>
          <w:tcPr>
            <w:tcW w:w="189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693" w:type="dxa"/>
            <w:gridSpan w:val="4"/>
            <w:vAlign w:val="top"/>
          </w:tcPr>
          <w:p>
            <w:pPr>
              <w:autoSpaceDE w:val="0"/>
              <w:autoSpaceDN w:val="0"/>
              <w:snapToGrid w:val="0"/>
              <w:spacing w:before="167" w:after="0" w:line="263" w:lineRule="exact"/>
              <w:ind w:left="50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担任项目经理年限</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78" w:hRule="exact"/>
        </w:trPr>
        <w:tc>
          <w:tcPr>
            <w:tcW w:w="3423" w:type="dxa"/>
            <w:gridSpan w:val="4"/>
            <w:vAlign w:val="top"/>
          </w:tcPr>
          <w:p>
            <w:pPr>
              <w:autoSpaceDE w:val="0"/>
              <w:autoSpaceDN w:val="0"/>
              <w:snapToGrid w:val="0"/>
              <w:spacing w:before="101" w:after="0" w:line="263" w:lineRule="exact"/>
              <w:ind w:left="97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建造师注册编号</w:t>
            </w:r>
          </w:p>
        </w:tc>
        <w:tc>
          <w:tcPr>
            <w:tcW w:w="5862" w:type="dxa"/>
            <w:gridSpan w:val="7"/>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exact"/>
        </w:trPr>
        <w:tc>
          <w:tcPr>
            <w:tcW w:w="9285" w:type="dxa"/>
            <w:gridSpan w:val="11"/>
            <w:vAlign w:val="top"/>
          </w:tcPr>
          <w:p>
            <w:pPr>
              <w:autoSpaceDE w:val="0"/>
              <w:autoSpaceDN w:val="0"/>
              <w:snapToGrid w:val="0"/>
              <w:spacing w:before="177" w:after="0" w:line="263" w:lineRule="exact"/>
              <w:ind w:left="34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547"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建设单位</w:t>
            </w:r>
          </w:p>
        </w:tc>
        <w:tc>
          <w:tcPr>
            <w:tcW w:w="1548" w:type="dxa"/>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w:t>
            </w:r>
          </w:p>
        </w:tc>
        <w:tc>
          <w:tcPr>
            <w:tcW w:w="1547" w:type="dxa"/>
            <w:gridSpan w:val="2"/>
            <w:vAlign w:val="top"/>
          </w:tcPr>
          <w:p>
            <w:pPr>
              <w:autoSpaceDE w:val="0"/>
              <w:autoSpaceDN w:val="0"/>
              <w:snapToGrid w:val="0"/>
              <w:spacing w:before="167" w:after="0" w:line="263" w:lineRule="exact"/>
              <w:ind w:left="3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建设规模</w:t>
            </w:r>
          </w:p>
        </w:tc>
        <w:tc>
          <w:tcPr>
            <w:tcW w:w="1548" w:type="dxa"/>
            <w:gridSpan w:val="2"/>
            <w:vAlign w:val="top"/>
          </w:tcPr>
          <w:p>
            <w:pPr>
              <w:autoSpaceDE w:val="0"/>
              <w:autoSpaceDN w:val="0"/>
              <w:snapToGrid w:val="0"/>
              <w:spacing w:before="167"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开、竣工日期</w:t>
            </w:r>
          </w:p>
        </w:tc>
        <w:tc>
          <w:tcPr>
            <w:tcW w:w="1547" w:type="dxa"/>
            <w:gridSpan w:val="2"/>
            <w:vAlign w:val="top"/>
          </w:tcPr>
          <w:p>
            <w:pPr>
              <w:autoSpaceDE w:val="0"/>
              <w:autoSpaceDN w:val="0"/>
              <w:snapToGrid w:val="0"/>
              <w:spacing w:before="167" w:after="0" w:line="263" w:lineRule="exact"/>
              <w:ind w:left="24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在建或已完</w:t>
            </w:r>
          </w:p>
        </w:tc>
        <w:tc>
          <w:tcPr>
            <w:tcW w:w="1548"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9"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365"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46" w:after="0" w:line="263" w:lineRule="exact"/>
        <w:ind w:left="42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附项目经理注册建造师注册证书、安全生产考核合格证书（</w:t>
      </w:r>
      <w:r>
        <w:rPr>
          <w:rFonts w:hint="default" w:ascii="Times New Roman" w:hAnsi="Times New Roman" w:eastAsia="Times New Roman" w:cs="Times New Roman"/>
          <w:color w:val="auto"/>
          <w:spacing w:val="52"/>
          <w:sz w:val="21"/>
        </w:rPr>
        <w:t>B</w:t>
      </w:r>
      <w:r>
        <w:rPr>
          <w:rFonts w:hint="default" w:ascii="楷体" w:hAnsi="楷体" w:eastAsia="楷体" w:cs="楷体"/>
          <w:color w:val="auto"/>
          <w:sz w:val="21"/>
        </w:rPr>
        <w:t>证）和已完工程中标通知书（如有）、</w:t>
      </w:r>
    </w:p>
    <w:p>
      <w:pPr>
        <w:autoSpaceDE w:val="0"/>
        <w:autoSpaceDN w:val="0"/>
        <w:snapToGrid w:val="0"/>
        <w:spacing w:before="29" w:after="0" w:line="409" w:lineRule="exact"/>
        <w:ind w:left="0" w:right="0" w:firstLine="0"/>
        <w:jc w:val="both"/>
        <w:textAlignment w:val="auto"/>
        <w:rPr>
          <w:rFonts w:hint="default" w:ascii="楷体" w:hAnsi="楷体" w:eastAsia="楷体" w:cs="楷体"/>
          <w:color w:val="auto"/>
          <w:sz w:val="21"/>
        </w:rPr>
      </w:pPr>
      <w:r>
        <w:rPr>
          <w:rFonts w:hint="default" w:ascii="楷体" w:hAnsi="楷体" w:eastAsia="楷体" w:cs="楷体"/>
          <w:color w:val="auto"/>
          <w:spacing w:val="-1"/>
          <w:sz w:val="21"/>
        </w:rPr>
        <w:t>工程合同协议</w:t>
      </w:r>
      <w:r>
        <w:rPr>
          <w:rFonts w:hint="default" w:ascii="楷体" w:hAnsi="楷体" w:eastAsia="楷体" w:cs="楷体"/>
          <w:color w:val="auto"/>
          <w:sz w:val="21"/>
        </w:rPr>
        <w:t>书（如有）、工程竣工验收证明材料的复印件（如有），以及投标人认为需要增加的其他证明材料复印件，以上复印件均须加盖投标人单位公章。</w:t>
      </w:r>
    </w:p>
    <w:p>
      <w:pPr>
        <w:numPr>
          <w:ilvl w:val="0"/>
          <w:numId w:val="33"/>
        </w:numPr>
        <w:autoSpaceDE w:val="0"/>
        <w:autoSpaceDN w:val="0"/>
        <w:snapToGrid w:val="0"/>
        <w:spacing w:before="6149" w:after="0" w:line="240" w:lineRule="auto"/>
        <w:ind w:left="375" w:right="0" w:firstLine="4363"/>
        <w:jc w:val="left"/>
        <w:textAlignment w:val="auto"/>
        <w:rPr>
          <w:rFonts w:hint="default" w:ascii="楷体" w:hAnsi="楷体" w:eastAsia="楷体" w:cs="楷体"/>
          <w:color w:val="auto"/>
          <w:sz w:val="21"/>
        </w:rPr>
        <w:sectPr>
          <w:footnotePr>
            <w:numStart w:val="0"/>
          </w:footnotePr>
          <w:endnotePr>
            <w:numFmt w:val="decimal"/>
            <w:numStart w:val="0"/>
          </w:endnotePr>
          <w:pgSz w:w="11907" w:h="16840"/>
          <w:pgMar w:top="1138" w:right="1167" w:bottom="649" w:left="1080" w:header="0" w:footer="567" w:gutter="0"/>
          <w:pgBorders>
            <w:top w:val="none" w:sz="0" w:space="0"/>
            <w:left w:val="none" w:sz="0" w:space="0"/>
            <w:bottom w:val="none" w:sz="0" w:space="0"/>
            <w:right w:val="none" w:sz="0" w:space="0"/>
          </w:pgBorders>
          <w:pgNumType w:fmt="decimal"/>
          <w:cols w:space="720" w:num="1"/>
          <w:docGrid w:linePitch="0" w:charSpace="0"/>
        </w:sectPr>
      </w:pPr>
    </w:p>
    <w:p>
      <w:pPr>
        <w:autoSpaceDE w:val="0"/>
        <w:autoSpaceDN w:val="0"/>
        <w:snapToGrid w:val="0"/>
        <w:spacing w:before="0" w:after="0" w:line="240" w:lineRule="auto"/>
        <w:ind w:left="3484" w:right="0" w:firstLine="0"/>
        <w:jc w:val="left"/>
        <w:textAlignment w:val="auto"/>
        <w:rPr>
          <w:rFonts w:hint="default" w:ascii="宋体" w:hAnsi="宋体" w:eastAsia="宋体" w:cs="宋体"/>
          <w:b/>
          <w:color w:val="auto"/>
        </w:rPr>
      </w:pPr>
      <w:bookmarkStart w:id="264" w:name="_Toc31015_WPSOffice_Level2"/>
      <w:bookmarkStart w:id="265" w:name="_Toc29929_WPSOffice_Level2"/>
      <w:bookmarkStart w:id="266" w:name="_Toc20365_WPSOffice_Level2"/>
      <w:r>
        <w:rPr>
          <w:rFonts w:hint="default" w:ascii="Times New Roman" w:hAnsi="Times New Roman" w:eastAsia="Times New Roman" w:cs="Times New Roman"/>
          <w:b/>
          <w:color w:val="auto"/>
        </w:rPr>
        <w:t>3</w:t>
      </w:r>
      <w:r>
        <w:rPr>
          <w:rFonts w:hint="default" w:ascii="宋体" w:hAnsi="宋体" w:eastAsia="宋体" w:cs="宋体"/>
          <w:b/>
          <w:color w:val="auto"/>
        </w:rPr>
        <w:t>、项目技术负责人简历表</w:t>
      </w:r>
      <w:bookmarkEnd w:id="264"/>
      <w:bookmarkEnd w:id="265"/>
      <w:bookmarkEnd w:id="266"/>
    </w:p>
    <w:p>
      <w:pPr>
        <w:autoSpaceDE w:val="0"/>
        <w:autoSpaceDN w:val="0"/>
        <w:snapToGrid w:val="0"/>
        <w:spacing w:before="260" w:after="7" w:line="263" w:lineRule="exact"/>
        <w:ind w:left="1260"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（招标工程项目名称）</w:t>
      </w:r>
      <w:r>
        <w:rPr>
          <w:rFonts w:hint="default" w:ascii="宋体" w:hAnsi="宋体" w:eastAsia="宋体" w:cs="宋体"/>
          <w:color w:val="auto"/>
          <w:spacing w:val="420"/>
          <w:sz w:val="21"/>
        </w:rPr>
        <w:t xml:space="preserve"> </w:t>
      </w:r>
      <w:r>
        <w:rPr>
          <w:rFonts w:hint="default" w:ascii="宋体" w:hAnsi="宋体" w:eastAsia="宋体" w:cs="宋体"/>
          <w:color w:val="auto"/>
          <w:sz w:val="21"/>
        </w:rPr>
        <w:t>工程</w:t>
      </w:r>
      <w:r>
        <w:rPr>
          <w:rFonts w:hint="default" w:ascii="宋体" w:hAnsi="宋体" w:eastAsia="宋体" w:cs="宋体"/>
          <w:color w:val="auto"/>
          <w:sz w:val="21"/>
        </w:rPr>
        <mc:AlternateContent>
          <mc:Choice Requires="wps">
            <w:drawing>
              <wp:anchor distT="0" distB="0" distL="114300" distR="114300" simplePos="0" relativeHeight="251659264" behindDoc="1" locked="0" layoutInCell="1" allowOverlap="1">
                <wp:simplePos x="0" y="0"/>
                <wp:positionH relativeFrom="page">
                  <wp:posOffset>685800</wp:posOffset>
                </wp:positionH>
                <wp:positionV relativeFrom="page">
                  <wp:posOffset>1224915</wp:posOffset>
                </wp:positionV>
                <wp:extent cx="2667000" cy="0"/>
                <wp:effectExtent l="0" t="0" r="0" b="0"/>
                <wp:wrapNone/>
                <wp:docPr id="1214" name="1214"/>
                <wp:cNvGraphicFramePr/>
                <a:graphic xmlns:a="http://schemas.openxmlformats.org/drawingml/2006/main">
                  <a:graphicData uri="http://schemas.microsoft.com/office/word/2010/wordprocessingShape">
                    <wps:wsp>
                      <wps:cNvCnPr/>
                      <wps:spPr>
                        <a:xfrm>
                          <a:off x="0" y="0"/>
                          <a:ext cx="2667000" cy="0"/>
                        </a:xfrm>
                        <a:prstGeom prst="line">
                          <a:avLst/>
                        </a:prstGeom>
                        <a:solidFill>
                          <a:srgbClr val="FFFFFF">
                            <a:alpha val="0"/>
                          </a:srgbClr>
                        </a:solidFill>
                        <a:ln w="6350" cap="rnd">
                          <a:solidFill>
                            <a:srgbClr val="000000"/>
                          </a:solidFill>
                          <a:prstDash val="solid"/>
                        </a:ln>
                        <a:effectLst/>
                      </wps:spPr>
                      <wps:bodyPr vert="horz" wrap="square" lIns="91440" tIns="45720" rIns="91440" bIns="45720" anchor="t">
                        <a:noAutofit/>
                      </wps:bodyPr>
                    </wps:wsp>
                  </a:graphicData>
                </a:graphic>
              </wp:anchor>
            </w:drawing>
          </mc:Choice>
          <mc:Fallback>
            <w:pict>
              <v:line id="1214" o:spid="_x0000_s1026" o:spt="20" style="position:absolute;left:0pt;margin-left:54pt;margin-top:96.45pt;height:0pt;width:210pt;mso-position-horizontal-relative:page;mso-position-vertical-relative:page;z-index:-251657216;mso-width-relative:page;mso-height-relative:page;" fillcolor="#FFFFFF" filled="t" stroked="t" coordsize="21600,21600" o:gfxdata="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bFhcOtMAAAALAQAADwAAAAAAAAABACAAAAAiAAAAZHJzL2Rvd25y&#10;ZXYueG1sUEsBAhQAFAAAAAgAh07iQFCehBIDAgAAQAQAAA4AAAAAAAAAAQAgAAAAIgEAAGRycy9l&#10;Mm9Eb2MueG1sUEsFBgAAAAAGAAYAWQEAAJcFAAAAAA==&#10;">
                <v:fill on="t" opacity="0f" focussize="0,0"/>
                <v:stroke weight="0.5pt" color="#000000" joinstyle="round" endcap="round"/>
                <v:imagedata o:title=""/>
                <o:lock v:ext="edit" aspectratio="f"/>
              </v:line>
            </w:pict>
          </mc:Fallback>
        </mc:AlternateContent>
      </w:r>
    </w:p>
    <w:tbl>
      <w:tblPr>
        <w:tblStyle w:val="6"/>
        <w:tblW w:w="9285" w:type="dxa"/>
        <w:tblInd w:w="23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83"/>
        <w:gridCol w:w="464"/>
        <w:gridCol w:w="1548"/>
        <w:gridCol w:w="328"/>
        <w:gridCol w:w="1219"/>
        <w:gridCol w:w="674"/>
        <w:gridCol w:w="874"/>
        <w:gridCol w:w="711"/>
        <w:gridCol w:w="836"/>
        <w:gridCol w:w="272"/>
        <w:gridCol w:w="12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083" w:type="dxa"/>
            <w:vAlign w:val="top"/>
          </w:tcPr>
          <w:p>
            <w:pPr>
              <w:autoSpaceDE w:val="0"/>
              <w:autoSpaceDN w:val="0"/>
              <w:snapToGrid w:val="0"/>
              <w:spacing w:before="167"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姓名</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67"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性别</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67"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年龄</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3" w:hRule="exact"/>
        </w:trPr>
        <w:tc>
          <w:tcPr>
            <w:tcW w:w="1083" w:type="dxa"/>
            <w:vAlign w:val="top"/>
          </w:tcPr>
          <w:p>
            <w:pPr>
              <w:autoSpaceDE w:val="0"/>
              <w:autoSpaceDN w:val="0"/>
              <w:snapToGrid w:val="0"/>
              <w:spacing w:before="179" w:after="0" w:line="263" w:lineRule="exact"/>
              <w:ind w:left="327"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职务</w:t>
            </w:r>
          </w:p>
        </w:tc>
        <w:tc>
          <w:tcPr>
            <w:tcW w:w="2340" w:type="dxa"/>
            <w:gridSpan w:val="3"/>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893" w:type="dxa"/>
            <w:gridSpan w:val="2"/>
            <w:vAlign w:val="top"/>
          </w:tcPr>
          <w:p>
            <w:pPr>
              <w:autoSpaceDE w:val="0"/>
              <w:autoSpaceDN w:val="0"/>
              <w:snapToGrid w:val="0"/>
              <w:spacing w:before="179" w:after="0" w:line="263" w:lineRule="exact"/>
              <w:ind w:left="731"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职称</w:t>
            </w:r>
          </w:p>
        </w:tc>
        <w:tc>
          <w:tcPr>
            <w:tcW w:w="1585"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108" w:type="dxa"/>
            <w:gridSpan w:val="2"/>
            <w:vAlign w:val="top"/>
          </w:tcPr>
          <w:p>
            <w:pPr>
              <w:autoSpaceDE w:val="0"/>
              <w:autoSpaceDN w:val="0"/>
              <w:snapToGrid w:val="0"/>
              <w:spacing w:before="179" w:after="0" w:line="263" w:lineRule="exact"/>
              <w:ind w:left="3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学历</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3423" w:type="dxa"/>
            <w:gridSpan w:val="4"/>
            <w:vAlign w:val="top"/>
          </w:tcPr>
          <w:p>
            <w:pPr>
              <w:autoSpaceDE w:val="0"/>
              <w:autoSpaceDN w:val="0"/>
              <w:snapToGrid w:val="0"/>
              <w:spacing w:before="167" w:after="0" w:line="263" w:lineRule="exact"/>
              <w:ind w:left="107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参加工作时间</w:t>
            </w:r>
          </w:p>
        </w:tc>
        <w:tc>
          <w:tcPr>
            <w:tcW w:w="1893"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2693" w:type="dxa"/>
            <w:gridSpan w:val="4"/>
            <w:vAlign w:val="top"/>
          </w:tcPr>
          <w:p>
            <w:pPr>
              <w:autoSpaceDE w:val="0"/>
              <w:autoSpaceDN w:val="0"/>
              <w:snapToGrid w:val="0"/>
              <w:spacing w:before="167" w:after="0" w:line="263" w:lineRule="exact"/>
              <w:ind w:left="396"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担任技术负责人年限</w:t>
            </w:r>
          </w:p>
        </w:tc>
        <w:tc>
          <w:tcPr>
            <w:tcW w:w="1276"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30" w:hRule="exact"/>
        </w:trPr>
        <w:tc>
          <w:tcPr>
            <w:tcW w:w="9285" w:type="dxa"/>
            <w:gridSpan w:val="11"/>
            <w:vAlign w:val="top"/>
          </w:tcPr>
          <w:p>
            <w:pPr>
              <w:autoSpaceDE w:val="0"/>
              <w:autoSpaceDN w:val="0"/>
              <w:snapToGrid w:val="0"/>
              <w:spacing w:before="177" w:after="0" w:line="263" w:lineRule="exact"/>
              <w:ind w:left="348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在建和已完工程项目情况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610" w:hRule="exact"/>
        </w:trPr>
        <w:tc>
          <w:tcPr>
            <w:tcW w:w="1547"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建设单位</w:t>
            </w:r>
          </w:p>
        </w:tc>
        <w:tc>
          <w:tcPr>
            <w:tcW w:w="1548" w:type="dxa"/>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项目名称</w:t>
            </w:r>
          </w:p>
        </w:tc>
        <w:tc>
          <w:tcPr>
            <w:tcW w:w="1547" w:type="dxa"/>
            <w:gridSpan w:val="2"/>
            <w:vAlign w:val="top"/>
          </w:tcPr>
          <w:p>
            <w:pPr>
              <w:autoSpaceDE w:val="0"/>
              <w:autoSpaceDN w:val="0"/>
              <w:snapToGrid w:val="0"/>
              <w:spacing w:before="167" w:after="0" w:line="263" w:lineRule="exact"/>
              <w:ind w:left="348"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建设规模</w:t>
            </w:r>
          </w:p>
        </w:tc>
        <w:tc>
          <w:tcPr>
            <w:tcW w:w="1548" w:type="dxa"/>
            <w:gridSpan w:val="2"/>
            <w:vAlign w:val="top"/>
          </w:tcPr>
          <w:p>
            <w:pPr>
              <w:autoSpaceDE w:val="0"/>
              <w:autoSpaceDN w:val="0"/>
              <w:snapToGrid w:val="0"/>
              <w:spacing w:before="167" w:after="0" w:line="263" w:lineRule="exact"/>
              <w:ind w:left="13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开、竣工日期</w:t>
            </w:r>
          </w:p>
        </w:tc>
        <w:tc>
          <w:tcPr>
            <w:tcW w:w="1547" w:type="dxa"/>
            <w:gridSpan w:val="2"/>
            <w:vAlign w:val="top"/>
          </w:tcPr>
          <w:p>
            <w:pPr>
              <w:autoSpaceDE w:val="0"/>
              <w:autoSpaceDN w:val="0"/>
              <w:snapToGrid w:val="0"/>
              <w:spacing w:before="167" w:after="0" w:line="263" w:lineRule="exact"/>
              <w:ind w:left="243"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在建或已完</w:t>
            </w:r>
          </w:p>
        </w:tc>
        <w:tc>
          <w:tcPr>
            <w:tcW w:w="1548" w:type="dxa"/>
            <w:gridSpan w:val="2"/>
            <w:vAlign w:val="top"/>
          </w:tcPr>
          <w:p>
            <w:pPr>
              <w:autoSpaceDE w:val="0"/>
              <w:autoSpaceDN w:val="0"/>
              <w:snapToGrid w:val="0"/>
              <w:spacing w:before="167" w:after="0" w:line="263" w:lineRule="exact"/>
              <w:ind w:left="349" w:right="0" w:firstLine="0"/>
              <w:jc w:val="left"/>
              <w:textAlignment w:val="auto"/>
              <w:rPr>
                <w:rFonts w:hint="default" w:ascii="宋体" w:hAnsi="宋体" w:eastAsia="宋体" w:cs="宋体"/>
                <w:color w:val="auto"/>
                <w:sz w:val="21"/>
              </w:rPr>
            </w:pPr>
            <w:r>
              <w:rPr>
                <w:rFonts w:hint="default" w:ascii="宋体" w:hAnsi="宋体" w:eastAsia="宋体" w:cs="宋体"/>
                <w:color w:val="auto"/>
                <w:sz w:val="21"/>
              </w:rPr>
              <w:t>工程质量</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1"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559" w:hRule="exact"/>
        </w:trPr>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7"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c>
          <w:tcPr>
            <w:tcW w:w="1548" w:type="dxa"/>
            <w:gridSpan w:val="2"/>
            <w:vAlign w:val="top"/>
          </w:tcPr>
          <w:p>
            <w:pPr>
              <w:autoSpaceDE w:val="0"/>
              <w:autoSpaceDN w:val="0"/>
              <w:snapToGrid w:val="0"/>
              <w:spacing w:before="0" w:after="0" w:line="240" w:lineRule="auto"/>
              <w:ind w:left="0" w:right="0" w:firstLine="0"/>
              <w:jc w:val="left"/>
              <w:textAlignment w:val="auto"/>
              <w:rPr>
                <w:rFonts w:hint="default" w:ascii="宋体" w:hAnsi="宋体" w:eastAsia="宋体" w:cs="宋体"/>
                <w:color w:val="auto"/>
                <w:sz w:val="21"/>
              </w:rPr>
            </w:pPr>
          </w:p>
        </w:tc>
      </w:tr>
    </w:tbl>
    <w:p>
      <w:pPr>
        <w:autoSpaceDE w:val="0"/>
        <w:autoSpaceDN w:val="0"/>
        <w:snapToGrid w:val="0"/>
        <w:spacing w:before="366" w:after="0" w:line="263" w:lineRule="exact"/>
        <w:ind w:left="0" w:right="0" w:firstLine="0"/>
        <w:jc w:val="left"/>
        <w:textAlignment w:val="auto"/>
        <w:rPr>
          <w:rFonts w:hint="default" w:ascii="楷体" w:hAnsi="楷体" w:eastAsia="楷体" w:cs="楷体"/>
          <w:color w:val="auto"/>
          <w:sz w:val="21"/>
        </w:rPr>
      </w:pPr>
      <w:r>
        <w:rPr>
          <w:rFonts w:hint="default" w:ascii="楷体" w:hAnsi="楷体" w:eastAsia="楷体" w:cs="楷体"/>
          <w:color w:val="auto"/>
          <w:sz w:val="21"/>
        </w:rPr>
        <w:t>备注：</w:t>
      </w:r>
    </w:p>
    <w:p>
      <w:pPr>
        <w:autoSpaceDE w:val="0"/>
        <w:autoSpaceDN w:val="0"/>
        <w:snapToGrid w:val="0"/>
        <w:spacing w:before="146" w:after="0" w:line="240" w:lineRule="auto"/>
        <w:ind w:left="420" w:right="0" w:firstLine="0"/>
        <w:jc w:val="left"/>
        <w:textAlignment w:val="auto"/>
        <w:rPr>
          <w:rFonts w:hint="default" w:ascii="楷体" w:hAnsi="楷体" w:eastAsia="楷体" w:cs="楷体"/>
          <w:color w:val="auto"/>
          <w:sz w:val="21"/>
        </w:rPr>
      </w:pPr>
      <w:r>
        <w:rPr>
          <w:rFonts w:hint="default" w:ascii="Times New Roman" w:hAnsi="Times New Roman" w:eastAsia="Times New Roman" w:cs="Times New Roman"/>
          <w:color w:val="auto"/>
          <w:sz w:val="21"/>
        </w:rPr>
        <w:t>1</w:t>
      </w:r>
      <w:r>
        <w:rPr>
          <w:rFonts w:hint="default" w:ascii="楷体" w:hAnsi="楷体" w:eastAsia="楷体" w:cs="楷体"/>
          <w:color w:val="auto"/>
          <w:sz w:val="21"/>
        </w:rPr>
        <w:t>、附技术负责人的职称证、资格证和已完工程中标通知书（如有）、工程合同协议书（如有）、工程竣工验</w:t>
      </w:r>
      <w:r>
        <w:rPr>
          <w:rFonts w:hint="default" w:ascii="楷体" w:hAnsi="楷体" w:eastAsia="楷体" w:cs="楷体"/>
          <w:color w:val="auto"/>
          <w:spacing w:val="-1"/>
          <w:sz w:val="21"/>
        </w:rPr>
        <w:t>收证明材料的</w:t>
      </w:r>
      <w:r>
        <w:rPr>
          <w:rFonts w:hint="default" w:ascii="楷体" w:hAnsi="楷体" w:eastAsia="楷体" w:cs="楷体"/>
          <w:color w:val="auto"/>
          <w:sz w:val="21"/>
        </w:rPr>
        <w:t>复印件（如有），以及投标人认为需要增加的其他证明材料复印件，以上复印件均须加盖投标人单位公章。</w:t>
      </w:r>
    </w:p>
    <w:p>
      <w:pPr>
        <w:numPr>
          <w:ilvl w:val="0"/>
          <w:numId w:val="0"/>
        </w:numPr>
        <w:autoSpaceDE w:val="0"/>
        <w:autoSpaceDN w:val="0"/>
        <w:snapToGrid w:val="0"/>
        <w:spacing w:before="6627" w:after="0" w:line="240" w:lineRule="auto"/>
        <w:ind w:left="4738" w:leftChars="0" w:right="0" w:rightChars="0"/>
        <w:jc w:val="left"/>
        <w:textAlignment w:val="auto"/>
        <w:rPr>
          <w:rFonts w:hint="default" w:ascii="Times New Roman" w:hAnsi="Times New Roman" w:eastAsia="Times New Roman" w:cs="Times New Roman"/>
          <w:color w:val="auto"/>
          <w:sz w:val="18"/>
        </w:rPr>
      </w:pPr>
    </w:p>
    <w:p>
      <w:pPr>
        <w:rPr>
          <w:color w:val="auto"/>
        </w:rPr>
      </w:pPr>
    </w:p>
    <w:sectPr>
      <w:footerReference r:id="rId5" w:type="default"/>
      <w:footnotePr>
        <w:numStart w:val="0"/>
      </w:footnotePr>
      <w:endnotePr>
        <w:numFmt w:val="decimal"/>
        <w:numStart w:val="0"/>
      </w:endnotePr>
      <w:pgSz w:w="11907" w:h="16840"/>
      <w:pgMar w:top="1138" w:right="1167" w:bottom="649" w:left="1080" w:header="0" w:footer="567" w:gutter="0"/>
      <w:pgBorders>
        <w:top w:val="none" w:sz="0" w:space="0"/>
        <w:left w:val="none" w:sz="0" w:space="0"/>
        <w:bottom w:val="none" w:sz="0" w:space="0"/>
        <w:right w:val="none" w:sz="0" w:space="0"/>
      </w:pgBorders>
      <w:pgNumType w:fmt="decimal"/>
      <w:cols w:space="720" w:num="1"/>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modern"/>
    <w:pitch w:val="default"/>
    <w:sig w:usb0="00000001" w:usb1="080E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楷体">
    <w:panose1 w:val="02010609060101010101"/>
    <w:charset w:val="86"/>
    <w:family w:val="auto"/>
    <w:pitch w:val="default"/>
    <w:sig w:usb0="800002BF" w:usb1="38CF7CFA" w:usb2="00000016" w:usb3="00000000" w:csb0="00040001" w:csb1="00000000"/>
  </w:font>
  <w:font w:name="TimesNewRomanPSMT">
    <w:altName w:val="Times New Roman"/>
    <w:panose1 w:val="00000000000000000000"/>
    <w:charset w:val="00"/>
    <w:family w:val="auto"/>
    <w:pitch w:val="default"/>
    <w:sig w:usb0="00000000" w:usb1="00000000" w:usb2="00000000" w:usb3="00000000" w:csb0="00000000" w:csb1="00000000"/>
  </w:font>
  <w:font w:name="PMingLiU">
    <w:altName w:val="宋体"/>
    <w:panose1 w:val="02020500000000000000"/>
    <w:charset w:val="86"/>
    <w:family w:val="auto"/>
    <w:pitch w:val="default"/>
    <w:sig w:usb0="00000000" w:usb1="00000000" w:usb2="00000016" w:usb3="00000000" w:csb0="00100001" w:csb1="00000000"/>
  </w:font>
  <w:font w:name="MS UI Gothic">
    <w:panose1 w:val="020B0600070205080204"/>
    <w:charset w:val="86"/>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9"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I8udqPIAQAAmgMAAA4AAAAAAAAAAQAgAAAAHgEAAGRycy9lMm9Eb2Mu&#10;eG1sUEsFBgAAAAAGAAYAWQEAAFgFA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10"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DOqXm5zwAAAAUBAAAPAAAAAAAAAAEAIAAAACIAAABkcnMvZG93bnJldi54bWxQ&#10;SwECFAAUAAAACACHTuJABRbTx8cBAACbAwAADgAAAAAAAAABACAAAAAeAQAAZHJzL2Uyb0RvYy54&#10;bWxQSwUGAAAAAAYABgBZAQAAVwU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1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wps:txbx>
                    <wps:bodyPr wrap="none" lIns="0" tIns="0" rIns="0" bIns="0" upright="0">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J+q5ckBAACa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cROuKXHc4sTPP3+cf/05//5O&#10;rrM+fYAa0+4DJqbhnR8wd/YDOjPtQUWbv0iIYBzVPV3UlUMiIj9aLVerCkMCY/MF8dnD8xAhvZfe&#10;kmw0NOL4iqr8+BHSmDqn5GrO32ljygiN+8eBmNnDcu9jj9lKw26YCO18e0I+PU6+oQ4XnRLzwaGw&#10;eUlmI87GbjYOIep9V7Yo14Nwe0jYROktVxhhp8I4ssJuWq+8E4/vJevhl9r8B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Ckn6rlyQEAAJoDAAAOAAAAAAAAAAEAIAAAAB4BAABkcnMvZTJvRG9j&#10;LnhtbFBLBQYAAAAABgAGAFkBAABZBQAAAAA=&#10;">
              <v:fill on="f" focussize="0,0"/>
              <v:stroke on="f"/>
              <v:imagedata o:title=""/>
              <o:lock v:ext="edit" aspectratio="f"/>
              <v:textbox inset="0mm,0mm,0mm,0mm" style="mso-fit-shape-to-text:t;">
                <w:txbxContent>
                  <w:p>
                    <w:pPr>
                      <w:pStyle w:val="5"/>
                      <w:rPr>
                        <w:rFonts w:hint="eastAsia" w:eastAsia="宋体"/>
                        <w:lang w:eastAsia="zh-CN"/>
                      </w:rPr>
                    </w:pPr>
                    <w:r>
                      <w:rPr>
                        <w:rFonts w:hint="eastAsia" w:eastAsia="宋体"/>
                        <w:lang w:eastAsia="zh-CN"/>
                      </w:rPr>
                      <w:fldChar w:fldCharType="begin"/>
                    </w:r>
                    <w:r>
                      <w:rPr>
                        <w:rFonts w:hint="eastAsia" w:eastAsia="宋体"/>
                        <w:lang w:eastAsia="zh-CN"/>
                      </w:rPr>
                      <w:instrText xml:space="preserve"> PAGE  \* MERGEFORMAT </w:instrText>
                    </w:r>
                    <w:r>
                      <w:rPr>
                        <w:rFonts w:hint="eastAsia" w:eastAsia="宋体"/>
                        <w:lang w:eastAsia="zh-CN"/>
                      </w:rPr>
                      <w:fldChar w:fldCharType="separate"/>
                    </w:r>
                    <w:r>
                      <w:rPr>
                        <w:rFonts w:hint="eastAsia" w:eastAsia="宋体"/>
                        <w:lang w:eastAsia="zh-CN"/>
                      </w:rPr>
                      <w:t>1</w:t>
                    </w:r>
                    <w:r>
                      <w:rPr>
                        <w:rFonts w:hint="eastAsia" w:eastAsia="宋体"/>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1"/>
    <w:multiLevelType w:val="multilevel"/>
    <w:tmpl w:val="00000001"/>
    <w:lvl w:ilvl="0" w:tentative="0">
      <w:start w:val="1"/>
      <w:numFmt w:val="decimal"/>
      <w:lvlText w:val="%1"/>
      <w:lvlJc w:val="left"/>
      <w:pPr>
        <w:tabs>
          <w:tab w:val="left" w:pos="631"/>
        </w:tabs>
        <w:autoSpaceDE w:val="0"/>
        <w:autoSpaceDN w:val="0"/>
        <w:ind w:left="631" w:hanging="211"/>
      </w:pPr>
    </w:lvl>
    <w:lvl w:ilvl="1" w:tentative="0">
      <w:start w:val="1"/>
      <w:numFmt w:val="decimal"/>
      <w:lvlText w:val="%1.%2"/>
      <w:lvlJc w:val="right"/>
      <w:pPr>
        <w:tabs>
          <w:tab w:val="left" w:pos="1208"/>
        </w:tabs>
        <w:autoSpaceDE w:val="0"/>
        <w:autoSpaceDN w:val="0"/>
        <w:ind w:left="1208" w:hanging="105"/>
      </w:pPr>
    </w:lvl>
    <w:lvl w:ilvl="2" w:tentative="0">
      <w:start w:val="2"/>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firstLine="683"/>
      </w:pPr>
    </w:lvl>
    <w:lvl w:ilvl="4" w:tentative="0">
      <w:start w:val="1"/>
      <w:numFmt w:val="decimal"/>
      <w:lvlText w:val="%1.%2.%3.%4.%5"/>
      <w:lvlJc w:val="left"/>
      <w:pPr>
        <w:autoSpaceDE w:val="0"/>
        <w:autoSpaceDN w:val="0"/>
        <w:ind w:left="420" w:firstLine="683"/>
      </w:pPr>
    </w:lvl>
    <w:lvl w:ilvl="5" w:tentative="0">
      <w:start w:val="1"/>
      <w:numFmt w:val="decimal"/>
      <w:lvlText w:val="%1.%2.%3.%4.%5.%6"/>
      <w:lvlJc w:val="left"/>
      <w:pPr>
        <w:autoSpaceDE w:val="0"/>
        <w:autoSpaceDN w:val="0"/>
        <w:ind w:left="420" w:firstLine="683"/>
      </w:pPr>
    </w:lvl>
    <w:lvl w:ilvl="6" w:tentative="0">
      <w:start w:val="1"/>
      <w:numFmt w:val="decimal"/>
      <w:lvlText w:val="%1.%2.%3.%4.%5.%6.%7"/>
      <w:lvlJc w:val="left"/>
      <w:pPr>
        <w:autoSpaceDE w:val="0"/>
        <w:autoSpaceDN w:val="0"/>
        <w:ind w:left="420" w:firstLine="683"/>
      </w:pPr>
    </w:lvl>
    <w:lvl w:ilvl="7" w:tentative="0">
      <w:start w:val="1"/>
      <w:numFmt w:val="decimal"/>
      <w:lvlText w:val="%1.%2.%3.%4.%5.%6.%7.%8"/>
      <w:lvlJc w:val="left"/>
      <w:pPr>
        <w:autoSpaceDE w:val="0"/>
        <w:autoSpaceDN w:val="0"/>
        <w:ind w:left="420" w:firstLine="683"/>
      </w:pPr>
    </w:lvl>
    <w:lvl w:ilvl="8" w:tentative="0">
      <w:start w:val="1"/>
      <w:numFmt w:val="decimal"/>
      <w:lvlText w:val="%1.%2.%3.%4.%5.%6.%7.%8.%9"/>
      <w:lvlJc w:val="left"/>
      <w:pPr>
        <w:autoSpaceDE w:val="0"/>
        <w:autoSpaceDN w:val="0"/>
        <w:ind w:left="420" w:firstLine="683"/>
      </w:pPr>
    </w:lvl>
  </w:abstractNum>
  <w:abstractNum w:abstractNumId="1">
    <w:nsid w:val="00000003"/>
    <w:multiLevelType w:val="multilevel"/>
    <w:tmpl w:val="00000003"/>
    <w:lvl w:ilvl="0" w:tentative="0">
      <w:start w:val="2"/>
      <w:numFmt w:val="decimal"/>
      <w:lvlText w:val="%1"/>
      <w:lvlJc w:val="left"/>
      <w:pPr>
        <w:tabs>
          <w:tab w:val="left" w:pos="631"/>
        </w:tabs>
        <w:autoSpaceDE w:val="0"/>
        <w:autoSpaceDN w:val="0"/>
        <w:ind w:left="631" w:hanging="211"/>
      </w:pPr>
    </w:lvl>
    <w:lvl w:ilvl="1" w:tentative="0">
      <w:start w:val="1"/>
      <w:numFmt w:val="decimal"/>
      <w:lvlText w:val="%1.%2"/>
      <w:lvlJc w:val="left"/>
      <w:pPr>
        <w:tabs>
          <w:tab w:val="left" w:pos="1208"/>
        </w:tabs>
        <w:autoSpaceDE w:val="0"/>
        <w:autoSpaceDN w:val="0"/>
        <w:ind w:left="1208" w:hanging="368"/>
      </w:pPr>
    </w:lvl>
    <w:lvl w:ilvl="2" w:tentative="0">
      <w:start w:val="3"/>
      <w:numFmt w:val="decimal"/>
      <w:lvlText w:val="%1.%2.%3"/>
      <w:lvlJc w:val="left"/>
      <w:pPr>
        <w:tabs>
          <w:tab w:val="left" w:pos="1137"/>
        </w:tabs>
        <w:autoSpaceDE w:val="0"/>
        <w:autoSpaceDN w:val="0"/>
        <w:ind w:left="1137" w:hanging="717"/>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2">
    <w:nsid w:val="00000004"/>
    <w:multiLevelType w:val="multilevel"/>
    <w:tmpl w:val="00000004"/>
    <w:lvl w:ilvl="0" w:tentative="0">
      <w:start w:val="3"/>
      <w:numFmt w:val="decimal"/>
      <w:lvlText w:val="%1"/>
      <w:lvlJc w:val="left"/>
      <w:pPr>
        <w:autoSpaceDE w:val="0"/>
        <w:autoSpaceDN w:val="0"/>
        <w:ind w:left="420"/>
      </w:pPr>
    </w:lvl>
    <w:lvl w:ilvl="1" w:tentative="0">
      <w:start w:val="1"/>
      <w:numFmt w:val="decimal"/>
      <w:lvlText w:val="%1.%2"/>
      <w:lvlJc w:val="left"/>
      <w:pPr>
        <w:tabs>
          <w:tab w:val="left" w:pos="1208"/>
        </w:tabs>
        <w:autoSpaceDE w:val="0"/>
        <w:autoSpaceDN w:val="0"/>
        <w:ind w:left="1208" w:hanging="368"/>
      </w:pPr>
    </w:lvl>
    <w:lvl w:ilvl="2" w:tentative="0">
      <w:start w:val="1"/>
      <w:numFmt w:val="decimal"/>
      <w:lvlText w:val="%1.%2.%3"/>
      <w:lvlJc w:val="left"/>
      <w:pPr>
        <w:tabs>
          <w:tab w:val="left" w:pos="950"/>
        </w:tabs>
        <w:autoSpaceDE w:val="0"/>
        <w:autoSpaceDN w:val="0"/>
        <w:ind w:left="950" w:hanging="5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
    <w:nsid w:val="00000007"/>
    <w:multiLevelType w:val="multilevel"/>
    <w:tmpl w:val="00000007"/>
    <w:lvl w:ilvl="0" w:tentative="0">
      <w:start w:val="6"/>
      <w:numFmt w:val="decimal"/>
      <w:lvlText w:val="%1"/>
      <w:lvlJc w:val="left"/>
      <w:pPr>
        <w:autoSpaceDE w:val="0"/>
        <w:autoSpaceDN w:val="0"/>
        <w:ind w:left="420"/>
      </w:pPr>
    </w:lvl>
    <w:lvl w:ilvl="1" w:tentative="0">
      <w:start w:val="1"/>
      <w:numFmt w:val="decimal"/>
      <w:lvlText w:val="%1.%2"/>
      <w:lvlJc w:val="left"/>
      <w:pPr>
        <w:tabs>
          <w:tab w:val="left" w:pos="1208"/>
        </w:tabs>
        <w:autoSpaceDE w:val="0"/>
        <w:autoSpaceDN w:val="0"/>
        <w:ind w:left="1208" w:hanging="368"/>
      </w:pPr>
    </w:lvl>
    <w:lvl w:ilvl="2" w:tentative="0">
      <w:start w:val="3"/>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
    <w:nsid w:val="00000009"/>
    <w:multiLevelType w:val="multilevel"/>
    <w:tmpl w:val="00000009"/>
    <w:lvl w:ilvl="0" w:tentative="0">
      <w:start w:val="7"/>
      <w:numFmt w:val="decimal"/>
      <w:lvlText w:val="%1"/>
      <w:lvlJc w:val="left"/>
      <w:pPr>
        <w:autoSpaceDE w:val="0"/>
        <w:autoSpaceDN w:val="0"/>
        <w:ind w:left="420"/>
      </w:pPr>
    </w:lvl>
    <w:lvl w:ilvl="1" w:tentative="0">
      <w:start w:val="1"/>
      <w:numFmt w:val="decimal"/>
      <w:lvlText w:val="%1.%2"/>
      <w:lvlJc w:val="left"/>
      <w:pPr>
        <w:tabs>
          <w:tab w:val="left" w:pos="1208"/>
        </w:tabs>
        <w:autoSpaceDE w:val="0"/>
        <w:autoSpaceDN w:val="0"/>
        <w:ind w:left="1208" w:hanging="368"/>
      </w:pPr>
    </w:lvl>
    <w:lvl w:ilvl="2" w:tentative="0">
      <w:start w:val="1"/>
      <w:numFmt w:val="decimal"/>
      <w:lvlText w:val="%1.%2.%3"/>
      <w:lvlJc w:val="left"/>
      <w:pPr>
        <w:tabs>
          <w:tab w:val="left" w:pos="1031"/>
        </w:tabs>
        <w:autoSpaceDE w:val="0"/>
        <w:autoSpaceDN w:val="0"/>
        <w:ind w:left="1031" w:hanging="611"/>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
    <w:nsid w:val="0000000B"/>
    <w:multiLevelType w:val="multilevel"/>
    <w:tmpl w:val="0000000B"/>
    <w:lvl w:ilvl="0" w:tentative="0">
      <w:start w:val="10"/>
      <w:numFmt w:val="decimal"/>
      <w:lvlText w:val="%1"/>
      <w:lvlJc w:val="left"/>
      <w:pPr>
        <w:tabs>
          <w:tab w:val="left" w:pos="738"/>
        </w:tabs>
        <w:autoSpaceDE w:val="0"/>
        <w:autoSpaceDN w:val="0"/>
        <w:ind w:left="738" w:hanging="318"/>
      </w:pPr>
    </w:lvl>
    <w:lvl w:ilvl="1" w:tentative="0">
      <w:start w:val="1"/>
      <w:numFmt w:val="decimal"/>
      <w:lvlText w:val="%1.%2"/>
      <w:lvlJc w:val="right"/>
      <w:pPr>
        <w:tabs>
          <w:tab w:val="left" w:pos="1313"/>
        </w:tabs>
        <w:autoSpaceDE w:val="0"/>
        <w:autoSpaceDN w:val="0"/>
        <w:ind w:left="1313" w:hanging="105"/>
      </w:pPr>
    </w:lvl>
    <w:lvl w:ilvl="2" w:tentative="0">
      <w:start w:val="1"/>
      <w:numFmt w:val="decimal"/>
      <w:lvlText w:val="%1.%2.%3"/>
      <w:lvlJc w:val="left"/>
      <w:pPr>
        <w:autoSpaceDE w:val="0"/>
        <w:autoSpaceDN w:val="0"/>
        <w:ind w:left="420" w:firstLine="788"/>
      </w:pPr>
    </w:lvl>
    <w:lvl w:ilvl="3" w:tentative="0">
      <w:start w:val="1"/>
      <w:numFmt w:val="decimal"/>
      <w:lvlText w:val="%1.%2.%3.%4"/>
      <w:lvlJc w:val="left"/>
      <w:pPr>
        <w:autoSpaceDE w:val="0"/>
        <w:autoSpaceDN w:val="0"/>
        <w:ind w:left="420" w:firstLine="788"/>
      </w:pPr>
    </w:lvl>
    <w:lvl w:ilvl="4" w:tentative="0">
      <w:start w:val="1"/>
      <w:numFmt w:val="decimal"/>
      <w:lvlText w:val="%1.%2.%3.%4.%5"/>
      <w:lvlJc w:val="left"/>
      <w:pPr>
        <w:autoSpaceDE w:val="0"/>
        <w:autoSpaceDN w:val="0"/>
        <w:ind w:left="420" w:firstLine="788"/>
      </w:pPr>
    </w:lvl>
    <w:lvl w:ilvl="5" w:tentative="0">
      <w:start w:val="1"/>
      <w:numFmt w:val="decimal"/>
      <w:lvlText w:val="%1.%2.%3.%4.%5.%6"/>
      <w:lvlJc w:val="left"/>
      <w:pPr>
        <w:autoSpaceDE w:val="0"/>
        <w:autoSpaceDN w:val="0"/>
        <w:ind w:left="420" w:firstLine="788"/>
      </w:pPr>
    </w:lvl>
    <w:lvl w:ilvl="6" w:tentative="0">
      <w:start w:val="1"/>
      <w:numFmt w:val="decimal"/>
      <w:lvlText w:val="%1.%2.%3.%4.%5.%6.%7"/>
      <w:lvlJc w:val="left"/>
      <w:pPr>
        <w:autoSpaceDE w:val="0"/>
        <w:autoSpaceDN w:val="0"/>
        <w:ind w:left="420" w:firstLine="788"/>
      </w:pPr>
    </w:lvl>
    <w:lvl w:ilvl="7" w:tentative="0">
      <w:start w:val="1"/>
      <w:numFmt w:val="decimal"/>
      <w:lvlText w:val="%1.%2.%3.%4.%5.%6.%7.%8"/>
      <w:lvlJc w:val="left"/>
      <w:pPr>
        <w:autoSpaceDE w:val="0"/>
        <w:autoSpaceDN w:val="0"/>
        <w:ind w:left="420" w:firstLine="788"/>
      </w:pPr>
    </w:lvl>
    <w:lvl w:ilvl="8" w:tentative="0">
      <w:start w:val="1"/>
      <w:numFmt w:val="decimal"/>
      <w:lvlText w:val="%1.%2.%3.%4.%5.%6.%7.%8.%9"/>
      <w:lvlJc w:val="left"/>
      <w:pPr>
        <w:autoSpaceDE w:val="0"/>
        <w:autoSpaceDN w:val="0"/>
        <w:ind w:left="420" w:firstLine="788"/>
      </w:pPr>
    </w:lvl>
  </w:abstractNum>
  <w:abstractNum w:abstractNumId="6">
    <w:nsid w:val="0000000C"/>
    <w:multiLevelType w:val="multilevel"/>
    <w:tmpl w:val="0000000C"/>
    <w:lvl w:ilvl="0" w:tentative="0">
      <w:start w:val="10"/>
      <w:numFmt w:val="decimal"/>
      <w:lvlText w:val="%1"/>
      <w:lvlJc w:val="left"/>
      <w:pPr>
        <w:autoSpaceDE w:val="0"/>
        <w:autoSpaceDN w:val="0"/>
        <w:ind w:left="420" w:firstLine="420"/>
      </w:pPr>
    </w:lvl>
    <w:lvl w:ilvl="1" w:tentative="0">
      <w:start w:val="10"/>
      <w:numFmt w:val="decimal"/>
      <w:lvlText w:val="%1.%2"/>
      <w:lvlJc w:val="left"/>
      <w:pPr>
        <w:tabs>
          <w:tab w:val="left" w:pos="1418"/>
        </w:tabs>
        <w:autoSpaceDE w:val="0"/>
        <w:autoSpaceDN w:val="0"/>
        <w:ind w:left="1418" w:hanging="578"/>
      </w:pPr>
    </w:lvl>
    <w:lvl w:ilvl="2" w:tentative="0">
      <w:start w:val="1"/>
      <w:numFmt w:val="decimal"/>
      <w:lvlText w:val="%1.%2.%3"/>
      <w:lvlJc w:val="left"/>
      <w:pPr>
        <w:autoSpaceDE w:val="0"/>
        <w:autoSpaceDN w:val="0"/>
        <w:ind w:left="420" w:firstLine="420"/>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7">
    <w:nsid w:val="0000000D"/>
    <w:multiLevelType w:val="multilevel"/>
    <w:tmpl w:val="0000000D"/>
    <w:lvl w:ilvl="0" w:tentative="0">
      <w:start w:val="1"/>
      <w:numFmt w:val="decimal"/>
      <w:lvlText w:val="%1"/>
      <w:lvlJc w:val="left"/>
      <w:pPr>
        <w:tabs>
          <w:tab w:val="left" w:pos="631"/>
        </w:tabs>
        <w:autoSpaceDE w:val="0"/>
        <w:autoSpaceDN w:val="0"/>
        <w:ind w:left="631" w:hanging="211"/>
      </w:pPr>
    </w:lvl>
    <w:lvl w:ilvl="1" w:tentative="0">
      <w:start w:val="1"/>
      <w:numFmt w:val="decimal"/>
      <w:lvlText w:val="%1.%2"/>
      <w:lvlJc w:val="left"/>
      <w:pPr>
        <w:tabs>
          <w:tab w:val="left" w:pos="1208"/>
        </w:tabs>
        <w:autoSpaceDE w:val="0"/>
        <w:autoSpaceDN w:val="0"/>
        <w:ind w:left="1208" w:hanging="368"/>
      </w:pPr>
    </w:lvl>
    <w:lvl w:ilvl="2" w:tentative="0">
      <w:start w:val="3"/>
      <w:numFmt w:val="decimal"/>
      <w:lvlText w:val="%1.%2.%3"/>
      <w:lvlJc w:val="left"/>
      <w:pPr>
        <w:tabs>
          <w:tab w:val="left" w:pos="950"/>
        </w:tabs>
        <w:autoSpaceDE w:val="0"/>
        <w:autoSpaceDN w:val="0"/>
        <w:ind w:left="0" w:firstLine="420"/>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8">
    <w:nsid w:val="0000000F"/>
    <w:multiLevelType w:val="multilevel"/>
    <w:tmpl w:val="0000000F"/>
    <w:lvl w:ilvl="0" w:tentative="0">
      <w:start w:val="1"/>
      <w:numFmt w:val="decimal"/>
      <w:lvlText w:val="%1."/>
      <w:lvlJc w:val="left"/>
      <w:pPr>
        <w:tabs>
          <w:tab w:val="left" w:pos="684"/>
        </w:tabs>
        <w:autoSpaceDE w:val="0"/>
        <w:autoSpaceDN w:val="0"/>
        <w:ind w:left="684" w:hanging="264"/>
      </w:pPr>
    </w:lvl>
    <w:lvl w:ilvl="1" w:tentative="0">
      <w:start w:val="1"/>
      <w:numFmt w:val="decimal"/>
      <w:lvlText w:val="%1.%2"/>
      <w:lvlJc w:val="left"/>
      <w:pPr>
        <w:tabs>
          <w:tab w:val="left" w:pos="1208"/>
        </w:tabs>
        <w:autoSpaceDE w:val="0"/>
        <w:autoSpaceDN w:val="0"/>
        <w:ind w:left="1208" w:hanging="368"/>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9">
    <w:nsid w:val="00000010"/>
    <w:multiLevelType w:val="multilevel"/>
    <w:tmpl w:val="00000010"/>
    <w:lvl w:ilvl="0" w:tentative="0">
      <w:start w:val="1"/>
      <w:numFmt w:val="decimal"/>
      <w:lvlText w:val="%1"/>
      <w:lvlJc w:val="left"/>
      <w:pPr>
        <w:autoSpaceDE w:val="0"/>
        <w:autoSpaceDN w:val="0"/>
        <w:ind w:left="420"/>
      </w:pPr>
    </w:lvl>
    <w:lvl w:ilvl="1" w:tentative="0">
      <w:start w:val="3"/>
      <w:numFmt w:val="decimal"/>
      <w:lvlText w:val="%1.%2"/>
      <w:lvlJc w:val="left"/>
      <w:pPr>
        <w:tabs>
          <w:tab w:val="left" w:pos="1208"/>
        </w:tabs>
        <w:autoSpaceDE w:val="0"/>
        <w:autoSpaceDN w:val="0"/>
        <w:ind w:left="120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0">
    <w:nsid w:val="00000018"/>
    <w:multiLevelType w:val="multilevel"/>
    <w:tmpl w:val="00000018"/>
    <w:lvl w:ilvl="0" w:tentative="0">
      <w:start w:val="7"/>
      <w:numFmt w:val="decimal"/>
      <w:lvlText w:val="%1"/>
      <w:lvlJc w:val="left"/>
      <w:pPr>
        <w:autoSpaceDE w:val="0"/>
        <w:autoSpaceDN w:val="0"/>
        <w:ind w:left="420" w:firstLine="420"/>
      </w:pPr>
    </w:lvl>
    <w:lvl w:ilvl="1" w:tentative="0">
      <w:start w:val="1"/>
      <w:numFmt w:val="decimal"/>
      <w:lvlText w:val="%1.%2"/>
      <w:lvlJc w:val="left"/>
      <w:pPr>
        <w:tabs>
          <w:tab w:val="left" w:pos="1208"/>
        </w:tabs>
        <w:autoSpaceDE w:val="0"/>
        <w:autoSpaceDN w:val="0"/>
        <w:ind w:left="1208" w:hanging="368"/>
      </w:pPr>
    </w:lvl>
    <w:lvl w:ilvl="2" w:tentative="0">
      <w:start w:val="1"/>
      <w:numFmt w:val="decimal"/>
      <w:lvlText w:val="%1.%2.%3"/>
      <w:lvlJc w:val="left"/>
      <w:pPr>
        <w:autoSpaceDE w:val="0"/>
        <w:autoSpaceDN w:val="0"/>
        <w:ind w:left="420" w:firstLine="420"/>
      </w:pPr>
    </w:lvl>
    <w:lvl w:ilvl="3" w:tentative="0">
      <w:start w:val="1"/>
      <w:numFmt w:val="decimal"/>
      <w:lvlText w:val="%1.%2.%3.%4"/>
      <w:lvlJc w:val="left"/>
      <w:pPr>
        <w:autoSpaceDE w:val="0"/>
        <w:autoSpaceDN w:val="0"/>
        <w:ind w:left="420" w:firstLine="420"/>
      </w:pPr>
    </w:lvl>
    <w:lvl w:ilvl="4" w:tentative="0">
      <w:start w:val="1"/>
      <w:numFmt w:val="decimal"/>
      <w:lvlText w:val="%1.%2.%3.%4.%5"/>
      <w:lvlJc w:val="left"/>
      <w:pPr>
        <w:autoSpaceDE w:val="0"/>
        <w:autoSpaceDN w:val="0"/>
        <w:ind w:left="420" w:firstLine="420"/>
      </w:pPr>
    </w:lvl>
    <w:lvl w:ilvl="5" w:tentative="0">
      <w:start w:val="1"/>
      <w:numFmt w:val="decimal"/>
      <w:lvlText w:val="%1.%2.%3.%4.%5.%6"/>
      <w:lvlJc w:val="left"/>
      <w:pPr>
        <w:autoSpaceDE w:val="0"/>
        <w:autoSpaceDN w:val="0"/>
        <w:ind w:left="420" w:firstLine="420"/>
      </w:pPr>
    </w:lvl>
    <w:lvl w:ilvl="6" w:tentative="0">
      <w:start w:val="1"/>
      <w:numFmt w:val="decimal"/>
      <w:lvlText w:val="%1.%2.%3.%4.%5.%6.%7"/>
      <w:lvlJc w:val="left"/>
      <w:pPr>
        <w:autoSpaceDE w:val="0"/>
        <w:autoSpaceDN w:val="0"/>
        <w:ind w:left="420" w:firstLine="420"/>
      </w:pPr>
    </w:lvl>
    <w:lvl w:ilvl="7" w:tentative="0">
      <w:start w:val="1"/>
      <w:numFmt w:val="decimal"/>
      <w:lvlText w:val="%1.%2.%3.%4.%5.%6.%7.%8"/>
      <w:lvlJc w:val="left"/>
      <w:pPr>
        <w:autoSpaceDE w:val="0"/>
        <w:autoSpaceDN w:val="0"/>
        <w:ind w:left="420" w:firstLine="420"/>
      </w:pPr>
    </w:lvl>
    <w:lvl w:ilvl="8" w:tentative="0">
      <w:start w:val="1"/>
      <w:numFmt w:val="decimal"/>
      <w:lvlText w:val="%1.%2.%3.%4.%5.%6.%7.%8.%9"/>
      <w:lvlJc w:val="left"/>
      <w:pPr>
        <w:autoSpaceDE w:val="0"/>
        <w:autoSpaceDN w:val="0"/>
        <w:ind w:left="420" w:firstLine="420"/>
      </w:pPr>
    </w:lvl>
  </w:abstractNum>
  <w:abstractNum w:abstractNumId="11">
    <w:nsid w:val="0000001A"/>
    <w:multiLevelType w:val="multilevel"/>
    <w:tmpl w:val="0000001A"/>
    <w:lvl w:ilvl="0" w:tentative="0">
      <w:start w:val="7"/>
      <w:numFmt w:val="decimal"/>
      <w:lvlText w:val="%1"/>
      <w:lvlJc w:val="left"/>
      <w:pPr>
        <w:autoSpaceDE w:val="0"/>
        <w:autoSpaceDN w:val="0"/>
        <w:ind w:left="420" w:firstLine="3328"/>
      </w:pPr>
    </w:lvl>
    <w:lvl w:ilvl="1" w:tentative="0">
      <w:start w:val="9"/>
      <w:numFmt w:val="decimal"/>
      <w:lvlText w:val="%1.%2"/>
      <w:lvlJc w:val="left"/>
      <w:pPr>
        <w:tabs>
          <w:tab w:val="left" w:pos="1208"/>
        </w:tabs>
        <w:autoSpaceDE w:val="0"/>
        <w:autoSpaceDN w:val="0"/>
        <w:ind w:left="120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2">
    <w:nsid w:val="00000024"/>
    <w:multiLevelType w:val="multilevel"/>
    <w:tmpl w:val="00000024"/>
    <w:lvl w:ilvl="0" w:tentative="0">
      <w:start w:val="11"/>
      <w:numFmt w:val="decimal"/>
      <w:lvlText w:val="%1"/>
      <w:lvlJc w:val="left"/>
      <w:pPr>
        <w:autoSpaceDE w:val="0"/>
        <w:autoSpaceDN w:val="0"/>
        <w:ind w:left="420" w:firstLine="4363"/>
      </w:pPr>
    </w:lvl>
    <w:lvl w:ilvl="1" w:tentative="0">
      <w:start w:val="1"/>
      <w:numFmt w:val="decimal"/>
      <w:lvlText w:val="%1.%2"/>
      <w:lvlJc w:val="left"/>
      <w:pPr>
        <w:tabs>
          <w:tab w:val="left" w:pos="1313"/>
        </w:tabs>
        <w:autoSpaceDE w:val="0"/>
        <w:autoSpaceDN w:val="0"/>
        <w:ind w:left="1313" w:hanging="47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3">
    <w:nsid w:val="00000025"/>
    <w:multiLevelType w:val="multilevel"/>
    <w:tmpl w:val="00000025"/>
    <w:lvl w:ilvl="0" w:tentative="0">
      <w:start w:val="12"/>
      <w:numFmt w:val="decimal"/>
      <w:lvlText w:val="%1"/>
      <w:lvlJc w:val="left"/>
      <w:pPr>
        <w:autoSpaceDE w:val="0"/>
        <w:autoSpaceDN w:val="0"/>
        <w:ind w:left="420"/>
      </w:pPr>
    </w:lvl>
    <w:lvl w:ilvl="1" w:tentative="0">
      <w:start w:val="1"/>
      <w:numFmt w:val="decimal"/>
      <w:lvlText w:val="%1.%2"/>
      <w:lvlJc w:val="left"/>
      <w:pPr>
        <w:tabs>
          <w:tab w:val="left" w:pos="1313"/>
        </w:tabs>
        <w:autoSpaceDE w:val="0"/>
        <w:autoSpaceDN w:val="0"/>
        <w:ind w:left="1313" w:hanging="473"/>
      </w:pPr>
    </w:lvl>
    <w:lvl w:ilvl="2" w:tentative="0">
      <w:start w:val="6"/>
      <w:numFmt w:val="decimal"/>
      <w:lvlText w:val="%1.%2.%3"/>
      <w:lvlJc w:val="left"/>
      <w:pPr>
        <w:tabs>
          <w:tab w:val="left" w:pos="1155"/>
        </w:tabs>
        <w:autoSpaceDE w:val="0"/>
        <w:autoSpaceDN w:val="0"/>
        <w:ind w:left="1155"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4">
    <w:nsid w:val="00000026"/>
    <w:multiLevelType w:val="multilevel"/>
    <w:tmpl w:val="00000026"/>
    <w:lvl w:ilvl="0" w:tentative="0">
      <w:start w:val="13"/>
      <w:numFmt w:val="decimal"/>
      <w:lvlText w:val="%1"/>
      <w:lvlJc w:val="left"/>
      <w:pPr>
        <w:autoSpaceDE w:val="0"/>
        <w:autoSpaceDN w:val="0"/>
        <w:ind w:left="420"/>
      </w:pPr>
    </w:lvl>
    <w:lvl w:ilvl="1" w:tentative="0">
      <w:start w:val="1"/>
      <w:numFmt w:val="decimal"/>
      <w:lvlText w:val="%1.%2"/>
      <w:lvlJc w:val="left"/>
      <w:pPr>
        <w:tabs>
          <w:tab w:val="left" w:pos="1313"/>
        </w:tabs>
        <w:autoSpaceDE w:val="0"/>
        <w:autoSpaceDN w:val="0"/>
        <w:ind w:left="131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5">
    <w:nsid w:val="0000002A"/>
    <w:multiLevelType w:val="multilevel"/>
    <w:tmpl w:val="0000002A"/>
    <w:lvl w:ilvl="0" w:tentative="0">
      <w:start w:val="15"/>
      <w:numFmt w:val="decimal"/>
      <w:lvlText w:val="%1"/>
      <w:lvlJc w:val="left"/>
      <w:pPr>
        <w:autoSpaceDE w:val="0"/>
        <w:autoSpaceDN w:val="0"/>
        <w:ind w:left="420"/>
      </w:pPr>
    </w:lvl>
    <w:lvl w:ilvl="1" w:tentative="0">
      <w:start w:val="2"/>
      <w:numFmt w:val="decimal"/>
      <w:lvlText w:val="%1.%2"/>
      <w:lvlJc w:val="left"/>
      <w:pPr>
        <w:tabs>
          <w:tab w:val="left" w:pos="1313"/>
        </w:tabs>
        <w:autoSpaceDE w:val="0"/>
        <w:autoSpaceDN w:val="0"/>
        <w:ind w:left="1313" w:hanging="473"/>
      </w:pPr>
    </w:lvl>
    <w:lvl w:ilvl="2" w:tentative="0">
      <w:start w:val="3"/>
      <w:numFmt w:val="decimal"/>
      <w:lvlText w:val="%1.%2.%3"/>
      <w:lvlJc w:val="left"/>
      <w:pPr>
        <w:tabs>
          <w:tab w:val="left" w:pos="1040"/>
        </w:tabs>
        <w:autoSpaceDE w:val="0"/>
        <w:autoSpaceDN w:val="0"/>
        <w:ind w:left="104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6">
    <w:nsid w:val="0000002B"/>
    <w:multiLevelType w:val="multilevel"/>
    <w:tmpl w:val="0000002B"/>
    <w:lvl w:ilvl="0" w:tentative="0">
      <w:start w:val="16"/>
      <w:numFmt w:val="decimal"/>
      <w:lvlText w:val="%1"/>
      <w:lvlJc w:val="left"/>
      <w:pPr>
        <w:autoSpaceDE w:val="0"/>
        <w:autoSpaceDN w:val="0"/>
        <w:ind w:left="420"/>
      </w:pPr>
    </w:lvl>
    <w:lvl w:ilvl="1" w:tentative="0">
      <w:start w:val="1"/>
      <w:numFmt w:val="decimal"/>
      <w:lvlText w:val="%1.%2"/>
      <w:lvlJc w:val="left"/>
      <w:pPr>
        <w:tabs>
          <w:tab w:val="left" w:pos="1313"/>
        </w:tabs>
        <w:autoSpaceDE w:val="0"/>
        <w:autoSpaceDN w:val="0"/>
        <w:ind w:left="131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7">
    <w:nsid w:val="00000035"/>
    <w:multiLevelType w:val="multilevel"/>
    <w:tmpl w:val="00000035"/>
    <w:lvl w:ilvl="0" w:tentative="0">
      <w:start w:val="1"/>
      <w:numFmt w:val="decimal"/>
      <w:lvlText w:val="%1"/>
      <w:lvlJc w:val="left"/>
      <w:pPr>
        <w:tabs>
          <w:tab w:val="left" w:pos="631"/>
        </w:tabs>
        <w:autoSpaceDE w:val="0"/>
        <w:autoSpaceDN w:val="0"/>
        <w:ind w:left="631" w:hanging="211"/>
      </w:pPr>
    </w:lvl>
    <w:lvl w:ilvl="1" w:tentative="0">
      <w:start w:val="2"/>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8">
    <w:nsid w:val="00000036"/>
    <w:multiLevelType w:val="multilevel"/>
    <w:tmpl w:val="00000036"/>
    <w:lvl w:ilvl="0" w:tentative="0">
      <w:start w:val="1"/>
      <w:numFmt w:val="decimal"/>
      <w:lvlText w:val="%1."/>
      <w:lvlJc w:val="left"/>
      <w:pPr>
        <w:tabs>
          <w:tab w:val="left" w:pos="280"/>
        </w:tabs>
        <w:autoSpaceDE w:val="0"/>
        <w:autoSpaceDN w:val="0"/>
        <w:ind w:left="280" w:hanging="280"/>
      </w:pPr>
    </w:lvl>
    <w:lvl w:ilvl="1" w:tentative="0">
      <w:start w:val="1"/>
      <w:numFmt w:val="decimal"/>
      <w:lvlText w:val="%1.%2"/>
      <w:lvlJc w:val="left"/>
      <w:pPr>
        <w:tabs>
          <w:tab w:val="left" w:pos="804"/>
        </w:tabs>
        <w:autoSpaceDE w:val="0"/>
        <w:autoSpaceDN w:val="0"/>
        <w:ind w:left="0" w:firstLine="420"/>
      </w:pPr>
    </w:lvl>
    <w:lvl w:ilvl="2" w:tentative="0">
      <w:start w:val="2"/>
      <w:numFmt w:val="decimal"/>
      <w:lvlText w:val="%1.%2.%3"/>
      <w:lvlJc w:val="left"/>
      <w:pPr>
        <w:tabs>
          <w:tab w:val="left" w:pos="1000"/>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19">
    <w:nsid w:val="00000037"/>
    <w:multiLevelType w:val="multilevel"/>
    <w:tmpl w:val="00000037"/>
    <w:lvl w:ilvl="0" w:tentative="0">
      <w:start w:val="1"/>
      <w:numFmt w:val="decimal"/>
      <w:lvlText w:val="%1"/>
      <w:lvlJc w:val="left"/>
      <w:pPr>
        <w:tabs>
          <w:tab w:val="left" w:pos="420"/>
        </w:tabs>
        <w:autoSpaceDE w:val="0"/>
        <w:autoSpaceDN w:val="0"/>
        <w:ind w:left="420" w:firstLine="4408"/>
      </w:pPr>
    </w:lvl>
    <w:lvl w:ilvl="1" w:tentative="0">
      <w:start w:val="1"/>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0">
    <w:nsid w:val="0000003B"/>
    <w:multiLevelType w:val="multilevel"/>
    <w:tmpl w:val="0000003B"/>
    <w:lvl w:ilvl="0" w:tentative="0">
      <w:start w:val="5"/>
      <w:numFmt w:val="decimal"/>
      <w:lvlText w:val="%1"/>
      <w:lvlJc w:val="left"/>
      <w:pPr>
        <w:autoSpaceDE w:val="0"/>
        <w:autoSpaceDN w:val="0"/>
        <w:ind w:left="420" w:firstLine="3328"/>
      </w:pPr>
    </w:lvl>
    <w:lvl w:ilvl="1" w:tentative="0">
      <w:start w:val="1"/>
      <w:numFmt w:val="decimal"/>
      <w:lvlText w:val="%1.%2"/>
      <w:lvlJc w:val="left"/>
      <w:pPr>
        <w:tabs>
          <w:tab w:val="left" w:pos="611"/>
        </w:tabs>
        <w:autoSpaceDE w:val="0"/>
        <w:autoSpaceDN w:val="0"/>
        <w:ind w:left="0" w:firstLine="210"/>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1">
    <w:nsid w:val="00000058"/>
    <w:multiLevelType w:val="multilevel"/>
    <w:tmpl w:val="00000058"/>
    <w:lvl w:ilvl="0" w:tentative="0">
      <w:start w:val="6"/>
      <w:numFmt w:val="decimal"/>
      <w:lvlText w:val="%1"/>
      <w:lvlJc w:val="left"/>
      <w:pPr>
        <w:autoSpaceDE w:val="0"/>
        <w:autoSpaceDN w:val="0"/>
        <w:ind w:left="420"/>
      </w:pPr>
    </w:lvl>
    <w:lvl w:ilvl="1" w:tentative="0">
      <w:start w:val="5"/>
      <w:numFmt w:val="decimal"/>
      <w:lvlText w:val="%1.%2"/>
      <w:lvlJc w:val="left"/>
      <w:pPr>
        <w:tabs>
          <w:tab w:val="left" w:pos="420"/>
        </w:tabs>
        <w:autoSpaceDE w:val="0"/>
        <w:autoSpaceDN w:val="0"/>
        <w:ind w:left="420" w:hanging="317"/>
      </w:pPr>
    </w:lvl>
    <w:lvl w:ilvl="2" w:tentative="0">
      <w:start w:val="1"/>
      <w:numFmt w:val="decimal"/>
      <w:suff w:val="nothing"/>
      <w:lvlText w:val="%1.%2.%3"/>
      <w:lvlJc w:val="left"/>
      <w:pPr>
        <w:autoSpaceDE w:val="0"/>
        <w:autoSpaceDN w:val="0"/>
        <w:ind w:left="420" w:hanging="3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2">
    <w:nsid w:val="0000005C"/>
    <w:multiLevelType w:val="multilevel"/>
    <w:tmpl w:val="0000005C"/>
    <w:lvl w:ilvl="0" w:tentative="0">
      <w:start w:val="10"/>
      <w:numFmt w:val="decimal"/>
      <w:lvlText w:val="%1."/>
      <w:lvlJc w:val="left"/>
      <w:pPr>
        <w:tabs>
          <w:tab w:val="left" w:pos="470"/>
        </w:tabs>
        <w:autoSpaceDE w:val="0"/>
        <w:autoSpaceDN w:val="0"/>
        <w:ind w:left="470" w:hanging="368"/>
      </w:pPr>
    </w:lvl>
    <w:lvl w:ilvl="1" w:tentative="0">
      <w:start w:val="1"/>
      <w:numFmt w:val="decimal"/>
      <w:lvlText w:val="%1.%2"/>
      <w:lvlJc w:val="left"/>
      <w:pPr>
        <w:tabs>
          <w:tab w:val="left" w:pos="575"/>
        </w:tabs>
        <w:autoSpaceDE w:val="0"/>
        <w:autoSpaceDN w:val="0"/>
        <w:ind w:left="575" w:hanging="473"/>
      </w:pPr>
    </w:lvl>
    <w:lvl w:ilvl="2" w:tentative="0">
      <w:start w:val="1"/>
      <w:numFmt w:val="decimal"/>
      <w:lvlText w:val="%1.%2.%3"/>
      <w:lvlJc w:val="left"/>
      <w:pPr>
        <w:tabs>
          <w:tab w:val="decimal" w:pos="420"/>
        </w:tabs>
        <w:autoSpaceDE w:val="0"/>
        <w:autoSpaceDN w:val="0"/>
        <w:ind w:left="420" w:hanging="3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3">
    <w:nsid w:val="0000005D"/>
    <w:multiLevelType w:val="multilevel"/>
    <w:tmpl w:val="0000005D"/>
    <w:lvl w:ilvl="0" w:tentative="0">
      <w:start w:val="10"/>
      <w:numFmt w:val="decimal"/>
      <w:lvlText w:val="%1"/>
      <w:lvlJc w:val="left"/>
      <w:pPr>
        <w:autoSpaceDE w:val="0"/>
        <w:autoSpaceDN w:val="0"/>
        <w:ind w:left="420" w:hanging="317"/>
      </w:pPr>
    </w:lvl>
    <w:lvl w:ilvl="1" w:tentative="0">
      <w:start w:val="2"/>
      <w:numFmt w:val="decimal"/>
      <w:lvlText w:val="%1.%2"/>
      <w:lvlJc w:val="left"/>
      <w:pPr>
        <w:tabs>
          <w:tab w:val="left" w:pos="575"/>
        </w:tabs>
        <w:autoSpaceDE w:val="0"/>
        <w:autoSpaceDN w:val="0"/>
        <w:ind w:left="575" w:hanging="473"/>
      </w:pPr>
    </w:lvl>
    <w:lvl w:ilvl="2" w:tentative="0">
      <w:start w:val="1"/>
      <w:numFmt w:val="decimal"/>
      <w:lvlText w:val="%1.%2.%3"/>
      <w:lvlJc w:val="left"/>
      <w:pPr>
        <w:autoSpaceDE w:val="0"/>
        <w:autoSpaceDN w:val="0"/>
        <w:ind w:left="420" w:hanging="317"/>
      </w:pPr>
    </w:lvl>
    <w:lvl w:ilvl="3" w:tentative="0">
      <w:start w:val="1"/>
      <w:numFmt w:val="decimal"/>
      <w:lvlText w:val="%1.%2.%3.%4"/>
      <w:lvlJc w:val="left"/>
      <w:pPr>
        <w:autoSpaceDE w:val="0"/>
        <w:autoSpaceDN w:val="0"/>
        <w:ind w:left="420" w:hanging="317"/>
      </w:pPr>
    </w:lvl>
    <w:lvl w:ilvl="4" w:tentative="0">
      <w:start w:val="1"/>
      <w:numFmt w:val="decimal"/>
      <w:lvlText w:val="%1.%2.%3.%4.%5"/>
      <w:lvlJc w:val="left"/>
      <w:pPr>
        <w:autoSpaceDE w:val="0"/>
        <w:autoSpaceDN w:val="0"/>
        <w:ind w:left="420" w:hanging="317"/>
      </w:pPr>
    </w:lvl>
    <w:lvl w:ilvl="5" w:tentative="0">
      <w:start w:val="1"/>
      <w:numFmt w:val="decimal"/>
      <w:lvlText w:val="%1.%2.%3.%4.%5.%6"/>
      <w:lvlJc w:val="left"/>
      <w:pPr>
        <w:autoSpaceDE w:val="0"/>
        <w:autoSpaceDN w:val="0"/>
        <w:ind w:left="420" w:hanging="317"/>
      </w:pPr>
    </w:lvl>
    <w:lvl w:ilvl="6" w:tentative="0">
      <w:start w:val="1"/>
      <w:numFmt w:val="decimal"/>
      <w:lvlText w:val="%1.%2.%3.%4.%5.%6.%7"/>
      <w:lvlJc w:val="left"/>
      <w:pPr>
        <w:autoSpaceDE w:val="0"/>
        <w:autoSpaceDN w:val="0"/>
        <w:ind w:left="420" w:hanging="317"/>
      </w:pPr>
    </w:lvl>
    <w:lvl w:ilvl="7" w:tentative="0">
      <w:start w:val="1"/>
      <w:numFmt w:val="decimal"/>
      <w:lvlText w:val="%1.%2.%3.%4.%5.%6.%7.%8"/>
      <w:lvlJc w:val="left"/>
      <w:pPr>
        <w:autoSpaceDE w:val="0"/>
        <w:autoSpaceDN w:val="0"/>
        <w:ind w:left="420" w:hanging="317"/>
      </w:pPr>
    </w:lvl>
    <w:lvl w:ilvl="8" w:tentative="0">
      <w:start w:val="1"/>
      <w:numFmt w:val="decimal"/>
      <w:lvlText w:val="%1.%2.%3.%4.%5.%6.%7.%8.%9"/>
      <w:lvlJc w:val="left"/>
      <w:pPr>
        <w:autoSpaceDE w:val="0"/>
        <w:autoSpaceDN w:val="0"/>
        <w:ind w:left="420" w:hanging="317"/>
      </w:pPr>
    </w:lvl>
  </w:abstractNum>
  <w:abstractNum w:abstractNumId="24">
    <w:nsid w:val="0000005E"/>
    <w:multiLevelType w:val="multilevel"/>
    <w:tmpl w:val="0000005E"/>
    <w:lvl w:ilvl="0" w:tentative="0">
      <w:start w:val="10"/>
      <w:numFmt w:val="decimal"/>
      <w:lvlText w:val="%1"/>
      <w:lvlJc w:val="left"/>
      <w:pPr>
        <w:autoSpaceDE w:val="0"/>
        <w:autoSpaceDN w:val="0"/>
        <w:ind w:left="420" w:hanging="317"/>
      </w:pPr>
    </w:lvl>
    <w:lvl w:ilvl="1" w:tentative="0">
      <w:start w:val="4"/>
      <w:numFmt w:val="decimal"/>
      <w:lvlText w:val="%1.%2"/>
      <w:lvlJc w:val="left"/>
      <w:pPr>
        <w:tabs>
          <w:tab w:val="left" w:pos="523"/>
        </w:tabs>
        <w:autoSpaceDE w:val="0"/>
        <w:autoSpaceDN w:val="0"/>
        <w:ind w:left="523" w:hanging="420"/>
      </w:pPr>
    </w:lvl>
    <w:lvl w:ilvl="2" w:tentative="0">
      <w:start w:val="1"/>
      <w:numFmt w:val="decimal"/>
      <w:lvlText w:val="%1.%2.%3"/>
      <w:lvlJc w:val="left"/>
      <w:pPr>
        <w:autoSpaceDE w:val="0"/>
        <w:autoSpaceDN w:val="0"/>
        <w:ind w:left="420" w:hanging="317"/>
      </w:pPr>
    </w:lvl>
    <w:lvl w:ilvl="3" w:tentative="0">
      <w:start w:val="1"/>
      <w:numFmt w:val="decimal"/>
      <w:lvlText w:val="%1.%2.%3.%4"/>
      <w:lvlJc w:val="left"/>
      <w:pPr>
        <w:autoSpaceDE w:val="0"/>
        <w:autoSpaceDN w:val="0"/>
        <w:ind w:left="420" w:hanging="317"/>
      </w:pPr>
    </w:lvl>
    <w:lvl w:ilvl="4" w:tentative="0">
      <w:start w:val="1"/>
      <w:numFmt w:val="decimal"/>
      <w:lvlText w:val="%1.%2.%3.%4.%5"/>
      <w:lvlJc w:val="left"/>
      <w:pPr>
        <w:autoSpaceDE w:val="0"/>
        <w:autoSpaceDN w:val="0"/>
        <w:ind w:left="420" w:hanging="317"/>
      </w:pPr>
    </w:lvl>
    <w:lvl w:ilvl="5" w:tentative="0">
      <w:start w:val="1"/>
      <w:numFmt w:val="decimal"/>
      <w:lvlText w:val="%1.%2.%3.%4.%5.%6"/>
      <w:lvlJc w:val="left"/>
      <w:pPr>
        <w:autoSpaceDE w:val="0"/>
        <w:autoSpaceDN w:val="0"/>
        <w:ind w:left="420" w:hanging="317"/>
      </w:pPr>
    </w:lvl>
    <w:lvl w:ilvl="6" w:tentative="0">
      <w:start w:val="1"/>
      <w:numFmt w:val="decimal"/>
      <w:lvlText w:val="%1.%2.%3.%4.%5.%6.%7"/>
      <w:lvlJc w:val="left"/>
      <w:pPr>
        <w:autoSpaceDE w:val="0"/>
        <w:autoSpaceDN w:val="0"/>
        <w:ind w:left="420" w:hanging="317"/>
      </w:pPr>
    </w:lvl>
    <w:lvl w:ilvl="7" w:tentative="0">
      <w:start w:val="1"/>
      <w:numFmt w:val="decimal"/>
      <w:lvlText w:val="%1.%2.%3.%4.%5.%6.%7.%8"/>
      <w:lvlJc w:val="left"/>
      <w:pPr>
        <w:autoSpaceDE w:val="0"/>
        <w:autoSpaceDN w:val="0"/>
        <w:ind w:left="420" w:hanging="317"/>
      </w:pPr>
    </w:lvl>
    <w:lvl w:ilvl="8" w:tentative="0">
      <w:start w:val="1"/>
      <w:numFmt w:val="decimal"/>
      <w:lvlText w:val="%1.%2.%3.%4.%5.%6.%7.%8.%9"/>
      <w:lvlJc w:val="left"/>
      <w:pPr>
        <w:autoSpaceDE w:val="0"/>
        <w:autoSpaceDN w:val="0"/>
        <w:ind w:left="420" w:hanging="317"/>
      </w:pPr>
    </w:lvl>
  </w:abstractNum>
  <w:abstractNum w:abstractNumId="25">
    <w:nsid w:val="00000061"/>
    <w:multiLevelType w:val="multilevel"/>
    <w:tmpl w:val="00000061"/>
    <w:lvl w:ilvl="0" w:tentative="0">
      <w:start w:val="10"/>
      <w:numFmt w:val="decimal"/>
      <w:lvlText w:val="%1"/>
      <w:lvlJc w:val="left"/>
      <w:pPr>
        <w:autoSpaceDE w:val="0"/>
        <w:autoSpaceDN w:val="0"/>
        <w:ind w:left="420" w:hanging="317"/>
      </w:pPr>
    </w:lvl>
    <w:lvl w:ilvl="1" w:tentative="0">
      <w:start w:val="7"/>
      <w:numFmt w:val="decimal"/>
      <w:lvlText w:val="%1.%2"/>
      <w:lvlJc w:val="left"/>
      <w:pPr>
        <w:tabs>
          <w:tab w:val="left" w:pos="523"/>
        </w:tabs>
        <w:autoSpaceDE w:val="0"/>
        <w:autoSpaceDN w:val="0"/>
        <w:ind w:left="523" w:hanging="420"/>
      </w:pPr>
    </w:lvl>
    <w:lvl w:ilvl="2" w:tentative="0">
      <w:start w:val="1"/>
      <w:numFmt w:val="decimal"/>
      <w:lvlText w:val="%1.%2.%3"/>
      <w:lvlJc w:val="left"/>
      <w:pPr>
        <w:autoSpaceDE w:val="0"/>
        <w:autoSpaceDN w:val="0"/>
        <w:ind w:left="420" w:hanging="317"/>
      </w:pPr>
    </w:lvl>
    <w:lvl w:ilvl="3" w:tentative="0">
      <w:start w:val="1"/>
      <w:numFmt w:val="decimal"/>
      <w:lvlText w:val="%1.%2.%3.%4"/>
      <w:lvlJc w:val="left"/>
      <w:pPr>
        <w:autoSpaceDE w:val="0"/>
        <w:autoSpaceDN w:val="0"/>
        <w:ind w:left="420" w:hanging="317"/>
      </w:pPr>
    </w:lvl>
    <w:lvl w:ilvl="4" w:tentative="0">
      <w:start w:val="1"/>
      <w:numFmt w:val="decimal"/>
      <w:lvlText w:val="%1.%2.%3.%4.%5"/>
      <w:lvlJc w:val="left"/>
      <w:pPr>
        <w:autoSpaceDE w:val="0"/>
        <w:autoSpaceDN w:val="0"/>
        <w:ind w:left="420" w:hanging="317"/>
      </w:pPr>
    </w:lvl>
    <w:lvl w:ilvl="5" w:tentative="0">
      <w:start w:val="1"/>
      <w:numFmt w:val="decimal"/>
      <w:lvlText w:val="%1.%2.%3.%4.%5.%6"/>
      <w:lvlJc w:val="left"/>
      <w:pPr>
        <w:autoSpaceDE w:val="0"/>
        <w:autoSpaceDN w:val="0"/>
        <w:ind w:left="420" w:hanging="317"/>
      </w:pPr>
    </w:lvl>
    <w:lvl w:ilvl="6" w:tentative="0">
      <w:start w:val="1"/>
      <w:numFmt w:val="decimal"/>
      <w:lvlText w:val="%1.%2.%3.%4.%5.%6.%7"/>
      <w:lvlJc w:val="left"/>
      <w:pPr>
        <w:autoSpaceDE w:val="0"/>
        <w:autoSpaceDN w:val="0"/>
        <w:ind w:left="420" w:hanging="317"/>
      </w:pPr>
    </w:lvl>
    <w:lvl w:ilvl="7" w:tentative="0">
      <w:start w:val="1"/>
      <w:numFmt w:val="decimal"/>
      <w:lvlText w:val="%1.%2.%3.%4.%5.%6.%7.%8"/>
      <w:lvlJc w:val="left"/>
      <w:pPr>
        <w:autoSpaceDE w:val="0"/>
        <w:autoSpaceDN w:val="0"/>
        <w:ind w:left="420" w:hanging="317"/>
      </w:pPr>
    </w:lvl>
    <w:lvl w:ilvl="8" w:tentative="0">
      <w:start w:val="1"/>
      <w:numFmt w:val="decimal"/>
      <w:lvlText w:val="%1.%2.%3.%4.%5.%6.%7.%8.%9"/>
      <w:lvlJc w:val="left"/>
      <w:pPr>
        <w:autoSpaceDE w:val="0"/>
        <w:autoSpaceDN w:val="0"/>
        <w:ind w:left="420" w:hanging="317"/>
      </w:pPr>
    </w:lvl>
  </w:abstractNum>
  <w:abstractNum w:abstractNumId="26">
    <w:nsid w:val="00000062"/>
    <w:multiLevelType w:val="multilevel"/>
    <w:tmpl w:val="00000062"/>
    <w:lvl w:ilvl="0" w:tentative="0">
      <w:start w:val="10"/>
      <w:numFmt w:val="decimal"/>
      <w:lvlText w:val="%1"/>
      <w:lvlJc w:val="left"/>
      <w:pPr>
        <w:autoSpaceDE w:val="0"/>
        <w:autoSpaceDN w:val="0"/>
        <w:ind w:left="420"/>
      </w:pPr>
    </w:lvl>
    <w:lvl w:ilvl="1" w:tentative="0">
      <w:start w:val="10"/>
      <w:numFmt w:val="decimal"/>
      <w:lvlText w:val="%1.%2"/>
      <w:lvlJc w:val="left"/>
      <w:pPr>
        <w:tabs>
          <w:tab w:val="left" w:pos="680"/>
        </w:tabs>
        <w:autoSpaceDE w:val="0"/>
        <w:autoSpaceDN w:val="0"/>
        <w:ind w:left="680" w:hanging="578"/>
      </w:pPr>
    </w:lvl>
    <w:lvl w:ilvl="2" w:tentative="0">
      <w:start w:val="1"/>
      <w:numFmt w:val="decimal"/>
      <w:lvlText w:val="%1.%2.%3"/>
      <w:lvlJc w:val="left"/>
      <w:pPr>
        <w:tabs>
          <w:tab w:val="decimal" w:pos="420"/>
        </w:tabs>
        <w:autoSpaceDE w:val="0"/>
        <w:autoSpaceDN w:val="0"/>
        <w:ind w:left="420" w:hanging="3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7">
    <w:nsid w:val="00000065"/>
    <w:multiLevelType w:val="multilevel"/>
    <w:tmpl w:val="00000065"/>
    <w:lvl w:ilvl="0" w:tentative="0">
      <w:start w:val="1"/>
      <w:numFmt w:val="decimal"/>
      <w:lvlText w:val="%1"/>
      <w:lvlJc w:val="left"/>
      <w:pPr>
        <w:tabs>
          <w:tab w:val="left" w:pos="222"/>
        </w:tabs>
        <w:autoSpaceDE w:val="0"/>
        <w:autoSpaceDN w:val="0"/>
        <w:ind w:left="222" w:hanging="222"/>
      </w:pPr>
    </w:lvl>
    <w:lvl w:ilvl="1" w:tentative="0">
      <w:start w:val="1"/>
      <w:numFmt w:val="decimal"/>
      <w:lvlText w:val="%1.%2"/>
      <w:lvlJc w:val="right"/>
      <w:pPr>
        <w:tabs>
          <w:tab w:val="left" w:pos="368"/>
        </w:tabs>
        <w:autoSpaceDE w:val="0"/>
        <w:autoSpaceDN w:val="0"/>
        <w:ind w:left="368" w:hanging="105"/>
      </w:pPr>
    </w:lvl>
    <w:lvl w:ilvl="2" w:tentative="0">
      <w:start w:val="1"/>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hanging="158"/>
      </w:pPr>
    </w:lvl>
    <w:lvl w:ilvl="4" w:tentative="0">
      <w:start w:val="1"/>
      <w:numFmt w:val="decimal"/>
      <w:lvlText w:val="%1.%2.%3.%4.%5"/>
      <w:lvlJc w:val="left"/>
      <w:pPr>
        <w:autoSpaceDE w:val="0"/>
        <w:autoSpaceDN w:val="0"/>
        <w:ind w:left="420" w:hanging="158"/>
      </w:pPr>
    </w:lvl>
    <w:lvl w:ilvl="5" w:tentative="0">
      <w:start w:val="1"/>
      <w:numFmt w:val="decimal"/>
      <w:lvlText w:val="%1.%2.%3.%4.%5.%6"/>
      <w:lvlJc w:val="left"/>
      <w:pPr>
        <w:autoSpaceDE w:val="0"/>
        <w:autoSpaceDN w:val="0"/>
        <w:ind w:left="420" w:hanging="158"/>
      </w:pPr>
    </w:lvl>
    <w:lvl w:ilvl="6" w:tentative="0">
      <w:start w:val="1"/>
      <w:numFmt w:val="decimal"/>
      <w:lvlText w:val="%1.%2.%3.%4.%5.%6.%7"/>
      <w:lvlJc w:val="left"/>
      <w:pPr>
        <w:autoSpaceDE w:val="0"/>
        <w:autoSpaceDN w:val="0"/>
        <w:ind w:left="420" w:hanging="158"/>
      </w:pPr>
    </w:lvl>
    <w:lvl w:ilvl="7" w:tentative="0">
      <w:start w:val="1"/>
      <w:numFmt w:val="decimal"/>
      <w:lvlText w:val="%1.%2.%3.%4.%5.%6.%7.%8"/>
      <w:lvlJc w:val="left"/>
      <w:pPr>
        <w:autoSpaceDE w:val="0"/>
        <w:autoSpaceDN w:val="0"/>
        <w:ind w:left="420" w:hanging="158"/>
      </w:pPr>
    </w:lvl>
    <w:lvl w:ilvl="8" w:tentative="0">
      <w:start w:val="1"/>
      <w:numFmt w:val="decimal"/>
      <w:lvlText w:val="%1.%2.%3.%4.%5.%6.%7.%8.%9"/>
      <w:lvlJc w:val="left"/>
      <w:pPr>
        <w:autoSpaceDE w:val="0"/>
        <w:autoSpaceDN w:val="0"/>
        <w:ind w:left="420" w:hanging="158"/>
      </w:pPr>
    </w:lvl>
  </w:abstractNum>
  <w:abstractNum w:abstractNumId="28">
    <w:nsid w:val="00000066"/>
    <w:multiLevelType w:val="multilevel"/>
    <w:tmpl w:val="00000066"/>
    <w:lvl w:ilvl="0" w:tentative="0">
      <w:start w:val="1"/>
      <w:numFmt w:val="decimal"/>
      <w:lvlText w:val="%1"/>
      <w:lvlJc w:val="left"/>
      <w:pPr>
        <w:autoSpaceDE w:val="0"/>
        <w:autoSpaceDN w:val="0"/>
        <w:ind w:left="420"/>
      </w:pPr>
    </w:lvl>
    <w:lvl w:ilvl="1" w:tentative="0">
      <w:start w:val="2"/>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29">
    <w:nsid w:val="00000067"/>
    <w:multiLevelType w:val="multilevel"/>
    <w:tmpl w:val="00000067"/>
    <w:lvl w:ilvl="0" w:tentative="0">
      <w:start w:val="1"/>
      <w:numFmt w:val="decimal"/>
      <w:lvlText w:val="%1"/>
      <w:lvlJc w:val="left"/>
      <w:pPr>
        <w:autoSpaceDE w:val="0"/>
        <w:autoSpaceDN w:val="0"/>
        <w:ind w:left="420"/>
      </w:pPr>
    </w:lvl>
    <w:lvl w:ilvl="1" w:tentative="0">
      <w:start w:val="3"/>
      <w:numFmt w:val="decimal"/>
      <w:lvlText w:val="%1.%2"/>
      <w:lvlJc w:val="left"/>
      <w:pPr>
        <w:tabs>
          <w:tab w:val="left" w:pos="788"/>
        </w:tabs>
        <w:autoSpaceDE w:val="0"/>
        <w:autoSpaceDN w:val="0"/>
        <w:ind w:left="78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0">
    <w:nsid w:val="00000068"/>
    <w:multiLevelType w:val="multilevel"/>
    <w:tmpl w:val="00000068"/>
    <w:lvl w:ilvl="0" w:tentative="0">
      <w:start w:val="1"/>
      <w:numFmt w:val="decimal"/>
      <w:lvlText w:val="%1"/>
      <w:lvlJc w:val="left"/>
      <w:pPr>
        <w:autoSpaceDE w:val="0"/>
        <w:autoSpaceDN w:val="0"/>
        <w:ind w:left="420"/>
      </w:pPr>
    </w:lvl>
    <w:lvl w:ilvl="1" w:tentative="0">
      <w:start w:val="4"/>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1">
    <w:nsid w:val="0000006B"/>
    <w:multiLevelType w:val="multilevel"/>
    <w:tmpl w:val="0000006B"/>
    <w:lvl w:ilvl="0" w:tentative="0">
      <w:start w:val="1"/>
      <w:numFmt w:val="decimal"/>
      <w:lvlText w:val="%1"/>
      <w:lvlJc w:val="left"/>
      <w:pPr>
        <w:autoSpaceDE w:val="0"/>
        <w:autoSpaceDN w:val="0"/>
        <w:ind w:left="420"/>
      </w:pPr>
    </w:lvl>
    <w:lvl w:ilvl="1" w:tentative="0">
      <w:start w:val="4"/>
      <w:numFmt w:val="decimal"/>
      <w:lvlText w:val="%1.%2"/>
      <w:lvlJc w:val="left"/>
      <w:pPr>
        <w:tabs>
          <w:tab w:val="left" w:pos="857"/>
        </w:tabs>
        <w:autoSpaceDE w:val="0"/>
        <w:autoSpaceDN w:val="0"/>
        <w:ind w:left="0" w:firstLine="420"/>
      </w:pPr>
    </w:lvl>
    <w:lvl w:ilvl="2" w:tentative="0">
      <w:start w:val="4"/>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2">
    <w:nsid w:val="0000006C"/>
    <w:multiLevelType w:val="multilevel"/>
    <w:tmpl w:val="0000006C"/>
    <w:lvl w:ilvl="0" w:tentative="0">
      <w:start w:val="1"/>
      <w:numFmt w:val="decimal"/>
      <w:lvlText w:val="%1"/>
      <w:lvlJc w:val="right"/>
      <w:pPr>
        <w:tabs>
          <w:tab w:val="left" w:pos="222"/>
        </w:tabs>
        <w:autoSpaceDE w:val="0"/>
        <w:autoSpaceDN w:val="0"/>
        <w:ind w:left="222" w:hanging="105"/>
      </w:pPr>
    </w:lvl>
    <w:lvl w:ilvl="1" w:tentative="0">
      <w:start w:val="9"/>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3">
    <w:nsid w:val="0000006D"/>
    <w:multiLevelType w:val="multilevel"/>
    <w:tmpl w:val="0000006D"/>
    <w:lvl w:ilvl="0" w:tentative="0">
      <w:start w:val="2"/>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4">
    <w:nsid w:val="00000071"/>
    <w:multiLevelType w:val="multilevel"/>
    <w:tmpl w:val="00000071"/>
    <w:lvl w:ilvl="0" w:tentative="0">
      <w:start w:val="2"/>
      <w:numFmt w:val="decimal"/>
      <w:lvlText w:val="%1."/>
      <w:lvlJc w:val="left"/>
      <w:pPr>
        <w:tabs>
          <w:tab w:val="left" w:pos="717"/>
        </w:tabs>
        <w:autoSpaceDE w:val="0"/>
        <w:autoSpaceDN w:val="0"/>
        <w:ind w:left="717" w:hanging="297"/>
      </w:pPr>
    </w:lvl>
    <w:lvl w:ilvl="1" w:tentative="0">
      <w:start w:val="3"/>
      <w:numFmt w:val="decimal"/>
      <w:lvlText w:val="%1.%2"/>
      <w:lvlJc w:val="left"/>
      <w:pPr>
        <w:autoSpaceDE w:val="0"/>
        <w:autoSpaceDN w:val="0"/>
        <w:ind w:left="420"/>
      </w:pPr>
    </w:lvl>
    <w:lvl w:ilvl="2" w:tentative="0">
      <w:start w:val="1"/>
      <w:numFmt w:val="decimal"/>
      <w:lvlText w:val="%1.%2.%3"/>
      <w:lvlJc w:val="left"/>
      <w:pPr>
        <w:tabs>
          <w:tab w:val="left" w:pos="1002"/>
        </w:tabs>
        <w:autoSpaceDE w:val="0"/>
        <w:autoSpaceDN w:val="0"/>
        <w:ind w:left="1002" w:hanging="582"/>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5">
    <w:nsid w:val="00000072"/>
    <w:multiLevelType w:val="multilevel"/>
    <w:tmpl w:val="00000072"/>
    <w:lvl w:ilvl="0" w:tentative="0">
      <w:start w:val="2"/>
      <w:numFmt w:val="decimal"/>
      <w:lvlText w:val="%1."/>
      <w:lvlJc w:val="left"/>
      <w:pPr>
        <w:tabs>
          <w:tab w:val="left" w:pos="717"/>
        </w:tabs>
        <w:autoSpaceDE w:val="0"/>
        <w:autoSpaceDN w:val="0"/>
        <w:ind w:left="0" w:firstLine="420"/>
      </w:pPr>
    </w:lvl>
    <w:lvl w:ilvl="1" w:tentative="0">
      <w:start w:val="3"/>
      <w:numFmt w:val="decimal"/>
      <w:lvlText w:val="%1.%2"/>
      <w:lvlJc w:val="left"/>
      <w:pPr>
        <w:autoSpaceDE w:val="0"/>
        <w:autoSpaceDN w:val="0"/>
        <w:ind w:left="420"/>
      </w:pPr>
    </w:lvl>
    <w:lvl w:ilvl="2" w:tentative="0">
      <w:start w:val="2"/>
      <w:numFmt w:val="decimal"/>
      <w:lvlText w:val="%1.%2.%3"/>
      <w:lvlJc w:val="left"/>
      <w:pPr>
        <w:tabs>
          <w:tab w:val="left" w:pos="1107"/>
        </w:tabs>
        <w:autoSpaceDE w:val="0"/>
        <w:autoSpaceDN w:val="0"/>
        <w:ind w:left="1107" w:hanging="68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6">
    <w:nsid w:val="00000073"/>
    <w:multiLevelType w:val="multilevel"/>
    <w:tmpl w:val="00000073"/>
    <w:lvl w:ilvl="0" w:tentative="0">
      <w:start w:val="2"/>
      <w:numFmt w:val="decimal"/>
      <w:lvlText w:val="%1"/>
      <w:lvlJc w:val="left"/>
      <w:pPr>
        <w:tabs>
          <w:tab w:val="left" w:pos="222"/>
        </w:tabs>
        <w:autoSpaceDE w:val="0"/>
        <w:autoSpaceDN w:val="0"/>
        <w:ind w:left="222" w:hanging="222"/>
      </w:pPr>
    </w:lvl>
    <w:lvl w:ilvl="1" w:tentative="0">
      <w:start w:val="3"/>
      <w:numFmt w:val="decimal"/>
      <w:lvlText w:val="%1.%2"/>
      <w:lvlJc w:val="left"/>
      <w:pPr>
        <w:autoSpaceDE w:val="0"/>
        <w:autoSpaceDN w:val="0"/>
        <w:ind w:left="420" w:hanging="210"/>
      </w:pPr>
    </w:lvl>
    <w:lvl w:ilvl="2" w:tentative="0">
      <w:start w:val="3"/>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hanging="210"/>
      </w:pPr>
    </w:lvl>
    <w:lvl w:ilvl="4" w:tentative="0">
      <w:start w:val="1"/>
      <w:numFmt w:val="decimal"/>
      <w:lvlText w:val="%1.%2.%3.%4.%5"/>
      <w:lvlJc w:val="left"/>
      <w:pPr>
        <w:autoSpaceDE w:val="0"/>
        <w:autoSpaceDN w:val="0"/>
        <w:ind w:left="420" w:hanging="210"/>
      </w:pPr>
    </w:lvl>
    <w:lvl w:ilvl="5" w:tentative="0">
      <w:start w:val="1"/>
      <w:numFmt w:val="decimal"/>
      <w:lvlText w:val="%1.%2.%3.%4.%5.%6"/>
      <w:lvlJc w:val="left"/>
      <w:pPr>
        <w:autoSpaceDE w:val="0"/>
        <w:autoSpaceDN w:val="0"/>
        <w:ind w:left="420" w:hanging="210"/>
      </w:pPr>
    </w:lvl>
    <w:lvl w:ilvl="6" w:tentative="0">
      <w:start w:val="1"/>
      <w:numFmt w:val="decimal"/>
      <w:lvlText w:val="%1.%2.%3.%4.%5.%6.%7"/>
      <w:lvlJc w:val="left"/>
      <w:pPr>
        <w:autoSpaceDE w:val="0"/>
        <w:autoSpaceDN w:val="0"/>
        <w:ind w:left="420" w:hanging="210"/>
      </w:pPr>
    </w:lvl>
    <w:lvl w:ilvl="7" w:tentative="0">
      <w:start w:val="1"/>
      <w:numFmt w:val="decimal"/>
      <w:lvlText w:val="%1.%2.%3.%4.%5.%6.%7.%8"/>
      <w:lvlJc w:val="left"/>
      <w:pPr>
        <w:autoSpaceDE w:val="0"/>
        <w:autoSpaceDN w:val="0"/>
        <w:ind w:left="420" w:hanging="210"/>
      </w:pPr>
    </w:lvl>
    <w:lvl w:ilvl="8" w:tentative="0">
      <w:start w:val="1"/>
      <w:numFmt w:val="decimal"/>
      <w:lvlText w:val="%1.%2.%3.%4.%5.%6.%7.%8.%9"/>
      <w:lvlJc w:val="left"/>
      <w:pPr>
        <w:autoSpaceDE w:val="0"/>
        <w:autoSpaceDN w:val="0"/>
        <w:ind w:left="420" w:hanging="210"/>
      </w:pPr>
    </w:lvl>
  </w:abstractNum>
  <w:abstractNum w:abstractNumId="37">
    <w:nsid w:val="00000074"/>
    <w:multiLevelType w:val="multilevel"/>
    <w:tmpl w:val="00000074"/>
    <w:lvl w:ilvl="0" w:tentative="0">
      <w:start w:val="3"/>
      <w:numFmt w:val="decimal"/>
      <w:lvlText w:val="%1"/>
      <w:lvlJc w:val="left"/>
      <w:pPr>
        <w:autoSpaceDE w:val="0"/>
        <w:autoSpaceDN w:val="0"/>
        <w:ind w:left="420"/>
      </w:pPr>
    </w:lvl>
    <w:lvl w:ilvl="1" w:tentative="0">
      <w:start w:val="2"/>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2"/>
      <w:numFmt w:val="decimal"/>
      <w:lvlText w:val="%1.%2.%3.%4"/>
      <w:lvlJc w:val="left"/>
      <w:pPr>
        <w:tabs>
          <w:tab w:val="left" w:pos="1208"/>
        </w:tabs>
        <w:autoSpaceDE w:val="0"/>
        <w:autoSpaceDN w:val="0"/>
        <w:ind w:left="0" w:firstLine="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8">
    <w:nsid w:val="0000007B"/>
    <w:multiLevelType w:val="multilevel"/>
    <w:tmpl w:val="0000007B"/>
    <w:lvl w:ilvl="0" w:tentative="0">
      <w:start w:val="3"/>
      <w:numFmt w:val="decimal"/>
      <w:lvlText w:val="%1"/>
      <w:lvlJc w:val="left"/>
      <w:pPr>
        <w:autoSpaceDE w:val="0"/>
        <w:autoSpaceDN w:val="0"/>
        <w:ind w:left="420"/>
      </w:pPr>
    </w:lvl>
    <w:lvl w:ilvl="1" w:tentative="0">
      <w:start w:val="6"/>
      <w:numFmt w:val="decimal"/>
      <w:lvlText w:val="%1.%2"/>
      <w:lvlJc w:val="left"/>
      <w:pPr>
        <w:autoSpaceDE w:val="0"/>
        <w:autoSpaceDN w:val="0"/>
        <w:ind w:left="420"/>
      </w:pPr>
    </w:lvl>
    <w:lvl w:ilvl="2" w:tentative="0">
      <w:start w:val="2"/>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39">
    <w:nsid w:val="0000007E"/>
    <w:multiLevelType w:val="multilevel"/>
    <w:tmpl w:val="0000007E"/>
    <w:lvl w:ilvl="0" w:tentative="0">
      <w:start w:val="4"/>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0">
    <w:nsid w:val="00000081"/>
    <w:multiLevelType w:val="multilevel"/>
    <w:tmpl w:val="00000081"/>
    <w:lvl w:ilvl="0" w:tentative="0">
      <w:start w:val="4"/>
      <w:numFmt w:val="decimal"/>
      <w:lvlText w:val="%1."/>
      <w:lvlJc w:val="left"/>
      <w:pPr>
        <w:tabs>
          <w:tab w:val="left" w:pos="717"/>
        </w:tabs>
        <w:autoSpaceDE w:val="0"/>
        <w:autoSpaceDN w:val="0"/>
        <w:ind w:left="717" w:hanging="297"/>
      </w:pPr>
    </w:lvl>
    <w:lvl w:ilvl="1" w:tentative="0">
      <w:start w:val="3"/>
      <w:numFmt w:val="decimal"/>
      <w:lvlText w:val="%1.%2"/>
      <w:lvlJc w:val="left"/>
      <w:pPr>
        <w:autoSpaceDE w:val="0"/>
        <w:autoSpaceDN w:val="0"/>
        <w:ind w:left="420"/>
      </w:pPr>
    </w:lvl>
    <w:lvl w:ilvl="2" w:tentative="0">
      <w:start w:val="3"/>
      <w:numFmt w:val="decimal"/>
      <w:lvlText w:val="%1.%2.%3"/>
      <w:lvlJc w:val="left"/>
      <w:pPr>
        <w:tabs>
          <w:tab w:val="left" w:pos="1189"/>
        </w:tabs>
        <w:autoSpaceDE w:val="0"/>
        <w:autoSpaceDN w:val="0"/>
        <w:ind w:left="1189" w:hanging="769"/>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1">
    <w:nsid w:val="00000082"/>
    <w:multiLevelType w:val="multilevel"/>
    <w:tmpl w:val="00000082"/>
    <w:lvl w:ilvl="0" w:tentative="0">
      <w:start w:val="5"/>
      <w:numFmt w:val="decimal"/>
      <w:lvlText w:val="%1"/>
      <w:lvlJc w:val="left"/>
      <w:pPr>
        <w:autoSpaceDE w:val="0"/>
        <w:autoSpaceDN w:val="0"/>
        <w:ind w:left="420" w:hanging="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2">
    <w:nsid w:val="00000083"/>
    <w:multiLevelType w:val="multilevel"/>
    <w:tmpl w:val="00000083"/>
    <w:lvl w:ilvl="0" w:tentative="0">
      <w:start w:val="6"/>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1136"/>
        </w:tabs>
        <w:autoSpaceDE w:val="0"/>
        <w:autoSpaceDN w:val="0"/>
        <w:ind w:left="1136" w:hanging="71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3">
    <w:nsid w:val="00000088"/>
    <w:multiLevelType w:val="multilevel"/>
    <w:tmpl w:val="00000088"/>
    <w:lvl w:ilvl="0" w:tentative="0">
      <w:start w:val="7"/>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1066"/>
        </w:tabs>
        <w:autoSpaceDE w:val="0"/>
        <w:autoSpaceDN w:val="0"/>
        <w:ind w:left="1066" w:hanging="646"/>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4">
    <w:nsid w:val="0000008C"/>
    <w:multiLevelType w:val="multilevel"/>
    <w:tmpl w:val="0000008C"/>
    <w:lvl w:ilvl="0" w:tentative="0">
      <w:start w:val="8"/>
      <w:numFmt w:val="decimal"/>
      <w:lvlText w:val="%1"/>
      <w:lvlJc w:val="left"/>
      <w:pPr>
        <w:autoSpaceDE w:val="0"/>
        <w:autoSpaceDN w:val="0"/>
        <w:ind w:left="420" w:hanging="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5">
    <w:nsid w:val="0000008D"/>
    <w:multiLevelType w:val="multilevel"/>
    <w:tmpl w:val="0000008D"/>
    <w:lvl w:ilvl="0" w:tentative="0">
      <w:start w:val="9"/>
      <w:numFmt w:val="decimal"/>
      <w:lvlText w:val="%1"/>
      <w:lvlJc w:val="left"/>
      <w:pPr>
        <w:autoSpaceDE w:val="0"/>
        <w:autoSpaceDN w:val="0"/>
        <w:ind w:left="420" w:hanging="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6">
    <w:nsid w:val="00000090"/>
    <w:multiLevelType w:val="multilevel"/>
    <w:tmpl w:val="00000090"/>
    <w:lvl w:ilvl="0" w:tentative="0">
      <w:start w:val="10"/>
      <w:numFmt w:val="decimal"/>
      <w:lvlText w:val="%1"/>
      <w:lvlJc w:val="left"/>
      <w:pPr>
        <w:autoSpaceDE w:val="0"/>
        <w:autoSpaceDN w:val="0"/>
        <w:ind w:left="420" w:hanging="420"/>
      </w:pPr>
    </w:lvl>
    <w:lvl w:ilvl="1" w:tentative="0">
      <w:start w:val="3"/>
      <w:numFmt w:val="decimal"/>
      <w:lvlText w:val="%1.%2"/>
      <w:lvlJc w:val="left"/>
      <w:pPr>
        <w:tabs>
          <w:tab w:val="left" w:pos="473"/>
        </w:tabs>
        <w:autoSpaceDE w:val="0"/>
        <w:autoSpaceDN w:val="0"/>
        <w:ind w:left="473" w:hanging="473"/>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47">
    <w:nsid w:val="000000AF"/>
    <w:multiLevelType w:val="multilevel"/>
    <w:tmpl w:val="000000AF"/>
    <w:lvl w:ilvl="0" w:tentative="0">
      <w:start w:val="1"/>
      <w:numFmt w:val="decimal"/>
      <w:lvlText w:val="%1"/>
      <w:lvlJc w:val="left"/>
      <w:pPr>
        <w:tabs>
          <w:tab w:val="left" w:pos="222"/>
        </w:tabs>
        <w:autoSpaceDE w:val="0"/>
        <w:autoSpaceDN w:val="0"/>
        <w:ind w:left="222" w:hanging="222"/>
      </w:pPr>
    </w:lvl>
    <w:lvl w:ilvl="1" w:tentative="0">
      <w:start w:val="1"/>
      <w:numFmt w:val="decimal"/>
      <w:lvlText w:val="%1.%2"/>
      <w:lvlJc w:val="left"/>
      <w:pPr>
        <w:tabs>
          <w:tab w:val="left" w:pos="788"/>
        </w:tabs>
        <w:autoSpaceDE w:val="0"/>
        <w:autoSpaceDN w:val="0"/>
        <w:ind w:left="788" w:hanging="368"/>
      </w:pPr>
    </w:lvl>
    <w:lvl w:ilvl="2" w:tentative="0">
      <w:start w:val="1"/>
      <w:numFmt w:val="decimal"/>
      <w:lvlText w:val="%1.%2.%3"/>
      <w:lvlJc w:val="left"/>
      <w:pPr>
        <w:tabs>
          <w:tab w:val="left" w:pos="951"/>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8">
    <w:nsid w:val="000000B0"/>
    <w:multiLevelType w:val="multilevel"/>
    <w:tmpl w:val="000000B0"/>
    <w:lvl w:ilvl="0" w:tentative="0">
      <w:start w:val="3"/>
      <w:numFmt w:val="decimal"/>
      <w:lvlText w:val="%1"/>
      <w:lvlJc w:val="left"/>
      <w:pPr>
        <w:autoSpaceDE w:val="0"/>
        <w:autoSpaceDN w:val="0"/>
        <w:ind w:left="420"/>
      </w:pPr>
    </w:lvl>
    <w:lvl w:ilvl="1" w:tentative="0">
      <w:start w:val="1"/>
      <w:numFmt w:val="decimal"/>
      <w:lvlText w:val="%1.%2"/>
      <w:lvlJc w:val="left"/>
      <w:pPr>
        <w:tabs>
          <w:tab w:val="left" w:pos="788"/>
        </w:tabs>
        <w:autoSpaceDE w:val="0"/>
        <w:autoSpaceDN w:val="0"/>
        <w:ind w:left="788" w:hanging="368"/>
      </w:pPr>
    </w:lvl>
    <w:lvl w:ilvl="2" w:tentative="0">
      <w:start w:val="1"/>
      <w:numFmt w:val="decimal"/>
      <w:lvlText w:val="%1.%2.%3"/>
      <w:lvlJc w:val="left"/>
      <w:pPr>
        <w:tabs>
          <w:tab w:val="left" w:pos="980"/>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49">
    <w:nsid w:val="000000B3"/>
    <w:multiLevelType w:val="multilevel"/>
    <w:tmpl w:val="000000B3"/>
    <w:lvl w:ilvl="0" w:tentative="0">
      <w:start w:val="3"/>
      <w:numFmt w:val="decimal"/>
      <w:lvlText w:val="%1"/>
      <w:lvlJc w:val="left"/>
      <w:pPr>
        <w:autoSpaceDE w:val="0"/>
        <w:autoSpaceDN w:val="0"/>
        <w:ind w:left="420"/>
      </w:pPr>
    </w:lvl>
    <w:lvl w:ilvl="1" w:tentative="0">
      <w:start w:val="3"/>
      <w:numFmt w:val="decimal"/>
      <w:lvlText w:val="%1.%2"/>
      <w:lvlJc w:val="left"/>
      <w:pPr>
        <w:autoSpaceDE w:val="0"/>
        <w:autoSpaceDN w:val="0"/>
        <w:ind w:left="420"/>
      </w:pPr>
    </w:lvl>
    <w:lvl w:ilvl="2" w:tentative="0">
      <w:start w:val="1"/>
      <w:numFmt w:val="decimal"/>
      <w:lvlText w:val="%1.%2.%3"/>
      <w:lvlJc w:val="left"/>
      <w:pPr>
        <w:tabs>
          <w:tab w:val="left" w:pos="1137"/>
        </w:tabs>
        <w:autoSpaceDE w:val="0"/>
        <w:autoSpaceDN w:val="0"/>
        <w:ind w:left="1137" w:hanging="7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0">
    <w:nsid w:val="000000B4"/>
    <w:multiLevelType w:val="multilevel"/>
    <w:tmpl w:val="000000B4"/>
    <w:lvl w:ilvl="0" w:tentative="0">
      <w:start w:val="3"/>
      <w:numFmt w:val="decimal"/>
      <w:lvlText w:val="%1"/>
      <w:lvlJc w:val="left"/>
      <w:pPr>
        <w:autoSpaceDE w:val="0"/>
        <w:autoSpaceDN w:val="0"/>
        <w:ind w:left="420"/>
      </w:pPr>
    </w:lvl>
    <w:lvl w:ilvl="1" w:tentative="0">
      <w:start w:val="4"/>
      <w:numFmt w:val="decimal"/>
      <w:lvlText w:val="%1.%2"/>
      <w:lvlJc w:val="left"/>
      <w:pPr>
        <w:autoSpaceDE w:val="0"/>
        <w:autoSpaceDN w:val="0"/>
        <w:ind w:left="420"/>
      </w:pPr>
    </w:lvl>
    <w:lvl w:ilvl="2" w:tentative="0">
      <w:start w:val="1"/>
      <w:numFmt w:val="decimal"/>
      <w:lvlText w:val="%1.%2.%3"/>
      <w:lvlJc w:val="left"/>
      <w:pPr>
        <w:tabs>
          <w:tab w:val="left" w:pos="951"/>
        </w:tabs>
        <w:autoSpaceDE w:val="0"/>
        <w:autoSpaceDN w:val="0"/>
        <w:ind w:left="0" w:firstLine="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1">
    <w:nsid w:val="000000B6"/>
    <w:multiLevelType w:val="multilevel"/>
    <w:tmpl w:val="000000B6"/>
    <w:lvl w:ilvl="0" w:tentative="0">
      <w:start w:val="1"/>
      <w:numFmt w:val="decimal"/>
      <w:lvlText w:val="%1."/>
      <w:lvlJc w:val="left"/>
      <w:pPr>
        <w:tabs>
          <w:tab w:val="left" w:pos="674"/>
        </w:tabs>
        <w:autoSpaceDE w:val="0"/>
        <w:autoSpaceDN w:val="0"/>
        <w:ind w:left="674" w:hanging="263"/>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2">
    <w:nsid w:val="000000B7"/>
    <w:multiLevelType w:val="multilevel"/>
    <w:tmpl w:val="000000B7"/>
    <w:lvl w:ilvl="0" w:tentative="0">
      <w:start w:val="1"/>
      <w:numFmt w:val="decimal"/>
      <w:lvlText w:val="%1."/>
      <w:lvlJc w:val="left"/>
      <w:pPr>
        <w:tabs>
          <w:tab w:val="left" w:pos="721"/>
        </w:tabs>
        <w:autoSpaceDE w:val="0"/>
        <w:autoSpaceDN w:val="0"/>
        <w:ind w:left="721" w:hanging="263"/>
      </w:pPr>
    </w:lvl>
    <w:lvl w:ilvl="1" w:tentative="0">
      <w:start w:val="2"/>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3">
    <w:nsid w:val="000000B8"/>
    <w:multiLevelType w:val="multilevel"/>
    <w:tmpl w:val="000000B8"/>
    <w:lvl w:ilvl="0" w:tentative="0">
      <w:start w:val="1"/>
      <w:numFmt w:val="decimal"/>
      <w:lvlText w:val="%1."/>
      <w:lvlJc w:val="left"/>
      <w:pPr>
        <w:tabs>
          <w:tab w:val="left" w:pos="717"/>
        </w:tabs>
        <w:autoSpaceDE w:val="0"/>
        <w:autoSpaceDN w:val="0"/>
        <w:ind w:left="0" w:firstLine="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2625" w:hanging="220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4">
    <w:nsid w:val="000000B9"/>
    <w:multiLevelType w:val="multilevel"/>
    <w:tmpl w:val="000000B9"/>
    <w:lvl w:ilvl="0" w:tentative="0">
      <w:start w:val="1"/>
      <w:numFmt w:val="decimal"/>
      <w:lvlText w:val="%1."/>
      <w:lvlJc w:val="right"/>
      <w:pPr>
        <w:tabs>
          <w:tab w:val="left" w:pos="280"/>
        </w:tabs>
        <w:autoSpaceDE w:val="0"/>
        <w:autoSpaceDN w:val="0"/>
        <w:ind w:left="0" w:firstLine="175"/>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0"/>
      <w:numFmt w:val="decimal"/>
      <w:lvlText w:val="%1.%2.%3.%4"/>
      <w:lvlJc w:val="left"/>
      <w:pPr>
        <w:tabs>
          <w:tab w:val="left" w:pos="1208"/>
        </w:tabs>
        <w:autoSpaceDE w:val="0"/>
        <w:autoSpaceDN w:val="0"/>
        <w:ind w:left="1208" w:hanging="788"/>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5">
    <w:nsid w:val="000000BA"/>
    <w:multiLevelType w:val="multilevel"/>
    <w:tmpl w:val="000000BA"/>
    <w:lvl w:ilvl="0" w:tentative="0">
      <w:start w:val="1"/>
      <w:numFmt w:val="decimal"/>
      <w:lvlText w:val="%1"/>
      <w:lvlJc w:val="left"/>
      <w:pPr>
        <w:autoSpaceDE w:val="0"/>
        <w:autoSpaceDN w:val="0"/>
        <w:ind w:left="420"/>
      </w:pPr>
    </w:lvl>
    <w:lvl w:ilvl="1" w:tentative="0">
      <w:start w:val="1"/>
      <w:numFmt w:val="decimal"/>
      <w:lvlText w:val="%1.%2"/>
      <w:lvlJc w:val="left"/>
      <w:pPr>
        <w:autoSpaceDE w:val="0"/>
        <w:autoSpaceDN w:val="0"/>
        <w:ind w:left="420"/>
      </w:pPr>
    </w:lvl>
    <w:lvl w:ilvl="2" w:tentative="0">
      <w:start w:val="2"/>
      <w:numFmt w:val="decimal"/>
      <w:lvlText w:val="%1.%2.%3"/>
      <w:lvlJc w:val="left"/>
      <w:pPr>
        <w:autoSpaceDE w:val="0"/>
        <w:autoSpaceDN w:val="0"/>
        <w:ind w:left="420"/>
      </w:pPr>
    </w:lvl>
    <w:lvl w:ilvl="3" w:tentative="0">
      <w:start w:val="4"/>
      <w:numFmt w:val="decimal"/>
      <w:lvlText w:val="%1.%2.%3.%4"/>
      <w:lvlJc w:val="left"/>
      <w:pPr>
        <w:tabs>
          <w:tab w:val="left" w:pos="1103"/>
        </w:tabs>
        <w:autoSpaceDE w:val="0"/>
        <w:autoSpaceDN w:val="0"/>
        <w:ind w:left="1103" w:hanging="683"/>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6">
    <w:nsid w:val="000000BC"/>
    <w:multiLevelType w:val="multilevel"/>
    <w:tmpl w:val="000000BC"/>
    <w:lvl w:ilvl="0" w:tentative="0">
      <w:start w:val="1"/>
      <w:numFmt w:val="decimal"/>
      <w:lvlText w:val="%1"/>
      <w:lvlJc w:val="left"/>
      <w:pPr>
        <w:autoSpaceDE w:val="0"/>
        <w:autoSpaceDN w:val="0"/>
        <w:ind w:left="420"/>
      </w:pPr>
    </w:lvl>
    <w:lvl w:ilvl="1" w:tentative="0">
      <w:start w:val="1"/>
      <w:numFmt w:val="decimal"/>
      <w:lvlText w:val="%1.%2"/>
      <w:lvlJc w:val="left"/>
      <w:pPr>
        <w:tabs>
          <w:tab w:val="left" w:pos="927"/>
        </w:tabs>
        <w:autoSpaceDE w:val="0"/>
        <w:autoSpaceDN w:val="0"/>
        <w:ind w:left="927" w:hanging="507"/>
      </w:pPr>
    </w:lvl>
    <w:lvl w:ilvl="2" w:tentative="0">
      <w:start w:val="3"/>
      <w:numFmt w:val="decimal"/>
      <w:lvlText w:val="%1.%2.%3"/>
      <w:lvlJc w:val="left"/>
      <w:pPr>
        <w:autoSpaceDE w:val="0"/>
        <w:autoSpaceDN w:val="0"/>
        <w:ind w:left="420"/>
      </w:pPr>
    </w:lvl>
    <w:lvl w:ilvl="3" w:tentative="0">
      <w:start w:val="9"/>
      <w:numFmt w:val="decimal"/>
      <w:lvlText w:val="%1.%2.%3.%4"/>
      <w:lvlJc w:val="left"/>
      <w:pPr>
        <w:tabs>
          <w:tab w:val="left" w:pos="1103"/>
        </w:tabs>
        <w:autoSpaceDE w:val="0"/>
        <w:autoSpaceDN w:val="0"/>
        <w:ind w:left="1103" w:hanging="683"/>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7">
    <w:nsid w:val="000000BD"/>
    <w:multiLevelType w:val="multilevel"/>
    <w:tmpl w:val="000000BD"/>
    <w:lvl w:ilvl="0" w:tentative="0">
      <w:start w:val="1"/>
      <w:numFmt w:val="decimal"/>
      <w:lvlText w:val="%1"/>
      <w:lvlJc w:val="left"/>
      <w:pPr>
        <w:autoSpaceDE w:val="0"/>
        <w:autoSpaceDN w:val="0"/>
        <w:ind w:left="420"/>
      </w:pPr>
    </w:lvl>
    <w:lvl w:ilvl="1" w:tentative="0">
      <w:start w:val="6"/>
      <w:numFmt w:val="decimal"/>
      <w:lvlText w:val="%1.%2"/>
      <w:lvlJc w:val="left"/>
      <w:pPr>
        <w:autoSpaceDE w:val="0"/>
        <w:autoSpaceDN w:val="0"/>
        <w:ind w:left="420"/>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8">
    <w:nsid w:val="000000BE"/>
    <w:multiLevelType w:val="multilevel"/>
    <w:tmpl w:val="000000BE"/>
    <w:lvl w:ilvl="0" w:tentative="0">
      <w:start w:val="1"/>
      <w:numFmt w:val="decimal"/>
      <w:lvlText w:val="%1"/>
      <w:lvlJc w:val="left"/>
      <w:pPr>
        <w:autoSpaceDE w:val="0"/>
        <w:autoSpaceDN w:val="0"/>
        <w:ind w:left="420"/>
      </w:pPr>
    </w:lvl>
    <w:lvl w:ilvl="1" w:tentative="0">
      <w:start w:val="7"/>
      <w:numFmt w:val="decimal"/>
      <w:lvlText w:val="%1.%2"/>
      <w:lvlJc w:val="left"/>
      <w:pPr>
        <w:tabs>
          <w:tab w:val="left" w:pos="927"/>
        </w:tabs>
        <w:autoSpaceDE w:val="0"/>
        <w:autoSpaceDN w:val="0"/>
        <w:ind w:left="927" w:hanging="507"/>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59">
    <w:nsid w:val="000000C0"/>
    <w:multiLevelType w:val="multilevel"/>
    <w:tmpl w:val="000000C0"/>
    <w:lvl w:ilvl="0" w:tentative="0">
      <w:start w:val="1"/>
      <w:numFmt w:val="decimal"/>
      <w:lvlText w:val="%1"/>
      <w:lvlJc w:val="left"/>
      <w:pPr>
        <w:autoSpaceDE w:val="0"/>
        <w:autoSpaceDN w:val="0"/>
        <w:ind w:left="420"/>
      </w:pPr>
    </w:lvl>
    <w:lvl w:ilvl="1" w:tentative="0">
      <w:start w:val="10"/>
      <w:numFmt w:val="decimal"/>
      <w:lvlText w:val="%1.%2"/>
      <w:lvlJc w:val="left"/>
      <w:pPr>
        <w:tabs>
          <w:tab w:val="left" w:pos="893"/>
        </w:tabs>
        <w:autoSpaceDE w:val="0"/>
        <w:autoSpaceDN w:val="0"/>
        <w:ind w:left="893" w:hanging="473"/>
      </w:pPr>
    </w:lvl>
    <w:lvl w:ilvl="2" w:tentative="0">
      <w:start w:val="3"/>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0">
    <w:nsid w:val="000000C2"/>
    <w:multiLevelType w:val="multilevel"/>
    <w:tmpl w:val="000000C2"/>
    <w:lvl w:ilvl="0" w:tentative="0">
      <w:start w:val="1"/>
      <w:numFmt w:val="decimal"/>
      <w:lvlText w:val="%1."/>
      <w:lvlJc w:val="right"/>
      <w:pPr>
        <w:tabs>
          <w:tab w:val="left" w:pos="280"/>
        </w:tabs>
        <w:autoSpaceDE w:val="0"/>
        <w:autoSpaceDN w:val="0"/>
        <w:ind w:left="280" w:hanging="105"/>
      </w:pPr>
    </w:lvl>
    <w:lvl w:ilvl="1" w:tentative="0">
      <w:start w:val="13"/>
      <w:numFmt w:val="decimal"/>
      <w:lvlText w:val="%1.%2"/>
      <w:lvlJc w:val="left"/>
      <w:pPr>
        <w:tabs>
          <w:tab w:val="left" w:pos="420"/>
        </w:tabs>
        <w:autoSpaceDE w:val="0"/>
        <w:autoSpaceDN w:val="0"/>
        <w:ind w:left="420" w:hanging="420"/>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1">
    <w:nsid w:val="000000C4"/>
    <w:multiLevelType w:val="multilevel"/>
    <w:tmpl w:val="000000C4"/>
    <w:lvl w:ilvl="0" w:tentative="0">
      <w:start w:val="3"/>
      <w:numFmt w:val="decimal"/>
      <w:lvlText w:val="%1"/>
      <w:lvlJc w:val="left"/>
      <w:pPr>
        <w:autoSpaceDE w:val="0"/>
        <w:autoSpaceDN w:val="0"/>
        <w:ind w:left="420"/>
      </w:pPr>
    </w:lvl>
    <w:lvl w:ilvl="1" w:tentative="0">
      <w:start w:val="2"/>
      <w:numFmt w:val="decimal"/>
      <w:lvlText w:val="%1.%2"/>
      <w:lvlJc w:val="left"/>
      <w:pPr>
        <w:tabs>
          <w:tab w:val="left" w:pos="788"/>
        </w:tabs>
        <w:autoSpaceDE w:val="0"/>
        <w:autoSpaceDN w:val="0"/>
        <w:ind w:left="788" w:hanging="368"/>
      </w:pPr>
    </w:lvl>
    <w:lvl w:ilvl="2" w:tentative="0">
      <w:start w:val="4"/>
      <w:numFmt w:val="decimal"/>
      <w:lvlText w:val="%1.%2.%3"/>
      <w:lvlJc w:val="left"/>
      <w:pPr>
        <w:tabs>
          <w:tab w:val="left" w:pos="1137"/>
        </w:tabs>
        <w:autoSpaceDE w:val="0"/>
        <w:autoSpaceDN w:val="0"/>
        <w:ind w:left="1137" w:hanging="717"/>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2">
    <w:nsid w:val="000000C6"/>
    <w:multiLevelType w:val="multilevel"/>
    <w:tmpl w:val="000000C6"/>
    <w:lvl w:ilvl="0" w:tentative="0">
      <w:start w:val="3"/>
      <w:numFmt w:val="decimal"/>
      <w:lvlText w:val="%1"/>
      <w:lvlJc w:val="left"/>
      <w:pPr>
        <w:autoSpaceDE w:val="0"/>
        <w:autoSpaceDN w:val="0"/>
        <w:ind w:left="420"/>
      </w:pPr>
    </w:lvl>
    <w:lvl w:ilvl="1" w:tentative="0">
      <w:start w:val="3"/>
      <w:numFmt w:val="decimal"/>
      <w:lvlText w:val="%1.%2"/>
      <w:lvlJc w:val="left"/>
      <w:pPr>
        <w:tabs>
          <w:tab w:val="left" w:pos="927"/>
        </w:tabs>
        <w:autoSpaceDE w:val="0"/>
        <w:autoSpaceDN w:val="0"/>
        <w:ind w:left="927" w:hanging="507"/>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3">
    <w:nsid w:val="000000C7"/>
    <w:multiLevelType w:val="multilevel"/>
    <w:tmpl w:val="000000C7"/>
    <w:lvl w:ilvl="0" w:tentative="0">
      <w:start w:val="3"/>
      <w:numFmt w:val="decimal"/>
      <w:lvlText w:val="%1"/>
      <w:lvlJc w:val="left"/>
      <w:pPr>
        <w:autoSpaceDE w:val="0"/>
        <w:autoSpaceDN w:val="0"/>
        <w:ind w:left="420"/>
      </w:pPr>
    </w:lvl>
    <w:lvl w:ilvl="1" w:tentative="0">
      <w:start w:val="5"/>
      <w:numFmt w:val="decimal"/>
      <w:lvlText w:val="%1.%2"/>
      <w:lvlJc w:val="left"/>
      <w:pPr>
        <w:autoSpaceDE w:val="0"/>
        <w:autoSpaceDN w:val="0"/>
        <w:ind w:left="420"/>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4">
    <w:nsid w:val="000000C8"/>
    <w:multiLevelType w:val="multilevel"/>
    <w:tmpl w:val="000000C8"/>
    <w:lvl w:ilvl="0" w:tentative="0">
      <w:start w:val="3"/>
      <w:numFmt w:val="decimal"/>
      <w:lvlText w:val="%1"/>
      <w:lvlJc w:val="left"/>
      <w:pPr>
        <w:autoSpaceDE w:val="0"/>
        <w:autoSpaceDN w:val="0"/>
        <w:ind w:left="420"/>
      </w:pPr>
    </w:lvl>
    <w:lvl w:ilvl="1" w:tentative="0">
      <w:start w:val="5"/>
      <w:numFmt w:val="decimal"/>
      <w:lvlText w:val="%1.%2"/>
      <w:lvlJc w:val="left"/>
      <w:pPr>
        <w:tabs>
          <w:tab w:val="left" w:pos="788"/>
        </w:tabs>
        <w:autoSpaceDE w:val="0"/>
        <w:autoSpaceDN w:val="0"/>
        <w:ind w:left="788" w:hanging="368"/>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5">
    <w:nsid w:val="000000C9"/>
    <w:multiLevelType w:val="multilevel"/>
    <w:tmpl w:val="000000C9"/>
    <w:lvl w:ilvl="0" w:tentative="0">
      <w:start w:val="4"/>
      <w:numFmt w:val="decimal"/>
      <w:lvlText w:val="%1."/>
      <w:lvlJc w:val="left"/>
      <w:pPr>
        <w:tabs>
          <w:tab w:val="left" w:pos="717"/>
        </w:tabs>
        <w:autoSpaceDE w:val="0"/>
        <w:autoSpaceDN w:val="0"/>
        <w:ind w:left="717" w:hanging="297"/>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6">
    <w:nsid w:val="000000CA"/>
    <w:multiLevelType w:val="multilevel"/>
    <w:tmpl w:val="000000CA"/>
    <w:lvl w:ilvl="0" w:tentative="0">
      <w:start w:val="5"/>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7">
    <w:nsid w:val="000000CB"/>
    <w:multiLevelType w:val="multilevel"/>
    <w:tmpl w:val="000000CB"/>
    <w:lvl w:ilvl="0" w:tentative="0">
      <w:start w:val="5"/>
      <w:numFmt w:val="decimal"/>
      <w:lvlText w:val="%1."/>
      <w:lvlJc w:val="left"/>
      <w:pPr>
        <w:tabs>
          <w:tab w:val="left" w:pos="683"/>
        </w:tabs>
        <w:autoSpaceDE w:val="0"/>
        <w:autoSpaceDN w:val="0"/>
        <w:ind w:left="683" w:hanging="263"/>
      </w:pPr>
    </w:lvl>
    <w:lvl w:ilvl="1" w:tentative="0">
      <w:start w:val="3"/>
      <w:numFmt w:val="decimal"/>
      <w:lvlText w:val="%1.%2"/>
      <w:lvlJc w:val="left"/>
      <w:pPr>
        <w:tabs>
          <w:tab w:val="left" w:pos="788"/>
        </w:tabs>
        <w:autoSpaceDE w:val="0"/>
        <w:autoSpaceDN w:val="0"/>
        <w:ind w:left="788" w:hanging="368"/>
      </w:pPr>
    </w:lvl>
    <w:lvl w:ilvl="2" w:tentative="0">
      <w:start w:val="2"/>
      <w:numFmt w:val="decimal"/>
      <w:lvlText w:val="%1.%2.%3"/>
      <w:lvlJc w:val="left"/>
      <w:pPr>
        <w:tabs>
          <w:tab w:val="left" w:pos="893"/>
        </w:tabs>
        <w:autoSpaceDE w:val="0"/>
        <w:autoSpaceDN w:val="0"/>
        <w:ind w:left="893" w:hanging="47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8">
    <w:nsid w:val="000000CC"/>
    <w:multiLevelType w:val="multilevel"/>
    <w:tmpl w:val="000000CC"/>
    <w:lvl w:ilvl="0" w:tentative="0">
      <w:start w:val="6"/>
      <w:numFmt w:val="decimal"/>
      <w:lvlText w:val="%1"/>
      <w:lvlJc w:val="left"/>
      <w:pPr>
        <w:autoSpaceDE w:val="0"/>
        <w:autoSpaceDN w:val="0"/>
        <w:ind w:left="420"/>
      </w:pPr>
    </w:lvl>
    <w:lvl w:ilvl="1" w:tentative="0">
      <w:start w:val="1"/>
      <w:numFmt w:val="decimal"/>
      <w:lvlText w:val="%1.%2"/>
      <w:lvlJc w:val="left"/>
      <w:pPr>
        <w:autoSpaceDE w:val="0"/>
        <w:autoSpaceDN w:val="0"/>
        <w:ind w:left="420"/>
      </w:pPr>
    </w:lvl>
    <w:lvl w:ilvl="2" w:tentative="0">
      <w:start w:val="4"/>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69">
    <w:nsid w:val="000000CE"/>
    <w:multiLevelType w:val="multilevel"/>
    <w:tmpl w:val="000000CE"/>
    <w:lvl w:ilvl="0" w:tentative="0">
      <w:start w:val="7"/>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0">
    <w:nsid w:val="000000D2"/>
    <w:multiLevelType w:val="multilevel"/>
    <w:tmpl w:val="000000D2"/>
    <w:lvl w:ilvl="0" w:tentative="0">
      <w:start w:val="7"/>
      <w:numFmt w:val="decimal"/>
      <w:lvlText w:val="%1"/>
      <w:lvlJc w:val="left"/>
      <w:pPr>
        <w:autoSpaceDE w:val="0"/>
        <w:autoSpaceDN w:val="0"/>
        <w:ind w:left="420"/>
      </w:pPr>
    </w:lvl>
    <w:lvl w:ilvl="1" w:tentative="0">
      <w:start w:val="9"/>
      <w:numFmt w:val="decimal"/>
      <w:lvlText w:val="%1.%2"/>
      <w:lvlJc w:val="left"/>
      <w:pPr>
        <w:tabs>
          <w:tab w:val="left" w:pos="368"/>
        </w:tabs>
        <w:autoSpaceDE w:val="0"/>
        <w:autoSpaceDN w:val="0"/>
        <w:ind w:left="368" w:hanging="368"/>
      </w:pPr>
    </w:lvl>
    <w:lvl w:ilvl="2" w:tentative="0">
      <w:start w:val="2"/>
      <w:numFmt w:val="decimal"/>
      <w:lvlText w:val="%1.%2.%3"/>
      <w:lvlJc w:val="left"/>
      <w:pPr>
        <w:tabs>
          <w:tab w:val="left" w:pos="893"/>
        </w:tabs>
        <w:autoSpaceDE w:val="0"/>
        <w:autoSpaceDN w:val="0"/>
        <w:ind w:left="893" w:hanging="47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1">
    <w:nsid w:val="000000D4"/>
    <w:multiLevelType w:val="multilevel"/>
    <w:tmpl w:val="000000D4"/>
    <w:lvl w:ilvl="0" w:tentative="0">
      <w:start w:val="8"/>
      <w:numFmt w:val="decimal"/>
      <w:lvlText w:val="%1"/>
      <w:lvlJc w:val="left"/>
      <w:pPr>
        <w:autoSpaceDE w:val="0"/>
        <w:autoSpaceDN w:val="0"/>
        <w:ind w:left="420"/>
      </w:pPr>
    </w:lvl>
    <w:lvl w:ilvl="1" w:tentative="0">
      <w:start w:val="4"/>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893"/>
        </w:tabs>
        <w:autoSpaceDE w:val="0"/>
        <w:autoSpaceDN w:val="0"/>
        <w:ind w:left="893" w:hanging="473"/>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2">
    <w:nsid w:val="000000D5"/>
    <w:multiLevelType w:val="multilevel"/>
    <w:tmpl w:val="000000D5"/>
    <w:lvl w:ilvl="0" w:tentative="0">
      <w:start w:val="8"/>
      <w:numFmt w:val="decimal"/>
      <w:lvlText w:val="%1"/>
      <w:lvlJc w:val="left"/>
      <w:pPr>
        <w:autoSpaceDE w:val="0"/>
        <w:autoSpaceDN w:val="0"/>
        <w:ind w:left="420"/>
      </w:pPr>
    </w:lvl>
    <w:lvl w:ilvl="1" w:tentative="0">
      <w:start w:val="6"/>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3">
    <w:nsid w:val="000000D6"/>
    <w:multiLevelType w:val="multilevel"/>
    <w:tmpl w:val="000000D6"/>
    <w:lvl w:ilvl="0" w:tentative="0">
      <w:start w:val="8"/>
      <w:numFmt w:val="decimal"/>
      <w:lvlText w:val="%1"/>
      <w:lvlJc w:val="left"/>
      <w:pPr>
        <w:autoSpaceDE w:val="0"/>
        <w:autoSpaceDN w:val="0"/>
        <w:ind w:left="420"/>
      </w:pPr>
    </w:lvl>
    <w:lvl w:ilvl="1" w:tentative="0">
      <w:start w:val="8"/>
      <w:numFmt w:val="decimal"/>
      <w:lvlText w:val="%1.%2"/>
      <w:lvlJc w:val="left"/>
      <w:pPr>
        <w:tabs>
          <w:tab w:val="left" w:pos="368"/>
        </w:tabs>
        <w:autoSpaceDE w:val="0"/>
        <w:autoSpaceDN w:val="0"/>
        <w:ind w:left="368" w:hanging="368"/>
      </w:pPr>
    </w:lvl>
    <w:lvl w:ilvl="2" w:tentative="0">
      <w:start w:val="1"/>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4">
    <w:nsid w:val="000000D7"/>
    <w:multiLevelType w:val="multilevel"/>
    <w:tmpl w:val="000000D7"/>
    <w:lvl w:ilvl="0" w:tentative="0">
      <w:start w:val="9"/>
      <w:numFmt w:val="decimal"/>
      <w:lvlText w:val="%1"/>
      <w:lvlJc w:val="left"/>
      <w:pPr>
        <w:autoSpaceDE w:val="0"/>
        <w:autoSpaceDN w:val="0"/>
        <w:ind w:left="420"/>
      </w:pPr>
    </w:lvl>
    <w:lvl w:ilvl="1" w:tentative="0">
      <w:start w:val="1"/>
      <w:numFmt w:val="decimal"/>
      <w:lvlText w:val="%1.%2"/>
      <w:lvlJc w:val="left"/>
      <w:pPr>
        <w:tabs>
          <w:tab w:val="left" w:pos="368"/>
        </w:tabs>
        <w:autoSpaceDE w:val="0"/>
        <w:autoSpaceDN w:val="0"/>
        <w:ind w:left="368" w:hanging="368"/>
      </w:pPr>
    </w:lvl>
    <w:lvl w:ilvl="2" w:tentative="0">
      <w:start w:val="2"/>
      <w:numFmt w:val="decimal"/>
      <w:lvlText w:val="%1.%2.%3"/>
      <w:lvlJc w:val="left"/>
      <w:pPr>
        <w:tabs>
          <w:tab w:val="left" w:pos="945"/>
        </w:tabs>
        <w:autoSpaceDE w:val="0"/>
        <w:autoSpaceDN w:val="0"/>
        <w:ind w:left="945" w:hanging="525"/>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5">
    <w:nsid w:val="000000D8"/>
    <w:multiLevelType w:val="multilevel"/>
    <w:tmpl w:val="000000D8"/>
    <w:lvl w:ilvl="0" w:tentative="0">
      <w:start w:val="9"/>
      <w:numFmt w:val="decimal"/>
      <w:lvlText w:val="%1"/>
      <w:lvlJc w:val="left"/>
      <w:pPr>
        <w:autoSpaceDE w:val="0"/>
        <w:autoSpaceDN w:val="0"/>
        <w:ind w:left="420" w:hanging="420"/>
      </w:pPr>
    </w:lvl>
    <w:lvl w:ilvl="1" w:tentative="0">
      <w:start w:val="4"/>
      <w:numFmt w:val="decimal"/>
      <w:lvlText w:val="%1.%2"/>
      <w:lvlJc w:val="left"/>
      <w:pPr>
        <w:tabs>
          <w:tab w:val="left" w:pos="368"/>
        </w:tabs>
        <w:autoSpaceDE w:val="0"/>
        <w:autoSpaceDN w:val="0"/>
        <w:ind w:left="368" w:hanging="368"/>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76">
    <w:nsid w:val="000000DA"/>
    <w:multiLevelType w:val="multilevel"/>
    <w:tmpl w:val="000000DA"/>
    <w:lvl w:ilvl="0" w:tentative="0">
      <w:start w:val="10"/>
      <w:numFmt w:val="decimal"/>
      <w:lvlText w:val="%1"/>
      <w:lvlJc w:val="left"/>
      <w:pPr>
        <w:autoSpaceDE w:val="0"/>
        <w:autoSpaceDN w:val="0"/>
        <w:ind w:left="420" w:firstLine="21"/>
      </w:pPr>
    </w:lvl>
    <w:lvl w:ilvl="1" w:tentative="0">
      <w:start w:val="3"/>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71"/>
        </w:tabs>
        <w:autoSpaceDE w:val="0"/>
        <w:autoSpaceDN w:val="0"/>
        <w:ind w:left="1071" w:hanging="630"/>
      </w:pPr>
    </w:lvl>
    <w:lvl w:ilvl="3" w:tentative="0">
      <w:start w:val="1"/>
      <w:numFmt w:val="decimal"/>
      <w:lvlText w:val="%1.%2.%3.%4"/>
      <w:lvlJc w:val="left"/>
      <w:pPr>
        <w:autoSpaceDE w:val="0"/>
        <w:autoSpaceDN w:val="0"/>
        <w:ind w:left="420" w:firstLine="21"/>
      </w:pPr>
    </w:lvl>
    <w:lvl w:ilvl="4" w:tentative="0">
      <w:start w:val="1"/>
      <w:numFmt w:val="decimal"/>
      <w:lvlText w:val="%1.%2.%3.%4.%5"/>
      <w:lvlJc w:val="left"/>
      <w:pPr>
        <w:autoSpaceDE w:val="0"/>
        <w:autoSpaceDN w:val="0"/>
        <w:ind w:left="420" w:firstLine="21"/>
      </w:pPr>
    </w:lvl>
    <w:lvl w:ilvl="5" w:tentative="0">
      <w:start w:val="1"/>
      <w:numFmt w:val="decimal"/>
      <w:lvlText w:val="%1.%2.%3.%4.%5.%6"/>
      <w:lvlJc w:val="left"/>
      <w:pPr>
        <w:autoSpaceDE w:val="0"/>
        <w:autoSpaceDN w:val="0"/>
        <w:ind w:left="420" w:firstLine="21"/>
      </w:pPr>
    </w:lvl>
    <w:lvl w:ilvl="6" w:tentative="0">
      <w:start w:val="1"/>
      <w:numFmt w:val="decimal"/>
      <w:lvlText w:val="%1.%2.%3.%4.%5.%6.%7"/>
      <w:lvlJc w:val="left"/>
      <w:pPr>
        <w:autoSpaceDE w:val="0"/>
        <w:autoSpaceDN w:val="0"/>
        <w:ind w:left="420" w:firstLine="21"/>
      </w:pPr>
    </w:lvl>
    <w:lvl w:ilvl="7" w:tentative="0">
      <w:start w:val="1"/>
      <w:numFmt w:val="decimal"/>
      <w:lvlText w:val="%1.%2.%3.%4.%5.%6.%7.%8"/>
      <w:lvlJc w:val="left"/>
      <w:pPr>
        <w:autoSpaceDE w:val="0"/>
        <w:autoSpaceDN w:val="0"/>
        <w:ind w:left="420" w:firstLine="21"/>
      </w:pPr>
    </w:lvl>
    <w:lvl w:ilvl="8" w:tentative="0">
      <w:start w:val="1"/>
      <w:numFmt w:val="decimal"/>
      <w:lvlText w:val="%1.%2.%3.%4.%5.%6.%7.%8.%9"/>
      <w:lvlJc w:val="left"/>
      <w:pPr>
        <w:autoSpaceDE w:val="0"/>
        <w:autoSpaceDN w:val="0"/>
        <w:ind w:left="420" w:firstLine="21"/>
      </w:pPr>
    </w:lvl>
  </w:abstractNum>
  <w:abstractNum w:abstractNumId="77">
    <w:nsid w:val="000000DD"/>
    <w:multiLevelType w:val="multilevel"/>
    <w:tmpl w:val="000000DD"/>
    <w:lvl w:ilvl="0" w:tentative="0">
      <w:start w:val="10"/>
      <w:numFmt w:val="decimal"/>
      <w:lvlText w:val="%1"/>
      <w:lvlJc w:val="left"/>
      <w:pPr>
        <w:autoSpaceDE w:val="0"/>
        <w:autoSpaceDN w:val="0"/>
        <w:ind w:left="420"/>
      </w:pPr>
    </w:lvl>
    <w:lvl w:ilvl="1" w:tentative="0">
      <w:start w:val="7"/>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8">
    <w:nsid w:val="000000DE"/>
    <w:multiLevelType w:val="multilevel"/>
    <w:tmpl w:val="000000DE"/>
    <w:lvl w:ilvl="0" w:tentative="0">
      <w:start w:val="11"/>
      <w:numFmt w:val="decimal"/>
      <w:lvlText w:val="%1."/>
      <w:lvlJc w:val="left"/>
      <w:pPr>
        <w:tabs>
          <w:tab w:val="left" w:pos="350"/>
        </w:tabs>
        <w:autoSpaceDE w:val="0"/>
        <w:autoSpaceDN w:val="0"/>
        <w:ind w:left="350" w:hanging="35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79">
    <w:nsid w:val="000000DF"/>
    <w:multiLevelType w:val="multilevel"/>
    <w:tmpl w:val="000000DF"/>
    <w:lvl w:ilvl="0" w:tentative="0">
      <w:start w:val="12"/>
      <w:numFmt w:val="decimal"/>
      <w:lvlText w:val="%1"/>
      <w:lvlJc w:val="left"/>
      <w:pPr>
        <w:autoSpaceDE w:val="0"/>
        <w:autoSpaceDN w:val="0"/>
        <w:ind w:left="42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0">
    <w:nsid w:val="000000E0"/>
    <w:multiLevelType w:val="multilevel"/>
    <w:tmpl w:val="000000E0"/>
    <w:lvl w:ilvl="0" w:tentative="0">
      <w:start w:val="1"/>
      <w:numFmt w:val="decimal"/>
      <w:lvlText w:val="(%1)"/>
      <w:lvlJc w:val="left"/>
      <w:pPr>
        <w:tabs>
          <w:tab w:val="left" w:pos="927"/>
        </w:tabs>
        <w:autoSpaceDE w:val="0"/>
        <w:autoSpaceDN w:val="0"/>
        <w:ind w:left="927" w:hanging="486"/>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81">
    <w:nsid w:val="000000E1"/>
    <w:multiLevelType w:val="multilevel"/>
    <w:tmpl w:val="000000E1"/>
    <w:lvl w:ilvl="0" w:tentative="0">
      <w:start w:val="12"/>
      <w:numFmt w:val="decimal"/>
      <w:lvlText w:val="%1."/>
      <w:lvlJc w:val="left"/>
      <w:pPr>
        <w:tabs>
          <w:tab w:val="left" w:pos="397"/>
        </w:tabs>
        <w:autoSpaceDE w:val="0"/>
        <w:autoSpaceDN w:val="0"/>
        <w:ind w:left="397" w:hanging="397"/>
      </w:pPr>
    </w:lvl>
    <w:lvl w:ilvl="1" w:tentative="0">
      <w:start w:val="3"/>
      <w:numFmt w:val="decimal"/>
      <w:lvlText w:val="%1.%2"/>
      <w:lvlJc w:val="left"/>
      <w:pPr>
        <w:tabs>
          <w:tab w:val="left" w:pos="473"/>
        </w:tabs>
        <w:autoSpaceDE w:val="0"/>
        <w:autoSpaceDN w:val="0"/>
        <w:ind w:left="473" w:hanging="473"/>
      </w:pPr>
    </w:lvl>
    <w:lvl w:ilvl="2" w:tentative="0">
      <w:start w:val="6"/>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2">
    <w:nsid w:val="000000E2"/>
    <w:multiLevelType w:val="multilevel"/>
    <w:tmpl w:val="000000E2"/>
    <w:lvl w:ilvl="0" w:tentative="0">
      <w:start w:val="13"/>
      <w:numFmt w:val="decimal"/>
      <w:lvlText w:val="%1"/>
      <w:lvlJc w:val="left"/>
      <w:pPr>
        <w:autoSpaceDE w:val="0"/>
        <w:autoSpaceDN w:val="0"/>
        <w:ind w:left="420"/>
      </w:pPr>
    </w:lvl>
    <w:lvl w:ilvl="1" w:tentative="0">
      <w:start w:val="1"/>
      <w:numFmt w:val="decimal"/>
      <w:lvlText w:val="%1.%2"/>
      <w:lvlJc w:val="left"/>
      <w:pPr>
        <w:tabs>
          <w:tab w:val="left" w:pos="473"/>
        </w:tabs>
        <w:autoSpaceDE w:val="0"/>
        <w:autoSpaceDN w:val="0"/>
        <w:ind w:left="473" w:hanging="473"/>
      </w:pPr>
    </w:lvl>
    <w:lvl w:ilvl="2" w:tentative="0">
      <w:start w:val="2"/>
      <w:numFmt w:val="decimal"/>
      <w:lvlText w:val="%1.%2.%3"/>
      <w:lvlJc w:val="left"/>
      <w:pPr>
        <w:tabs>
          <w:tab w:val="left" w:pos="998"/>
        </w:tabs>
        <w:autoSpaceDE w:val="0"/>
        <w:autoSpaceDN w:val="0"/>
        <w:ind w:left="998" w:hanging="578"/>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3">
    <w:nsid w:val="000000E3"/>
    <w:multiLevelType w:val="multilevel"/>
    <w:tmpl w:val="000000E3"/>
    <w:lvl w:ilvl="0" w:tentative="0">
      <w:start w:val="13"/>
      <w:numFmt w:val="decimal"/>
      <w:lvlText w:val="%1"/>
      <w:lvlJc w:val="left"/>
      <w:pPr>
        <w:autoSpaceDE w:val="0"/>
        <w:autoSpaceDN w:val="0"/>
        <w:ind w:left="420"/>
      </w:pPr>
    </w:lvl>
    <w:lvl w:ilvl="1" w:tentative="0">
      <w:start w:val="2"/>
      <w:numFmt w:val="decimal"/>
      <w:lvlText w:val="%1.%2"/>
      <w:lvlJc w:val="left"/>
      <w:pPr>
        <w:autoSpaceDE w:val="0"/>
        <w:autoSpaceDN w:val="0"/>
        <w:ind w:left="420"/>
      </w:pPr>
    </w:lvl>
    <w:lvl w:ilvl="2" w:tentative="0">
      <w:start w:val="1"/>
      <w:numFmt w:val="decimal"/>
      <w:lvlText w:val="%1.%2.%3"/>
      <w:lvlJc w:val="left"/>
      <w:pPr>
        <w:tabs>
          <w:tab w:val="left" w:pos="998"/>
        </w:tabs>
        <w:autoSpaceDE w:val="0"/>
        <w:autoSpaceDN w:val="0"/>
        <w:ind w:left="998" w:hanging="578"/>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4">
    <w:nsid w:val="000000E6"/>
    <w:multiLevelType w:val="multilevel"/>
    <w:tmpl w:val="000000E6"/>
    <w:lvl w:ilvl="0" w:tentative="0">
      <w:start w:val="13"/>
      <w:numFmt w:val="decimal"/>
      <w:lvlText w:val="%1"/>
      <w:lvlJc w:val="left"/>
      <w:pPr>
        <w:autoSpaceDE w:val="0"/>
        <w:autoSpaceDN w:val="0"/>
        <w:ind w:left="420"/>
      </w:pPr>
    </w:lvl>
    <w:lvl w:ilvl="1" w:tentative="0">
      <w:start w:val="6"/>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5">
    <w:nsid w:val="000000E7"/>
    <w:multiLevelType w:val="multilevel"/>
    <w:tmpl w:val="000000E7"/>
    <w:lvl w:ilvl="0" w:tentative="0">
      <w:start w:val="14"/>
      <w:numFmt w:val="decimal"/>
      <w:lvlText w:val="%1"/>
      <w:lvlJc w:val="left"/>
      <w:pPr>
        <w:autoSpaceDE w:val="0"/>
        <w:autoSpaceDN w:val="0"/>
        <w:ind w:left="420" w:hanging="42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autoSpaceDE w:val="0"/>
        <w:autoSpaceDN w:val="0"/>
        <w:ind w:left="420" w:hanging="420"/>
      </w:pPr>
    </w:lvl>
    <w:lvl w:ilvl="3" w:tentative="0">
      <w:start w:val="1"/>
      <w:numFmt w:val="decimal"/>
      <w:lvlText w:val="%1.%2.%3.%4"/>
      <w:lvlJc w:val="left"/>
      <w:pPr>
        <w:autoSpaceDE w:val="0"/>
        <w:autoSpaceDN w:val="0"/>
        <w:ind w:left="420" w:hanging="420"/>
      </w:pPr>
    </w:lvl>
    <w:lvl w:ilvl="4" w:tentative="0">
      <w:start w:val="1"/>
      <w:numFmt w:val="decimal"/>
      <w:lvlText w:val="%1.%2.%3.%4.%5"/>
      <w:lvlJc w:val="left"/>
      <w:pPr>
        <w:autoSpaceDE w:val="0"/>
        <w:autoSpaceDN w:val="0"/>
        <w:ind w:left="420" w:hanging="420"/>
      </w:pPr>
    </w:lvl>
    <w:lvl w:ilvl="5" w:tentative="0">
      <w:start w:val="1"/>
      <w:numFmt w:val="decimal"/>
      <w:lvlText w:val="%1.%2.%3.%4.%5.%6"/>
      <w:lvlJc w:val="left"/>
      <w:pPr>
        <w:autoSpaceDE w:val="0"/>
        <w:autoSpaceDN w:val="0"/>
        <w:ind w:left="420" w:hanging="420"/>
      </w:pPr>
    </w:lvl>
    <w:lvl w:ilvl="6" w:tentative="0">
      <w:start w:val="1"/>
      <w:numFmt w:val="decimal"/>
      <w:lvlText w:val="%1.%2.%3.%4.%5.%6.%7"/>
      <w:lvlJc w:val="left"/>
      <w:pPr>
        <w:autoSpaceDE w:val="0"/>
        <w:autoSpaceDN w:val="0"/>
        <w:ind w:left="420" w:hanging="420"/>
      </w:pPr>
    </w:lvl>
    <w:lvl w:ilvl="7" w:tentative="0">
      <w:start w:val="1"/>
      <w:numFmt w:val="decimal"/>
      <w:lvlText w:val="%1.%2.%3.%4.%5.%6.%7.%8"/>
      <w:lvlJc w:val="left"/>
      <w:pPr>
        <w:autoSpaceDE w:val="0"/>
        <w:autoSpaceDN w:val="0"/>
        <w:ind w:left="420" w:hanging="420"/>
      </w:pPr>
    </w:lvl>
    <w:lvl w:ilvl="8" w:tentative="0">
      <w:start w:val="1"/>
      <w:numFmt w:val="decimal"/>
      <w:lvlText w:val="%1.%2.%3.%4.%5.%6.%7.%8.%9"/>
      <w:lvlJc w:val="left"/>
      <w:pPr>
        <w:autoSpaceDE w:val="0"/>
        <w:autoSpaceDN w:val="0"/>
        <w:ind w:left="420" w:hanging="420"/>
      </w:pPr>
    </w:lvl>
  </w:abstractNum>
  <w:abstractNum w:abstractNumId="86">
    <w:nsid w:val="000000F1"/>
    <w:multiLevelType w:val="multilevel"/>
    <w:tmpl w:val="000000F1"/>
    <w:lvl w:ilvl="0" w:tentative="0">
      <w:start w:val="14"/>
      <w:numFmt w:val="decimal"/>
      <w:lvlText w:val="%1"/>
      <w:lvlJc w:val="left"/>
      <w:pPr>
        <w:autoSpaceDE w:val="0"/>
        <w:autoSpaceDN w:val="0"/>
        <w:ind w:left="420"/>
      </w:pPr>
    </w:lvl>
    <w:lvl w:ilvl="1" w:tentative="0">
      <w:start w:val="4"/>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7">
    <w:nsid w:val="000000F2"/>
    <w:multiLevelType w:val="multilevel"/>
    <w:tmpl w:val="000000F2"/>
    <w:lvl w:ilvl="0" w:tentative="0">
      <w:start w:val="15"/>
      <w:numFmt w:val="decimal"/>
      <w:lvlText w:val="%1"/>
      <w:lvlJc w:val="left"/>
      <w:pPr>
        <w:autoSpaceDE w:val="0"/>
        <w:autoSpaceDN w:val="0"/>
        <w:ind w:left="420"/>
      </w:pPr>
    </w:lvl>
    <w:lvl w:ilvl="1" w:tentative="0">
      <w:start w:val="2"/>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8">
    <w:nsid w:val="000000F3"/>
    <w:multiLevelType w:val="multilevel"/>
    <w:tmpl w:val="000000F3"/>
    <w:lvl w:ilvl="0" w:tentative="0">
      <w:start w:val="16"/>
      <w:numFmt w:val="decimal"/>
      <w:lvlText w:val="%1"/>
      <w:lvlJc w:val="left"/>
      <w:pPr>
        <w:autoSpaceDE w:val="0"/>
        <w:autoSpaceDN w:val="0"/>
        <w:ind w:left="420"/>
      </w:pPr>
    </w:lvl>
    <w:lvl w:ilvl="1" w:tentative="0">
      <w:start w:val="1"/>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998"/>
        </w:tabs>
        <w:autoSpaceDE w:val="0"/>
        <w:autoSpaceDN w:val="0"/>
        <w:ind w:left="998" w:hanging="578"/>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89">
    <w:nsid w:val="000000F4"/>
    <w:multiLevelType w:val="multilevel"/>
    <w:tmpl w:val="000000F4"/>
    <w:lvl w:ilvl="0" w:tentative="0">
      <w:start w:val="16"/>
      <w:numFmt w:val="decimal"/>
      <w:lvlText w:val="%1"/>
      <w:lvlJc w:val="left"/>
      <w:pPr>
        <w:autoSpaceDE w:val="0"/>
        <w:autoSpaceDN w:val="0"/>
        <w:ind w:left="420"/>
      </w:pPr>
    </w:lvl>
    <w:lvl w:ilvl="1" w:tentative="0">
      <w:start w:val="1"/>
      <w:numFmt w:val="decimal"/>
      <w:lvlText w:val="%1.%2"/>
      <w:lvlJc w:val="left"/>
      <w:pPr>
        <w:autoSpaceDE w:val="0"/>
        <w:autoSpaceDN w:val="0"/>
        <w:ind w:left="420"/>
      </w:pPr>
    </w:lvl>
    <w:lvl w:ilvl="2" w:tentative="0">
      <w:start w:val="2"/>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0">
    <w:nsid w:val="000000F6"/>
    <w:multiLevelType w:val="multilevel"/>
    <w:tmpl w:val="000000F6"/>
    <w:lvl w:ilvl="0" w:tentative="0">
      <w:start w:val="16"/>
      <w:numFmt w:val="decimal"/>
      <w:lvlText w:val="%1"/>
      <w:lvlJc w:val="left"/>
      <w:pPr>
        <w:autoSpaceDE w:val="0"/>
        <w:autoSpaceDN w:val="0"/>
        <w:ind w:left="420" w:hanging="420"/>
      </w:pPr>
    </w:lvl>
    <w:lvl w:ilvl="1" w:tentative="0">
      <w:start w:val="2"/>
      <w:numFmt w:val="decimal"/>
      <w:lvlText w:val="%1.%2"/>
      <w:lvlJc w:val="left"/>
      <w:pPr>
        <w:autoSpaceDE w:val="0"/>
        <w:autoSpaceDN w:val="0"/>
        <w:ind w:left="420" w:hanging="210"/>
      </w:pPr>
    </w:lvl>
    <w:lvl w:ilvl="2" w:tentative="0">
      <w:start w:val="3"/>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hanging="210"/>
      </w:pPr>
    </w:lvl>
    <w:lvl w:ilvl="4" w:tentative="0">
      <w:start w:val="1"/>
      <w:numFmt w:val="decimal"/>
      <w:lvlText w:val="%1.%2.%3.%4.%5"/>
      <w:lvlJc w:val="left"/>
      <w:pPr>
        <w:autoSpaceDE w:val="0"/>
        <w:autoSpaceDN w:val="0"/>
        <w:ind w:left="420" w:hanging="210"/>
      </w:pPr>
    </w:lvl>
    <w:lvl w:ilvl="5" w:tentative="0">
      <w:start w:val="1"/>
      <w:numFmt w:val="decimal"/>
      <w:lvlText w:val="%1.%2.%3.%4.%5.%6"/>
      <w:lvlJc w:val="left"/>
      <w:pPr>
        <w:autoSpaceDE w:val="0"/>
        <w:autoSpaceDN w:val="0"/>
        <w:ind w:left="420" w:hanging="210"/>
      </w:pPr>
    </w:lvl>
    <w:lvl w:ilvl="6" w:tentative="0">
      <w:start w:val="1"/>
      <w:numFmt w:val="decimal"/>
      <w:lvlText w:val="%1.%2.%3.%4.%5.%6.%7"/>
      <w:lvlJc w:val="left"/>
      <w:pPr>
        <w:autoSpaceDE w:val="0"/>
        <w:autoSpaceDN w:val="0"/>
        <w:ind w:left="420" w:hanging="210"/>
      </w:pPr>
    </w:lvl>
    <w:lvl w:ilvl="7" w:tentative="0">
      <w:start w:val="1"/>
      <w:numFmt w:val="decimal"/>
      <w:lvlText w:val="%1.%2.%3.%4.%5.%6.%7.%8"/>
      <w:lvlJc w:val="left"/>
      <w:pPr>
        <w:autoSpaceDE w:val="0"/>
        <w:autoSpaceDN w:val="0"/>
        <w:ind w:left="420" w:hanging="210"/>
      </w:pPr>
    </w:lvl>
    <w:lvl w:ilvl="8" w:tentative="0">
      <w:start w:val="1"/>
      <w:numFmt w:val="decimal"/>
      <w:lvlText w:val="%1.%2.%3.%4.%5.%6.%7.%8.%9"/>
      <w:lvlJc w:val="left"/>
      <w:pPr>
        <w:autoSpaceDE w:val="0"/>
        <w:autoSpaceDN w:val="0"/>
        <w:ind w:left="420" w:hanging="210"/>
      </w:pPr>
    </w:lvl>
  </w:abstractNum>
  <w:abstractNum w:abstractNumId="91">
    <w:nsid w:val="000000FB"/>
    <w:multiLevelType w:val="multilevel"/>
    <w:tmpl w:val="000000FB"/>
    <w:lvl w:ilvl="0" w:tentative="0">
      <w:start w:val="20"/>
      <w:numFmt w:val="decimal"/>
      <w:lvlText w:val="%1."/>
      <w:lvlJc w:val="left"/>
      <w:pPr>
        <w:tabs>
          <w:tab w:val="left" w:pos="397"/>
        </w:tabs>
        <w:autoSpaceDE w:val="0"/>
        <w:autoSpaceDN w:val="0"/>
        <w:ind w:left="397" w:hanging="397"/>
      </w:pPr>
    </w:lvl>
    <w:lvl w:ilvl="1" w:tentative="0">
      <w:start w:val="3"/>
      <w:numFmt w:val="decimal"/>
      <w:lvlText w:val="%1.%2"/>
      <w:lvlJc w:val="left"/>
      <w:pPr>
        <w:tabs>
          <w:tab w:val="left" w:pos="473"/>
        </w:tabs>
        <w:autoSpaceDE w:val="0"/>
        <w:autoSpaceDN w:val="0"/>
        <w:ind w:left="473" w:hanging="473"/>
      </w:pPr>
    </w:lvl>
    <w:lvl w:ilvl="2" w:tentative="0">
      <w:start w:val="1"/>
      <w:numFmt w:val="decimal"/>
      <w:lvlText w:val="%1.%2.%3"/>
      <w:lvlJc w:val="left"/>
      <w:pPr>
        <w:tabs>
          <w:tab w:val="left" w:pos="1050"/>
        </w:tabs>
        <w:autoSpaceDE w:val="0"/>
        <w:autoSpaceDN w:val="0"/>
        <w:ind w:left="1050" w:hanging="63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2">
    <w:nsid w:val="000000FD"/>
    <w:multiLevelType w:val="multilevel"/>
    <w:tmpl w:val="000000FD"/>
    <w:lvl w:ilvl="0" w:tentative="0">
      <w:start w:val="21"/>
      <w:numFmt w:val="decimal"/>
      <w:lvlText w:val="%1."/>
      <w:lvlJc w:val="left"/>
      <w:pPr>
        <w:tabs>
          <w:tab w:val="left" w:pos="397"/>
        </w:tabs>
        <w:autoSpaceDE w:val="0"/>
        <w:autoSpaceDN w:val="0"/>
        <w:ind w:left="397" w:hanging="397"/>
      </w:pPr>
    </w:lvl>
    <w:lvl w:ilvl="1" w:tentative="0">
      <w:start w:val="1"/>
      <w:numFmt w:val="decimal"/>
      <w:lvlText w:val="%1.%2"/>
      <w:lvlJc w:val="left"/>
      <w:pPr>
        <w:tabs>
          <w:tab w:val="left" w:pos="893"/>
        </w:tabs>
        <w:autoSpaceDE w:val="0"/>
        <w:autoSpaceDN w:val="0"/>
        <w:ind w:left="893" w:hanging="473"/>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3">
    <w:nsid w:val="00000100"/>
    <w:multiLevelType w:val="multilevel"/>
    <w:tmpl w:val="00000100"/>
    <w:lvl w:ilvl="0" w:tentative="0">
      <w:start w:val="1"/>
      <w:numFmt w:val="decimal"/>
      <w:lvlText w:val="%1."/>
      <w:lvlJc w:val="left"/>
      <w:pPr>
        <w:tabs>
          <w:tab w:val="left" w:pos="683"/>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4">
    <w:nsid w:val="00000101"/>
    <w:multiLevelType w:val="multilevel"/>
    <w:tmpl w:val="00000101"/>
    <w:lvl w:ilvl="0" w:tentative="0">
      <w:start w:val="1"/>
      <w:numFmt w:val="decimal"/>
      <w:lvlText w:val="%1."/>
      <w:lvlJc w:val="left"/>
      <w:pPr>
        <w:tabs>
          <w:tab w:val="left" w:pos="683"/>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5">
    <w:nsid w:val="00000102"/>
    <w:multiLevelType w:val="multilevel"/>
    <w:tmpl w:val="00000102"/>
    <w:lvl w:ilvl="0" w:tentative="0">
      <w:start w:val="1"/>
      <w:numFmt w:val="decimal"/>
      <w:lvlText w:val="%1."/>
      <w:lvlJc w:val="left"/>
      <w:pPr>
        <w:tabs>
          <w:tab w:val="left" w:pos="683"/>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6">
    <w:nsid w:val="00000104"/>
    <w:multiLevelType w:val="multilevel"/>
    <w:tmpl w:val="00000104"/>
    <w:lvl w:ilvl="0" w:tentative="0">
      <w:start w:val="1"/>
      <w:numFmt w:val="decimal"/>
      <w:lvlText w:val="%1."/>
      <w:lvlJc w:val="left"/>
      <w:pPr>
        <w:tabs>
          <w:tab w:val="left" w:pos="683"/>
        </w:tabs>
        <w:autoSpaceDE w:val="0"/>
        <w:autoSpaceDN w:val="0"/>
        <w:ind w:left="683" w:hanging="263"/>
      </w:pPr>
    </w:lvl>
    <w:lvl w:ilvl="1" w:tentative="0">
      <w:start w:val="2"/>
      <w:numFmt w:val="decimal"/>
      <w:lvlText w:val="%1.%2"/>
      <w:lvlJc w:val="left"/>
      <w:pPr>
        <w:tabs>
          <w:tab w:val="left" w:pos="927"/>
        </w:tabs>
        <w:autoSpaceDE w:val="0"/>
        <w:autoSpaceDN w:val="0"/>
        <w:ind w:left="927" w:hanging="507"/>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7">
    <w:nsid w:val="00000105"/>
    <w:multiLevelType w:val="multilevel"/>
    <w:tmpl w:val="00000105"/>
    <w:lvl w:ilvl="0" w:tentative="0">
      <w:start w:val="1"/>
      <w:numFmt w:val="decimal"/>
      <w:lvlText w:val="%1."/>
      <w:lvlJc w:val="left"/>
      <w:pPr>
        <w:tabs>
          <w:tab w:val="left" w:pos="683"/>
        </w:tabs>
        <w:autoSpaceDE w:val="0"/>
        <w:autoSpaceDN w:val="0"/>
        <w:ind w:left="683" w:hanging="263"/>
      </w:pPr>
    </w:lvl>
    <w:lvl w:ilvl="1" w:tentative="0">
      <w:start w:val="1"/>
      <w:numFmt w:val="decimal"/>
      <w:lvlText w:val="%1.%2"/>
      <w:lvlJc w:val="left"/>
      <w:pPr>
        <w:tabs>
          <w:tab w:val="left" w:pos="788"/>
        </w:tabs>
        <w:autoSpaceDE w:val="0"/>
        <w:autoSpaceDN w:val="0"/>
        <w:ind w:left="788" w:hanging="368"/>
      </w:pPr>
    </w:lvl>
    <w:lvl w:ilvl="2" w:tentative="0">
      <w:start w:val="1"/>
      <w:numFmt w:val="decimal"/>
      <w:lvlText w:val="%1.%2.%3"/>
      <w:lvlJc w:val="left"/>
      <w:pPr>
        <w:autoSpaceDE w:val="0"/>
        <w:autoSpaceDN w:val="0"/>
        <w:ind w:left="420"/>
      </w:pPr>
    </w:lvl>
    <w:lvl w:ilvl="3" w:tentative="0">
      <w:start w:val="1"/>
      <w:numFmt w:val="decimal"/>
      <w:lvlText w:val="%1.%2.%3.%4"/>
      <w:lvlJc w:val="left"/>
      <w:pPr>
        <w:autoSpaceDE w:val="0"/>
        <w:autoSpaceDN w:val="0"/>
        <w:ind w:left="420"/>
      </w:pPr>
    </w:lvl>
    <w:lvl w:ilvl="4" w:tentative="0">
      <w:start w:val="1"/>
      <w:numFmt w:val="decimal"/>
      <w:lvlText w:val="%1.%2.%3.%4.%5"/>
      <w:lvlJc w:val="left"/>
      <w:pPr>
        <w:autoSpaceDE w:val="0"/>
        <w:autoSpaceDN w:val="0"/>
        <w:ind w:left="420"/>
      </w:pPr>
    </w:lvl>
    <w:lvl w:ilvl="5" w:tentative="0">
      <w:start w:val="1"/>
      <w:numFmt w:val="decimal"/>
      <w:lvlText w:val="%1.%2.%3.%4.%5.%6"/>
      <w:lvlJc w:val="left"/>
      <w:pPr>
        <w:autoSpaceDE w:val="0"/>
        <w:autoSpaceDN w:val="0"/>
        <w:ind w:left="420"/>
      </w:pPr>
    </w:lvl>
    <w:lvl w:ilvl="6" w:tentative="0">
      <w:start w:val="1"/>
      <w:numFmt w:val="decimal"/>
      <w:lvlText w:val="%1.%2.%3.%4.%5.%6.%7"/>
      <w:lvlJc w:val="left"/>
      <w:pPr>
        <w:autoSpaceDE w:val="0"/>
        <w:autoSpaceDN w:val="0"/>
        <w:ind w:left="420"/>
      </w:pPr>
    </w:lvl>
    <w:lvl w:ilvl="7" w:tentative="0">
      <w:start w:val="1"/>
      <w:numFmt w:val="decimal"/>
      <w:lvlText w:val="%1.%2.%3.%4.%5.%6.%7.%8"/>
      <w:lvlJc w:val="left"/>
      <w:pPr>
        <w:autoSpaceDE w:val="0"/>
        <w:autoSpaceDN w:val="0"/>
        <w:ind w:left="420"/>
      </w:pPr>
    </w:lvl>
    <w:lvl w:ilvl="8" w:tentative="0">
      <w:start w:val="1"/>
      <w:numFmt w:val="decimal"/>
      <w:lvlText w:val="%1.%2.%3.%4.%5.%6.%7.%8.%9"/>
      <w:lvlJc w:val="left"/>
      <w:pPr>
        <w:autoSpaceDE w:val="0"/>
        <w:autoSpaceDN w:val="0"/>
        <w:ind w:left="420"/>
      </w:pPr>
    </w:lvl>
  </w:abstractNum>
  <w:abstractNum w:abstractNumId="98">
    <w:nsid w:val="00000113"/>
    <w:multiLevelType w:val="multilevel"/>
    <w:tmpl w:val="00000113"/>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99">
    <w:nsid w:val="00000114"/>
    <w:multiLevelType w:val="multilevel"/>
    <w:tmpl w:val="00000114"/>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00">
    <w:nsid w:val="00000116"/>
    <w:multiLevelType w:val="multilevel"/>
    <w:tmpl w:val="00000116"/>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01">
    <w:nsid w:val="00000117"/>
    <w:multiLevelType w:val="multilevel"/>
    <w:tmpl w:val="00000117"/>
    <w:lvl w:ilvl="0" w:tentative="0">
      <w:start w:val="1"/>
      <w:numFmt w:val="decimal"/>
      <w:lvlText w:val="%1."/>
      <w:lvlJc w:val="left"/>
      <w:pPr>
        <w:tabs>
          <w:tab w:val="left" w:pos="365"/>
        </w:tabs>
        <w:autoSpaceDE w:val="0"/>
        <w:autoSpaceDN w:val="0"/>
        <w:ind w:left="365" w:hanging="26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02">
    <w:nsid w:val="0000011E"/>
    <w:multiLevelType w:val="multilevel"/>
    <w:tmpl w:val="0000011E"/>
    <w:lvl w:ilvl="0" w:tentative="0">
      <w:start w:val="1"/>
      <w:numFmt w:val="decimal"/>
      <w:lvlText w:val="%1."/>
      <w:lvlJc w:val="left"/>
      <w:pPr>
        <w:tabs>
          <w:tab w:val="left" w:pos="365"/>
        </w:tabs>
        <w:autoSpaceDE w:val="0"/>
        <w:autoSpaceDN w:val="0"/>
        <w:ind w:left="103"/>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abstractNum w:abstractNumId="103">
    <w:nsid w:val="00000123"/>
    <w:multiLevelType w:val="multilevel"/>
    <w:tmpl w:val="00000123"/>
    <w:lvl w:ilvl="0" w:tentative="0">
      <w:start w:val="1"/>
      <w:numFmt w:val="decimal"/>
      <w:lvlText w:val="%1."/>
      <w:lvlJc w:val="left"/>
      <w:pPr>
        <w:tabs>
          <w:tab w:val="left" w:pos="723"/>
        </w:tabs>
        <w:autoSpaceDE w:val="0"/>
        <w:autoSpaceDN w:val="0"/>
        <w:ind w:left="0" w:firstLine="420"/>
      </w:pPr>
    </w:lvl>
    <w:lvl w:ilvl="1" w:tentative="0">
      <w:start w:val="1"/>
      <w:numFmt w:val="lowerLetter"/>
      <w:lvlText w:val="%2)"/>
      <w:lvlJc w:val="left"/>
      <w:pPr>
        <w:autoSpaceDE w:val="0"/>
        <w:autoSpaceDN w:val="0"/>
        <w:ind w:left="840" w:hanging="420"/>
      </w:pPr>
    </w:lvl>
    <w:lvl w:ilvl="2" w:tentative="0">
      <w:start w:val="1"/>
      <w:numFmt w:val="lowerRoman"/>
      <w:lvlText w:val="%3."/>
      <w:lvlJc w:val="right"/>
      <w:pPr>
        <w:autoSpaceDE w:val="0"/>
        <w:autoSpaceDN w:val="0"/>
        <w:ind w:left="1260" w:hanging="420"/>
      </w:pPr>
    </w:lvl>
    <w:lvl w:ilvl="3" w:tentative="0">
      <w:start w:val="1"/>
      <w:numFmt w:val="decimal"/>
      <w:lvlText w:val="%4."/>
      <w:lvlJc w:val="left"/>
      <w:pPr>
        <w:autoSpaceDE w:val="0"/>
        <w:autoSpaceDN w:val="0"/>
        <w:ind w:left="1680" w:hanging="420"/>
      </w:pPr>
    </w:lvl>
    <w:lvl w:ilvl="4" w:tentative="0">
      <w:start w:val="1"/>
      <w:numFmt w:val="lowerLetter"/>
      <w:lvlText w:val="%5)"/>
      <w:lvlJc w:val="left"/>
      <w:pPr>
        <w:autoSpaceDE w:val="0"/>
        <w:autoSpaceDN w:val="0"/>
        <w:ind w:left="2100" w:hanging="420"/>
      </w:pPr>
    </w:lvl>
    <w:lvl w:ilvl="5" w:tentative="0">
      <w:start w:val="1"/>
      <w:numFmt w:val="lowerRoman"/>
      <w:lvlText w:val="%6."/>
      <w:lvlJc w:val="right"/>
      <w:pPr>
        <w:autoSpaceDE w:val="0"/>
        <w:autoSpaceDN w:val="0"/>
        <w:ind w:left="2520" w:hanging="420"/>
      </w:pPr>
    </w:lvl>
    <w:lvl w:ilvl="6" w:tentative="0">
      <w:start w:val="1"/>
      <w:numFmt w:val="decimal"/>
      <w:lvlText w:val="%7."/>
      <w:lvlJc w:val="left"/>
      <w:pPr>
        <w:autoSpaceDE w:val="0"/>
        <w:autoSpaceDN w:val="0"/>
        <w:ind w:left="2940" w:hanging="420"/>
      </w:pPr>
    </w:lvl>
    <w:lvl w:ilvl="7" w:tentative="0">
      <w:start w:val="1"/>
      <w:numFmt w:val="lowerLetter"/>
      <w:lvlText w:val="%8)"/>
      <w:lvlJc w:val="left"/>
      <w:pPr>
        <w:autoSpaceDE w:val="0"/>
        <w:autoSpaceDN w:val="0"/>
        <w:ind w:left="3360" w:hanging="420"/>
      </w:pPr>
    </w:lvl>
    <w:lvl w:ilvl="8" w:tentative="0">
      <w:start w:val="1"/>
      <w:numFmt w:val="lowerRoman"/>
      <w:lvlText w:val="%9."/>
      <w:lvlJc w:val="right"/>
      <w:pPr>
        <w:autoSpaceDE w:val="0"/>
        <w:autoSpaceDN w:val="0"/>
        <w:ind w:left="3780" w:hanging="420"/>
      </w:pPr>
    </w:lvl>
  </w:abstractNum>
  <w:num w:numId="1">
    <w:abstractNumId w:val="11"/>
  </w:num>
  <w:num w:numId="2">
    <w:abstractNumId w:val="21"/>
  </w:num>
  <w:num w:numId="3">
    <w:abstractNumId w:val="22"/>
  </w:num>
  <w:num w:numId="4">
    <w:abstractNumId w:val="23"/>
  </w:num>
  <w:num w:numId="5">
    <w:abstractNumId w:val="24"/>
  </w:num>
  <w:num w:numId="6">
    <w:abstractNumId w:val="25"/>
  </w:num>
  <w:num w:numId="7">
    <w:abstractNumId w:val="26"/>
  </w:num>
  <w:num w:numId="8">
    <w:abstractNumId w:val="27"/>
  </w:num>
  <w:num w:numId="9">
    <w:abstractNumId w:val="8"/>
  </w:num>
  <w:num w:numId="10">
    <w:abstractNumId w:val="28"/>
  </w:num>
  <w:num w:numId="11">
    <w:abstractNumId w:val="29"/>
  </w:num>
  <w:num w:numId="12">
    <w:abstractNumId w:val="30"/>
  </w:num>
  <w:num w:numId="13">
    <w:abstractNumId w:val="31"/>
  </w:num>
  <w:num w:numId="14">
    <w:abstractNumId w:val="32"/>
  </w:num>
  <w:num w:numId="15">
    <w:abstractNumId w:val="33"/>
  </w:num>
  <w:num w:numId="16">
    <w:abstractNumId w:val="34"/>
  </w:num>
  <w:num w:numId="17">
    <w:abstractNumId w:val="35"/>
  </w:num>
  <w:num w:numId="18">
    <w:abstractNumId w:val="36"/>
  </w:num>
  <w:num w:numId="19">
    <w:abstractNumId w:val="7"/>
  </w:num>
  <w:num w:numId="20">
    <w:abstractNumId w:val="19"/>
  </w:num>
  <w:num w:numId="21">
    <w:abstractNumId w:val="18"/>
  </w:num>
  <w:num w:numId="22">
    <w:abstractNumId w:val="17"/>
  </w:num>
  <w:num w:numId="23">
    <w:abstractNumId w:val="37"/>
  </w:num>
  <w:num w:numId="24">
    <w:abstractNumId w:val="2"/>
  </w:num>
  <w:num w:numId="25">
    <w:abstractNumId w:val="38"/>
  </w:num>
  <w:num w:numId="26">
    <w:abstractNumId w:val="39"/>
  </w:num>
  <w:num w:numId="27">
    <w:abstractNumId w:val="40"/>
  </w:num>
  <w:num w:numId="28">
    <w:abstractNumId w:val="41"/>
  </w:num>
  <w:num w:numId="29">
    <w:abstractNumId w:val="42"/>
  </w:num>
  <w:num w:numId="30">
    <w:abstractNumId w:val="20"/>
  </w:num>
  <w:num w:numId="31">
    <w:abstractNumId w:val="3"/>
  </w:num>
  <w:num w:numId="32">
    <w:abstractNumId w:val="43"/>
  </w:num>
  <w:num w:numId="33">
    <w:abstractNumId w:val="12"/>
  </w:num>
  <w:num w:numId="34">
    <w:abstractNumId w:val="4"/>
  </w:num>
  <w:num w:numId="35">
    <w:abstractNumId w:val="44"/>
  </w:num>
  <w:num w:numId="36">
    <w:abstractNumId w:val="45"/>
  </w:num>
  <w:num w:numId="37">
    <w:abstractNumId w:val="46"/>
  </w:num>
  <w:num w:numId="38">
    <w:abstractNumId w:val="5"/>
  </w:num>
  <w:num w:numId="39">
    <w:abstractNumId w:val="6"/>
  </w:num>
  <w:num w:numId="40">
    <w:abstractNumId w:val="47"/>
  </w:num>
  <w:num w:numId="41">
    <w:abstractNumId w:val="48"/>
  </w:num>
  <w:num w:numId="42">
    <w:abstractNumId w:val="1"/>
  </w:num>
  <w:num w:numId="43">
    <w:abstractNumId w:val="49"/>
  </w:num>
  <w:num w:numId="44">
    <w:abstractNumId w:val="50"/>
  </w:num>
  <w:num w:numId="45">
    <w:abstractNumId w:val="51"/>
  </w:num>
  <w:num w:numId="46">
    <w:abstractNumId w:val="52"/>
  </w:num>
  <w:num w:numId="47">
    <w:abstractNumId w:val="53"/>
  </w:num>
  <w:num w:numId="48">
    <w:abstractNumId w:val="54"/>
  </w:num>
  <w:num w:numId="49">
    <w:abstractNumId w:val="55"/>
  </w:num>
  <w:num w:numId="50">
    <w:abstractNumId w:val="56"/>
  </w:num>
  <w:num w:numId="51">
    <w:abstractNumId w:val="57"/>
  </w:num>
  <w:num w:numId="52">
    <w:abstractNumId w:val="9"/>
  </w:num>
  <w:num w:numId="53">
    <w:abstractNumId w:val="58"/>
  </w:num>
  <w:num w:numId="54">
    <w:abstractNumId w:val="59"/>
  </w:num>
  <w:num w:numId="55">
    <w:abstractNumId w:val="0"/>
  </w:num>
  <w:num w:numId="56">
    <w:abstractNumId w:val="60"/>
  </w:num>
  <w:num w:numId="57">
    <w:abstractNumId w:val="61"/>
  </w:num>
  <w:num w:numId="58">
    <w:abstractNumId w:val="62"/>
  </w:num>
  <w:num w:numId="59">
    <w:abstractNumId w:val="63"/>
  </w:num>
  <w:num w:numId="60">
    <w:abstractNumId w:val="64"/>
  </w:num>
  <w:num w:numId="61">
    <w:abstractNumId w:val="65"/>
  </w:num>
  <w:num w:numId="62">
    <w:abstractNumId w:val="66"/>
  </w:num>
  <w:num w:numId="63">
    <w:abstractNumId w:val="67"/>
  </w:num>
  <w:num w:numId="64">
    <w:abstractNumId w:val="68"/>
  </w:num>
  <w:num w:numId="65">
    <w:abstractNumId w:val="69"/>
  </w:num>
  <w:num w:numId="66">
    <w:abstractNumId w:val="10"/>
  </w:num>
  <w:num w:numId="67">
    <w:abstractNumId w:val="70"/>
  </w:num>
  <w:num w:numId="68">
    <w:abstractNumId w:val="71"/>
  </w:num>
  <w:num w:numId="69">
    <w:abstractNumId w:val="72"/>
  </w:num>
  <w:num w:numId="70">
    <w:abstractNumId w:val="73"/>
  </w:num>
  <w:num w:numId="71">
    <w:abstractNumId w:val="74"/>
  </w:num>
  <w:num w:numId="72">
    <w:abstractNumId w:val="75"/>
  </w:num>
  <w:num w:numId="73">
    <w:abstractNumId w:val="76"/>
  </w:num>
  <w:num w:numId="74">
    <w:abstractNumId w:val="77"/>
  </w:num>
  <w:num w:numId="75">
    <w:abstractNumId w:val="78"/>
  </w:num>
  <w:num w:numId="76">
    <w:abstractNumId w:val="79"/>
  </w:num>
  <w:num w:numId="77">
    <w:abstractNumId w:val="80"/>
  </w:num>
  <w:num w:numId="78">
    <w:abstractNumId w:val="81"/>
  </w:num>
  <w:num w:numId="79">
    <w:abstractNumId w:val="13"/>
  </w:num>
  <w:num w:numId="80">
    <w:abstractNumId w:val="82"/>
  </w:num>
  <w:num w:numId="81">
    <w:abstractNumId w:val="83"/>
  </w:num>
  <w:num w:numId="82">
    <w:abstractNumId w:val="14"/>
  </w:num>
  <w:num w:numId="83">
    <w:abstractNumId w:val="84"/>
  </w:num>
  <w:num w:numId="84">
    <w:abstractNumId w:val="85"/>
  </w:num>
  <w:num w:numId="85">
    <w:abstractNumId w:val="86"/>
  </w:num>
  <w:num w:numId="86">
    <w:abstractNumId w:val="87"/>
  </w:num>
  <w:num w:numId="87">
    <w:abstractNumId w:val="15"/>
  </w:num>
  <w:num w:numId="88">
    <w:abstractNumId w:val="88"/>
  </w:num>
  <w:num w:numId="89">
    <w:abstractNumId w:val="89"/>
  </w:num>
  <w:num w:numId="90">
    <w:abstractNumId w:val="16"/>
  </w:num>
  <w:num w:numId="91">
    <w:abstractNumId w:val="90"/>
  </w:num>
  <w:num w:numId="92">
    <w:abstractNumId w:val="91"/>
  </w:num>
  <w:num w:numId="93">
    <w:abstractNumId w:val="92"/>
  </w:num>
  <w:num w:numId="94">
    <w:abstractNumId w:val="96"/>
  </w:num>
  <w:num w:numId="95">
    <w:abstractNumId w:val="94"/>
  </w:num>
  <w:num w:numId="96">
    <w:abstractNumId w:val="95"/>
  </w:num>
  <w:num w:numId="97">
    <w:abstractNumId w:val="97"/>
  </w:num>
  <w:num w:numId="98">
    <w:abstractNumId w:val="93"/>
  </w:num>
  <w:num w:numId="99">
    <w:abstractNumId w:val="98"/>
  </w:num>
  <w:num w:numId="100">
    <w:abstractNumId w:val="99"/>
  </w:num>
  <w:num w:numId="101">
    <w:abstractNumId w:val="100"/>
  </w:num>
  <w:num w:numId="102">
    <w:abstractNumId w:val="101"/>
  </w:num>
  <w:num w:numId="103">
    <w:abstractNumId w:val="102"/>
  </w:num>
  <w:num w:numId="104">
    <w:abstractNumId w:val="10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0"/>
  <w:defaultTabStop w:val="420"/>
  <w:drawingGridVerticalSpacing w:val="156"/>
  <w:displayHorizontalDrawingGridEvery w:val="0"/>
  <w:displayVerticalDrawingGridEvery w:val="2"/>
  <w:characterSpacingControl w:val="compressPunctuation"/>
  <w:footnotePr>
    <w:numStart w:val="0"/>
  </w:footnotePr>
  <w:endnotePr>
    <w:numFmt w:val="decimal"/>
    <w:numStart w:val="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CC3C07"/>
    <w:rsid w:val="002A2093"/>
    <w:rsid w:val="02A13384"/>
    <w:rsid w:val="02B8402D"/>
    <w:rsid w:val="02BF16AC"/>
    <w:rsid w:val="0537095A"/>
    <w:rsid w:val="07E37584"/>
    <w:rsid w:val="0A660F5D"/>
    <w:rsid w:val="0BB60174"/>
    <w:rsid w:val="0C261787"/>
    <w:rsid w:val="10073B9C"/>
    <w:rsid w:val="12EA7D36"/>
    <w:rsid w:val="18A36D3C"/>
    <w:rsid w:val="19766222"/>
    <w:rsid w:val="1BC811CC"/>
    <w:rsid w:val="1E093B6E"/>
    <w:rsid w:val="1E8957A9"/>
    <w:rsid w:val="1F12038A"/>
    <w:rsid w:val="1F407295"/>
    <w:rsid w:val="21B12D7E"/>
    <w:rsid w:val="238549A1"/>
    <w:rsid w:val="240E6206"/>
    <w:rsid w:val="26D33E81"/>
    <w:rsid w:val="280D220F"/>
    <w:rsid w:val="32FD6851"/>
    <w:rsid w:val="351C347C"/>
    <w:rsid w:val="352B0BCC"/>
    <w:rsid w:val="35ED72DA"/>
    <w:rsid w:val="36760E06"/>
    <w:rsid w:val="369616B6"/>
    <w:rsid w:val="39CC3C07"/>
    <w:rsid w:val="3C367F82"/>
    <w:rsid w:val="3C3D5AB1"/>
    <w:rsid w:val="3D21141B"/>
    <w:rsid w:val="3DD21DCE"/>
    <w:rsid w:val="42D31F83"/>
    <w:rsid w:val="438951CE"/>
    <w:rsid w:val="448F165D"/>
    <w:rsid w:val="44FF4541"/>
    <w:rsid w:val="48FA1F04"/>
    <w:rsid w:val="4CC402BC"/>
    <w:rsid w:val="4D3A26BF"/>
    <w:rsid w:val="4EA75BB4"/>
    <w:rsid w:val="53854F02"/>
    <w:rsid w:val="56342BED"/>
    <w:rsid w:val="56B95137"/>
    <w:rsid w:val="5AF913C2"/>
    <w:rsid w:val="5E936687"/>
    <w:rsid w:val="68A02BAB"/>
    <w:rsid w:val="6E76598C"/>
    <w:rsid w:val="7160607E"/>
    <w:rsid w:val="724D44FF"/>
    <w:rsid w:val="75AA72CD"/>
    <w:rsid w:val="760766D0"/>
    <w:rsid w:val="7933136D"/>
    <w:rsid w:val="7E22125D"/>
    <w:rsid w:val="7F0D4A8C"/>
    <w:rsid w:val="7F712EF8"/>
    <w:rsid w:val="7FC72F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Times New Roman" w:cs="Times New Roman"/>
      <w:color w:val="000000"/>
      <w:spacing w:val="0"/>
      <w:w w:val="100"/>
      <w:position w:val="0"/>
      <w:sz w:val="24"/>
      <w:highlight w:val="none"/>
      <w:u w:val="none"/>
      <w:vertAlign w:val="baseline"/>
    </w:rPr>
  </w:style>
  <w:style w:type="paragraph" w:styleId="2">
    <w:name w:val="heading 1"/>
    <w:basedOn w:val="1"/>
    <w:next w:val="1"/>
    <w:link w:val="11"/>
    <w:qFormat/>
    <w:uiPriority w:val="0"/>
    <w:pPr>
      <w:keepNext/>
      <w:keepLines/>
      <w:spacing w:beforeLines="0" w:beforeAutospacing="0" w:afterLines="0" w:afterAutospacing="0" w:line="360" w:lineRule="auto"/>
      <w:jc w:val="center"/>
      <w:outlineLvl w:val="0"/>
    </w:pPr>
    <w:rPr>
      <w:rFonts w:ascii="Times New Roman" w:hAnsi="Times New Roman" w:eastAsia="Times New Roman"/>
      <w:b/>
      <w:kern w:val="44"/>
      <w:sz w:val="36"/>
    </w:rPr>
  </w:style>
  <w:style w:type="paragraph" w:styleId="3">
    <w:name w:val="heading 2"/>
    <w:basedOn w:val="1"/>
    <w:next w:val="1"/>
    <w:unhideWhenUsed/>
    <w:qFormat/>
    <w:uiPriority w:val="0"/>
    <w:pPr>
      <w:keepNext/>
      <w:keepLines/>
      <w:spacing w:beforeLines="0" w:beforeAutospacing="0" w:afterLines="0" w:afterAutospacing="0" w:line="360" w:lineRule="auto"/>
      <w:jc w:val="center"/>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4">
    <w:name w:val="Plain Text"/>
    <w:basedOn w:val="1"/>
    <w:qFormat/>
    <w:uiPriority w:val="0"/>
    <w:rPr>
      <w:rFonts w:ascii="宋体" w:hAnsi="Courier New" w:eastAsiaTheme="minorEastAsia" w:cstheme="minorBidi"/>
      <w:szCs w:val="22"/>
    </w:rPr>
  </w:style>
  <w:style w:type="paragraph" w:styleId="5">
    <w:name w:val="footer"/>
    <w:basedOn w:val="1"/>
    <w:qFormat/>
    <w:uiPriority w:val="0"/>
    <w:pPr>
      <w:tabs>
        <w:tab w:val="center" w:pos="4153"/>
        <w:tab w:val="right" w:pos="8306"/>
      </w:tabs>
      <w:snapToGrid w:val="0"/>
      <w:jc w:val="left"/>
    </w:pPr>
    <w:rPr>
      <w:sz w:val="18"/>
    </w:rPr>
  </w:style>
  <w:style w:type="paragraph" w:customStyle="1" w:styleId="8">
    <w:name w:val="WPSOffice手动目录 1"/>
    <w:qFormat/>
    <w:uiPriority w:val="0"/>
    <w:pPr>
      <w:ind w:leftChars="0"/>
    </w:pPr>
    <w:rPr>
      <w:rFonts w:ascii="Times New Roman" w:hAnsi="Times New Roman" w:eastAsia="宋体" w:cs="Times New Roman"/>
      <w:sz w:val="20"/>
      <w:szCs w:val="20"/>
    </w:rPr>
  </w:style>
  <w:style w:type="paragraph" w:customStyle="1" w:styleId="9">
    <w:name w:val="WPSOffice手动目录 2"/>
    <w:qFormat/>
    <w:uiPriority w:val="0"/>
    <w:pPr>
      <w:ind w:leftChars="200"/>
    </w:pPr>
    <w:rPr>
      <w:rFonts w:ascii="Times New Roman" w:hAnsi="Times New Roman" w:eastAsia="宋体" w:cs="Times New Roman"/>
      <w:sz w:val="20"/>
      <w:szCs w:val="20"/>
    </w:rPr>
  </w:style>
  <w:style w:type="paragraph" w:styleId="10">
    <w:name w:val="List Paragraph"/>
    <w:basedOn w:val="1"/>
    <w:qFormat/>
    <w:uiPriority w:val="34"/>
    <w:pPr>
      <w:ind w:firstLine="420" w:firstLineChars="200"/>
    </w:pPr>
  </w:style>
  <w:style w:type="character" w:customStyle="1" w:styleId="11">
    <w:name w:val="标题 1 Char"/>
    <w:link w:val="2"/>
    <w:qFormat/>
    <w:uiPriority w:val="0"/>
    <w:rPr>
      <w:rFonts w:ascii="Times New Roman" w:hAnsi="Times New Roman" w:eastAsia="Times New Roman"/>
      <w:b/>
      <w:kern w:val="44"/>
      <w:sz w:val="36"/>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glossaryDocument" Target="glossary/document.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e7df282f-1062-4811-8e35-c5cb824d1359}"/>
        <w:style w:val=""/>
        <w:category>
          <w:name w:val="常规"/>
          <w:gallery w:val="placeholder"/>
        </w:category>
        <w:types>
          <w:type w:val="bbPlcHdr"/>
        </w:types>
        <w:behaviors>
          <w:behavior w:val="content"/>
        </w:behaviors>
        <w:description w:val=""/>
        <w:guid w:val="{e7df282f-1062-4811-8e35-c5cb824d1359}"/>
      </w:docPartPr>
      <w:docPartBody>
        <w:p>
          <w:r>
            <w:rPr>
              <w:color w:val="808080"/>
            </w:rPr>
            <w:t>单击此处输入文字。</w:t>
          </w:r>
        </w:p>
      </w:docPartBody>
    </w:docPart>
    <w:docPart>
      <w:docPartPr>
        <w:name w:val="{60853645-69ab-4303-914d-5687f7f04431}"/>
        <w:style w:val=""/>
        <w:category>
          <w:name w:val="常规"/>
          <w:gallery w:val="placeholder"/>
        </w:category>
        <w:types>
          <w:type w:val="bbPlcHdr"/>
        </w:types>
        <w:behaviors>
          <w:behavior w:val="content"/>
        </w:behaviors>
        <w:description w:val=""/>
        <w:guid w:val="{60853645-69ab-4303-914d-5687f7f04431}"/>
      </w:docPartPr>
      <w:docPartBody>
        <w:p>
          <w:r>
            <w:rPr>
              <w:color w:val="808080"/>
            </w:rPr>
            <w:t>单击此处输入文字。</w:t>
          </w:r>
        </w:p>
      </w:docPartBody>
    </w:docPart>
    <w:docPart>
      <w:docPartPr>
        <w:name w:val="{0c719f0b-fbb5-401b-8c04-6049aa07754c}"/>
        <w:style w:val=""/>
        <w:category>
          <w:name w:val="常规"/>
          <w:gallery w:val="placeholder"/>
        </w:category>
        <w:types>
          <w:type w:val="bbPlcHdr"/>
        </w:types>
        <w:behaviors>
          <w:behavior w:val="content"/>
        </w:behaviors>
        <w:description w:val=""/>
        <w:guid w:val="{0c719f0b-fbb5-401b-8c04-6049aa07754c}"/>
      </w:docPartPr>
      <w:docPartBody>
        <w:p>
          <w:r>
            <w:rPr>
              <w:color w:val="808080"/>
            </w:rPr>
            <w:t>单击此处输入文字。</w:t>
          </w:r>
        </w:p>
      </w:docPartBody>
    </w:docPart>
    <w:docPart>
      <w:docPartPr>
        <w:name w:val="{9fe7798b-2ec6-4b26-97d3-e8bde409ad3c}"/>
        <w:style w:val=""/>
        <w:category>
          <w:name w:val="常规"/>
          <w:gallery w:val="placeholder"/>
        </w:category>
        <w:types>
          <w:type w:val="bbPlcHdr"/>
        </w:types>
        <w:behaviors>
          <w:behavior w:val="content"/>
        </w:behaviors>
        <w:description w:val=""/>
        <w:guid w:val="{9fe7798b-2ec6-4b26-97d3-e8bde409ad3c}"/>
      </w:docPartPr>
      <w:docPartBody>
        <w:p>
          <w:r>
            <w:rPr>
              <w:color w:val="808080"/>
            </w:rPr>
            <w:t>单击此处输入文字。</w:t>
          </w:r>
        </w:p>
      </w:docPartBody>
    </w:docPart>
    <w:docPart>
      <w:docPartPr>
        <w:name w:val="{d06c765b-677b-465d-b9eb-4c2dd36eac25}"/>
        <w:style w:val=""/>
        <w:category>
          <w:name w:val="常规"/>
          <w:gallery w:val="placeholder"/>
        </w:category>
        <w:types>
          <w:type w:val="bbPlcHdr"/>
        </w:types>
        <w:behaviors>
          <w:behavior w:val="content"/>
        </w:behaviors>
        <w:description w:val=""/>
        <w:guid w:val="{d06c765b-677b-465d-b9eb-4c2dd36eac25}"/>
      </w:docPartPr>
      <w:docPartBody>
        <w:p>
          <w:r>
            <w:rPr>
              <w:color w:val="808080"/>
            </w:rPr>
            <w:t>单击此处输入文字。</w:t>
          </w:r>
        </w:p>
      </w:docPartBody>
    </w:docPart>
    <w:docPart>
      <w:docPartPr>
        <w:name w:val="{629d1900-a8f3-42e4-a295-22b0a2a5c6ab}"/>
        <w:style w:val=""/>
        <w:category>
          <w:name w:val="常规"/>
          <w:gallery w:val="placeholder"/>
        </w:category>
        <w:types>
          <w:type w:val="bbPlcHdr"/>
        </w:types>
        <w:behaviors>
          <w:behavior w:val="content"/>
        </w:behaviors>
        <w:description w:val=""/>
        <w:guid w:val="{629d1900-a8f3-42e4-a295-22b0a2a5c6ab}"/>
      </w:docPartPr>
      <w:docPartBody>
        <w:p>
          <w:r>
            <w:rPr>
              <w:color w:val="808080"/>
            </w:rPr>
            <w:t>单击此处输入文字。</w:t>
          </w:r>
        </w:p>
      </w:docPartBody>
    </w:docPart>
    <w:docPart>
      <w:docPartPr>
        <w:name w:val="{ccdf26b8-8a10-4476-9ca3-ddc46aa983fd}"/>
        <w:style w:val=""/>
        <w:category>
          <w:name w:val="常规"/>
          <w:gallery w:val="placeholder"/>
        </w:category>
        <w:types>
          <w:type w:val="bbPlcHdr"/>
        </w:types>
        <w:behaviors>
          <w:behavior w:val="content"/>
        </w:behaviors>
        <w:description w:val=""/>
        <w:guid w:val="{ccdf26b8-8a10-4476-9ca3-ddc46aa983fd}"/>
      </w:docPartPr>
      <w:docPartBody>
        <w:p>
          <w:r>
            <w:rPr>
              <w:color w:val="808080"/>
            </w:rPr>
            <w:t>单击此处输入文字。</w:t>
          </w:r>
        </w:p>
      </w:docPartBody>
    </w:docPart>
    <w:docPart>
      <w:docPartPr>
        <w:name w:val="{28da305a-32c8-46ab-86d3-8bf790565b99}"/>
        <w:style w:val=""/>
        <w:category>
          <w:name w:val="常规"/>
          <w:gallery w:val="placeholder"/>
        </w:category>
        <w:types>
          <w:type w:val="bbPlcHdr"/>
        </w:types>
        <w:behaviors>
          <w:behavior w:val="content"/>
        </w:behaviors>
        <w:description w:val=""/>
        <w:guid w:val="{28da305a-32c8-46ab-86d3-8bf790565b99}"/>
      </w:docPartPr>
      <w:docPartBody>
        <w:p>
          <w:r>
            <w:rPr>
              <w:color w:val="808080"/>
            </w:rPr>
            <w:t>单击此处输入文字。</w:t>
          </w:r>
        </w:p>
      </w:docPartBody>
    </w:docPart>
    <w:docPart>
      <w:docPartPr>
        <w:name w:val="{810cab8c-3a2b-459d-a70b-281abb18c4e5}"/>
        <w:style w:val=""/>
        <w:category>
          <w:name w:val="常规"/>
          <w:gallery w:val="placeholder"/>
        </w:category>
        <w:types>
          <w:type w:val="bbPlcHdr"/>
        </w:types>
        <w:behaviors>
          <w:behavior w:val="content"/>
        </w:behaviors>
        <w:description w:val=""/>
        <w:guid w:val="{810cab8c-3a2b-459d-a70b-281abb18c4e5}"/>
      </w:docPartPr>
      <w:docPartBody>
        <w:p>
          <w:r>
            <w:rPr>
              <w:color w:val="808080"/>
            </w:rPr>
            <w:t>单击此处输入文字。</w:t>
          </w:r>
        </w:p>
      </w:docPartBody>
    </w:docPart>
    <w:docPart>
      <w:docPartPr>
        <w:name w:val="{f559381f-73bf-4e14-aaa1-96345707a3d6}"/>
        <w:style w:val=""/>
        <w:category>
          <w:name w:val="常规"/>
          <w:gallery w:val="placeholder"/>
        </w:category>
        <w:types>
          <w:type w:val="bbPlcHdr"/>
        </w:types>
        <w:behaviors>
          <w:behavior w:val="content"/>
        </w:behaviors>
        <w:description w:val=""/>
        <w:guid w:val="{f559381f-73bf-4e14-aaa1-96345707a3d6}"/>
      </w:docPartPr>
      <w:docPartBody>
        <w:p>
          <w:r>
            <w:rPr>
              <w:color w:val="808080"/>
            </w:rPr>
            <w:t>单击此处输入文字。</w:t>
          </w:r>
        </w:p>
      </w:docPartBody>
    </w:docPart>
    <w:docPart>
      <w:docPartPr>
        <w:name w:val="{399356b9-fa01-4480-a14e-e1155ddd1d46}"/>
        <w:style w:val=""/>
        <w:category>
          <w:name w:val="常规"/>
          <w:gallery w:val="placeholder"/>
        </w:category>
        <w:types>
          <w:type w:val="bbPlcHdr"/>
        </w:types>
        <w:behaviors>
          <w:behavior w:val="content"/>
        </w:behaviors>
        <w:description w:val=""/>
        <w:guid w:val="{399356b9-fa01-4480-a14e-e1155ddd1d46}"/>
      </w:docPartPr>
      <w:docPartBody>
        <w:p>
          <w:r>
            <w:rPr>
              <w:color w:val="808080"/>
            </w:rPr>
            <w:t>单击此处输入文字。</w:t>
          </w:r>
        </w:p>
      </w:docPartBody>
    </w:docPart>
    <w:docPart>
      <w:docPartPr>
        <w:name w:val="{cdefe28f-a6f2-4c90-8ff8-45e52e043d34}"/>
        <w:style w:val=""/>
        <w:category>
          <w:name w:val="常规"/>
          <w:gallery w:val="placeholder"/>
        </w:category>
        <w:types>
          <w:type w:val="bbPlcHdr"/>
        </w:types>
        <w:behaviors>
          <w:behavior w:val="content"/>
        </w:behaviors>
        <w:description w:val=""/>
        <w:guid w:val="{cdefe28f-a6f2-4c90-8ff8-45e52e043d34}"/>
      </w:docPartPr>
      <w:docPartBody>
        <w:p>
          <w:r>
            <w:rPr>
              <w:color w:val="808080"/>
            </w:rPr>
            <w:t>单击此处输入文字。</w:t>
          </w:r>
        </w:p>
      </w:docPartBody>
    </w:docPart>
    <w:docPart>
      <w:docPartPr>
        <w:name w:val="{05f5746d-1402-4c6c-a93c-05661d620b56}"/>
        <w:style w:val=""/>
        <w:category>
          <w:name w:val="常规"/>
          <w:gallery w:val="placeholder"/>
        </w:category>
        <w:types>
          <w:type w:val="bbPlcHdr"/>
        </w:types>
        <w:behaviors>
          <w:behavior w:val="content"/>
        </w:behaviors>
        <w:description w:val=""/>
        <w:guid w:val="{05f5746d-1402-4c6c-a93c-05661d620b56}"/>
      </w:docPartPr>
      <w:docPartBody>
        <w:p>
          <w:r>
            <w:rPr>
              <w:color w:val="808080"/>
            </w:rPr>
            <w:t>单击此处输入文字。</w:t>
          </w:r>
        </w:p>
      </w:docPartBody>
    </w:docPart>
    <w:docPart>
      <w:docPartPr>
        <w:name w:val="{4720fe13-29f2-46a7-95bf-37d3fa5dad1d}"/>
        <w:style w:val=""/>
        <w:category>
          <w:name w:val="常规"/>
          <w:gallery w:val="placeholder"/>
        </w:category>
        <w:types>
          <w:type w:val="bbPlcHdr"/>
        </w:types>
        <w:behaviors>
          <w:behavior w:val="content"/>
        </w:behaviors>
        <w:description w:val=""/>
        <w:guid w:val="{4720fe13-29f2-46a7-95bf-37d3fa5dad1d}"/>
      </w:docPartPr>
      <w:docPartBody>
        <w:p>
          <w:r>
            <w:rPr>
              <w:color w:val="808080"/>
            </w:rPr>
            <w:t>单击此处输入文字。</w:t>
          </w:r>
        </w:p>
      </w:docPartBody>
    </w:docPart>
    <w:docPart>
      <w:docPartPr>
        <w:name w:val="{d2babd68-e079-4bdf-a687-1f09c18f8151}"/>
        <w:style w:val=""/>
        <w:category>
          <w:name w:val="常规"/>
          <w:gallery w:val="placeholder"/>
        </w:category>
        <w:types>
          <w:type w:val="bbPlcHdr"/>
        </w:types>
        <w:behaviors>
          <w:behavior w:val="content"/>
        </w:behaviors>
        <w:description w:val=""/>
        <w:guid w:val="{d2babd68-e079-4bdf-a687-1f09c18f8151}"/>
      </w:docPartPr>
      <w:docPartBody>
        <w:p>
          <w:r>
            <w:rPr>
              <w:color w:val="808080"/>
            </w:rPr>
            <w:t>单击此处输入文字。</w:t>
          </w:r>
        </w:p>
      </w:docPartBody>
    </w:docPart>
    <w:docPart>
      <w:docPartPr>
        <w:name w:val="{f27151ae-8302-43eb-8600-8aa5541c8e16}"/>
        <w:style w:val=""/>
        <w:category>
          <w:name w:val="常规"/>
          <w:gallery w:val="placeholder"/>
        </w:category>
        <w:types>
          <w:type w:val="bbPlcHdr"/>
        </w:types>
        <w:behaviors>
          <w:behavior w:val="content"/>
        </w:behaviors>
        <w:description w:val=""/>
        <w:guid w:val="{f27151ae-8302-43eb-8600-8aa5541c8e16}"/>
      </w:docPartPr>
      <w:docPartBody>
        <w:p>
          <w:r>
            <w:rPr>
              <w:color w:val="808080"/>
            </w:rPr>
            <w:t>单击此处输入文字。</w:t>
          </w:r>
        </w:p>
      </w:docPartBody>
    </w:docPart>
    <w:docPart>
      <w:docPartPr>
        <w:name w:val="{c8d091e1-cf61-4014-bf3b-ca34f3a2122c}"/>
        <w:style w:val=""/>
        <w:category>
          <w:name w:val="常规"/>
          <w:gallery w:val="placeholder"/>
        </w:category>
        <w:types>
          <w:type w:val="bbPlcHdr"/>
        </w:types>
        <w:behaviors>
          <w:behavior w:val="content"/>
        </w:behaviors>
        <w:description w:val=""/>
        <w:guid w:val="{c8d091e1-cf61-4014-bf3b-ca34f3a2122c}"/>
      </w:docPartPr>
      <w:docPartBody>
        <w:p>
          <w:r>
            <w:rPr>
              <w:color w:val="808080"/>
            </w:rPr>
            <w:t>单击此处输入文字。</w:t>
          </w:r>
        </w:p>
      </w:docPartBody>
    </w:docPart>
    <w:docPart>
      <w:docPartPr>
        <w:name w:val="{71f3af52-1551-406b-bf54-c80bb56e1464}"/>
        <w:style w:val=""/>
        <w:category>
          <w:name w:val="常规"/>
          <w:gallery w:val="placeholder"/>
        </w:category>
        <w:types>
          <w:type w:val="bbPlcHdr"/>
        </w:types>
        <w:behaviors>
          <w:behavior w:val="content"/>
        </w:behaviors>
        <w:description w:val=""/>
        <w:guid w:val="{71f3af52-1551-406b-bf54-c80bb56e1464}"/>
      </w:docPartPr>
      <w:docPartBody>
        <w:p>
          <w:r>
            <w:rPr>
              <w:color w:val="808080"/>
            </w:rPr>
            <w:t>单击此处输入文字。</w:t>
          </w:r>
        </w:p>
      </w:docPartBody>
    </w:docPart>
    <w:docPart>
      <w:docPartPr>
        <w:name w:val="{a09844c1-6e9d-4ce6-8512-3095e7eea738}"/>
        <w:style w:val=""/>
        <w:category>
          <w:name w:val="常规"/>
          <w:gallery w:val="placeholder"/>
        </w:category>
        <w:types>
          <w:type w:val="bbPlcHdr"/>
        </w:types>
        <w:behaviors>
          <w:behavior w:val="content"/>
        </w:behaviors>
        <w:description w:val=""/>
        <w:guid w:val="{a09844c1-6e9d-4ce6-8512-3095e7eea738}"/>
      </w:docPartPr>
      <w:docPartBody>
        <w:p>
          <w:r>
            <w:rPr>
              <w:color w:val="808080"/>
            </w:rPr>
            <w:t>单击此处输入文字。</w:t>
          </w:r>
        </w:p>
      </w:docPartBody>
    </w:docPart>
    <w:docPart>
      <w:docPartPr>
        <w:name w:val="{dfa1d8a6-8c14-4db1-8716-4f6e5a368f72}"/>
        <w:style w:val=""/>
        <w:category>
          <w:name w:val="常规"/>
          <w:gallery w:val="placeholder"/>
        </w:category>
        <w:types>
          <w:type w:val="bbPlcHdr"/>
        </w:types>
        <w:behaviors>
          <w:behavior w:val="content"/>
        </w:behaviors>
        <w:description w:val=""/>
        <w:guid w:val="{dfa1d8a6-8c14-4db1-8716-4f6e5a368f72}"/>
      </w:docPartPr>
      <w:docPartBody>
        <w:p>
          <w:r>
            <w:rPr>
              <w:color w:val="808080"/>
            </w:rPr>
            <w:t>单击此处输入文字。</w:t>
          </w:r>
        </w:p>
      </w:docPartBody>
    </w:docPart>
    <w:docPart>
      <w:docPartPr>
        <w:name w:val="{8672881a-8899-40ca-964d-2dd4436f89a5}"/>
        <w:style w:val=""/>
        <w:category>
          <w:name w:val="常规"/>
          <w:gallery w:val="placeholder"/>
        </w:category>
        <w:types>
          <w:type w:val="bbPlcHdr"/>
        </w:types>
        <w:behaviors>
          <w:behavior w:val="content"/>
        </w:behaviors>
        <w:description w:val=""/>
        <w:guid w:val="{8672881a-8899-40ca-964d-2dd4436f89a5}"/>
      </w:docPartPr>
      <w:docPartBody>
        <w:p>
          <w:r>
            <w:rPr>
              <w:color w:val="808080"/>
            </w:rPr>
            <w:t>单击此处输入文字。</w:t>
          </w:r>
        </w:p>
      </w:docPartBody>
    </w:docPart>
    <w:docPart>
      <w:docPartPr>
        <w:name w:val="{eb83c17b-443f-4aa0-ad6b-8383108ada19}"/>
        <w:style w:val=""/>
        <w:category>
          <w:name w:val="常规"/>
          <w:gallery w:val="placeholder"/>
        </w:category>
        <w:types>
          <w:type w:val="bbPlcHdr"/>
        </w:types>
        <w:behaviors>
          <w:behavior w:val="content"/>
        </w:behaviors>
        <w:description w:val=""/>
        <w:guid w:val="{eb83c17b-443f-4aa0-ad6b-8383108ada19}"/>
      </w:docPartPr>
      <w:docPartBody>
        <w:p>
          <w:r>
            <w:rPr>
              <w:color w:val="808080"/>
            </w:rPr>
            <w:t>单击此处输入文字。</w:t>
          </w:r>
        </w:p>
      </w:docPartBody>
    </w:docPart>
    <w:docPart>
      <w:docPartPr>
        <w:name w:val="{bdaef0d2-5c7d-4ffe-8b2d-cc83cc6d80d5}"/>
        <w:style w:val=""/>
        <w:category>
          <w:name w:val="常规"/>
          <w:gallery w:val="placeholder"/>
        </w:category>
        <w:types>
          <w:type w:val="bbPlcHdr"/>
        </w:types>
        <w:behaviors>
          <w:behavior w:val="content"/>
        </w:behaviors>
        <w:description w:val=""/>
        <w:guid w:val="{bdaef0d2-5c7d-4ffe-8b2d-cc83cc6d80d5}"/>
      </w:docPartPr>
      <w:docPartBody>
        <w:p>
          <w:r>
            <w:rPr>
              <w:color w:val="808080"/>
            </w:rPr>
            <w:t>单击此处输入文字。</w:t>
          </w:r>
        </w:p>
      </w:docPartBody>
    </w:docPart>
    <w:docPart>
      <w:docPartPr>
        <w:name w:val="{f9b9996b-467c-438e-9329-04b8c07c337e}"/>
        <w:style w:val=""/>
        <w:category>
          <w:name w:val="常规"/>
          <w:gallery w:val="placeholder"/>
        </w:category>
        <w:types>
          <w:type w:val="bbPlcHdr"/>
        </w:types>
        <w:behaviors>
          <w:behavior w:val="content"/>
        </w:behaviors>
        <w:description w:val=""/>
        <w:guid w:val="{f9b9996b-467c-438e-9329-04b8c07c337e}"/>
      </w:docPartPr>
      <w:docPartBody>
        <w:p>
          <w:r>
            <w:rPr>
              <w:color w:val="808080"/>
            </w:rPr>
            <w:t>单击此处输入文字。</w:t>
          </w:r>
        </w:p>
      </w:docPartBody>
    </w:docPart>
    <w:docPart>
      <w:docPartPr>
        <w:name w:val="{6fb9c615-217f-458d-bdea-045041f2fa5e}"/>
        <w:style w:val=""/>
        <w:category>
          <w:name w:val="常规"/>
          <w:gallery w:val="placeholder"/>
        </w:category>
        <w:types>
          <w:type w:val="bbPlcHdr"/>
        </w:types>
        <w:behaviors>
          <w:behavior w:val="content"/>
        </w:behaviors>
        <w:description w:val=""/>
        <w:guid w:val="{6fb9c615-217f-458d-bdea-045041f2fa5e}"/>
      </w:docPartPr>
      <w:docPartBody>
        <w:p>
          <w:r>
            <w:rPr>
              <w:color w:val="808080"/>
            </w:rPr>
            <w:t>单击此处输入文字。</w:t>
          </w:r>
        </w:p>
      </w:docPartBody>
    </w:docPart>
    <w:docPart>
      <w:docPartPr>
        <w:name w:val="{b3e5d044-a480-4d83-a896-6d840b1563eb}"/>
        <w:style w:val=""/>
        <w:category>
          <w:name w:val="常规"/>
          <w:gallery w:val="placeholder"/>
        </w:category>
        <w:types>
          <w:type w:val="bbPlcHdr"/>
        </w:types>
        <w:behaviors>
          <w:behavior w:val="content"/>
        </w:behaviors>
        <w:description w:val=""/>
        <w:guid w:val="{b3e5d044-a480-4d83-a896-6d840b1563eb}"/>
      </w:docPartPr>
      <w:docPartBody>
        <w:p>
          <w:r>
            <w:rPr>
              <w:color w:val="808080"/>
            </w:rPr>
            <w:t>单击此处输入文字。</w:t>
          </w:r>
        </w:p>
      </w:docPartBody>
    </w:docPart>
    <w:docPart>
      <w:docPartPr>
        <w:name w:val="{1c855a25-ef3b-4e23-adf1-cecd20e38239}"/>
        <w:style w:val=""/>
        <w:category>
          <w:name w:val="常规"/>
          <w:gallery w:val="placeholder"/>
        </w:category>
        <w:types>
          <w:type w:val="bbPlcHdr"/>
        </w:types>
        <w:behaviors>
          <w:behavior w:val="content"/>
        </w:behaviors>
        <w:description w:val=""/>
        <w:guid w:val="{1c855a25-ef3b-4e23-adf1-cecd20e38239}"/>
      </w:docPartPr>
      <w:docPartBody>
        <w:p>
          <w:r>
            <w:rPr>
              <w:color w:val="808080"/>
            </w:rPr>
            <w:t>单击此处输入文字。</w:t>
          </w:r>
        </w:p>
      </w:docPartBody>
    </w:docPart>
    <w:docPart>
      <w:docPartPr>
        <w:name w:val="{d50c9b40-2a08-4c25-8e8e-7595ec33df13}"/>
        <w:style w:val=""/>
        <w:category>
          <w:name w:val="常规"/>
          <w:gallery w:val="placeholder"/>
        </w:category>
        <w:types>
          <w:type w:val="bbPlcHdr"/>
        </w:types>
        <w:behaviors>
          <w:behavior w:val="content"/>
        </w:behaviors>
        <w:description w:val=""/>
        <w:guid w:val="{d50c9b40-2a08-4c25-8e8e-7595ec33df13}"/>
      </w:docPartPr>
      <w:docPartBody>
        <w:p>
          <w:r>
            <w:rPr>
              <w:color w:val="808080"/>
            </w:rPr>
            <w:t>单击此处输入文字。</w:t>
          </w:r>
        </w:p>
      </w:docPartBody>
    </w:docPart>
    <w:docPart>
      <w:docPartPr>
        <w:name w:val="{8a4d8b66-08ea-4c1a-b4de-18ea6c438f05}"/>
        <w:style w:val=""/>
        <w:category>
          <w:name w:val="常规"/>
          <w:gallery w:val="placeholder"/>
        </w:category>
        <w:types>
          <w:type w:val="bbPlcHdr"/>
        </w:types>
        <w:behaviors>
          <w:behavior w:val="content"/>
        </w:behaviors>
        <w:description w:val=""/>
        <w:guid w:val="{8a4d8b66-08ea-4c1a-b4de-18ea6c438f05}"/>
      </w:docPartPr>
      <w:docPartBody>
        <w:p>
          <w:r>
            <w:rPr>
              <w:color w:val="808080"/>
            </w:rPr>
            <w:t>单击此处输入文字。</w:t>
          </w:r>
        </w:p>
      </w:docPartBody>
    </w:docPart>
    <w:docPart>
      <w:docPartPr>
        <w:name w:val="{e508de7a-c378-4698-af11-35ff0e85227e}"/>
        <w:style w:val=""/>
        <w:category>
          <w:name w:val="常规"/>
          <w:gallery w:val="placeholder"/>
        </w:category>
        <w:types>
          <w:type w:val="bbPlcHdr"/>
        </w:types>
        <w:behaviors>
          <w:behavior w:val="content"/>
        </w:behaviors>
        <w:description w:val=""/>
        <w:guid w:val="{e508de7a-c378-4698-af11-35ff0e85227e}"/>
      </w:docPartPr>
      <w:docPartBody>
        <w:p>
          <w:r>
            <w:rPr>
              <w:color w:val="808080"/>
            </w:rPr>
            <w:t>单击此处输入文字。</w:t>
          </w:r>
        </w:p>
      </w:docPartBody>
    </w:docPart>
    <w:docPart>
      <w:docPartPr>
        <w:name w:val="{1cd9464b-1b45-41e0-80eb-5d52a6320565}"/>
        <w:style w:val=""/>
        <w:category>
          <w:name w:val="常规"/>
          <w:gallery w:val="placeholder"/>
        </w:category>
        <w:types>
          <w:type w:val="bbPlcHdr"/>
        </w:types>
        <w:behaviors>
          <w:behavior w:val="content"/>
        </w:behaviors>
        <w:description w:val=""/>
        <w:guid w:val="{1cd9464b-1b45-41e0-80eb-5d52a6320565}"/>
      </w:docPartPr>
      <w:docPartBody>
        <w:p>
          <w:r>
            <w:rPr>
              <w:color w:val="808080"/>
            </w:rPr>
            <w:t>单击此处输入文字。</w:t>
          </w:r>
        </w:p>
      </w:docPartBody>
    </w:docPart>
    <w:docPart>
      <w:docPartPr>
        <w:name w:val="{ce9b843d-4ea5-4776-8ca6-723c3c603d05}"/>
        <w:style w:val=""/>
        <w:category>
          <w:name w:val="常规"/>
          <w:gallery w:val="placeholder"/>
        </w:category>
        <w:types>
          <w:type w:val="bbPlcHdr"/>
        </w:types>
        <w:behaviors>
          <w:behavior w:val="content"/>
        </w:behaviors>
        <w:description w:val=""/>
        <w:guid w:val="{ce9b843d-4ea5-4776-8ca6-723c3c603d05}"/>
      </w:docPartPr>
      <w:docPartBody>
        <w:p>
          <w:r>
            <w:rPr>
              <w:color w:val="808080"/>
            </w:rPr>
            <w:t>单击此处输入文字。</w:t>
          </w:r>
        </w:p>
      </w:docPartBody>
    </w:docPart>
    <w:docPart>
      <w:docPartPr>
        <w:name w:val="{11600fd4-16f0-4595-b703-584d6f61360c}"/>
        <w:style w:val=""/>
        <w:category>
          <w:name w:val="常规"/>
          <w:gallery w:val="placeholder"/>
        </w:category>
        <w:types>
          <w:type w:val="bbPlcHdr"/>
        </w:types>
        <w:behaviors>
          <w:behavior w:val="content"/>
        </w:behaviors>
        <w:description w:val=""/>
        <w:guid w:val="{11600fd4-16f0-4595-b703-584d6f61360c}"/>
      </w:docPartPr>
      <w:docPartBody>
        <w:p>
          <w:r>
            <w:rPr>
              <w:color w:val="808080"/>
            </w:rPr>
            <w:t>单击此处输入文字。</w:t>
          </w:r>
        </w:p>
      </w:docPartBody>
    </w:docPart>
    <w:docPart>
      <w:docPartPr>
        <w:name w:val="{69616587-b83a-4d14-9ffb-6a7a967319d7}"/>
        <w:style w:val=""/>
        <w:category>
          <w:name w:val="常规"/>
          <w:gallery w:val="placeholder"/>
        </w:category>
        <w:types>
          <w:type w:val="bbPlcHdr"/>
        </w:types>
        <w:behaviors>
          <w:behavior w:val="content"/>
        </w:behaviors>
        <w:description w:val=""/>
        <w:guid w:val="{69616587-b83a-4d14-9ffb-6a7a967319d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compat>
    <w:useFELayout/>
    <w:splitPgBreakAndParaMark/>
    <w:compatSetting w:name="compatibilityMode" w:uri="http://schemas.microsoft.com/office/word" w:val="14"/>
  </w:compat>
  <w:rsids>
    <w:rsidRoot w:val="0000000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95</TotalTime>
  <ScaleCrop>false</ScaleCrop>
  <LinksUpToDate>false</LinksUpToDate>
  <CharactersWithSpaces>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2021-03-22T07:13:00Z</dcterms:created>
  <dc:creator>crush</dc:creator>
  <cp:lastModifiedBy>Administrator</cp:lastModifiedBy>
  <dcterms:modified xsi:type="dcterms:W3CDTF">2021-08-03T09:28:46Z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C484DC19051249C8A63602DCB27AB866</vt:lpwstr>
  </property>
</Properties>
</file>