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left="0" w:leftChars="0" w:firstLine="0" w:firstLineChars="0"/>
        <w:jc w:val="center"/>
        <w:rPr>
          <w:rFonts w:hint="eastAsia" w:ascii="黑体" w:hAnsi="黑体" w:eastAsia="黑体" w:cs="黑体"/>
          <w:color w:val="auto"/>
          <w:sz w:val="48"/>
          <w:szCs w:val="48"/>
          <w:lang w:eastAsia="zh-CN"/>
        </w:rPr>
      </w:pPr>
    </w:p>
    <w:p>
      <w:pPr>
        <w:pStyle w:val="22"/>
        <w:ind w:left="0" w:leftChars="0" w:firstLine="0" w:firstLineChars="0"/>
        <w:jc w:val="center"/>
        <w:rPr>
          <w:rFonts w:hint="eastAsia" w:ascii="黑体" w:hAnsi="黑体" w:eastAsia="黑体" w:cs="黑体"/>
          <w:color w:val="auto"/>
          <w:sz w:val="52"/>
          <w:szCs w:val="52"/>
        </w:rPr>
      </w:pPr>
      <w:r>
        <w:rPr>
          <w:rFonts w:hint="eastAsia" w:ascii="黑体" w:hAnsi="黑体" w:eastAsia="黑体" w:cs="黑体"/>
          <w:color w:val="auto"/>
          <w:sz w:val="48"/>
          <w:szCs w:val="48"/>
          <w:lang w:eastAsia="zh-CN"/>
        </w:rPr>
        <w:t>朝东镇梅菜加工基地建设项目</w:t>
      </w:r>
    </w:p>
    <w:p>
      <w:pPr>
        <w:pStyle w:val="22"/>
        <w:ind w:left="0" w:leftChars="0" w:firstLine="0" w:firstLineChars="0"/>
        <w:jc w:val="center"/>
        <w:rPr>
          <w:rFonts w:hint="eastAsia" w:ascii="黑体" w:hAnsi="黑体" w:eastAsia="黑体" w:cs="黑体"/>
          <w:color w:val="auto"/>
          <w:sz w:val="48"/>
          <w:szCs w:val="48"/>
        </w:rPr>
      </w:pPr>
    </w:p>
    <w:p>
      <w:pPr>
        <w:pStyle w:val="22"/>
        <w:ind w:left="0" w:leftChars="0" w:firstLine="0" w:firstLineChars="0"/>
        <w:jc w:val="center"/>
        <w:rPr>
          <w:rFonts w:hint="eastAsia" w:ascii="黑体" w:hAnsi="黑体" w:eastAsia="黑体" w:cs="黑体"/>
          <w:color w:val="auto"/>
          <w:sz w:val="72"/>
          <w:szCs w:val="72"/>
        </w:rPr>
      </w:pPr>
      <w:r>
        <w:rPr>
          <w:rFonts w:hint="eastAsia" w:ascii="黑体" w:hAnsi="黑体" w:eastAsia="黑体" w:cs="黑体"/>
          <w:color w:val="auto"/>
          <w:sz w:val="72"/>
          <w:szCs w:val="72"/>
        </w:rPr>
        <w:t>竞争性</w:t>
      </w:r>
      <w:r>
        <w:rPr>
          <w:rFonts w:hint="eastAsia" w:ascii="黑体" w:hAnsi="黑体" w:eastAsia="黑体" w:cs="黑体"/>
          <w:color w:val="auto"/>
          <w:sz w:val="72"/>
          <w:szCs w:val="72"/>
          <w:lang w:eastAsia="zh-CN"/>
        </w:rPr>
        <w:t>磋商</w:t>
      </w:r>
      <w:r>
        <w:rPr>
          <w:rFonts w:hint="eastAsia" w:ascii="黑体" w:hAnsi="黑体" w:eastAsia="黑体" w:cs="黑体"/>
          <w:color w:val="auto"/>
          <w:sz w:val="72"/>
          <w:szCs w:val="72"/>
        </w:rPr>
        <w:t>文件</w:t>
      </w:r>
    </w:p>
    <w:p>
      <w:pPr>
        <w:pStyle w:val="22"/>
        <w:ind w:left="0" w:leftChars="0" w:firstLine="0" w:firstLineChars="0"/>
        <w:rPr>
          <w:rFonts w:hint="eastAsia" w:ascii="黑体" w:hAnsi="黑体" w:eastAsia="黑体" w:cs="黑体"/>
          <w:color w:val="auto"/>
          <w:sz w:val="48"/>
          <w:szCs w:val="48"/>
        </w:rPr>
      </w:pPr>
    </w:p>
    <w:p>
      <w:pPr>
        <w:pStyle w:val="22"/>
        <w:ind w:left="0" w:leftChars="0" w:firstLine="0" w:firstLineChars="0"/>
        <w:rPr>
          <w:rFonts w:hint="eastAsia" w:ascii="黑体" w:hAnsi="黑体" w:eastAsia="黑体" w:cs="黑体"/>
          <w:color w:val="auto"/>
          <w:sz w:val="48"/>
          <w:szCs w:val="48"/>
        </w:rPr>
      </w:pPr>
    </w:p>
    <w:p>
      <w:pPr>
        <w:pStyle w:val="22"/>
        <w:ind w:left="0" w:leftChars="0" w:firstLine="0" w:firstLineChars="0"/>
        <w:jc w:val="center"/>
        <w:rPr>
          <w:rFonts w:hint="eastAsia" w:ascii="黑体" w:hAnsi="黑体" w:eastAsia="黑体" w:cs="黑体"/>
          <w:color w:val="auto"/>
          <w:sz w:val="48"/>
          <w:szCs w:val="48"/>
          <w:lang w:val="en-US" w:eastAsia="zh-CN"/>
        </w:rPr>
      </w:pPr>
      <w:r>
        <w:rPr>
          <w:rFonts w:hint="eastAsia" w:ascii="黑体" w:hAnsi="黑体" w:eastAsia="黑体" w:cs="黑体"/>
          <w:color w:val="auto"/>
          <w:sz w:val="48"/>
          <w:szCs w:val="48"/>
        </w:rPr>
        <w:t>项目编号：</w:t>
      </w:r>
      <w:r>
        <w:rPr>
          <w:rFonts w:hint="eastAsia" w:ascii="黑体" w:hAnsi="黑体" w:eastAsia="黑体" w:cs="黑体"/>
          <w:color w:val="auto"/>
          <w:sz w:val="48"/>
          <w:szCs w:val="48"/>
          <w:lang w:eastAsia="zh-CN"/>
        </w:rPr>
        <w:t>FCZC2020-C2-230107-GXHS</w:t>
      </w:r>
    </w:p>
    <w:p>
      <w:pPr>
        <w:pStyle w:val="22"/>
        <w:ind w:left="0" w:leftChars="0" w:firstLine="0" w:firstLineChars="0"/>
        <w:rPr>
          <w:rFonts w:hint="eastAsia" w:ascii="黑体" w:hAnsi="黑体" w:eastAsia="黑体" w:cs="黑体"/>
          <w:color w:val="auto"/>
          <w:sz w:val="48"/>
          <w:szCs w:val="48"/>
        </w:rPr>
      </w:pPr>
      <w:r>
        <w:rPr>
          <w:rFonts w:hint="eastAsia" w:ascii="黑体" w:hAnsi="黑体" w:eastAsia="黑体" w:cs="黑体"/>
          <w:color w:val="auto"/>
          <w:sz w:val="48"/>
          <w:szCs w:val="48"/>
        </w:rPr>
        <w:t xml:space="preserve">             </w:t>
      </w:r>
    </w:p>
    <w:p>
      <w:pPr>
        <w:pStyle w:val="22"/>
        <w:ind w:left="0" w:leftChars="0" w:firstLine="0" w:firstLineChars="0"/>
        <w:rPr>
          <w:rFonts w:hint="eastAsia" w:ascii="黑体" w:hAnsi="黑体" w:eastAsia="黑体" w:cs="黑体"/>
          <w:color w:val="auto"/>
          <w:sz w:val="48"/>
          <w:szCs w:val="48"/>
        </w:rPr>
      </w:pPr>
      <w:r>
        <w:rPr>
          <w:rFonts w:hint="eastAsia" w:ascii="黑体" w:hAnsi="黑体" w:eastAsia="黑体" w:cs="黑体"/>
          <w:color w:val="auto"/>
          <w:sz w:val="48"/>
          <w:szCs w:val="48"/>
        </w:rPr>
        <w:t xml:space="preserve">                              </w:t>
      </w:r>
    </w:p>
    <w:p>
      <w:pPr>
        <w:pStyle w:val="22"/>
        <w:ind w:left="0" w:leftChars="0" w:firstLine="400" w:firstLineChars="100"/>
        <w:rPr>
          <w:rFonts w:hint="eastAsia" w:ascii="黑体" w:hAnsi="黑体" w:eastAsia="黑体" w:cs="黑体"/>
          <w:color w:val="auto"/>
          <w:sz w:val="40"/>
          <w:szCs w:val="40"/>
          <w:lang w:eastAsia="zh-CN"/>
        </w:rPr>
      </w:pPr>
      <w:r>
        <w:rPr>
          <w:rFonts w:hint="eastAsia" w:ascii="黑体" w:hAnsi="黑体" w:eastAsia="黑体" w:cs="黑体"/>
          <w:color w:val="auto"/>
          <w:sz w:val="40"/>
          <w:szCs w:val="40"/>
        </w:rPr>
        <w:t>采   购   人：</w:t>
      </w:r>
      <w:r>
        <w:rPr>
          <w:rFonts w:hint="eastAsia" w:ascii="黑体" w:hAnsi="黑体" w:eastAsia="黑体" w:cs="黑体"/>
          <w:color w:val="auto"/>
          <w:sz w:val="40"/>
          <w:szCs w:val="40"/>
          <w:lang w:eastAsia="zh-CN"/>
        </w:rPr>
        <w:t>富川瑶族自治县朝东镇人民政府</w:t>
      </w:r>
    </w:p>
    <w:p>
      <w:pPr>
        <w:pStyle w:val="22"/>
        <w:ind w:left="0" w:leftChars="0" w:firstLine="400" w:firstLineChars="100"/>
        <w:rPr>
          <w:rFonts w:hint="eastAsia" w:ascii="黑体" w:hAnsi="黑体" w:eastAsia="黑体" w:cs="黑体"/>
          <w:color w:val="auto"/>
          <w:sz w:val="40"/>
          <w:szCs w:val="40"/>
        </w:rPr>
      </w:pPr>
      <w:r>
        <w:rPr>
          <w:rFonts w:hint="eastAsia" w:ascii="黑体" w:hAnsi="黑体" w:eastAsia="黑体" w:cs="黑体"/>
          <w:color w:val="auto"/>
          <w:sz w:val="40"/>
          <w:szCs w:val="40"/>
        </w:rPr>
        <w:t>采购代理单位：广西华盛工程咨询有限公司</w:t>
      </w:r>
    </w:p>
    <w:p>
      <w:pPr>
        <w:pStyle w:val="22"/>
        <w:ind w:left="0" w:leftChars="0" w:firstLine="0" w:firstLineChars="0"/>
        <w:jc w:val="center"/>
        <w:rPr>
          <w:rFonts w:hint="default" w:ascii="黑体" w:hAnsi="黑体" w:eastAsia="黑体" w:cs="黑体"/>
          <w:color w:val="auto"/>
          <w:sz w:val="40"/>
          <w:szCs w:val="40"/>
          <w:lang w:val="en-US" w:eastAsia="zh-CN"/>
        </w:rPr>
      </w:pPr>
      <w:r>
        <w:rPr>
          <w:rFonts w:hint="eastAsia" w:ascii="黑体" w:hAnsi="黑体" w:eastAsia="黑体" w:cs="黑体"/>
          <w:color w:val="auto"/>
          <w:sz w:val="40"/>
          <w:szCs w:val="40"/>
          <w:lang w:val="en-US" w:eastAsia="zh-CN"/>
        </w:rPr>
        <w:t xml:space="preserve">   </w:t>
      </w:r>
      <w:r>
        <w:rPr>
          <w:rFonts w:hint="eastAsia" w:ascii="黑体" w:hAnsi="黑体" w:eastAsia="黑体" w:cs="黑体"/>
          <w:color w:val="auto"/>
          <w:sz w:val="40"/>
          <w:szCs w:val="40"/>
          <w:lang w:eastAsia="zh-CN"/>
        </w:rPr>
        <w:t>2020年</w:t>
      </w:r>
      <w:r>
        <w:rPr>
          <w:rFonts w:hint="eastAsia" w:ascii="黑体" w:hAnsi="黑体" w:eastAsia="黑体" w:cs="黑体"/>
          <w:color w:val="auto"/>
          <w:sz w:val="40"/>
          <w:szCs w:val="40"/>
          <w:lang w:val="en-US" w:eastAsia="zh-CN"/>
        </w:rPr>
        <w:t>7</w:t>
      </w:r>
      <w:r>
        <w:rPr>
          <w:rFonts w:hint="eastAsia" w:ascii="黑体" w:hAnsi="黑体" w:eastAsia="黑体" w:cs="黑体"/>
          <w:color w:val="auto"/>
          <w:sz w:val="40"/>
          <w:szCs w:val="40"/>
          <w:lang w:eastAsia="zh-CN"/>
        </w:rPr>
        <w:t>月</w:t>
      </w:r>
      <w:r>
        <w:rPr>
          <w:rFonts w:hint="eastAsia" w:ascii="黑体" w:hAnsi="黑体" w:eastAsia="黑体" w:cs="黑体"/>
          <w:color w:val="auto"/>
          <w:sz w:val="40"/>
          <w:szCs w:val="40"/>
          <w:lang w:val="en-US" w:eastAsia="zh-CN"/>
        </w:rPr>
        <w:t>31日</w:t>
      </w:r>
    </w:p>
    <w:p>
      <w:pPr>
        <w:spacing w:before="0" w:beforeLines="0" w:after="0" w:afterLines="0" w:line="240" w:lineRule="auto"/>
        <w:ind w:left="0" w:leftChars="0" w:right="0" w:rightChars="0" w:firstLine="0" w:firstLineChars="0"/>
        <w:jc w:val="both"/>
        <w:rPr>
          <w:rFonts w:ascii="宋体" w:hAnsi="宋体" w:eastAsia="宋体" w:cs="Times New Roman"/>
          <w:color w:val="auto"/>
          <w:kern w:val="2"/>
          <w:sz w:val="40"/>
          <w:szCs w:val="40"/>
          <w:lang w:val="en-US" w:eastAsia="zh-CN" w:bidi="ar-SA"/>
        </w:rPr>
        <w:sectPr>
          <w:pgSz w:w="11906" w:h="16838"/>
          <w:pgMar w:top="1134" w:right="1466" w:bottom="1134" w:left="1440" w:header="720" w:footer="720" w:gutter="0"/>
          <w:pgNumType w:fmt="decimal" w:start="1"/>
          <w:cols w:space="720" w:num="1"/>
          <w:docGrid w:type="lines" w:linePitch="331" w:charSpace="0"/>
        </w:sectPr>
      </w:pPr>
    </w:p>
    <w:sdt>
      <w:sdtPr>
        <w:rPr>
          <w:rFonts w:ascii="宋体" w:hAnsi="宋体" w:eastAsia="宋体" w:cs="Times New Roman"/>
          <w:color w:val="auto"/>
          <w:kern w:val="2"/>
          <w:sz w:val="40"/>
          <w:szCs w:val="40"/>
          <w:lang w:val="en-US" w:eastAsia="zh-CN" w:bidi="ar-SA"/>
        </w:rPr>
        <w:id w:val="147481109"/>
        <w15:color w:val="DBDBDB"/>
        <w:docPartObj>
          <w:docPartGallery w:val="Table of Contents"/>
          <w:docPartUnique/>
        </w:docPartObj>
      </w:sdtPr>
      <w:sdtEndPr>
        <w:rPr>
          <w:rFonts w:ascii="Times New Roman" w:hAnsi="Times New Roman" w:eastAsia="宋体" w:cs="Times New Roman"/>
          <w:color w:val="auto"/>
          <w:kern w:val="0"/>
          <w:sz w:val="36"/>
          <w:szCs w:val="36"/>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olor w:val="auto"/>
              <w:sz w:val="40"/>
              <w:szCs w:val="40"/>
            </w:rPr>
          </w:pPr>
          <w:bookmarkStart w:id="0" w:name="_Toc4410_WPSOffice_Type1"/>
          <w:r>
            <w:rPr>
              <w:rFonts w:ascii="宋体" w:hAnsi="宋体" w:eastAsia="宋体"/>
              <w:color w:val="auto"/>
              <w:sz w:val="40"/>
              <w:szCs w:val="40"/>
            </w:rPr>
            <w:t>目录</w:t>
          </w:r>
        </w:p>
        <w:p>
          <w:pPr>
            <w:spacing w:before="0" w:beforeLines="0" w:after="0" w:afterLines="0" w:line="240" w:lineRule="auto"/>
            <w:ind w:left="0" w:leftChars="0" w:right="0" w:rightChars="0" w:firstLine="0" w:firstLineChars="0"/>
            <w:jc w:val="center"/>
            <w:rPr>
              <w:rFonts w:ascii="宋体" w:hAnsi="宋体" w:eastAsia="宋体"/>
              <w:color w:val="auto"/>
              <w:sz w:val="40"/>
              <w:szCs w:val="40"/>
            </w:rPr>
          </w:pPr>
        </w:p>
        <w:p>
          <w:pPr>
            <w:pStyle w:val="67"/>
            <w:tabs>
              <w:tab w:val="right" w:leader="dot" w:pos="9000"/>
            </w:tabs>
            <w:rPr>
              <w:color w:val="auto"/>
              <w:sz w:val="36"/>
              <w:szCs w:val="36"/>
            </w:rPr>
          </w:pPr>
          <w:r>
            <w:rPr>
              <w:color w:val="auto"/>
              <w:sz w:val="36"/>
              <w:szCs w:val="36"/>
            </w:rPr>
            <w:fldChar w:fldCharType="begin"/>
          </w:r>
          <w:r>
            <w:rPr>
              <w:color w:val="auto"/>
              <w:sz w:val="36"/>
              <w:szCs w:val="36"/>
            </w:rPr>
            <w:instrText xml:space="preserve"> HYPERLINK \l _Toc24816_WPSOffice_Level1 </w:instrText>
          </w:r>
          <w:r>
            <w:rPr>
              <w:color w:val="auto"/>
              <w:sz w:val="36"/>
              <w:szCs w:val="36"/>
            </w:rPr>
            <w:fldChar w:fldCharType="separate"/>
          </w:r>
          <w:sdt>
            <w:sdtPr>
              <w:rPr>
                <w:rFonts w:ascii="Times New Roman" w:hAnsi="Times New Roman" w:eastAsia="黑体" w:cs="Times New Roman"/>
                <w:color w:val="auto"/>
                <w:kern w:val="2"/>
                <w:sz w:val="40"/>
                <w:szCs w:val="48"/>
                <w:lang w:val="en-US" w:eastAsia="zh-CN" w:bidi="ar-SA"/>
              </w:rPr>
              <w:id w:val="147481109"/>
              <w:placeholder>
                <w:docPart w:val="{d8117d75-04e8-4e98-a6fd-fd70f2ae5168}"/>
              </w:placeholder>
              <w15:color w:val="509DF3"/>
            </w:sdtPr>
            <w:sdtEndPr>
              <w:rPr>
                <w:rFonts w:ascii="Times New Roman" w:hAnsi="Times New Roman" w:eastAsia="黑体" w:cs="Times New Roman"/>
                <w:color w:val="auto"/>
                <w:kern w:val="2"/>
                <w:sz w:val="40"/>
                <w:szCs w:val="48"/>
                <w:lang w:val="en-US" w:eastAsia="zh-CN" w:bidi="ar-SA"/>
              </w:rPr>
            </w:sdtEndPr>
            <w:sdtContent>
              <w:r>
                <w:rPr>
                  <w:rFonts w:hint="eastAsia" w:ascii="宋体" w:hAnsi="宋体" w:eastAsia="宋体" w:cs="Times New Roman"/>
                  <w:color w:val="auto"/>
                  <w:sz w:val="36"/>
                  <w:szCs w:val="36"/>
                </w:rPr>
                <w:t>第一章 竞争性磋商公告</w:t>
              </w:r>
            </w:sdtContent>
          </w:sdt>
          <w:r>
            <w:rPr>
              <w:color w:val="auto"/>
              <w:sz w:val="36"/>
              <w:szCs w:val="36"/>
            </w:rPr>
            <w:tab/>
          </w:r>
          <w:r>
            <w:rPr>
              <w:rFonts w:hint="eastAsia"/>
              <w:color w:val="auto"/>
              <w:sz w:val="36"/>
              <w:szCs w:val="36"/>
              <w:lang w:val="en-US" w:eastAsia="zh-CN"/>
            </w:rPr>
            <w:t>1</w:t>
          </w:r>
          <w:r>
            <w:rPr>
              <w:color w:val="auto"/>
              <w:sz w:val="36"/>
              <w:szCs w:val="36"/>
            </w:rPr>
            <w:fldChar w:fldCharType="end"/>
          </w:r>
        </w:p>
        <w:p>
          <w:pPr>
            <w:pStyle w:val="67"/>
            <w:tabs>
              <w:tab w:val="right" w:leader="dot" w:pos="9000"/>
            </w:tabs>
            <w:rPr>
              <w:color w:val="auto"/>
              <w:sz w:val="36"/>
              <w:szCs w:val="36"/>
            </w:rPr>
          </w:pPr>
          <w:r>
            <w:rPr>
              <w:color w:val="auto"/>
              <w:sz w:val="36"/>
              <w:szCs w:val="36"/>
            </w:rPr>
            <w:fldChar w:fldCharType="begin"/>
          </w:r>
          <w:r>
            <w:rPr>
              <w:color w:val="auto"/>
              <w:sz w:val="36"/>
              <w:szCs w:val="36"/>
            </w:rPr>
            <w:instrText xml:space="preserve"> HYPERLINK \l _Toc4410_WPSOffice_Level1 </w:instrText>
          </w:r>
          <w:r>
            <w:rPr>
              <w:color w:val="auto"/>
              <w:sz w:val="36"/>
              <w:szCs w:val="36"/>
            </w:rPr>
            <w:fldChar w:fldCharType="separate"/>
          </w:r>
          <w:sdt>
            <w:sdtPr>
              <w:rPr>
                <w:rFonts w:ascii="Times New Roman" w:hAnsi="Times New Roman" w:eastAsia="黑体" w:cs="Times New Roman"/>
                <w:color w:val="auto"/>
                <w:kern w:val="2"/>
                <w:sz w:val="40"/>
                <w:szCs w:val="48"/>
                <w:lang w:val="en-US" w:eastAsia="zh-CN" w:bidi="ar-SA"/>
              </w:rPr>
              <w:id w:val="147481109"/>
              <w:placeholder>
                <w:docPart w:val="{0fc61fb0-bd04-4c26-ac38-cf579e53e09c}"/>
              </w:placeholder>
              <w15:color w:val="509DF3"/>
            </w:sdtPr>
            <w:sdtEndPr>
              <w:rPr>
                <w:rFonts w:ascii="Times New Roman" w:hAnsi="Times New Roman" w:eastAsia="黑体" w:cs="Times New Roman"/>
                <w:color w:val="auto"/>
                <w:kern w:val="2"/>
                <w:sz w:val="40"/>
                <w:szCs w:val="48"/>
                <w:lang w:val="en-US" w:eastAsia="zh-CN" w:bidi="ar-SA"/>
              </w:rPr>
            </w:sdtEndPr>
            <w:sdtContent>
              <w:r>
                <w:rPr>
                  <w:rFonts w:hint="eastAsia" w:ascii="宋体" w:hAnsi="宋体" w:eastAsia="宋体" w:cs="Times New Roman"/>
                  <w:color w:val="auto"/>
                  <w:sz w:val="36"/>
                  <w:szCs w:val="36"/>
                </w:rPr>
                <w:t>第二章 磋商人须知及前附表</w:t>
              </w:r>
            </w:sdtContent>
          </w:sdt>
          <w:r>
            <w:rPr>
              <w:color w:val="auto"/>
              <w:sz w:val="36"/>
              <w:szCs w:val="36"/>
            </w:rPr>
            <w:tab/>
          </w:r>
          <w:r>
            <w:rPr>
              <w:rFonts w:hint="eastAsia"/>
              <w:color w:val="auto"/>
              <w:sz w:val="36"/>
              <w:szCs w:val="36"/>
              <w:lang w:val="en-US" w:eastAsia="zh-CN"/>
            </w:rPr>
            <w:t>5</w:t>
          </w:r>
          <w:r>
            <w:rPr>
              <w:color w:val="auto"/>
              <w:sz w:val="36"/>
              <w:szCs w:val="36"/>
            </w:rPr>
            <w:fldChar w:fldCharType="end"/>
          </w:r>
        </w:p>
        <w:p>
          <w:pPr>
            <w:pStyle w:val="67"/>
            <w:tabs>
              <w:tab w:val="right" w:leader="dot" w:pos="9000"/>
            </w:tabs>
            <w:rPr>
              <w:color w:val="auto"/>
              <w:sz w:val="36"/>
              <w:szCs w:val="36"/>
            </w:rPr>
          </w:pPr>
          <w:r>
            <w:rPr>
              <w:color w:val="auto"/>
              <w:sz w:val="36"/>
              <w:szCs w:val="36"/>
            </w:rPr>
            <w:fldChar w:fldCharType="begin"/>
          </w:r>
          <w:r>
            <w:rPr>
              <w:color w:val="auto"/>
              <w:sz w:val="36"/>
              <w:szCs w:val="36"/>
            </w:rPr>
            <w:instrText xml:space="preserve"> HYPERLINK \l _Toc27908_WPSOffice_Level1 </w:instrText>
          </w:r>
          <w:r>
            <w:rPr>
              <w:color w:val="auto"/>
              <w:sz w:val="36"/>
              <w:szCs w:val="36"/>
            </w:rPr>
            <w:fldChar w:fldCharType="separate"/>
          </w:r>
          <w:sdt>
            <w:sdtPr>
              <w:rPr>
                <w:rFonts w:ascii="Times New Roman" w:hAnsi="Times New Roman" w:eastAsia="黑体" w:cs="Times New Roman"/>
                <w:color w:val="auto"/>
                <w:kern w:val="2"/>
                <w:sz w:val="40"/>
                <w:szCs w:val="48"/>
                <w:lang w:val="en-US" w:eastAsia="zh-CN" w:bidi="ar-SA"/>
              </w:rPr>
              <w:id w:val="147481109"/>
              <w:placeholder>
                <w:docPart w:val="{a1101f80-2dae-44ba-a892-5cd81988f710}"/>
              </w:placeholder>
              <w15:color w:val="509DF3"/>
            </w:sdtPr>
            <w:sdtEndPr>
              <w:rPr>
                <w:rFonts w:ascii="Times New Roman" w:hAnsi="Times New Roman" w:eastAsia="黑体" w:cs="Times New Roman"/>
                <w:color w:val="auto"/>
                <w:kern w:val="2"/>
                <w:sz w:val="40"/>
                <w:szCs w:val="48"/>
                <w:lang w:val="en-US" w:eastAsia="zh-CN" w:bidi="ar-SA"/>
              </w:rPr>
            </w:sdtEndPr>
            <w:sdtContent>
              <w:r>
                <w:rPr>
                  <w:rFonts w:hint="eastAsia" w:ascii="宋体" w:hAnsi="宋体" w:eastAsia="宋体" w:cs="Times New Roman"/>
                  <w:color w:val="auto"/>
                  <w:sz w:val="36"/>
                  <w:szCs w:val="36"/>
                </w:rPr>
                <w:t>第三章  采购项目需求</w:t>
              </w:r>
            </w:sdtContent>
          </w:sdt>
          <w:r>
            <w:rPr>
              <w:color w:val="auto"/>
              <w:sz w:val="36"/>
              <w:szCs w:val="36"/>
            </w:rPr>
            <w:tab/>
          </w:r>
          <w:bookmarkStart w:id="1" w:name="_Toc27908_WPSOffice_Level1Page"/>
          <w:r>
            <w:rPr>
              <w:color w:val="auto"/>
              <w:sz w:val="36"/>
              <w:szCs w:val="36"/>
            </w:rPr>
            <w:t>1</w:t>
          </w:r>
          <w:bookmarkEnd w:id="1"/>
          <w:r>
            <w:rPr>
              <w:rFonts w:hint="eastAsia"/>
              <w:color w:val="auto"/>
              <w:sz w:val="36"/>
              <w:szCs w:val="36"/>
              <w:lang w:val="en-US" w:eastAsia="zh-CN"/>
            </w:rPr>
            <w:t>5</w:t>
          </w:r>
          <w:r>
            <w:rPr>
              <w:color w:val="auto"/>
              <w:sz w:val="36"/>
              <w:szCs w:val="36"/>
            </w:rPr>
            <w:fldChar w:fldCharType="end"/>
          </w:r>
        </w:p>
        <w:p>
          <w:pPr>
            <w:pStyle w:val="67"/>
            <w:tabs>
              <w:tab w:val="right" w:leader="dot" w:pos="9000"/>
            </w:tabs>
            <w:rPr>
              <w:color w:val="auto"/>
              <w:sz w:val="36"/>
              <w:szCs w:val="36"/>
            </w:rPr>
          </w:pPr>
          <w:r>
            <w:rPr>
              <w:color w:val="auto"/>
              <w:sz w:val="36"/>
              <w:szCs w:val="36"/>
            </w:rPr>
            <w:fldChar w:fldCharType="begin"/>
          </w:r>
          <w:r>
            <w:rPr>
              <w:color w:val="auto"/>
              <w:sz w:val="36"/>
              <w:szCs w:val="36"/>
            </w:rPr>
            <w:instrText xml:space="preserve"> HYPERLINK \l _Toc29796_WPSOffice_Level1 </w:instrText>
          </w:r>
          <w:r>
            <w:rPr>
              <w:color w:val="auto"/>
              <w:sz w:val="36"/>
              <w:szCs w:val="36"/>
            </w:rPr>
            <w:fldChar w:fldCharType="separate"/>
          </w:r>
          <w:sdt>
            <w:sdtPr>
              <w:rPr>
                <w:rFonts w:ascii="Times New Roman" w:hAnsi="Times New Roman" w:eastAsia="黑体" w:cs="Times New Roman"/>
                <w:color w:val="auto"/>
                <w:kern w:val="2"/>
                <w:sz w:val="40"/>
                <w:szCs w:val="48"/>
                <w:lang w:val="en-US" w:eastAsia="zh-CN" w:bidi="ar-SA"/>
              </w:rPr>
              <w:id w:val="147481109"/>
              <w:placeholder>
                <w:docPart w:val="{b767e853-1574-4fbd-8db1-e321d7ddf138}"/>
              </w:placeholder>
              <w15:color w:val="509DF3"/>
            </w:sdtPr>
            <w:sdtEndPr>
              <w:rPr>
                <w:rFonts w:ascii="Times New Roman" w:hAnsi="Times New Roman" w:eastAsia="黑体" w:cs="Times New Roman"/>
                <w:color w:val="auto"/>
                <w:kern w:val="2"/>
                <w:sz w:val="40"/>
                <w:szCs w:val="48"/>
                <w:lang w:val="en-US" w:eastAsia="zh-CN" w:bidi="ar-SA"/>
              </w:rPr>
            </w:sdtEndPr>
            <w:sdtContent>
              <w:r>
                <w:rPr>
                  <w:rFonts w:hint="eastAsia" w:ascii="宋体" w:hAnsi="宋体" w:eastAsia="宋体" w:cs="Times New Roman"/>
                  <w:color w:val="auto"/>
                  <w:sz w:val="36"/>
                  <w:szCs w:val="36"/>
                </w:rPr>
                <w:t>第四章 合同条款及格式（仅供参考）</w:t>
              </w:r>
            </w:sdtContent>
          </w:sdt>
          <w:r>
            <w:rPr>
              <w:color w:val="auto"/>
              <w:sz w:val="36"/>
              <w:szCs w:val="36"/>
            </w:rPr>
            <w:tab/>
          </w:r>
          <w:bookmarkStart w:id="2" w:name="_Toc29796_WPSOffice_Level1Page"/>
          <w:r>
            <w:rPr>
              <w:color w:val="auto"/>
              <w:sz w:val="36"/>
              <w:szCs w:val="36"/>
            </w:rPr>
            <w:t>1</w:t>
          </w:r>
          <w:bookmarkEnd w:id="2"/>
          <w:r>
            <w:rPr>
              <w:rFonts w:hint="eastAsia"/>
              <w:color w:val="auto"/>
              <w:sz w:val="36"/>
              <w:szCs w:val="36"/>
              <w:lang w:val="en-US" w:eastAsia="zh-CN"/>
            </w:rPr>
            <w:t>6</w:t>
          </w:r>
          <w:r>
            <w:rPr>
              <w:color w:val="auto"/>
              <w:sz w:val="36"/>
              <w:szCs w:val="36"/>
            </w:rPr>
            <w:fldChar w:fldCharType="end"/>
          </w:r>
        </w:p>
        <w:p>
          <w:pPr>
            <w:pStyle w:val="67"/>
            <w:tabs>
              <w:tab w:val="right" w:leader="dot" w:pos="9000"/>
            </w:tabs>
            <w:rPr>
              <w:color w:val="auto"/>
              <w:sz w:val="36"/>
              <w:szCs w:val="36"/>
            </w:rPr>
          </w:pPr>
          <w:r>
            <w:rPr>
              <w:color w:val="auto"/>
              <w:sz w:val="36"/>
              <w:szCs w:val="36"/>
            </w:rPr>
            <w:fldChar w:fldCharType="begin"/>
          </w:r>
          <w:r>
            <w:rPr>
              <w:color w:val="auto"/>
              <w:sz w:val="36"/>
              <w:szCs w:val="36"/>
            </w:rPr>
            <w:instrText xml:space="preserve"> HYPERLINK \l _Toc32314_WPSOffice_Level1 </w:instrText>
          </w:r>
          <w:r>
            <w:rPr>
              <w:color w:val="auto"/>
              <w:sz w:val="36"/>
              <w:szCs w:val="36"/>
            </w:rPr>
            <w:fldChar w:fldCharType="separate"/>
          </w:r>
          <w:sdt>
            <w:sdtPr>
              <w:rPr>
                <w:rFonts w:ascii="Times New Roman" w:hAnsi="Times New Roman" w:eastAsia="黑体" w:cs="Times New Roman"/>
                <w:color w:val="auto"/>
                <w:kern w:val="2"/>
                <w:sz w:val="40"/>
                <w:szCs w:val="48"/>
                <w:lang w:val="en-US" w:eastAsia="zh-CN" w:bidi="ar-SA"/>
              </w:rPr>
              <w:id w:val="147481109"/>
              <w:placeholder>
                <w:docPart w:val="{39818ce7-31d8-4a28-9b12-5abf42927f17}"/>
              </w:placeholder>
              <w15:color w:val="509DF3"/>
            </w:sdtPr>
            <w:sdtEndPr>
              <w:rPr>
                <w:rFonts w:ascii="Times New Roman" w:hAnsi="Times New Roman" w:eastAsia="黑体" w:cs="Times New Roman"/>
                <w:color w:val="auto"/>
                <w:kern w:val="2"/>
                <w:sz w:val="40"/>
                <w:szCs w:val="48"/>
                <w:lang w:val="en-US" w:eastAsia="zh-CN" w:bidi="ar-SA"/>
              </w:rPr>
            </w:sdtEndPr>
            <w:sdtContent>
              <w:r>
                <w:rPr>
                  <w:rFonts w:hint="eastAsia" w:ascii="宋体" w:hAnsi="宋体" w:eastAsia="宋体" w:cs="Times New Roman"/>
                  <w:color w:val="auto"/>
                  <w:sz w:val="36"/>
                  <w:szCs w:val="36"/>
                </w:rPr>
                <w:t>第五章 竞争性磋商响应文件（格式）</w:t>
              </w:r>
            </w:sdtContent>
          </w:sdt>
          <w:r>
            <w:rPr>
              <w:color w:val="auto"/>
              <w:sz w:val="36"/>
              <w:szCs w:val="36"/>
            </w:rPr>
            <w:tab/>
          </w:r>
          <w:bookmarkStart w:id="3" w:name="_Toc32314_WPSOffice_Level1Page"/>
          <w:r>
            <w:rPr>
              <w:color w:val="auto"/>
              <w:sz w:val="36"/>
              <w:szCs w:val="36"/>
            </w:rPr>
            <w:t>2</w:t>
          </w:r>
          <w:bookmarkEnd w:id="3"/>
          <w:r>
            <w:rPr>
              <w:rFonts w:hint="eastAsia"/>
              <w:color w:val="auto"/>
              <w:sz w:val="36"/>
              <w:szCs w:val="36"/>
              <w:lang w:val="en-US" w:eastAsia="zh-CN"/>
            </w:rPr>
            <w:t>4</w:t>
          </w:r>
          <w:r>
            <w:rPr>
              <w:color w:val="auto"/>
              <w:sz w:val="36"/>
              <w:szCs w:val="36"/>
            </w:rPr>
            <w:fldChar w:fldCharType="end"/>
          </w:r>
        </w:p>
        <w:p>
          <w:pPr>
            <w:pStyle w:val="67"/>
            <w:tabs>
              <w:tab w:val="right" w:leader="dot" w:pos="9000"/>
            </w:tabs>
            <w:rPr>
              <w:rFonts w:hint="eastAsia" w:eastAsia="宋体"/>
              <w:color w:val="auto"/>
              <w:sz w:val="36"/>
              <w:szCs w:val="36"/>
              <w:lang w:val="en-US" w:eastAsia="zh-CN"/>
            </w:rPr>
          </w:pPr>
          <w:r>
            <w:rPr>
              <w:color w:val="auto"/>
              <w:sz w:val="36"/>
              <w:szCs w:val="36"/>
            </w:rPr>
            <w:fldChar w:fldCharType="begin"/>
          </w:r>
          <w:r>
            <w:rPr>
              <w:color w:val="auto"/>
              <w:sz w:val="36"/>
              <w:szCs w:val="36"/>
            </w:rPr>
            <w:instrText xml:space="preserve"> HYPERLINK \l _Toc28746_WPSOffice_Level1 </w:instrText>
          </w:r>
          <w:r>
            <w:rPr>
              <w:color w:val="auto"/>
              <w:sz w:val="36"/>
              <w:szCs w:val="36"/>
            </w:rPr>
            <w:fldChar w:fldCharType="separate"/>
          </w:r>
          <w:sdt>
            <w:sdtPr>
              <w:rPr>
                <w:rFonts w:ascii="Times New Roman" w:hAnsi="Times New Roman" w:eastAsia="黑体" w:cs="Times New Roman"/>
                <w:color w:val="auto"/>
                <w:kern w:val="2"/>
                <w:sz w:val="40"/>
                <w:szCs w:val="48"/>
                <w:lang w:val="en-US" w:eastAsia="zh-CN" w:bidi="ar-SA"/>
              </w:rPr>
              <w:id w:val="147481109"/>
              <w:placeholder>
                <w:docPart w:val="{cb2f0f3d-abb7-4c81-8b14-3c1d4c772558}"/>
              </w:placeholder>
              <w15:color w:val="509DF3"/>
            </w:sdtPr>
            <w:sdtEndPr>
              <w:rPr>
                <w:rFonts w:ascii="Times New Roman" w:hAnsi="Times New Roman" w:eastAsia="黑体" w:cs="Times New Roman"/>
                <w:color w:val="auto"/>
                <w:kern w:val="2"/>
                <w:sz w:val="40"/>
                <w:szCs w:val="48"/>
                <w:lang w:val="en-US" w:eastAsia="zh-CN" w:bidi="ar-SA"/>
              </w:rPr>
            </w:sdtEndPr>
            <w:sdtContent>
              <w:r>
                <w:rPr>
                  <w:rFonts w:hint="eastAsia" w:ascii="宋体" w:hAnsi="宋体" w:eastAsia="宋体" w:cs="Times New Roman"/>
                  <w:color w:val="auto"/>
                  <w:sz w:val="36"/>
                  <w:szCs w:val="36"/>
                </w:rPr>
                <w:t>第六章  评定标准</w:t>
              </w:r>
            </w:sdtContent>
          </w:sdt>
          <w:r>
            <w:rPr>
              <w:color w:val="auto"/>
              <w:sz w:val="36"/>
              <w:szCs w:val="36"/>
            </w:rPr>
            <w:tab/>
          </w:r>
          <w:r>
            <w:rPr>
              <w:rFonts w:hint="eastAsia"/>
              <w:color w:val="auto"/>
              <w:sz w:val="36"/>
              <w:szCs w:val="36"/>
              <w:lang w:val="en-US" w:eastAsia="zh-CN"/>
            </w:rPr>
            <w:t>4</w:t>
          </w:r>
          <w:r>
            <w:rPr>
              <w:color w:val="auto"/>
              <w:sz w:val="36"/>
              <w:szCs w:val="36"/>
            </w:rPr>
            <w:fldChar w:fldCharType="end"/>
          </w:r>
          <w:r>
            <w:rPr>
              <w:rFonts w:hint="eastAsia"/>
              <w:color w:val="auto"/>
              <w:sz w:val="36"/>
              <w:szCs w:val="36"/>
              <w:lang w:val="en-US" w:eastAsia="zh-CN"/>
            </w:rPr>
            <w:t>0</w:t>
          </w:r>
        </w:p>
        <w:p>
          <w:pPr>
            <w:pStyle w:val="67"/>
            <w:tabs>
              <w:tab w:val="right" w:leader="dot" w:pos="9000"/>
            </w:tabs>
            <w:rPr>
              <w:color w:val="auto"/>
              <w:sz w:val="36"/>
              <w:szCs w:val="36"/>
            </w:rPr>
          </w:pPr>
          <w:r>
            <w:rPr>
              <w:color w:val="auto"/>
              <w:sz w:val="36"/>
              <w:szCs w:val="36"/>
            </w:rPr>
            <w:fldChar w:fldCharType="begin"/>
          </w:r>
          <w:r>
            <w:rPr>
              <w:color w:val="auto"/>
              <w:sz w:val="36"/>
              <w:szCs w:val="36"/>
            </w:rPr>
            <w:instrText xml:space="preserve"> HYPERLINK \l _Toc23831_WPSOffice_Level1 </w:instrText>
          </w:r>
          <w:r>
            <w:rPr>
              <w:color w:val="auto"/>
              <w:sz w:val="36"/>
              <w:szCs w:val="36"/>
            </w:rPr>
            <w:fldChar w:fldCharType="separate"/>
          </w:r>
          <w:sdt>
            <w:sdtPr>
              <w:rPr>
                <w:rFonts w:ascii="Times New Roman" w:hAnsi="Times New Roman" w:eastAsia="黑体" w:cs="Times New Roman"/>
                <w:color w:val="auto"/>
                <w:kern w:val="2"/>
                <w:sz w:val="40"/>
                <w:szCs w:val="48"/>
                <w:lang w:val="en-US" w:eastAsia="zh-CN" w:bidi="ar-SA"/>
              </w:rPr>
              <w:id w:val="147481109"/>
              <w:placeholder>
                <w:docPart w:val="{385789ee-d407-43db-a463-40c39acedae4}"/>
              </w:placeholder>
              <w15:color w:val="509DF3"/>
            </w:sdtPr>
            <w:sdtEndPr>
              <w:rPr>
                <w:rFonts w:ascii="Times New Roman" w:hAnsi="Times New Roman" w:eastAsia="黑体" w:cs="Times New Roman"/>
                <w:color w:val="auto"/>
                <w:kern w:val="2"/>
                <w:sz w:val="40"/>
                <w:szCs w:val="48"/>
                <w:lang w:val="en-US" w:eastAsia="zh-CN" w:bidi="ar-SA"/>
              </w:rPr>
            </w:sdtEndPr>
            <w:sdtContent>
              <w:r>
                <w:rPr>
                  <w:rFonts w:hint="eastAsia" w:ascii="宋体" w:hAnsi="宋体" w:eastAsia="宋体" w:cs="Times New Roman"/>
                  <w:color w:val="auto"/>
                  <w:sz w:val="36"/>
                  <w:szCs w:val="36"/>
                </w:rPr>
                <w:t>第七章   工程量清单</w:t>
              </w:r>
            </w:sdtContent>
          </w:sdt>
          <w:r>
            <w:rPr>
              <w:color w:val="auto"/>
              <w:sz w:val="36"/>
              <w:szCs w:val="36"/>
            </w:rPr>
            <w:tab/>
          </w:r>
          <w:bookmarkStart w:id="4" w:name="_Toc23831_WPSOffice_Level1Page"/>
          <w:r>
            <w:rPr>
              <w:color w:val="auto"/>
              <w:sz w:val="36"/>
              <w:szCs w:val="36"/>
            </w:rPr>
            <w:t>4</w:t>
          </w:r>
          <w:bookmarkEnd w:id="4"/>
          <w:r>
            <w:rPr>
              <w:rFonts w:hint="eastAsia"/>
              <w:color w:val="auto"/>
              <w:sz w:val="36"/>
              <w:szCs w:val="36"/>
              <w:lang w:val="en-US" w:eastAsia="zh-CN"/>
            </w:rPr>
            <w:t>4</w:t>
          </w:r>
          <w:r>
            <w:rPr>
              <w:color w:val="auto"/>
              <w:sz w:val="36"/>
              <w:szCs w:val="36"/>
            </w:rPr>
            <w:fldChar w:fldCharType="end"/>
          </w:r>
          <w:bookmarkEnd w:id="0"/>
          <w:bookmarkStart w:id="191" w:name="_GoBack"/>
          <w:bookmarkEnd w:id="191"/>
        </w:p>
      </w:sdtContent>
    </w:sdt>
    <w:p>
      <w:pPr>
        <w:pStyle w:val="28"/>
        <w:tabs>
          <w:tab w:val="right" w:leader="dot" w:pos="9609"/>
        </w:tabs>
        <w:spacing w:before="0" w:line="720" w:lineRule="auto"/>
        <w:rPr>
          <w:rFonts w:hint="eastAsia" w:ascii="宋体" w:hAnsi="宋体" w:eastAsia="宋体" w:cs="宋体"/>
          <w:color w:val="auto"/>
          <w:sz w:val="24"/>
          <w:highlight w:val="none"/>
        </w:rPr>
        <w:sectPr>
          <w:footerReference r:id="rId3" w:type="default"/>
          <w:pgSz w:w="11906" w:h="16838"/>
          <w:pgMar w:top="1134" w:right="1466" w:bottom="1134" w:left="1440" w:header="720" w:footer="720" w:gutter="0"/>
          <w:pgNumType w:fmt="decimal" w:start="1"/>
          <w:cols w:space="720" w:num="1"/>
          <w:docGrid w:type="lines" w:linePitch="331" w:charSpace="0"/>
        </w:sectPr>
      </w:pPr>
    </w:p>
    <w:p>
      <w:pPr>
        <w:spacing w:line="480" w:lineRule="auto"/>
        <w:rPr>
          <w:rFonts w:ascii="宋体" w:hAnsi="宋体"/>
          <w:color w:val="auto"/>
          <w:sz w:val="24"/>
          <w:szCs w:val="24"/>
        </w:rPr>
      </w:pPr>
    </w:p>
    <w:p>
      <w:pPr>
        <w:widowControl/>
        <w:jc w:val="left"/>
        <w:rPr>
          <w:rFonts w:ascii="宋体" w:hAnsi="宋体" w:cs="宋体"/>
          <w:color w:val="auto"/>
        </w:rPr>
      </w:pPr>
    </w:p>
    <w:p>
      <w:pPr>
        <w:widowControl/>
        <w:jc w:val="left"/>
        <w:rPr>
          <w:rFonts w:ascii="宋体" w:hAnsi="宋体" w:cs="宋体"/>
          <w:color w:val="auto"/>
        </w:rPr>
      </w:pPr>
    </w:p>
    <w:p>
      <w:pPr>
        <w:widowControl/>
        <w:jc w:val="left"/>
        <w:rPr>
          <w:rFonts w:ascii="宋体" w:hAnsi="宋体" w:cs="宋体"/>
          <w:color w:val="auto"/>
        </w:rPr>
      </w:pPr>
    </w:p>
    <w:p>
      <w:pPr>
        <w:pStyle w:val="21"/>
        <w:rPr>
          <w:rFonts w:hAnsi="宋体"/>
          <w:color w:val="auto"/>
        </w:rPr>
      </w:pPr>
    </w:p>
    <w:p>
      <w:pPr>
        <w:pStyle w:val="21"/>
        <w:rPr>
          <w:rFonts w:hAnsi="宋体"/>
          <w:color w:val="auto"/>
        </w:rPr>
      </w:pPr>
    </w:p>
    <w:p>
      <w:pPr>
        <w:pStyle w:val="21"/>
        <w:rPr>
          <w:rFonts w:hAnsi="宋体"/>
          <w:color w:val="auto"/>
        </w:rPr>
      </w:pPr>
    </w:p>
    <w:p>
      <w:pPr>
        <w:pStyle w:val="21"/>
        <w:rPr>
          <w:rFonts w:hAnsi="宋体"/>
          <w:color w:val="auto"/>
        </w:rPr>
      </w:pPr>
    </w:p>
    <w:p>
      <w:pPr>
        <w:pStyle w:val="21"/>
        <w:rPr>
          <w:rFonts w:hAnsi="宋体"/>
          <w:color w:val="auto"/>
        </w:rPr>
      </w:pPr>
    </w:p>
    <w:p>
      <w:pPr>
        <w:pStyle w:val="21"/>
        <w:rPr>
          <w:rFonts w:hAnsi="宋体"/>
          <w:color w:val="auto"/>
        </w:rPr>
      </w:pPr>
    </w:p>
    <w:p>
      <w:pPr>
        <w:pStyle w:val="21"/>
        <w:rPr>
          <w:rFonts w:hAnsi="宋体"/>
          <w:color w:val="auto"/>
        </w:rPr>
      </w:pPr>
    </w:p>
    <w:p>
      <w:pPr>
        <w:pStyle w:val="21"/>
        <w:rPr>
          <w:rFonts w:hAnsi="宋体"/>
          <w:color w:val="auto"/>
        </w:rPr>
      </w:pPr>
    </w:p>
    <w:p>
      <w:pPr>
        <w:numPr>
          <w:ilvl w:val="0"/>
          <w:numId w:val="1"/>
        </w:numPr>
        <w:jc w:val="center"/>
        <w:outlineLvl w:val="0"/>
        <w:rPr>
          <w:rFonts w:ascii="宋体" w:hAnsi="宋体"/>
          <w:b/>
          <w:bCs/>
          <w:color w:val="auto"/>
          <w:sz w:val="44"/>
          <w:szCs w:val="44"/>
        </w:rPr>
      </w:pPr>
      <w:bookmarkStart w:id="5" w:name="_Toc27084_WPSOffice_Level1"/>
      <w:bookmarkEnd w:id="5"/>
      <w:bookmarkStart w:id="6" w:name="_Toc446927397"/>
      <w:bookmarkEnd w:id="6"/>
      <w:bookmarkStart w:id="7" w:name="_Toc24816_WPSOffice_Level1"/>
      <w:bookmarkStart w:id="8" w:name="_Toc26077_WPSOffice_Level1"/>
      <w:r>
        <w:rPr>
          <w:rFonts w:hint="eastAsia" w:ascii="宋体" w:hAnsi="宋体"/>
          <w:b/>
          <w:bCs/>
          <w:color w:val="auto"/>
          <w:sz w:val="44"/>
          <w:szCs w:val="44"/>
        </w:rPr>
        <w:t>竞争性磋商公告</w:t>
      </w:r>
      <w:bookmarkEnd w:id="7"/>
      <w:bookmarkEnd w:id="8"/>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spacing w:line="380" w:lineRule="exact"/>
        <w:jc w:val="both"/>
        <w:rPr>
          <w:rFonts w:ascii="宋体" w:hAnsi="宋体"/>
          <w:b/>
          <w:bCs/>
          <w:color w:val="auto"/>
          <w:sz w:val="30"/>
          <w:szCs w:val="30"/>
        </w:rPr>
      </w:pPr>
      <w:bookmarkStart w:id="9" w:name="_Toc446927398"/>
      <w:bookmarkEnd w:id="9"/>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b/>
          <w:bCs/>
          <w:color w:val="auto"/>
          <w:sz w:val="30"/>
          <w:szCs w:val="30"/>
          <w:lang w:eastAsia="zh-CN"/>
        </w:rPr>
      </w:pPr>
    </w:p>
    <w:p>
      <w:pPr>
        <w:pStyle w:val="2"/>
        <w:tabs>
          <w:tab w:val="left" w:pos="0"/>
        </w:tabs>
        <w:autoSpaceDE w:val="0"/>
        <w:autoSpaceDN w:val="0"/>
        <w:adjustRightInd w:val="0"/>
        <w:spacing w:before="0" w:after="0" w:line="360" w:lineRule="auto"/>
        <w:jc w:val="center"/>
        <w:rPr>
          <w:rFonts w:hint="eastAsia" w:ascii="宋体" w:hAnsi="宋体" w:eastAsia="宋体" w:cs="宋体"/>
          <w:color w:val="auto"/>
          <w:sz w:val="40"/>
          <w:szCs w:val="40"/>
        </w:rPr>
      </w:pPr>
      <w:bookmarkStart w:id="10" w:name="_Toc35393797"/>
      <w:bookmarkStart w:id="11" w:name="_Toc28359011"/>
      <w:r>
        <w:rPr>
          <w:rFonts w:hint="eastAsia" w:ascii="宋体" w:hAnsi="宋体" w:cs="宋体"/>
          <w:color w:val="auto"/>
          <w:sz w:val="40"/>
          <w:szCs w:val="40"/>
          <w:lang w:eastAsia="zh-CN"/>
        </w:rPr>
        <w:t>朝东镇梅菜加工基地建设项目</w:t>
      </w:r>
      <w:r>
        <w:rPr>
          <w:rFonts w:hint="eastAsia" w:ascii="宋体" w:hAnsi="宋体" w:eastAsia="宋体" w:cs="宋体"/>
          <w:color w:val="auto"/>
          <w:sz w:val="40"/>
          <w:szCs w:val="40"/>
        </w:rPr>
        <w:t>竞争性磋商公告</w:t>
      </w:r>
      <w:bookmarkEnd w:id="10"/>
      <w:bookmarkEnd w:id="11"/>
    </w:p>
    <w:p>
      <w:pPr>
        <w:rPr>
          <w:rFonts w:hint="eastAsia" w:ascii="宋体" w:hAnsi="宋体" w:eastAsia="宋体" w:cs="宋体"/>
          <w:color w:val="auto"/>
          <w:sz w:val="20"/>
          <w:szCs w:val="2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12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12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朝东镇梅菜加工基地建设项目</w:t>
      </w:r>
      <w:r>
        <w:rPr>
          <w:rFonts w:hint="eastAsia" w:ascii="宋体" w:hAnsi="宋体" w:eastAsia="宋体" w:cs="宋体"/>
          <w:color w:val="auto"/>
          <w:sz w:val="24"/>
          <w:szCs w:val="24"/>
        </w:rPr>
        <w:t xml:space="preserve"> 采购项目的潜在供应商应在</w:t>
      </w:r>
      <w:r>
        <w:rPr>
          <w:rFonts w:hint="eastAsia" w:ascii="宋体" w:hAnsi="宋体" w:eastAsia="宋体" w:cs="宋体"/>
          <w:color w:val="auto"/>
          <w:sz w:val="24"/>
          <w:szCs w:val="24"/>
          <w:u w:val="single"/>
        </w:rPr>
        <w:t>广西华盛工程咨询有限公司(富川县富阳镇城东开发区摩托车城附近)</w:t>
      </w:r>
      <w:r>
        <w:rPr>
          <w:rFonts w:hint="eastAsia" w:ascii="宋体" w:hAnsi="宋体" w:eastAsia="宋体" w:cs="宋体"/>
          <w:color w:val="auto"/>
          <w:sz w:val="24"/>
          <w:szCs w:val="24"/>
        </w:rPr>
        <w:t>获取采购文件，并于</w:t>
      </w:r>
      <w:r>
        <w:rPr>
          <w:rFonts w:hint="eastAsia" w:ascii="宋体" w:hAnsi="宋体" w:cs="宋体"/>
          <w:color w:val="auto"/>
          <w:sz w:val="24"/>
          <w:szCs w:val="24"/>
          <w:u w:val="single"/>
          <w:lang w:val="en-US" w:eastAsia="zh-CN"/>
        </w:rPr>
        <w:t>2020年8月12日15点30分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rPr>
          <w:rFonts w:hint="eastAsia" w:ascii="宋体" w:hAnsi="宋体" w:eastAsia="宋体" w:cs="宋体"/>
          <w:color w:val="auto"/>
          <w:sz w:val="20"/>
          <w:szCs w:val="20"/>
        </w:rPr>
      </w:pPr>
    </w:p>
    <w:p>
      <w:pPr>
        <w:pStyle w:val="3"/>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12" w:name="_Toc28359012"/>
      <w:bookmarkStart w:id="13" w:name="_Toc28359089"/>
      <w:bookmarkStart w:id="14" w:name="_Toc35393798"/>
      <w:bookmarkStart w:id="15" w:name="_Toc35393629"/>
      <w:r>
        <w:rPr>
          <w:rFonts w:hint="eastAsia" w:ascii="宋体" w:hAnsi="宋体" w:eastAsia="宋体" w:cs="宋体"/>
          <w:b w:val="0"/>
          <w:color w:val="auto"/>
          <w:sz w:val="24"/>
          <w:szCs w:val="24"/>
        </w:rPr>
        <w:t>一、项目基本情况</w:t>
      </w:r>
      <w:bookmarkEnd w:id="12"/>
      <w:bookmarkEnd w:id="13"/>
      <w:bookmarkEnd w:id="14"/>
      <w:bookmarkEnd w:id="15"/>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FCZC2020-C2-230107-GXHS</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朝东镇梅菜加工基地建设项目</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 xml:space="preserve">竞争性谈判 </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竞争性磋商 □询价</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cs="宋体"/>
          <w:color w:val="auto"/>
          <w:sz w:val="24"/>
          <w:szCs w:val="24"/>
          <w:lang w:eastAsia="zh-CN"/>
        </w:rPr>
        <w:t>叁佰肆拾伍万捌仟陆佰捌拾陆元柒角玖分（¥3458686.79元）</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r>
        <w:rPr>
          <w:rFonts w:hint="eastAsia" w:ascii="宋体" w:hAnsi="宋体" w:cs="宋体"/>
          <w:color w:val="auto"/>
          <w:sz w:val="24"/>
          <w:szCs w:val="24"/>
          <w:lang w:eastAsia="zh-CN"/>
        </w:rPr>
        <w:t>叁佰肆拾伍万捌仟陆佰捌拾陆元柒角玖分（¥3458686.79元）</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采购需求：</w:t>
      </w:r>
      <w:r>
        <w:rPr>
          <w:rFonts w:hint="eastAsia" w:ascii="宋体" w:hAnsi="宋体" w:cs="宋体"/>
          <w:color w:val="auto"/>
          <w:sz w:val="24"/>
          <w:szCs w:val="24"/>
          <w:lang w:eastAsia="zh-CN"/>
        </w:rPr>
        <w:t>朝东镇梅菜加工基地建设项目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，具体详见工程量清单及有关资料。</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合同履行期限：</w:t>
      </w:r>
      <w:r>
        <w:rPr>
          <w:rFonts w:hint="eastAsia" w:ascii="宋体" w:hAnsi="宋体" w:cs="宋体"/>
          <w:color w:val="auto"/>
          <w:sz w:val="24"/>
          <w:szCs w:val="24"/>
          <w:lang w:val="en-US" w:eastAsia="zh-CN"/>
        </w:rPr>
        <w:t>120</w:t>
      </w:r>
      <w:r>
        <w:rPr>
          <w:rFonts w:hint="eastAsia" w:ascii="宋体" w:hAnsi="宋体" w:eastAsia="宋体" w:cs="宋体"/>
          <w:color w:val="auto"/>
          <w:sz w:val="24"/>
          <w:szCs w:val="24"/>
        </w:rPr>
        <w:t>日历天</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接受联合体</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w:t>
      </w:r>
    </w:p>
    <w:p>
      <w:pPr>
        <w:pStyle w:val="3"/>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16" w:name="_Toc35393799"/>
      <w:bookmarkStart w:id="17" w:name="_Toc35393630"/>
      <w:bookmarkStart w:id="18" w:name="_Toc28359090"/>
      <w:bookmarkStart w:id="19" w:name="_Toc28359013"/>
      <w:r>
        <w:rPr>
          <w:rFonts w:hint="eastAsia" w:ascii="宋体" w:hAnsi="宋体" w:eastAsia="宋体" w:cs="宋体"/>
          <w:b w:val="0"/>
          <w:color w:val="auto"/>
          <w:sz w:val="24"/>
          <w:szCs w:val="24"/>
        </w:rPr>
        <w:t>二、申请人的资格要求：</w:t>
      </w:r>
      <w:bookmarkEnd w:id="16"/>
      <w:bookmarkEnd w:id="17"/>
      <w:bookmarkEnd w:id="18"/>
      <w:bookmarkEnd w:id="19"/>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bookmarkStart w:id="20" w:name="_Toc28359091"/>
      <w:bookmarkStart w:id="21" w:name="_Toc28359014"/>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u w:val="single"/>
        </w:rPr>
        <w:t>《政府采购促进中小企业发展暂行办法》（财库[2011]181号）、《关于政府采购支持监狱企业发展有关问题的通知》（财库[2014]68号）、《财政部 民政部 中国残疾人联合会关于促进残疾人就业政府采购政策的通知》（财库〔2017〕141号）等政府采购相关政策。</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u w:val="single"/>
        </w:rPr>
        <w:t>本次招标要求磋商人须具备国内独立法人资格，具备建筑工程施工总承包叁级以上（含叁级）资质并在人员、设备、资金等方面具有相应的施工能力</w:t>
      </w:r>
      <w:r>
        <w:rPr>
          <w:rFonts w:hint="eastAsia" w:ascii="宋体" w:hAnsi="宋体" w:eastAsia="宋体" w:cs="宋体"/>
          <w:color w:val="auto"/>
          <w:sz w:val="24"/>
          <w:szCs w:val="24"/>
          <w:u w:val="single"/>
          <w:lang w:eastAsia="zh-CN"/>
        </w:rPr>
        <w:t>；</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val="en-US" w:eastAsia="zh-CN"/>
        </w:rPr>
        <w:t>3.2</w:t>
      </w:r>
      <w:r>
        <w:rPr>
          <w:rFonts w:hint="eastAsia" w:ascii="宋体" w:hAnsi="宋体" w:eastAsia="宋体" w:cs="宋体"/>
          <w:color w:val="auto"/>
          <w:sz w:val="24"/>
          <w:szCs w:val="24"/>
          <w:u w:val="single"/>
          <w:lang w:eastAsia="zh-CN"/>
        </w:rPr>
        <w:t>拟担任本项目的项目经理还应具备贰级或以上注册建造师资格（建筑工程），并具有相关部门颁发的《安全生产考核合格证书》；</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val="en-US" w:eastAsia="zh-CN"/>
        </w:rPr>
        <w:t>3.3</w:t>
      </w:r>
      <w:r>
        <w:rPr>
          <w:rFonts w:hint="eastAsia" w:ascii="宋体" w:hAnsi="宋体" w:eastAsia="宋体" w:cs="宋体"/>
          <w:color w:val="auto"/>
          <w:sz w:val="24"/>
          <w:szCs w:val="24"/>
          <w:u w:val="single"/>
          <w:lang w:eastAsia="zh-CN"/>
        </w:rPr>
        <w:t>不接受被列入政府采购不良行为记录名单的供应商参加本项目的采购活动。根据最高人民法院等9部门《关于在招标磋商活动中对失信被执行人实施联合惩戒的通知》（法〔2016〕285号）规定，磋商人不得为失信被执行人；</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iCs/>
          <w:color w:val="auto"/>
          <w:sz w:val="24"/>
          <w:szCs w:val="24"/>
          <w:u w:val="single"/>
          <w:lang w:eastAsia="zh-CN"/>
        </w:rPr>
      </w:pPr>
      <w:r>
        <w:rPr>
          <w:rFonts w:hint="eastAsia" w:ascii="宋体" w:hAnsi="宋体" w:eastAsia="宋体" w:cs="宋体"/>
          <w:color w:val="auto"/>
          <w:sz w:val="24"/>
          <w:szCs w:val="24"/>
          <w:u w:val="single"/>
          <w:lang w:val="en-US" w:eastAsia="zh-CN"/>
        </w:rPr>
        <w:t>3.4</w:t>
      </w:r>
      <w:r>
        <w:rPr>
          <w:rFonts w:hint="eastAsia" w:ascii="宋体" w:hAnsi="宋体" w:eastAsia="宋体" w:cs="宋体"/>
          <w:color w:val="auto"/>
          <w:sz w:val="24"/>
          <w:szCs w:val="24"/>
          <w:u w:val="single"/>
          <w:lang w:eastAsia="zh-CN"/>
        </w:rPr>
        <w:t>本次招标不接受联合体磋商。</w:t>
      </w:r>
    </w:p>
    <w:p>
      <w:pPr>
        <w:pStyle w:val="3"/>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22" w:name="_Toc35393800"/>
      <w:bookmarkStart w:id="23" w:name="_Toc35393631"/>
      <w:r>
        <w:rPr>
          <w:rFonts w:hint="eastAsia" w:ascii="宋体" w:hAnsi="宋体" w:eastAsia="宋体" w:cs="宋体"/>
          <w:b w:val="0"/>
          <w:color w:val="auto"/>
          <w:sz w:val="24"/>
          <w:szCs w:val="24"/>
        </w:rPr>
        <w:t>三、获取</w:t>
      </w:r>
      <w:r>
        <w:rPr>
          <w:rFonts w:hint="eastAsia" w:ascii="宋体" w:hAnsi="宋体" w:eastAsia="宋体" w:cs="宋体"/>
          <w:b w:val="0"/>
          <w:color w:val="auto"/>
          <w:sz w:val="24"/>
          <w:szCs w:val="24"/>
          <w:lang w:eastAsia="zh-CN"/>
        </w:rPr>
        <w:t>采购</w:t>
      </w:r>
      <w:r>
        <w:rPr>
          <w:rFonts w:hint="eastAsia" w:ascii="宋体" w:hAnsi="宋体" w:eastAsia="宋体" w:cs="宋体"/>
          <w:b w:val="0"/>
          <w:color w:val="auto"/>
          <w:sz w:val="24"/>
          <w:szCs w:val="24"/>
        </w:rPr>
        <w:t>文件</w:t>
      </w:r>
      <w:bookmarkEnd w:id="20"/>
      <w:bookmarkEnd w:id="21"/>
      <w:bookmarkEnd w:id="22"/>
      <w:bookmarkEnd w:id="23"/>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2020年7月31日</w:t>
      </w:r>
      <w:r>
        <w:rPr>
          <w:rFonts w:hint="eastAsia" w:ascii="宋体" w:hAnsi="宋体" w:eastAsia="宋体" w:cs="宋体"/>
          <w:color w:val="auto"/>
          <w:sz w:val="24"/>
          <w:szCs w:val="24"/>
        </w:rPr>
        <w:t>至</w:t>
      </w:r>
      <w:r>
        <w:rPr>
          <w:rFonts w:hint="eastAsia" w:ascii="宋体" w:hAnsi="宋体" w:cs="宋体"/>
          <w:color w:val="auto"/>
          <w:sz w:val="24"/>
          <w:szCs w:val="24"/>
          <w:u w:val="single"/>
          <w:lang w:val="en-US" w:eastAsia="zh-CN"/>
        </w:rPr>
        <w:t>2020年8月7日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single"/>
          <w:lang w:val="en-US" w:eastAsia="zh-CN"/>
        </w:rPr>
        <w:t>8:30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11:30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lang w:val="en-US" w:eastAsia="zh-CN"/>
        </w:rPr>
        <w:t>15:00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17:00</w:t>
      </w:r>
      <w:r>
        <w:rPr>
          <w:rFonts w:hint="eastAsia" w:ascii="宋体" w:hAnsi="宋体" w:eastAsia="宋体" w:cs="宋体"/>
          <w:color w:val="auto"/>
          <w:sz w:val="24"/>
          <w:szCs w:val="24"/>
        </w:rPr>
        <w:t>（北京时间，法定节假日除外 ）</w:t>
      </w:r>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地点：广西华盛工程咨询有限公司(富川县富阳镇城东开发区摩托车城附近)</w:t>
      </w:r>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方式：由磋商单位法定代表人或委托代理人携带本人身份证原件及以下资料到广西华盛工程咨询有限公司(富川县富阳镇城东开发区摩托车城附近)报名：①法人授权委托书原件（委托时须提供）；②营业执照副本、企业资质证书副本、安全生产许可证副本、法人身份证(复印件)；③拟投入本工程的施工员、安全员、质检员、材料员上岗证或执业证、拟投入本项目项目经理的注册建造师证书、安全考核合格证书、身份证及安全员安全考核合格证书（复印件）及近3个月依法缴纳社会保险证明材料。（以上所有资料要求加盖竞标单位公章，报名后留下存档，并同时提供上述资料原件核查，复印件须与原件相一致，以上资料不齐全者，不予报名）</w:t>
      </w:r>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售价：300元/套（不含图纸费），售后不退，不提供电子版。</w:t>
      </w:r>
    </w:p>
    <w:p>
      <w:pPr>
        <w:pStyle w:val="3"/>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24" w:name="_Toc28359015"/>
      <w:bookmarkStart w:id="25" w:name="_Toc28359092"/>
      <w:bookmarkStart w:id="26" w:name="_Toc35393632"/>
      <w:bookmarkStart w:id="27" w:name="_Toc35393801"/>
      <w:r>
        <w:rPr>
          <w:rFonts w:hint="eastAsia" w:ascii="宋体" w:hAnsi="宋体" w:eastAsia="宋体" w:cs="宋体"/>
          <w:b w:val="0"/>
          <w:color w:val="auto"/>
          <w:sz w:val="24"/>
          <w:szCs w:val="24"/>
        </w:rPr>
        <w:t>四、响应文件提交</w:t>
      </w:r>
      <w:bookmarkEnd w:id="24"/>
      <w:bookmarkEnd w:id="25"/>
      <w:bookmarkEnd w:id="26"/>
      <w:bookmarkEnd w:id="27"/>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截止时间：</w:t>
      </w:r>
      <w:r>
        <w:rPr>
          <w:rFonts w:hint="eastAsia" w:ascii="宋体" w:hAnsi="宋体" w:cs="宋体"/>
          <w:color w:val="auto"/>
          <w:sz w:val="24"/>
          <w:szCs w:val="24"/>
          <w:u w:val="single"/>
          <w:lang w:val="en-US" w:eastAsia="zh-CN"/>
        </w:rPr>
        <w:t>2020年8月12日15点30分</w:t>
      </w:r>
      <w:r>
        <w:rPr>
          <w:rFonts w:hint="eastAsia" w:ascii="宋体" w:hAnsi="宋体" w:eastAsia="宋体" w:cs="宋体"/>
          <w:bCs/>
          <w:color w:val="auto"/>
          <w:sz w:val="24"/>
          <w:szCs w:val="24"/>
        </w:rPr>
        <w:t>（北京时间）</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color w:val="auto"/>
          <w:sz w:val="24"/>
          <w:szCs w:val="24"/>
        </w:rPr>
        <w:t>地点：富川县建筑工程交易中心 (富川县富阳镇凤凰路85号二楼)</w:t>
      </w:r>
    </w:p>
    <w:p>
      <w:pPr>
        <w:pStyle w:val="3"/>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28" w:name="_Toc28359093"/>
      <w:bookmarkStart w:id="29" w:name="_Toc35393802"/>
      <w:bookmarkStart w:id="30" w:name="_Toc28359016"/>
      <w:bookmarkStart w:id="31" w:name="_Toc35393633"/>
      <w:r>
        <w:rPr>
          <w:rFonts w:hint="eastAsia" w:ascii="宋体" w:hAnsi="宋体" w:eastAsia="宋体" w:cs="宋体"/>
          <w:b w:val="0"/>
          <w:color w:val="auto"/>
          <w:sz w:val="24"/>
          <w:szCs w:val="24"/>
        </w:rPr>
        <w:t>五、开启</w:t>
      </w:r>
      <w:bookmarkEnd w:id="28"/>
      <w:bookmarkEnd w:id="29"/>
      <w:bookmarkEnd w:id="30"/>
      <w:bookmarkEnd w:id="31"/>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2020年8月12日15点30分</w:t>
      </w:r>
      <w:r>
        <w:rPr>
          <w:rFonts w:hint="eastAsia" w:ascii="宋体" w:hAnsi="宋体" w:eastAsia="宋体" w:cs="宋体"/>
          <w:bCs/>
          <w:color w:val="auto"/>
          <w:sz w:val="24"/>
          <w:szCs w:val="24"/>
        </w:rPr>
        <w:t>（北京时间）</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color w:val="auto"/>
          <w:sz w:val="24"/>
          <w:szCs w:val="24"/>
        </w:rPr>
        <w:t>地点：富川县建筑工程交易中心 (富川县富阳镇凤凰路85号二楼)</w:t>
      </w:r>
    </w:p>
    <w:p>
      <w:pPr>
        <w:pStyle w:val="3"/>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32" w:name="_Toc35393634"/>
      <w:bookmarkStart w:id="33" w:name="_Toc28359017"/>
      <w:bookmarkStart w:id="34" w:name="_Toc35393803"/>
      <w:bookmarkStart w:id="35" w:name="_Toc28359094"/>
      <w:r>
        <w:rPr>
          <w:rFonts w:hint="eastAsia" w:ascii="宋体" w:hAnsi="宋体" w:eastAsia="宋体" w:cs="宋体"/>
          <w:b w:val="0"/>
          <w:color w:val="auto"/>
          <w:sz w:val="24"/>
          <w:szCs w:val="24"/>
        </w:rPr>
        <w:t>六、公告期限</w:t>
      </w:r>
      <w:bookmarkEnd w:id="32"/>
      <w:bookmarkEnd w:id="33"/>
      <w:bookmarkEnd w:id="34"/>
      <w:bookmarkEnd w:id="35"/>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个工作日。</w:t>
      </w:r>
    </w:p>
    <w:p>
      <w:pPr>
        <w:pStyle w:val="3"/>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36" w:name="_Toc35393635"/>
      <w:bookmarkStart w:id="37" w:name="_Toc35393804"/>
      <w:r>
        <w:rPr>
          <w:rFonts w:hint="eastAsia" w:ascii="宋体" w:hAnsi="宋体" w:eastAsia="宋体" w:cs="宋体"/>
          <w:b w:val="0"/>
          <w:color w:val="auto"/>
          <w:sz w:val="24"/>
          <w:szCs w:val="24"/>
        </w:rPr>
        <w:t>七、其他补充事宜</w:t>
      </w:r>
      <w:bookmarkEnd w:id="36"/>
      <w:bookmarkEnd w:id="37"/>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本公告同时在</w:t>
      </w:r>
      <w:r>
        <w:rPr>
          <w:rFonts w:hint="eastAsia" w:ascii="宋体" w:hAnsi="宋体" w:eastAsia="宋体" w:cs="宋体"/>
          <w:color w:val="auto"/>
          <w:kern w:val="0"/>
          <w:sz w:val="24"/>
          <w:szCs w:val="24"/>
        </w:rPr>
        <w:t>中国政府采购网、广西壮族自治区政府采购网、中国采购与招标网</w:t>
      </w:r>
      <w:r>
        <w:rPr>
          <w:rFonts w:hint="eastAsia" w:ascii="宋体" w:hAnsi="宋体" w:eastAsia="宋体" w:cs="宋体"/>
          <w:color w:val="auto"/>
          <w:kern w:val="0"/>
          <w:sz w:val="24"/>
          <w:szCs w:val="24"/>
          <w:lang w:eastAsia="zh-CN"/>
        </w:rPr>
        <w:t>发布</w:t>
      </w:r>
      <w:r>
        <w:rPr>
          <w:rFonts w:hint="eastAsia" w:ascii="宋体" w:hAnsi="宋体" w:eastAsia="宋体" w:cs="宋体"/>
          <w:color w:val="auto"/>
          <w:kern w:val="0"/>
          <w:sz w:val="24"/>
          <w:szCs w:val="24"/>
        </w:rPr>
        <w:t>。</w:t>
      </w:r>
    </w:p>
    <w:p>
      <w:pPr>
        <w:pStyle w:val="3"/>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38" w:name="_Toc28359095"/>
      <w:bookmarkStart w:id="39" w:name="_Toc35393636"/>
      <w:bookmarkStart w:id="40" w:name="_Toc28359018"/>
      <w:bookmarkStart w:id="41" w:name="_Toc35393805"/>
      <w:r>
        <w:rPr>
          <w:rFonts w:hint="eastAsia" w:ascii="宋体" w:hAnsi="宋体" w:eastAsia="宋体" w:cs="宋体"/>
          <w:b w:val="0"/>
          <w:color w:val="auto"/>
          <w:sz w:val="24"/>
          <w:szCs w:val="24"/>
        </w:rPr>
        <w:t>八、凡对本次采购提出询问，请按以下方式联系。</w:t>
      </w:r>
      <w:bookmarkEnd w:id="38"/>
      <w:bookmarkEnd w:id="39"/>
      <w:bookmarkEnd w:id="40"/>
      <w:bookmarkEnd w:id="41"/>
    </w:p>
    <w:p>
      <w:pPr>
        <w:pStyle w:val="3"/>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color w:val="auto"/>
          <w:sz w:val="24"/>
          <w:szCs w:val="24"/>
        </w:rPr>
      </w:pPr>
      <w:bookmarkStart w:id="42" w:name="_Toc28359096"/>
      <w:bookmarkStart w:id="43" w:name="_Toc28359019"/>
      <w:bookmarkStart w:id="44" w:name="_Toc35393637"/>
      <w:bookmarkStart w:id="45" w:name="_Toc35393806"/>
      <w:r>
        <w:rPr>
          <w:rFonts w:hint="eastAsia" w:ascii="宋体" w:hAnsi="宋体" w:eastAsia="宋体" w:cs="宋体"/>
          <w:b w:val="0"/>
          <w:color w:val="auto"/>
          <w:sz w:val="24"/>
          <w:szCs w:val="24"/>
        </w:rPr>
        <w:t>1.采购人信息</w:t>
      </w:r>
      <w:bookmarkEnd w:id="42"/>
      <w:bookmarkEnd w:id="43"/>
      <w:bookmarkEnd w:id="44"/>
      <w:bookmarkEnd w:id="45"/>
    </w:p>
    <w:p>
      <w:pPr>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cs="宋体"/>
          <w:color w:val="auto"/>
          <w:sz w:val="24"/>
          <w:szCs w:val="24"/>
          <w:u w:val="single"/>
          <w:lang w:eastAsia="zh-CN"/>
        </w:rPr>
        <w:t>富川瑶族自治县朝东镇人民政府</w:t>
      </w:r>
    </w:p>
    <w:p>
      <w:pPr>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cs="宋体"/>
          <w:color w:val="auto"/>
          <w:sz w:val="24"/>
          <w:szCs w:val="24"/>
          <w:u w:val="single"/>
          <w:lang w:eastAsia="zh-CN"/>
        </w:rPr>
        <w:t>富川瑶族自治县朝东镇人民政府</w:t>
      </w:r>
    </w:p>
    <w:p>
      <w:pPr>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cs="宋体"/>
          <w:color w:val="auto"/>
          <w:sz w:val="24"/>
          <w:szCs w:val="24"/>
          <w:u w:val="single"/>
          <w:lang w:eastAsia="zh-CN"/>
        </w:rPr>
        <w:t>周</w:t>
      </w:r>
      <w:r>
        <w:rPr>
          <w:rFonts w:hint="eastAsia" w:ascii="宋体" w:hAnsi="宋体" w:eastAsia="宋体" w:cs="宋体"/>
          <w:color w:val="auto"/>
          <w:sz w:val="24"/>
          <w:szCs w:val="24"/>
          <w:u w:val="single"/>
        </w:rPr>
        <w:t>工</w:t>
      </w:r>
      <w:r>
        <w:rPr>
          <w:rFonts w:hint="eastAsia" w:ascii="宋体" w:hAnsi="宋体" w:eastAsia="宋体" w:cs="宋体"/>
          <w:color w:val="auto"/>
          <w:sz w:val="24"/>
          <w:szCs w:val="24"/>
          <w:u w:val="single"/>
          <w:lang w:val="en-US" w:eastAsia="zh-CN"/>
        </w:rPr>
        <w:t xml:space="preserve"> / </w:t>
      </w:r>
      <w:r>
        <w:rPr>
          <w:rFonts w:hint="eastAsia" w:ascii="宋体" w:hAnsi="宋体" w:cs="宋体"/>
          <w:color w:val="auto"/>
          <w:sz w:val="24"/>
          <w:szCs w:val="24"/>
          <w:u w:val="single"/>
          <w:lang w:val="en-US" w:eastAsia="zh-CN"/>
        </w:rPr>
        <w:t>0774-7996018</w:t>
      </w:r>
    </w:p>
    <w:p>
      <w:pPr>
        <w:pStyle w:val="3"/>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color w:val="auto"/>
          <w:sz w:val="24"/>
          <w:szCs w:val="24"/>
        </w:rPr>
      </w:pPr>
      <w:bookmarkStart w:id="46" w:name="_Toc28359097"/>
      <w:bookmarkStart w:id="47" w:name="_Toc28359020"/>
      <w:bookmarkStart w:id="48" w:name="_Toc35393638"/>
      <w:bookmarkStart w:id="49" w:name="_Toc35393807"/>
      <w:r>
        <w:rPr>
          <w:rFonts w:hint="eastAsia" w:ascii="宋体" w:hAnsi="宋体" w:eastAsia="宋体" w:cs="宋体"/>
          <w:b w:val="0"/>
          <w:color w:val="auto"/>
          <w:sz w:val="24"/>
          <w:szCs w:val="24"/>
        </w:rPr>
        <w:t>2.采购代理机构信息</w:t>
      </w:r>
      <w:bookmarkEnd w:id="46"/>
      <w:bookmarkEnd w:id="47"/>
      <w:bookmarkEnd w:id="48"/>
      <w:bookmarkEnd w:id="49"/>
    </w:p>
    <w:p>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广西华盛工程咨询有限公司</w:t>
      </w:r>
    </w:p>
    <w:p>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富川县富阳镇城东开发区摩托车城附近</w:t>
      </w:r>
    </w:p>
    <w:p>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 xml:space="preserve">毛工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0774-7886708</w:t>
      </w:r>
    </w:p>
    <w:p>
      <w:pPr>
        <w:pStyle w:val="3"/>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color w:val="auto"/>
          <w:sz w:val="24"/>
          <w:szCs w:val="24"/>
        </w:rPr>
      </w:pPr>
      <w:bookmarkStart w:id="50" w:name="_Toc28359021"/>
      <w:bookmarkStart w:id="51" w:name="_Toc28359098"/>
      <w:bookmarkStart w:id="52" w:name="_Toc35393639"/>
      <w:bookmarkStart w:id="53" w:name="_Toc35393808"/>
      <w:r>
        <w:rPr>
          <w:rFonts w:hint="eastAsia" w:ascii="宋体" w:hAnsi="宋体" w:eastAsia="宋体" w:cs="宋体"/>
          <w:b w:val="0"/>
          <w:color w:val="auto"/>
          <w:sz w:val="24"/>
          <w:szCs w:val="24"/>
        </w:rPr>
        <w:t>3.项目联系方式</w:t>
      </w:r>
      <w:bookmarkEnd w:id="50"/>
      <w:bookmarkEnd w:id="51"/>
      <w:bookmarkEnd w:id="52"/>
      <w:bookmarkEnd w:id="53"/>
    </w:p>
    <w:p>
      <w:pPr>
        <w:pStyle w:val="21"/>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u w:val="single"/>
          <w:lang w:eastAsia="zh-CN"/>
        </w:rPr>
        <w:t>毛工</w:t>
      </w:r>
    </w:p>
    <w:p>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0774-7886708</w:t>
      </w:r>
    </w:p>
    <w:p>
      <w:pPr>
        <w:keepNext w:val="0"/>
        <w:keepLines w:val="0"/>
        <w:pageBreakBefore w:val="0"/>
        <w:kinsoku/>
        <w:wordWrap/>
        <w:overflowPunct/>
        <w:topLinePunct w:val="0"/>
        <w:bidi w:val="0"/>
        <w:spacing w:line="440" w:lineRule="exact"/>
        <w:textAlignment w:val="auto"/>
        <w:outlineLvl w:val="9"/>
        <w:rPr>
          <w:rFonts w:hint="eastAsia" w:ascii="宋体" w:hAnsi="宋体" w:eastAsia="宋体" w:cs="宋体"/>
          <w:color w:val="auto"/>
          <w:sz w:val="20"/>
          <w:szCs w:val="20"/>
          <w:lang w:eastAsia="zh-CN"/>
        </w:rPr>
      </w:pP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lang w:eastAsia="zh-CN"/>
        </w:rPr>
      </w:pP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lang w:eastAsia="zh-CN"/>
        </w:rPr>
      </w:pP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lang w:eastAsia="zh-CN"/>
        </w:rPr>
      </w:pP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采购代理机构：广西华盛工程咨询有限公司</w:t>
      </w:r>
    </w:p>
    <w:p>
      <w:pPr>
        <w:pageBreakBefore w:val="0"/>
        <w:widowControl w:val="0"/>
        <w:kinsoku/>
        <w:wordWrap/>
        <w:overflowPunct/>
        <w:topLinePunct w:val="0"/>
        <w:autoSpaceDE/>
        <w:autoSpaceDN/>
        <w:bidi w:val="0"/>
        <w:adjustRightInd/>
        <w:snapToGrid/>
        <w:spacing w:line="440" w:lineRule="exact"/>
        <w:ind w:left="5638" w:leftChars="399" w:hanging="4800" w:hangingChars="20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2020年7月</w:t>
      </w:r>
      <w:r>
        <w:rPr>
          <w:rFonts w:hint="eastAsia" w:ascii="宋体" w:hAnsi="宋体" w:cs="宋体"/>
          <w:color w:val="auto"/>
          <w:sz w:val="24"/>
          <w:szCs w:val="24"/>
          <w:lang w:val="en-US" w:eastAsia="zh-CN"/>
        </w:rPr>
        <w:t>31</w:t>
      </w:r>
      <w:r>
        <w:rPr>
          <w:rFonts w:hint="eastAsia" w:ascii="宋体" w:hAnsi="宋体" w:cs="宋体"/>
          <w:color w:val="auto"/>
          <w:sz w:val="24"/>
          <w:szCs w:val="24"/>
          <w:lang w:eastAsia="zh-CN"/>
        </w:rPr>
        <w:t>日</w:t>
      </w:r>
    </w:p>
    <w:p>
      <w:pPr>
        <w:keepNext w:val="0"/>
        <w:keepLines w:val="0"/>
        <w:pageBreakBefore w:val="0"/>
        <w:kinsoku/>
        <w:wordWrap/>
        <w:overflowPunct/>
        <w:topLinePunct w:val="0"/>
        <w:bidi w:val="0"/>
        <w:spacing w:line="440" w:lineRule="exact"/>
        <w:textAlignment w:val="auto"/>
        <w:outlineLvl w:val="9"/>
        <w:rPr>
          <w:color w:val="auto"/>
        </w:rPr>
      </w:pPr>
    </w:p>
    <w:p>
      <w:pPr>
        <w:spacing w:line="380" w:lineRule="exact"/>
        <w:ind w:right="-1" w:firstLine="480"/>
        <w:jc w:val="right"/>
        <w:rPr>
          <w:rFonts w:hint="eastAsia" w:ascii="宋体" w:hAnsi="宋体" w:eastAsia="宋体"/>
          <w:color w:val="auto"/>
          <w:lang w:eastAsia="zh-CN"/>
        </w:rPr>
      </w:pPr>
    </w:p>
    <w:p>
      <w:pPr>
        <w:spacing w:line="380" w:lineRule="exact"/>
        <w:ind w:right="-1" w:firstLine="480"/>
        <w:jc w:val="right"/>
        <w:rPr>
          <w:rFonts w:hint="eastAsia" w:ascii="宋体" w:hAnsi="宋体" w:eastAsia="宋体"/>
          <w:color w:val="auto"/>
          <w:lang w:eastAsia="zh-CN"/>
        </w:rPr>
      </w:pPr>
    </w:p>
    <w:p>
      <w:pPr>
        <w:spacing w:line="380" w:lineRule="exact"/>
        <w:ind w:right="-1" w:firstLine="480"/>
        <w:jc w:val="right"/>
        <w:rPr>
          <w:rFonts w:hint="eastAsia" w:ascii="宋体" w:hAnsi="宋体" w:eastAsia="宋体"/>
          <w:color w:val="auto"/>
          <w:lang w:eastAsia="zh-CN"/>
        </w:rPr>
      </w:pPr>
    </w:p>
    <w:p>
      <w:pPr>
        <w:rPr>
          <w:rFonts w:hint="eastAsia" w:ascii="宋体" w:hAnsi="宋体" w:eastAsia="宋体"/>
          <w:color w:val="auto"/>
          <w:lang w:eastAsia="zh-CN"/>
        </w:rPr>
      </w:pPr>
      <w:r>
        <w:rPr>
          <w:rFonts w:hint="eastAsia" w:ascii="宋体" w:hAnsi="宋体" w:eastAsia="宋体"/>
          <w:color w:val="auto"/>
          <w:lang w:eastAsia="zh-CN"/>
        </w:rPr>
        <w:br w:type="page"/>
      </w:r>
    </w:p>
    <w:p>
      <w:pPr>
        <w:numPr>
          <w:ilvl w:val="0"/>
          <w:numId w:val="1"/>
        </w:numPr>
        <w:jc w:val="center"/>
        <w:outlineLvl w:val="0"/>
        <w:rPr>
          <w:rFonts w:ascii="宋体" w:hAnsi="宋体"/>
          <w:b/>
          <w:bCs/>
          <w:color w:val="auto"/>
          <w:sz w:val="44"/>
          <w:szCs w:val="44"/>
        </w:rPr>
      </w:pPr>
      <w:bookmarkStart w:id="54" w:name="_Toc13285_WPSOffice_Level1"/>
      <w:bookmarkStart w:id="55" w:name="_Toc8299_WPSOffice_Level1"/>
      <w:bookmarkStart w:id="56" w:name="_Toc4410_WPSOffice_Level1"/>
      <w:r>
        <w:rPr>
          <w:rFonts w:hint="eastAsia" w:ascii="宋体" w:hAnsi="宋体"/>
          <w:b/>
          <w:bCs/>
          <w:color w:val="auto"/>
          <w:sz w:val="44"/>
          <w:szCs w:val="44"/>
        </w:rPr>
        <w:t>磋商人须知及前附表</w:t>
      </w:r>
      <w:bookmarkEnd w:id="54"/>
      <w:bookmarkEnd w:id="55"/>
      <w:bookmarkEnd w:id="56"/>
    </w:p>
    <w:p>
      <w:pPr>
        <w:pStyle w:val="21"/>
        <w:spacing w:line="360" w:lineRule="exact"/>
        <w:jc w:val="center"/>
        <w:rPr>
          <w:rFonts w:hAnsi="宋体"/>
          <w:b/>
          <w:bCs/>
          <w:color w:val="auto"/>
          <w:sz w:val="32"/>
          <w:szCs w:val="32"/>
        </w:rPr>
      </w:pPr>
      <w:bookmarkStart w:id="57" w:name="_Toc446927399"/>
      <w:bookmarkEnd w:id="57"/>
      <w:r>
        <w:rPr>
          <w:rFonts w:hint="eastAsia" w:hAnsi="宋体"/>
          <w:b/>
          <w:bCs/>
          <w:color w:val="auto"/>
          <w:sz w:val="32"/>
          <w:szCs w:val="32"/>
        </w:rPr>
        <w:t>磋商人须知前附表</w:t>
      </w:r>
    </w:p>
    <w:tbl>
      <w:tblPr>
        <w:tblStyle w:val="39"/>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14"/>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b/>
                <w:bCs/>
                <w:color w:val="auto"/>
              </w:rPr>
            </w:pPr>
            <w:r>
              <w:rPr>
                <w:rFonts w:hint="eastAsia" w:hAnsi="宋体"/>
                <w:b/>
                <w:bCs/>
                <w:color w:val="auto"/>
              </w:rPr>
              <w:t>序号</w:t>
            </w:r>
          </w:p>
        </w:tc>
        <w:tc>
          <w:tcPr>
            <w:tcW w:w="914"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hAnsi="宋体"/>
                <w:b/>
                <w:bCs/>
                <w:color w:val="auto"/>
              </w:rPr>
            </w:pPr>
            <w:r>
              <w:rPr>
                <w:rFonts w:hint="eastAsia" w:hAnsi="宋体"/>
                <w:b/>
                <w:bCs/>
                <w:color w:val="auto"/>
              </w:rPr>
              <w:t>条款号</w:t>
            </w:r>
          </w:p>
        </w:tc>
        <w:tc>
          <w:tcPr>
            <w:tcW w:w="8005"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hAnsi="宋体"/>
                <w:b/>
                <w:bCs/>
                <w:color w:val="auto"/>
              </w:rPr>
            </w:pPr>
            <w:r>
              <w:rPr>
                <w:rFonts w:hint="eastAsia" w:hAnsi="宋体"/>
                <w:b/>
                <w:bCs/>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1</w:t>
            </w:r>
          </w:p>
        </w:tc>
        <w:tc>
          <w:tcPr>
            <w:tcW w:w="914"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1.1</w:t>
            </w:r>
          </w:p>
          <w:p>
            <w:pPr>
              <w:pStyle w:val="64"/>
              <w:spacing w:line="360" w:lineRule="auto"/>
              <w:jc w:val="center"/>
              <w:rPr>
                <w:rFonts w:hAnsi="宋体"/>
                <w:color w:val="auto"/>
              </w:rPr>
            </w:pPr>
          </w:p>
        </w:tc>
        <w:tc>
          <w:tcPr>
            <w:tcW w:w="80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auto"/>
                <w:lang w:eastAsia="zh-CN"/>
              </w:rPr>
            </w:pPr>
            <w:r>
              <w:rPr>
                <w:rFonts w:hint="eastAsia" w:ascii="宋体" w:hAnsi="宋体"/>
                <w:color w:val="auto"/>
              </w:rPr>
              <w:t>项目名称：</w:t>
            </w:r>
            <w:r>
              <w:rPr>
                <w:rFonts w:hint="eastAsia" w:ascii="宋体" w:hAnsi="宋体"/>
                <w:color w:val="auto"/>
                <w:lang w:eastAsia="zh-CN"/>
              </w:rPr>
              <w:t>朝东镇梅菜加工基地建设项目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olor w:val="auto"/>
                <w:lang w:eastAsia="zh-CN"/>
              </w:rPr>
            </w:pPr>
            <w:r>
              <w:rPr>
                <w:rFonts w:hint="eastAsia" w:ascii="宋体" w:hAnsi="宋体"/>
                <w:color w:val="auto"/>
              </w:rPr>
              <w:t>项目编号：</w:t>
            </w:r>
            <w:r>
              <w:rPr>
                <w:rFonts w:hint="eastAsia" w:ascii="宋体" w:hAnsi="宋体"/>
                <w:color w:val="auto"/>
                <w:lang w:eastAsia="zh-CN"/>
              </w:rPr>
              <w:t>FCZC2020-C2-230107-GXHS</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olor w:val="auto"/>
                <w:highlight w:val="none"/>
                <w:lang w:eastAsia="zh-CN"/>
              </w:rPr>
            </w:pPr>
            <w:r>
              <w:rPr>
                <w:rFonts w:hint="eastAsia" w:ascii="宋体" w:hAnsi="宋体"/>
                <w:color w:val="auto"/>
                <w:lang w:eastAsia="zh-CN"/>
              </w:rPr>
              <w:t>资金来源：财政预算内资金。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olor w:val="auto"/>
                <w:lang w:eastAsia="zh-CN"/>
              </w:rPr>
            </w:pPr>
            <w:r>
              <w:rPr>
                <w:rFonts w:hint="eastAsia" w:ascii="宋体" w:hAnsi="宋体"/>
                <w:color w:val="auto"/>
              </w:rPr>
              <w:t>建设地点：</w:t>
            </w:r>
            <w:r>
              <w:rPr>
                <w:rFonts w:hint="eastAsia" w:ascii="宋体" w:hAnsi="宋体"/>
                <w:color w:val="auto"/>
                <w:spacing w:val="-1"/>
                <w:lang w:val="en-US" w:eastAsia="zh-CN"/>
              </w:rPr>
              <w:t>富川瑶族自治县境内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bCs/>
                <w:color w:val="auto"/>
                <w:lang w:val="en-US" w:eastAsia="zh-CN"/>
              </w:rPr>
            </w:pPr>
            <w:r>
              <w:rPr>
                <w:rFonts w:hint="eastAsia" w:ascii="宋体" w:hAnsi="宋体"/>
                <w:bCs/>
                <w:color w:val="auto"/>
                <w:lang w:val="en-US" w:eastAsia="zh-CN"/>
              </w:rPr>
              <w:t>工程建设规模与内容</w:t>
            </w:r>
            <w:r>
              <w:rPr>
                <w:rFonts w:hint="eastAsia" w:ascii="宋体" w:hAnsi="宋体"/>
                <w:bCs/>
                <w:color w:val="auto"/>
              </w:rPr>
              <w:t>：</w:t>
            </w:r>
            <w:r>
              <w:rPr>
                <w:rFonts w:hint="eastAsia" w:ascii="宋体" w:hAnsi="宋体"/>
                <w:bCs/>
                <w:color w:val="auto"/>
                <w:lang w:val="en-US" w:eastAsia="zh-CN"/>
              </w:rPr>
              <w:t>朝东镇梅菜加工基地建设项目，具体详见工程量清单及有关资料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ascii="宋体" w:hAnsi="宋体"/>
                <w:color w:val="auto"/>
              </w:rPr>
              <w:t>计划工期：</w:t>
            </w:r>
            <w:r>
              <w:rPr>
                <w:rFonts w:hint="eastAsia" w:ascii="宋体" w:hAnsi="宋体"/>
                <w:color w:val="auto"/>
                <w:lang w:val="en-US" w:eastAsia="zh-CN"/>
              </w:rPr>
              <w:t>120日历天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olor w:val="auto"/>
                <w:lang w:eastAsia="zh-CN"/>
              </w:rPr>
            </w:pPr>
            <w:r>
              <w:rPr>
                <w:rFonts w:hint="eastAsia" w:ascii="宋体" w:hAnsi="宋体"/>
                <w:color w:val="auto"/>
              </w:rPr>
              <w:t>质量要求：</w:t>
            </w:r>
            <w:r>
              <w:rPr>
                <w:rFonts w:hint="eastAsia" w:ascii="宋体" w:hAnsi="宋体"/>
                <w:color w:val="auto"/>
                <w:lang w:eastAsia="zh-CN"/>
              </w:rPr>
              <w:t>达到国家工程施工验收规范合格标准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2</w:t>
            </w:r>
          </w:p>
        </w:tc>
        <w:tc>
          <w:tcPr>
            <w:tcW w:w="914"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2.1</w:t>
            </w:r>
          </w:p>
        </w:tc>
        <w:tc>
          <w:tcPr>
            <w:tcW w:w="8005" w:type="dxa"/>
            <w:tcBorders>
              <w:top w:val="single" w:color="auto" w:sz="4" w:space="0"/>
              <w:left w:val="nil"/>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340" w:lineRule="exact"/>
              <w:textAlignment w:val="auto"/>
              <w:rPr>
                <w:rFonts w:hAnsi="宋体"/>
                <w:color w:val="auto"/>
              </w:rPr>
            </w:pPr>
            <w:r>
              <w:rPr>
                <w:rFonts w:hint="eastAsia" w:hAnsi="宋体"/>
                <w:color w:val="auto"/>
              </w:rPr>
              <w:t>磋商人资格：</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outlineLvl w:val="9"/>
              <w:rPr>
                <w:rFonts w:hint="eastAsia" w:ascii="宋体" w:hAnsi="宋体"/>
                <w:color w:val="auto"/>
              </w:rPr>
            </w:pPr>
            <w:r>
              <w:rPr>
                <w:rFonts w:hint="eastAsia" w:ascii="宋体" w:hAnsi="宋体"/>
                <w:color w:val="auto"/>
              </w:rPr>
              <w:t>1、符合《中华人民共和国政府采购法》第二十二条规定条件；</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outlineLvl w:val="9"/>
              <w:rPr>
                <w:rFonts w:hint="eastAsia" w:ascii="宋体" w:hAnsi="宋体"/>
                <w:color w:val="auto"/>
              </w:rPr>
            </w:pPr>
            <w:r>
              <w:rPr>
                <w:rFonts w:hint="eastAsia" w:ascii="宋体" w:hAnsi="宋体"/>
                <w:color w:val="auto"/>
              </w:rPr>
              <w:t>2、本次招标要求</w:t>
            </w:r>
            <w:r>
              <w:rPr>
                <w:rFonts w:hint="eastAsia" w:ascii="宋体" w:hAnsi="宋体"/>
                <w:color w:val="auto"/>
                <w:lang w:eastAsia="zh-CN"/>
              </w:rPr>
              <w:t>磋商</w:t>
            </w:r>
            <w:r>
              <w:rPr>
                <w:rFonts w:hint="eastAsia" w:ascii="宋体" w:hAnsi="宋体"/>
                <w:color w:val="auto"/>
              </w:rPr>
              <w:t>人须具备国内独立法人资格，具备</w:t>
            </w:r>
            <w:r>
              <w:rPr>
                <w:rFonts w:hint="eastAsia" w:ascii="宋体" w:hAnsi="宋体"/>
                <w:color w:val="auto"/>
                <w:lang w:val="en-US" w:eastAsia="zh-CN"/>
              </w:rPr>
              <w:t>建筑工程施工总承包叁级以上（含叁级）</w:t>
            </w:r>
            <w:r>
              <w:rPr>
                <w:rFonts w:hint="eastAsia" w:ascii="宋体" w:hAnsi="宋体"/>
                <w:color w:val="auto"/>
              </w:rPr>
              <w:t>资质并在人员、设备、资金等方面具有相应的施工能力。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outlineLvl w:val="9"/>
              <w:rPr>
                <w:rFonts w:hint="eastAsia" w:ascii="宋体" w:hAnsi="宋体"/>
                <w:color w:val="auto"/>
              </w:rPr>
            </w:pPr>
            <w:r>
              <w:rPr>
                <w:rFonts w:hint="eastAsia" w:ascii="宋体" w:hAnsi="宋体"/>
                <w:color w:val="auto"/>
              </w:rPr>
              <w:t>3、拟担任本项目的项目经理还应具备</w:t>
            </w:r>
            <w:r>
              <w:rPr>
                <w:rFonts w:hint="eastAsia" w:ascii="宋体" w:hAnsi="宋体"/>
                <w:color w:val="auto"/>
                <w:lang w:eastAsia="zh-CN"/>
              </w:rPr>
              <w:t>贰级或以上注册建造师资格</w:t>
            </w:r>
            <w:r>
              <w:rPr>
                <w:rFonts w:hint="eastAsia" w:ascii="宋体" w:hAnsi="宋体"/>
                <w:color w:val="auto"/>
              </w:rPr>
              <w:t>（</w:t>
            </w:r>
            <w:r>
              <w:rPr>
                <w:rFonts w:hint="eastAsia" w:ascii="宋体" w:hAnsi="宋体"/>
                <w:color w:val="auto"/>
                <w:lang w:eastAsia="zh-CN"/>
              </w:rPr>
              <w:t>建筑工程</w:t>
            </w:r>
            <w:r>
              <w:rPr>
                <w:rFonts w:hint="eastAsia" w:ascii="宋体" w:hAnsi="宋体"/>
                <w:color w:val="auto"/>
              </w:rPr>
              <w:t>），并具有相关部门颁发的《安全生产考核合格证书》，参加本项目投标时没有在在施建设工程项目，中标后至完工前也不得在其他项目中任职。</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outlineLvl w:val="9"/>
              <w:rPr>
                <w:rFonts w:hint="eastAsia" w:ascii="宋体" w:hAnsi="宋体"/>
                <w:color w:val="auto"/>
              </w:rPr>
            </w:pPr>
            <w:r>
              <w:rPr>
                <w:rFonts w:hint="eastAsia" w:ascii="宋体" w:hAnsi="宋体"/>
                <w:color w:val="auto"/>
              </w:rPr>
              <w:t>4、不接受被列入政府采购不良行为记录名单的供应商参加本项目的采购活动。根据最高人民法院等9部门《关于在招标磋商活动中对失信被执行人实施联合惩戒的通知》（法〔2016〕285号）规定，磋商人不得为失信被执行人。</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outlineLvl w:val="9"/>
              <w:rPr>
                <w:rFonts w:ascii="宋体" w:hAnsi="宋体"/>
                <w:color w:val="auto"/>
              </w:rPr>
            </w:pPr>
            <w:r>
              <w:rPr>
                <w:rFonts w:hint="eastAsia" w:ascii="宋体" w:hAnsi="宋体"/>
                <w:color w:val="auto"/>
              </w:rPr>
              <w:t>5、本次招标不接受联合体磋商。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3</w:t>
            </w:r>
          </w:p>
        </w:tc>
        <w:tc>
          <w:tcPr>
            <w:tcW w:w="914"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3.1</w:t>
            </w:r>
          </w:p>
        </w:tc>
        <w:tc>
          <w:tcPr>
            <w:tcW w:w="8005"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napToGrid/>
              <w:spacing w:line="340" w:lineRule="exact"/>
              <w:textAlignment w:val="auto"/>
              <w:rPr>
                <w:rFonts w:hAnsi="宋体"/>
                <w:b/>
                <w:bCs/>
                <w:color w:val="auto"/>
              </w:rPr>
            </w:pPr>
            <w:r>
              <w:rPr>
                <w:rFonts w:hint="eastAsia" w:hAnsi="宋体"/>
                <w:color w:val="auto"/>
              </w:rPr>
              <w:t>磋商人必须按磋商文件第五章《竞争性磋商响应文件（格式）》要求自编目录及标注页码装订成册，且磋商响应文件装订位置必须封边，不允许使用活页夹、拉杆夹、夹条等可能导致磋商响应文件散落或脱页的装订方式，否则将被视为无效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4</w:t>
            </w:r>
          </w:p>
        </w:tc>
        <w:tc>
          <w:tcPr>
            <w:tcW w:w="914"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4.1</w:t>
            </w:r>
          </w:p>
        </w:tc>
        <w:tc>
          <w:tcPr>
            <w:tcW w:w="8005" w:type="dxa"/>
            <w:tcBorders>
              <w:top w:val="single" w:color="auto" w:sz="4" w:space="0"/>
              <w:left w:val="nil"/>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340" w:lineRule="exact"/>
              <w:textAlignment w:val="auto"/>
              <w:rPr>
                <w:rFonts w:hAnsi="宋体"/>
                <w:color w:val="auto"/>
              </w:rPr>
            </w:pPr>
            <w:r>
              <w:rPr>
                <w:rFonts w:hint="eastAsia" w:hAnsi="宋体"/>
                <w:color w:val="auto"/>
              </w:rPr>
              <w:t>磋商响应文件：正本一份，副本</w:t>
            </w:r>
            <w:r>
              <w:rPr>
                <w:rFonts w:hint="eastAsia" w:hAnsi="宋体"/>
                <w:color w:val="auto"/>
                <w:lang w:val="en-US" w:eastAsia="zh-CN"/>
              </w:rPr>
              <w:t>四</w:t>
            </w:r>
            <w:r>
              <w:rPr>
                <w:rFonts w:hint="eastAsia" w:hAnsi="宋体"/>
                <w:color w:val="auto"/>
              </w:rPr>
              <w:t>份，共</w:t>
            </w:r>
            <w:r>
              <w:rPr>
                <w:rFonts w:hint="eastAsia" w:hAnsi="宋体"/>
                <w:color w:val="auto"/>
                <w:lang w:val="en-US" w:eastAsia="zh-CN"/>
              </w:rPr>
              <w:t>五</w:t>
            </w:r>
            <w:r>
              <w:rPr>
                <w:rFonts w:hint="eastAsia" w:hAnsi="宋体"/>
                <w:color w:val="auto"/>
              </w:rPr>
              <w:t>份。（副本可用正本复印件）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5</w:t>
            </w:r>
          </w:p>
        </w:tc>
        <w:tc>
          <w:tcPr>
            <w:tcW w:w="914"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5.1</w:t>
            </w:r>
          </w:p>
        </w:tc>
        <w:tc>
          <w:tcPr>
            <w:tcW w:w="8005"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napToGrid/>
              <w:spacing w:line="340" w:lineRule="exact"/>
              <w:textAlignment w:val="auto"/>
              <w:rPr>
                <w:rFonts w:hAnsi="宋体"/>
                <w:b/>
                <w:bCs/>
                <w:color w:val="auto"/>
              </w:rPr>
            </w:pPr>
            <w:r>
              <w:rPr>
                <w:rFonts w:hint="eastAsia" w:hAnsi="宋体"/>
                <w:color w:val="auto"/>
              </w:rPr>
              <w:t>磋商报价：磋商人应就第三章《采购项目内容及要求》中的所有服务及其他全部内容作完整唯一报价。磋商人的最终报价=磋商人报价≤采购控制价，否则作无效磋商处理。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6</w:t>
            </w:r>
          </w:p>
        </w:tc>
        <w:tc>
          <w:tcPr>
            <w:tcW w:w="914"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6.1</w:t>
            </w:r>
          </w:p>
        </w:tc>
        <w:tc>
          <w:tcPr>
            <w:tcW w:w="8005"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color w:val="auto"/>
                <w:lang w:eastAsia="zh-CN"/>
              </w:rPr>
            </w:pPr>
            <w:r>
              <w:rPr>
                <w:rFonts w:hint="eastAsia"/>
                <w:color w:val="auto"/>
              </w:rPr>
              <w:t>本</w:t>
            </w:r>
            <w:r>
              <w:rPr>
                <w:rFonts w:hint="eastAsia"/>
                <w:color w:val="auto"/>
                <w:lang w:val="en-US" w:eastAsia="zh-CN"/>
              </w:rPr>
              <w:t>项目采购控制价：叁佰肆拾伍万捌仟陆佰捌拾陆元柒角玖分（¥3458686.79元）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7</w:t>
            </w:r>
          </w:p>
        </w:tc>
        <w:tc>
          <w:tcPr>
            <w:tcW w:w="914"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7.1</w:t>
            </w:r>
          </w:p>
        </w:tc>
        <w:tc>
          <w:tcPr>
            <w:tcW w:w="8005" w:type="dxa"/>
            <w:tcBorders>
              <w:top w:val="single" w:color="auto" w:sz="4" w:space="0"/>
              <w:left w:val="nil"/>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Ansi="宋体"/>
                <w:color w:val="auto"/>
                <w:spacing w:val="-2"/>
              </w:rPr>
            </w:pPr>
            <w:r>
              <w:rPr>
                <w:rFonts w:hint="eastAsia" w:hAnsi="宋体" w:cs="Arial"/>
                <w:color w:val="auto"/>
                <w:lang w:eastAsia="zh-CN"/>
              </w:rPr>
              <w:t>磋商</w:t>
            </w:r>
            <w:r>
              <w:rPr>
                <w:rFonts w:hint="eastAsia" w:hAnsi="宋体" w:cs="Arial"/>
                <w:color w:val="auto"/>
              </w:rPr>
              <w:t>保证金（人民币）：</w:t>
            </w:r>
            <w:r>
              <w:rPr>
                <w:rFonts w:hint="eastAsia" w:hAnsi="宋体" w:cs="Arial"/>
                <w:b/>
                <w:bCs/>
                <w:color w:val="auto"/>
                <w:lang w:eastAsia="zh-CN"/>
              </w:rPr>
              <w:t>叁万伍仟元整（¥35000.00）</w:t>
            </w:r>
            <w:r>
              <w:rPr>
                <w:rFonts w:hint="eastAsia" w:hAnsi="宋体"/>
                <w:color w:val="auto"/>
                <w:spacing w:val="-2"/>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rPr>
            </w:pPr>
            <w:r>
              <w:rPr>
                <w:rFonts w:hint="eastAsia" w:ascii="宋体" w:hAnsi="宋体"/>
                <w:color w:val="auto"/>
              </w:rPr>
              <w:t>必须在磋商截止时间前从磋商单位基本账户转出，</w:t>
            </w:r>
            <w:r>
              <w:rPr>
                <w:rFonts w:hint="eastAsia" w:ascii="宋体" w:hAnsi="宋体"/>
                <w:color w:val="auto"/>
                <w:lang w:eastAsia="zh-CN"/>
              </w:rPr>
              <w:t>磋商</w:t>
            </w:r>
            <w:r>
              <w:rPr>
                <w:rFonts w:hint="eastAsia" w:ascii="宋体" w:hAnsi="宋体"/>
                <w:color w:val="auto"/>
              </w:rPr>
              <w:t>人在开标会时出示</w:t>
            </w:r>
            <w:r>
              <w:rPr>
                <w:rFonts w:hint="eastAsia" w:ascii="宋体" w:hAnsi="宋体"/>
                <w:color w:val="auto"/>
                <w:lang w:eastAsia="zh-CN"/>
              </w:rPr>
              <w:t>磋商</w:t>
            </w:r>
            <w:r>
              <w:rPr>
                <w:rFonts w:hint="eastAsia" w:ascii="宋体" w:hAnsi="宋体"/>
                <w:color w:val="auto"/>
              </w:rPr>
              <w:t>保证金银行转账底单</w:t>
            </w:r>
            <w:r>
              <w:rPr>
                <w:rFonts w:hint="eastAsia" w:ascii="宋体" w:hAnsi="宋体"/>
                <w:color w:val="auto"/>
                <w:lang w:eastAsia="zh-CN"/>
              </w:rPr>
              <w:t>（不包括网上银行转账电子回执单）原件及</w:t>
            </w:r>
            <w:r>
              <w:rPr>
                <w:rFonts w:hint="eastAsia" w:ascii="宋体" w:hAnsi="宋体"/>
                <w:color w:val="auto"/>
              </w:rPr>
              <w:t>复印件。（银行汇出户名称</w:t>
            </w:r>
            <w:r>
              <w:rPr>
                <w:rFonts w:hint="eastAsia" w:ascii="宋体" w:hAnsi="宋体"/>
                <w:color w:val="auto"/>
                <w:lang w:eastAsia="zh-CN"/>
              </w:rPr>
              <w:t>与账号</w:t>
            </w:r>
            <w:r>
              <w:rPr>
                <w:rFonts w:hint="eastAsia" w:ascii="宋体" w:hAnsi="宋体"/>
                <w:color w:val="auto"/>
              </w:rPr>
              <w:t>必须与磋商单位</w:t>
            </w:r>
            <w:r>
              <w:rPr>
                <w:rFonts w:hint="eastAsia" w:ascii="宋体" w:hAnsi="宋体"/>
                <w:color w:val="auto"/>
                <w:lang w:eastAsia="zh-CN"/>
              </w:rPr>
              <w:t>开户</w:t>
            </w:r>
            <w:r>
              <w:rPr>
                <w:rFonts w:hint="eastAsia" w:ascii="宋体" w:hAnsi="宋体"/>
                <w:color w:val="auto"/>
              </w:rPr>
              <w:t>名称</w:t>
            </w:r>
            <w:r>
              <w:rPr>
                <w:rFonts w:hint="eastAsia" w:ascii="宋体" w:hAnsi="宋体"/>
                <w:color w:val="auto"/>
                <w:lang w:eastAsia="zh-CN"/>
              </w:rPr>
              <w:t>及账号</w:t>
            </w:r>
            <w:r>
              <w:rPr>
                <w:rFonts w:hint="eastAsia" w:ascii="宋体" w:hAnsi="宋体"/>
                <w:color w:val="auto"/>
              </w:rPr>
              <w:t>一致，否则磋商无效）。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rPr>
            </w:pPr>
            <w:r>
              <w:rPr>
                <w:rFonts w:hint="eastAsia" w:ascii="宋体" w:hAnsi="宋体"/>
                <w:color w:val="auto"/>
                <w:lang w:eastAsia="zh-CN"/>
              </w:rPr>
              <w:t>磋商</w:t>
            </w:r>
            <w:r>
              <w:rPr>
                <w:rFonts w:hint="eastAsia" w:ascii="宋体" w:hAnsi="宋体"/>
                <w:color w:val="auto"/>
              </w:rPr>
              <w:t>保证金缴纳账户：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bCs/>
                <w:color w:val="auto"/>
              </w:rPr>
            </w:pPr>
            <w:r>
              <w:rPr>
                <w:rFonts w:hint="eastAsia" w:ascii="宋体" w:hAnsi="宋体"/>
                <w:b/>
                <w:bCs/>
                <w:color w:val="auto"/>
              </w:rPr>
              <w:t>开户名：广西华盛工程咨询有限公司富川分公司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bCs/>
                <w:color w:val="auto"/>
              </w:rPr>
            </w:pPr>
            <w:r>
              <w:rPr>
                <w:rFonts w:hint="eastAsia" w:ascii="宋体" w:hAnsi="宋体"/>
                <w:b/>
                <w:bCs/>
                <w:color w:val="auto"/>
              </w:rPr>
              <w:t>账  号：4428 1201 0105 1514 72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rPr>
            </w:pPr>
            <w:r>
              <w:rPr>
                <w:rFonts w:hint="eastAsia" w:ascii="宋体" w:hAnsi="宋体"/>
                <w:b/>
                <w:bCs/>
                <w:color w:val="auto"/>
              </w:rPr>
              <w:t>开户行：广西富川农村商业银行股份有限公司城东分理处</w:t>
            </w:r>
            <w:r>
              <w:rPr>
                <w:rFonts w:hint="eastAsia" w:ascii="宋体" w:hAnsi="宋体"/>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rPr>
            </w:pPr>
            <w:r>
              <w:rPr>
                <w:rFonts w:hint="eastAsia"/>
                <w:b/>
                <w:bCs/>
                <w:color w:val="auto"/>
                <w:kern w:val="2"/>
                <w:sz w:val="21"/>
                <w:szCs w:val="24"/>
                <w:lang w:val="en-US" w:eastAsia="zh-CN" w:bidi="ar-SA"/>
              </w:rPr>
              <w:t>备注</w:t>
            </w:r>
            <w:r>
              <w:rPr>
                <w:rFonts w:hint="eastAsia"/>
                <w:color w:val="auto"/>
                <w:kern w:val="2"/>
                <w:sz w:val="21"/>
                <w:szCs w:val="24"/>
                <w:lang w:val="en-US" w:eastAsia="zh-CN" w:bidi="ar-SA"/>
              </w:rPr>
              <w:t>：办理磋商保证金手续时，请务必在银行转账单或电汇单标明供应商名称，在用途或空白栏上注明项目名称或项目编号，因磋商人未标注其项目名称或编号所导致的有可能无法判定其所磋商项目的，其响应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8</w:t>
            </w:r>
          </w:p>
        </w:tc>
        <w:tc>
          <w:tcPr>
            <w:tcW w:w="914" w:type="dxa"/>
            <w:tcBorders>
              <w:top w:val="single" w:color="auto" w:sz="4" w:space="0"/>
              <w:left w:val="nil"/>
              <w:bottom w:val="single" w:color="auto" w:sz="4" w:space="0"/>
              <w:right w:val="single" w:color="auto" w:sz="4" w:space="0"/>
            </w:tcBorders>
            <w:vAlign w:val="center"/>
          </w:tcPr>
          <w:p>
            <w:pPr>
              <w:pStyle w:val="21"/>
              <w:spacing w:line="360" w:lineRule="auto"/>
              <w:jc w:val="center"/>
              <w:rPr>
                <w:rFonts w:hAnsi="宋体"/>
                <w:color w:val="auto"/>
              </w:rPr>
            </w:pPr>
            <w:r>
              <w:rPr>
                <w:rFonts w:hint="eastAsia" w:hAnsi="宋体"/>
                <w:color w:val="auto"/>
              </w:rPr>
              <w:t>8.1</w:t>
            </w:r>
          </w:p>
        </w:tc>
        <w:tc>
          <w:tcPr>
            <w:tcW w:w="8005"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eastAsia="宋体"/>
                <w:b/>
                <w:bCs/>
                <w:color w:val="auto"/>
                <w:lang w:eastAsia="zh-CN"/>
              </w:rPr>
            </w:pPr>
            <w:r>
              <w:rPr>
                <w:rFonts w:hint="eastAsia" w:hAnsi="宋体"/>
                <w:color w:val="auto"/>
              </w:rPr>
              <w:t>磋商响应文件递交截止时间：</w:t>
            </w:r>
            <w:r>
              <w:rPr>
                <w:rFonts w:hint="eastAsia"/>
                <w:b/>
                <w:bCs/>
                <w:color w:val="auto"/>
                <w:kern w:val="0"/>
                <w:lang w:eastAsia="zh-CN"/>
              </w:rPr>
              <w:t>2020年8月12日下午15时30分</w:t>
            </w:r>
          </w:p>
          <w:p>
            <w:pPr>
              <w:pStyle w:val="6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eastAsia="宋体"/>
                <w:color w:val="auto"/>
                <w:lang w:eastAsia="zh-CN"/>
              </w:rPr>
            </w:pPr>
            <w:r>
              <w:rPr>
                <w:rFonts w:hint="eastAsia" w:hAnsi="宋体"/>
                <w:color w:val="auto"/>
              </w:rPr>
              <w:t>磋商响应文件以密封形式递交至：</w:t>
            </w:r>
            <w:r>
              <w:rPr>
                <w:rFonts w:hint="eastAsia" w:hAnsi="宋体"/>
                <w:color w:val="auto"/>
                <w:lang w:eastAsia="zh-CN"/>
              </w:rPr>
              <w:t>富川县建筑工程交易中心 (富川县富阳镇凤凰路85号二楼)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9</w:t>
            </w:r>
          </w:p>
        </w:tc>
        <w:tc>
          <w:tcPr>
            <w:tcW w:w="914" w:type="dxa"/>
            <w:tcBorders>
              <w:top w:val="single" w:color="auto" w:sz="4" w:space="0"/>
              <w:left w:val="nil"/>
              <w:bottom w:val="single" w:color="auto" w:sz="4" w:space="0"/>
              <w:right w:val="single" w:color="auto" w:sz="4" w:space="0"/>
            </w:tcBorders>
            <w:vAlign w:val="center"/>
          </w:tcPr>
          <w:p>
            <w:pPr>
              <w:pStyle w:val="21"/>
              <w:spacing w:line="360" w:lineRule="auto"/>
              <w:jc w:val="center"/>
              <w:rPr>
                <w:rFonts w:hAnsi="宋体"/>
                <w:color w:val="auto"/>
              </w:rPr>
            </w:pPr>
            <w:r>
              <w:rPr>
                <w:rFonts w:hint="eastAsia" w:hAnsi="宋体"/>
                <w:color w:val="auto"/>
              </w:rPr>
              <w:t>9.2</w:t>
            </w:r>
          </w:p>
        </w:tc>
        <w:tc>
          <w:tcPr>
            <w:tcW w:w="8005"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color w:val="auto"/>
              </w:rPr>
            </w:pPr>
            <w:r>
              <w:rPr>
                <w:rFonts w:hint="eastAsia" w:hAnsi="宋体"/>
                <w:color w:val="auto"/>
              </w:rPr>
              <w:t>磋商响应文件份数：正本一份，副本</w:t>
            </w:r>
            <w:r>
              <w:rPr>
                <w:rFonts w:hint="eastAsia" w:hAnsi="宋体"/>
                <w:color w:val="auto"/>
                <w:lang w:val="en-US" w:eastAsia="zh-CN"/>
              </w:rPr>
              <w:t>四</w:t>
            </w:r>
            <w:r>
              <w:rPr>
                <w:rFonts w:hint="eastAsia" w:hAnsi="宋体"/>
                <w:color w:val="auto"/>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10</w:t>
            </w:r>
          </w:p>
        </w:tc>
        <w:tc>
          <w:tcPr>
            <w:tcW w:w="914"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hAnsi="宋体"/>
                <w:bCs/>
                <w:color w:val="auto"/>
              </w:rPr>
            </w:pPr>
            <w:r>
              <w:rPr>
                <w:rFonts w:hint="eastAsia" w:hAnsi="宋体"/>
                <w:bCs/>
                <w:color w:val="auto"/>
              </w:rPr>
              <w:t>10.1</w:t>
            </w:r>
          </w:p>
        </w:tc>
        <w:tc>
          <w:tcPr>
            <w:tcW w:w="8005"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eastAsia="宋体"/>
                <w:color w:val="auto"/>
                <w:lang w:eastAsia="zh-CN"/>
              </w:rPr>
            </w:pPr>
            <w:r>
              <w:rPr>
                <w:rFonts w:hint="eastAsia" w:hAnsi="宋体"/>
                <w:color w:val="auto"/>
              </w:rPr>
              <w:t>磋商时间：</w:t>
            </w:r>
            <w:r>
              <w:rPr>
                <w:rFonts w:hint="eastAsia"/>
                <w:b/>
                <w:bCs/>
                <w:color w:val="auto"/>
                <w:kern w:val="0"/>
                <w:lang w:eastAsia="zh-CN"/>
              </w:rPr>
              <w:t>2020年8月12日下午15时30分</w:t>
            </w:r>
          </w:p>
          <w:p>
            <w:pPr>
              <w:pStyle w:val="6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eastAsia="宋体"/>
                <w:color w:val="auto"/>
                <w:lang w:eastAsia="zh-CN"/>
              </w:rPr>
            </w:pPr>
            <w:r>
              <w:rPr>
                <w:rFonts w:hint="eastAsia" w:hAnsi="宋体"/>
                <w:color w:val="auto"/>
              </w:rPr>
              <w:t>磋商地点：</w:t>
            </w:r>
            <w:r>
              <w:rPr>
                <w:rFonts w:hint="eastAsia" w:hAnsi="宋体"/>
                <w:color w:val="auto"/>
                <w:lang w:eastAsia="zh-CN"/>
              </w:rPr>
              <w:t>富川县建筑工程交易中心 (富川县富阳镇凤凰路85号二楼)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rPr>
            </w:pPr>
            <w:r>
              <w:rPr>
                <w:rFonts w:hint="eastAsia" w:ascii="宋体" w:hAnsi="宋体"/>
                <w:color w:val="auto"/>
              </w:rPr>
              <w:t>磋商会议磋商人到会必须提供的材料证件：</w:t>
            </w:r>
          </w:p>
          <w:p>
            <w:pPr>
              <w:pStyle w:val="21"/>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olor w:val="auto"/>
              </w:rPr>
            </w:pPr>
            <w:r>
              <w:rPr>
                <w:rFonts w:hint="eastAsia" w:hAnsi="宋体"/>
                <w:color w:val="auto"/>
              </w:rPr>
              <w:t>磋商人可以由法定代表人或委托代理人出席开标会议</w:t>
            </w:r>
          </w:p>
          <w:p>
            <w:pPr>
              <w:pStyle w:val="2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olor w:val="auto"/>
              </w:rPr>
            </w:pPr>
            <w:r>
              <w:rPr>
                <w:rFonts w:hint="eastAsia" w:hAnsi="宋体"/>
                <w:color w:val="auto"/>
              </w:rPr>
              <w:t>（1）法定代表人居民身份证</w:t>
            </w:r>
            <w:r>
              <w:rPr>
                <w:rFonts w:hint="eastAsia" w:hAnsi="宋体"/>
                <w:color w:val="auto"/>
                <w:lang w:eastAsia="zh-CN"/>
              </w:rPr>
              <w:t>原件</w:t>
            </w:r>
            <w:r>
              <w:rPr>
                <w:rFonts w:hint="eastAsia" w:hAnsi="宋体"/>
                <w:color w:val="auto"/>
              </w:rPr>
              <w:t>或其授权委托代理人的授权委托书</w:t>
            </w:r>
            <w:r>
              <w:rPr>
                <w:rFonts w:hint="eastAsia" w:hAnsi="宋体"/>
                <w:color w:val="auto"/>
                <w:lang w:eastAsia="zh-CN"/>
              </w:rPr>
              <w:t>原件</w:t>
            </w:r>
            <w:r>
              <w:rPr>
                <w:rFonts w:hint="eastAsia" w:hAnsi="宋体"/>
                <w:color w:val="auto"/>
              </w:rPr>
              <w:t>、委托代理人居民身份证</w:t>
            </w:r>
            <w:r>
              <w:rPr>
                <w:rFonts w:hint="eastAsia" w:hAnsi="宋体"/>
                <w:color w:val="auto"/>
                <w:lang w:eastAsia="zh-CN"/>
              </w:rPr>
              <w:t>原件</w:t>
            </w:r>
            <w:r>
              <w:rPr>
                <w:rFonts w:hint="eastAsia" w:hAnsi="宋体"/>
                <w:color w:val="auto"/>
              </w:rPr>
              <w:t>；</w:t>
            </w:r>
          </w:p>
          <w:p>
            <w:pPr>
              <w:pStyle w:val="2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olor w:val="auto"/>
              </w:rPr>
            </w:pPr>
            <w:r>
              <w:rPr>
                <w:rFonts w:hint="eastAsia" w:hAnsi="宋体"/>
                <w:color w:val="auto"/>
              </w:rPr>
              <w:t>（2）</w:t>
            </w:r>
            <w:r>
              <w:rPr>
                <w:rFonts w:hint="eastAsia" w:hAnsi="宋体"/>
                <w:color w:val="auto"/>
                <w:lang w:eastAsia="zh-CN"/>
              </w:rPr>
              <w:t>磋商</w:t>
            </w:r>
            <w:r>
              <w:rPr>
                <w:rFonts w:hint="eastAsia" w:hAnsi="宋体"/>
                <w:color w:val="auto"/>
              </w:rPr>
              <w:t>保证金银行转账底单</w:t>
            </w:r>
            <w:r>
              <w:rPr>
                <w:rFonts w:hint="eastAsia" w:ascii="宋体" w:hAnsi="宋体"/>
                <w:color w:val="auto"/>
                <w:lang w:eastAsia="zh-CN"/>
              </w:rPr>
              <w:t>（不包括网上</w:t>
            </w:r>
            <w:r>
              <w:rPr>
                <w:rFonts w:hint="eastAsia" w:hAnsi="宋体"/>
                <w:color w:val="auto"/>
                <w:lang w:eastAsia="zh-CN"/>
              </w:rPr>
              <w:t>银行转账</w:t>
            </w:r>
            <w:r>
              <w:rPr>
                <w:rFonts w:hint="eastAsia" w:ascii="宋体" w:hAnsi="宋体"/>
                <w:color w:val="auto"/>
                <w:lang w:eastAsia="zh-CN"/>
              </w:rPr>
              <w:t>电子回执单）</w:t>
            </w:r>
            <w:r>
              <w:rPr>
                <w:rFonts w:hint="eastAsia" w:hAnsi="宋体"/>
                <w:color w:val="auto"/>
              </w:rPr>
              <w:t>原件及复印件；</w:t>
            </w:r>
          </w:p>
          <w:p>
            <w:pPr>
              <w:pStyle w:val="2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olor w:val="auto"/>
                <w:lang w:eastAsia="zh-CN"/>
              </w:rPr>
            </w:pPr>
            <w:r>
              <w:rPr>
                <w:rFonts w:hint="eastAsia" w:hAnsi="宋体"/>
                <w:color w:val="auto"/>
              </w:rPr>
              <w:t>（3）</w:t>
            </w:r>
            <w:r>
              <w:rPr>
                <w:rFonts w:hint="eastAsia" w:hAnsi="宋体"/>
                <w:color w:val="auto"/>
                <w:lang w:eastAsia="zh-CN"/>
              </w:rPr>
              <w:t>公司开户许可证复印件或基本存款账户信息复印件。</w:t>
            </w:r>
          </w:p>
          <w:p>
            <w:pPr>
              <w:pStyle w:val="21"/>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b/>
                <w:bCs/>
                <w:color w:val="auto"/>
              </w:rPr>
            </w:pPr>
            <w:r>
              <w:rPr>
                <w:rFonts w:hint="eastAsia" w:hAnsi="宋体"/>
                <w:color w:val="auto"/>
              </w:rPr>
              <w:t>（</w:t>
            </w:r>
            <w:r>
              <w:rPr>
                <w:rFonts w:hint="eastAsia" w:hAnsi="宋体"/>
                <w:color w:val="auto"/>
                <w:lang w:eastAsia="zh-CN"/>
              </w:rPr>
              <w:t>材料证件齐全且</w:t>
            </w:r>
            <w:r>
              <w:rPr>
                <w:rFonts w:hint="eastAsia" w:hAnsi="宋体"/>
                <w:color w:val="auto"/>
              </w:rPr>
              <w:t>以上所有复印件加盖单位公章，否则其磋商响应文件不予接收）。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11</w:t>
            </w:r>
          </w:p>
        </w:tc>
        <w:tc>
          <w:tcPr>
            <w:tcW w:w="914"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11.1</w:t>
            </w:r>
          </w:p>
        </w:tc>
        <w:tc>
          <w:tcPr>
            <w:tcW w:w="8005"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color w:val="auto"/>
              </w:rPr>
            </w:pPr>
            <w:r>
              <w:rPr>
                <w:rFonts w:hint="eastAsia" w:hAnsi="宋体"/>
                <w:color w:val="auto"/>
              </w:rPr>
              <w:t>评定方法：综合评估法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12</w:t>
            </w:r>
          </w:p>
        </w:tc>
        <w:tc>
          <w:tcPr>
            <w:tcW w:w="914"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12.1</w:t>
            </w:r>
          </w:p>
        </w:tc>
        <w:tc>
          <w:tcPr>
            <w:tcW w:w="80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107" w:rightChars="-51"/>
              <w:textAlignment w:val="auto"/>
              <w:rPr>
                <w:rFonts w:ascii="宋体" w:hAnsi="宋体"/>
                <w:b w:val="0"/>
                <w:bCs w:val="0"/>
                <w:color w:val="auto"/>
              </w:rPr>
            </w:pPr>
            <w:r>
              <w:rPr>
                <w:rFonts w:hint="eastAsia" w:ascii="宋体" w:hAnsi="宋体"/>
                <w:color w:val="auto"/>
              </w:rPr>
              <w:t>1、本工程招标代理服务费</w:t>
            </w:r>
            <w:r>
              <w:rPr>
                <w:rFonts w:hint="eastAsia" w:ascii="宋体" w:hAnsi="宋体"/>
                <w:b w:val="0"/>
                <w:bCs w:val="0"/>
                <w:color w:val="auto"/>
              </w:rPr>
              <w:t>由</w:t>
            </w:r>
            <w:r>
              <w:rPr>
                <w:rFonts w:hint="eastAsia" w:ascii="宋体" w:hAnsi="宋体"/>
                <w:b w:val="0"/>
                <w:bCs w:val="0"/>
                <w:color w:val="auto"/>
                <w:u w:val="single"/>
                <w:lang w:eastAsia="zh-CN"/>
              </w:rPr>
              <w:t>招标</w:t>
            </w:r>
            <w:r>
              <w:rPr>
                <w:rFonts w:hint="eastAsia" w:ascii="宋体" w:hAnsi="宋体"/>
                <w:b w:val="0"/>
                <w:bCs w:val="0"/>
                <w:color w:val="auto"/>
                <w:u w:val="single"/>
              </w:rPr>
              <w:t>人</w:t>
            </w:r>
            <w:r>
              <w:rPr>
                <w:rFonts w:hint="eastAsia" w:ascii="宋体" w:hAnsi="宋体"/>
                <w:b w:val="0"/>
                <w:bCs w:val="0"/>
                <w:color w:val="auto"/>
              </w:rPr>
              <w:t>支付。根据国家计委《招标代理服务收费管理暂行办法》（计价格［2002］1980号）以及国家发展和改革委员会办公厅《关于招标代理服务收费有关问题的通知》(发改办价格[2003]857号)的规定计取。</w:t>
            </w:r>
          </w:p>
          <w:p>
            <w:pPr>
              <w:pStyle w:val="64"/>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color w:val="auto"/>
              </w:rPr>
            </w:pPr>
            <w:r>
              <w:rPr>
                <w:rFonts w:hint="eastAsia" w:hAnsi="宋体"/>
                <w:b w:val="0"/>
                <w:bCs w:val="0"/>
                <w:color w:val="auto"/>
              </w:rPr>
              <w:t>2、本项目的评标等费用由</w:t>
            </w:r>
            <w:r>
              <w:rPr>
                <w:rFonts w:hint="eastAsia" w:hAnsi="宋体"/>
                <w:b w:val="0"/>
                <w:bCs w:val="0"/>
                <w:color w:val="auto"/>
                <w:u w:val="single"/>
                <w:lang w:eastAsia="zh-CN"/>
              </w:rPr>
              <w:t>招标</w:t>
            </w:r>
            <w:r>
              <w:rPr>
                <w:rFonts w:hint="eastAsia" w:hAnsi="宋体"/>
                <w:b w:val="0"/>
                <w:bCs w:val="0"/>
                <w:color w:val="auto"/>
                <w:u w:val="single"/>
              </w:rPr>
              <w:t>人</w:t>
            </w:r>
            <w:r>
              <w:rPr>
                <w:rFonts w:hint="eastAsia" w:hAnsi="宋体"/>
                <w:b w:val="0"/>
                <w:bCs w:val="0"/>
                <w:color w:val="auto"/>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Ansi="宋体"/>
                <w:color w:val="auto"/>
              </w:rPr>
            </w:pPr>
            <w:r>
              <w:rPr>
                <w:rFonts w:hint="eastAsia" w:hAnsi="宋体"/>
                <w:color w:val="auto"/>
              </w:rPr>
              <w:t>17</w:t>
            </w:r>
          </w:p>
        </w:tc>
        <w:tc>
          <w:tcPr>
            <w:tcW w:w="914" w:type="dxa"/>
            <w:tcBorders>
              <w:top w:val="single" w:color="auto" w:sz="4" w:space="0"/>
              <w:left w:val="nil"/>
              <w:bottom w:val="single" w:color="auto" w:sz="4" w:space="0"/>
              <w:right w:val="single" w:color="auto" w:sz="4" w:space="0"/>
            </w:tcBorders>
            <w:vAlign w:val="center"/>
          </w:tcPr>
          <w:p>
            <w:pPr>
              <w:pStyle w:val="21"/>
              <w:spacing w:line="360" w:lineRule="auto"/>
              <w:jc w:val="center"/>
              <w:rPr>
                <w:rFonts w:hAnsi="宋体"/>
                <w:color w:val="auto"/>
              </w:rPr>
            </w:pPr>
            <w:r>
              <w:rPr>
                <w:rFonts w:hint="eastAsia" w:hAnsi="宋体"/>
                <w:color w:val="auto"/>
              </w:rPr>
              <w:t>17.1</w:t>
            </w:r>
          </w:p>
        </w:tc>
        <w:tc>
          <w:tcPr>
            <w:tcW w:w="8005"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color w:val="auto"/>
              </w:rPr>
            </w:pPr>
            <w:r>
              <w:rPr>
                <w:rFonts w:hint="eastAsia" w:hAnsi="宋体"/>
                <w:color w:val="auto"/>
              </w:rPr>
              <w:t>磋商有效期：磋商截止日期后</w:t>
            </w:r>
            <w:r>
              <w:rPr>
                <w:rFonts w:hint="eastAsia" w:hAnsi="宋体"/>
                <w:color w:val="auto"/>
                <w:u w:val="single"/>
              </w:rPr>
              <w:t>60</w:t>
            </w:r>
            <w:r>
              <w:rPr>
                <w:rFonts w:hint="eastAsia" w:hAnsi="宋体"/>
                <w:color w:val="auto"/>
              </w:rPr>
              <w:t>天（日历天）内。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5" w:type="dxa"/>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olor w:val="auto"/>
                <w:lang w:eastAsia="zh-CN"/>
              </w:rPr>
            </w:pPr>
            <w:r>
              <w:rPr>
                <w:rFonts w:hint="eastAsia" w:hAnsi="宋体"/>
                <w:color w:val="auto"/>
                <w:lang w:eastAsia="zh-CN"/>
              </w:rPr>
              <w:t>是否授权磋商小组确定中标人</w:t>
            </w:r>
          </w:p>
        </w:tc>
        <w:tc>
          <w:tcPr>
            <w:tcW w:w="8005"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eastAsia="宋体"/>
                <w:color w:val="auto"/>
                <w:lang w:eastAsia="zh-CN"/>
              </w:rPr>
            </w:pPr>
            <w:r>
              <w:rPr>
                <w:rFonts w:hint="eastAsia" w:hAnsi="宋体"/>
                <w:color w:val="auto"/>
                <w:lang w:eastAsia="zh-CN"/>
              </w:rPr>
              <w:t>是</w:t>
            </w:r>
          </w:p>
        </w:tc>
      </w:tr>
    </w:tbl>
    <w:p>
      <w:pPr>
        <w:pStyle w:val="21"/>
        <w:spacing w:line="360" w:lineRule="auto"/>
        <w:ind w:firstLine="422" w:firstLineChars="200"/>
        <w:rPr>
          <w:rFonts w:hAnsi="宋体"/>
          <w:b/>
          <w:bCs/>
          <w:color w:val="auto"/>
        </w:rPr>
      </w:pPr>
      <w:r>
        <w:rPr>
          <w:rFonts w:hint="eastAsia" w:hAnsi="宋体"/>
          <w:b/>
          <w:bCs/>
          <w:color w:val="auto"/>
        </w:rPr>
        <w:t>磋商文件的澄清和修改：磋商人应认真审核《采购项目内容及要求》中的采购要求，如发现本次采购要求不合理的，磋商人必须在规定的时间前要求澄清（时间要求见“磋商人须知”4.2款），否则，视为磋商人已经完全认可本次项目的磋商文件，产生的后果由磋商人负责。</w:t>
      </w:r>
    </w:p>
    <w:p>
      <w:pPr>
        <w:pStyle w:val="21"/>
        <w:spacing w:line="360" w:lineRule="exact"/>
        <w:jc w:val="center"/>
        <w:outlineLvl w:val="1"/>
        <w:rPr>
          <w:rFonts w:hAnsi="宋体"/>
          <w:b/>
          <w:bCs/>
          <w:color w:val="auto"/>
          <w:sz w:val="32"/>
          <w:szCs w:val="32"/>
        </w:rPr>
      </w:pPr>
      <w:r>
        <w:rPr>
          <w:rFonts w:hint="eastAsia" w:hAnsi="宋体"/>
          <w:b/>
          <w:bCs/>
          <w:color w:val="auto"/>
          <w:sz w:val="32"/>
          <w:szCs w:val="32"/>
        </w:rPr>
        <w:br w:type="page"/>
      </w:r>
      <w:bookmarkStart w:id="58" w:name="_Toc446927400"/>
      <w:bookmarkEnd w:id="58"/>
      <w:r>
        <w:rPr>
          <w:rFonts w:hint="eastAsia" w:hAnsi="宋体"/>
          <w:b/>
          <w:bCs/>
          <w:color w:val="auto"/>
          <w:sz w:val="32"/>
          <w:szCs w:val="32"/>
        </w:rPr>
        <w:t>磋商人须知</w:t>
      </w:r>
    </w:p>
    <w:p>
      <w:pPr>
        <w:pStyle w:val="21"/>
        <w:spacing w:line="360" w:lineRule="exact"/>
        <w:jc w:val="center"/>
        <w:rPr>
          <w:rFonts w:hAnsi="宋体"/>
          <w:b/>
          <w:bCs/>
          <w:color w:val="auto"/>
          <w:sz w:val="32"/>
          <w:szCs w:val="32"/>
        </w:rPr>
      </w:pPr>
    </w:p>
    <w:p>
      <w:pPr>
        <w:pStyle w:val="21"/>
        <w:spacing w:line="360" w:lineRule="auto"/>
        <w:jc w:val="center"/>
        <w:outlineLvl w:val="2"/>
        <w:rPr>
          <w:rFonts w:hAnsi="宋体"/>
          <w:b/>
          <w:bCs/>
          <w:color w:val="auto"/>
          <w:sz w:val="24"/>
          <w:szCs w:val="24"/>
        </w:rPr>
      </w:pPr>
      <w:bookmarkStart w:id="59" w:name="_Toc446927401"/>
      <w:bookmarkEnd w:id="59"/>
      <w:r>
        <w:rPr>
          <w:rFonts w:hint="eastAsia" w:hAnsi="宋体"/>
          <w:b/>
          <w:bCs/>
          <w:color w:val="auto"/>
          <w:sz w:val="24"/>
          <w:szCs w:val="24"/>
        </w:rPr>
        <w:t>（一）总则</w:t>
      </w:r>
    </w:p>
    <w:p>
      <w:pPr>
        <w:pStyle w:val="21"/>
        <w:numPr>
          <w:ilvl w:val="0"/>
          <w:numId w:val="2"/>
        </w:numPr>
        <w:spacing w:line="360" w:lineRule="auto"/>
        <w:outlineLvl w:val="3"/>
        <w:rPr>
          <w:rFonts w:hAnsi="宋体"/>
          <w:b/>
          <w:bCs/>
          <w:color w:val="auto"/>
        </w:rPr>
      </w:pPr>
      <w:r>
        <w:rPr>
          <w:rFonts w:hint="eastAsia" w:hAnsi="宋体"/>
          <w:b/>
          <w:bCs/>
          <w:color w:val="auto"/>
        </w:rPr>
        <w:t>项目名称、项目编号</w:t>
      </w:r>
    </w:p>
    <w:p>
      <w:pPr>
        <w:spacing w:line="360" w:lineRule="auto"/>
        <w:ind w:firstLine="420"/>
        <w:rPr>
          <w:rFonts w:ascii="宋体" w:hAnsi="宋体"/>
          <w:color w:val="auto"/>
        </w:rPr>
      </w:pPr>
      <w:r>
        <w:rPr>
          <w:rFonts w:hint="eastAsia" w:ascii="宋体" w:hAnsi="宋体"/>
          <w:color w:val="auto"/>
        </w:rPr>
        <w:t>1.1.</w:t>
      </w:r>
      <w:r>
        <w:rPr>
          <w:rFonts w:hint="eastAsia" w:ascii="宋体" w:hAnsi="宋体"/>
          <w:b/>
          <w:bCs/>
          <w:color w:val="auto"/>
        </w:rPr>
        <w:t>项目名称</w:t>
      </w:r>
      <w:r>
        <w:rPr>
          <w:rFonts w:hint="eastAsia" w:ascii="宋体" w:hAnsi="宋体"/>
          <w:color w:val="auto"/>
        </w:rPr>
        <w:t xml:space="preserve">：详见磋商人须知前附表 </w:t>
      </w:r>
    </w:p>
    <w:p>
      <w:pPr>
        <w:spacing w:line="360" w:lineRule="auto"/>
        <w:ind w:firstLine="420"/>
        <w:rPr>
          <w:rFonts w:hint="eastAsia" w:ascii="宋体" w:hAnsi="宋体" w:eastAsia="宋体"/>
          <w:color w:val="auto"/>
          <w:u w:val="single"/>
          <w:lang w:eastAsia="zh-CN"/>
        </w:rPr>
      </w:pPr>
      <w:r>
        <w:rPr>
          <w:rFonts w:hint="eastAsia" w:ascii="宋体" w:hAnsi="宋体"/>
          <w:color w:val="auto"/>
        </w:rPr>
        <w:t>1.2.</w:t>
      </w:r>
      <w:r>
        <w:rPr>
          <w:rFonts w:hint="eastAsia" w:ascii="宋体" w:hAnsi="宋体"/>
          <w:b/>
          <w:bCs/>
          <w:color w:val="auto"/>
        </w:rPr>
        <w:t>项目编号：</w:t>
      </w:r>
      <w:r>
        <w:rPr>
          <w:rFonts w:hint="eastAsia" w:ascii="宋体" w:hAnsi="宋体"/>
          <w:color w:val="auto"/>
          <w:lang w:eastAsia="zh-CN"/>
        </w:rPr>
        <w:t xml:space="preserve">详见磋商人须知前附表 </w:t>
      </w:r>
    </w:p>
    <w:p>
      <w:pPr>
        <w:pStyle w:val="21"/>
        <w:numPr>
          <w:ilvl w:val="0"/>
          <w:numId w:val="2"/>
        </w:numPr>
        <w:spacing w:line="360" w:lineRule="auto"/>
        <w:outlineLvl w:val="3"/>
        <w:rPr>
          <w:rFonts w:hAnsi="宋体"/>
          <w:b/>
          <w:bCs/>
          <w:color w:val="auto"/>
        </w:rPr>
      </w:pPr>
      <w:r>
        <w:rPr>
          <w:rFonts w:hint="eastAsia" w:hAnsi="宋体"/>
          <w:b/>
          <w:bCs/>
          <w:color w:val="auto"/>
        </w:rPr>
        <w:t>磋商人资格</w:t>
      </w:r>
    </w:p>
    <w:p>
      <w:pPr>
        <w:pStyle w:val="168"/>
        <w:spacing w:line="420" w:lineRule="exact"/>
        <w:ind w:left="425" w:firstLine="0" w:firstLineChars="0"/>
        <w:rPr>
          <w:rFonts w:ascii="宋体" w:hAnsi="宋体"/>
          <w:color w:val="auto"/>
        </w:rPr>
      </w:pPr>
      <w:r>
        <w:rPr>
          <w:rFonts w:hint="eastAsia" w:ascii="宋体" w:hAnsi="宋体"/>
          <w:color w:val="auto"/>
          <w:lang w:val="en-US" w:eastAsia="zh-CN"/>
        </w:rPr>
        <w:t>2.</w:t>
      </w:r>
      <w:r>
        <w:rPr>
          <w:rFonts w:hint="eastAsia" w:ascii="宋体" w:hAnsi="宋体"/>
          <w:color w:val="auto"/>
        </w:rPr>
        <w:t>1、符合《中华人民共和国政府采购法》第二十二条规定条件；</w:t>
      </w:r>
    </w:p>
    <w:p>
      <w:pPr>
        <w:pStyle w:val="168"/>
        <w:spacing w:line="420" w:lineRule="exact"/>
        <w:ind w:left="425" w:firstLine="0" w:firstLineChars="0"/>
        <w:rPr>
          <w:rFonts w:hint="eastAsia" w:ascii="宋体" w:hAnsi="宋体"/>
          <w:color w:val="auto"/>
        </w:rPr>
      </w:pPr>
      <w:r>
        <w:rPr>
          <w:rFonts w:hint="eastAsia" w:ascii="宋体" w:hAnsi="宋体"/>
          <w:color w:val="auto"/>
        </w:rPr>
        <w:t>2</w:t>
      </w:r>
      <w:r>
        <w:rPr>
          <w:rFonts w:hint="eastAsia" w:ascii="宋体" w:hAnsi="宋体"/>
          <w:color w:val="auto"/>
          <w:lang w:val="en-US" w:eastAsia="zh-CN"/>
        </w:rPr>
        <w:t>.2</w:t>
      </w:r>
      <w:r>
        <w:rPr>
          <w:rFonts w:hint="eastAsia" w:ascii="宋体" w:hAnsi="宋体"/>
          <w:color w:val="auto"/>
        </w:rPr>
        <w:t>、本次招标要求</w:t>
      </w:r>
      <w:r>
        <w:rPr>
          <w:rFonts w:hint="eastAsia" w:ascii="宋体" w:hAnsi="宋体"/>
          <w:color w:val="auto"/>
          <w:lang w:eastAsia="zh-CN"/>
        </w:rPr>
        <w:t>磋商</w:t>
      </w:r>
      <w:r>
        <w:rPr>
          <w:rFonts w:hint="eastAsia" w:ascii="宋体" w:hAnsi="宋体"/>
          <w:color w:val="auto"/>
        </w:rPr>
        <w:t>人须具备国内独立法人资格，具备</w:t>
      </w:r>
      <w:r>
        <w:rPr>
          <w:rFonts w:hint="eastAsia" w:ascii="宋体" w:hAnsi="宋体"/>
          <w:color w:val="auto"/>
          <w:lang w:val="en-US" w:eastAsia="zh-CN"/>
        </w:rPr>
        <w:t>建筑工程施工总承包叁级以上（含叁级）</w:t>
      </w:r>
      <w:r>
        <w:rPr>
          <w:rFonts w:hint="eastAsia" w:ascii="宋体" w:hAnsi="宋体"/>
          <w:color w:val="auto"/>
        </w:rPr>
        <w:t>资质并在人员、设备、资金等方面具有相应的施工能力。</w:t>
      </w:r>
    </w:p>
    <w:p>
      <w:pPr>
        <w:pStyle w:val="168"/>
        <w:spacing w:line="420" w:lineRule="exact"/>
        <w:ind w:left="425" w:firstLine="0" w:firstLineChars="0"/>
        <w:rPr>
          <w:rFonts w:ascii="宋体" w:hAnsi="宋体"/>
          <w:color w:val="auto"/>
        </w:rPr>
      </w:pPr>
      <w:r>
        <w:rPr>
          <w:rFonts w:hint="eastAsia" w:ascii="宋体" w:hAnsi="宋体"/>
          <w:color w:val="auto"/>
          <w:lang w:val="en-US" w:eastAsia="zh-CN"/>
        </w:rPr>
        <w:t>2.</w:t>
      </w:r>
      <w:r>
        <w:rPr>
          <w:rFonts w:hint="eastAsia" w:ascii="宋体" w:hAnsi="宋体"/>
          <w:color w:val="auto"/>
        </w:rPr>
        <w:t>3、拟担任本项目的项目经理还应具备</w:t>
      </w:r>
      <w:r>
        <w:rPr>
          <w:rFonts w:hint="eastAsia" w:ascii="宋体" w:hAnsi="宋体"/>
          <w:color w:val="auto"/>
          <w:lang w:eastAsia="zh-CN"/>
        </w:rPr>
        <w:t>贰级或以上注册建造师资格</w:t>
      </w:r>
      <w:r>
        <w:rPr>
          <w:rFonts w:hint="eastAsia" w:ascii="宋体" w:hAnsi="宋体"/>
          <w:color w:val="auto"/>
        </w:rPr>
        <w:t>（</w:t>
      </w:r>
      <w:r>
        <w:rPr>
          <w:rFonts w:hint="eastAsia" w:ascii="宋体" w:hAnsi="宋体"/>
          <w:color w:val="auto"/>
          <w:lang w:eastAsia="zh-CN"/>
        </w:rPr>
        <w:t>建筑工程</w:t>
      </w:r>
      <w:r>
        <w:rPr>
          <w:rFonts w:hint="eastAsia" w:ascii="宋体" w:hAnsi="宋体"/>
          <w:color w:val="auto"/>
        </w:rPr>
        <w:t>），并具有相关部门颁发的《安全生产考核合格证书》。</w:t>
      </w:r>
    </w:p>
    <w:p>
      <w:pPr>
        <w:pStyle w:val="168"/>
        <w:spacing w:line="420" w:lineRule="exact"/>
        <w:ind w:left="425" w:firstLine="0" w:firstLineChars="0"/>
        <w:rPr>
          <w:rFonts w:ascii="宋体" w:hAnsi="宋体"/>
          <w:color w:val="auto"/>
        </w:rPr>
      </w:pPr>
      <w:r>
        <w:rPr>
          <w:rFonts w:hint="eastAsia" w:ascii="宋体" w:hAnsi="宋体"/>
          <w:color w:val="auto"/>
          <w:lang w:val="en-US" w:eastAsia="zh-CN"/>
        </w:rPr>
        <w:t>2.</w:t>
      </w:r>
      <w:r>
        <w:rPr>
          <w:rFonts w:hint="eastAsia" w:ascii="宋体" w:hAnsi="宋体"/>
          <w:color w:val="auto"/>
        </w:rPr>
        <w:t>4、不接受被列入政府采购不良行为记录名单的供应商参加本项目的采购活动。根据最高人民法院等9部门《关于在招标磋商活动中对失信被执行人实施联合惩戒的通知》（法〔2016〕285号）规定，磋商人不得为失信被执行人。</w:t>
      </w:r>
    </w:p>
    <w:p>
      <w:pPr>
        <w:pStyle w:val="168"/>
        <w:spacing w:line="420" w:lineRule="exact"/>
        <w:ind w:left="425" w:firstLine="0" w:firstLineChars="0"/>
        <w:rPr>
          <w:rFonts w:ascii="宋体" w:hAnsi="宋体"/>
          <w:color w:val="auto"/>
        </w:rPr>
      </w:pPr>
      <w:r>
        <w:rPr>
          <w:rFonts w:hint="eastAsia" w:ascii="宋体" w:hAnsi="宋体"/>
          <w:color w:val="auto"/>
          <w:lang w:val="en-US" w:eastAsia="zh-CN"/>
        </w:rPr>
        <w:t>2.</w:t>
      </w:r>
      <w:r>
        <w:rPr>
          <w:rFonts w:hint="eastAsia" w:ascii="宋体" w:hAnsi="宋体"/>
          <w:color w:val="auto"/>
        </w:rPr>
        <w:t>5、本次招标不接受联合体磋商。</w:t>
      </w:r>
    </w:p>
    <w:p>
      <w:pPr>
        <w:pStyle w:val="21"/>
        <w:numPr>
          <w:ilvl w:val="0"/>
          <w:numId w:val="2"/>
        </w:numPr>
        <w:spacing w:line="360" w:lineRule="auto"/>
        <w:outlineLvl w:val="3"/>
        <w:rPr>
          <w:rFonts w:hAnsi="宋体"/>
          <w:b/>
          <w:bCs/>
          <w:color w:val="auto"/>
        </w:rPr>
      </w:pPr>
      <w:r>
        <w:rPr>
          <w:rFonts w:hint="eastAsia" w:hAnsi="宋体"/>
          <w:b/>
          <w:bCs/>
          <w:color w:val="auto"/>
        </w:rPr>
        <w:t>磋商公告发布媒介</w:t>
      </w:r>
    </w:p>
    <w:p>
      <w:pPr>
        <w:spacing w:line="360" w:lineRule="auto"/>
        <w:ind w:firstLine="420" w:firstLineChars="200"/>
        <w:rPr>
          <w:rFonts w:ascii="宋体" w:hAnsi="宋体"/>
          <w:color w:val="auto"/>
        </w:rPr>
      </w:pPr>
      <w:r>
        <w:rPr>
          <w:rFonts w:hint="eastAsia" w:ascii="宋体" w:hAnsi="宋体"/>
          <w:color w:val="auto"/>
        </w:rPr>
        <w:t>磋商公告见中国政府采购网、广西壮族自治区政府采购网、中国采购与招标网。</w:t>
      </w:r>
    </w:p>
    <w:p>
      <w:pPr>
        <w:pStyle w:val="21"/>
        <w:spacing w:line="360" w:lineRule="auto"/>
        <w:jc w:val="center"/>
        <w:outlineLvl w:val="2"/>
        <w:rPr>
          <w:rFonts w:hAnsi="宋体"/>
          <w:b/>
          <w:bCs/>
          <w:color w:val="auto"/>
        </w:rPr>
      </w:pPr>
      <w:bookmarkStart w:id="60" w:name="_Toc446927402"/>
      <w:bookmarkEnd w:id="60"/>
      <w:r>
        <w:rPr>
          <w:rFonts w:hint="eastAsia" w:hAnsi="宋体"/>
          <w:b/>
          <w:bCs/>
          <w:color w:val="auto"/>
        </w:rPr>
        <w:t>（二）磋商文件的澄清和修改</w:t>
      </w:r>
    </w:p>
    <w:p>
      <w:pPr>
        <w:pStyle w:val="21"/>
        <w:spacing w:line="360" w:lineRule="auto"/>
        <w:jc w:val="center"/>
        <w:outlineLvl w:val="2"/>
        <w:rPr>
          <w:rFonts w:hAnsi="宋体"/>
          <w:b/>
          <w:bCs/>
          <w:color w:val="auto"/>
        </w:rPr>
      </w:pPr>
    </w:p>
    <w:p>
      <w:pPr>
        <w:pStyle w:val="21"/>
        <w:numPr>
          <w:ilvl w:val="0"/>
          <w:numId w:val="2"/>
        </w:numPr>
        <w:spacing w:line="360" w:lineRule="auto"/>
        <w:outlineLvl w:val="3"/>
        <w:rPr>
          <w:rFonts w:hAnsi="宋体"/>
          <w:b/>
          <w:bCs/>
          <w:color w:val="auto"/>
        </w:rPr>
      </w:pPr>
      <w:r>
        <w:rPr>
          <w:rFonts w:hint="eastAsia" w:hAnsi="宋体"/>
          <w:b/>
          <w:bCs/>
          <w:color w:val="auto"/>
        </w:rPr>
        <w:t>磋商文件的澄清和修改</w:t>
      </w:r>
    </w:p>
    <w:p>
      <w:pPr>
        <w:pStyle w:val="21"/>
        <w:numPr>
          <w:ilvl w:val="1"/>
          <w:numId w:val="2"/>
        </w:numPr>
        <w:spacing w:line="360" w:lineRule="auto"/>
        <w:ind w:left="0" w:firstLine="412"/>
        <w:rPr>
          <w:rFonts w:hAnsi="宋体"/>
          <w:color w:val="auto"/>
        </w:rPr>
      </w:pPr>
      <w:r>
        <w:rPr>
          <w:rFonts w:hint="eastAsia" w:hAnsi="宋体"/>
          <w:color w:val="auto"/>
        </w:rPr>
        <w:t>磋商人应认真审核《采购项目内容及要求》中的内容，如发现表中要求不合理的，磋商人必须在规定的时间前要求澄清，否则，视为磋商人已经完全认可本次项目的磋商文件，产生的后果由磋商人负责。</w:t>
      </w:r>
    </w:p>
    <w:p>
      <w:pPr>
        <w:pStyle w:val="21"/>
        <w:numPr>
          <w:ilvl w:val="1"/>
          <w:numId w:val="2"/>
        </w:numPr>
        <w:spacing w:line="360" w:lineRule="auto"/>
        <w:ind w:left="0" w:firstLine="412"/>
        <w:rPr>
          <w:rFonts w:hAnsi="宋体"/>
          <w:b/>
          <w:bCs/>
          <w:color w:val="auto"/>
        </w:rPr>
      </w:pPr>
      <w:r>
        <w:rPr>
          <w:rFonts w:hint="eastAsia" w:hAnsi="宋体"/>
          <w:color w:val="auto"/>
        </w:rPr>
        <w:t>任何要求澄清磋商文件的磋商人，均应在磋商截止日期3天前的正常工作时间以书面形式（包括信函、传真等可以有形地表现所载内容的形式，下同）通知采购代理机构，采购代理机构将以书面形式予以答复。采购代理机构对已发出的磋商文件进行必要澄清或者修改的，在磋商文件要求提交磋商文件截止时间5天前，在本磋商公告发布网站通知所有磋商文件收受人。该澄清或者修改的内容为磋商文件的组成部分。如果澄清发出时间距磋商截止时间不足5天，相应延长磋商截止时间和开标时间。</w:t>
      </w:r>
    </w:p>
    <w:p>
      <w:pPr>
        <w:pStyle w:val="21"/>
        <w:spacing w:line="360" w:lineRule="auto"/>
        <w:jc w:val="center"/>
        <w:outlineLvl w:val="2"/>
        <w:rPr>
          <w:rFonts w:hAnsi="宋体"/>
          <w:b/>
          <w:bCs/>
          <w:color w:val="auto"/>
        </w:rPr>
      </w:pPr>
      <w:bookmarkStart w:id="61" w:name="_Toc446927403"/>
      <w:bookmarkEnd w:id="61"/>
      <w:r>
        <w:rPr>
          <w:rFonts w:hint="eastAsia" w:hAnsi="宋体"/>
          <w:b/>
          <w:bCs/>
          <w:color w:val="auto"/>
        </w:rPr>
        <w:t>（三）磋商响应文件的编制</w:t>
      </w:r>
    </w:p>
    <w:p>
      <w:pPr>
        <w:pStyle w:val="21"/>
        <w:numPr>
          <w:ilvl w:val="0"/>
          <w:numId w:val="2"/>
        </w:numPr>
        <w:spacing w:line="360" w:lineRule="auto"/>
        <w:outlineLvl w:val="3"/>
        <w:rPr>
          <w:rFonts w:hAnsi="宋体"/>
          <w:b/>
          <w:bCs/>
          <w:color w:val="auto"/>
        </w:rPr>
      </w:pPr>
      <w:r>
        <w:rPr>
          <w:rFonts w:hint="eastAsia" w:hAnsi="宋体"/>
          <w:b/>
          <w:bCs/>
          <w:color w:val="auto"/>
        </w:rPr>
        <w:t>磋商响应文件编写的注意事项</w:t>
      </w:r>
    </w:p>
    <w:p>
      <w:pPr>
        <w:pStyle w:val="21"/>
        <w:numPr>
          <w:ilvl w:val="1"/>
          <w:numId w:val="2"/>
        </w:numPr>
        <w:spacing w:line="360" w:lineRule="auto"/>
        <w:ind w:left="0" w:firstLine="412"/>
        <w:rPr>
          <w:rFonts w:hAnsi="宋体"/>
          <w:color w:val="auto"/>
        </w:rPr>
      </w:pPr>
      <w:r>
        <w:rPr>
          <w:rFonts w:hint="eastAsia" w:hAnsi="宋体"/>
          <w:color w:val="auto"/>
        </w:rPr>
        <w:t>磋商人应认真阅读磋商文件，按照磋商文件的要求编制磋商响应文件。磋商响应文件应对磋商文件提出要求和条件作出实质性响应。</w:t>
      </w:r>
    </w:p>
    <w:p>
      <w:pPr>
        <w:pStyle w:val="21"/>
        <w:numPr>
          <w:ilvl w:val="1"/>
          <w:numId w:val="2"/>
        </w:numPr>
        <w:spacing w:line="360" w:lineRule="auto"/>
        <w:ind w:left="0" w:firstLine="412"/>
        <w:rPr>
          <w:rFonts w:hAnsi="宋体"/>
          <w:color w:val="auto"/>
        </w:rPr>
      </w:pPr>
      <w:r>
        <w:rPr>
          <w:rFonts w:hint="eastAsia" w:hAnsi="宋体"/>
          <w:color w:val="auto"/>
        </w:rPr>
        <w:t>对磋商文件提出的实质性要求和条件作出响应是指磋商人必须对磋商文件中报价、工程量清单、工期及其它要求、合同主要条款等内容作出响应。</w:t>
      </w:r>
    </w:p>
    <w:p>
      <w:pPr>
        <w:pStyle w:val="21"/>
        <w:numPr>
          <w:ilvl w:val="0"/>
          <w:numId w:val="2"/>
        </w:numPr>
        <w:spacing w:line="360" w:lineRule="auto"/>
        <w:outlineLvl w:val="3"/>
        <w:rPr>
          <w:rFonts w:hAnsi="宋体"/>
          <w:b/>
          <w:bCs/>
          <w:color w:val="auto"/>
        </w:rPr>
      </w:pPr>
      <w:r>
        <w:rPr>
          <w:rFonts w:hint="eastAsia" w:hAnsi="宋体"/>
          <w:b/>
          <w:bCs/>
          <w:color w:val="auto"/>
        </w:rPr>
        <w:t>磋商响应文件的文字及计量单位</w:t>
      </w:r>
    </w:p>
    <w:p>
      <w:pPr>
        <w:pStyle w:val="21"/>
        <w:numPr>
          <w:ilvl w:val="1"/>
          <w:numId w:val="2"/>
        </w:numPr>
        <w:spacing w:line="360" w:lineRule="auto"/>
        <w:ind w:left="0" w:firstLine="426"/>
        <w:rPr>
          <w:rFonts w:hAnsi="宋体"/>
          <w:color w:val="auto"/>
          <w:spacing w:val="-4"/>
        </w:rPr>
      </w:pPr>
      <w:r>
        <w:rPr>
          <w:rFonts w:hint="eastAsia" w:hAnsi="宋体"/>
          <w:color w:val="auto"/>
          <w:spacing w:val="-4"/>
        </w:rPr>
        <w:t>磋商人的磋商</w:t>
      </w:r>
      <w:r>
        <w:rPr>
          <w:rFonts w:hint="eastAsia" w:hAnsi="宋体"/>
          <w:color w:val="auto"/>
        </w:rPr>
        <w:t>响应</w:t>
      </w:r>
      <w:r>
        <w:rPr>
          <w:rFonts w:hint="eastAsia" w:hAnsi="宋体"/>
          <w:color w:val="auto"/>
          <w:spacing w:val="-4"/>
        </w:rPr>
        <w:t>文件以及磋商人与本采购代理机构的所有来往的函件统一使用中文（另有规定的除外）。</w:t>
      </w:r>
    </w:p>
    <w:p>
      <w:pPr>
        <w:pStyle w:val="21"/>
        <w:numPr>
          <w:ilvl w:val="1"/>
          <w:numId w:val="2"/>
        </w:numPr>
        <w:spacing w:line="360" w:lineRule="auto"/>
        <w:ind w:hanging="361"/>
        <w:rPr>
          <w:rFonts w:hAnsi="宋体"/>
          <w:color w:val="auto"/>
        </w:rPr>
      </w:pPr>
      <w:r>
        <w:rPr>
          <w:rFonts w:hint="eastAsia" w:hAnsi="宋体"/>
          <w:color w:val="auto"/>
        </w:rPr>
        <w:t>磋商响应文件中使用的计量单位除磋商文件中有特殊规定外，一律使用法定计量单位。</w:t>
      </w:r>
    </w:p>
    <w:p>
      <w:pPr>
        <w:pStyle w:val="21"/>
        <w:numPr>
          <w:ilvl w:val="0"/>
          <w:numId w:val="2"/>
        </w:numPr>
        <w:spacing w:line="360" w:lineRule="auto"/>
        <w:outlineLvl w:val="3"/>
        <w:rPr>
          <w:rFonts w:hAnsi="宋体"/>
          <w:b/>
          <w:bCs/>
          <w:color w:val="auto"/>
        </w:rPr>
      </w:pPr>
      <w:r>
        <w:rPr>
          <w:rFonts w:hint="eastAsia" w:hAnsi="宋体"/>
          <w:b/>
          <w:bCs/>
          <w:color w:val="auto"/>
        </w:rPr>
        <w:t>磋商响应文件书写及签名、盖章要求</w:t>
      </w:r>
    </w:p>
    <w:p>
      <w:pPr>
        <w:pStyle w:val="21"/>
        <w:numPr>
          <w:ilvl w:val="1"/>
          <w:numId w:val="2"/>
        </w:numPr>
        <w:spacing w:line="360" w:lineRule="auto"/>
        <w:ind w:hanging="361"/>
        <w:rPr>
          <w:rFonts w:hAnsi="宋体"/>
          <w:color w:val="auto"/>
        </w:rPr>
      </w:pPr>
      <w:r>
        <w:rPr>
          <w:rFonts w:hint="eastAsia" w:hAnsi="宋体"/>
          <w:color w:val="auto"/>
        </w:rPr>
        <w:t>磋商响应文件正本必须用不褪色的墨水书写或打印，否则可能将被认定为无效的磋商响应文件。</w:t>
      </w:r>
    </w:p>
    <w:p>
      <w:pPr>
        <w:pStyle w:val="21"/>
        <w:numPr>
          <w:ilvl w:val="1"/>
          <w:numId w:val="2"/>
        </w:numPr>
        <w:spacing w:line="360" w:lineRule="auto"/>
        <w:ind w:hanging="361"/>
        <w:rPr>
          <w:rFonts w:hAnsi="宋体"/>
          <w:color w:val="auto"/>
        </w:rPr>
      </w:pPr>
      <w:r>
        <w:rPr>
          <w:rFonts w:hint="eastAsia" w:hAnsi="宋体"/>
          <w:color w:val="auto"/>
        </w:rPr>
        <w:t>磋商响应文件的书写应清楚工整，修改处应由法定代表人或委托代理人签字或加盖公章。</w:t>
      </w:r>
    </w:p>
    <w:p>
      <w:pPr>
        <w:pStyle w:val="21"/>
        <w:numPr>
          <w:ilvl w:val="1"/>
          <w:numId w:val="2"/>
        </w:numPr>
        <w:spacing w:line="360" w:lineRule="auto"/>
        <w:ind w:left="0" w:firstLine="412"/>
        <w:rPr>
          <w:rFonts w:hAnsi="宋体"/>
          <w:color w:val="auto"/>
        </w:rPr>
      </w:pPr>
      <w:r>
        <w:rPr>
          <w:rFonts w:hint="eastAsia" w:hAnsi="宋体"/>
          <w:color w:val="auto"/>
        </w:rPr>
        <w:t>字迹潦草、未按要求填写或表达不清可能导致非唯一理解的磋商响应文件可能将被认定为无效的响应文件。</w:t>
      </w:r>
    </w:p>
    <w:p>
      <w:pPr>
        <w:pStyle w:val="21"/>
        <w:numPr>
          <w:ilvl w:val="1"/>
          <w:numId w:val="2"/>
        </w:numPr>
        <w:spacing w:line="360" w:lineRule="auto"/>
        <w:ind w:hanging="361"/>
        <w:rPr>
          <w:rFonts w:hAnsi="宋体"/>
          <w:color w:val="auto"/>
        </w:rPr>
      </w:pPr>
      <w:r>
        <w:rPr>
          <w:rFonts w:hint="eastAsia" w:hAnsi="宋体"/>
          <w:color w:val="auto"/>
        </w:rPr>
        <w:t>磋商响应文件应由法定代表人或委托代理人在凡规定签字、盖章处逐一签名、加盖公章。</w:t>
      </w:r>
    </w:p>
    <w:p>
      <w:pPr>
        <w:pStyle w:val="21"/>
        <w:numPr>
          <w:ilvl w:val="0"/>
          <w:numId w:val="2"/>
        </w:numPr>
        <w:spacing w:line="360" w:lineRule="auto"/>
        <w:outlineLvl w:val="3"/>
        <w:rPr>
          <w:rFonts w:hAnsi="宋体"/>
          <w:b/>
          <w:bCs/>
          <w:color w:val="auto"/>
        </w:rPr>
      </w:pPr>
      <w:r>
        <w:rPr>
          <w:rFonts w:hint="eastAsia" w:hAnsi="宋体"/>
          <w:b/>
          <w:bCs/>
          <w:color w:val="auto"/>
        </w:rPr>
        <w:t>磋商响应文件的构成</w:t>
      </w:r>
    </w:p>
    <w:p>
      <w:pPr>
        <w:pStyle w:val="21"/>
        <w:spacing w:line="360" w:lineRule="auto"/>
        <w:ind w:firstLine="420" w:firstLineChars="200"/>
        <w:jc w:val="left"/>
        <w:rPr>
          <w:rFonts w:hAnsi="宋体"/>
          <w:color w:val="auto"/>
        </w:rPr>
      </w:pPr>
      <w:r>
        <w:rPr>
          <w:rFonts w:hint="eastAsia" w:hAnsi="宋体"/>
          <w:color w:val="auto"/>
        </w:rPr>
        <w:t>9.1磋商人编写的且在磋商响应文件递交截止时间前递交的响应文件必须包括下列内容（磋商人必须按磋商文件第五章《磋商响应文件（格式）》要求自编目录及标注页码装订成册，且磋商响应文件装订位置必须封边，不允许使用活页夹、拉杆夹、夹条等可能导致磋商响应文件散落或脱页的装订方式，否则将被视为无效磋商响应文件）：</w:t>
      </w:r>
    </w:p>
    <w:p>
      <w:pPr>
        <w:pStyle w:val="21"/>
        <w:spacing w:line="360" w:lineRule="auto"/>
        <w:ind w:left="420"/>
        <w:rPr>
          <w:rFonts w:hAnsi="宋体"/>
          <w:color w:val="auto"/>
        </w:rPr>
      </w:pPr>
      <w:r>
        <w:rPr>
          <w:rFonts w:hint="eastAsia" w:hAnsi="宋体"/>
          <w:color w:val="auto"/>
        </w:rPr>
        <w:t>（1）磋商函</w:t>
      </w:r>
    </w:p>
    <w:p>
      <w:pPr>
        <w:pStyle w:val="21"/>
        <w:spacing w:line="360" w:lineRule="auto"/>
        <w:ind w:left="420"/>
        <w:jc w:val="left"/>
        <w:rPr>
          <w:rFonts w:hAnsi="宋体"/>
          <w:color w:val="auto"/>
        </w:rPr>
      </w:pPr>
      <w:r>
        <w:rPr>
          <w:rFonts w:hint="eastAsia" w:hAnsi="宋体"/>
          <w:color w:val="auto"/>
        </w:rPr>
        <w:t>（2）磋商响应表</w:t>
      </w:r>
    </w:p>
    <w:p>
      <w:pPr>
        <w:spacing w:line="360" w:lineRule="auto"/>
        <w:ind w:left="420"/>
        <w:jc w:val="left"/>
        <w:rPr>
          <w:rFonts w:ascii="宋体" w:hAnsi="宋体"/>
          <w:color w:val="auto"/>
        </w:rPr>
      </w:pPr>
      <w:r>
        <w:rPr>
          <w:rFonts w:hint="eastAsia" w:ascii="宋体" w:hAnsi="宋体"/>
          <w:color w:val="auto"/>
        </w:rPr>
        <w:t>（3）磋商人基本情况表</w:t>
      </w:r>
    </w:p>
    <w:p>
      <w:pPr>
        <w:pStyle w:val="21"/>
        <w:spacing w:line="360" w:lineRule="auto"/>
        <w:ind w:left="420"/>
        <w:jc w:val="left"/>
        <w:rPr>
          <w:rFonts w:hAnsi="宋体"/>
          <w:color w:val="auto"/>
        </w:rPr>
      </w:pPr>
      <w:r>
        <w:rPr>
          <w:rFonts w:hint="eastAsia" w:hAnsi="宋体"/>
          <w:color w:val="auto"/>
        </w:rPr>
        <w:t>（4）</w:t>
      </w:r>
      <w:r>
        <w:rPr>
          <w:rFonts w:hint="eastAsia" w:hAnsi="宋体"/>
          <w:color w:val="auto"/>
          <w:lang w:eastAsia="zh-CN"/>
        </w:rPr>
        <w:t>磋商</w:t>
      </w:r>
      <w:r>
        <w:rPr>
          <w:rFonts w:hint="eastAsia" w:hAnsi="宋体"/>
          <w:color w:val="auto"/>
        </w:rPr>
        <w:t>保证金缴纳证明（格式）</w:t>
      </w:r>
    </w:p>
    <w:p>
      <w:pPr>
        <w:pStyle w:val="21"/>
        <w:spacing w:line="360" w:lineRule="auto"/>
        <w:ind w:left="420"/>
        <w:jc w:val="left"/>
        <w:rPr>
          <w:rFonts w:hAnsi="宋体"/>
          <w:color w:val="auto"/>
        </w:rPr>
      </w:pPr>
      <w:r>
        <w:rPr>
          <w:rFonts w:hint="eastAsia" w:hAnsi="宋体"/>
          <w:color w:val="auto"/>
        </w:rPr>
        <w:t>（5）授权委托书（格式）</w:t>
      </w:r>
    </w:p>
    <w:p>
      <w:pPr>
        <w:pStyle w:val="21"/>
        <w:spacing w:line="360" w:lineRule="auto"/>
        <w:ind w:left="420"/>
        <w:jc w:val="left"/>
        <w:outlineLvl w:val="2"/>
        <w:rPr>
          <w:rFonts w:hAnsi="宋体"/>
          <w:color w:val="auto"/>
        </w:rPr>
      </w:pPr>
      <w:r>
        <w:rPr>
          <w:rFonts w:hint="eastAsia" w:hAnsi="宋体"/>
          <w:color w:val="auto"/>
        </w:rPr>
        <w:t>（6）已标价的工程量清单</w:t>
      </w:r>
    </w:p>
    <w:p>
      <w:pPr>
        <w:pStyle w:val="21"/>
        <w:spacing w:line="360" w:lineRule="auto"/>
        <w:ind w:left="420"/>
        <w:jc w:val="left"/>
        <w:outlineLvl w:val="2"/>
        <w:rPr>
          <w:rFonts w:hAnsi="宋体"/>
          <w:color w:val="auto"/>
        </w:rPr>
      </w:pPr>
      <w:r>
        <w:rPr>
          <w:rFonts w:hint="eastAsia" w:hAnsi="宋体"/>
          <w:color w:val="auto"/>
        </w:rPr>
        <w:t>（7）施工组织设计</w:t>
      </w:r>
    </w:p>
    <w:p>
      <w:pPr>
        <w:pStyle w:val="21"/>
        <w:spacing w:line="360" w:lineRule="auto"/>
        <w:ind w:left="420"/>
        <w:jc w:val="left"/>
        <w:outlineLvl w:val="2"/>
        <w:rPr>
          <w:rFonts w:hAnsi="宋体"/>
          <w:color w:val="auto"/>
        </w:rPr>
      </w:pPr>
      <w:r>
        <w:rPr>
          <w:rFonts w:hint="eastAsia" w:hAnsi="宋体"/>
          <w:color w:val="auto"/>
        </w:rPr>
        <w:t>（8）项目管理机构配备情况表（格式）</w:t>
      </w:r>
    </w:p>
    <w:p>
      <w:pPr>
        <w:pStyle w:val="21"/>
        <w:spacing w:line="360" w:lineRule="auto"/>
        <w:ind w:left="420"/>
        <w:jc w:val="left"/>
        <w:rPr>
          <w:rFonts w:hint="eastAsia" w:hAnsi="宋体" w:eastAsia="宋体"/>
          <w:color w:val="auto"/>
          <w:lang w:eastAsia="zh-CN"/>
        </w:rPr>
      </w:pPr>
      <w:r>
        <w:rPr>
          <w:rFonts w:hint="eastAsia" w:hAnsi="宋体"/>
          <w:color w:val="auto"/>
        </w:rPr>
        <w:t>（9）</w:t>
      </w:r>
      <w:r>
        <w:rPr>
          <w:rFonts w:hint="eastAsia" w:hAnsi="宋体"/>
          <w:color w:val="auto"/>
          <w:lang w:eastAsia="zh-CN"/>
        </w:rPr>
        <w:t>企业业绩</w:t>
      </w:r>
    </w:p>
    <w:p>
      <w:pPr>
        <w:pStyle w:val="21"/>
        <w:spacing w:line="360" w:lineRule="auto"/>
        <w:ind w:left="420"/>
        <w:jc w:val="left"/>
        <w:rPr>
          <w:rFonts w:hAnsi="宋体"/>
          <w:color w:val="auto"/>
        </w:rPr>
      </w:pPr>
      <w:r>
        <w:rPr>
          <w:rFonts w:hint="eastAsia" w:hAnsi="宋体"/>
          <w:color w:val="auto"/>
          <w:lang w:eastAsia="zh-CN"/>
        </w:rPr>
        <w:t>（</w:t>
      </w:r>
      <w:r>
        <w:rPr>
          <w:rFonts w:hint="eastAsia" w:hAnsi="宋体"/>
          <w:color w:val="auto"/>
          <w:lang w:val="en-US" w:eastAsia="zh-CN"/>
        </w:rPr>
        <w:t>10</w:t>
      </w:r>
      <w:r>
        <w:rPr>
          <w:rFonts w:hint="eastAsia" w:hAnsi="宋体"/>
          <w:color w:val="auto"/>
          <w:lang w:eastAsia="zh-CN"/>
        </w:rPr>
        <w:t>）</w:t>
      </w:r>
      <w:r>
        <w:rPr>
          <w:rFonts w:hint="eastAsia" w:hAnsi="宋体"/>
          <w:color w:val="auto"/>
        </w:rPr>
        <w:t>磋商人认为有必要提供的证明材料</w:t>
      </w:r>
    </w:p>
    <w:p>
      <w:pPr>
        <w:pStyle w:val="21"/>
        <w:spacing w:line="360" w:lineRule="auto"/>
        <w:ind w:firstLine="538" w:firstLineChars="255"/>
        <w:rPr>
          <w:rFonts w:hAnsi="宋体"/>
          <w:color w:val="auto"/>
        </w:rPr>
      </w:pPr>
      <w:r>
        <w:rPr>
          <w:rFonts w:hint="eastAsia" w:hAnsi="宋体"/>
          <w:b/>
          <w:bCs/>
          <w:color w:val="auto"/>
        </w:rPr>
        <w:t>9.2磋商响应文件应按如下份数递交，否则视为无效磋商：</w:t>
      </w:r>
      <w:r>
        <w:rPr>
          <w:rFonts w:hint="eastAsia" w:hAnsi="宋体"/>
          <w:b/>
          <w:bCs/>
          <w:color w:val="auto"/>
          <w:u w:val="single"/>
        </w:rPr>
        <w:t>正本一份，副本</w:t>
      </w:r>
      <w:r>
        <w:rPr>
          <w:rFonts w:hint="eastAsia" w:hAnsi="宋体"/>
          <w:b/>
          <w:bCs/>
          <w:color w:val="auto"/>
          <w:u w:val="single"/>
          <w:lang w:val="en-US" w:eastAsia="zh-CN"/>
        </w:rPr>
        <w:t>四</w:t>
      </w:r>
      <w:r>
        <w:rPr>
          <w:rFonts w:hint="eastAsia" w:hAnsi="宋体"/>
          <w:b/>
          <w:bCs/>
          <w:color w:val="auto"/>
          <w:u w:val="single"/>
        </w:rPr>
        <w:t>份，共</w:t>
      </w:r>
      <w:r>
        <w:rPr>
          <w:rFonts w:hint="eastAsia" w:hAnsi="宋体"/>
          <w:b/>
          <w:bCs/>
          <w:color w:val="auto"/>
          <w:u w:val="single"/>
          <w:lang w:val="en-US" w:eastAsia="zh-CN"/>
        </w:rPr>
        <w:t>五</w:t>
      </w:r>
      <w:r>
        <w:rPr>
          <w:rFonts w:hint="eastAsia" w:hAnsi="宋体"/>
          <w:b/>
          <w:bCs/>
          <w:color w:val="auto"/>
          <w:u w:val="single"/>
        </w:rPr>
        <w:t>份（副本可用正本复印件）</w:t>
      </w:r>
      <w:r>
        <w:rPr>
          <w:rFonts w:hint="eastAsia" w:hAnsi="宋体"/>
          <w:color w:val="auto"/>
        </w:rPr>
        <w:t>。并在每份文件上注明“正本”、“副本”字样，一旦副本和正本不符，以正本为准。</w:t>
      </w:r>
    </w:p>
    <w:p>
      <w:pPr>
        <w:pStyle w:val="21"/>
        <w:numPr>
          <w:ilvl w:val="0"/>
          <w:numId w:val="2"/>
        </w:numPr>
        <w:spacing w:line="360" w:lineRule="auto"/>
        <w:outlineLvl w:val="3"/>
        <w:rPr>
          <w:rFonts w:hAnsi="宋体"/>
          <w:b/>
          <w:bCs/>
          <w:color w:val="auto"/>
        </w:rPr>
      </w:pPr>
      <w:r>
        <w:rPr>
          <w:rFonts w:hint="eastAsia" w:hAnsi="宋体"/>
          <w:b/>
          <w:bCs/>
          <w:color w:val="auto"/>
        </w:rPr>
        <w:t>磋商响应文件格式</w:t>
      </w:r>
    </w:p>
    <w:p>
      <w:pPr>
        <w:pStyle w:val="21"/>
        <w:numPr>
          <w:ilvl w:val="1"/>
          <w:numId w:val="2"/>
        </w:numPr>
        <w:spacing w:line="360" w:lineRule="auto"/>
        <w:ind w:hanging="464"/>
        <w:rPr>
          <w:rFonts w:hAnsi="宋体"/>
          <w:b/>
          <w:bCs/>
          <w:color w:val="auto"/>
        </w:rPr>
      </w:pPr>
      <w:r>
        <w:rPr>
          <w:rFonts w:hint="eastAsia" w:hAnsi="宋体"/>
          <w:color w:val="auto"/>
        </w:rPr>
        <w:t>磋商人应按磋商文件提供的磋商函、磋商函附录等格式详细完整地填写各项内容。</w:t>
      </w:r>
    </w:p>
    <w:p>
      <w:pPr>
        <w:pStyle w:val="21"/>
        <w:spacing w:line="360" w:lineRule="auto"/>
        <w:rPr>
          <w:rFonts w:hAnsi="宋体"/>
          <w:b/>
          <w:bCs/>
          <w:color w:val="auto"/>
        </w:rPr>
      </w:pPr>
    </w:p>
    <w:p>
      <w:pPr>
        <w:pStyle w:val="21"/>
        <w:spacing w:line="360" w:lineRule="auto"/>
        <w:jc w:val="center"/>
        <w:outlineLvl w:val="2"/>
        <w:rPr>
          <w:rFonts w:hAnsi="宋体"/>
          <w:b/>
          <w:bCs/>
          <w:color w:val="auto"/>
        </w:rPr>
      </w:pPr>
      <w:bookmarkStart w:id="62" w:name="_Toc446927404"/>
      <w:bookmarkEnd w:id="62"/>
      <w:r>
        <w:rPr>
          <w:rFonts w:hint="eastAsia" w:hAnsi="宋体"/>
          <w:b/>
          <w:bCs/>
          <w:color w:val="auto"/>
        </w:rPr>
        <w:t>（四）磋商报价</w:t>
      </w:r>
    </w:p>
    <w:p>
      <w:pPr>
        <w:pStyle w:val="21"/>
        <w:numPr>
          <w:ilvl w:val="0"/>
          <w:numId w:val="2"/>
        </w:numPr>
        <w:spacing w:line="360" w:lineRule="auto"/>
        <w:outlineLvl w:val="3"/>
        <w:rPr>
          <w:rFonts w:hAnsi="宋体"/>
          <w:b/>
          <w:bCs/>
          <w:color w:val="auto"/>
        </w:rPr>
      </w:pPr>
      <w:r>
        <w:rPr>
          <w:rFonts w:hint="eastAsia" w:hAnsi="宋体"/>
          <w:b/>
          <w:bCs/>
          <w:color w:val="auto"/>
        </w:rPr>
        <w:t>磋商报价</w:t>
      </w:r>
    </w:p>
    <w:p>
      <w:pPr>
        <w:pStyle w:val="21"/>
        <w:numPr>
          <w:ilvl w:val="1"/>
          <w:numId w:val="2"/>
        </w:numPr>
        <w:spacing w:line="360" w:lineRule="auto"/>
        <w:ind w:left="0" w:firstLine="309"/>
        <w:rPr>
          <w:rFonts w:hAnsi="宋体"/>
          <w:color w:val="auto"/>
        </w:rPr>
      </w:pPr>
      <w:r>
        <w:rPr>
          <w:rFonts w:hint="eastAsia" w:hAnsi="宋体"/>
          <w:color w:val="auto"/>
        </w:rPr>
        <w:t>磋商人应在磋商函上标明单价和总价。大写金额和小写金额不一致的，以大写金额为准；总价金额与按单价汇总金额不一致的，以单价金额计算结果为准；单价金额小数点有明显错位的，应以总价为准，并修改单价；对不同文字文本磋商响应文件的解释发生异议的，以中文文本为准。如果因磋商人原因引起的报价失误，并在磋商时被接受，其后果由磋商人自负。</w:t>
      </w:r>
    </w:p>
    <w:p>
      <w:pPr>
        <w:pStyle w:val="21"/>
        <w:numPr>
          <w:ilvl w:val="1"/>
          <w:numId w:val="2"/>
        </w:numPr>
        <w:spacing w:line="360" w:lineRule="auto"/>
        <w:ind w:left="0" w:firstLine="309"/>
        <w:rPr>
          <w:rFonts w:hAnsi="宋体"/>
          <w:color w:val="auto"/>
        </w:rPr>
      </w:pPr>
      <w:r>
        <w:rPr>
          <w:rFonts w:hint="eastAsia" w:hAnsi="宋体"/>
          <w:color w:val="auto"/>
        </w:rPr>
        <w:t>磋商人应就第三章《采购项目内容及要求》中的所有服务及其他全部内容作完整唯一报价。磋商人的最终报价不得高于磋商文件采购预算价，否则作无效磋商处理。</w:t>
      </w:r>
    </w:p>
    <w:p>
      <w:pPr>
        <w:pStyle w:val="21"/>
        <w:numPr>
          <w:ilvl w:val="1"/>
          <w:numId w:val="2"/>
        </w:numPr>
        <w:spacing w:line="360" w:lineRule="auto"/>
        <w:ind w:left="0" w:firstLine="309"/>
        <w:rPr>
          <w:rFonts w:hint="eastAsia" w:hAnsi="宋体"/>
          <w:b/>
          <w:bCs/>
          <w:color w:val="auto"/>
          <w:u w:val="single"/>
        </w:rPr>
      </w:pPr>
      <w:r>
        <w:rPr>
          <w:rFonts w:hint="eastAsia" w:hAnsi="宋体"/>
          <w:color w:val="auto"/>
        </w:rPr>
        <w:t>本项目采</w:t>
      </w:r>
      <w:r>
        <w:rPr>
          <w:rFonts w:hint="eastAsia" w:hAnsi="宋体"/>
          <w:b w:val="0"/>
          <w:bCs w:val="0"/>
          <w:color w:val="auto"/>
        </w:rPr>
        <w:t>购</w:t>
      </w:r>
      <w:r>
        <w:rPr>
          <w:rFonts w:hint="eastAsia" w:hAnsi="宋体"/>
          <w:color w:val="auto"/>
        </w:rPr>
        <w:t>控制价为人民币</w:t>
      </w:r>
      <w:r>
        <w:rPr>
          <w:rFonts w:hint="eastAsia" w:hAnsi="宋体"/>
          <w:b/>
          <w:bCs/>
          <w:color w:val="auto"/>
          <w:lang w:eastAsia="zh-CN"/>
        </w:rPr>
        <w:t>：</w:t>
      </w:r>
      <w:r>
        <w:rPr>
          <w:rFonts w:hint="eastAsia" w:hAnsi="宋体"/>
          <w:b/>
          <w:bCs/>
          <w:color w:val="auto"/>
          <w:u w:val="single"/>
          <w:lang w:eastAsia="zh-CN"/>
        </w:rPr>
        <w:t>叁佰肆拾伍万捌仟陆佰捌拾陆元柒角玖分（¥3458686.79元）</w:t>
      </w:r>
    </w:p>
    <w:p>
      <w:pPr>
        <w:pStyle w:val="21"/>
        <w:spacing w:line="360" w:lineRule="auto"/>
        <w:ind w:firstLine="308" w:firstLineChars="147"/>
        <w:rPr>
          <w:rFonts w:hAnsi="宋体"/>
          <w:color w:val="auto"/>
        </w:rPr>
      </w:pPr>
      <w:r>
        <w:rPr>
          <w:rFonts w:hint="eastAsia" w:hAnsi="宋体"/>
          <w:color w:val="auto"/>
        </w:rPr>
        <w:t>11.4本项目为两轮报价，第二轮报价为最终报价。</w:t>
      </w:r>
    </w:p>
    <w:p>
      <w:pPr>
        <w:pStyle w:val="21"/>
        <w:numPr>
          <w:ilvl w:val="0"/>
          <w:numId w:val="2"/>
        </w:numPr>
        <w:spacing w:line="360" w:lineRule="auto"/>
        <w:outlineLvl w:val="3"/>
        <w:rPr>
          <w:rFonts w:hAnsi="宋体"/>
          <w:b/>
          <w:bCs/>
          <w:color w:val="auto"/>
        </w:rPr>
      </w:pPr>
      <w:r>
        <w:rPr>
          <w:rFonts w:hint="eastAsia" w:hAnsi="宋体"/>
          <w:b/>
          <w:bCs/>
          <w:color w:val="auto"/>
        </w:rPr>
        <w:t>磋商货币</w:t>
      </w:r>
    </w:p>
    <w:p>
      <w:pPr>
        <w:pStyle w:val="21"/>
        <w:numPr>
          <w:ilvl w:val="1"/>
          <w:numId w:val="2"/>
        </w:numPr>
        <w:spacing w:line="360" w:lineRule="auto"/>
        <w:ind w:hanging="464"/>
        <w:rPr>
          <w:rFonts w:hAnsi="宋体"/>
          <w:color w:val="auto"/>
        </w:rPr>
      </w:pPr>
      <w:r>
        <w:rPr>
          <w:rFonts w:hint="eastAsia" w:hAnsi="宋体"/>
          <w:color w:val="auto"/>
        </w:rPr>
        <w:t>磋商应以人民币报价。</w:t>
      </w:r>
    </w:p>
    <w:p>
      <w:pPr>
        <w:pStyle w:val="21"/>
        <w:spacing w:line="360" w:lineRule="auto"/>
        <w:jc w:val="center"/>
        <w:outlineLvl w:val="2"/>
        <w:rPr>
          <w:rFonts w:hAnsi="宋体"/>
          <w:b/>
          <w:bCs/>
          <w:color w:val="auto"/>
        </w:rPr>
      </w:pPr>
      <w:bookmarkStart w:id="63" w:name="_Toc446927407"/>
      <w:bookmarkEnd w:id="63"/>
    </w:p>
    <w:p>
      <w:pPr>
        <w:pStyle w:val="21"/>
        <w:spacing w:line="360" w:lineRule="auto"/>
        <w:jc w:val="center"/>
        <w:outlineLvl w:val="2"/>
        <w:rPr>
          <w:rFonts w:hAnsi="宋体"/>
          <w:b/>
          <w:bCs/>
          <w:color w:val="auto"/>
        </w:rPr>
      </w:pPr>
      <w:r>
        <w:rPr>
          <w:rFonts w:hint="eastAsia" w:hAnsi="宋体"/>
          <w:b/>
          <w:bCs/>
          <w:color w:val="auto"/>
        </w:rPr>
        <w:t>（五）</w:t>
      </w:r>
      <w:r>
        <w:rPr>
          <w:rFonts w:hint="eastAsia" w:hAnsi="宋体"/>
          <w:b/>
          <w:bCs/>
          <w:color w:val="auto"/>
          <w:lang w:eastAsia="zh-CN"/>
        </w:rPr>
        <w:t>磋商</w:t>
      </w:r>
      <w:r>
        <w:rPr>
          <w:rFonts w:hint="eastAsia" w:hAnsi="宋体"/>
          <w:b/>
          <w:bCs/>
          <w:color w:val="auto"/>
        </w:rPr>
        <w:t>保证金</w:t>
      </w:r>
    </w:p>
    <w:p>
      <w:pPr>
        <w:pStyle w:val="21"/>
        <w:numPr>
          <w:ilvl w:val="0"/>
          <w:numId w:val="2"/>
        </w:numPr>
        <w:spacing w:line="360" w:lineRule="auto"/>
        <w:outlineLvl w:val="3"/>
        <w:rPr>
          <w:rFonts w:hAnsi="宋体"/>
          <w:b/>
          <w:bCs/>
          <w:color w:val="auto"/>
        </w:rPr>
      </w:pPr>
      <w:r>
        <w:rPr>
          <w:rFonts w:hint="eastAsia" w:hAnsi="宋体"/>
          <w:b/>
          <w:bCs/>
          <w:color w:val="auto"/>
          <w:lang w:eastAsia="zh-CN"/>
        </w:rPr>
        <w:t>磋商</w:t>
      </w:r>
      <w:r>
        <w:rPr>
          <w:rFonts w:hint="eastAsia" w:hAnsi="宋体"/>
          <w:b/>
          <w:bCs/>
          <w:color w:val="auto"/>
        </w:rPr>
        <w:t>保证金</w:t>
      </w:r>
    </w:p>
    <w:p>
      <w:pPr>
        <w:pStyle w:val="21"/>
        <w:numPr>
          <w:ilvl w:val="1"/>
          <w:numId w:val="2"/>
        </w:numPr>
        <w:spacing w:line="360" w:lineRule="auto"/>
        <w:ind w:left="0" w:firstLine="309"/>
        <w:rPr>
          <w:rFonts w:hAnsi="宋体"/>
          <w:color w:val="auto"/>
        </w:rPr>
      </w:pPr>
      <w:r>
        <w:rPr>
          <w:rFonts w:hint="eastAsia" w:hAnsi="宋体"/>
          <w:color w:val="auto"/>
        </w:rPr>
        <w:t>磋商人应按磋商人须知前附表第7.1条中明确的单位全称、开户行、账号，于磋商截止前转账到指定账户上到，并将复印件装订于磋商文件中</w:t>
      </w:r>
      <w:r>
        <w:rPr>
          <w:rFonts w:hint="eastAsia" w:hAnsi="宋体"/>
          <w:b/>
          <w:bCs/>
          <w:color w:val="auto"/>
        </w:rPr>
        <w:t>。</w:t>
      </w:r>
    </w:p>
    <w:p>
      <w:pPr>
        <w:pStyle w:val="21"/>
        <w:numPr>
          <w:ilvl w:val="1"/>
          <w:numId w:val="2"/>
        </w:numPr>
        <w:spacing w:line="360" w:lineRule="auto"/>
        <w:ind w:hanging="464"/>
        <w:rPr>
          <w:rFonts w:hAnsi="宋体"/>
          <w:color w:val="auto"/>
        </w:rPr>
      </w:pPr>
      <w:r>
        <w:rPr>
          <w:rFonts w:hint="eastAsia" w:hAnsi="宋体"/>
          <w:color w:val="auto"/>
        </w:rPr>
        <w:t>交款方式：</w:t>
      </w:r>
      <w:r>
        <w:rPr>
          <w:rFonts w:hint="eastAsia" w:hAnsi="宋体"/>
          <w:color w:val="auto"/>
          <w:lang w:eastAsia="zh-CN"/>
        </w:rPr>
        <w:t>转账、支票、汇票、本票、保函等非现金形式</w:t>
      </w:r>
      <w:r>
        <w:rPr>
          <w:rFonts w:hint="eastAsia" w:hAnsi="宋体"/>
          <w:color w:val="auto"/>
        </w:rPr>
        <w:t>。</w:t>
      </w:r>
    </w:p>
    <w:p>
      <w:pPr>
        <w:pStyle w:val="21"/>
        <w:numPr>
          <w:ilvl w:val="1"/>
          <w:numId w:val="2"/>
        </w:numPr>
        <w:spacing w:line="360" w:lineRule="auto"/>
        <w:ind w:hanging="464"/>
        <w:rPr>
          <w:rFonts w:hAnsi="宋体"/>
          <w:b/>
          <w:bCs/>
          <w:color w:val="auto"/>
          <w:u w:val="single"/>
        </w:rPr>
      </w:pPr>
      <w:r>
        <w:rPr>
          <w:rFonts w:hint="eastAsia" w:hAnsi="宋体"/>
          <w:color w:val="auto"/>
        </w:rPr>
        <w:t>对未按本磋商文件要求缴纳</w:t>
      </w:r>
      <w:r>
        <w:rPr>
          <w:rFonts w:hint="eastAsia" w:hAnsi="宋体"/>
          <w:color w:val="auto"/>
          <w:lang w:eastAsia="zh-CN"/>
        </w:rPr>
        <w:t>磋商</w:t>
      </w:r>
      <w:r>
        <w:rPr>
          <w:rFonts w:hint="eastAsia" w:hAnsi="宋体"/>
          <w:color w:val="auto"/>
        </w:rPr>
        <w:t>保证金的磋商响应文件，磋商小组评定为无效磋商</w:t>
      </w:r>
      <w:r>
        <w:rPr>
          <w:rFonts w:hint="eastAsia" w:hAnsi="宋体"/>
          <w:b/>
          <w:bCs/>
          <w:color w:val="auto"/>
        </w:rPr>
        <w:t>。</w:t>
      </w:r>
    </w:p>
    <w:p>
      <w:pPr>
        <w:pStyle w:val="21"/>
        <w:numPr>
          <w:ilvl w:val="1"/>
          <w:numId w:val="2"/>
        </w:numPr>
        <w:spacing w:line="360" w:lineRule="auto"/>
        <w:ind w:left="0" w:firstLine="309"/>
        <w:rPr>
          <w:rFonts w:hAnsi="宋体"/>
          <w:color w:val="auto"/>
        </w:rPr>
      </w:pPr>
      <w:r>
        <w:rPr>
          <w:rFonts w:hint="eastAsia" w:hAnsi="宋体"/>
          <w:color w:val="auto"/>
        </w:rPr>
        <w:t>办理</w:t>
      </w:r>
      <w:r>
        <w:rPr>
          <w:rFonts w:hint="eastAsia" w:hAnsi="宋体"/>
          <w:color w:val="auto"/>
          <w:lang w:eastAsia="zh-CN"/>
        </w:rPr>
        <w:t>磋商</w:t>
      </w:r>
      <w:r>
        <w:rPr>
          <w:rFonts w:hint="eastAsia" w:hAnsi="宋体"/>
          <w:color w:val="auto"/>
        </w:rPr>
        <w:t>保证金手续时，请务必在银行进账单或电汇单的用途或空白栏上注明</w:t>
      </w:r>
      <w:r>
        <w:rPr>
          <w:rFonts w:hint="eastAsia" w:hAnsi="宋体"/>
          <w:color w:val="auto"/>
          <w:kern w:val="0"/>
        </w:rPr>
        <w:t>“项目名称”或“项目编号”</w:t>
      </w:r>
      <w:r>
        <w:rPr>
          <w:rFonts w:hint="eastAsia" w:hAnsi="宋体"/>
          <w:color w:val="auto"/>
        </w:rPr>
        <w:t>，以免耽误磋商。</w:t>
      </w:r>
    </w:p>
    <w:p>
      <w:pPr>
        <w:numPr>
          <w:ilvl w:val="0"/>
          <w:numId w:val="2"/>
        </w:numPr>
        <w:spacing w:line="360" w:lineRule="auto"/>
        <w:ind w:left="0" w:firstLine="0"/>
        <w:rPr>
          <w:rFonts w:ascii="宋体" w:hAnsi="宋体"/>
          <w:color w:val="auto"/>
          <w:kern w:val="0"/>
        </w:rPr>
      </w:pPr>
      <w:r>
        <w:rPr>
          <w:rFonts w:hint="eastAsia" w:ascii="宋体" w:hAnsi="宋体"/>
          <w:color w:val="auto"/>
          <w:kern w:val="0"/>
        </w:rPr>
        <w:t>未</w:t>
      </w:r>
      <w:r>
        <w:rPr>
          <w:rFonts w:hint="eastAsia" w:ascii="宋体" w:hAnsi="宋体"/>
          <w:color w:val="auto"/>
          <w:kern w:val="0"/>
          <w:lang w:eastAsia="zh-CN"/>
        </w:rPr>
        <w:t>中标人</w:t>
      </w:r>
      <w:r>
        <w:rPr>
          <w:rFonts w:hint="eastAsia" w:ascii="宋体" w:hAnsi="宋体"/>
          <w:color w:val="auto"/>
          <w:kern w:val="0"/>
        </w:rPr>
        <w:t>的</w:t>
      </w:r>
      <w:r>
        <w:rPr>
          <w:rFonts w:hint="eastAsia" w:ascii="宋体" w:hAnsi="宋体"/>
          <w:color w:val="auto"/>
          <w:kern w:val="0"/>
          <w:lang w:eastAsia="zh-CN"/>
        </w:rPr>
        <w:t>磋商</w:t>
      </w:r>
      <w:r>
        <w:rPr>
          <w:rFonts w:hint="eastAsia" w:ascii="宋体" w:hAnsi="宋体"/>
          <w:color w:val="auto"/>
          <w:kern w:val="0"/>
        </w:rPr>
        <w:t>保证金在</w:t>
      </w:r>
      <w:r>
        <w:rPr>
          <w:rFonts w:hint="eastAsia" w:ascii="宋体" w:hAnsi="宋体"/>
          <w:color w:val="auto"/>
          <w:kern w:val="0"/>
          <w:lang w:eastAsia="zh-CN"/>
        </w:rPr>
        <w:t>中标通知书</w:t>
      </w:r>
      <w:r>
        <w:rPr>
          <w:rFonts w:hint="eastAsia" w:ascii="宋体" w:hAnsi="宋体"/>
          <w:color w:val="auto"/>
          <w:kern w:val="0"/>
        </w:rPr>
        <w:t>发出后5个工作日内退还，</w:t>
      </w:r>
      <w:r>
        <w:rPr>
          <w:rFonts w:hint="eastAsia" w:ascii="宋体" w:hAnsi="宋体"/>
          <w:color w:val="auto"/>
          <w:kern w:val="0"/>
          <w:lang w:eastAsia="zh-CN"/>
        </w:rPr>
        <w:t>中标人</w:t>
      </w:r>
      <w:r>
        <w:rPr>
          <w:rFonts w:hint="eastAsia" w:ascii="宋体" w:hAnsi="宋体"/>
          <w:color w:val="auto"/>
          <w:kern w:val="0"/>
        </w:rPr>
        <w:t>的</w:t>
      </w:r>
      <w:r>
        <w:rPr>
          <w:rFonts w:hint="eastAsia" w:ascii="宋体" w:hAnsi="宋体"/>
          <w:color w:val="auto"/>
          <w:kern w:val="0"/>
          <w:lang w:eastAsia="zh-CN"/>
        </w:rPr>
        <w:t>磋商</w:t>
      </w:r>
      <w:r>
        <w:rPr>
          <w:rFonts w:hint="eastAsia" w:ascii="宋体" w:hAnsi="宋体"/>
          <w:color w:val="auto"/>
          <w:kern w:val="0"/>
        </w:rPr>
        <w:t>保证金在采购合同签订后，返还合同原件壹份到采购代理机构后五个工作日内退还，</w:t>
      </w:r>
      <w:r>
        <w:rPr>
          <w:rFonts w:hint="eastAsia" w:ascii="宋体" w:hAnsi="宋体"/>
          <w:color w:val="auto"/>
          <w:kern w:val="0"/>
          <w:lang w:eastAsia="zh-CN"/>
        </w:rPr>
        <w:t>磋商</w:t>
      </w:r>
      <w:r>
        <w:rPr>
          <w:rFonts w:hint="eastAsia" w:ascii="宋体" w:hAnsi="宋体"/>
          <w:color w:val="auto"/>
          <w:kern w:val="0"/>
        </w:rPr>
        <w:t>保证金不计息。</w:t>
      </w:r>
    </w:p>
    <w:p>
      <w:pPr>
        <w:pStyle w:val="21"/>
        <w:spacing w:line="360" w:lineRule="auto"/>
        <w:jc w:val="center"/>
        <w:rPr>
          <w:rFonts w:hAnsi="宋体"/>
          <w:color w:val="auto"/>
        </w:rPr>
      </w:pPr>
    </w:p>
    <w:p>
      <w:pPr>
        <w:pStyle w:val="21"/>
        <w:spacing w:line="360" w:lineRule="auto"/>
        <w:jc w:val="center"/>
        <w:outlineLvl w:val="2"/>
        <w:rPr>
          <w:rFonts w:hAnsi="宋体"/>
          <w:b/>
          <w:bCs/>
          <w:color w:val="auto"/>
        </w:rPr>
      </w:pPr>
      <w:bookmarkStart w:id="64" w:name="_Toc446927408"/>
      <w:bookmarkEnd w:id="64"/>
      <w:r>
        <w:rPr>
          <w:rFonts w:hint="eastAsia" w:hAnsi="宋体"/>
          <w:b/>
          <w:bCs/>
          <w:color w:val="auto"/>
        </w:rPr>
        <w:t>（六）磋商响应文件的密封、修改和撤回</w:t>
      </w:r>
    </w:p>
    <w:p>
      <w:pPr>
        <w:pStyle w:val="21"/>
        <w:numPr>
          <w:ilvl w:val="0"/>
          <w:numId w:val="2"/>
        </w:numPr>
        <w:spacing w:line="360" w:lineRule="auto"/>
        <w:outlineLvl w:val="3"/>
        <w:rPr>
          <w:rFonts w:hAnsi="宋体"/>
          <w:b/>
          <w:bCs/>
          <w:color w:val="auto"/>
        </w:rPr>
      </w:pPr>
      <w:r>
        <w:rPr>
          <w:rFonts w:hint="eastAsia" w:hAnsi="宋体"/>
          <w:b/>
          <w:bCs/>
          <w:color w:val="auto"/>
        </w:rPr>
        <w:t>磋商响应文件的密封与标记</w:t>
      </w:r>
    </w:p>
    <w:p>
      <w:pPr>
        <w:pStyle w:val="21"/>
        <w:numPr>
          <w:ilvl w:val="1"/>
          <w:numId w:val="2"/>
        </w:numPr>
        <w:spacing w:line="360" w:lineRule="auto"/>
        <w:ind w:hanging="464"/>
        <w:rPr>
          <w:rFonts w:hAnsi="宋体"/>
          <w:color w:val="auto"/>
        </w:rPr>
      </w:pPr>
      <w:r>
        <w:rPr>
          <w:rFonts w:hint="eastAsia" w:hAnsi="宋体"/>
          <w:color w:val="auto"/>
        </w:rPr>
        <w:t>磋商人应将磋商响应文件按正、副本分别装订成册，在每个正副本封面上标明“正本”或“副本”</w:t>
      </w:r>
    </w:p>
    <w:p>
      <w:pPr>
        <w:pStyle w:val="21"/>
        <w:spacing w:line="360" w:lineRule="auto"/>
        <w:rPr>
          <w:rFonts w:hAnsi="宋体"/>
          <w:color w:val="auto"/>
        </w:rPr>
      </w:pPr>
      <w:r>
        <w:rPr>
          <w:rFonts w:hint="eastAsia" w:hAnsi="宋体"/>
          <w:color w:val="auto"/>
        </w:rPr>
        <w:t>以及项目名称、项目编号、磋商人名称等内容。</w:t>
      </w:r>
    </w:p>
    <w:p>
      <w:pPr>
        <w:pStyle w:val="21"/>
        <w:numPr>
          <w:ilvl w:val="1"/>
          <w:numId w:val="2"/>
        </w:numPr>
        <w:spacing w:line="360" w:lineRule="auto"/>
        <w:ind w:left="0" w:firstLine="309"/>
        <w:rPr>
          <w:rFonts w:hAnsi="宋体"/>
          <w:color w:val="auto"/>
        </w:rPr>
      </w:pPr>
      <w:r>
        <w:rPr>
          <w:rFonts w:hint="eastAsia" w:hAnsi="宋体"/>
          <w:color w:val="auto"/>
        </w:rPr>
        <w:t>磋商人应将磋商响应文件（正本一份，副本</w:t>
      </w:r>
      <w:r>
        <w:rPr>
          <w:rFonts w:hint="eastAsia" w:hAnsi="宋体"/>
          <w:color w:val="auto"/>
          <w:lang w:val="en-US" w:eastAsia="zh-CN"/>
        </w:rPr>
        <w:t>四</w:t>
      </w:r>
      <w:r>
        <w:rPr>
          <w:rFonts w:hint="eastAsia" w:hAnsi="宋体"/>
          <w:color w:val="auto"/>
        </w:rPr>
        <w:t>份）一并装入文件袋内加以密封；并在封口处密封并加盖单位公章或者密封章，并由法定代表人或委托代理人签字。</w:t>
      </w:r>
    </w:p>
    <w:p>
      <w:pPr>
        <w:pStyle w:val="21"/>
        <w:numPr>
          <w:ilvl w:val="1"/>
          <w:numId w:val="2"/>
        </w:numPr>
        <w:spacing w:line="360" w:lineRule="auto"/>
        <w:ind w:hanging="464"/>
        <w:rPr>
          <w:rFonts w:hAnsi="宋体"/>
          <w:color w:val="auto"/>
        </w:rPr>
      </w:pPr>
      <w:r>
        <w:rPr>
          <w:rFonts w:hint="eastAsia" w:hAnsi="宋体"/>
          <w:color w:val="auto"/>
        </w:rPr>
        <w:t>磋商响应文件袋上应写明：</w:t>
      </w:r>
    </w:p>
    <w:p>
      <w:pPr>
        <w:pStyle w:val="21"/>
        <w:numPr>
          <w:ilvl w:val="0"/>
          <w:numId w:val="3"/>
        </w:numPr>
        <w:spacing w:line="360" w:lineRule="auto"/>
        <w:rPr>
          <w:rFonts w:hAnsi="宋体"/>
          <w:color w:val="auto"/>
        </w:rPr>
      </w:pPr>
      <w:r>
        <w:rPr>
          <w:rFonts w:hint="eastAsia" w:hAnsi="宋体"/>
          <w:color w:val="auto"/>
        </w:rPr>
        <w:t>采购代理机构：</w:t>
      </w:r>
    </w:p>
    <w:p>
      <w:pPr>
        <w:pStyle w:val="21"/>
        <w:numPr>
          <w:ilvl w:val="0"/>
          <w:numId w:val="3"/>
        </w:numPr>
        <w:spacing w:line="360" w:lineRule="auto"/>
        <w:rPr>
          <w:rFonts w:hAnsi="宋体"/>
          <w:color w:val="auto"/>
        </w:rPr>
      </w:pPr>
      <w:r>
        <w:rPr>
          <w:rFonts w:hint="eastAsia" w:hAnsi="宋体"/>
          <w:color w:val="auto"/>
        </w:rPr>
        <w:t>项目名称：</w:t>
      </w:r>
    </w:p>
    <w:p>
      <w:pPr>
        <w:pStyle w:val="21"/>
        <w:numPr>
          <w:ilvl w:val="0"/>
          <w:numId w:val="3"/>
        </w:numPr>
        <w:spacing w:line="360" w:lineRule="auto"/>
        <w:rPr>
          <w:rFonts w:hAnsi="宋体"/>
          <w:color w:val="auto"/>
        </w:rPr>
      </w:pPr>
      <w:r>
        <w:rPr>
          <w:rFonts w:hint="eastAsia" w:hAnsi="宋体"/>
          <w:color w:val="auto"/>
        </w:rPr>
        <w:t>项目编号：</w:t>
      </w:r>
    </w:p>
    <w:p>
      <w:pPr>
        <w:pStyle w:val="21"/>
        <w:numPr>
          <w:ilvl w:val="0"/>
          <w:numId w:val="3"/>
        </w:numPr>
        <w:spacing w:line="360" w:lineRule="auto"/>
        <w:rPr>
          <w:rFonts w:hAnsi="宋体"/>
          <w:color w:val="auto"/>
        </w:rPr>
      </w:pPr>
      <w:r>
        <w:rPr>
          <w:rFonts w:hint="eastAsia" w:hAnsi="宋体"/>
          <w:color w:val="auto"/>
        </w:rPr>
        <w:t>磋商单位名称：</w:t>
      </w:r>
    </w:p>
    <w:p>
      <w:pPr>
        <w:pStyle w:val="21"/>
        <w:numPr>
          <w:ilvl w:val="0"/>
          <w:numId w:val="3"/>
        </w:numPr>
        <w:spacing w:line="360" w:lineRule="auto"/>
        <w:rPr>
          <w:rFonts w:hAnsi="宋体"/>
          <w:color w:val="auto"/>
        </w:rPr>
      </w:pPr>
      <w:r>
        <w:rPr>
          <w:rFonts w:hint="eastAsia" w:hAnsi="宋体"/>
          <w:color w:val="auto"/>
        </w:rPr>
        <w:t>磋商单位地址：</w:t>
      </w:r>
    </w:p>
    <w:p>
      <w:pPr>
        <w:pStyle w:val="21"/>
        <w:numPr>
          <w:ilvl w:val="0"/>
          <w:numId w:val="3"/>
        </w:numPr>
        <w:spacing w:line="360" w:lineRule="auto"/>
        <w:rPr>
          <w:rFonts w:hAnsi="宋体"/>
          <w:color w:val="auto"/>
        </w:rPr>
      </w:pPr>
      <w:r>
        <w:rPr>
          <w:rFonts w:hint="eastAsia" w:hAnsi="宋体"/>
          <w:color w:val="auto"/>
        </w:rPr>
        <w:t>注明年月日时分前不得启封</w:t>
      </w:r>
    </w:p>
    <w:p>
      <w:pPr>
        <w:pStyle w:val="21"/>
        <w:numPr>
          <w:ilvl w:val="1"/>
          <w:numId w:val="2"/>
        </w:numPr>
        <w:spacing w:line="360" w:lineRule="auto"/>
        <w:ind w:hanging="464"/>
        <w:rPr>
          <w:rFonts w:hAnsi="宋体"/>
          <w:color w:val="auto"/>
        </w:rPr>
      </w:pPr>
      <w:r>
        <w:rPr>
          <w:rFonts w:hint="eastAsia" w:hAnsi="宋体"/>
          <w:color w:val="auto"/>
        </w:rPr>
        <w:t>磋商响应文件的密封以文件袋无明显缝隙露出袋内文件且封口处有签字或盖章为合格。</w:t>
      </w:r>
    </w:p>
    <w:p>
      <w:pPr>
        <w:pStyle w:val="21"/>
        <w:numPr>
          <w:ilvl w:val="1"/>
          <w:numId w:val="2"/>
        </w:numPr>
        <w:spacing w:line="360" w:lineRule="auto"/>
        <w:ind w:hanging="464"/>
        <w:rPr>
          <w:rFonts w:hAnsi="宋体"/>
          <w:color w:val="auto"/>
        </w:rPr>
      </w:pPr>
      <w:r>
        <w:rPr>
          <w:rFonts w:hint="eastAsia" w:hAnsi="宋体"/>
          <w:color w:val="auto"/>
        </w:rPr>
        <w:t>磋商人在递交磋商响应文件时未按本须知要求密封及标记的，采购代理机构有权拒收。</w:t>
      </w:r>
    </w:p>
    <w:p>
      <w:pPr>
        <w:pStyle w:val="21"/>
        <w:numPr>
          <w:ilvl w:val="0"/>
          <w:numId w:val="2"/>
        </w:numPr>
        <w:spacing w:line="360" w:lineRule="auto"/>
        <w:outlineLvl w:val="3"/>
        <w:rPr>
          <w:rFonts w:hAnsi="宋体"/>
          <w:b/>
          <w:bCs/>
          <w:color w:val="auto"/>
        </w:rPr>
      </w:pPr>
      <w:r>
        <w:rPr>
          <w:rFonts w:hint="eastAsia" w:hAnsi="宋体"/>
          <w:b/>
          <w:bCs/>
          <w:color w:val="auto"/>
        </w:rPr>
        <w:t>磋商响应文件的修改及撤回</w:t>
      </w:r>
    </w:p>
    <w:p>
      <w:pPr>
        <w:pStyle w:val="21"/>
        <w:numPr>
          <w:ilvl w:val="1"/>
          <w:numId w:val="2"/>
        </w:numPr>
        <w:spacing w:line="360" w:lineRule="auto"/>
        <w:ind w:left="0" w:firstLine="309"/>
        <w:rPr>
          <w:rFonts w:hAnsi="宋体"/>
          <w:color w:val="auto"/>
        </w:rPr>
      </w:pPr>
      <w:r>
        <w:rPr>
          <w:rFonts w:hint="eastAsia" w:hAnsi="宋体"/>
          <w:color w:val="auto"/>
        </w:rPr>
        <w:t>磋商人在磋商截止时间前，对所递交的磋商响应文件可以进行补充、修改或撤回。磋商人对所递交的补充、修改或撤回需向采购代理机构出具书面通知。补充、修改的内容为磋商响应文件的组成部分。</w:t>
      </w:r>
    </w:p>
    <w:p>
      <w:pPr>
        <w:pStyle w:val="21"/>
        <w:numPr>
          <w:ilvl w:val="1"/>
          <w:numId w:val="2"/>
        </w:numPr>
        <w:spacing w:line="360" w:lineRule="auto"/>
        <w:ind w:hanging="464"/>
        <w:rPr>
          <w:rFonts w:hAnsi="宋体"/>
          <w:color w:val="auto"/>
        </w:rPr>
      </w:pPr>
      <w:r>
        <w:rPr>
          <w:rFonts w:hint="eastAsia" w:hAnsi="宋体"/>
          <w:color w:val="auto"/>
        </w:rPr>
        <w:t>磋商响应文件的修改应按本须知第1</w:t>
      </w:r>
      <w:r>
        <w:rPr>
          <w:rFonts w:hint="eastAsia" w:hAnsi="宋体"/>
          <w:color w:val="auto"/>
          <w:lang w:val="en-US" w:eastAsia="zh-CN"/>
        </w:rPr>
        <w:t>4</w:t>
      </w:r>
      <w:r>
        <w:rPr>
          <w:rFonts w:hint="eastAsia" w:hAnsi="宋体"/>
          <w:color w:val="auto"/>
        </w:rPr>
        <w:t>条的规定密封、标记和递交，并在封面上标明“修改”字样。</w:t>
      </w:r>
    </w:p>
    <w:p>
      <w:pPr>
        <w:pStyle w:val="21"/>
        <w:numPr>
          <w:ilvl w:val="1"/>
          <w:numId w:val="2"/>
        </w:numPr>
        <w:spacing w:line="360" w:lineRule="auto"/>
        <w:ind w:hanging="464"/>
        <w:rPr>
          <w:rFonts w:hAnsi="宋体"/>
          <w:color w:val="auto"/>
        </w:rPr>
      </w:pPr>
      <w:r>
        <w:rPr>
          <w:rFonts w:hint="eastAsia" w:hAnsi="宋体"/>
          <w:color w:val="auto"/>
        </w:rPr>
        <w:t>在磋商截止时间后，磋商人不得对其磋商做任何修改。</w:t>
      </w:r>
    </w:p>
    <w:p>
      <w:pPr>
        <w:pStyle w:val="21"/>
        <w:numPr>
          <w:ilvl w:val="1"/>
          <w:numId w:val="2"/>
        </w:numPr>
        <w:spacing w:line="360" w:lineRule="auto"/>
        <w:ind w:hanging="464"/>
        <w:rPr>
          <w:rFonts w:hAnsi="宋体"/>
          <w:color w:val="auto"/>
        </w:rPr>
      </w:pPr>
      <w:r>
        <w:rPr>
          <w:rFonts w:hint="eastAsia" w:hAnsi="宋体"/>
          <w:color w:val="auto"/>
        </w:rPr>
        <w:t>在磋商结束后的磋商有效期内，磋商人不得撤回其磋商响应文件，否则全部</w:t>
      </w:r>
      <w:r>
        <w:rPr>
          <w:rFonts w:hint="eastAsia" w:hAnsi="宋体"/>
          <w:color w:val="auto"/>
          <w:lang w:eastAsia="zh-CN"/>
        </w:rPr>
        <w:t>磋商</w:t>
      </w:r>
      <w:r>
        <w:rPr>
          <w:rFonts w:hint="eastAsia" w:hAnsi="宋体"/>
          <w:color w:val="auto"/>
        </w:rPr>
        <w:t>保证金将不予退还。</w:t>
      </w:r>
    </w:p>
    <w:p>
      <w:pPr>
        <w:pStyle w:val="21"/>
        <w:spacing w:line="360" w:lineRule="auto"/>
        <w:jc w:val="center"/>
        <w:outlineLvl w:val="2"/>
        <w:rPr>
          <w:rFonts w:hAnsi="宋体"/>
          <w:b/>
          <w:bCs/>
          <w:color w:val="auto"/>
        </w:rPr>
      </w:pPr>
      <w:bookmarkStart w:id="65" w:name="_Toc446927409"/>
      <w:bookmarkEnd w:id="65"/>
      <w:r>
        <w:rPr>
          <w:rFonts w:hint="eastAsia" w:hAnsi="宋体"/>
          <w:b/>
          <w:bCs/>
          <w:color w:val="auto"/>
        </w:rPr>
        <w:t>（七）磋商响应文件截止时间及效期</w:t>
      </w:r>
    </w:p>
    <w:p>
      <w:pPr>
        <w:pStyle w:val="21"/>
        <w:numPr>
          <w:ilvl w:val="0"/>
          <w:numId w:val="2"/>
        </w:numPr>
        <w:spacing w:line="360" w:lineRule="auto"/>
        <w:outlineLvl w:val="3"/>
        <w:rPr>
          <w:rFonts w:hAnsi="宋体"/>
          <w:b/>
          <w:bCs/>
          <w:color w:val="auto"/>
        </w:rPr>
      </w:pPr>
      <w:r>
        <w:rPr>
          <w:rFonts w:hint="eastAsia" w:hAnsi="宋体"/>
          <w:b/>
          <w:bCs/>
          <w:color w:val="auto"/>
        </w:rPr>
        <w:t>磋商截止时间</w:t>
      </w:r>
    </w:p>
    <w:p>
      <w:pPr>
        <w:pStyle w:val="21"/>
        <w:numPr>
          <w:ilvl w:val="1"/>
          <w:numId w:val="2"/>
        </w:numPr>
        <w:spacing w:line="360" w:lineRule="auto"/>
        <w:ind w:hanging="464"/>
        <w:rPr>
          <w:rFonts w:hAnsi="宋体"/>
          <w:b/>
          <w:bCs/>
          <w:color w:val="auto"/>
        </w:rPr>
      </w:pPr>
      <w:r>
        <w:rPr>
          <w:rFonts w:hint="eastAsia" w:hAnsi="宋体"/>
          <w:color w:val="auto"/>
        </w:rPr>
        <w:t>磋商响应文件的递交不得迟于本须知前附表规定的截止时间。</w:t>
      </w:r>
    </w:p>
    <w:p>
      <w:pPr>
        <w:pStyle w:val="21"/>
        <w:numPr>
          <w:ilvl w:val="1"/>
          <w:numId w:val="2"/>
        </w:numPr>
        <w:spacing w:line="360" w:lineRule="auto"/>
        <w:ind w:left="0" w:firstLine="309"/>
        <w:rPr>
          <w:rFonts w:hAnsi="宋体"/>
          <w:color w:val="auto"/>
        </w:rPr>
      </w:pPr>
      <w:r>
        <w:rPr>
          <w:rFonts w:hint="eastAsia" w:hAnsi="宋体"/>
          <w:color w:val="auto"/>
        </w:rPr>
        <w:t>磋商人必须在规定时间内将磋商响应文件送到本须知前附表规定地点，超过磋商截止时间送达的磋商文件为无效磋商文件，采购代理机构将拒收。</w:t>
      </w:r>
    </w:p>
    <w:p>
      <w:pPr>
        <w:pStyle w:val="21"/>
        <w:numPr>
          <w:ilvl w:val="0"/>
          <w:numId w:val="2"/>
        </w:numPr>
        <w:spacing w:line="360" w:lineRule="auto"/>
        <w:outlineLvl w:val="3"/>
        <w:rPr>
          <w:rFonts w:hAnsi="宋体"/>
          <w:b/>
          <w:bCs/>
          <w:color w:val="auto"/>
        </w:rPr>
      </w:pPr>
      <w:r>
        <w:rPr>
          <w:rFonts w:hint="eastAsia" w:hAnsi="宋体"/>
          <w:b/>
          <w:bCs/>
          <w:color w:val="auto"/>
        </w:rPr>
        <w:t>磋商的有效期</w:t>
      </w:r>
    </w:p>
    <w:p>
      <w:pPr>
        <w:pStyle w:val="21"/>
        <w:numPr>
          <w:ilvl w:val="1"/>
          <w:numId w:val="2"/>
        </w:numPr>
        <w:spacing w:line="360" w:lineRule="auto"/>
        <w:ind w:hanging="464"/>
        <w:rPr>
          <w:rFonts w:hAnsi="宋体"/>
          <w:color w:val="auto"/>
        </w:rPr>
      </w:pPr>
      <w:r>
        <w:rPr>
          <w:rFonts w:hint="eastAsia" w:hAnsi="宋体"/>
          <w:color w:val="auto"/>
        </w:rPr>
        <w:t>磋商响应文件从磋商截止日期后60天内有效。</w:t>
      </w:r>
    </w:p>
    <w:p>
      <w:pPr>
        <w:pStyle w:val="21"/>
        <w:numPr>
          <w:ilvl w:val="1"/>
          <w:numId w:val="2"/>
        </w:numPr>
        <w:spacing w:line="360" w:lineRule="auto"/>
        <w:ind w:hanging="464"/>
        <w:rPr>
          <w:rFonts w:hAnsi="宋体"/>
          <w:color w:val="auto"/>
        </w:rPr>
      </w:pPr>
      <w:r>
        <w:rPr>
          <w:rFonts w:hint="eastAsia" w:hAnsi="宋体"/>
          <w:color w:val="auto"/>
        </w:rPr>
        <w:t>在特殊情况下，采购代理机构可与磋商人协商延长磋商响应文件的有效期。</w:t>
      </w:r>
    </w:p>
    <w:p>
      <w:pPr>
        <w:pStyle w:val="21"/>
        <w:spacing w:line="360" w:lineRule="auto"/>
        <w:jc w:val="center"/>
        <w:rPr>
          <w:rFonts w:hAnsi="宋体"/>
          <w:b/>
          <w:bCs/>
          <w:color w:val="auto"/>
        </w:rPr>
      </w:pPr>
    </w:p>
    <w:p>
      <w:pPr>
        <w:pStyle w:val="21"/>
        <w:spacing w:line="360" w:lineRule="auto"/>
        <w:jc w:val="center"/>
        <w:outlineLvl w:val="2"/>
        <w:rPr>
          <w:rFonts w:hAnsi="宋体"/>
          <w:b/>
          <w:bCs/>
          <w:color w:val="auto"/>
        </w:rPr>
      </w:pPr>
      <w:bookmarkStart w:id="66" w:name="_Toc446927410"/>
      <w:bookmarkEnd w:id="66"/>
      <w:r>
        <w:rPr>
          <w:rFonts w:hint="eastAsia" w:hAnsi="宋体"/>
          <w:b/>
          <w:bCs/>
          <w:color w:val="auto"/>
        </w:rPr>
        <w:t>（八）竞争性磋商（简称磋商）与评标</w:t>
      </w:r>
    </w:p>
    <w:p>
      <w:pPr>
        <w:pStyle w:val="21"/>
        <w:numPr>
          <w:ilvl w:val="0"/>
          <w:numId w:val="2"/>
        </w:numPr>
        <w:spacing w:line="360" w:lineRule="auto"/>
        <w:outlineLvl w:val="3"/>
        <w:rPr>
          <w:rFonts w:hAnsi="宋体"/>
          <w:b/>
          <w:bCs/>
          <w:color w:val="auto"/>
        </w:rPr>
      </w:pPr>
      <w:r>
        <w:rPr>
          <w:rFonts w:hint="eastAsia" w:hAnsi="宋体"/>
          <w:b/>
          <w:bCs/>
          <w:color w:val="auto"/>
        </w:rPr>
        <w:t>磋商</w:t>
      </w:r>
    </w:p>
    <w:p>
      <w:pPr>
        <w:pStyle w:val="21"/>
        <w:numPr>
          <w:ilvl w:val="1"/>
          <w:numId w:val="2"/>
        </w:numPr>
        <w:spacing w:line="360" w:lineRule="auto"/>
        <w:ind w:left="0" w:firstLine="309"/>
        <w:rPr>
          <w:rFonts w:hAnsi="宋体"/>
          <w:b/>
          <w:bCs/>
          <w:color w:val="auto"/>
        </w:rPr>
      </w:pPr>
      <w:r>
        <w:rPr>
          <w:rFonts w:hint="eastAsia" w:hAnsi="宋体"/>
          <w:color w:val="auto"/>
        </w:rPr>
        <w:t>采购代理机构将在磋商人须知前附表规定的时间和地点举行开标会议，磋商人代表（即磋商人的法定代表人或其授权委托代理人）应按时参加开标会议并由本人递交磋商响应文件。</w:t>
      </w:r>
    </w:p>
    <w:p>
      <w:pPr>
        <w:pStyle w:val="21"/>
        <w:spacing w:line="360" w:lineRule="auto"/>
        <w:ind w:firstLine="413" w:firstLineChars="196"/>
        <w:rPr>
          <w:rFonts w:hAnsi="宋体"/>
          <w:b/>
          <w:bCs/>
          <w:color w:val="auto"/>
        </w:rPr>
      </w:pPr>
      <w:r>
        <w:rPr>
          <w:rFonts w:hint="eastAsia" w:hAnsi="宋体"/>
          <w:b/>
          <w:bCs/>
          <w:color w:val="auto"/>
        </w:rPr>
        <w:t>磋商人代表（即磋商人的法定代表人或其委托代理人）应按时参加磋商会议，并按磋商人须知前附表10.1点提供的材料证件，材料提供不全的视为无效磋商，磋商小组将拒绝该磋商人参加磋商。</w:t>
      </w:r>
    </w:p>
    <w:p>
      <w:pPr>
        <w:pStyle w:val="21"/>
        <w:numPr>
          <w:ilvl w:val="1"/>
          <w:numId w:val="2"/>
        </w:numPr>
        <w:spacing w:line="360" w:lineRule="auto"/>
        <w:ind w:left="0" w:firstLine="309"/>
        <w:rPr>
          <w:rFonts w:hAnsi="宋体"/>
          <w:color w:val="auto"/>
        </w:rPr>
      </w:pPr>
      <w:r>
        <w:rPr>
          <w:rFonts w:hint="eastAsia" w:hAnsi="宋体"/>
          <w:color w:val="auto"/>
        </w:rPr>
        <w:t>采购代理机构根据磋商项目的特点组建磋商小组，本次项目磋商小组共3名,其中1名为业主代表,另2名专家在</w:t>
      </w:r>
      <w:r>
        <w:rPr>
          <w:rFonts w:hint="eastAsia" w:hAnsi="宋体"/>
          <w:color w:val="auto"/>
          <w:lang w:val="en-US" w:eastAsia="zh-CN"/>
        </w:rPr>
        <w:t>政府采购云平台</w:t>
      </w:r>
      <w:r>
        <w:rPr>
          <w:rFonts w:hint="eastAsia" w:hAnsi="宋体"/>
          <w:color w:val="auto"/>
        </w:rPr>
        <w:t>专家库中随机抽取。在整个磋商过程中，磋商小组负责对法定代表人或其委托代理人的身份验证，磋商人资格审查及对有效磋商文件进行审查、磋商及评定工作。</w:t>
      </w:r>
    </w:p>
    <w:p>
      <w:pPr>
        <w:pStyle w:val="21"/>
        <w:numPr>
          <w:ilvl w:val="1"/>
          <w:numId w:val="2"/>
        </w:numPr>
        <w:spacing w:line="360" w:lineRule="auto"/>
        <w:ind w:hanging="464"/>
        <w:rPr>
          <w:rStyle w:val="69"/>
          <w:rFonts w:hAnsi="宋体" w:cs="宋体"/>
          <w:color w:val="auto"/>
        </w:rPr>
      </w:pPr>
      <w:r>
        <w:rPr>
          <w:rFonts w:hint="eastAsia" w:hAnsi="宋体"/>
          <w:color w:val="auto"/>
        </w:rPr>
        <w:t>磋商程序如</w:t>
      </w:r>
      <w:r>
        <w:rPr>
          <w:rStyle w:val="69"/>
          <w:rFonts w:hint="eastAsia" w:ascii="宋体" w:hAnsi="宋体"/>
          <w:color w:val="auto"/>
        </w:rPr>
        <w:t>下：</w:t>
      </w:r>
    </w:p>
    <w:p>
      <w:pPr>
        <w:numPr>
          <w:ilvl w:val="0"/>
          <w:numId w:val="4"/>
        </w:numPr>
        <w:tabs>
          <w:tab w:val="clear" w:pos="360"/>
        </w:tabs>
        <w:spacing w:line="360" w:lineRule="auto"/>
        <w:ind w:left="0" w:firstLine="359" w:firstLineChars="171"/>
        <w:rPr>
          <w:rFonts w:ascii="宋体"/>
          <w:color w:val="auto"/>
        </w:rPr>
      </w:pPr>
      <w:r>
        <w:rPr>
          <w:rFonts w:hint="eastAsia" w:ascii="宋体" w:hAnsi="宋体"/>
          <w:color w:val="auto"/>
        </w:rPr>
        <w:t>采购代理机构按磋商文件规定的时间、地点组织磋商。磋商人的法定代表人或其委托代理人在磋商会议现场检查磋商响应文件的密封情况并签字确认；由代理机构工作人员拆封磋商响应文件，监督代表验证各磋商人代表的身份。磋商响应文件未按要求密封、磋商人的法定代表人或其委托代理人身份与磋商响应文件不符的，代理机构有权拒绝该磋商人参加本次磋商。</w:t>
      </w:r>
    </w:p>
    <w:p>
      <w:pPr>
        <w:numPr>
          <w:ilvl w:val="0"/>
          <w:numId w:val="4"/>
        </w:numPr>
        <w:tabs>
          <w:tab w:val="clear" w:pos="360"/>
        </w:tabs>
        <w:spacing w:line="360" w:lineRule="auto"/>
        <w:ind w:left="0" w:firstLine="359" w:firstLineChars="171"/>
        <w:rPr>
          <w:rFonts w:ascii="宋体" w:hAnsi="宋体"/>
          <w:color w:val="auto"/>
        </w:rPr>
      </w:pPr>
      <w:r>
        <w:rPr>
          <w:rFonts w:hint="eastAsia" w:ascii="宋体" w:hAnsi="宋体"/>
          <w:color w:val="auto"/>
        </w:rPr>
        <w:t>磋商人可由1～2人参加磋商，磋商中磋商人成员之间意见不一致时，以磋商人的法定代表人（或其委托代理人）的意见为准。</w:t>
      </w:r>
    </w:p>
    <w:p>
      <w:pPr>
        <w:numPr>
          <w:ilvl w:val="0"/>
          <w:numId w:val="4"/>
        </w:numPr>
        <w:tabs>
          <w:tab w:val="clear" w:pos="360"/>
        </w:tabs>
        <w:spacing w:line="360" w:lineRule="auto"/>
        <w:ind w:left="0" w:firstLine="359" w:firstLineChars="171"/>
        <w:rPr>
          <w:rFonts w:ascii="宋体" w:hAnsi="宋体"/>
          <w:color w:val="auto"/>
        </w:rPr>
      </w:pPr>
      <w:r>
        <w:rPr>
          <w:rFonts w:hint="eastAsia" w:ascii="宋体" w:hAnsi="宋体"/>
          <w:color w:val="auto"/>
        </w:rPr>
        <w:t>磋商小组成员作为一个集体可随机与单个各磋商人分别进行磋商，磋商的内容包括技术性条件、商务性条件以及磋商小组认为需要磋商的内容。当磋商文件有实质性变动的，磋商小组以书面形式通知所有参加磋商的磋商人。其中涉及价格的内容不得要求磋商人在磋商时作口头报价，而应以书面密封形式报价。</w:t>
      </w:r>
    </w:p>
    <w:p>
      <w:pPr>
        <w:numPr>
          <w:ilvl w:val="0"/>
          <w:numId w:val="4"/>
        </w:numPr>
        <w:tabs>
          <w:tab w:val="clear" w:pos="360"/>
        </w:tabs>
        <w:spacing w:line="360" w:lineRule="auto"/>
        <w:ind w:left="0" w:firstLine="359" w:firstLineChars="171"/>
        <w:rPr>
          <w:rFonts w:ascii="宋体" w:hAnsi="宋体"/>
          <w:color w:val="auto"/>
        </w:rPr>
      </w:pPr>
      <w:r>
        <w:rPr>
          <w:rFonts w:hint="eastAsia" w:ascii="宋体" w:hAnsi="宋体"/>
          <w:color w:val="auto"/>
        </w:rPr>
        <w:t>磋商内容应作记录，并由磋商人及磋商小组成员签字确认。</w:t>
      </w:r>
    </w:p>
    <w:p>
      <w:pPr>
        <w:numPr>
          <w:ilvl w:val="0"/>
          <w:numId w:val="4"/>
        </w:numPr>
        <w:tabs>
          <w:tab w:val="clear" w:pos="360"/>
        </w:tabs>
        <w:spacing w:line="360" w:lineRule="auto"/>
        <w:ind w:left="0" w:firstLine="359" w:firstLineChars="171"/>
        <w:rPr>
          <w:rFonts w:ascii="宋体" w:hAnsi="宋体"/>
          <w:color w:val="auto"/>
        </w:rPr>
      </w:pPr>
      <w:r>
        <w:rPr>
          <w:rFonts w:hint="eastAsia" w:ascii="宋体" w:hAnsi="宋体"/>
          <w:color w:val="auto"/>
        </w:rPr>
        <w:t>磋商结束后，磋商小组应要求磋商人在规定的时间、地点以书面密封形式递交磋商时要求其就商务和技术条件作出的包含补充、修改、承诺、重新报价等内容的应答文件，应答文件必须由磋商人的法定代表人或委托代理人签名或盖公章，应答文件构成磋商响应文件的一部分。</w:t>
      </w:r>
    </w:p>
    <w:p>
      <w:pPr>
        <w:numPr>
          <w:ilvl w:val="0"/>
          <w:numId w:val="4"/>
        </w:numPr>
        <w:tabs>
          <w:tab w:val="clear" w:pos="360"/>
        </w:tabs>
        <w:spacing w:line="360" w:lineRule="auto"/>
        <w:ind w:left="0" w:firstLine="359" w:firstLineChars="171"/>
        <w:rPr>
          <w:rFonts w:ascii="宋体" w:hAnsi="宋体"/>
          <w:color w:val="auto"/>
        </w:rPr>
      </w:pPr>
      <w:r>
        <w:rPr>
          <w:rFonts w:hint="eastAsia" w:ascii="宋体" w:hAnsi="宋体"/>
          <w:color w:val="auto"/>
        </w:rPr>
        <w:t>磋商小组对各磋商人递交的应答文件统一开启，并进行评审后，认为有必要再次进行磋商的，可再次与磋商人进行磋商，直至磋商小组认为没有必要再进行磋商（最多两轮），磋商方可结束。对最后一轮磋商，磋商小组应明确告知磋商人，并要求所有磋商人在规定的时间、地点以书面密封形式递交最终的应答文件。</w:t>
      </w:r>
    </w:p>
    <w:p>
      <w:pPr>
        <w:numPr>
          <w:ilvl w:val="0"/>
          <w:numId w:val="4"/>
        </w:numPr>
        <w:tabs>
          <w:tab w:val="clear" w:pos="360"/>
        </w:tabs>
        <w:spacing w:line="360" w:lineRule="auto"/>
        <w:ind w:left="0" w:firstLine="359" w:firstLineChars="171"/>
        <w:rPr>
          <w:rFonts w:ascii="宋体" w:hAnsi="宋体"/>
          <w:color w:val="auto"/>
        </w:rPr>
      </w:pPr>
      <w:r>
        <w:rPr>
          <w:rFonts w:hint="eastAsia" w:ascii="宋体" w:hAnsi="宋体"/>
          <w:color w:val="auto"/>
        </w:rPr>
        <w:t>磋商小组对磋商人资格性和磋商响应文件符合性审查。磋商小组只要求通过资格性和符合性审查磋商人在规定时间内进行最终报价。</w:t>
      </w:r>
    </w:p>
    <w:p>
      <w:pPr>
        <w:numPr>
          <w:ilvl w:val="0"/>
          <w:numId w:val="4"/>
        </w:numPr>
        <w:tabs>
          <w:tab w:val="clear" w:pos="360"/>
        </w:tabs>
        <w:spacing w:line="360" w:lineRule="auto"/>
        <w:ind w:left="0" w:firstLine="359" w:firstLineChars="171"/>
        <w:rPr>
          <w:rFonts w:ascii="宋体" w:hAnsi="宋体"/>
          <w:color w:val="auto"/>
        </w:rPr>
      </w:pPr>
      <w:r>
        <w:rPr>
          <w:rFonts w:hint="eastAsia" w:ascii="宋体" w:hAnsi="宋体"/>
          <w:color w:val="auto"/>
        </w:rPr>
        <w:t>磋商人作出最终报价后，采购代理机构工作人员唱出其最终报价以及相关服务内容并记录，磋商人签字确认。</w:t>
      </w:r>
    </w:p>
    <w:p>
      <w:pPr>
        <w:numPr>
          <w:ilvl w:val="0"/>
          <w:numId w:val="4"/>
        </w:numPr>
        <w:tabs>
          <w:tab w:val="clear" w:pos="360"/>
        </w:tabs>
        <w:spacing w:line="360" w:lineRule="auto"/>
        <w:ind w:left="0" w:firstLine="359" w:firstLineChars="171"/>
        <w:rPr>
          <w:rFonts w:ascii="宋体" w:hAnsi="宋体"/>
          <w:color w:val="auto"/>
        </w:rPr>
      </w:pPr>
      <w:r>
        <w:rPr>
          <w:rFonts w:hint="eastAsia" w:ascii="宋体" w:hAnsi="宋体"/>
          <w:color w:val="auto"/>
        </w:rPr>
        <w:t>磋商小组进入评标阶段，根据磋商文件规定的评标办法和最终的磋商结果进行详评并确定</w:t>
      </w:r>
      <w:r>
        <w:rPr>
          <w:rFonts w:hint="eastAsia" w:ascii="宋体" w:hAnsi="宋体"/>
          <w:color w:val="auto"/>
          <w:lang w:eastAsia="zh-CN"/>
        </w:rPr>
        <w:t>中标人</w:t>
      </w:r>
      <w:r>
        <w:rPr>
          <w:rFonts w:hint="eastAsia" w:ascii="宋体" w:hAnsi="宋体"/>
          <w:color w:val="auto"/>
        </w:rPr>
        <w:t>。</w:t>
      </w:r>
    </w:p>
    <w:p>
      <w:pPr>
        <w:pStyle w:val="21"/>
        <w:numPr>
          <w:ilvl w:val="1"/>
          <w:numId w:val="2"/>
        </w:numPr>
        <w:spacing w:line="360" w:lineRule="auto"/>
        <w:ind w:hanging="464"/>
        <w:rPr>
          <w:rFonts w:hAnsi="宋体"/>
          <w:color w:val="auto"/>
        </w:rPr>
      </w:pPr>
      <w:r>
        <w:rPr>
          <w:rStyle w:val="69"/>
          <w:rFonts w:hint="eastAsia" w:ascii="宋体" w:hAnsi="宋体"/>
          <w:color w:val="auto"/>
        </w:rPr>
        <w:t>最终磋商结束后</w:t>
      </w:r>
      <w:r>
        <w:rPr>
          <w:rFonts w:hint="eastAsia" w:hAnsi="宋体"/>
          <w:color w:val="auto"/>
          <w:spacing w:val="-4"/>
        </w:rPr>
        <w:t>，磋商小组</w:t>
      </w:r>
      <w:r>
        <w:rPr>
          <w:rFonts w:hint="eastAsia" w:hAnsi="宋体"/>
          <w:color w:val="auto"/>
        </w:rPr>
        <w:t>不得再与磋商人进行任何形式的商谈。</w:t>
      </w:r>
    </w:p>
    <w:p>
      <w:pPr>
        <w:pStyle w:val="21"/>
        <w:numPr>
          <w:ilvl w:val="1"/>
          <w:numId w:val="2"/>
        </w:numPr>
        <w:spacing w:line="360" w:lineRule="auto"/>
        <w:ind w:hanging="464"/>
        <w:rPr>
          <w:color w:val="auto"/>
        </w:rPr>
      </w:pPr>
      <w:r>
        <w:rPr>
          <w:rStyle w:val="69"/>
          <w:rFonts w:hint="eastAsia" w:ascii="宋体" w:hAnsi="宋体"/>
          <w:color w:val="auto"/>
        </w:rPr>
        <w:t>磋商的任何一方不得透露与磋商有关的其他磋商人的技术资料</w:t>
      </w:r>
      <w:r>
        <w:rPr>
          <w:rFonts w:hint="eastAsia" w:hAnsi="宋体"/>
          <w:color w:val="auto"/>
        </w:rPr>
        <w:t>、价格和其他信息。</w:t>
      </w:r>
    </w:p>
    <w:p>
      <w:pPr>
        <w:pStyle w:val="21"/>
        <w:numPr>
          <w:ilvl w:val="0"/>
          <w:numId w:val="2"/>
        </w:numPr>
        <w:spacing w:line="360" w:lineRule="auto"/>
        <w:outlineLvl w:val="3"/>
        <w:rPr>
          <w:rFonts w:hAnsi="宋体"/>
          <w:b/>
          <w:bCs/>
          <w:color w:val="auto"/>
        </w:rPr>
      </w:pPr>
      <w:r>
        <w:rPr>
          <w:rFonts w:hint="eastAsia" w:hAnsi="宋体"/>
          <w:b/>
          <w:bCs/>
          <w:color w:val="auto"/>
        </w:rPr>
        <w:t xml:space="preserve">评标 </w:t>
      </w:r>
    </w:p>
    <w:p>
      <w:pPr>
        <w:pStyle w:val="21"/>
        <w:numPr>
          <w:ilvl w:val="1"/>
          <w:numId w:val="2"/>
        </w:numPr>
        <w:spacing w:line="360" w:lineRule="auto"/>
        <w:ind w:hanging="464"/>
        <w:rPr>
          <w:rFonts w:hAnsi="宋体"/>
          <w:color w:val="auto"/>
        </w:rPr>
      </w:pPr>
      <w:r>
        <w:rPr>
          <w:rFonts w:hint="eastAsia" w:hAnsi="宋体"/>
          <w:color w:val="auto"/>
        </w:rPr>
        <w:t>本采购项目的评标依据为磋商文件和磋商响应文件。</w:t>
      </w:r>
    </w:p>
    <w:p>
      <w:pPr>
        <w:pStyle w:val="21"/>
        <w:numPr>
          <w:ilvl w:val="1"/>
          <w:numId w:val="2"/>
        </w:numPr>
        <w:spacing w:line="360" w:lineRule="auto"/>
        <w:ind w:left="0" w:firstLine="309"/>
        <w:rPr>
          <w:rFonts w:hAnsi="宋体"/>
          <w:color w:val="auto"/>
        </w:rPr>
      </w:pPr>
      <w:r>
        <w:rPr>
          <w:rFonts w:hint="eastAsia" w:hAnsi="宋体"/>
          <w:color w:val="auto"/>
        </w:rPr>
        <w:t>本项目采用的评标方法：</w:t>
      </w:r>
      <w:r>
        <w:rPr>
          <w:rFonts w:hint="eastAsia" w:hAnsi="宋体"/>
          <w:b/>
          <w:bCs/>
          <w:color w:val="auto"/>
          <w:u w:val="single"/>
        </w:rPr>
        <w:t>综合评估法</w:t>
      </w:r>
      <w:r>
        <w:rPr>
          <w:rFonts w:hint="eastAsia" w:hAnsi="宋体"/>
          <w:color w:val="auto"/>
        </w:rPr>
        <w:t>。磋商小组成员、有关工作人员及其他知情人不得透露对磋商响应文件的评审、比较和成交候选人的推荐情况以及与评标有关的其他情况。</w:t>
      </w:r>
    </w:p>
    <w:p>
      <w:pPr>
        <w:pStyle w:val="21"/>
        <w:numPr>
          <w:ilvl w:val="1"/>
          <w:numId w:val="2"/>
        </w:numPr>
        <w:spacing w:line="360" w:lineRule="auto"/>
        <w:ind w:hanging="464"/>
        <w:rPr>
          <w:rFonts w:hAnsi="宋体"/>
          <w:color w:val="auto"/>
        </w:rPr>
      </w:pPr>
      <w:r>
        <w:rPr>
          <w:rFonts w:hint="eastAsia" w:hAnsi="宋体"/>
          <w:color w:val="auto"/>
        </w:rPr>
        <w:t>磋商人在评标过程中，所进行的力图影响评定公正性的活动，将可能导致其成交资格被取消。</w:t>
      </w:r>
    </w:p>
    <w:p>
      <w:pPr>
        <w:pStyle w:val="21"/>
        <w:numPr>
          <w:ilvl w:val="0"/>
          <w:numId w:val="2"/>
        </w:numPr>
        <w:spacing w:line="360" w:lineRule="auto"/>
        <w:outlineLvl w:val="3"/>
        <w:rPr>
          <w:rFonts w:hAnsi="宋体"/>
          <w:color w:val="auto"/>
        </w:rPr>
      </w:pPr>
      <w:r>
        <w:rPr>
          <w:rFonts w:hint="eastAsia" w:hAnsi="宋体"/>
          <w:b/>
          <w:bCs/>
          <w:color w:val="auto"/>
        </w:rPr>
        <w:t>无效的磋商响应文件</w:t>
      </w:r>
    </w:p>
    <w:p>
      <w:pPr>
        <w:pStyle w:val="21"/>
        <w:numPr>
          <w:ilvl w:val="1"/>
          <w:numId w:val="2"/>
        </w:numPr>
        <w:spacing w:line="360" w:lineRule="auto"/>
        <w:ind w:hanging="464"/>
        <w:rPr>
          <w:rFonts w:hAnsi="宋体"/>
          <w:color w:val="auto"/>
        </w:rPr>
      </w:pPr>
      <w:r>
        <w:rPr>
          <w:rFonts w:hint="eastAsia" w:hAnsi="宋体"/>
          <w:color w:val="auto"/>
        </w:rPr>
        <w:t>磋商响应文件如有下列情况之一，将会在评标中按照无效磋商响应文件处理：</w:t>
      </w:r>
    </w:p>
    <w:p>
      <w:pPr>
        <w:widowControl/>
        <w:numPr>
          <w:ilvl w:val="0"/>
          <w:numId w:val="5"/>
        </w:numPr>
        <w:spacing w:line="360" w:lineRule="auto"/>
        <w:jc w:val="left"/>
        <w:rPr>
          <w:rFonts w:ascii="宋体" w:hAnsi="宋体"/>
          <w:b/>
          <w:bCs/>
          <w:color w:val="auto"/>
        </w:rPr>
      </w:pPr>
      <w:r>
        <w:rPr>
          <w:rFonts w:hint="eastAsia" w:ascii="宋体" w:hAnsi="宋体"/>
          <w:b/>
          <w:bCs/>
          <w:color w:val="auto"/>
        </w:rPr>
        <w:t>未按照磋商文件规定要求密封、签署、盖章的；</w:t>
      </w:r>
    </w:p>
    <w:p>
      <w:pPr>
        <w:widowControl/>
        <w:numPr>
          <w:ilvl w:val="0"/>
          <w:numId w:val="5"/>
        </w:numPr>
        <w:spacing w:line="360" w:lineRule="auto"/>
        <w:jc w:val="left"/>
        <w:rPr>
          <w:rFonts w:ascii="宋体" w:hAnsi="宋体"/>
          <w:b/>
          <w:bCs/>
          <w:color w:val="auto"/>
        </w:rPr>
      </w:pPr>
      <w:r>
        <w:rPr>
          <w:rFonts w:hint="eastAsia" w:ascii="宋体" w:hAnsi="宋体"/>
          <w:b/>
          <w:bCs/>
          <w:color w:val="auto"/>
        </w:rPr>
        <w:t>超越行政许可或者行政审批的经营范围的；</w:t>
      </w:r>
    </w:p>
    <w:p>
      <w:pPr>
        <w:widowControl/>
        <w:numPr>
          <w:ilvl w:val="0"/>
          <w:numId w:val="5"/>
        </w:numPr>
        <w:spacing w:line="360" w:lineRule="auto"/>
        <w:jc w:val="left"/>
        <w:rPr>
          <w:rFonts w:ascii="宋体" w:hAnsi="宋体"/>
          <w:b/>
          <w:bCs/>
          <w:color w:val="auto"/>
        </w:rPr>
      </w:pPr>
      <w:r>
        <w:rPr>
          <w:rFonts w:hint="eastAsia" w:ascii="宋体" w:hAnsi="宋体"/>
          <w:b/>
          <w:bCs/>
          <w:color w:val="auto"/>
        </w:rPr>
        <w:t>不具备磋商文件中规定资格要求的；</w:t>
      </w:r>
    </w:p>
    <w:p>
      <w:pPr>
        <w:widowControl/>
        <w:numPr>
          <w:ilvl w:val="0"/>
          <w:numId w:val="5"/>
        </w:numPr>
        <w:spacing w:line="360" w:lineRule="auto"/>
        <w:jc w:val="left"/>
        <w:rPr>
          <w:rFonts w:ascii="宋体" w:hAnsi="宋体"/>
          <w:b/>
          <w:bCs/>
          <w:color w:val="auto"/>
        </w:rPr>
      </w:pPr>
      <w:r>
        <w:rPr>
          <w:rFonts w:hint="eastAsia" w:ascii="宋体" w:hAnsi="宋体"/>
          <w:b/>
          <w:bCs/>
          <w:color w:val="auto"/>
        </w:rPr>
        <w:t>未按磋商文件要求缴纳</w:t>
      </w:r>
      <w:r>
        <w:rPr>
          <w:rFonts w:hint="eastAsia" w:ascii="宋体" w:hAnsi="宋体"/>
          <w:b/>
          <w:bCs/>
          <w:color w:val="auto"/>
          <w:lang w:eastAsia="zh-CN"/>
        </w:rPr>
        <w:t>磋商</w:t>
      </w:r>
      <w:r>
        <w:rPr>
          <w:rFonts w:hint="eastAsia" w:ascii="宋体" w:hAnsi="宋体"/>
          <w:b/>
          <w:bCs/>
          <w:color w:val="auto"/>
        </w:rPr>
        <w:t>保证金的；</w:t>
      </w:r>
    </w:p>
    <w:p>
      <w:pPr>
        <w:widowControl/>
        <w:numPr>
          <w:ilvl w:val="0"/>
          <w:numId w:val="5"/>
        </w:numPr>
        <w:spacing w:line="360" w:lineRule="auto"/>
        <w:jc w:val="left"/>
        <w:rPr>
          <w:rFonts w:ascii="宋体" w:hAnsi="宋体"/>
          <w:b/>
          <w:bCs/>
          <w:color w:val="auto"/>
        </w:rPr>
      </w:pPr>
      <w:r>
        <w:rPr>
          <w:rFonts w:hint="eastAsia" w:ascii="宋体" w:hAnsi="宋体"/>
          <w:b/>
          <w:bCs/>
          <w:color w:val="auto"/>
        </w:rPr>
        <w:t>不符合本须知第6.2条规定的实质性要求并且在磋商规定的时间内无法说明和补充的；</w:t>
      </w:r>
    </w:p>
    <w:p>
      <w:pPr>
        <w:widowControl/>
        <w:numPr>
          <w:ilvl w:val="0"/>
          <w:numId w:val="5"/>
        </w:numPr>
        <w:spacing w:line="360" w:lineRule="auto"/>
        <w:jc w:val="left"/>
        <w:rPr>
          <w:rFonts w:ascii="宋体" w:hAnsi="宋体"/>
          <w:b/>
          <w:bCs/>
          <w:color w:val="auto"/>
        </w:rPr>
      </w:pPr>
      <w:r>
        <w:rPr>
          <w:rFonts w:hint="eastAsia" w:ascii="宋体" w:hAnsi="宋体"/>
          <w:b/>
          <w:bCs/>
          <w:color w:val="auto"/>
        </w:rPr>
        <w:t>最终报价超出招标人预算的；</w:t>
      </w:r>
    </w:p>
    <w:p>
      <w:pPr>
        <w:widowControl/>
        <w:numPr>
          <w:ilvl w:val="0"/>
          <w:numId w:val="5"/>
        </w:numPr>
        <w:spacing w:line="360" w:lineRule="auto"/>
        <w:jc w:val="left"/>
        <w:rPr>
          <w:rFonts w:ascii="宋体" w:hAnsi="宋体"/>
          <w:b/>
          <w:bCs/>
          <w:color w:val="auto"/>
        </w:rPr>
      </w:pPr>
      <w:r>
        <w:rPr>
          <w:rFonts w:hint="eastAsia" w:ascii="宋体" w:hAnsi="宋体"/>
          <w:b/>
          <w:bCs/>
          <w:color w:val="auto"/>
        </w:rPr>
        <w:t>不符合法律、法规的或未符合磋商文件规定的其他实质性要求的。</w:t>
      </w:r>
    </w:p>
    <w:p>
      <w:pPr>
        <w:pStyle w:val="21"/>
        <w:numPr>
          <w:ilvl w:val="0"/>
          <w:numId w:val="2"/>
        </w:numPr>
        <w:spacing w:line="360" w:lineRule="auto"/>
        <w:outlineLvl w:val="3"/>
        <w:rPr>
          <w:rFonts w:hAnsi="宋体"/>
          <w:b/>
          <w:bCs/>
          <w:color w:val="auto"/>
        </w:rPr>
      </w:pPr>
      <w:r>
        <w:rPr>
          <w:rFonts w:hint="eastAsia" w:hAnsi="宋体"/>
          <w:b/>
          <w:bCs/>
          <w:color w:val="auto"/>
        </w:rPr>
        <w:t>废标</w:t>
      </w:r>
    </w:p>
    <w:p>
      <w:pPr>
        <w:pStyle w:val="21"/>
        <w:numPr>
          <w:ilvl w:val="1"/>
          <w:numId w:val="2"/>
        </w:numPr>
        <w:spacing w:line="360" w:lineRule="auto"/>
        <w:ind w:hanging="464"/>
        <w:rPr>
          <w:rFonts w:hAnsi="宋体"/>
          <w:color w:val="auto"/>
        </w:rPr>
      </w:pPr>
      <w:r>
        <w:rPr>
          <w:rFonts w:hint="eastAsia" w:hAnsi="宋体"/>
          <w:color w:val="auto"/>
        </w:rPr>
        <w:t>磋商采购项目出现下列情形之一的，将予以废标：</w:t>
      </w:r>
    </w:p>
    <w:p>
      <w:pPr>
        <w:pStyle w:val="21"/>
        <w:numPr>
          <w:ilvl w:val="0"/>
          <w:numId w:val="6"/>
        </w:numPr>
        <w:spacing w:line="360" w:lineRule="auto"/>
        <w:rPr>
          <w:rFonts w:hAnsi="宋体"/>
          <w:b/>
          <w:bCs/>
          <w:color w:val="auto"/>
        </w:rPr>
      </w:pPr>
      <w:r>
        <w:rPr>
          <w:rFonts w:hint="eastAsia" w:hAnsi="宋体"/>
          <w:b/>
          <w:bCs/>
          <w:color w:val="auto"/>
        </w:rPr>
        <w:t>出现影响采购公正的违法、违规行为的；</w:t>
      </w:r>
    </w:p>
    <w:p>
      <w:pPr>
        <w:pStyle w:val="21"/>
        <w:numPr>
          <w:ilvl w:val="0"/>
          <w:numId w:val="6"/>
        </w:numPr>
        <w:spacing w:line="360" w:lineRule="auto"/>
        <w:rPr>
          <w:rFonts w:hAnsi="宋体"/>
          <w:b/>
          <w:bCs/>
          <w:color w:val="auto"/>
        </w:rPr>
      </w:pPr>
      <w:r>
        <w:rPr>
          <w:rFonts w:hint="eastAsia" w:hAnsi="宋体"/>
          <w:b/>
          <w:bCs/>
          <w:color w:val="auto"/>
        </w:rPr>
        <w:t>符合专业条件的供应商或对磋商文件实质性响应的供应商不足三家的；</w:t>
      </w:r>
    </w:p>
    <w:p>
      <w:pPr>
        <w:pStyle w:val="21"/>
        <w:numPr>
          <w:ilvl w:val="0"/>
          <w:numId w:val="6"/>
        </w:numPr>
        <w:spacing w:line="360" w:lineRule="auto"/>
        <w:rPr>
          <w:rFonts w:hAnsi="宋体"/>
          <w:b/>
          <w:bCs/>
          <w:color w:val="auto"/>
        </w:rPr>
      </w:pPr>
      <w:r>
        <w:rPr>
          <w:rFonts w:hint="eastAsia" w:hAnsi="宋体"/>
          <w:b/>
          <w:bCs/>
          <w:color w:val="auto"/>
        </w:rPr>
        <w:t>所有磋商人的最终报价均超过了采购预算，招标人不能支付的；</w:t>
      </w:r>
    </w:p>
    <w:p>
      <w:pPr>
        <w:pStyle w:val="21"/>
        <w:numPr>
          <w:ilvl w:val="0"/>
          <w:numId w:val="6"/>
        </w:numPr>
        <w:spacing w:line="360" w:lineRule="auto"/>
        <w:rPr>
          <w:rFonts w:hAnsi="宋体"/>
          <w:b/>
          <w:bCs/>
          <w:color w:val="auto"/>
        </w:rPr>
      </w:pPr>
      <w:r>
        <w:rPr>
          <w:rFonts w:hint="eastAsia" w:hAnsi="宋体"/>
          <w:b/>
          <w:bCs/>
          <w:color w:val="auto"/>
        </w:rPr>
        <w:t>采购任务取消的。</w:t>
      </w:r>
    </w:p>
    <w:p>
      <w:pPr>
        <w:pStyle w:val="21"/>
        <w:numPr>
          <w:ilvl w:val="1"/>
          <w:numId w:val="2"/>
        </w:numPr>
        <w:spacing w:line="360" w:lineRule="auto"/>
        <w:ind w:hanging="464"/>
        <w:rPr>
          <w:rFonts w:hAnsi="宋体"/>
          <w:color w:val="auto"/>
        </w:rPr>
      </w:pPr>
      <w:r>
        <w:rPr>
          <w:rFonts w:hint="eastAsia" w:hAnsi="宋体"/>
          <w:color w:val="auto"/>
        </w:rPr>
        <w:t>废标后，采购人及采购代理机构将把废标理由通知所有磋商人。</w:t>
      </w:r>
    </w:p>
    <w:p>
      <w:pPr>
        <w:pStyle w:val="21"/>
        <w:spacing w:line="360" w:lineRule="auto"/>
        <w:jc w:val="center"/>
        <w:rPr>
          <w:rFonts w:hAnsi="宋体"/>
          <w:color w:val="auto"/>
        </w:rPr>
      </w:pPr>
    </w:p>
    <w:p>
      <w:pPr>
        <w:pStyle w:val="21"/>
        <w:spacing w:line="360" w:lineRule="auto"/>
        <w:jc w:val="center"/>
        <w:outlineLvl w:val="2"/>
        <w:rPr>
          <w:rFonts w:hAnsi="宋体"/>
          <w:b/>
          <w:bCs/>
          <w:color w:val="auto"/>
        </w:rPr>
      </w:pPr>
      <w:bookmarkStart w:id="67" w:name="_Toc446927411"/>
      <w:bookmarkEnd w:id="67"/>
      <w:r>
        <w:rPr>
          <w:rFonts w:hint="eastAsia" w:hAnsi="宋体"/>
          <w:b/>
          <w:bCs/>
          <w:color w:val="auto"/>
        </w:rPr>
        <w:t>（十一）磋商结果</w:t>
      </w:r>
    </w:p>
    <w:p>
      <w:pPr>
        <w:pStyle w:val="21"/>
        <w:numPr>
          <w:ilvl w:val="0"/>
          <w:numId w:val="2"/>
        </w:numPr>
        <w:spacing w:line="360" w:lineRule="auto"/>
        <w:outlineLvl w:val="3"/>
        <w:rPr>
          <w:rFonts w:hAnsi="宋体"/>
          <w:b/>
          <w:bCs/>
          <w:color w:val="auto"/>
        </w:rPr>
      </w:pPr>
      <w:r>
        <w:rPr>
          <w:rFonts w:hint="eastAsia" w:hAnsi="宋体"/>
          <w:b/>
          <w:bCs/>
          <w:color w:val="auto"/>
          <w:lang w:eastAsia="zh-CN"/>
        </w:rPr>
        <w:t>中标结果公告</w:t>
      </w:r>
    </w:p>
    <w:p>
      <w:pPr>
        <w:pStyle w:val="21"/>
        <w:numPr>
          <w:ilvl w:val="1"/>
          <w:numId w:val="2"/>
        </w:numPr>
        <w:spacing w:line="360" w:lineRule="auto"/>
        <w:ind w:left="0" w:firstLine="309"/>
        <w:rPr>
          <w:rFonts w:hAnsi="宋体"/>
          <w:color w:val="auto"/>
        </w:rPr>
      </w:pPr>
      <w:r>
        <w:rPr>
          <w:rFonts w:hint="eastAsia" w:hAnsi="宋体"/>
          <w:color w:val="auto"/>
        </w:rPr>
        <w:t>采购代理机构在磋商工作完成后5日内将磋商报告送采购人，采购人确认后，</w:t>
      </w:r>
      <w:r>
        <w:rPr>
          <w:rFonts w:hint="eastAsia" w:hAnsi="宋体"/>
          <w:color w:val="auto"/>
          <w:lang w:eastAsia="zh-CN"/>
        </w:rPr>
        <w:t>中标</w:t>
      </w:r>
      <w:r>
        <w:rPr>
          <w:rFonts w:hint="eastAsia" w:hAnsi="宋体"/>
          <w:color w:val="auto"/>
        </w:rPr>
        <w:t>结果将在发布本项目竞争性磋商公告的网站上刊登</w:t>
      </w:r>
      <w:r>
        <w:rPr>
          <w:rFonts w:hint="eastAsia" w:hAnsi="宋体"/>
          <w:color w:val="auto"/>
          <w:lang w:eastAsia="zh-CN"/>
        </w:rPr>
        <w:t>中标结果公告</w:t>
      </w:r>
      <w:r>
        <w:rPr>
          <w:rFonts w:hint="eastAsia" w:hAnsi="宋体"/>
          <w:color w:val="auto"/>
        </w:rPr>
        <w:t>。</w:t>
      </w:r>
    </w:p>
    <w:p>
      <w:pPr>
        <w:pStyle w:val="21"/>
        <w:numPr>
          <w:ilvl w:val="1"/>
          <w:numId w:val="2"/>
        </w:numPr>
        <w:spacing w:line="360" w:lineRule="auto"/>
        <w:ind w:left="0" w:firstLine="309"/>
        <w:rPr>
          <w:rFonts w:hAnsi="宋体"/>
          <w:color w:val="auto"/>
        </w:rPr>
      </w:pPr>
      <w:r>
        <w:rPr>
          <w:rFonts w:hint="eastAsia" w:hAnsi="宋体"/>
          <w:color w:val="auto"/>
          <w:lang w:eastAsia="zh-CN"/>
        </w:rPr>
        <w:t>中标</w:t>
      </w:r>
      <w:r>
        <w:rPr>
          <w:rFonts w:hint="eastAsia" w:hAnsi="宋体"/>
          <w:color w:val="auto"/>
        </w:rPr>
        <w:t>结果</w:t>
      </w:r>
      <w:r>
        <w:rPr>
          <w:rFonts w:hint="eastAsia" w:hAnsi="宋体"/>
          <w:color w:val="auto"/>
          <w:lang w:eastAsia="zh-CN"/>
        </w:rPr>
        <w:t>公告</w:t>
      </w:r>
      <w:r>
        <w:rPr>
          <w:rFonts w:hint="eastAsia" w:hAnsi="宋体"/>
          <w:color w:val="auto"/>
        </w:rPr>
        <w:t>期为自</w:t>
      </w:r>
      <w:r>
        <w:rPr>
          <w:rFonts w:hint="eastAsia" w:hAnsi="宋体"/>
          <w:color w:val="auto"/>
          <w:lang w:eastAsia="zh-CN"/>
        </w:rPr>
        <w:t>公示</w:t>
      </w:r>
      <w:r>
        <w:rPr>
          <w:rFonts w:hint="eastAsia" w:hAnsi="宋体"/>
          <w:color w:val="auto"/>
        </w:rPr>
        <w:t>之日起1个工作日，磋商人认为</w:t>
      </w:r>
      <w:r>
        <w:rPr>
          <w:rFonts w:hint="eastAsia" w:hAnsi="宋体"/>
          <w:color w:val="auto"/>
          <w:lang w:eastAsia="zh-CN"/>
        </w:rPr>
        <w:t>中标</w:t>
      </w:r>
      <w:r>
        <w:rPr>
          <w:rFonts w:hint="eastAsia" w:hAnsi="宋体"/>
          <w:color w:val="auto"/>
        </w:rPr>
        <w:t>结果使自己的权益受到损害的，可以自</w:t>
      </w:r>
      <w:r>
        <w:rPr>
          <w:rFonts w:hint="eastAsia" w:hAnsi="宋体"/>
          <w:color w:val="auto"/>
          <w:lang w:eastAsia="zh-CN"/>
        </w:rPr>
        <w:t>中标</w:t>
      </w:r>
      <w:r>
        <w:rPr>
          <w:rFonts w:hint="eastAsia" w:hAnsi="宋体"/>
          <w:color w:val="auto"/>
        </w:rPr>
        <w:t>结果</w:t>
      </w:r>
      <w:r>
        <w:rPr>
          <w:rFonts w:hint="eastAsia" w:hAnsi="宋体"/>
          <w:color w:val="auto"/>
          <w:lang w:eastAsia="zh-CN"/>
        </w:rPr>
        <w:t>公告</w:t>
      </w:r>
      <w:r>
        <w:rPr>
          <w:rFonts w:hint="eastAsia" w:hAnsi="宋体"/>
          <w:color w:val="auto"/>
        </w:rPr>
        <w:t>期内以书面形式向采购代理机构提出质疑，逾期将不再受理。采购代理机构将在收到磋商人的书面质疑后7个工作日内做出答复，但答复的内容不得涉及商业秘密。</w:t>
      </w:r>
    </w:p>
    <w:p>
      <w:pPr>
        <w:pStyle w:val="21"/>
        <w:numPr>
          <w:ilvl w:val="1"/>
          <w:numId w:val="2"/>
        </w:numPr>
        <w:spacing w:line="360" w:lineRule="auto"/>
        <w:ind w:left="0" w:firstLine="309"/>
        <w:rPr>
          <w:rFonts w:hAnsi="宋体"/>
          <w:color w:val="auto"/>
        </w:rPr>
      </w:pPr>
      <w:r>
        <w:rPr>
          <w:rFonts w:hint="eastAsia" w:hAnsi="宋体"/>
          <w:color w:val="auto"/>
        </w:rPr>
        <w:t>质疑磋商人必须首先经过质疑程序，在对采购代理机构的答复不满意或者采购代理机构未在规定的时间内做出答复的，可以在答复期满后15个工作日内书面向本级政府采购招投标监督管理部门投诉。</w:t>
      </w:r>
    </w:p>
    <w:p>
      <w:pPr>
        <w:pStyle w:val="21"/>
        <w:numPr>
          <w:ilvl w:val="0"/>
          <w:numId w:val="2"/>
        </w:numPr>
        <w:spacing w:line="360" w:lineRule="auto"/>
        <w:outlineLvl w:val="3"/>
        <w:rPr>
          <w:rFonts w:hAnsi="宋体"/>
          <w:color w:val="auto"/>
        </w:rPr>
      </w:pPr>
      <w:r>
        <w:rPr>
          <w:rFonts w:hint="eastAsia" w:hAnsi="宋体"/>
          <w:b/>
          <w:bCs/>
          <w:color w:val="auto"/>
          <w:lang w:eastAsia="zh-CN"/>
        </w:rPr>
        <w:t>中标</w:t>
      </w:r>
      <w:r>
        <w:rPr>
          <w:rFonts w:hint="eastAsia" w:hAnsi="宋体"/>
          <w:b/>
          <w:bCs/>
          <w:color w:val="auto"/>
        </w:rPr>
        <w:t>通知</w:t>
      </w:r>
    </w:p>
    <w:p>
      <w:pPr>
        <w:pStyle w:val="21"/>
        <w:numPr>
          <w:ilvl w:val="1"/>
          <w:numId w:val="2"/>
        </w:numPr>
        <w:spacing w:line="360" w:lineRule="auto"/>
        <w:ind w:left="0" w:firstLine="309"/>
        <w:rPr>
          <w:rFonts w:hAnsi="宋体"/>
          <w:b/>
          <w:bCs/>
          <w:color w:val="auto"/>
        </w:rPr>
      </w:pPr>
      <w:r>
        <w:rPr>
          <w:rFonts w:hint="eastAsia" w:hAnsi="宋体"/>
          <w:color w:val="auto"/>
        </w:rPr>
        <w:t>采购代理机构在发布</w:t>
      </w:r>
      <w:r>
        <w:rPr>
          <w:rFonts w:hint="eastAsia" w:hAnsi="宋体"/>
          <w:color w:val="auto"/>
          <w:lang w:eastAsia="zh-CN"/>
        </w:rPr>
        <w:t>中标结果公告</w:t>
      </w:r>
      <w:r>
        <w:rPr>
          <w:rFonts w:hint="eastAsia" w:hAnsi="宋体"/>
          <w:color w:val="auto"/>
        </w:rPr>
        <w:t>的同时向</w:t>
      </w:r>
      <w:r>
        <w:rPr>
          <w:rFonts w:hint="eastAsia" w:hAnsi="宋体"/>
          <w:color w:val="auto"/>
          <w:lang w:eastAsia="zh-CN"/>
        </w:rPr>
        <w:t>中标单位</w:t>
      </w:r>
      <w:r>
        <w:rPr>
          <w:rFonts w:hint="eastAsia" w:hAnsi="宋体"/>
          <w:color w:val="auto"/>
        </w:rPr>
        <w:t>发出</w:t>
      </w:r>
      <w:r>
        <w:rPr>
          <w:rFonts w:hint="eastAsia" w:hAnsi="宋体"/>
          <w:color w:val="auto"/>
          <w:lang w:eastAsia="zh-CN"/>
        </w:rPr>
        <w:t>中标</w:t>
      </w:r>
      <w:r>
        <w:rPr>
          <w:rFonts w:hint="eastAsia" w:hAnsi="宋体"/>
          <w:color w:val="auto"/>
        </w:rPr>
        <w:t>通知书，也可以根据项目的实际情况酌情延后发放</w:t>
      </w:r>
      <w:r>
        <w:rPr>
          <w:rFonts w:hint="eastAsia" w:hAnsi="宋体"/>
          <w:color w:val="auto"/>
          <w:lang w:eastAsia="zh-CN"/>
        </w:rPr>
        <w:t>中标</w:t>
      </w:r>
      <w:r>
        <w:rPr>
          <w:rFonts w:hint="eastAsia" w:hAnsi="宋体"/>
          <w:color w:val="auto"/>
        </w:rPr>
        <w:t>通知书。</w:t>
      </w:r>
    </w:p>
    <w:p>
      <w:pPr>
        <w:pStyle w:val="21"/>
        <w:numPr>
          <w:ilvl w:val="1"/>
          <w:numId w:val="2"/>
        </w:numPr>
        <w:spacing w:line="360" w:lineRule="auto"/>
        <w:ind w:hanging="464"/>
        <w:rPr>
          <w:rFonts w:hAnsi="宋体"/>
          <w:color w:val="auto"/>
        </w:rPr>
      </w:pPr>
      <w:r>
        <w:rPr>
          <w:rFonts w:hint="eastAsia" w:hAnsi="宋体"/>
          <w:color w:val="auto"/>
        </w:rPr>
        <w:t>采购代理机构无义务向落标的磋商人解释落标原因和退还磋商响应文件。</w:t>
      </w:r>
    </w:p>
    <w:p>
      <w:pPr>
        <w:pStyle w:val="21"/>
        <w:numPr>
          <w:ilvl w:val="0"/>
          <w:numId w:val="2"/>
        </w:numPr>
        <w:spacing w:line="360" w:lineRule="auto"/>
        <w:outlineLvl w:val="3"/>
        <w:rPr>
          <w:rFonts w:hAnsi="宋体"/>
          <w:b/>
          <w:bCs/>
          <w:color w:val="auto"/>
        </w:rPr>
      </w:pPr>
      <w:r>
        <w:rPr>
          <w:rFonts w:hint="eastAsia" w:hAnsi="宋体"/>
          <w:b/>
          <w:bCs/>
          <w:color w:val="auto"/>
        </w:rPr>
        <w:t>合同授予标准</w:t>
      </w:r>
    </w:p>
    <w:p>
      <w:pPr>
        <w:pStyle w:val="21"/>
        <w:numPr>
          <w:ilvl w:val="1"/>
          <w:numId w:val="2"/>
        </w:numPr>
        <w:spacing w:line="360" w:lineRule="auto"/>
        <w:ind w:left="0" w:firstLine="309"/>
        <w:rPr>
          <w:rFonts w:hAnsi="宋体"/>
          <w:color w:val="auto"/>
        </w:rPr>
      </w:pPr>
      <w:r>
        <w:rPr>
          <w:rFonts w:hint="eastAsia" w:hAnsi="宋体"/>
          <w:color w:val="auto"/>
        </w:rPr>
        <w:t>合同将授予被确定为实质上响应磋商文件要求，评标认为具备履行合同能力，获得综合评分最高的前三名磋商人。</w:t>
      </w:r>
    </w:p>
    <w:p>
      <w:pPr>
        <w:pStyle w:val="21"/>
        <w:numPr>
          <w:ilvl w:val="1"/>
          <w:numId w:val="2"/>
        </w:numPr>
        <w:spacing w:line="360" w:lineRule="auto"/>
        <w:ind w:left="0" w:firstLine="309"/>
        <w:rPr>
          <w:rFonts w:hAnsi="宋体"/>
          <w:color w:val="auto"/>
        </w:rPr>
      </w:pPr>
      <w:r>
        <w:rPr>
          <w:rFonts w:hint="eastAsia" w:hAnsi="宋体"/>
          <w:color w:val="auto"/>
        </w:rPr>
        <w:t>采购人应按照评标报告中推荐的</w:t>
      </w:r>
      <w:r>
        <w:rPr>
          <w:rFonts w:hint="eastAsia" w:hAnsi="宋体"/>
          <w:color w:val="auto"/>
          <w:lang w:eastAsia="zh-CN"/>
        </w:rPr>
        <w:t>中标候选人</w:t>
      </w:r>
      <w:r>
        <w:rPr>
          <w:rFonts w:hint="eastAsia" w:hAnsi="宋体"/>
          <w:color w:val="auto"/>
        </w:rPr>
        <w:t>顺序确定</w:t>
      </w:r>
      <w:r>
        <w:rPr>
          <w:rFonts w:hint="eastAsia" w:hAnsi="宋体"/>
          <w:color w:val="auto"/>
          <w:lang w:eastAsia="zh-CN"/>
        </w:rPr>
        <w:t>中标人</w:t>
      </w:r>
      <w:r>
        <w:rPr>
          <w:rFonts w:hint="eastAsia" w:hAnsi="宋体"/>
          <w:color w:val="auto"/>
        </w:rPr>
        <w:t>，也可授权磋商小组直接确定</w:t>
      </w:r>
      <w:r>
        <w:rPr>
          <w:rFonts w:hint="eastAsia" w:hAnsi="宋体"/>
          <w:color w:val="auto"/>
          <w:lang w:eastAsia="zh-CN"/>
        </w:rPr>
        <w:t>中标人</w:t>
      </w:r>
      <w:r>
        <w:rPr>
          <w:rFonts w:hint="eastAsia" w:hAnsi="宋体"/>
          <w:color w:val="auto"/>
        </w:rPr>
        <w:t>。</w:t>
      </w:r>
    </w:p>
    <w:p>
      <w:pPr>
        <w:pStyle w:val="21"/>
        <w:numPr>
          <w:ilvl w:val="0"/>
          <w:numId w:val="2"/>
        </w:numPr>
        <w:spacing w:line="360" w:lineRule="auto"/>
        <w:outlineLvl w:val="3"/>
        <w:rPr>
          <w:rFonts w:hAnsi="宋体"/>
          <w:b/>
          <w:bCs/>
          <w:color w:val="auto"/>
        </w:rPr>
      </w:pPr>
      <w:r>
        <w:rPr>
          <w:rFonts w:hint="eastAsia" w:hAnsi="宋体"/>
          <w:b/>
          <w:bCs/>
          <w:color w:val="auto"/>
        </w:rPr>
        <w:t>签订合同</w:t>
      </w:r>
    </w:p>
    <w:p>
      <w:pPr>
        <w:pStyle w:val="21"/>
        <w:numPr>
          <w:ilvl w:val="1"/>
          <w:numId w:val="2"/>
        </w:numPr>
        <w:spacing w:line="360" w:lineRule="auto"/>
        <w:ind w:hanging="464"/>
        <w:rPr>
          <w:rFonts w:hAnsi="宋体"/>
          <w:color w:val="auto"/>
        </w:rPr>
      </w:pPr>
      <w:r>
        <w:rPr>
          <w:rFonts w:hint="eastAsia" w:hAnsi="宋体"/>
          <w:color w:val="auto"/>
          <w:lang w:eastAsia="zh-CN"/>
        </w:rPr>
        <w:t>中标人</w:t>
      </w:r>
      <w:r>
        <w:rPr>
          <w:rFonts w:hint="eastAsia" w:hAnsi="宋体"/>
          <w:color w:val="auto"/>
        </w:rPr>
        <w:t>收到</w:t>
      </w:r>
      <w:r>
        <w:rPr>
          <w:rFonts w:hint="eastAsia" w:hAnsi="宋体"/>
          <w:color w:val="auto"/>
          <w:lang w:eastAsia="zh-CN"/>
        </w:rPr>
        <w:t>中标通知书</w:t>
      </w:r>
      <w:r>
        <w:rPr>
          <w:rFonts w:hint="eastAsia" w:hAnsi="宋体"/>
          <w:color w:val="auto"/>
        </w:rPr>
        <w:t>后，按</w:t>
      </w:r>
      <w:r>
        <w:rPr>
          <w:rFonts w:hint="eastAsia" w:hAnsi="宋体"/>
          <w:color w:val="auto"/>
          <w:lang w:eastAsia="zh-CN"/>
        </w:rPr>
        <w:t>中标通知书</w:t>
      </w:r>
      <w:r>
        <w:rPr>
          <w:rFonts w:hint="eastAsia" w:hAnsi="宋体"/>
          <w:color w:val="auto"/>
        </w:rPr>
        <w:t>中规定的时间、地点与采购人签订合同。</w:t>
      </w:r>
    </w:p>
    <w:p>
      <w:pPr>
        <w:pStyle w:val="21"/>
        <w:numPr>
          <w:ilvl w:val="1"/>
          <w:numId w:val="2"/>
        </w:numPr>
        <w:spacing w:line="360" w:lineRule="auto"/>
        <w:ind w:left="0" w:firstLine="309"/>
        <w:rPr>
          <w:rFonts w:hAnsi="宋体"/>
          <w:color w:val="auto"/>
        </w:rPr>
      </w:pPr>
      <w:r>
        <w:rPr>
          <w:rFonts w:hint="eastAsia" w:hAnsi="宋体"/>
          <w:color w:val="auto"/>
        </w:rPr>
        <w:t>如</w:t>
      </w:r>
      <w:r>
        <w:rPr>
          <w:rFonts w:hint="eastAsia" w:hAnsi="宋体"/>
          <w:color w:val="auto"/>
          <w:lang w:eastAsia="zh-CN"/>
        </w:rPr>
        <w:t>中标人</w:t>
      </w:r>
      <w:r>
        <w:rPr>
          <w:rFonts w:hint="eastAsia" w:hAnsi="宋体"/>
          <w:color w:val="auto"/>
        </w:rPr>
        <w:t>不按</w:t>
      </w:r>
      <w:r>
        <w:rPr>
          <w:rFonts w:hint="eastAsia" w:hAnsi="宋体"/>
          <w:color w:val="auto"/>
          <w:lang w:eastAsia="zh-CN"/>
        </w:rPr>
        <w:t>中标通知书</w:t>
      </w:r>
      <w:r>
        <w:rPr>
          <w:rFonts w:hint="eastAsia" w:hAnsi="宋体"/>
          <w:color w:val="auto"/>
        </w:rPr>
        <w:t>的规定签订合同（采购人原因除外），则按</w:t>
      </w:r>
      <w:r>
        <w:rPr>
          <w:rFonts w:hint="eastAsia" w:hAnsi="宋体"/>
          <w:color w:val="auto"/>
          <w:lang w:eastAsia="zh-CN"/>
        </w:rPr>
        <w:t>中标人</w:t>
      </w:r>
      <w:r>
        <w:rPr>
          <w:rFonts w:hint="eastAsia" w:hAnsi="宋体"/>
          <w:color w:val="auto"/>
        </w:rPr>
        <w:t>违约处理，采购代理机构将取消该中标（成交）决定，不予退还该</w:t>
      </w:r>
      <w:r>
        <w:rPr>
          <w:rFonts w:hint="eastAsia" w:hAnsi="宋体"/>
          <w:color w:val="auto"/>
          <w:lang w:eastAsia="zh-CN"/>
        </w:rPr>
        <w:t>中标人</w:t>
      </w:r>
      <w:r>
        <w:rPr>
          <w:rFonts w:hint="eastAsia" w:hAnsi="宋体"/>
          <w:color w:val="auto"/>
        </w:rPr>
        <w:t>的</w:t>
      </w:r>
      <w:r>
        <w:rPr>
          <w:rFonts w:hint="eastAsia" w:hAnsi="宋体"/>
          <w:color w:val="auto"/>
          <w:lang w:eastAsia="zh-CN"/>
        </w:rPr>
        <w:t>磋商</w:t>
      </w:r>
      <w:r>
        <w:rPr>
          <w:rFonts w:hint="eastAsia" w:hAnsi="宋体"/>
          <w:color w:val="auto"/>
        </w:rPr>
        <w:t>保证金，</w:t>
      </w:r>
      <w:r>
        <w:rPr>
          <w:rFonts w:hint="eastAsia" w:hAnsi="宋体"/>
          <w:color w:val="auto"/>
          <w:lang w:eastAsia="zh-CN"/>
        </w:rPr>
        <w:t>中标人</w:t>
      </w:r>
      <w:r>
        <w:rPr>
          <w:rFonts w:hint="eastAsia" w:hAnsi="宋体"/>
          <w:color w:val="auto"/>
        </w:rPr>
        <w:t>应当依法承担法律责任。</w:t>
      </w:r>
    </w:p>
    <w:p>
      <w:pPr>
        <w:pStyle w:val="21"/>
        <w:numPr>
          <w:ilvl w:val="1"/>
          <w:numId w:val="2"/>
        </w:numPr>
        <w:spacing w:line="360" w:lineRule="auto"/>
        <w:ind w:left="0" w:firstLine="309"/>
        <w:rPr>
          <w:rFonts w:hAnsi="宋体"/>
          <w:color w:val="auto"/>
        </w:rPr>
      </w:pPr>
      <w:r>
        <w:rPr>
          <w:rFonts w:hint="eastAsia" w:hAnsi="宋体"/>
          <w:color w:val="auto"/>
        </w:rPr>
        <w:t>采购合同由采购人与</w:t>
      </w:r>
      <w:r>
        <w:rPr>
          <w:rFonts w:hint="eastAsia" w:hAnsi="宋体"/>
          <w:color w:val="auto"/>
          <w:lang w:eastAsia="zh-CN"/>
        </w:rPr>
        <w:t>中标人</w:t>
      </w:r>
      <w:r>
        <w:rPr>
          <w:rFonts w:hint="eastAsia" w:hAnsi="宋体"/>
          <w:color w:val="auto"/>
        </w:rPr>
        <w:t>在规定的时间内签订并签字盖章后送本级政府采购管理办公室备案。</w:t>
      </w:r>
    </w:p>
    <w:p>
      <w:pPr>
        <w:pStyle w:val="21"/>
        <w:numPr>
          <w:ilvl w:val="0"/>
          <w:numId w:val="2"/>
        </w:numPr>
        <w:spacing w:line="360" w:lineRule="auto"/>
        <w:outlineLvl w:val="3"/>
        <w:rPr>
          <w:rFonts w:hAnsi="宋体"/>
          <w:b/>
          <w:bCs/>
          <w:color w:val="auto"/>
        </w:rPr>
      </w:pPr>
      <w:r>
        <w:rPr>
          <w:rFonts w:hint="eastAsia" w:hAnsi="宋体"/>
          <w:b/>
          <w:bCs/>
          <w:color w:val="auto"/>
        </w:rPr>
        <w:t>合同履行中的追加</w:t>
      </w:r>
    </w:p>
    <w:p>
      <w:pPr>
        <w:pStyle w:val="21"/>
        <w:numPr>
          <w:ilvl w:val="1"/>
          <w:numId w:val="2"/>
        </w:numPr>
        <w:spacing w:line="360" w:lineRule="auto"/>
        <w:ind w:left="0" w:firstLine="309"/>
        <w:rPr>
          <w:rFonts w:hAnsi="宋体"/>
          <w:color w:val="auto"/>
        </w:rPr>
      </w:pPr>
      <w:r>
        <w:rPr>
          <w:rFonts w:hint="eastAsia" w:hAnsi="宋体"/>
          <w:color w:val="auto"/>
        </w:rPr>
        <w:t>政府采购合同履行中，招标人如需追加与合同标的相同的货物、工程和服务的，经本级政府采购管理办公室同意，在不改变合同其他条款的前提下，可以与</w:t>
      </w:r>
      <w:r>
        <w:rPr>
          <w:rFonts w:hint="eastAsia" w:hAnsi="宋体"/>
          <w:color w:val="auto"/>
          <w:lang w:eastAsia="zh-CN"/>
        </w:rPr>
        <w:t>中标人</w:t>
      </w:r>
      <w:r>
        <w:rPr>
          <w:rFonts w:hint="eastAsia" w:hAnsi="宋体"/>
          <w:color w:val="auto"/>
        </w:rPr>
        <w:t>协商签订补充的合同。但补充的合同涉及的采购金额不得超过原合同采购金额的10%。</w:t>
      </w:r>
    </w:p>
    <w:p>
      <w:pPr>
        <w:pStyle w:val="21"/>
        <w:numPr>
          <w:ilvl w:val="0"/>
          <w:numId w:val="2"/>
        </w:numPr>
        <w:spacing w:line="360" w:lineRule="auto"/>
        <w:outlineLvl w:val="3"/>
        <w:rPr>
          <w:rFonts w:hAnsi="宋体"/>
          <w:b/>
          <w:bCs/>
          <w:color w:val="auto"/>
        </w:rPr>
      </w:pPr>
      <w:r>
        <w:rPr>
          <w:rFonts w:hint="eastAsia" w:hAnsi="宋体"/>
          <w:b/>
          <w:bCs/>
          <w:color w:val="auto"/>
        </w:rPr>
        <w:t>履约保证金</w:t>
      </w:r>
    </w:p>
    <w:p>
      <w:pPr>
        <w:pStyle w:val="21"/>
        <w:spacing w:line="360" w:lineRule="auto"/>
        <w:ind w:left="425"/>
        <w:rPr>
          <w:rFonts w:hint="default" w:hAnsi="宋体"/>
          <w:b/>
          <w:bCs/>
          <w:color w:val="auto"/>
          <w:lang w:val="en-US"/>
        </w:rPr>
      </w:pPr>
      <w:r>
        <w:rPr>
          <w:rFonts w:hint="eastAsia" w:hAnsi="宋体"/>
          <w:color w:val="auto"/>
          <w:lang w:eastAsia="zh-CN"/>
        </w:rPr>
        <w:t>无</w:t>
      </w:r>
      <w:r>
        <w:rPr>
          <w:rFonts w:hint="eastAsia" w:hAnsi="宋体"/>
          <w:color w:val="auto"/>
          <w:lang w:val="en-US" w:eastAsia="zh-CN"/>
        </w:rPr>
        <w:t>。</w:t>
      </w:r>
    </w:p>
    <w:p>
      <w:pPr>
        <w:pStyle w:val="21"/>
        <w:spacing w:line="360" w:lineRule="auto"/>
        <w:jc w:val="center"/>
        <w:outlineLvl w:val="2"/>
        <w:rPr>
          <w:rFonts w:hAnsi="宋体"/>
          <w:b/>
          <w:bCs/>
          <w:color w:val="auto"/>
        </w:rPr>
      </w:pPr>
      <w:bookmarkStart w:id="68" w:name="_Toc446927412"/>
      <w:bookmarkEnd w:id="68"/>
      <w:r>
        <w:rPr>
          <w:rFonts w:hint="eastAsia" w:hAnsi="宋体"/>
          <w:b/>
          <w:bCs/>
          <w:color w:val="auto"/>
        </w:rPr>
        <w:t>（十二）其他事项</w:t>
      </w:r>
    </w:p>
    <w:p>
      <w:pPr>
        <w:pStyle w:val="21"/>
        <w:numPr>
          <w:ilvl w:val="0"/>
          <w:numId w:val="2"/>
        </w:numPr>
        <w:spacing w:line="360" w:lineRule="auto"/>
        <w:outlineLvl w:val="3"/>
        <w:rPr>
          <w:rFonts w:hAnsi="宋体"/>
          <w:b/>
          <w:bCs/>
          <w:color w:val="auto"/>
        </w:rPr>
      </w:pPr>
      <w:r>
        <w:rPr>
          <w:rFonts w:hint="eastAsia" w:hAnsi="宋体"/>
          <w:b/>
          <w:bCs/>
          <w:color w:val="auto"/>
        </w:rPr>
        <w:t>代理服务费</w:t>
      </w:r>
    </w:p>
    <w:p>
      <w:pPr>
        <w:pStyle w:val="21"/>
        <w:spacing w:line="360" w:lineRule="auto"/>
        <w:ind w:firstLine="420"/>
        <w:rPr>
          <w:rFonts w:hint="eastAsia" w:hAnsi="宋体"/>
          <w:color w:val="auto"/>
        </w:rPr>
      </w:pPr>
      <w:r>
        <w:rPr>
          <w:rFonts w:hint="eastAsia" w:hAnsi="宋体"/>
          <w:color w:val="auto"/>
        </w:rPr>
        <w:t xml:space="preserve">  </w:t>
      </w:r>
    </w:p>
    <w:p>
      <w:pPr>
        <w:pStyle w:val="21"/>
        <w:spacing w:line="360" w:lineRule="auto"/>
        <w:ind w:firstLine="420"/>
      </w:pPr>
      <w:r>
        <w:rPr>
          <w:rFonts w:hint="eastAsia" w:hAnsi="宋体"/>
          <w:color w:val="auto"/>
        </w:rPr>
        <w:t>代理服务费按国家发展计划委员会计价格[2002]1980号《招标代理服务费管理暂行办法》收费标准（工程类）向</w:t>
      </w:r>
      <w:r>
        <w:rPr>
          <w:rFonts w:hint="eastAsia" w:hAnsi="宋体"/>
          <w:color w:val="auto"/>
          <w:lang w:eastAsia="zh-CN"/>
        </w:rPr>
        <w:t>招标人</w:t>
      </w:r>
      <w:r>
        <w:rPr>
          <w:rFonts w:hint="eastAsia" w:hAnsi="宋体"/>
          <w:color w:val="auto"/>
        </w:rPr>
        <w:t>收取。</w:t>
      </w:r>
    </w:p>
    <w:p>
      <w:pPr>
        <w:pStyle w:val="21"/>
        <w:numPr>
          <w:ilvl w:val="0"/>
          <w:numId w:val="2"/>
        </w:numPr>
        <w:spacing w:line="360" w:lineRule="auto"/>
        <w:outlineLvl w:val="3"/>
        <w:rPr>
          <w:rFonts w:hAnsi="宋体"/>
          <w:b/>
          <w:bCs/>
          <w:color w:val="auto"/>
        </w:rPr>
      </w:pPr>
      <w:r>
        <w:rPr>
          <w:rFonts w:hint="eastAsia" w:hAnsi="宋体"/>
          <w:b/>
          <w:bCs/>
          <w:color w:val="auto"/>
        </w:rPr>
        <w:t>解释权</w:t>
      </w:r>
    </w:p>
    <w:p>
      <w:pPr>
        <w:pStyle w:val="21"/>
        <w:numPr>
          <w:ilvl w:val="1"/>
          <w:numId w:val="2"/>
        </w:numPr>
        <w:spacing w:line="360" w:lineRule="auto"/>
        <w:ind w:left="0" w:firstLine="309"/>
        <w:rPr>
          <w:rFonts w:hint="eastAsia" w:hAnsi="宋体"/>
          <w:b/>
          <w:bCs/>
          <w:color w:val="auto"/>
        </w:rPr>
      </w:pPr>
      <w:r>
        <w:rPr>
          <w:rFonts w:hint="eastAsia" w:hAnsi="宋体"/>
          <w:color w:val="auto"/>
        </w:rPr>
        <w:t>本磋商文件是根据国家有关法律、法规以及政府采购管理有关规定和参照国际惯例编制，解释权属采购代理机构。</w:t>
      </w:r>
      <w:bookmarkStart w:id="69" w:name="_Toc446927413"/>
      <w:bookmarkEnd w:id="69"/>
    </w:p>
    <w:p>
      <w:pPr>
        <w:pStyle w:val="21"/>
        <w:spacing w:line="360" w:lineRule="exact"/>
        <w:outlineLvl w:val="2"/>
        <w:rPr>
          <w:rFonts w:hAnsi="宋体"/>
          <w:b/>
          <w:bCs/>
          <w:color w:val="auto"/>
        </w:rPr>
      </w:pPr>
      <w:r>
        <w:rPr>
          <w:rFonts w:hint="eastAsia" w:hAnsi="宋体"/>
          <w:b/>
          <w:bCs/>
          <w:color w:val="auto"/>
        </w:rPr>
        <w:t>附件 有关法律法规对政府采购当事人应承担法律责任的规定</w:t>
      </w:r>
    </w:p>
    <w:p>
      <w:pPr>
        <w:spacing w:line="360" w:lineRule="exact"/>
        <w:rPr>
          <w:rFonts w:ascii="宋体" w:hAnsi="宋体"/>
          <w:b/>
          <w:bCs/>
          <w:color w:val="auto"/>
        </w:rPr>
      </w:pPr>
    </w:p>
    <w:p>
      <w:pPr>
        <w:spacing w:line="360" w:lineRule="exact"/>
        <w:rPr>
          <w:rFonts w:ascii="宋体" w:hAnsi="宋体"/>
          <w:b/>
          <w:bCs/>
          <w:color w:val="auto"/>
        </w:rPr>
      </w:pPr>
      <w:r>
        <w:rPr>
          <w:rFonts w:hint="eastAsia" w:ascii="宋体" w:hAnsi="宋体"/>
          <w:b/>
          <w:bCs/>
          <w:color w:val="auto"/>
        </w:rPr>
        <w:t>《中华人民共和国政府采购法》有关规定：</w:t>
      </w:r>
    </w:p>
    <w:p>
      <w:pPr>
        <w:spacing w:line="360" w:lineRule="exact"/>
        <w:ind w:firstLine="420" w:firstLineChars="200"/>
        <w:rPr>
          <w:rFonts w:ascii="宋体" w:hAnsi="宋体"/>
          <w:color w:val="auto"/>
        </w:rPr>
      </w:pPr>
      <w:r>
        <w:rPr>
          <w:rFonts w:hint="eastAsia" w:ascii="宋体" w:hAnsi="宋体"/>
          <w:color w:val="auto"/>
        </w:rPr>
        <w:t xml:space="preserve">第三条 政府采购应当遵循公开透明原则、公平竞争原则、公正原则和诚实信用原则。 </w:t>
      </w:r>
    </w:p>
    <w:p>
      <w:pPr>
        <w:spacing w:line="360" w:lineRule="exact"/>
        <w:ind w:firstLine="420" w:firstLineChars="200"/>
        <w:rPr>
          <w:rFonts w:ascii="宋体" w:hAnsi="宋体"/>
          <w:color w:val="auto"/>
        </w:rPr>
      </w:pPr>
      <w:r>
        <w:rPr>
          <w:rFonts w:hint="eastAsia" w:ascii="宋体" w:hAnsi="宋体"/>
          <w:color w:val="auto"/>
        </w:rPr>
        <w:t>第二十二条 供应商参加政府采购活动应当具备下列条件：</w:t>
      </w:r>
    </w:p>
    <w:p>
      <w:pPr>
        <w:numPr>
          <w:ilvl w:val="0"/>
          <w:numId w:val="7"/>
        </w:numPr>
        <w:spacing w:line="360" w:lineRule="exact"/>
        <w:rPr>
          <w:rFonts w:ascii="宋体" w:hAnsi="宋体"/>
          <w:color w:val="auto"/>
        </w:rPr>
      </w:pPr>
      <w:r>
        <w:rPr>
          <w:rFonts w:hint="eastAsia" w:ascii="宋体" w:hAnsi="宋体"/>
          <w:color w:val="auto"/>
        </w:rPr>
        <w:t>具有独立承担民事责任的能力；</w:t>
      </w:r>
    </w:p>
    <w:p>
      <w:pPr>
        <w:numPr>
          <w:ilvl w:val="0"/>
          <w:numId w:val="7"/>
        </w:numPr>
        <w:spacing w:line="360" w:lineRule="exact"/>
        <w:rPr>
          <w:rFonts w:ascii="宋体" w:hAnsi="宋体"/>
          <w:color w:val="auto"/>
        </w:rPr>
      </w:pPr>
      <w:r>
        <w:rPr>
          <w:rFonts w:hint="eastAsia" w:ascii="宋体" w:hAnsi="宋体"/>
          <w:color w:val="auto"/>
        </w:rPr>
        <w:t>具有良好的商业信誉和健全的财务会计制度；</w:t>
      </w:r>
    </w:p>
    <w:p>
      <w:pPr>
        <w:numPr>
          <w:ilvl w:val="0"/>
          <w:numId w:val="7"/>
        </w:numPr>
        <w:spacing w:line="360" w:lineRule="exact"/>
        <w:rPr>
          <w:rFonts w:ascii="宋体" w:hAnsi="宋体"/>
          <w:color w:val="auto"/>
        </w:rPr>
      </w:pPr>
      <w:r>
        <w:rPr>
          <w:rFonts w:hint="eastAsia" w:ascii="宋体" w:hAnsi="宋体"/>
          <w:color w:val="auto"/>
        </w:rPr>
        <w:t>具有履行所必需的设备和专业技术能力；</w:t>
      </w:r>
    </w:p>
    <w:p>
      <w:pPr>
        <w:numPr>
          <w:ilvl w:val="0"/>
          <w:numId w:val="7"/>
        </w:numPr>
        <w:spacing w:line="360" w:lineRule="exact"/>
        <w:rPr>
          <w:rFonts w:ascii="宋体" w:hAnsi="宋体"/>
          <w:color w:val="auto"/>
        </w:rPr>
      </w:pPr>
      <w:r>
        <w:rPr>
          <w:rFonts w:hint="eastAsia" w:ascii="宋体" w:hAnsi="宋体"/>
          <w:color w:val="auto"/>
        </w:rPr>
        <w:t>有依法缴纳税收和社会保障资金的良好记录；</w:t>
      </w:r>
    </w:p>
    <w:p>
      <w:pPr>
        <w:numPr>
          <w:ilvl w:val="0"/>
          <w:numId w:val="7"/>
        </w:numPr>
        <w:spacing w:line="360" w:lineRule="exact"/>
        <w:rPr>
          <w:rFonts w:ascii="宋体" w:hAnsi="宋体"/>
          <w:color w:val="auto"/>
        </w:rPr>
      </w:pPr>
      <w:r>
        <w:rPr>
          <w:rFonts w:hint="eastAsia" w:ascii="宋体" w:hAnsi="宋体"/>
          <w:color w:val="auto"/>
        </w:rPr>
        <w:t>参加政府采购活动前三年内，在经营活动中没有重大违法记录；</w:t>
      </w:r>
    </w:p>
    <w:p>
      <w:pPr>
        <w:numPr>
          <w:ilvl w:val="0"/>
          <w:numId w:val="7"/>
        </w:numPr>
        <w:spacing w:line="360" w:lineRule="exact"/>
        <w:rPr>
          <w:rFonts w:ascii="宋体" w:hAnsi="宋体"/>
          <w:color w:val="auto"/>
        </w:rPr>
      </w:pPr>
      <w:r>
        <w:rPr>
          <w:rFonts w:hint="eastAsia" w:ascii="宋体" w:hAnsi="宋体"/>
          <w:color w:val="auto"/>
        </w:rPr>
        <w:t>法律、行政法规规定的其他条件。</w:t>
      </w:r>
    </w:p>
    <w:p>
      <w:pPr>
        <w:spacing w:line="360" w:lineRule="exact"/>
        <w:ind w:firstLine="420" w:firstLineChars="200"/>
        <w:rPr>
          <w:rFonts w:ascii="宋体" w:hAnsi="宋体"/>
          <w:color w:val="auto"/>
        </w:rPr>
      </w:pPr>
      <w:r>
        <w:rPr>
          <w:rFonts w:hint="eastAsia" w:ascii="宋体" w:hAnsi="宋体"/>
          <w:color w:val="auto"/>
        </w:rPr>
        <w:t>第四十六条 采购人与</w:t>
      </w:r>
      <w:r>
        <w:rPr>
          <w:rFonts w:hint="eastAsia" w:ascii="宋体" w:hAnsi="宋体"/>
          <w:color w:val="auto"/>
          <w:lang w:eastAsia="zh-CN"/>
        </w:rPr>
        <w:t>中标人</w:t>
      </w:r>
      <w:r>
        <w:rPr>
          <w:rFonts w:hint="eastAsia" w:ascii="宋体" w:hAnsi="宋体"/>
          <w:color w:val="auto"/>
        </w:rPr>
        <w:t>应当在</w:t>
      </w:r>
      <w:r>
        <w:rPr>
          <w:rFonts w:hint="eastAsia" w:ascii="宋体" w:hAnsi="宋体"/>
          <w:color w:val="auto"/>
          <w:lang w:eastAsia="zh-CN"/>
        </w:rPr>
        <w:t>中标通知书</w:t>
      </w:r>
      <w:r>
        <w:rPr>
          <w:rFonts w:hint="eastAsia" w:ascii="宋体" w:hAnsi="宋体"/>
          <w:color w:val="auto"/>
        </w:rPr>
        <w:t>发出之日起</w:t>
      </w:r>
      <w:r>
        <w:rPr>
          <w:rFonts w:hint="eastAsia" w:ascii="宋体" w:hAnsi="宋体"/>
          <w:color w:val="auto"/>
          <w:lang w:val="en-US" w:eastAsia="zh-CN"/>
        </w:rPr>
        <w:t>9</w:t>
      </w:r>
      <w:r>
        <w:rPr>
          <w:rFonts w:hint="eastAsia" w:ascii="宋体" w:hAnsi="宋体"/>
          <w:color w:val="auto"/>
        </w:rPr>
        <w:t xml:space="preserve">日内，按照采购文件确定的事项签订政府采购合同。 </w:t>
      </w:r>
    </w:p>
    <w:p>
      <w:pPr>
        <w:spacing w:line="360" w:lineRule="exact"/>
        <w:ind w:firstLine="420" w:firstLineChars="200"/>
        <w:rPr>
          <w:rFonts w:ascii="宋体" w:hAnsi="宋体"/>
          <w:color w:val="auto"/>
        </w:rPr>
      </w:pPr>
      <w:r>
        <w:rPr>
          <w:rFonts w:hint="eastAsia" w:ascii="宋体" w:hAnsi="宋体"/>
          <w:color w:val="auto"/>
          <w:lang w:eastAsia="zh-CN"/>
        </w:rPr>
        <w:t>中标通知书</w:t>
      </w:r>
      <w:r>
        <w:rPr>
          <w:rFonts w:hint="eastAsia" w:ascii="宋体" w:hAnsi="宋体"/>
          <w:color w:val="auto"/>
        </w:rPr>
        <w:t>对采购人和</w:t>
      </w:r>
      <w:r>
        <w:rPr>
          <w:rFonts w:hint="eastAsia" w:ascii="宋体" w:hAnsi="宋体"/>
          <w:color w:val="auto"/>
          <w:lang w:eastAsia="zh-CN"/>
        </w:rPr>
        <w:t>中标人</w:t>
      </w:r>
      <w:r>
        <w:rPr>
          <w:rFonts w:hint="eastAsia" w:ascii="宋体" w:hAnsi="宋体"/>
          <w:color w:val="auto"/>
        </w:rPr>
        <w:t>均具有法律效力。</w:t>
      </w:r>
      <w:r>
        <w:rPr>
          <w:rFonts w:hint="eastAsia" w:ascii="宋体" w:hAnsi="宋体"/>
          <w:color w:val="auto"/>
          <w:lang w:eastAsia="zh-CN"/>
        </w:rPr>
        <w:t>中标通知书</w:t>
      </w:r>
      <w:r>
        <w:rPr>
          <w:rFonts w:hint="eastAsia" w:ascii="宋体" w:hAnsi="宋体"/>
          <w:color w:val="auto"/>
        </w:rPr>
        <w:t>发出后，采购人改变中标结果的，或者</w:t>
      </w:r>
      <w:r>
        <w:rPr>
          <w:rFonts w:hint="eastAsia" w:ascii="宋体" w:hAnsi="宋体"/>
          <w:color w:val="auto"/>
          <w:lang w:eastAsia="zh-CN"/>
        </w:rPr>
        <w:t>中标人</w:t>
      </w:r>
      <w:r>
        <w:rPr>
          <w:rFonts w:hint="eastAsia" w:ascii="宋体" w:hAnsi="宋体"/>
          <w:color w:val="auto"/>
        </w:rPr>
        <w:t xml:space="preserve">放弃中标项目的，应当依法承担法律责任。 </w:t>
      </w:r>
    </w:p>
    <w:p>
      <w:pPr>
        <w:spacing w:line="360" w:lineRule="exact"/>
        <w:ind w:firstLine="420" w:firstLineChars="200"/>
        <w:rPr>
          <w:rFonts w:ascii="宋体" w:hAnsi="宋体"/>
          <w:color w:val="auto"/>
        </w:rPr>
      </w:pPr>
      <w:r>
        <w:rPr>
          <w:rFonts w:hint="eastAsia" w:ascii="宋体" w:hAnsi="宋体"/>
          <w:color w:val="auto"/>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的；（二）采取不正当手段诋毁、排挤其他供应商的；（三）与采购人、其他供应商或者采购代理机构恶意串通的；（四）向采购人、采购代理机构行贿或者提供其他不正当利益的；（五）在招标采购过程中与采购人进行协商磋商的；（六）拒绝有关部门监督检查或者提供虚假情况的。 </w:t>
      </w:r>
    </w:p>
    <w:p>
      <w:pPr>
        <w:spacing w:line="360" w:lineRule="exact"/>
        <w:ind w:firstLine="420" w:firstLineChars="200"/>
        <w:rPr>
          <w:rFonts w:ascii="宋体" w:hAnsi="宋体"/>
          <w:color w:val="auto"/>
        </w:rPr>
      </w:pPr>
      <w:r>
        <w:rPr>
          <w:rFonts w:hint="eastAsia" w:ascii="宋体" w:hAnsi="宋体"/>
          <w:color w:val="auto"/>
        </w:rPr>
        <w:t xml:space="preserve">供应商有前款第（一）至（五）项情形之一的，中标无效。 </w:t>
      </w:r>
    </w:p>
    <w:p>
      <w:pPr>
        <w:spacing w:line="360" w:lineRule="exact"/>
        <w:ind w:firstLine="420" w:firstLineChars="200"/>
        <w:rPr>
          <w:rFonts w:ascii="宋体" w:hAnsi="宋体"/>
          <w:b/>
          <w:bCs/>
          <w:color w:val="auto"/>
        </w:rPr>
      </w:pPr>
      <w:r>
        <w:rPr>
          <w:rFonts w:hint="eastAsia" w:ascii="宋体" w:hAnsi="宋体"/>
          <w:color w:val="auto"/>
        </w:rPr>
        <w:t xml:space="preserve">第七十九条  政府采购当事人有本法第七十一条、第七十二条、第七十七条违法行为之一，给他人造成损失的，并应依照有关民事法律规定承担民事责任。 </w:t>
      </w:r>
    </w:p>
    <w:p>
      <w:pPr>
        <w:spacing w:line="360" w:lineRule="exact"/>
        <w:rPr>
          <w:rFonts w:ascii="宋体" w:hAnsi="宋体"/>
          <w:b/>
          <w:bCs/>
          <w:color w:val="auto"/>
        </w:rPr>
      </w:pPr>
    </w:p>
    <w:p>
      <w:pPr>
        <w:spacing w:line="360" w:lineRule="exact"/>
        <w:rPr>
          <w:rFonts w:ascii="宋体" w:hAnsi="宋体"/>
          <w:b/>
          <w:bCs/>
          <w:color w:val="auto"/>
        </w:rPr>
      </w:pPr>
      <w:r>
        <w:rPr>
          <w:rFonts w:hint="eastAsia" w:ascii="宋体" w:hAnsi="宋体"/>
          <w:b/>
          <w:bCs/>
          <w:color w:val="auto"/>
        </w:rPr>
        <w:t>《中华人民共和国合同法》有关规定：</w:t>
      </w:r>
    </w:p>
    <w:p>
      <w:pPr>
        <w:spacing w:line="360" w:lineRule="exact"/>
        <w:ind w:firstLine="420" w:firstLineChars="200"/>
        <w:rPr>
          <w:rFonts w:ascii="宋体" w:hAnsi="宋体"/>
          <w:color w:val="auto"/>
        </w:rPr>
      </w:pPr>
      <w:r>
        <w:rPr>
          <w:rFonts w:hint="eastAsia" w:ascii="宋体" w:hAnsi="宋体"/>
          <w:color w:val="auto"/>
        </w:rPr>
        <w:t>第四十二条：当事人在订立合同过程中有下列情形之一，给对方造成损失的，应当承担损害赔偿责任：</w:t>
      </w:r>
    </w:p>
    <w:p>
      <w:pPr>
        <w:spacing w:line="360" w:lineRule="exact"/>
        <w:ind w:firstLine="420" w:firstLineChars="200"/>
        <w:rPr>
          <w:rFonts w:ascii="宋体" w:hAnsi="宋体"/>
          <w:color w:val="auto"/>
        </w:rPr>
      </w:pPr>
      <w:r>
        <w:rPr>
          <w:rFonts w:hint="eastAsia" w:ascii="宋体" w:hAnsi="宋体"/>
          <w:color w:val="auto"/>
        </w:rPr>
        <w:t>（一）假借订立合同，恶意进行磋商；</w:t>
      </w:r>
    </w:p>
    <w:p>
      <w:pPr>
        <w:pStyle w:val="36"/>
        <w:spacing w:line="360" w:lineRule="exact"/>
        <w:rPr>
          <w:color w:val="auto"/>
        </w:rPr>
      </w:pPr>
      <w:r>
        <w:rPr>
          <w:rFonts w:hint="eastAsia"/>
          <w:color w:val="auto"/>
        </w:rPr>
        <w:t>（二）故意隐瞒与订立合同有关的重要事实或者提供虚假情况；</w:t>
      </w:r>
    </w:p>
    <w:p>
      <w:pPr>
        <w:pStyle w:val="21"/>
        <w:spacing w:line="360" w:lineRule="exact"/>
        <w:ind w:firstLine="420" w:firstLineChars="200"/>
        <w:rPr>
          <w:rFonts w:hAnsi="宋体"/>
          <w:b/>
          <w:bCs/>
          <w:color w:val="auto"/>
        </w:rPr>
      </w:pPr>
      <w:r>
        <w:rPr>
          <w:rFonts w:hint="eastAsia" w:hAnsi="宋体"/>
          <w:color w:val="auto"/>
        </w:rPr>
        <w:t>（三）有其他违背诚实信用原则的行为。</w:t>
      </w:r>
    </w:p>
    <w:p>
      <w:pPr>
        <w:pStyle w:val="21"/>
        <w:spacing w:line="360" w:lineRule="exact"/>
        <w:rPr>
          <w:color w:val="auto"/>
        </w:rPr>
      </w:pPr>
      <w:r>
        <w:rPr>
          <w:rFonts w:hint="eastAsia"/>
          <w:color w:val="auto"/>
        </w:rPr>
        <w:br w:type="page"/>
      </w:r>
      <w:bookmarkStart w:id="70" w:name="_Toc446927414"/>
      <w:bookmarkEnd w:id="70"/>
      <w:bookmarkStart w:id="71" w:name="_Toc6894_WPSOffice_Level1"/>
      <w:bookmarkEnd w:id="71"/>
    </w:p>
    <w:p>
      <w:pPr>
        <w:jc w:val="center"/>
        <w:outlineLvl w:val="0"/>
        <w:rPr>
          <w:rFonts w:ascii="宋体" w:hAnsi="宋体"/>
          <w:b/>
          <w:bCs/>
          <w:color w:val="auto"/>
          <w:sz w:val="48"/>
          <w:szCs w:val="48"/>
        </w:rPr>
      </w:pPr>
      <w:bookmarkStart w:id="72" w:name="_Toc27908_WPSOffice_Level1"/>
      <w:bookmarkStart w:id="73" w:name="_Toc16782_WPSOffice_Level1"/>
      <w:r>
        <w:rPr>
          <w:rFonts w:hint="eastAsia" w:ascii="宋体" w:hAnsi="宋体"/>
          <w:b/>
          <w:bCs/>
          <w:color w:val="auto"/>
          <w:sz w:val="44"/>
          <w:szCs w:val="44"/>
        </w:rPr>
        <w:t>第三章  采购项目需求</w:t>
      </w:r>
      <w:bookmarkEnd w:id="72"/>
      <w:bookmarkEnd w:id="73"/>
    </w:p>
    <w:p>
      <w:pPr>
        <w:pStyle w:val="21"/>
        <w:spacing w:line="360" w:lineRule="exact"/>
        <w:jc w:val="center"/>
        <w:outlineLvl w:val="1"/>
        <w:rPr>
          <w:rFonts w:hAnsi="宋体"/>
          <w:b/>
          <w:bCs/>
          <w:color w:val="auto"/>
          <w:sz w:val="36"/>
          <w:szCs w:val="36"/>
        </w:rPr>
      </w:pPr>
    </w:p>
    <w:p>
      <w:pPr>
        <w:pStyle w:val="21"/>
        <w:spacing w:line="360" w:lineRule="exact"/>
        <w:jc w:val="center"/>
        <w:outlineLvl w:val="1"/>
        <w:rPr>
          <w:rFonts w:hAnsi="宋体"/>
          <w:b/>
          <w:bCs/>
          <w:color w:val="auto"/>
          <w:sz w:val="36"/>
          <w:szCs w:val="36"/>
        </w:rPr>
      </w:pPr>
    </w:p>
    <w:p>
      <w:pPr>
        <w:keepNext w:val="0"/>
        <w:keepLines w:val="0"/>
        <w:pageBreakBefore w:val="0"/>
        <w:kinsoku/>
        <w:wordWrap/>
        <w:overflowPunct/>
        <w:topLinePunct w:val="0"/>
        <w:bidi w:val="0"/>
        <w:spacing w:line="440" w:lineRule="exact"/>
        <w:ind w:firstLine="437"/>
        <w:textAlignment w:val="auto"/>
        <w:outlineLvl w:val="9"/>
        <w:rPr>
          <w:rFonts w:hint="eastAsia" w:ascii="宋体" w:hAnsi="宋体" w:eastAsia="宋体"/>
          <w:color w:val="auto"/>
          <w:highlight w:val="none"/>
          <w:lang w:eastAsia="zh-CN"/>
        </w:rPr>
      </w:pPr>
      <w:r>
        <w:rPr>
          <w:rFonts w:hint="eastAsia" w:ascii="宋体" w:hAnsi="宋体"/>
          <w:color w:val="auto"/>
        </w:rPr>
        <w:t>1、</w:t>
      </w:r>
      <w:r>
        <w:rPr>
          <w:rFonts w:hint="eastAsia" w:ascii="宋体" w:hAnsi="宋体"/>
          <w:color w:val="auto"/>
          <w:lang w:eastAsia="zh-CN"/>
        </w:rPr>
        <w:t>资金来源：财政预算内资金。</w:t>
      </w:r>
    </w:p>
    <w:p>
      <w:pPr>
        <w:spacing w:line="440" w:lineRule="exact"/>
        <w:ind w:firstLine="437"/>
        <w:rPr>
          <w:rFonts w:hint="eastAsia" w:ascii="宋体" w:hAnsi="宋体"/>
          <w:color w:val="auto"/>
          <w:lang w:eastAsia="zh-CN"/>
        </w:rPr>
      </w:pPr>
      <w:r>
        <w:rPr>
          <w:rFonts w:hint="eastAsia" w:ascii="宋体" w:hAnsi="宋体"/>
          <w:color w:val="auto"/>
        </w:rPr>
        <w:t>2、建设地点：</w:t>
      </w:r>
      <w:r>
        <w:rPr>
          <w:rFonts w:hint="eastAsia" w:ascii="宋体" w:hAnsi="宋体"/>
          <w:color w:val="auto"/>
          <w:spacing w:val="-1"/>
          <w:lang w:val="en-US" w:eastAsia="zh-CN"/>
        </w:rPr>
        <w:t>富川瑶族自治县境内</w:t>
      </w:r>
    </w:p>
    <w:p>
      <w:pPr>
        <w:spacing w:line="440" w:lineRule="exact"/>
        <w:ind w:firstLine="437"/>
        <w:rPr>
          <w:rFonts w:ascii="宋体" w:hAnsi="宋体"/>
          <w:color w:val="auto"/>
        </w:rPr>
      </w:pPr>
      <w:r>
        <w:rPr>
          <w:rFonts w:hint="eastAsia" w:ascii="宋体" w:hAnsi="宋体"/>
          <w:color w:val="auto"/>
        </w:rPr>
        <w:t>3、计划工期：</w:t>
      </w:r>
      <w:r>
        <w:rPr>
          <w:rFonts w:hint="eastAsia" w:ascii="宋体" w:hAnsi="宋体"/>
          <w:color w:val="auto"/>
          <w:lang w:val="en-US" w:eastAsia="zh-CN"/>
        </w:rPr>
        <w:t>120日历天</w:t>
      </w:r>
    </w:p>
    <w:p>
      <w:pPr>
        <w:spacing w:line="440" w:lineRule="exact"/>
        <w:ind w:firstLine="437"/>
        <w:rPr>
          <w:rFonts w:hint="eastAsia" w:ascii="宋体" w:hAnsi="宋体" w:eastAsia="宋体"/>
          <w:color w:val="auto"/>
          <w:lang w:eastAsia="zh-CN"/>
        </w:rPr>
      </w:pPr>
      <w:r>
        <w:rPr>
          <w:rFonts w:hint="eastAsia" w:ascii="宋体" w:hAnsi="宋体"/>
          <w:color w:val="auto"/>
        </w:rPr>
        <w:t>4、质量要求：</w:t>
      </w:r>
      <w:r>
        <w:rPr>
          <w:rFonts w:hint="eastAsia" w:ascii="宋体" w:hAnsi="宋体"/>
          <w:color w:val="auto"/>
          <w:lang w:eastAsia="zh-CN"/>
        </w:rPr>
        <w:t>达到国家工程施工验收规范合格标准</w:t>
      </w:r>
    </w:p>
    <w:p>
      <w:pPr>
        <w:spacing w:line="440" w:lineRule="exact"/>
        <w:ind w:firstLine="437"/>
        <w:rPr>
          <w:rFonts w:hint="eastAsia" w:ascii="宋体" w:hAnsi="宋体"/>
          <w:b/>
          <w:bCs/>
          <w:color w:val="auto"/>
          <w:u w:val="single"/>
          <w:lang w:eastAsia="zh-CN"/>
        </w:rPr>
      </w:pPr>
      <w:r>
        <w:rPr>
          <w:rFonts w:hint="eastAsia" w:ascii="宋体" w:hAnsi="宋体"/>
          <w:color w:val="auto"/>
        </w:rPr>
        <w:t>5、采购控制价（人民币）</w:t>
      </w:r>
      <w:r>
        <w:rPr>
          <w:rFonts w:hint="eastAsia" w:ascii="宋体" w:hAnsi="宋体"/>
          <w:b/>
          <w:bCs/>
          <w:color w:val="auto"/>
        </w:rPr>
        <w:t>：</w:t>
      </w:r>
      <w:r>
        <w:rPr>
          <w:rFonts w:hint="eastAsia" w:hAnsi="宋体"/>
          <w:b/>
          <w:bCs/>
          <w:color w:val="auto"/>
          <w:u w:val="single"/>
          <w:lang w:eastAsia="zh-CN"/>
        </w:rPr>
        <w:t>叁佰肆拾伍万捌仟陆佰捌拾陆元柒角玖分（¥3458686.79元）</w:t>
      </w:r>
    </w:p>
    <w:p>
      <w:pPr>
        <w:spacing w:line="440" w:lineRule="exact"/>
        <w:rPr>
          <w:rFonts w:ascii="宋体" w:hAnsi="宋体"/>
          <w:color w:val="auto"/>
        </w:rPr>
      </w:pPr>
      <w:r>
        <w:rPr>
          <w:rFonts w:hint="eastAsia" w:ascii="宋体" w:hAnsi="宋体"/>
          <w:color w:val="auto"/>
        </w:rPr>
        <w:t xml:space="preserve">    6、</w:t>
      </w:r>
      <w:r>
        <w:rPr>
          <w:rFonts w:hint="eastAsia" w:ascii="宋体" w:hAnsi="宋体"/>
          <w:bCs/>
          <w:color w:val="auto"/>
          <w:lang w:val="en-US" w:eastAsia="zh-CN"/>
        </w:rPr>
        <w:t>工程建设规模与内容</w:t>
      </w:r>
      <w:r>
        <w:rPr>
          <w:rFonts w:hint="eastAsia" w:ascii="宋体" w:hAnsi="宋体"/>
          <w:bCs/>
          <w:color w:val="auto"/>
        </w:rPr>
        <w:t>：</w:t>
      </w:r>
      <w:r>
        <w:rPr>
          <w:rFonts w:hint="eastAsia" w:ascii="宋体" w:hAnsi="宋体"/>
          <w:bCs/>
          <w:color w:val="auto"/>
          <w:lang w:val="en-US" w:eastAsia="zh-CN"/>
        </w:rPr>
        <w:t>朝东镇梅菜加工基地建设项目，具体详见工程量清单及有关资料</w:t>
      </w:r>
      <w:r>
        <w:rPr>
          <w:rFonts w:hint="eastAsia" w:ascii="宋体" w:hAnsi="宋体"/>
          <w:color w:val="auto"/>
        </w:rPr>
        <w:t>。</w:t>
      </w:r>
    </w:p>
    <w:p>
      <w:pPr>
        <w:spacing w:line="360" w:lineRule="exact"/>
        <w:rPr>
          <w:rFonts w:ascii="宋体" w:hAnsi="宋体"/>
          <w:color w:val="auto"/>
        </w:rPr>
      </w:pPr>
    </w:p>
    <w:p>
      <w:pPr>
        <w:spacing w:line="360" w:lineRule="exact"/>
        <w:rPr>
          <w:rFonts w:ascii="宋体" w:hAnsi="宋体"/>
          <w:color w:val="auto"/>
        </w:rPr>
      </w:pPr>
    </w:p>
    <w:p>
      <w:pPr>
        <w:spacing w:line="360" w:lineRule="exact"/>
        <w:rPr>
          <w:rFonts w:ascii="宋体" w:hAnsi="宋体"/>
          <w:color w:val="auto"/>
        </w:rPr>
      </w:pPr>
    </w:p>
    <w:p>
      <w:pPr>
        <w:spacing w:line="360" w:lineRule="exact"/>
        <w:rPr>
          <w:rFonts w:ascii="宋体" w:hAnsi="宋体"/>
          <w:color w:val="auto"/>
        </w:rPr>
      </w:pPr>
    </w:p>
    <w:p>
      <w:pPr>
        <w:jc w:val="center"/>
        <w:outlineLvl w:val="0"/>
        <w:rPr>
          <w:rFonts w:ascii="宋体" w:hAnsi="宋体"/>
          <w:b/>
          <w:bCs/>
          <w:color w:val="auto"/>
          <w:sz w:val="44"/>
          <w:szCs w:val="44"/>
        </w:rPr>
      </w:pPr>
      <w:bookmarkStart w:id="74" w:name="_Toc446927426"/>
      <w:bookmarkEnd w:id="74"/>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jc w:val="center"/>
        <w:outlineLvl w:val="0"/>
        <w:rPr>
          <w:rFonts w:ascii="宋体" w:hAnsi="宋体"/>
          <w:b/>
          <w:bCs/>
          <w:color w:val="auto"/>
          <w:sz w:val="44"/>
          <w:szCs w:val="44"/>
        </w:rPr>
      </w:pPr>
    </w:p>
    <w:p>
      <w:pPr>
        <w:rPr>
          <w:rFonts w:hint="eastAsia" w:ascii="宋体" w:hAnsi="宋体"/>
          <w:b/>
          <w:bCs/>
          <w:color w:val="auto"/>
          <w:sz w:val="32"/>
          <w:szCs w:val="32"/>
        </w:rPr>
      </w:pPr>
      <w:bookmarkStart w:id="75" w:name="_Toc20409"/>
      <w:bookmarkEnd w:id="75"/>
      <w:bookmarkStart w:id="76" w:name="_Toc359069711"/>
      <w:bookmarkEnd w:id="76"/>
      <w:bookmarkStart w:id="77" w:name="_Toc428774967"/>
      <w:bookmarkStart w:id="78" w:name="_Toc29796_WPSOffice_Level1"/>
      <w:bookmarkStart w:id="79" w:name="_Toc16030_WPSOffice_Level1"/>
      <w:r>
        <w:rPr>
          <w:rFonts w:hint="eastAsia" w:ascii="宋体" w:hAnsi="宋体"/>
          <w:b/>
          <w:bCs/>
          <w:color w:val="auto"/>
          <w:sz w:val="32"/>
          <w:szCs w:val="32"/>
        </w:rPr>
        <w:br w:type="page"/>
      </w:r>
    </w:p>
    <w:p>
      <w:pPr>
        <w:ind w:right="-153" w:rightChars="-73" w:firstLine="2554" w:firstLineChars="795"/>
        <w:outlineLvl w:val="0"/>
        <w:rPr>
          <w:rFonts w:hint="eastAsia" w:ascii="宋体" w:hAnsi="宋体" w:eastAsia="宋体"/>
          <w:b/>
          <w:bCs/>
          <w:color w:val="auto"/>
          <w:sz w:val="32"/>
          <w:szCs w:val="32"/>
          <w:lang w:eastAsia="zh-CN"/>
        </w:rPr>
      </w:pPr>
      <w:r>
        <w:rPr>
          <w:rFonts w:hint="eastAsia" w:ascii="宋体" w:hAnsi="宋体"/>
          <w:b/>
          <w:bCs/>
          <w:color w:val="auto"/>
          <w:sz w:val="32"/>
          <w:szCs w:val="32"/>
        </w:rPr>
        <w:t xml:space="preserve">第四章 </w:t>
      </w:r>
      <w:bookmarkEnd w:id="77"/>
      <w:bookmarkStart w:id="80" w:name="_Toc359069754"/>
      <w:bookmarkEnd w:id="80"/>
      <w:r>
        <w:rPr>
          <w:rFonts w:hint="eastAsia" w:ascii="宋体" w:hAnsi="宋体"/>
          <w:b/>
          <w:bCs/>
          <w:color w:val="auto"/>
          <w:sz w:val="32"/>
          <w:szCs w:val="32"/>
        </w:rPr>
        <w:t>合同条款及格式</w:t>
      </w:r>
      <w:r>
        <w:rPr>
          <w:rFonts w:hint="eastAsia" w:ascii="宋体" w:hAnsi="宋体"/>
          <w:b/>
          <w:bCs/>
          <w:color w:val="auto"/>
          <w:sz w:val="32"/>
          <w:szCs w:val="32"/>
          <w:lang w:eastAsia="zh-CN"/>
        </w:rPr>
        <w:t>（仅供参考）</w:t>
      </w:r>
      <w:bookmarkEnd w:id="78"/>
      <w:bookmarkEnd w:id="79"/>
    </w:p>
    <w:p>
      <w:pPr>
        <w:pStyle w:val="140"/>
        <w:jc w:val="center"/>
        <w:rPr>
          <w:rFonts w:hint="eastAsia" w:ascii="宋体" w:hAnsi="宋体" w:eastAsia="宋体"/>
          <w:color w:val="auto"/>
          <w:highlight w:val="none"/>
        </w:rPr>
      </w:pPr>
      <w:bookmarkStart w:id="81" w:name="_Toc389065255"/>
      <w:bookmarkEnd w:id="81"/>
      <w:bookmarkStart w:id="82" w:name="_Toc351203480"/>
      <w:bookmarkEnd w:id="82"/>
      <w:bookmarkStart w:id="83" w:name="_Toc468956397"/>
      <w:bookmarkEnd w:id="83"/>
      <w:bookmarkStart w:id="84" w:name="_Toc469309112"/>
      <w:bookmarkEnd w:id="84"/>
      <w:bookmarkStart w:id="85" w:name="_Toc373478199"/>
      <w:bookmarkEnd w:id="85"/>
      <w:bookmarkStart w:id="86" w:name="_Toc475386995"/>
      <w:bookmarkEnd w:id="86"/>
      <w:bookmarkStart w:id="87" w:name="_Toc469308989"/>
      <w:bookmarkEnd w:id="87"/>
      <w:bookmarkStart w:id="88" w:name="_Toc477337729"/>
      <w:bookmarkEnd w:id="88"/>
      <w:bookmarkStart w:id="89" w:name="_Toc296890982"/>
      <w:bookmarkEnd w:id="89"/>
      <w:bookmarkStart w:id="90" w:name="_Toc373227552"/>
      <w:bookmarkEnd w:id="90"/>
      <w:bookmarkStart w:id="91" w:name="_Toc477197183"/>
      <w:bookmarkEnd w:id="91"/>
      <w:bookmarkStart w:id="92" w:name="_Toc466232902"/>
      <w:bookmarkEnd w:id="92"/>
      <w:bookmarkStart w:id="93" w:name="_Toc469155301"/>
      <w:bookmarkEnd w:id="93"/>
      <w:bookmarkStart w:id="94" w:name="_Toc478067909"/>
      <w:bookmarkEnd w:id="94"/>
      <w:r>
        <w:rPr>
          <w:rFonts w:hint="eastAsia" w:ascii="宋体" w:hAnsi="宋体" w:eastAsia="宋体"/>
          <w:color w:val="auto"/>
          <w:highlight w:val="none"/>
        </w:rPr>
        <w:t>第一节 通用合同条款</w:t>
      </w:r>
    </w:p>
    <w:p>
      <w:pPr>
        <w:pStyle w:val="140"/>
        <w:jc w:val="center"/>
        <w:rPr>
          <w:rFonts w:hint="eastAsia" w:ascii="宋体" w:hAnsi="宋体" w:eastAsia="宋体"/>
          <w:color w:val="auto"/>
          <w:highlight w:val="none"/>
        </w:rPr>
      </w:pPr>
    </w:p>
    <w:p>
      <w:pPr>
        <w:jc w:val="center"/>
        <w:rPr>
          <w:rFonts w:hint="eastAsia" w:hAnsi="宋体"/>
          <w:color w:val="auto"/>
          <w:szCs w:val="21"/>
          <w:highlight w:val="none"/>
        </w:rPr>
      </w:pPr>
      <w:bookmarkStart w:id="95" w:name="_Toc152042545"/>
      <w:bookmarkStart w:id="96" w:name="_Toc144974736"/>
      <w:bookmarkStart w:id="97" w:name="_Toc238102277"/>
      <w:bookmarkStart w:id="98" w:name="_Toc152045766"/>
      <w:bookmarkStart w:id="99" w:name="_Toc272158242"/>
      <w:r>
        <w:rPr>
          <w:rFonts w:hint="eastAsia" w:hAnsi="宋体"/>
          <w:color w:val="auto"/>
          <w:szCs w:val="21"/>
          <w:highlight w:val="none"/>
        </w:rPr>
        <w:t>本工程的施工合同通用条款按国家工商行政管理局和建设部颁布的：GF-1999-0201《建设工程施工合同》通用条款执行。</w:t>
      </w:r>
    </w:p>
    <w:p>
      <w:pPr>
        <w:jc w:val="center"/>
        <w:rPr>
          <w:rFonts w:hint="eastAsia" w:hAnsi="宋体"/>
          <w:color w:val="auto"/>
          <w:szCs w:val="21"/>
          <w:highlight w:val="none"/>
        </w:rPr>
      </w:pPr>
    </w:p>
    <w:p>
      <w:pPr>
        <w:pStyle w:val="140"/>
        <w:jc w:val="center"/>
        <w:rPr>
          <w:rFonts w:hint="eastAsia" w:ascii="宋体" w:hAnsi="宋体" w:eastAsia="宋体"/>
          <w:color w:val="auto"/>
          <w:highlight w:val="none"/>
        </w:rPr>
      </w:pPr>
      <w:r>
        <w:rPr>
          <w:rFonts w:hint="eastAsia" w:ascii="宋体" w:hAnsi="宋体" w:eastAsia="宋体"/>
          <w:color w:val="auto"/>
          <w:highlight w:val="none"/>
        </w:rPr>
        <w:t>第二节  专用合同条款</w:t>
      </w:r>
      <w:bookmarkEnd w:id="95"/>
      <w:bookmarkEnd w:id="96"/>
      <w:bookmarkEnd w:id="97"/>
      <w:bookmarkEnd w:id="98"/>
      <w:bookmarkEnd w:id="99"/>
    </w:p>
    <w:p>
      <w:pPr>
        <w:pStyle w:val="140"/>
        <w:jc w:val="center"/>
        <w:rPr>
          <w:rFonts w:hint="eastAsia" w:ascii="宋体" w:hAnsi="宋体" w:eastAsia="宋体"/>
          <w:color w:val="auto"/>
          <w:highlight w:val="none"/>
        </w:rPr>
      </w:pPr>
    </w:p>
    <w:p>
      <w:pPr>
        <w:jc w:val="left"/>
        <w:rPr>
          <w:rFonts w:hint="eastAsia" w:hAnsi="宋体"/>
          <w:color w:val="auto"/>
          <w:szCs w:val="21"/>
          <w:highlight w:val="none"/>
        </w:rPr>
      </w:pPr>
      <w:r>
        <w:rPr>
          <w:rFonts w:hint="eastAsia" w:hAnsi="宋体"/>
          <w:color w:val="auto"/>
          <w:szCs w:val="21"/>
          <w:highlight w:val="none"/>
        </w:rPr>
        <w:t>合同专用条款说明</w:t>
      </w:r>
    </w:p>
    <w:p>
      <w:pPr>
        <w:jc w:val="left"/>
        <w:rPr>
          <w:rFonts w:hint="eastAsia" w:hAnsi="宋体"/>
          <w:color w:val="auto"/>
          <w:szCs w:val="21"/>
          <w:highlight w:val="none"/>
        </w:rPr>
      </w:pPr>
      <w:r>
        <w:rPr>
          <w:rFonts w:hint="eastAsia" w:hAnsi="宋体"/>
          <w:color w:val="auto"/>
          <w:szCs w:val="21"/>
          <w:highlight w:val="none"/>
        </w:rPr>
        <w:t>合同专用条款是在通用条款中明确指出要在合同专用条款或数据表中予以具体规定的数据、信息或与工程所在地具体情况有关规定，或项目业主单位认为需要进一步具体化的条款，或根据本地区特点或惯例需增列或删除的条款，是必备的配套条款。</w:t>
      </w:r>
    </w:p>
    <w:p>
      <w:pPr>
        <w:jc w:val="left"/>
        <w:rPr>
          <w:rFonts w:hint="eastAsia" w:hAnsi="宋体"/>
          <w:color w:val="auto"/>
          <w:szCs w:val="21"/>
          <w:highlight w:val="none"/>
        </w:rPr>
      </w:pPr>
      <w:r>
        <w:rPr>
          <w:rFonts w:hint="eastAsia" w:hAnsi="宋体"/>
          <w:color w:val="auto"/>
          <w:szCs w:val="21"/>
          <w:highlight w:val="none"/>
        </w:rPr>
        <w:t>专用条款数据表是合同条款的组成部分。</w:t>
      </w:r>
    </w:p>
    <w:p>
      <w:pPr>
        <w:jc w:val="left"/>
        <w:rPr>
          <w:rFonts w:hint="eastAsia" w:hAnsi="宋体"/>
          <w:color w:val="auto"/>
          <w:szCs w:val="21"/>
          <w:highlight w:val="none"/>
        </w:rPr>
      </w:pPr>
      <w:r>
        <w:rPr>
          <w:rFonts w:hint="eastAsia" w:hAnsi="宋体"/>
          <w:color w:val="auto"/>
          <w:szCs w:val="21"/>
          <w:highlight w:val="none"/>
        </w:rPr>
        <w:t>合同专用条款是对合同通用条款的补充、删改或具体化。应对照合同通用条款同一编号的条款一起阅读和理解。</w:t>
      </w:r>
    </w:p>
    <w:p>
      <w:pPr>
        <w:jc w:val="left"/>
        <w:rPr>
          <w:rFonts w:hint="eastAsia" w:hAnsi="宋体"/>
          <w:color w:val="auto"/>
          <w:szCs w:val="21"/>
          <w:highlight w:val="none"/>
        </w:rPr>
      </w:pPr>
      <w:r>
        <w:rPr>
          <w:rFonts w:hint="eastAsia" w:hAnsi="宋体"/>
          <w:color w:val="auto"/>
          <w:szCs w:val="21"/>
          <w:highlight w:val="none"/>
        </w:rPr>
        <w:t>如果合同专用条款与合同通用条款之间有不符之处，以合同专用条款为准。若合同专用条款没有规定的，适用通用条款。</w:t>
      </w:r>
    </w:p>
    <w:p>
      <w:pPr>
        <w:adjustRightInd w:val="0"/>
        <w:snapToGrid w:val="0"/>
        <w:spacing w:before="120" w:line="380" w:lineRule="exact"/>
        <w:rPr>
          <w:rFonts w:hint="eastAsia" w:ascii="宋体" w:hAnsi="宋体"/>
          <w:color w:val="auto"/>
          <w:kern w:val="1"/>
          <w:sz w:val="20"/>
          <w:szCs w:val="21"/>
          <w:highlight w:val="none"/>
        </w:rPr>
      </w:pPr>
    </w:p>
    <w:p>
      <w:pPr>
        <w:spacing w:line="320" w:lineRule="exact"/>
        <w:jc w:val="center"/>
        <w:rPr>
          <w:rFonts w:ascii="宋体" w:hAnsi="宋体" w:cs="宋体"/>
          <w:b/>
          <w:color w:val="auto"/>
          <w:kern w:val="1"/>
          <w:sz w:val="24"/>
          <w:highlight w:val="none"/>
        </w:rPr>
      </w:pPr>
      <w:r>
        <w:rPr>
          <w:rFonts w:ascii="宋体" w:hAnsi="宋体" w:cs="宋体"/>
          <w:b/>
          <w:color w:val="auto"/>
          <w:kern w:val="1"/>
          <w:sz w:val="24"/>
          <w:highlight w:val="none"/>
        </w:rPr>
        <w:t>合同专用条款</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00" w:name="_Toc43044944"/>
      <w:bookmarkEnd w:id="100"/>
      <w:r>
        <w:rPr>
          <w:rFonts w:cs="宋体"/>
          <w:color w:val="auto"/>
          <w:sz w:val="24"/>
          <w:szCs w:val="24"/>
          <w:highlight w:val="none"/>
        </w:rPr>
        <w:t>一、双方一般权利和义务</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01" w:name="_Toc43044945"/>
      <w:bookmarkEnd w:id="101"/>
      <w:r>
        <w:rPr>
          <w:rFonts w:cs="宋体"/>
          <w:color w:val="auto"/>
          <w:sz w:val="24"/>
          <w:szCs w:val="24"/>
          <w:highlight w:val="none"/>
        </w:rPr>
        <w:t>5、工程师</w:t>
      </w:r>
    </w:p>
    <w:p>
      <w:pPr>
        <w:pStyle w:val="21"/>
        <w:spacing w:line="320" w:lineRule="exact"/>
        <w:rPr>
          <w:rFonts w:cs="宋体"/>
          <w:color w:val="auto"/>
          <w:sz w:val="24"/>
          <w:szCs w:val="24"/>
          <w:highlight w:val="none"/>
        </w:rPr>
      </w:pPr>
      <w:r>
        <w:rPr>
          <w:rFonts w:cs="宋体"/>
          <w:color w:val="auto"/>
          <w:sz w:val="24"/>
          <w:szCs w:val="24"/>
          <w:highlight w:val="none"/>
        </w:rPr>
        <w:t xml:space="preserve">    5.2 监理单位委派的工程师</w:t>
      </w:r>
    </w:p>
    <w:p>
      <w:pPr>
        <w:pStyle w:val="21"/>
        <w:spacing w:line="320" w:lineRule="exact"/>
        <w:rPr>
          <w:rFonts w:cs="宋体"/>
          <w:color w:val="auto"/>
          <w:sz w:val="24"/>
          <w:szCs w:val="24"/>
          <w:highlight w:val="none"/>
        </w:rPr>
      </w:pPr>
      <w:r>
        <w:rPr>
          <w:rFonts w:cs="宋体"/>
          <w:color w:val="auto"/>
          <w:sz w:val="24"/>
          <w:szCs w:val="24"/>
          <w:highlight w:val="none"/>
        </w:rPr>
        <w:t xml:space="preserve">    姓名：</w:t>
      </w:r>
      <w:r>
        <w:rPr>
          <w:rFonts w:cs="宋体"/>
          <w:color w:val="auto"/>
          <w:sz w:val="24"/>
          <w:szCs w:val="24"/>
          <w:highlight w:val="none"/>
          <w:u w:val="single"/>
        </w:rPr>
        <w:t xml:space="preserve">         </w:t>
      </w:r>
      <w:r>
        <w:rPr>
          <w:rFonts w:cs="宋体"/>
          <w:color w:val="auto"/>
          <w:sz w:val="24"/>
          <w:szCs w:val="24"/>
          <w:highlight w:val="none"/>
        </w:rPr>
        <w:t xml:space="preserve"> 职务：</w:t>
      </w:r>
      <w:r>
        <w:rPr>
          <w:rFonts w:cs="宋体"/>
          <w:color w:val="auto"/>
          <w:sz w:val="24"/>
          <w:szCs w:val="24"/>
          <w:highlight w:val="none"/>
          <w:u w:val="single"/>
        </w:rPr>
        <w:t xml:space="preserve">              </w:t>
      </w:r>
    </w:p>
    <w:p>
      <w:pPr>
        <w:pStyle w:val="21"/>
        <w:spacing w:line="320" w:lineRule="exact"/>
        <w:rPr>
          <w:rFonts w:cs="宋体"/>
          <w:color w:val="auto"/>
          <w:sz w:val="24"/>
          <w:szCs w:val="24"/>
          <w:highlight w:val="none"/>
        </w:rPr>
      </w:pPr>
      <w:r>
        <w:rPr>
          <w:rFonts w:cs="宋体"/>
          <w:color w:val="auto"/>
          <w:sz w:val="24"/>
          <w:szCs w:val="24"/>
          <w:highlight w:val="none"/>
        </w:rPr>
        <w:t xml:space="preserve">    发包人委托的职权：</w:t>
      </w:r>
      <w:r>
        <w:rPr>
          <w:rFonts w:cs="宋体"/>
          <w:color w:val="auto"/>
          <w:sz w:val="24"/>
          <w:szCs w:val="24"/>
          <w:highlight w:val="none"/>
          <w:u w:val="single"/>
        </w:rPr>
        <w:t xml:space="preserve">                        </w:t>
      </w:r>
    </w:p>
    <w:p>
      <w:pPr>
        <w:pStyle w:val="21"/>
        <w:spacing w:line="320" w:lineRule="exact"/>
        <w:rPr>
          <w:rFonts w:cs="宋体"/>
          <w:color w:val="auto"/>
          <w:sz w:val="24"/>
          <w:szCs w:val="24"/>
          <w:highlight w:val="none"/>
        </w:rPr>
      </w:pPr>
      <w:r>
        <w:rPr>
          <w:rFonts w:cs="宋体"/>
          <w:color w:val="auto"/>
          <w:sz w:val="24"/>
          <w:szCs w:val="24"/>
          <w:highlight w:val="none"/>
        </w:rPr>
        <w:t xml:space="preserve">    需要取得发包人批准才能行使的职权：</w:t>
      </w:r>
      <w:r>
        <w:rPr>
          <w:rFonts w:cs="宋体"/>
          <w:color w:val="auto"/>
          <w:sz w:val="24"/>
          <w:szCs w:val="24"/>
          <w:highlight w:val="none"/>
          <w:u w:val="single"/>
        </w:rPr>
        <w:t xml:space="preserve">                          </w:t>
      </w:r>
    </w:p>
    <w:p>
      <w:pPr>
        <w:pStyle w:val="21"/>
        <w:spacing w:line="320" w:lineRule="exact"/>
        <w:rPr>
          <w:rFonts w:cs="宋体"/>
          <w:color w:val="auto"/>
          <w:sz w:val="24"/>
          <w:szCs w:val="24"/>
          <w:highlight w:val="none"/>
        </w:rPr>
      </w:pPr>
      <w:r>
        <w:rPr>
          <w:rFonts w:cs="宋体"/>
          <w:color w:val="auto"/>
          <w:sz w:val="24"/>
          <w:szCs w:val="24"/>
          <w:highlight w:val="none"/>
        </w:rPr>
        <w:t xml:space="preserve">    5.3 发包人派驻的工程师</w:t>
      </w:r>
    </w:p>
    <w:p>
      <w:pPr>
        <w:pStyle w:val="21"/>
        <w:spacing w:line="320" w:lineRule="exact"/>
        <w:rPr>
          <w:rFonts w:cs="宋体"/>
          <w:color w:val="auto"/>
          <w:sz w:val="24"/>
          <w:szCs w:val="24"/>
          <w:highlight w:val="none"/>
        </w:rPr>
      </w:pPr>
      <w:r>
        <w:rPr>
          <w:rFonts w:cs="宋体"/>
          <w:color w:val="auto"/>
          <w:sz w:val="24"/>
          <w:szCs w:val="24"/>
          <w:highlight w:val="none"/>
        </w:rPr>
        <w:t xml:space="preserve">    姓名：</w:t>
      </w:r>
      <w:r>
        <w:rPr>
          <w:rFonts w:cs="宋体"/>
          <w:color w:val="auto"/>
          <w:sz w:val="24"/>
          <w:szCs w:val="24"/>
          <w:highlight w:val="none"/>
          <w:u w:val="single"/>
        </w:rPr>
        <w:t xml:space="preserve">         </w:t>
      </w:r>
      <w:r>
        <w:rPr>
          <w:rFonts w:cs="宋体"/>
          <w:color w:val="auto"/>
          <w:sz w:val="24"/>
          <w:szCs w:val="24"/>
          <w:highlight w:val="none"/>
        </w:rPr>
        <w:t xml:space="preserve"> 职务：</w:t>
      </w:r>
      <w:r>
        <w:rPr>
          <w:rFonts w:cs="宋体"/>
          <w:color w:val="auto"/>
          <w:sz w:val="24"/>
          <w:szCs w:val="24"/>
          <w:highlight w:val="none"/>
          <w:u w:val="single"/>
        </w:rPr>
        <w:t xml:space="preserve">                 </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职权：</w:t>
      </w:r>
      <w:r>
        <w:rPr>
          <w:rFonts w:cs="宋体"/>
          <w:color w:val="auto"/>
          <w:sz w:val="24"/>
          <w:szCs w:val="24"/>
          <w:highlight w:val="none"/>
          <w:u w:val="single"/>
        </w:rPr>
        <w:t xml:space="preserve">                                     </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5.6 不实行监理的，工程师的职权：</w:t>
      </w:r>
      <w:r>
        <w:rPr>
          <w:rFonts w:cs="宋体"/>
          <w:color w:val="auto"/>
          <w:sz w:val="24"/>
          <w:szCs w:val="24"/>
          <w:highlight w:val="none"/>
          <w:u w:val="single"/>
        </w:rPr>
        <w:t xml:space="preserve">                      </w:t>
      </w:r>
    </w:p>
    <w:p>
      <w:pPr>
        <w:pStyle w:val="21"/>
        <w:spacing w:line="320" w:lineRule="exact"/>
        <w:rPr>
          <w:rFonts w:cs="宋体"/>
          <w:color w:val="auto"/>
          <w:sz w:val="24"/>
          <w:szCs w:val="24"/>
          <w:highlight w:val="none"/>
          <w:u w:val="single"/>
        </w:rPr>
      </w:pP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02" w:name="_Toc43044946"/>
      <w:bookmarkEnd w:id="102"/>
      <w:r>
        <w:rPr>
          <w:rFonts w:cs="宋体"/>
          <w:color w:val="auto"/>
          <w:sz w:val="24"/>
          <w:szCs w:val="24"/>
          <w:highlight w:val="none"/>
        </w:rPr>
        <w:t>7、项目经理</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姓名：</w:t>
      </w:r>
      <w:r>
        <w:rPr>
          <w:rFonts w:cs="宋体"/>
          <w:color w:val="auto"/>
          <w:sz w:val="24"/>
          <w:szCs w:val="24"/>
          <w:highlight w:val="none"/>
          <w:u w:val="single"/>
        </w:rPr>
        <w:t xml:space="preserve">         </w:t>
      </w:r>
      <w:r>
        <w:rPr>
          <w:rFonts w:cs="宋体"/>
          <w:color w:val="auto"/>
          <w:sz w:val="24"/>
          <w:szCs w:val="24"/>
          <w:highlight w:val="none"/>
        </w:rPr>
        <w:t xml:space="preserve"> 职务：</w:t>
      </w:r>
      <w:r>
        <w:rPr>
          <w:rFonts w:cs="宋体"/>
          <w:color w:val="auto"/>
          <w:sz w:val="24"/>
          <w:szCs w:val="24"/>
          <w:highlight w:val="none"/>
          <w:u w:val="single"/>
        </w:rPr>
        <w:t xml:space="preserve">                  </w:t>
      </w:r>
    </w:p>
    <w:p>
      <w:pPr>
        <w:pStyle w:val="21"/>
        <w:spacing w:line="320" w:lineRule="exact"/>
        <w:rPr>
          <w:rFonts w:cs="宋体"/>
          <w:color w:val="auto"/>
          <w:sz w:val="24"/>
          <w:szCs w:val="24"/>
          <w:highlight w:val="none"/>
        </w:rPr>
      </w:pP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03" w:name="_Toc43044947"/>
      <w:bookmarkEnd w:id="103"/>
      <w:r>
        <w:rPr>
          <w:rFonts w:cs="宋体"/>
          <w:color w:val="auto"/>
          <w:sz w:val="24"/>
          <w:szCs w:val="24"/>
          <w:highlight w:val="none"/>
        </w:rPr>
        <w:t>8、发包人工作</w:t>
      </w:r>
    </w:p>
    <w:p>
      <w:pPr>
        <w:pStyle w:val="21"/>
        <w:spacing w:line="320" w:lineRule="exact"/>
        <w:rPr>
          <w:rFonts w:cs="宋体"/>
          <w:color w:val="auto"/>
          <w:sz w:val="24"/>
          <w:szCs w:val="24"/>
          <w:highlight w:val="none"/>
        </w:rPr>
      </w:pPr>
      <w:r>
        <w:rPr>
          <w:rFonts w:cs="宋体"/>
          <w:color w:val="auto"/>
          <w:sz w:val="24"/>
          <w:szCs w:val="24"/>
          <w:highlight w:val="none"/>
        </w:rPr>
        <w:t xml:space="preserve">    8.1 发包人应按约定的时间和要求完成以下工作：</w:t>
      </w:r>
    </w:p>
    <w:p>
      <w:pPr>
        <w:pStyle w:val="21"/>
        <w:spacing w:line="320" w:lineRule="exact"/>
        <w:rPr>
          <w:rFonts w:cs="宋体"/>
          <w:color w:val="auto"/>
          <w:sz w:val="24"/>
          <w:szCs w:val="24"/>
          <w:highlight w:val="none"/>
        </w:rPr>
      </w:pPr>
      <w:r>
        <w:rPr>
          <w:rFonts w:cs="宋体"/>
          <w:color w:val="auto"/>
          <w:sz w:val="24"/>
          <w:szCs w:val="24"/>
          <w:highlight w:val="none"/>
        </w:rPr>
        <w:t xml:space="preserve">    （1）施工场地具备施工条件的要求及完成的时间：</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w:t>
      </w:r>
      <w:r>
        <w:rPr>
          <w:rFonts w:cs="宋体"/>
          <w:color w:val="auto"/>
          <w:sz w:val="24"/>
          <w:szCs w:val="24"/>
          <w:highlight w:val="none"/>
          <w:u w:val="single"/>
        </w:rPr>
        <w:t>开工前  3  天。</w:t>
      </w:r>
    </w:p>
    <w:p>
      <w:pPr>
        <w:pStyle w:val="21"/>
        <w:spacing w:line="320" w:lineRule="exact"/>
        <w:rPr>
          <w:rFonts w:cs="宋体"/>
          <w:color w:val="auto"/>
          <w:sz w:val="24"/>
          <w:szCs w:val="24"/>
          <w:highlight w:val="none"/>
        </w:rPr>
      </w:pPr>
      <w:r>
        <w:rPr>
          <w:rFonts w:cs="宋体"/>
          <w:color w:val="auto"/>
          <w:sz w:val="24"/>
          <w:szCs w:val="24"/>
          <w:highlight w:val="none"/>
        </w:rPr>
        <w:t xml:space="preserve">    （2）将施工所需的水、电、电讯线路接至施工场地的</w:t>
      </w:r>
    </w:p>
    <w:p>
      <w:pPr>
        <w:pStyle w:val="21"/>
        <w:spacing w:line="320" w:lineRule="exact"/>
        <w:rPr>
          <w:rFonts w:cs="宋体"/>
          <w:color w:val="auto"/>
          <w:sz w:val="24"/>
          <w:szCs w:val="24"/>
          <w:highlight w:val="none"/>
        </w:rPr>
      </w:pPr>
      <w:r>
        <w:rPr>
          <w:rFonts w:cs="宋体"/>
          <w:color w:val="auto"/>
          <w:sz w:val="24"/>
          <w:szCs w:val="24"/>
          <w:highlight w:val="none"/>
        </w:rPr>
        <w:t xml:space="preserve">    时间、地点和供应要求：</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w:t>
      </w:r>
      <w:r>
        <w:rPr>
          <w:rFonts w:cs="宋体"/>
          <w:color w:val="auto"/>
          <w:sz w:val="24"/>
          <w:szCs w:val="24"/>
          <w:highlight w:val="none"/>
          <w:u w:val="single"/>
        </w:rPr>
        <w:t>开工前  3  天接至施工现场。</w:t>
      </w:r>
    </w:p>
    <w:p>
      <w:pPr>
        <w:pStyle w:val="21"/>
        <w:spacing w:line="320" w:lineRule="exact"/>
        <w:rPr>
          <w:rFonts w:cs="宋体"/>
          <w:color w:val="auto"/>
          <w:sz w:val="24"/>
          <w:szCs w:val="24"/>
          <w:highlight w:val="none"/>
        </w:rPr>
      </w:pPr>
      <w:r>
        <w:rPr>
          <w:rFonts w:cs="宋体"/>
          <w:color w:val="auto"/>
          <w:sz w:val="24"/>
          <w:szCs w:val="24"/>
          <w:highlight w:val="none"/>
        </w:rPr>
        <w:t xml:space="preserve">    （3）施工场地与公共道路的通道开通时间和要求：</w:t>
      </w:r>
      <w:r>
        <w:rPr>
          <w:rFonts w:cs="宋体"/>
          <w:color w:val="auto"/>
          <w:sz w:val="24"/>
          <w:szCs w:val="24"/>
          <w:highlight w:val="none"/>
          <w:u w:val="single"/>
        </w:rPr>
        <w:t>已开通。</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（4）工程地质和地下管线资料的提供时间：</w:t>
      </w:r>
      <w:r>
        <w:rPr>
          <w:rFonts w:cs="宋体"/>
          <w:color w:val="auto"/>
          <w:sz w:val="24"/>
          <w:szCs w:val="24"/>
          <w:highlight w:val="none"/>
          <w:u w:val="single"/>
        </w:rPr>
        <w:t>开工前 3  天。</w:t>
      </w:r>
    </w:p>
    <w:p>
      <w:pPr>
        <w:pStyle w:val="21"/>
        <w:spacing w:line="320" w:lineRule="exact"/>
        <w:rPr>
          <w:rFonts w:cs="宋体"/>
          <w:color w:val="auto"/>
          <w:sz w:val="24"/>
          <w:szCs w:val="24"/>
          <w:highlight w:val="none"/>
        </w:rPr>
      </w:pPr>
      <w:r>
        <w:rPr>
          <w:rFonts w:cs="宋体"/>
          <w:color w:val="auto"/>
          <w:sz w:val="24"/>
          <w:szCs w:val="24"/>
          <w:highlight w:val="none"/>
        </w:rPr>
        <w:t xml:space="preserve">    （5）由发包人办理的施工所需证件、批件的名称和完成时间：</w:t>
      </w:r>
      <w:r>
        <w:rPr>
          <w:rFonts w:cs="宋体"/>
          <w:color w:val="auto"/>
          <w:sz w:val="24"/>
          <w:szCs w:val="24"/>
          <w:highlight w:val="none"/>
          <w:u w:val="single"/>
        </w:rPr>
        <w:t>开工前  3 天。</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（6）水准点与座标控制点交验要求：</w:t>
      </w:r>
      <w:r>
        <w:rPr>
          <w:rFonts w:cs="宋体"/>
          <w:color w:val="auto"/>
          <w:sz w:val="24"/>
          <w:szCs w:val="24"/>
          <w:highlight w:val="none"/>
          <w:u w:val="single"/>
        </w:rPr>
        <w:t>开工前 3  天。</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（7）图纸会审和设计交底时间：</w:t>
      </w:r>
      <w:r>
        <w:rPr>
          <w:rFonts w:cs="宋体"/>
          <w:color w:val="auto"/>
          <w:sz w:val="24"/>
          <w:szCs w:val="24"/>
          <w:highlight w:val="none"/>
          <w:u w:val="single"/>
        </w:rPr>
        <w:t>开工前 3  天。</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（8）协调处理施工场地周围地下管线和邻近建筑物、构筑物（含文物保护建筑）、古树名木的保护工作：</w:t>
      </w:r>
      <w:r>
        <w:rPr>
          <w:rFonts w:cs="宋体"/>
          <w:color w:val="auto"/>
          <w:sz w:val="24"/>
          <w:szCs w:val="24"/>
          <w:highlight w:val="none"/>
          <w:u w:val="single"/>
        </w:rPr>
        <w:t>按通用条款第8.1（8）条执行。</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（9）双方约定发包人应做的其他工作：</w:t>
      </w:r>
      <w:r>
        <w:rPr>
          <w:rFonts w:cs="宋体"/>
          <w:color w:val="auto"/>
          <w:sz w:val="24"/>
          <w:szCs w:val="24"/>
          <w:highlight w:val="none"/>
          <w:u w:val="single"/>
        </w:rPr>
        <w:t xml:space="preserve">  无                        </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8.2 发包人委托承包人办理的工作：</w:t>
      </w:r>
      <w:r>
        <w:rPr>
          <w:rFonts w:cs="宋体"/>
          <w:color w:val="auto"/>
          <w:sz w:val="24"/>
          <w:szCs w:val="24"/>
          <w:highlight w:val="none"/>
          <w:u w:val="single"/>
        </w:rPr>
        <w:t xml:space="preserve">    无                         </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04" w:name="_Toc43044948"/>
      <w:bookmarkEnd w:id="104"/>
      <w:r>
        <w:rPr>
          <w:rFonts w:cs="宋体"/>
          <w:color w:val="auto"/>
          <w:sz w:val="24"/>
          <w:szCs w:val="24"/>
          <w:highlight w:val="none"/>
        </w:rPr>
        <w:t>9、承包人工作</w:t>
      </w:r>
    </w:p>
    <w:p>
      <w:pPr>
        <w:pStyle w:val="21"/>
        <w:spacing w:line="320" w:lineRule="exact"/>
        <w:rPr>
          <w:rFonts w:cs="宋体"/>
          <w:color w:val="auto"/>
          <w:sz w:val="24"/>
          <w:szCs w:val="24"/>
          <w:highlight w:val="none"/>
        </w:rPr>
      </w:pPr>
      <w:r>
        <w:rPr>
          <w:rFonts w:cs="宋体"/>
          <w:color w:val="auto"/>
          <w:sz w:val="24"/>
          <w:szCs w:val="24"/>
          <w:highlight w:val="none"/>
        </w:rPr>
        <w:t xml:space="preserve">    9.1 承包人应按约定时间和要求，完成以下工作：</w:t>
      </w:r>
    </w:p>
    <w:p>
      <w:pPr>
        <w:pStyle w:val="21"/>
        <w:spacing w:line="320" w:lineRule="exact"/>
        <w:rPr>
          <w:rFonts w:cs="宋体"/>
          <w:color w:val="auto"/>
          <w:sz w:val="24"/>
          <w:szCs w:val="24"/>
          <w:highlight w:val="none"/>
        </w:rPr>
      </w:pPr>
      <w:r>
        <w:rPr>
          <w:rFonts w:cs="宋体"/>
          <w:color w:val="auto"/>
          <w:sz w:val="24"/>
          <w:szCs w:val="24"/>
          <w:highlight w:val="none"/>
        </w:rPr>
        <w:t xml:space="preserve">    （1）需由设计资质等级和业务范围允许的承包人完成的设计文件提交时间：</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w:t>
      </w:r>
      <w:r>
        <w:rPr>
          <w:rFonts w:cs="宋体"/>
          <w:color w:val="auto"/>
          <w:sz w:val="24"/>
          <w:szCs w:val="24"/>
          <w:highlight w:val="none"/>
          <w:u w:val="single"/>
        </w:rPr>
        <w:t xml:space="preserve">                                             </w:t>
      </w:r>
    </w:p>
    <w:p>
      <w:pPr>
        <w:pStyle w:val="21"/>
        <w:spacing w:line="320" w:lineRule="exact"/>
        <w:rPr>
          <w:rFonts w:cs="宋体"/>
          <w:color w:val="auto"/>
          <w:sz w:val="24"/>
          <w:szCs w:val="24"/>
          <w:highlight w:val="none"/>
        </w:rPr>
      </w:pPr>
      <w:r>
        <w:rPr>
          <w:rFonts w:cs="宋体"/>
          <w:color w:val="auto"/>
          <w:sz w:val="24"/>
          <w:szCs w:val="24"/>
          <w:highlight w:val="none"/>
        </w:rPr>
        <w:t xml:space="preserve">    （2）应提供计划、报表的名称及完成时问：</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w:t>
      </w:r>
      <w:r>
        <w:rPr>
          <w:rFonts w:cs="宋体"/>
          <w:color w:val="auto"/>
          <w:sz w:val="24"/>
          <w:szCs w:val="24"/>
          <w:highlight w:val="none"/>
          <w:u w:val="single"/>
        </w:rPr>
        <w:t>每月25日前提供月报表。</w:t>
      </w:r>
    </w:p>
    <w:p>
      <w:pPr>
        <w:pStyle w:val="21"/>
        <w:spacing w:line="320" w:lineRule="exact"/>
        <w:rPr>
          <w:rFonts w:cs="宋体"/>
          <w:b/>
          <w:color w:val="auto"/>
          <w:sz w:val="24"/>
          <w:szCs w:val="24"/>
          <w:highlight w:val="none"/>
          <w:u w:val="single"/>
        </w:rPr>
      </w:pPr>
      <w:r>
        <w:rPr>
          <w:rFonts w:cs="宋体"/>
          <w:b/>
          <w:color w:val="auto"/>
          <w:sz w:val="24"/>
          <w:szCs w:val="24"/>
          <w:highlight w:val="none"/>
        </w:rPr>
        <w:t xml:space="preserve">    *（3）承担施工安全保卫工作及非夜间施工照明的责任和要求：</w:t>
      </w:r>
      <w:r>
        <w:rPr>
          <w:rFonts w:cs="宋体"/>
          <w:b/>
          <w:color w:val="auto"/>
          <w:sz w:val="24"/>
          <w:szCs w:val="24"/>
          <w:highlight w:val="none"/>
          <w:u w:val="single"/>
        </w:rPr>
        <w:t xml:space="preserve">按通用条款第9.1（3）条执行，费用由承包人承担 </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（4）向发包人提供的办公和生活房屋及设施的要求：</w:t>
      </w:r>
      <w:r>
        <w:rPr>
          <w:rFonts w:cs="宋体"/>
          <w:color w:val="auto"/>
          <w:sz w:val="24"/>
          <w:szCs w:val="24"/>
          <w:highlight w:val="none"/>
          <w:u w:val="single"/>
        </w:rPr>
        <w:t xml:space="preserve">                          </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（5）需承包人办理的有关施工场地交通、环卫和施工噪音管理等手续：</w:t>
      </w:r>
      <w:r>
        <w:rPr>
          <w:rFonts w:cs="宋体"/>
          <w:color w:val="auto"/>
          <w:sz w:val="24"/>
          <w:szCs w:val="24"/>
          <w:highlight w:val="none"/>
          <w:u w:val="single"/>
        </w:rPr>
        <w:t>按通用条款第9.1（5）条执行。</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（6）已完工程成品保护的特殊要求及费用承担：</w:t>
      </w:r>
      <w:r>
        <w:rPr>
          <w:rFonts w:cs="宋体"/>
          <w:color w:val="auto"/>
          <w:sz w:val="24"/>
          <w:szCs w:val="24"/>
          <w:highlight w:val="none"/>
          <w:u w:val="single"/>
        </w:rPr>
        <w:t xml:space="preserve">按通用条款第9.1（6）条执行。 </w:t>
      </w:r>
    </w:p>
    <w:p>
      <w:pPr>
        <w:pStyle w:val="21"/>
        <w:spacing w:line="320" w:lineRule="exact"/>
        <w:rPr>
          <w:rFonts w:cs="宋体"/>
          <w:b/>
          <w:color w:val="auto"/>
          <w:sz w:val="24"/>
          <w:szCs w:val="24"/>
          <w:highlight w:val="none"/>
          <w:u w:val="single"/>
        </w:rPr>
      </w:pPr>
      <w:r>
        <w:rPr>
          <w:rFonts w:cs="宋体"/>
          <w:b/>
          <w:color w:val="auto"/>
          <w:sz w:val="24"/>
          <w:szCs w:val="24"/>
          <w:highlight w:val="none"/>
        </w:rPr>
        <w:t xml:space="preserve">    *（7）施工场地周围地下管线和邻近建筑物、构筑物（含文物保护建筑）、古树名木的保护要求及费用承担：</w:t>
      </w:r>
      <w:r>
        <w:rPr>
          <w:rFonts w:cs="宋体"/>
          <w:b/>
          <w:color w:val="auto"/>
          <w:sz w:val="24"/>
          <w:szCs w:val="24"/>
          <w:highlight w:val="none"/>
          <w:u w:val="single"/>
        </w:rPr>
        <w:t>施工时如损坏地下管线、邻近建筑物、构筑物，所发生费用由承包人承担。</w:t>
      </w:r>
    </w:p>
    <w:p>
      <w:pPr>
        <w:pStyle w:val="21"/>
        <w:spacing w:line="320" w:lineRule="exact"/>
        <w:rPr>
          <w:rFonts w:cs="宋体"/>
          <w:b/>
          <w:color w:val="auto"/>
          <w:sz w:val="24"/>
          <w:szCs w:val="24"/>
          <w:highlight w:val="none"/>
          <w:u w:val="single"/>
        </w:rPr>
      </w:pPr>
      <w:r>
        <w:rPr>
          <w:rFonts w:cs="宋体"/>
          <w:b/>
          <w:color w:val="auto"/>
          <w:sz w:val="24"/>
          <w:szCs w:val="24"/>
          <w:highlight w:val="none"/>
        </w:rPr>
        <w:t xml:space="preserve">    *（8）施工场地清洁卫生的要求：</w:t>
      </w:r>
      <w:r>
        <w:rPr>
          <w:rFonts w:cs="宋体"/>
          <w:b/>
          <w:color w:val="auto"/>
          <w:sz w:val="24"/>
          <w:szCs w:val="24"/>
          <w:highlight w:val="none"/>
          <w:u w:val="single"/>
        </w:rPr>
        <w:t xml:space="preserve">按通用条款第9.1（8）条执行，费用由承包人承担  </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（9）双方约定承包人应做的其他工作：</w:t>
      </w:r>
      <w:r>
        <w:rPr>
          <w:rFonts w:cs="宋体"/>
          <w:color w:val="auto"/>
          <w:sz w:val="24"/>
          <w:szCs w:val="24"/>
          <w:highlight w:val="none"/>
          <w:u w:val="single"/>
        </w:rPr>
        <w:t xml:space="preserve"> 暂无                         </w:t>
      </w:r>
    </w:p>
    <w:p>
      <w:pPr>
        <w:pStyle w:val="21"/>
        <w:spacing w:line="320" w:lineRule="exact"/>
        <w:rPr>
          <w:rFonts w:cs="宋体"/>
          <w:color w:val="auto"/>
          <w:sz w:val="24"/>
          <w:szCs w:val="24"/>
          <w:highlight w:val="none"/>
        </w:rPr>
      </w:pP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05" w:name="_Toc43044949"/>
      <w:bookmarkEnd w:id="105"/>
      <w:r>
        <w:rPr>
          <w:rFonts w:cs="宋体"/>
          <w:color w:val="auto"/>
          <w:sz w:val="24"/>
          <w:szCs w:val="24"/>
          <w:highlight w:val="none"/>
        </w:rPr>
        <w:t>二、施工组织设计和工期</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06" w:name="_Toc43044950"/>
      <w:bookmarkEnd w:id="106"/>
      <w:r>
        <w:rPr>
          <w:rFonts w:cs="宋体"/>
          <w:color w:val="auto"/>
          <w:sz w:val="24"/>
          <w:szCs w:val="24"/>
          <w:highlight w:val="none"/>
        </w:rPr>
        <w:t>10、进度计划</w:t>
      </w:r>
    </w:p>
    <w:p>
      <w:pPr>
        <w:pStyle w:val="21"/>
        <w:spacing w:line="320" w:lineRule="exact"/>
        <w:rPr>
          <w:rFonts w:cs="宋体"/>
          <w:color w:val="auto"/>
          <w:sz w:val="24"/>
          <w:szCs w:val="24"/>
          <w:highlight w:val="none"/>
        </w:rPr>
      </w:pPr>
      <w:r>
        <w:rPr>
          <w:rFonts w:cs="宋体"/>
          <w:color w:val="auto"/>
          <w:sz w:val="24"/>
          <w:szCs w:val="24"/>
          <w:highlight w:val="none"/>
        </w:rPr>
        <w:t xml:space="preserve">    10.1 承包人提供施工组织设计（施工方案）和进度计划的时间：</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w:t>
      </w:r>
      <w:r>
        <w:rPr>
          <w:rFonts w:cs="宋体"/>
          <w:color w:val="auto"/>
          <w:sz w:val="24"/>
          <w:szCs w:val="24"/>
          <w:highlight w:val="none"/>
          <w:u w:val="single"/>
        </w:rPr>
        <w:t xml:space="preserve"> 开工前  3   天。</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工程师确认的时间：</w:t>
      </w:r>
      <w:r>
        <w:rPr>
          <w:rFonts w:cs="宋体"/>
          <w:color w:val="auto"/>
          <w:sz w:val="24"/>
          <w:szCs w:val="24"/>
          <w:highlight w:val="none"/>
          <w:u w:val="single"/>
        </w:rPr>
        <w:t>开工前  5   天。</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10.2 群体工程中有关进度计划的要求：</w:t>
      </w:r>
      <w:r>
        <w:rPr>
          <w:rFonts w:cs="宋体"/>
          <w:color w:val="auto"/>
          <w:sz w:val="24"/>
          <w:szCs w:val="24"/>
          <w:highlight w:val="none"/>
          <w:u w:val="single"/>
        </w:rPr>
        <w:t xml:space="preserve">                                   </w:t>
      </w:r>
    </w:p>
    <w:p>
      <w:pPr>
        <w:pStyle w:val="21"/>
        <w:spacing w:line="320" w:lineRule="exact"/>
        <w:rPr>
          <w:rFonts w:cs="宋体"/>
          <w:color w:val="auto"/>
          <w:sz w:val="24"/>
          <w:szCs w:val="24"/>
          <w:highlight w:val="none"/>
        </w:rPr>
      </w:pP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07" w:name="_Toc43044951"/>
      <w:bookmarkEnd w:id="107"/>
      <w:r>
        <w:rPr>
          <w:rFonts w:cs="宋体"/>
          <w:color w:val="auto"/>
          <w:sz w:val="24"/>
          <w:szCs w:val="24"/>
          <w:highlight w:val="none"/>
        </w:rPr>
        <w:t>13、工期延误</w:t>
      </w:r>
    </w:p>
    <w:p>
      <w:pPr>
        <w:spacing w:line="320" w:lineRule="exact"/>
        <w:rPr>
          <w:rFonts w:ascii="宋体" w:hAnsi="宋体" w:cs="宋体"/>
          <w:color w:val="auto"/>
          <w:kern w:val="1"/>
          <w:sz w:val="24"/>
          <w:highlight w:val="none"/>
        </w:rPr>
      </w:pPr>
      <w:r>
        <w:rPr>
          <w:rFonts w:ascii="宋体" w:hAnsi="宋体" w:cs="宋体"/>
          <w:color w:val="auto"/>
          <w:kern w:val="1"/>
          <w:sz w:val="24"/>
          <w:highlight w:val="none"/>
        </w:rPr>
        <w:t xml:space="preserve">    13.1 对以下原因造成工期延误；经工程师确认，工期相应顺延：按GF-1999-0201通用条款第13条执行。</w:t>
      </w:r>
    </w:p>
    <w:p>
      <w:pPr>
        <w:spacing w:line="320" w:lineRule="exact"/>
        <w:rPr>
          <w:rFonts w:ascii="宋体" w:hAnsi="宋体" w:cs="宋体"/>
          <w:color w:val="auto"/>
          <w:kern w:val="1"/>
          <w:sz w:val="24"/>
          <w:highlight w:val="none"/>
        </w:rPr>
      </w:pPr>
      <w:r>
        <w:rPr>
          <w:rFonts w:ascii="宋体" w:hAnsi="宋体" w:cs="宋体"/>
          <w:color w:val="auto"/>
          <w:kern w:val="1"/>
          <w:sz w:val="24"/>
          <w:highlight w:val="none"/>
        </w:rPr>
        <w:t xml:space="preserve">    13.1.1 不可抗力；</w:t>
      </w:r>
    </w:p>
    <w:p>
      <w:pPr>
        <w:spacing w:line="320" w:lineRule="exact"/>
        <w:rPr>
          <w:rFonts w:ascii="宋体" w:hAnsi="宋体" w:cs="宋体"/>
          <w:color w:val="auto"/>
          <w:kern w:val="1"/>
          <w:sz w:val="24"/>
          <w:highlight w:val="none"/>
          <w:u w:val="single"/>
        </w:rPr>
      </w:pPr>
      <w:r>
        <w:rPr>
          <w:rFonts w:ascii="宋体" w:hAnsi="宋体" w:cs="宋体"/>
          <w:color w:val="auto"/>
          <w:kern w:val="1"/>
          <w:sz w:val="24"/>
          <w:highlight w:val="none"/>
        </w:rPr>
        <w:t xml:space="preserve">    13.1.2 双方约定工期顺延的其他情况：</w:t>
      </w:r>
      <w:r>
        <w:rPr>
          <w:rFonts w:ascii="宋体" w:hAnsi="宋体" w:cs="宋体"/>
          <w:color w:val="auto"/>
          <w:kern w:val="1"/>
          <w:sz w:val="24"/>
          <w:highlight w:val="none"/>
          <w:u w:val="single"/>
        </w:rPr>
        <w:t xml:space="preserve">   无           </w:t>
      </w:r>
    </w:p>
    <w:p>
      <w:pPr>
        <w:spacing w:line="320" w:lineRule="exact"/>
        <w:rPr>
          <w:rFonts w:ascii="宋体" w:hAnsi="宋体" w:cs="宋体"/>
          <w:color w:val="auto"/>
          <w:kern w:val="1"/>
          <w:sz w:val="24"/>
          <w:highlight w:val="none"/>
        </w:rPr>
      </w:pPr>
      <w:r>
        <w:rPr>
          <w:rFonts w:ascii="宋体" w:hAnsi="宋体" w:cs="宋体"/>
          <w:color w:val="auto"/>
          <w:kern w:val="1"/>
          <w:sz w:val="24"/>
          <w:highlight w:val="none"/>
        </w:rPr>
        <w:t xml:space="preserve">    13.2 承包人在第13.1款情况发生后，双方按以下约定办理：按建设工程施工合同GF-1999-0201有关条款办理。</w:t>
      </w:r>
    </w:p>
    <w:p>
      <w:pPr>
        <w:spacing w:line="320" w:lineRule="exact"/>
        <w:rPr>
          <w:rFonts w:ascii="宋体" w:hAnsi="宋体" w:cs="宋体"/>
          <w:color w:val="auto"/>
          <w:kern w:val="1"/>
          <w:sz w:val="24"/>
          <w:highlight w:val="none"/>
        </w:rPr>
      </w:pPr>
      <w:r>
        <w:rPr>
          <w:rFonts w:ascii="宋体" w:hAnsi="宋体" w:cs="宋体"/>
          <w:color w:val="auto"/>
          <w:kern w:val="1"/>
          <w:sz w:val="24"/>
          <w:highlight w:val="none"/>
        </w:rPr>
        <w:t xml:space="preserve">    13.3 非上述原因，承包人不能按合同约定的时间竣工，承包人应承担违约责任。应向发包人支付误期赔偿费（每天赔偿金额为合同总价的万分之八），误期时间从规定竣工日期起直到全部工程或相应部分工程的移交竣工报告的批准日期之间的天数（不足一天的按一天计算），其极限为合同价的5%。发包人可从应向承包人支付的任何金额中扣除此项赔款费或其他方式收回此款，此赔偿款的支付并不能解除承包人应完成工程的责任或合同规定的其他责任。</w:t>
      </w:r>
    </w:p>
    <w:p>
      <w:pPr>
        <w:pStyle w:val="21"/>
        <w:spacing w:line="320" w:lineRule="exact"/>
        <w:rPr>
          <w:rFonts w:cs="宋体"/>
          <w:color w:val="auto"/>
          <w:sz w:val="24"/>
          <w:szCs w:val="24"/>
          <w:highlight w:val="none"/>
        </w:rPr>
      </w:pP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08" w:name="_Toc43044952"/>
      <w:bookmarkEnd w:id="108"/>
      <w:r>
        <w:rPr>
          <w:rFonts w:cs="宋体"/>
          <w:color w:val="auto"/>
          <w:sz w:val="24"/>
          <w:szCs w:val="24"/>
          <w:highlight w:val="none"/>
        </w:rPr>
        <w:t>三、质量与验收</w:t>
      </w:r>
    </w:p>
    <w:p>
      <w:pPr>
        <w:spacing w:line="320" w:lineRule="exact"/>
        <w:rPr>
          <w:rFonts w:ascii="宋体" w:hAnsi="宋体" w:cs="宋体"/>
          <w:color w:val="auto"/>
          <w:kern w:val="1"/>
          <w:sz w:val="24"/>
          <w:highlight w:val="none"/>
        </w:rPr>
      </w:pPr>
      <w:r>
        <w:rPr>
          <w:rFonts w:ascii="宋体" w:hAnsi="宋体" w:cs="宋体"/>
          <w:color w:val="auto"/>
          <w:kern w:val="1"/>
          <w:sz w:val="24"/>
          <w:highlight w:val="none"/>
        </w:rPr>
        <w:t xml:space="preserve">    15.1 发包人对工程质量的特殊要求：</w:t>
      </w:r>
      <w:r>
        <w:rPr>
          <w:rFonts w:ascii="宋体" w:hAnsi="宋体" w:cs="宋体"/>
          <w:color w:val="auto"/>
          <w:kern w:val="1"/>
          <w:sz w:val="24"/>
          <w:highlight w:val="none"/>
          <w:u w:val="single"/>
        </w:rPr>
        <w:t xml:space="preserve"> </w:t>
      </w:r>
      <w:r>
        <w:rPr>
          <w:rFonts w:hint="eastAsia" w:ascii="宋体" w:hAnsi="宋体" w:cs="宋体"/>
          <w:color w:val="auto"/>
          <w:kern w:val="1"/>
          <w:sz w:val="24"/>
          <w:highlight w:val="none"/>
          <w:u w:val="single"/>
          <w:lang w:eastAsia="zh-CN"/>
        </w:rPr>
        <w:t>达到国家工程施工验收规范合格标准</w:t>
      </w:r>
      <w:r>
        <w:rPr>
          <w:rFonts w:ascii="宋体" w:hAnsi="宋体" w:cs="宋体"/>
          <w:color w:val="auto"/>
          <w:kern w:val="1"/>
          <w:sz w:val="24"/>
          <w:highlight w:val="none"/>
          <w:u w:val="single"/>
        </w:rPr>
        <w:t>。</w:t>
      </w:r>
    </w:p>
    <w:p>
      <w:pPr>
        <w:spacing w:line="320" w:lineRule="exact"/>
        <w:rPr>
          <w:rFonts w:ascii="宋体" w:hAnsi="宋体" w:cs="宋体"/>
          <w:color w:val="auto"/>
          <w:kern w:val="1"/>
          <w:sz w:val="24"/>
          <w:highlight w:val="none"/>
        </w:rPr>
      </w:pPr>
      <w:r>
        <w:rPr>
          <w:rFonts w:ascii="宋体" w:hAnsi="宋体" w:cs="宋体"/>
          <w:color w:val="auto"/>
          <w:kern w:val="1"/>
          <w:sz w:val="24"/>
          <w:highlight w:val="none"/>
        </w:rPr>
        <w:t xml:space="preserve">    15.2 双方对工程质量有争议时，请</w:t>
      </w:r>
      <w:r>
        <w:rPr>
          <w:rFonts w:hint="eastAsia" w:ascii="宋体" w:hAnsi="宋体" w:cs="宋体"/>
          <w:color w:val="auto"/>
          <w:kern w:val="1"/>
          <w:sz w:val="24"/>
          <w:highlight w:val="none"/>
          <w:u w:val="single"/>
        </w:rPr>
        <w:t xml:space="preserve"> </w:t>
      </w:r>
      <w:r>
        <w:rPr>
          <w:rFonts w:ascii="宋体" w:hAnsi="宋体" w:cs="宋体"/>
          <w:color w:val="auto"/>
          <w:kern w:val="1"/>
          <w:sz w:val="24"/>
          <w:highlight w:val="none"/>
          <w:u w:val="single"/>
        </w:rPr>
        <w:t>县建设工程质量监督站</w:t>
      </w:r>
      <w:r>
        <w:rPr>
          <w:rFonts w:ascii="宋体" w:hAnsi="宋体" w:cs="宋体"/>
          <w:color w:val="auto"/>
          <w:kern w:val="1"/>
          <w:sz w:val="24"/>
          <w:highlight w:val="none"/>
        </w:rPr>
        <w:t>仲裁。</w:t>
      </w:r>
    </w:p>
    <w:p>
      <w:pPr>
        <w:spacing w:line="320" w:lineRule="exact"/>
        <w:rPr>
          <w:rFonts w:ascii="宋体" w:hAnsi="宋体" w:cs="宋体"/>
          <w:color w:val="auto"/>
          <w:kern w:val="1"/>
          <w:sz w:val="24"/>
          <w:highlight w:val="none"/>
        </w:rPr>
      </w:pPr>
    </w:p>
    <w:p>
      <w:pPr>
        <w:spacing w:line="320" w:lineRule="exact"/>
        <w:rPr>
          <w:rFonts w:ascii="宋体" w:hAnsi="宋体" w:cs="宋体"/>
          <w:color w:val="auto"/>
          <w:kern w:val="1"/>
          <w:sz w:val="24"/>
          <w:highlight w:val="none"/>
        </w:rPr>
      </w:pPr>
      <w:r>
        <w:rPr>
          <w:rFonts w:ascii="宋体" w:hAnsi="宋体" w:cs="宋体"/>
          <w:color w:val="auto"/>
          <w:kern w:val="1"/>
          <w:sz w:val="24"/>
          <w:highlight w:val="none"/>
        </w:rPr>
        <w:t xml:space="preserve">    </w:t>
      </w:r>
      <w:bookmarkStart w:id="109" w:name="_Toc43044953"/>
      <w:bookmarkEnd w:id="109"/>
      <w:r>
        <w:rPr>
          <w:rFonts w:ascii="宋体" w:hAnsi="宋体" w:cs="宋体"/>
          <w:color w:val="auto"/>
          <w:kern w:val="1"/>
          <w:sz w:val="24"/>
          <w:highlight w:val="none"/>
        </w:rPr>
        <w:t>17、隐蔽工程和中间验收</w:t>
      </w:r>
    </w:p>
    <w:p>
      <w:pPr>
        <w:pStyle w:val="21"/>
        <w:spacing w:line="320" w:lineRule="exact"/>
        <w:rPr>
          <w:rFonts w:cs="宋体"/>
          <w:color w:val="auto"/>
          <w:sz w:val="24"/>
          <w:szCs w:val="24"/>
          <w:highlight w:val="none"/>
        </w:rPr>
      </w:pPr>
      <w:r>
        <w:rPr>
          <w:rFonts w:cs="宋体"/>
          <w:color w:val="auto"/>
          <w:sz w:val="24"/>
          <w:szCs w:val="24"/>
          <w:highlight w:val="none"/>
        </w:rPr>
        <w:t xml:space="preserve">    17.1 双方约定中间验收部位：</w:t>
      </w:r>
      <w:r>
        <w:rPr>
          <w:rFonts w:cs="宋体"/>
          <w:color w:val="auto"/>
          <w:sz w:val="24"/>
          <w:szCs w:val="24"/>
          <w:highlight w:val="none"/>
          <w:u w:val="single"/>
        </w:rPr>
        <w:t xml:space="preserve">                              </w:t>
      </w:r>
    </w:p>
    <w:p>
      <w:pPr>
        <w:spacing w:line="320" w:lineRule="exact"/>
        <w:rPr>
          <w:rFonts w:ascii="宋体" w:hAnsi="宋体" w:cs="宋体"/>
          <w:color w:val="auto"/>
          <w:kern w:val="1"/>
          <w:sz w:val="24"/>
          <w:highlight w:val="none"/>
        </w:rPr>
      </w:pPr>
      <w:r>
        <w:rPr>
          <w:rFonts w:ascii="宋体" w:hAnsi="宋体" w:cs="宋体"/>
          <w:color w:val="auto"/>
          <w:kern w:val="1"/>
          <w:sz w:val="24"/>
          <w:highlight w:val="none"/>
        </w:rPr>
        <w:t xml:space="preserve">    17.2 发包人对工程质量的特殊要求：</w:t>
      </w:r>
      <w:r>
        <w:rPr>
          <w:rFonts w:ascii="宋体" w:hAnsi="宋体" w:cs="宋体"/>
          <w:color w:val="auto"/>
          <w:kern w:val="1"/>
          <w:sz w:val="24"/>
          <w:highlight w:val="none"/>
          <w:u w:val="single"/>
        </w:rPr>
        <w:t xml:space="preserve">               </w:t>
      </w:r>
    </w:p>
    <w:p>
      <w:pPr>
        <w:pStyle w:val="21"/>
        <w:spacing w:line="320" w:lineRule="exact"/>
        <w:rPr>
          <w:rFonts w:cs="宋体"/>
          <w:color w:val="auto"/>
          <w:sz w:val="24"/>
          <w:szCs w:val="24"/>
          <w:highlight w:val="none"/>
        </w:rPr>
      </w:pP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10" w:name="_Toc43044954"/>
      <w:bookmarkEnd w:id="110"/>
      <w:r>
        <w:rPr>
          <w:rFonts w:cs="宋体"/>
          <w:color w:val="auto"/>
          <w:sz w:val="24"/>
          <w:szCs w:val="24"/>
          <w:highlight w:val="none"/>
        </w:rPr>
        <w:t>19、工程试车</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19.5 试车费用的承担：</w:t>
      </w:r>
      <w:r>
        <w:rPr>
          <w:rFonts w:cs="宋体"/>
          <w:color w:val="auto"/>
          <w:sz w:val="24"/>
          <w:szCs w:val="24"/>
          <w:highlight w:val="none"/>
          <w:u w:val="single"/>
        </w:rPr>
        <w:t xml:space="preserve">                                </w:t>
      </w:r>
    </w:p>
    <w:p>
      <w:pPr>
        <w:pStyle w:val="21"/>
        <w:spacing w:line="320" w:lineRule="exact"/>
        <w:rPr>
          <w:rFonts w:cs="宋体"/>
          <w:color w:val="auto"/>
          <w:sz w:val="24"/>
          <w:szCs w:val="24"/>
          <w:highlight w:val="none"/>
        </w:rPr>
      </w:pP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11" w:name="_Toc43044955"/>
      <w:bookmarkEnd w:id="111"/>
      <w:r>
        <w:rPr>
          <w:rFonts w:cs="宋体"/>
          <w:color w:val="auto"/>
          <w:sz w:val="24"/>
          <w:szCs w:val="24"/>
          <w:highlight w:val="none"/>
        </w:rPr>
        <w:t>四、安全施工</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12" w:name="_Toc43044956"/>
      <w:bookmarkEnd w:id="112"/>
      <w:r>
        <w:rPr>
          <w:rFonts w:cs="宋体"/>
          <w:color w:val="auto"/>
          <w:sz w:val="24"/>
          <w:szCs w:val="24"/>
          <w:highlight w:val="none"/>
        </w:rPr>
        <w:t>五、合同价款与支付</w:t>
      </w:r>
    </w:p>
    <w:p>
      <w:pPr>
        <w:pStyle w:val="21"/>
        <w:spacing w:line="320" w:lineRule="exact"/>
        <w:rPr>
          <w:rFonts w:cs="宋体"/>
          <w:b/>
          <w:color w:val="auto"/>
          <w:sz w:val="24"/>
          <w:szCs w:val="24"/>
          <w:highlight w:val="none"/>
        </w:rPr>
      </w:pPr>
      <w:r>
        <w:rPr>
          <w:rFonts w:cs="宋体"/>
          <w:b/>
          <w:color w:val="auto"/>
          <w:sz w:val="24"/>
          <w:szCs w:val="24"/>
          <w:highlight w:val="none"/>
        </w:rPr>
        <w:t xml:space="preserve">    *</w:t>
      </w:r>
      <w:bookmarkStart w:id="113" w:name="_Toc43044957"/>
      <w:bookmarkEnd w:id="113"/>
      <w:r>
        <w:rPr>
          <w:rFonts w:cs="宋体"/>
          <w:b/>
          <w:color w:val="auto"/>
          <w:sz w:val="24"/>
          <w:szCs w:val="24"/>
          <w:highlight w:val="none"/>
        </w:rPr>
        <w:t>23、合同价款及调整</w:t>
      </w:r>
    </w:p>
    <w:p>
      <w:pPr>
        <w:pStyle w:val="21"/>
        <w:spacing w:line="320" w:lineRule="exact"/>
        <w:rPr>
          <w:rFonts w:cs="宋体"/>
          <w:b/>
          <w:color w:val="auto"/>
          <w:sz w:val="24"/>
          <w:szCs w:val="24"/>
          <w:highlight w:val="none"/>
          <w:u w:val="single"/>
        </w:rPr>
      </w:pPr>
      <w:r>
        <w:rPr>
          <w:rFonts w:cs="宋体"/>
          <w:b/>
          <w:color w:val="auto"/>
          <w:sz w:val="24"/>
          <w:szCs w:val="24"/>
          <w:highlight w:val="none"/>
        </w:rPr>
        <w:t xml:space="preserve">    23.</w:t>
      </w:r>
      <w:r>
        <w:rPr>
          <w:rFonts w:cs="宋体"/>
          <w:color w:val="auto"/>
          <w:sz w:val="24"/>
          <w:szCs w:val="24"/>
          <w:highlight w:val="none"/>
        </w:rPr>
        <w:t>工程发包方式为包工包料，</w:t>
      </w:r>
      <w:r>
        <w:rPr>
          <w:rFonts w:hint="eastAsia" w:cs="宋体"/>
          <w:color w:val="auto"/>
          <w:sz w:val="24"/>
          <w:szCs w:val="24"/>
          <w:highlight w:val="none"/>
          <w:lang w:eastAsia="zh-CN"/>
        </w:rPr>
        <w:t>磋商</w:t>
      </w:r>
      <w:r>
        <w:rPr>
          <w:rFonts w:cs="宋体"/>
          <w:color w:val="auto"/>
          <w:sz w:val="24"/>
          <w:szCs w:val="24"/>
          <w:highlight w:val="none"/>
        </w:rPr>
        <w:t>报价采用工程量清单计价方式，</w:t>
      </w:r>
      <w:r>
        <w:rPr>
          <w:rFonts w:cs="宋体"/>
          <w:b/>
          <w:color w:val="auto"/>
          <w:sz w:val="24"/>
          <w:szCs w:val="24"/>
          <w:highlight w:val="none"/>
        </w:rPr>
        <w:t>。</w:t>
      </w:r>
    </w:p>
    <w:p>
      <w:pPr>
        <w:pStyle w:val="21"/>
        <w:spacing w:line="320" w:lineRule="exact"/>
        <w:ind w:firstLine="480"/>
        <w:rPr>
          <w:rFonts w:cs="宋体"/>
          <w:color w:val="auto"/>
          <w:sz w:val="24"/>
          <w:szCs w:val="24"/>
          <w:highlight w:val="none"/>
        </w:rPr>
      </w:pPr>
      <w:r>
        <w:rPr>
          <w:rFonts w:cs="宋体"/>
          <w:color w:val="auto"/>
          <w:sz w:val="24"/>
          <w:szCs w:val="24"/>
          <w:highlight w:val="none"/>
        </w:rPr>
        <w:t>（1）、采用固定</w:t>
      </w:r>
      <w:r>
        <w:rPr>
          <w:rFonts w:hint="eastAsia" w:cs="宋体"/>
          <w:color w:val="auto"/>
          <w:sz w:val="24"/>
          <w:szCs w:val="24"/>
          <w:highlight w:val="none"/>
          <w:lang w:eastAsia="zh-CN"/>
        </w:rPr>
        <w:t>单价</w:t>
      </w:r>
      <w:r>
        <w:rPr>
          <w:rFonts w:cs="宋体"/>
          <w:color w:val="auto"/>
          <w:sz w:val="24"/>
          <w:szCs w:val="24"/>
          <w:highlight w:val="none"/>
        </w:rPr>
        <w:t>合同，合同价款中包括的风险范围：除设计变更和政策性调整以外的其它风险。</w:t>
      </w:r>
    </w:p>
    <w:p>
      <w:pPr>
        <w:spacing w:line="320" w:lineRule="exact"/>
        <w:ind w:firstLine="480"/>
        <w:rPr>
          <w:rFonts w:ascii="宋体" w:hAnsi="宋体" w:cs="宋体"/>
          <w:color w:val="auto"/>
          <w:kern w:val="1"/>
          <w:sz w:val="24"/>
          <w:highlight w:val="none"/>
        </w:rPr>
      </w:pPr>
      <w:r>
        <w:rPr>
          <w:rFonts w:ascii="宋体" w:hAnsi="宋体" w:cs="宋体"/>
          <w:color w:val="auto"/>
          <w:kern w:val="1"/>
          <w:sz w:val="24"/>
          <w:highlight w:val="none"/>
        </w:rPr>
        <w:t>（2）、风险范围以外合同价款调整方法：</w:t>
      </w:r>
    </w:p>
    <w:p>
      <w:pPr>
        <w:spacing w:line="320" w:lineRule="exact"/>
        <w:ind w:firstLine="600"/>
        <w:rPr>
          <w:rFonts w:ascii="宋体" w:hAnsi="宋体" w:cs="宋体"/>
          <w:color w:val="auto"/>
          <w:kern w:val="1"/>
          <w:sz w:val="24"/>
          <w:highlight w:val="none"/>
        </w:rPr>
      </w:pPr>
      <w:r>
        <w:rPr>
          <w:rFonts w:ascii="宋体" w:hAnsi="宋体" w:cs="宋体"/>
          <w:color w:val="auto"/>
          <w:kern w:val="1"/>
          <w:sz w:val="24"/>
          <w:highlight w:val="none"/>
        </w:rPr>
        <w:t>①、因设计变更引起工程项目、工程量变化的，在已标价工程量清单中有适用于变更工作的子目的，采用该子目的单价进行结算；已标价工程量清单中无适用于变更工作的子目的，有定额的套定额得出造价后下浮10%结算，其中材料价格有信息价的按信息价，无信息价的按市场价；新增项目无定额可套的，由发包人、承包人根据市场价格协商决定并经县审计部门（工程预决算审核所）审定。</w:t>
      </w:r>
    </w:p>
    <w:p>
      <w:pPr>
        <w:spacing w:line="320" w:lineRule="exact"/>
        <w:ind w:firstLine="480"/>
        <w:rPr>
          <w:rFonts w:ascii="宋体" w:hAnsi="宋体" w:cs="宋体"/>
          <w:color w:val="auto"/>
          <w:kern w:val="1"/>
          <w:sz w:val="24"/>
          <w:highlight w:val="none"/>
        </w:rPr>
      </w:pPr>
      <w:r>
        <w:rPr>
          <w:rFonts w:ascii="宋体" w:hAnsi="宋体" w:cs="宋体"/>
          <w:color w:val="auto"/>
          <w:kern w:val="1"/>
          <w:sz w:val="24"/>
          <w:highlight w:val="none"/>
        </w:rPr>
        <w:fldChar w:fldCharType="begin"/>
      </w:r>
      <w:r>
        <w:rPr>
          <w:rFonts w:ascii="宋体" w:hAnsi="宋体" w:cs="宋体"/>
          <w:color w:val="auto"/>
          <w:kern w:val="1"/>
          <w:sz w:val="24"/>
          <w:highlight w:val="none"/>
        </w:rPr>
        <w:instrText xml:space="preserve">= 2 \# "#,##0.xxxxxxxxxxxxxxxxxxxx" </w:instrText>
      </w:r>
      <w:r>
        <w:rPr>
          <w:rFonts w:ascii="宋体" w:hAnsi="宋体" w:cs="宋体"/>
          <w:color w:val="auto"/>
          <w:kern w:val="1"/>
          <w:sz w:val="24"/>
          <w:highlight w:val="none"/>
        </w:rPr>
        <w:fldChar w:fldCharType="separate"/>
      </w:r>
      <w:r>
        <w:rPr>
          <w:rFonts w:ascii="宋体" w:hAnsi="宋体" w:cs="宋体"/>
          <w:color w:val="auto"/>
          <w:kern w:val="1"/>
          <w:sz w:val="24"/>
          <w:highlight w:val="none"/>
        </w:rPr>
        <w:t>2</w:t>
      </w:r>
      <w:r>
        <w:rPr>
          <w:rFonts w:ascii="宋体" w:hAnsi="宋体" w:cs="宋体"/>
          <w:color w:val="auto"/>
          <w:kern w:val="1"/>
          <w:sz w:val="24"/>
          <w:highlight w:val="none"/>
        </w:rPr>
        <w:fldChar w:fldCharType="end"/>
      </w:r>
      <w:r>
        <w:rPr>
          <w:rFonts w:ascii="宋体" w:hAnsi="宋体" w:cs="宋体"/>
          <w:color w:val="auto"/>
          <w:kern w:val="1"/>
          <w:sz w:val="24"/>
          <w:highlight w:val="none"/>
        </w:rPr>
        <w:t>、国家和自治区政策性调整有关费用标准的，按文件规定执行。</w:t>
      </w:r>
    </w:p>
    <w:p>
      <w:pPr>
        <w:spacing w:line="320" w:lineRule="exact"/>
        <w:ind w:firstLine="480"/>
        <w:rPr>
          <w:rFonts w:ascii="宋体" w:hAnsi="宋体" w:cs="宋体"/>
          <w:color w:val="auto"/>
          <w:kern w:val="1"/>
          <w:sz w:val="24"/>
          <w:highlight w:val="none"/>
        </w:rPr>
      </w:pPr>
      <w:r>
        <w:rPr>
          <w:rFonts w:ascii="宋体" w:hAnsi="宋体" w:cs="宋体"/>
          <w:color w:val="auto"/>
          <w:kern w:val="1"/>
          <w:sz w:val="24"/>
          <w:highlight w:val="none"/>
        </w:rPr>
        <w:fldChar w:fldCharType="begin"/>
      </w:r>
      <w:r>
        <w:rPr>
          <w:rFonts w:ascii="宋体" w:hAnsi="宋体" w:cs="宋体"/>
          <w:color w:val="auto"/>
          <w:kern w:val="1"/>
          <w:sz w:val="24"/>
          <w:highlight w:val="none"/>
        </w:rPr>
        <w:instrText xml:space="preserve">= 3 \# "#,##0.xxxxxxxxxxxxxxxxxxxx" </w:instrText>
      </w:r>
      <w:r>
        <w:rPr>
          <w:rFonts w:ascii="宋体" w:hAnsi="宋体" w:cs="宋体"/>
          <w:color w:val="auto"/>
          <w:kern w:val="1"/>
          <w:sz w:val="24"/>
          <w:highlight w:val="none"/>
        </w:rPr>
        <w:fldChar w:fldCharType="separate"/>
      </w:r>
      <w:r>
        <w:rPr>
          <w:rFonts w:ascii="宋体" w:hAnsi="宋体" w:cs="宋体"/>
          <w:color w:val="auto"/>
          <w:kern w:val="1"/>
          <w:sz w:val="24"/>
          <w:highlight w:val="none"/>
        </w:rPr>
        <w:t>3</w:t>
      </w:r>
      <w:r>
        <w:rPr>
          <w:rFonts w:ascii="宋体" w:hAnsi="宋体" w:cs="宋体"/>
          <w:color w:val="auto"/>
          <w:kern w:val="1"/>
          <w:sz w:val="24"/>
          <w:highlight w:val="none"/>
        </w:rPr>
        <w:fldChar w:fldCharType="end"/>
      </w:r>
      <w:r>
        <w:rPr>
          <w:rFonts w:ascii="宋体" w:hAnsi="宋体" w:cs="宋体"/>
          <w:color w:val="auto"/>
          <w:kern w:val="1"/>
          <w:sz w:val="24"/>
          <w:highlight w:val="none"/>
        </w:rPr>
        <w:t>、在实施合同工期内，材料价差不予调整。</w:t>
      </w:r>
    </w:p>
    <w:p>
      <w:pPr>
        <w:pStyle w:val="21"/>
        <w:spacing w:line="320" w:lineRule="exact"/>
        <w:ind w:firstLine="482" w:firstLineChars="200"/>
        <w:rPr>
          <w:rFonts w:hint="default" w:eastAsia="宋体" w:cs="宋体"/>
          <w:b/>
          <w:color w:val="auto"/>
          <w:sz w:val="24"/>
          <w:szCs w:val="24"/>
          <w:highlight w:val="none"/>
          <w:lang w:val="en-US" w:eastAsia="zh-CN"/>
        </w:rPr>
      </w:pPr>
      <w:r>
        <w:rPr>
          <w:rFonts w:cs="宋体"/>
          <w:b/>
          <w:color w:val="auto"/>
          <w:sz w:val="24"/>
          <w:szCs w:val="24"/>
          <w:highlight w:val="none"/>
        </w:rPr>
        <w:t>*</w:t>
      </w:r>
      <w:bookmarkStart w:id="114" w:name="_Toc43044958"/>
      <w:bookmarkEnd w:id="114"/>
      <w:r>
        <w:rPr>
          <w:rFonts w:cs="宋体"/>
          <w:b/>
          <w:color w:val="auto"/>
          <w:sz w:val="24"/>
          <w:szCs w:val="24"/>
          <w:highlight w:val="none"/>
        </w:rPr>
        <w:t>24、工程预付款：</w:t>
      </w:r>
      <w:r>
        <w:rPr>
          <w:rFonts w:hint="eastAsia" w:hAnsi="宋体" w:cs="宋体"/>
          <w:color w:val="auto"/>
          <w:kern w:val="1"/>
          <w:sz w:val="24"/>
          <w:highlight w:val="none"/>
          <w:u w:val="single"/>
          <w:lang w:val="en-US" w:eastAsia="zh-CN"/>
        </w:rPr>
        <w:t xml:space="preserve">    </w:t>
      </w:r>
    </w:p>
    <w:p>
      <w:pPr>
        <w:pStyle w:val="21"/>
        <w:spacing w:line="320" w:lineRule="exact"/>
        <w:rPr>
          <w:rFonts w:cs="宋体"/>
          <w:color w:val="auto"/>
          <w:sz w:val="24"/>
          <w:szCs w:val="24"/>
          <w:highlight w:val="none"/>
        </w:rPr>
      </w:pP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15" w:name="_Toc43044959"/>
      <w:bookmarkEnd w:id="115"/>
      <w:r>
        <w:rPr>
          <w:rFonts w:cs="宋体"/>
          <w:color w:val="auto"/>
          <w:sz w:val="24"/>
          <w:szCs w:val="24"/>
          <w:highlight w:val="none"/>
        </w:rPr>
        <w:t>25、工程量确认</w:t>
      </w:r>
    </w:p>
    <w:p>
      <w:pPr>
        <w:pStyle w:val="21"/>
        <w:spacing w:line="320" w:lineRule="exact"/>
        <w:rPr>
          <w:rFonts w:cs="宋体"/>
          <w:color w:val="auto"/>
          <w:sz w:val="24"/>
          <w:szCs w:val="24"/>
          <w:highlight w:val="none"/>
        </w:rPr>
      </w:pPr>
      <w:r>
        <w:rPr>
          <w:rFonts w:cs="宋体"/>
          <w:color w:val="auto"/>
          <w:sz w:val="24"/>
          <w:szCs w:val="24"/>
          <w:highlight w:val="none"/>
        </w:rPr>
        <w:t xml:space="preserve">    25.1 承包人向工程师提交已完工程量报告的时间：</w:t>
      </w:r>
      <w:r>
        <w:rPr>
          <w:rFonts w:cs="宋体"/>
          <w:color w:val="auto"/>
          <w:sz w:val="24"/>
          <w:szCs w:val="24"/>
          <w:highlight w:val="none"/>
          <w:u w:val="single"/>
        </w:rPr>
        <w:t>每月   日前。</w:t>
      </w:r>
    </w:p>
    <w:p>
      <w:pPr>
        <w:pStyle w:val="21"/>
        <w:spacing w:line="320" w:lineRule="exact"/>
        <w:rPr>
          <w:rFonts w:cs="宋体"/>
          <w:color w:val="auto"/>
          <w:sz w:val="24"/>
          <w:szCs w:val="24"/>
          <w:highlight w:val="none"/>
        </w:rPr>
      </w:pPr>
    </w:p>
    <w:p>
      <w:pPr>
        <w:pStyle w:val="21"/>
        <w:spacing w:line="320" w:lineRule="exact"/>
        <w:ind w:left="31680" w:hanging="31680"/>
        <w:rPr>
          <w:rFonts w:cs="宋体"/>
          <w:b/>
          <w:color w:val="auto"/>
          <w:sz w:val="24"/>
          <w:szCs w:val="24"/>
          <w:highlight w:val="none"/>
        </w:rPr>
      </w:pPr>
      <w:r>
        <w:rPr>
          <w:rFonts w:cs="宋体"/>
          <w:b/>
          <w:color w:val="auto"/>
          <w:sz w:val="24"/>
          <w:szCs w:val="24"/>
          <w:highlight w:val="none"/>
        </w:rPr>
        <w:t xml:space="preserve">    *</w:t>
      </w:r>
      <w:bookmarkStart w:id="116" w:name="_Toc43044960"/>
      <w:bookmarkEnd w:id="116"/>
      <w:r>
        <w:rPr>
          <w:rFonts w:cs="宋体"/>
          <w:b/>
          <w:color w:val="auto"/>
          <w:sz w:val="24"/>
          <w:szCs w:val="24"/>
          <w:highlight w:val="none"/>
        </w:rPr>
        <w:t>26、工程款支付办法：</w:t>
      </w:r>
    </w:p>
    <w:p>
      <w:pPr>
        <w:tabs>
          <w:tab w:val="left" w:pos="3960"/>
        </w:tabs>
        <w:spacing w:line="400" w:lineRule="exact"/>
        <w:ind w:firstLine="480" w:firstLineChars="200"/>
        <w:rPr>
          <w:rFonts w:hint="eastAsia" w:ascii="宋体" w:hAnsi="宋体" w:eastAsia="宋体" w:cs="宋体"/>
          <w:color w:val="auto"/>
          <w:kern w:val="1"/>
          <w:sz w:val="24"/>
          <w:highlight w:val="none"/>
          <w:lang w:eastAsia="zh-CN"/>
        </w:rPr>
      </w:pPr>
      <w:r>
        <w:rPr>
          <w:rFonts w:hint="eastAsia" w:ascii="宋体" w:hAnsi="宋体" w:cs="宋体"/>
          <w:color w:val="auto"/>
          <w:kern w:val="1"/>
          <w:sz w:val="24"/>
          <w:highlight w:val="none"/>
        </w:rPr>
        <w:t>26</w:t>
      </w:r>
      <w:r>
        <w:rPr>
          <w:rFonts w:ascii="宋体" w:hAnsi="宋体" w:cs="宋体"/>
          <w:color w:val="auto"/>
          <w:kern w:val="1"/>
          <w:sz w:val="24"/>
          <w:highlight w:val="none"/>
        </w:rPr>
        <w:t>.1</w:t>
      </w:r>
      <w:r>
        <w:rPr>
          <w:rFonts w:hint="eastAsia" w:ascii="宋体" w:hAnsi="宋体" w:cs="宋体"/>
          <w:color w:val="auto"/>
          <w:kern w:val="1"/>
          <w:sz w:val="24"/>
          <w:highlight w:val="none"/>
        </w:rPr>
        <w:t>本项目预付款</w:t>
      </w:r>
      <w:r>
        <w:rPr>
          <w:rFonts w:hint="eastAsia" w:ascii="宋体" w:hAnsi="宋体" w:cs="宋体"/>
          <w:color w:val="auto"/>
          <w:kern w:val="1"/>
          <w:sz w:val="24"/>
          <w:highlight w:val="none"/>
          <w:lang w:eastAsia="zh-CN"/>
        </w:rPr>
        <w:t>：</w:t>
      </w:r>
      <w:r>
        <w:rPr>
          <w:rFonts w:hint="eastAsia" w:ascii="宋体" w:hAnsi="宋体" w:cs="宋体"/>
          <w:color w:val="auto"/>
          <w:kern w:val="1"/>
          <w:sz w:val="24"/>
          <w:highlight w:val="none"/>
          <w:u w:val="single"/>
          <w:lang w:eastAsia="zh-CN"/>
        </w:rPr>
        <w:t>合同金额的</w:t>
      </w:r>
      <w:r>
        <w:rPr>
          <w:rFonts w:hint="eastAsia" w:ascii="宋体" w:hAnsi="宋体" w:cs="宋体"/>
          <w:color w:val="auto"/>
          <w:kern w:val="1"/>
          <w:sz w:val="24"/>
          <w:highlight w:val="none"/>
          <w:u w:val="single"/>
          <w:lang w:val="en-US" w:eastAsia="zh-CN"/>
        </w:rPr>
        <w:t>3</w:t>
      </w:r>
      <w:r>
        <w:rPr>
          <w:rFonts w:hint="eastAsia" w:ascii="宋体" w:hAnsi="宋体" w:cs="宋体"/>
          <w:color w:val="auto"/>
          <w:kern w:val="1"/>
          <w:sz w:val="24"/>
          <w:highlight w:val="none"/>
          <w:u w:val="single"/>
          <w:lang w:eastAsia="zh-CN"/>
        </w:rPr>
        <w:t xml:space="preserve">0% </w:t>
      </w:r>
    </w:p>
    <w:p>
      <w:pPr>
        <w:tabs>
          <w:tab w:val="left" w:pos="3960"/>
        </w:tabs>
        <w:spacing w:line="420" w:lineRule="exact"/>
        <w:ind w:firstLine="480" w:firstLineChars="200"/>
        <w:rPr>
          <w:rFonts w:hint="eastAsia" w:ascii="宋体" w:hAnsi="宋体" w:cs="宋体"/>
          <w:color w:val="auto"/>
          <w:kern w:val="1"/>
          <w:sz w:val="24"/>
          <w:highlight w:val="none"/>
        </w:rPr>
      </w:pPr>
      <w:r>
        <w:rPr>
          <w:rFonts w:hint="eastAsia" w:ascii="宋体" w:hAnsi="宋体" w:cs="宋体"/>
          <w:color w:val="auto"/>
          <w:kern w:val="1"/>
          <w:sz w:val="24"/>
          <w:highlight w:val="none"/>
        </w:rPr>
        <w:t>工程款付款方式：</w:t>
      </w:r>
    </w:p>
    <w:p>
      <w:pPr>
        <w:tabs>
          <w:tab w:val="left" w:pos="3960"/>
        </w:tabs>
        <w:spacing w:line="420" w:lineRule="exact"/>
        <w:ind w:firstLine="480" w:firstLineChars="200"/>
        <w:rPr>
          <w:rFonts w:hint="eastAsia" w:ascii="宋体" w:hAnsi="宋体" w:cs="宋体"/>
          <w:color w:val="auto"/>
          <w:kern w:val="1"/>
          <w:sz w:val="24"/>
          <w:szCs w:val="24"/>
          <w:highlight w:val="none"/>
          <w:lang w:val="en-US" w:eastAsia="zh-CN" w:bidi="ar-SA"/>
        </w:rPr>
      </w:pPr>
      <w:r>
        <w:rPr>
          <w:rFonts w:hint="eastAsia" w:ascii="宋体" w:hAnsi="宋体" w:cs="宋体"/>
          <w:color w:val="auto"/>
          <w:kern w:val="1"/>
          <w:sz w:val="24"/>
          <w:szCs w:val="24"/>
          <w:highlight w:val="none"/>
          <w:lang w:val="en-US" w:eastAsia="zh-CN" w:bidi="ar-SA"/>
        </w:rPr>
        <w:t>26</w:t>
      </w:r>
      <w:r>
        <w:rPr>
          <w:rFonts w:ascii="宋体" w:hAnsi="宋体" w:cs="宋体"/>
          <w:color w:val="auto"/>
          <w:kern w:val="1"/>
          <w:sz w:val="24"/>
          <w:szCs w:val="24"/>
          <w:highlight w:val="none"/>
          <w:lang w:val="en-US" w:eastAsia="zh-CN" w:bidi="ar-SA"/>
        </w:rPr>
        <w:t>.</w:t>
      </w:r>
      <w:r>
        <w:rPr>
          <w:rFonts w:hint="eastAsia" w:ascii="宋体" w:hAnsi="宋体" w:cs="宋体"/>
          <w:color w:val="auto"/>
          <w:kern w:val="1"/>
          <w:sz w:val="24"/>
          <w:szCs w:val="24"/>
          <w:highlight w:val="none"/>
          <w:lang w:val="en-US" w:eastAsia="zh-CN" w:bidi="ar-SA"/>
        </w:rPr>
        <w:t>2工程款原则上按月支付，合同内进度款支付额为已完成合同内工程量的90%，支付合同价款的80%；待完成合同内工程量的100%，支付至合同价款的90%；工程完工验收达到质量要求，结算经有关部门审定后，发包人在收到承包人付款申请之日起1个月内，工程款支付至结算总价的97%；发包人按工程价款结算总额的3%预留工程质量保修金，待工程缺陷责任期满后无息返还。</w:t>
      </w:r>
    </w:p>
    <w:p>
      <w:pPr>
        <w:tabs>
          <w:tab w:val="left" w:pos="3960"/>
        </w:tabs>
        <w:spacing w:line="420" w:lineRule="exact"/>
        <w:ind w:firstLine="480" w:firstLineChars="200"/>
        <w:rPr>
          <w:rFonts w:hint="eastAsia" w:ascii="宋体" w:hAnsi="宋体" w:cs="宋体"/>
          <w:color w:val="auto"/>
          <w:kern w:val="1"/>
          <w:sz w:val="24"/>
          <w:highlight w:val="none"/>
        </w:rPr>
      </w:pPr>
      <w:r>
        <w:rPr>
          <w:rFonts w:hint="eastAsia" w:ascii="宋体" w:hAnsi="宋体" w:cs="宋体"/>
          <w:color w:val="auto"/>
          <w:kern w:val="1"/>
          <w:sz w:val="24"/>
          <w:highlight w:val="none"/>
        </w:rPr>
        <w:t>26</w:t>
      </w:r>
      <w:r>
        <w:rPr>
          <w:rFonts w:ascii="宋体" w:hAnsi="宋体" w:cs="宋体"/>
          <w:color w:val="auto"/>
          <w:kern w:val="1"/>
          <w:sz w:val="24"/>
          <w:highlight w:val="none"/>
        </w:rPr>
        <w:t>.</w:t>
      </w:r>
      <w:r>
        <w:rPr>
          <w:rFonts w:hint="eastAsia" w:ascii="宋体" w:hAnsi="宋体" w:cs="宋体"/>
          <w:color w:val="auto"/>
          <w:kern w:val="1"/>
          <w:sz w:val="24"/>
          <w:highlight w:val="none"/>
          <w:lang w:val="en-US" w:eastAsia="zh-CN"/>
        </w:rPr>
        <w:t>3</w:t>
      </w:r>
      <w:r>
        <w:rPr>
          <w:rFonts w:hint="eastAsia" w:ascii="宋体" w:hAnsi="宋体" w:cs="宋体"/>
          <w:color w:val="auto"/>
          <w:kern w:val="1"/>
          <w:sz w:val="24"/>
          <w:highlight w:val="none"/>
        </w:rPr>
        <w:t>工程款支付方式：银行转帐。</w:t>
      </w:r>
    </w:p>
    <w:p>
      <w:pPr>
        <w:spacing w:line="320" w:lineRule="exact"/>
        <w:ind w:firstLine="480" w:firstLineChars="200"/>
        <w:rPr>
          <w:rFonts w:ascii="宋体" w:hAnsi="宋体" w:cs="宋体"/>
          <w:color w:val="auto"/>
          <w:kern w:val="1"/>
          <w:sz w:val="24"/>
          <w:highlight w:val="none"/>
        </w:rPr>
      </w:pPr>
      <w:r>
        <w:rPr>
          <w:rFonts w:ascii="宋体" w:hAnsi="宋体" w:cs="宋体"/>
          <w:color w:val="auto"/>
          <w:kern w:val="1"/>
          <w:sz w:val="24"/>
          <w:highlight w:val="none"/>
        </w:rPr>
        <w:t>六、材料设备供应</w:t>
      </w:r>
    </w:p>
    <w:p>
      <w:pPr>
        <w:pStyle w:val="21"/>
        <w:spacing w:line="320" w:lineRule="exact"/>
        <w:rPr>
          <w:rFonts w:cs="宋体"/>
          <w:b/>
          <w:color w:val="auto"/>
          <w:sz w:val="24"/>
          <w:szCs w:val="24"/>
          <w:highlight w:val="none"/>
        </w:rPr>
      </w:pPr>
      <w:r>
        <w:rPr>
          <w:rFonts w:cs="宋体"/>
          <w:color w:val="auto"/>
          <w:sz w:val="24"/>
          <w:szCs w:val="24"/>
          <w:highlight w:val="none"/>
        </w:rPr>
        <w:t xml:space="preserve">    </w:t>
      </w:r>
      <w:bookmarkStart w:id="117" w:name="_Toc43044962"/>
      <w:bookmarkEnd w:id="117"/>
      <w:r>
        <w:rPr>
          <w:rFonts w:cs="宋体"/>
          <w:b/>
          <w:color w:val="auto"/>
          <w:sz w:val="24"/>
          <w:szCs w:val="24"/>
          <w:highlight w:val="none"/>
        </w:rPr>
        <w:t>27、发包人供应材料设备</w:t>
      </w:r>
    </w:p>
    <w:p>
      <w:pPr>
        <w:pStyle w:val="21"/>
        <w:spacing w:line="320" w:lineRule="exact"/>
        <w:rPr>
          <w:rFonts w:cs="宋体"/>
          <w:color w:val="auto"/>
          <w:sz w:val="24"/>
          <w:szCs w:val="24"/>
          <w:highlight w:val="none"/>
        </w:rPr>
      </w:pPr>
      <w:r>
        <w:rPr>
          <w:rFonts w:cs="宋体"/>
          <w:color w:val="auto"/>
          <w:sz w:val="24"/>
          <w:szCs w:val="24"/>
          <w:highlight w:val="none"/>
        </w:rPr>
        <w:t xml:space="preserve">    27.4 发包人供应的材料设备与一览表不符时，双方约定发包人承担责任如下：</w:t>
      </w:r>
    </w:p>
    <w:p>
      <w:pPr>
        <w:pStyle w:val="21"/>
        <w:spacing w:line="320" w:lineRule="exact"/>
        <w:rPr>
          <w:rFonts w:cs="宋体"/>
          <w:color w:val="auto"/>
          <w:sz w:val="24"/>
          <w:szCs w:val="24"/>
          <w:highlight w:val="none"/>
        </w:rPr>
      </w:pPr>
      <w:r>
        <w:rPr>
          <w:rFonts w:cs="宋体"/>
          <w:color w:val="auto"/>
          <w:sz w:val="24"/>
          <w:szCs w:val="24"/>
          <w:highlight w:val="none"/>
        </w:rPr>
        <w:t xml:space="preserve">    （1）材料设备单价与一览表不符：</w:t>
      </w:r>
    </w:p>
    <w:p>
      <w:pPr>
        <w:pStyle w:val="21"/>
        <w:spacing w:line="320" w:lineRule="exact"/>
        <w:rPr>
          <w:rFonts w:cs="宋体"/>
          <w:color w:val="auto"/>
          <w:sz w:val="24"/>
          <w:szCs w:val="24"/>
          <w:highlight w:val="none"/>
        </w:rPr>
      </w:pPr>
      <w:r>
        <w:rPr>
          <w:rFonts w:cs="宋体"/>
          <w:color w:val="auto"/>
          <w:sz w:val="24"/>
          <w:szCs w:val="24"/>
          <w:highlight w:val="none"/>
        </w:rPr>
        <w:t xml:space="preserve">    （2）材料设备的品种、规格、型号、质量等级与一览表不符：</w:t>
      </w:r>
    </w:p>
    <w:p>
      <w:pPr>
        <w:pStyle w:val="21"/>
        <w:spacing w:line="320" w:lineRule="exact"/>
        <w:rPr>
          <w:rFonts w:cs="宋体"/>
          <w:color w:val="auto"/>
          <w:sz w:val="24"/>
          <w:szCs w:val="24"/>
          <w:highlight w:val="none"/>
        </w:rPr>
      </w:pPr>
      <w:r>
        <w:rPr>
          <w:rFonts w:cs="宋体"/>
          <w:color w:val="auto"/>
          <w:sz w:val="24"/>
          <w:szCs w:val="24"/>
          <w:highlight w:val="none"/>
        </w:rPr>
        <w:t xml:space="preserve">    （3）承包人可代为调剂串换的材料：</w:t>
      </w:r>
    </w:p>
    <w:p>
      <w:pPr>
        <w:pStyle w:val="21"/>
        <w:spacing w:line="320" w:lineRule="exact"/>
        <w:rPr>
          <w:rFonts w:cs="宋体"/>
          <w:color w:val="auto"/>
          <w:sz w:val="24"/>
          <w:szCs w:val="24"/>
          <w:highlight w:val="none"/>
        </w:rPr>
      </w:pPr>
      <w:r>
        <w:rPr>
          <w:rFonts w:cs="宋体"/>
          <w:color w:val="auto"/>
          <w:sz w:val="24"/>
          <w:szCs w:val="24"/>
          <w:highlight w:val="none"/>
        </w:rPr>
        <w:t xml:space="preserve">    （4）到货地点与一览表不符：</w:t>
      </w:r>
    </w:p>
    <w:p>
      <w:pPr>
        <w:pStyle w:val="21"/>
        <w:spacing w:line="320" w:lineRule="exact"/>
        <w:rPr>
          <w:rFonts w:cs="宋体"/>
          <w:color w:val="auto"/>
          <w:sz w:val="24"/>
          <w:szCs w:val="24"/>
          <w:highlight w:val="none"/>
        </w:rPr>
      </w:pPr>
      <w:r>
        <w:rPr>
          <w:rFonts w:cs="宋体"/>
          <w:color w:val="auto"/>
          <w:sz w:val="24"/>
          <w:szCs w:val="24"/>
          <w:highlight w:val="none"/>
        </w:rPr>
        <w:t xml:space="preserve">    （5）供应数量与一览表不符：</w:t>
      </w:r>
    </w:p>
    <w:p>
      <w:pPr>
        <w:pStyle w:val="21"/>
        <w:spacing w:line="320" w:lineRule="exact"/>
        <w:rPr>
          <w:rFonts w:cs="宋体"/>
          <w:color w:val="auto"/>
          <w:sz w:val="24"/>
          <w:szCs w:val="24"/>
          <w:highlight w:val="none"/>
        </w:rPr>
      </w:pPr>
      <w:r>
        <w:rPr>
          <w:rFonts w:cs="宋体"/>
          <w:color w:val="auto"/>
          <w:sz w:val="24"/>
          <w:szCs w:val="24"/>
          <w:highlight w:val="none"/>
        </w:rPr>
        <w:t xml:space="preserve">    （6）到货时间与一览表不符：</w:t>
      </w:r>
    </w:p>
    <w:p>
      <w:pPr>
        <w:pStyle w:val="21"/>
        <w:spacing w:line="320" w:lineRule="exact"/>
        <w:rPr>
          <w:rFonts w:cs="宋体"/>
          <w:color w:val="auto"/>
          <w:sz w:val="24"/>
          <w:szCs w:val="24"/>
          <w:highlight w:val="none"/>
        </w:rPr>
      </w:pPr>
      <w:r>
        <w:rPr>
          <w:rFonts w:cs="宋体"/>
          <w:color w:val="auto"/>
          <w:sz w:val="24"/>
          <w:szCs w:val="24"/>
          <w:highlight w:val="none"/>
        </w:rPr>
        <w:t xml:space="preserve">    27.6 发包人供应材料设备的结算方法：</w:t>
      </w:r>
    </w:p>
    <w:p>
      <w:pPr>
        <w:pStyle w:val="21"/>
        <w:spacing w:line="320" w:lineRule="exact"/>
        <w:rPr>
          <w:rFonts w:cs="宋体"/>
          <w:color w:val="auto"/>
          <w:sz w:val="24"/>
          <w:szCs w:val="24"/>
          <w:highlight w:val="none"/>
        </w:rPr>
      </w:pPr>
    </w:p>
    <w:p>
      <w:pPr>
        <w:pStyle w:val="21"/>
        <w:spacing w:line="320" w:lineRule="exact"/>
        <w:rPr>
          <w:rFonts w:cs="宋体"/>
          <w:b/>
          <w:color w:val="auto"/>
          <w:sz w:val="24"/>
          <w:szCs w:val="24"/>
          <w:highlight w:val="none"/>
        </w:rPr>
      </w:pPr>
      <w:r>
        <w:rPr>
          <w:rFonts w:cs="宋体"/>
          <w:color w:val="auto"/>
          <w:sz w:val="24"/>
          <w:szCs w:val="24"/>
          <w:highlight w:val="none"/>
        </w:rPr>
        <w:t xml:space="preserve">    </w:t>
      </w:r>
      <w:bookmarkStart w:id="118" w:name="_Toc43044963"/>
      <w:bookmarkEnd w:id="118"/>
      <w:r>
        <w:rPr>
          <w:rFonts w:cs="宋体"/>
          <w:b/>
          <w:color w:val="auto"/>
          <w:sz w:val="24"/>
          <w:szCs w:val="24"/>
          <w:highlight w:val="none"/>
        </w:rPr>
        <w:t>28、承包人采购材料设备</w:t>
      </w:r>
    </w:p>
    <w:p>
      <w:pPr>
        <w:pStyle w:val="21"/>
        <w:spacing w:line="320" w:lineRule="exact"/>
        <w:rPr>
          <w:rFonts w:cs="宋体"/>
          <w:color w:val="auto"/>
          <w:sz w:val="24"/>
          <w:szCs w:val="24"/>
          <w:highlight w:val="none"/>
        </w:rPr>
      </w:pPr>
      <w:r>
        <w:rPr>
          <w:rFonts w:cs="宋体"/>
          <w:color w:val="auto"/>
          <w:sz w:val="24"/>
          <w:szCs w:val="24"/>
          <w:highlight w:val="none"/>
        </w:rPr>
        <w:t xml:space="preserve">    28.1 承包人采购材料设备的约定：</w:t>
      </w:r>
    </w:p>
    <w:p>
      <w:pPr>
        <w:pStyle w:val="21"/>
        <w:spacing w:line="320" w:lineRule="exact"/>
        <w:ind w:firstLine="540"/>
        <w:rPr>
          <w:rFonts w:cs="宋体"/>
          <w:color w:val="auto"/>
          <w:sz w:val="24"/>
          <w:szCs w:val="24"/>
          <w:highlight w:val="none"/>
        </w:rPr>
      </w:pPr>
    </w:p>
    <w:p>
      <w:pPr>
        <w:pStyle w:val="21"/>
        <w:spacing w:line="320" w:lineRule="exact"/>
        <w:rPr>
          <w:rFonts w:cs="宋体"/>
          <w:b/>
          <w:color w:val="auto"/>
          <w:sz w:val="24"/>
          <w:szCs w:val="24"/>
          <w:highlight w:val="none"/>
        </w:rPr>
      </w:pPr>
      <w:r>
        <w:rPr>
          <w:rFonts w:cs="宋体"/>
          <w:b/>
          <w:color w:val="auto"/>
          <w:sz w:val="24"/>
          <w:szCs w:val="24"/>
          <w:highlight w:val="none"/>
        </w:rPr>
        <w:t xml:space="preserve">    *七、工程变更</w:t>
      </w:r>
    </w:p>
    <w:p>
      <w:pPr>
        <w:pStyle w:val="21"/>
        <w:spacing w:line="320" w:lineRule="exact"/>
        <w:rPr>
          <w:rFonts w:cs="宋体"/>
          <w:color w:val="auto"/>
          <w:sz w:val="24"/>
          <w:szCs w:val="24"/>
          <w:highlight w:val="none"/>
        </w:rPr>
      </w:pPr>
      <w:r>
        <w:rPr>
          <w:rFonts w:cs="宋体"/>
          <w:b/>
          <w:color w:val="auto"/>
          <w:sz w:val="24"/>
          <w:szCs w:val="24"/>
          <w:highlight w:val="none"/>
        </w:rPr>
        <w:t xml:space="preserve">   </w:t>
      </w:r>
      <w:r>
        <w:rPr>
          <w:rFonts w:cs="宋体"/>
          <w:color w:val="auto"/>
          <w:sz w:val="24"/>
          <w:szCs w:val="24"/>
          <w:highlight w:val="none"/>
        </w:rPr>
        <w:t xml:space="preserve"> 29.1.1 变更必须经建设单位、监理、设计等有关单位现场签字确认后，方可作为工程结算依据。</w:t>
      </w:r>
    </w:p>
    <w:p>
      <w:pPr>
        <w:pStyle w:val="21"/>
        <w:spacing w:line="320" w:lineRule="exact"/>
        <w:rPr>
          <w:rFonts w:cs="宋体"/>
          <w:color w:val="auto"/>
          <w:sz w:val="24"/>
          <w:szCs w:val="24"/>
          <w:highlight w:val="none"/>
        </w:rPr>
      </w:pPr>
      <w:r>
        <w:rPr>
          <w:rFonts w:cs="宋体"/>
          <w:color w:val="auto"/>
          <w:sz w:val="24"/>
          <w:szCs w:val="24"/>
          <w:highlight w:val="none"/>
        </w:rPr>
        <w:t xml:space="preserve">    八、竣工验收与结算</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19" w:name="_Toc43044966"/>
      <w:bookmarkEnd w:id="119"/>
      <w:r>
        <w:rPr>
          <w:rFonts w:cs="宋体"/>
          <w:color w:val="auto"/>
          <w:sz w:val="24"/>
          <w:szCs w:val="24"/>
          <w:highlight w:val="none"/>
        </w:rPr>
        <w:t>32、竣工验收</w:t>
      </w:r>
    </w:p>
    <w:p>
      <w:pPr>
        <w:pStyle w:val="21"/>
        <w:spacing w:line="320" w:lineRule="exact"/>
        <w:rPr>
          <w:rFonts w:cs="宋体"/>
          <w:color w:val="auto"/>
          <w:sz w:val="24"/>
          <w:szCs w:val="24"/>
          <w:highlight w:val="none"/>
        </w:rPr>
      </w:pPr>
      <w:r>
        <w:rPr>
          <w:rFonts w:cs="宋体"/>
          <w:color w:val="auto"/>
          <w:sz w:val="24"/>
          <w:szCs w:val="24"/>
          <w:highlight w:val="none"/>
        </w:rPr>
        <w:t xml:space="preserve">    32.1 承包人提供竣工图的约定：</w:t>
      </w:r>
    </w:p>
    <w:p>
      <w:pPr>
        <w:spacing w:line="320" w:lineRule="exact"/>
        <w:rPr>
          <w:rFonts w:ascii="宋体" w:hAnsi="宋体" w:cs="宋体"/>
          <w:color w:val="auto"/>
          <w:kern w:val="1"/>
          <w:sz w:val="24"/>
          <w:highlight w:val="none"/>
        </w:rPr>
      </w:pPr>
      <w:r>
        <w:rPr>
          <w:rFonts w:ascii="宋体" w:hAnsi="宋体" w:cs="宋体"/>
          <w:color w:val="auto"/>
          <w:kern w:val="1"/>
          <w:sz w:val="24"/>
          <w:highlight w:val="none"/>
        </w:rPr>
        <w:t xml:space="preserve">    32.6 中间交工工程的范围和竣工时间：</w:t>
      </w:r>
    </w:p>
    <w:p>
      <w:pPr>
        <w:pStyle w:val="21"/>
        <w:spacing w:line="320" w:lineRule="exact"/>
        <w:rPr>
          <w:rFonts w:cs="宋体"/>
          <w:b/>
          <w:color w:val="auto"/>
          <w:sz w:val="24"/>
          <w:szCs w:val="24"/>
          <w:highlight w:val="none"/>
        </w:rPr>
      </w:pPr>
    </w:p>
    <w:p>
      <w:pPr>
        <w:pStyle w:val="21"/>
        <w:spacing w:line="320" w:lineRule="exact"/>
        <w:rPr>
          <w:rFonts w:cs="宋体"/>
          <w:color w:val="auto"/>
          <w:sz w:val="24"/>
          <w:szCs w:val="24"/>
          <w:highlight w:val="none"/>
        </w:rPr>
      </w:pPr>
      <w:r>
        <w:rPr>
          <w:rFonts w:cs="宋体"/>
          <w:color w:val="auto"/>
          <w:sz w:val="24"/>
          <w:szCs w:val="24"/>
          <w:highlight w:val="none"/>
        </w:rPr>
        <w:t xml:space="preserve">    九、违约、索赔和争议</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20" w:name="_Toc43044968"/>
      <w:bookmarkEnd w:id="120"/>
      <w:r>
        <w:rPr>
          <w:rFonts w:cs="宋体"/>
          <w:color w:val="auto"/>
          <w:sz w:val="24"/>
          <w:szCs w:val="24"/>
          <w:highlight w:val="none"/>
        </w:rPr>
        <w:t>35、违约</w:t>
      </w:r>
    </w:p>
    <w:p>
      <w:pPr>
        <w:pStyle w:val="21"/>
        <w:spacing w:line="320" w:lineRule="exact"/>
        <w:rPr>
          <w:rFonts w:cs="宋体"/>
          <w:b/>
          <w:color w:val="auto"/>
          <w:sz w:val="24"/>
          <w:szCs w:val="24"/>
          <w:highlight w:val="none"/>
        </w:rPr>
      </w:pPr>
      <w:r>
        <w:rPr>
          <w:rFonts w:cs="宋体"/>
          <w:b/>
          <w:color w:val="auto"/>
          <w:sz w:val="24"/>
          <w:szCs w:val="24"/>
          <w:highlight w:val="none"/>
        </w:rPr>
        <w:t xml:space="preserve">    *35.1 本合同中关于发包人违约的具体责任如下：</w:t>
      </w:r>
    </w:p>
    <w:p>
      <w:pPr>
        <w:pStyle w:val="21"/>
        <w:spacing w:line="320" w:lineRule="exact"/>
        <w:rPr>
          <w:rFonts w:cs="宋体"/>
          <w:b/>
          <w:color w:val="auto"/>
          <w:sz w:val="24"/>
          <w:szCs w:val="24"/>
          <w:highlight w:val="none"/>
        </w:rPr>
      </w:pPr>
      <w:r>
        <w:rPr>
          <w:rFonts w:cs="宋体"/>
          <w:b/>
          <w:color w:val="auto"/>
          <w:sz w:val="24"/>
          <w:szCs w:val="24"/>
          <w:highlight w:val="none"/>
        </w:rPr>
        <w:t xml:space="preserve">    本合同通用条款第24条约定发包人违约应承担的违约责任：</w:t>
      </w:r>
      <w:r>
        <w:rPr>
          <w:rFonts w:cs="宋体"/>
          <w:b/>
          <w:color w:val="auto"/>
          <w:sz w:val="24"/>
          <w:szCs w:val="24"/>
          <w:highlight w:val="none"/>
          <w:u w:val="single"/>
        </w:rPr>
        <w:t xml:space="preserve"> 无 </w:t>
      </w:r>
    </w:p>
    <w:p>
      <w:pPr>
        <w:pStyle w:val="21"/>
        <w:spacing w:line="320" w:lineRule="exact"/>
        <w:rPr>
          <w:rFonts w:cs="宋体"/>
          <w:b/>
          <w:color w:val="auto"/>
          <w:sz w:val="24"/>
          <w:szCs w:val="24"/>
          <w:highlight w:val="none"/>
          <w:u w:val="single"/>
        </w:rPr>
      </w:pPr>
      <w:r>
        <w:rPr>
          <w:rFonts w:cs="宋体"/>
          <w:b/>
          <w:color w:val="auto"/>
          <w:sz w:val="24"/>
          <w:szCs w:val="24"/>
          <w:highlight w:val="none"/>
        </w:rPr>
        <w:t xml:space="preserve">    本合同通用条款第26.4款约定发包人违约应承担的违约责任：</w:t>
      </w:r>
      <w:r>
        <w:rPr>
          <w:rFonts w:cs="宋体"/>
          <w:b/>
          <w:color w:val="auto"/>
          <w:sz w:val="24"/>
          <w:szCs w:val="24"/>
          <w:highlight w:val="none"/>
          <w:u w:val="single"/>
        </w:rPr>
        <w:t xml:space="preserve">  工期顺延  </w:t>
      </w:r>
    </w:p>
    <w:p>
      <w:pPr>
        <w:pStyle w:val="21"/>
        <w:spacing w:line="320" w:lineRule="exact"/>
        <w:rPr>
          <w:rFonts w:cs="宋体"/>
          <w:color w:val="auto"/>
          <w:sz w:val="24"/>
          <w:szCs w:val="24"/>
          <w:highlight w:val="none"/>
        </w:rPr>
      </w:pPr>
      <w:r>
        <w:rPr>
          <w:rFonts w:cs="宋体"/>
          <w:b/>
          <w:bCs/>
          <w:color w:val="auto"/>
          <w:sz w:val="24"/>
          <w:szCs w:val="24"/>
          <w:highlight w:val="none"/>
        </w:rPr>
        <w:t xml:space="preserve">    本合同通用条款第33.3款约定发包人违约应承担的违约责任：</w:t>
      </w:r>
      <w:r>
        <w:rPr>
          <w:rFonts w:cs="宋体"/>
          <w:b/>
          <w:bCs/>
          <w:color w:val="auto"/>
          <w:sz w:val="24"/>
          <w:szCs w:val="24"/>
          <w:highlight w:val="none"/>
          <w:u w:val="single"/>
        </w:rPr>
        <w:t xml:space="preserve"> 如发生，双方协商解决      </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双方约定的发包人其他违约责任：</w:t>
      </w:r>
      <w:r>
        <w:rPr>
          <w:rFonts w:cs="宋体"/>
          <w:color w:val="auto"/>
          <w:sz w:val="24"/>
          <w:szCs w:val="24"/>
          <w:highlight w:val="none"/>
          <w:u w:val="single"/>
        </w:rPr>
        <w:t xml:space="preserve">                      </w:t>
      </w:r>
    </w:p>
    <w:p>
      <w:pPr>
        <w:pStyle w:val="21"/>
        <w:spacing w:line="320" w:lineRule="exact"/>
        <w:rPr>
          <w:rFonts w:cs="宋体"/>
          <w:color w:val="auto"/>
          <w:sz w:val="24"/>
          <w:szCs w:val="24"/>
          <w:highlight w:val="none"/>
        </w:rPr>
      </w:pPr>
      <w:r>
        <w:rPr>
          <w:rFonts w:cs="宋体"/>
          <w:color w:val="auto"/>
          <w:sz w:val="24"/>
          <w:szCs w:val="24"/>
          <w:highlight w:val="none"/>
        </w:rPr>
        <w:t xml:space="preserve">    35.2 本合同中关于承包人违约的具体责任如下：</w:t>
      </w:r>
    </w:p>
    <w:p>
      <w:pPr>
        <w:pStyle w:val="21"/>
        <w:spacing w:line="320" w:lineRule="exact"/>
        <w:rPr>
          <w:rFonts w:cs="宋体"/>
          <w:color w:val="auto"/>
          <w:sz w:val="24"/>
          <w:szCs w:val="24"/>
          <w:highlight w:val="none"/>
          <w:u w:val="single"/>
        </w:rPr>
      </w:pPr>
      <w:r>
        <w:rPr>
          <w:rFonts w:cs="宋体"/>
          <w:color w:val="auto"/>
          <w:sz w:val="24"/>
          <w:szCs w:val="24"/>
          <w:highlight w:val="none"/>
        </w:rPr>
        <w:t xml:space="preserve">    本合同通用条款第14.2款约定承包人违约应承担的违约责任：</w:t>
      </w:r>
      <w:r>
        <w:rPr>
          <w:rFonts w:cs="宋体"/>
          <w:color w:val="auto"/>
          <w:sz w:val="24"/>
          <w:szCs w:val="24"/>
          <w:highlight w:val="none"/>
          <w:u w:val="single"/>
        </w:rPr>
        <w:t>承包人向发包人支付每延误一天，按合同价款万分之八的违约赔偿费。</w:t>
      </w:r>
      <w:r>
        <w:rPr>
          <w:rFonts w:cs="宋体"/>
          <w:color w:val="auto"/>
          <w:sz w:val="24"/>
          <w:szCs w:val="24"/>
          <w:highlight w:val="none"/>
        </w:rPr>
        <w:t>误期天数按本专用条款第13.3条计算。</w:t>
      </w:r>
    </w:p>
    <w:p>
      <w:pPr>
        <w:spacing w:line="320" w:lineRule="exact"/>
        <w:rPr>
          <w:rFonts w:ascii="宋体" w:hAnsi="宋体" w:cs="宋体"/>
          <w:b/>
          <w:color w:val="auto"/>
          <w:kern w:val="1"/>
          <w:sz w:val="24"/>
          <w:highlight w:val="none"/>
          <w:u w:val="single"/>
        </w:rPr>
      </w:pPr>
      <w:r>
        <w:rPr>
          <w:rFonts w:ascii="宋体" w:hAnsi="宋体" w:cs="宋体"/>
          <w:b/>
          <w:color w:val="auto"/>
          <w:kern w:val="1"/>
          <w:sz w:val="24"/>
          <w:highlight w:val="none"/>
        </w:rPr>
        <w:t xml:space="preserve">    *本合同通用条款第15.1款约定承包人违约应承担的违约责任：承包人承担违约责任为</w:t>
      </w:r>
      <w:r>
        <w:rPr>
          <w:rFonts w:ascii="宋体" w:hAnsi="宋体" w:cs="宋体"/>
          <w:b/>
          <w:color w:val="auto"/>
          <w:kern w:val="1"/>
          <w:sz w:val="24"/>
          <w:highlight w:val="none"/>
          <w:u w:val="single"/>
        </w:rPr>
        <w:t>修复至工程质量要求并承担相关费用。</w:t>
      </w:r>
    </w:p>
    <w:p>
      <w:pPr>
        <w:pStyle w:val="21"/>
        <w:spacing w:line="320" w:lineRule="exact"/>
        <w:rPr>
          <w:rFonts w:cs="宋体"/>
          <w:color w:val="auto"/>
          <w:sz w:val="24"/>
          <w:szCs w:val="24"/>
          <w:highlight w:val="none"/>
        </w:rPr>
      </w:pPr>
      <w:r>
        <w:rPr>
          <w:rFonts w:cs="宋体"/>
          <w:color w:val="auto"/>
          <w:sz w:val="24"/>
          <w:szCs w:val="24"/>
          <w:highlight w:val="none"/>
        </w:rPr>
        <w:t xml:space="preserve">    双方约定的承包人其他违约责任：</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21" w:name="_Toc43044969"/>
      <w:bookmarkEnd w:id="121"/>
      <w:r>
        <w:rPr>
          <w:rFonts w:cs="宋体"/>
          <w:color w:val="auto"/>
          <w:sz w:val="24"/>
          <w:szCs w:val="24"/>
          <w:highlight w:val="none"/>
        </w:rPr>
        <w:t>37、争议</w:t>
      </w:r>
    </w:p>
    <w:p>
      <w:pPr>
        <w:pStyle w:val="21"/>
        <w:spacing w:line="320" w:lineRule="exact"/>
        <w:rPr>
          <w:rFonts w:cs="宋体"/>
          <w:color w:val="auto"/>
          <w:sz w:val="24"/>
          <w:szCs w:val="24"/>
          <w:highlight w:val="none"/>
        </w:rPr>
      </w:pPr>
      <w:r>
        <w:rPr>
          <w:rFonts w:cs="宋体"/>
          <w:color w:val="auto"/>
          <w:sz w:val="24"/>
          <w:szCs w:val="24"/>
          <w:highlight w:val="none"/>
        </w:rPr>
        <w:t xml:space="preserve">    37.1 双方约定，在履行合同过程中产生争议时：</w:t>
      </w:r>
    </w:p>
    <w:p>
      <w:pPr>
        <w:pStyle w:val="21"/>
        <w:spacing w:line="320" w:lineRule="exact"/>
        <w:rPr>
          <w:rFonts w:cs="宋体"/>
          <w:color w:val="auto"/>
          <w:sz w:val="24"/>
          <w:szCs w:val="24"/>
          <w:highlight w:val="none"/>
        </w:rPr>
      </w:pPr>
      <w:r>
        <w:rPr>
          <w:rFonts w:cs="宋体"/>
          <w:color w:val="auto"/>
          <w:sz w:val="24"/>
          <w:szCs w:val="24"/>
          <w:highlight w:val="none"/>
        </w:rPr>
        <w:t xml:space="preserve">    （1）请</w:t>
      </w:r>
      <w:r>
        <w:rPr>
          <w:rFonts w:cs="宋体"/>
          <w:color w:val="auto"/>
          <w:sz w:val="24"/>
          <w:szCs w:val="24"/>
          <w:highlight w:val="none"/>
          <w:u w:val="single"/>
        </w:rPr>
        <w:t xml:space="preserve">   仲裁委员会   </w:t>
      </w:r>
      <w:r>
        <w:rPr>
          <w:rFonts w:cs="宋体"/>
          <w:color w:val="auto"/>
          <w:sz w:val="24"/>
          <w:szCs w:val="24"/>
          <w:highlight w:val="none"/>
        </w:rPr>
        <w:t>调解；</w:t>
      </w:r>
    </w:p>
    <w:p>
      <w:pPr>
        <w:pStyle w:val="21"/>
        <w:spacing w:line="320" w:lineRule="exact"/>
        <w:rPr>
          <w:rFonts w:cs="宋体"/>
          <w:color w:val="auto"/>
          <w:sz w:val="24"/>
          <w:szCs w:val="24"/>
          <w:highlight w:val="none"/>
        </w:rPr>
      </w:pPr>
      <w:r>
        <w:rPr>
          <w:rFonts w:cs="宋体"/>
          <w:color w:val="auto"/>
          <w:sz w:val="24"/>
          <w:szCs w:val="24"/>
          <w:highlight w:val="none"/>
        </w:rPr>
        <w:t xml:space="preserve">    （2）调解不成时，可向</w:t>
      </w:r>
      <w:r>
        <w:rPr>
          <w:rFonts w:cs="宋体"/>
          <w:color w:val="auto"/>
          <w:sz w:val="24"/>
          <w:szCs w:val="24"/>
          <w:highlight w:val="none"/>
          <w:u w:val="single"/>
        </w:rPr>
        <w:t>有管辖权的</w:t>
      </w:r>
      <w:r>
        <w:rPr>
          <w:rFonts w:cs="宋体"/>
          <w:color w:val="auto"/>
          <w:sz w:val="24"/>
          <w:szCs w:val="24"/>
          <w:highlight w:val="none"/>
        </w:rPr>
        <w:t>人民法院提起诉讼。</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22" w:name="_Toc43044970"/>
      <w:bookmarkEnd w:id="122"/>
      <w:r>
        <w:rPr>
          <w:rFonts w:cs="宋体"/>
          <w:color w:val="auto"/>
          <w:sz w:val="24"/>
          <w:szCs w:val="24"/>
          <w:highlight w:val="none"/>
        </w:rPr>
        <w:t>十、其他</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23" w:name="_Toc43044971"/>
      <w:bookmarkEnd w:id="123"/>
      <w:r>
        <w:rPr>
          <w:rFonts w:cs="宋体"/>
          <w:color w:val="auto"/>
          <w:sz w:val="24"/>
          <w:szCs w:val="24"/>
          <w:highlight w:val="none"/>
        </w:rPr>
        <w:t>38、工程分包</w:t>
      </w:r>
    </w:p>
    <w:p>
      <w:pPr>
        <w:pStyle w:val="21"/>
        <w:spacing w:line="320" w:lineRule="exact"/>
        <w:rPr>
          <w:rFonts w:cs="宋体"/>
          <w:color w:val="auto"/>
          <w:sz w:val="24"/>
          <w:szCs w:val="24"/>
          <w:highlight w:val="none"/>
        </w:rPr>
      </w:pPr>
      <w:r>
        <w:rPr>
          <w:rFonts w:cs="宋体"/>
          <w:color w:val="auto"/>
          <w:sz w:val="24"/>
          <w:szCs w:val="24"/>
          <w:highlight w:val="none"/>
        </w:rPr>
        <w:t xml:space="preserve">    38.1 本工程发包人同意承包人分包的工程：</w:t>
      </w:r>
    </w:p>
    <w:p>
      <w:pPr>
        <w:pStyle w:val="21"/>
        <w:spacing w:line="320" w:lineRule="exact"/>
        <w:rPr>
          <w:rFonts w:cs="宋体"/>
          <w:color w:val="auto"/>
          <w:sz w:val="24"/>
          <w:szCs w:val="24"/>
          <w:highlight w:val="none"/>
        </w:rPr>
      </w:pPr>
      <w:r>
        <w:rPr>
          <w:rFonts w:cs="宋体"/>
          <w:color w:val="auto"/>
          <w:sz w:val="24"/>
          <w:szCs w:val="24"/>
          <w:highlight w:val="none"/>
        </w:rPr>
        <w:t xml:space="preserve">    分包施工单位为：</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24" w:name="_Toc43044972"/>
      <w:bookmarkEnd w:id="124"/>
      <w:r>
        <w:rPr>
          <w:rFonts w:cs="宋体"/>
          <w:color w:val="auto"/>
          <w:sz w:val="24"/>
          <w:szCs w:val="24"/>
          <w:highlight w:val="none"/>
        </w:rPr>
        <w:t>39、不可抗力</w:t>
      </w:r>
    </w:p>
    <w:p>
      <w:pPr>
        <w:pStyle w:val="21"/>
        <w:spacing w:line="320" w:lineRule="exact"/>
        <w:rPr>
          <w:rFonts w:cs="宋体"/>
          <w:color w:val="auto"/>
          <w:sz w:val="24"/>
          <w:szCs w:val="24"/>
          <w:highlight w:val="none"/>
        </w:rPr>
      </w:pPr>
      <w:r>
        <w:rPr>
          <w:rFonts w:cs="宋体"/>
          <w:color w:val="auto"/>
          <w:sz w:val="24"/>
          <w:szCs w:val="24"/>
          <w:highlight w:val="none"/>
        </w:rPr>
        <w:t xml:space="preserve">    39.1 双方关于不可抗力的约定：</w:t>
      </w:r>
    </w:p>
    <w:p>
      <w:pPr>
        <w:pStyle w:val="21"/>
        <w:spacing w:line="320" w:lineRule="exact"/>
        <w:rPr>
          <w:rFonts w:cs="宋体"/>
          <w:color w:val="auto"/>
          <w:sz w:val="24"/>
          <w:szCs w:val="24"/>
          <w:highlight w:val="none"/>
        </w:rPr>
      </w:pPr>
      <w:r>
        <w:rPr>
          <w:rFonts w:cs="宋体"/>
          <w:color w:val="auto"/>
          <w:sz w:val="24"/>
          <w:szCs w:val="24"/>
          <w:highlight w:val="none"/>
        </w:rPr>
        <w:t xml:space="preserve">    1、（   ）级以上的地震；</w:t>
      </w:r>
    </w:p>
    <w:p>
      <w:pPr>
        <w:pStyle w:val="21"/>
        <w:spacing w:line="320" w:lineRule="exact"/>
        <w:rPr>
          <w:rFonts w:cs="宋体"/>
          <w:color w:val="auto"/>
          <w:sz w:val="24"/>
          <w:szCs w:val="24"/>
          <w:highlight w:val="none"/>
        </w:rPr>
      </w:pPr>
      <w:r>
        <w:rPr>
          <w:rFonts w:cs="宋体"/>
          <w:color w:val="auto"/>
          <w:sz w:val="24"/>
          <w:szCs w:val="24"/>
          <w:highlight w:val="none"/>
        </w:rPr>
        <w:t xml:space="preserve">    2、（   ）级以上的持续（   ）天的大风；</w:t>
      </w:r>
    </w:p>
    <w:p>
      <w:pPr>
        <w:pStyle w:val="21"/>
        <w:spacing w:line="320" w:lineRule="exact"/>
        <w:rPr>
          <w:rFonts w:cs="宋体"/>
          <w:color w:val="auto"/>
          <w:sz w:val="24"/>
          <w:szCs w:val="24"/>
          <w:highlight w:val="none"/>
        </w:rPr>
      </w:pPr>
      <w:r>
        <w:rPr>
          <w:rFonts w:cs="宋体"/>
          <w:color w:val="auto"/>
          <w:sz w:val="24"/>
          <w:szCs w:val="24"/>
          <w:highlight w:val="none"/>
        </w:rPr>
        <w:t xml:space="preserve">    3、（   ）级以上的持续（   ）天的大雨；</w:t>
      </w:r>
    </w:p>
    <w:p>
      <w:pPr>
        <w:pStyle w:val="21"/>
        <w:spacing w:line="320" w:lineRule="exact"/>
        <w:rPr>
          <w:rFonts w:cs="宋体"/>
          <w:color w:val="auto"/>
          <w:sz w:val="24"/>
          <w:szCs w:val="24"/>
          <w:highlight w:val="none"/>
        </w:rPr>
      </w:pPr>
      <w:r>
        <w:rPr>
          <w:rFonts w:cs="宋体"/>
          <w:color w:val="auto"/>
          <w:sz w:val="24"/>
          <w:szCs w:val="24"/>
          <w:highlight w:val="none"/>
        </w:rPr>
        <w:t xml:space="preserve">    4、（   ）年以上未发生过，持续（   ）天的高温天气；</w:t>
      </w:r>
    </w:p>
    <w:p>
      <w:pPr>
        <w:pStyle w:val="21"/>
        <w:spacing w:line="320" w:lineRule="exact"/>
        <w:rPr>
          <w:rFonts w:cs="宋体"/>
          <w:color w:val="auto"/>
          <w:sz w:val="24"/>
          <w:szCs w:val="24"/>
          <w:highlight w:val="none"/>
        </w:rPr>
      </w:pPr>
      <w:r>
        <w:rPr>
          <w:rFonts w:cs="宋体"/>
          <w:color w:val="auto"/>
          <w:sz w:val="24"/>
          <w:szCs w:val="24"/>
          <w:highlight w:val="none"/>
        </w:rPr>
        <w:t xml:space="preserve">    5、（   ）年以上未发生过，持续（   ）天的严寒天气；</w:t>
      </w:r>
    </w:p>
    <w:p>
      <w:pPr>
        <w:pStyle w:val="21"/>
        <w:spacing w:line="320" w:lineRule="exact"/>
        <w:rPr>
          <w:rFonts w:cs="宋体"/>
          <w:color w:val="auto"/>
          <w:sz w:val="24"/>
          <w:szCs w:val="24"/>
          <w:highlight w:val="none"/>
        </w:rPr>
      </w:pPr>
      <w:r>
        <w:rPr>
          <w:rFonts w:cs="宋体"/>
          <w:color w:val="auto"/>
          <w:sz w:val="24"/>
          <w:szCs w:val="24"/>
          <w:highlight w:val="none"/>
        </w:rPr>
        <w:t xml:space="preserve">    6、（   ）年以上未发生过的洪水。</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25" w:name="_Toc43044973"/>
      <w:bookmarkEnd w:id="125"/>
      <w:r>
        <w:rPr>
          <w:rFonts w:cs="宋体"/>
          <w:color w:val="auto"/>
          <w:sz w:val="24"/>
          <w:szCs w:val="24"/>
          <w:highlight w:val="none"/>
        </w:rPr>
        <w:t>40、保险</w:t>
      </w:r>
    </w:p>
    <w:p>
      <w:pPr>
        <w:pStyle w:val="21"/>
        <w:spacing w:line="320" w:lineRule="exact"/>
        <w:rPr>
          <w:rFonts w:cs="宋体"/>
          <w:color w:val="auto"/>
          <w:sz w:val="24"/>
          <w:szCs w:val="24"/>
          <w:highlight w:val="none"/>
        </w:rPr>
      </w:pPr>
      <w:r>
        <w:rPr>
          <w:rFonts w:cs="宋体"/>
          <w:color w:val="auto"/>
          <w:sz w:val="24"/>
          <w:szCs w:val="24"/>
          <w:highlight w:val="none"/>
        </w:rPr>
        <w:t xml:space="preserve">    40.6 本工程双方约定投保内容如下：</w:t>
      </w:r>
    </w:p>
    <w:p>
      <w:pPr>
        <w:pStyle w:val="21"/>
        <w:spacing w:line="320" w:lineRule="exact"/>
        <w:rPr>
          <w:rFonts w:cs="宋体"/>
          <w:color w:val="auto"/>
          <w:sz w:val="24"/>
          <w:szCs w:val="24"/>
          <w:highlight w:val="none"/>
        </w:rPr>
      </w:pPr>
      <w:r>
        <w:rPr>
          <w:rFonts w:cs="宋体"/>
          <w:color w:val="auto"/>
          <w:sz w:val="24"/>
          <w:szCs w:val="24"/>
          <w:highlight w:val="none"/>
        </w:rPr>
        <w:t xml:space="preserve">    （1）发包人投保内容：</w:t>
      </w:r>
    </w:p>
    <w:p>
      <w:pPr>
        <w:pStyle w:val="21"/>
        <w:spacing w:line="320" w:lineRule="exact"/>
        <w:rPr>
          <w:rFonts w:cs="宋体"/>
          <w:color w:val="auto"/>
          <w:sz w:val="24"/>
          <w:szCs w:val="24"/>
          <w:highlight w:val="none"/>
        </w:rPr>
      </w:pPr>
      <w:r>
        <w:rPr>
          <w:rFonts w:cs="宋体"/>
          <w:color w:val="auto"/>
          <w:sz w:val="24"/>
          <w:szCs w:val="24"/>
          <w:highlight w:val="none"/>
        </w:rPr>
        <w:t xml:space="preserve">    发包人委托承包人办理的保险事项：</w:t>
      </w:r>
    </w:p>
    <w:p>
      <w:pPr>
        <w:pStyle w:val="21"/>
        <w:spacing w:line="320" w:lineRule="exact"/>
        <w:rPr>
          <w:rFonts w:cs="宋体"/>
          <w:color w:val="auto"/>
          <w:sz w:val="24"/>
          <w:szCs w:val="24"/>
          <w:highlight w:val="none"/>
        </w:rPr>
      </w:pPr>
      <w:r>
        <w:rPr>
          <w:rFonts w:cs="宋体"/>
          <w:color w:val="auto"/>
          <w:sz w:val="24"/>
          <w:szCs w:val="24"/>
          <w:highlight w:val="none"/>
        </w:rPr>
        <w:t xml:space="preserve">    （2）承包人投保内容：</w:t>
      </w:r>
    </w:p>
    <w:p>
      <w:pPr>
        <w:pStyle w:val="21"/>
        <w:spacing w:line="320" w:lineRule="exact"/>
        <w:rPr>
          <w:rFonts w:cs="宋体"/>
          <w:color w:val="auto"/>
          <w:sz w:val="24"/>
          <w:szCs w:val="24"/>
          <w:highlight w:val="none"/>
        </w:rPr>
      </w:pPr>
      <w:r>
        <w:rPr>
          <w:rFonts w:cs="宋体"/>
          <w:b/>
          <w:color w:val="auto"/>
          <w:sz w:val="24"/>
          <w:szCs w:val="24"/>
          <w:highlight w:val="none"/>
        </w:rPr>
        <w:t xml:space="preserve">    *承包人必须为施工现场从事施工的所有作业人员和管理人员办理意外伤害保险及第三方伤害险，并支付保险费。</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26" w:name="_Toc43044974"/>
      <w:bookmarkEnd w:id="126"/>
      <w:r>
        <w:rPr>
          <w:rFonts w:cs="宋体"/>
          <w:color w:val="auto"/>
          <w:sz w:val="24"/>
          <w:szCs w:val="24"/>
          <w:highlight w:val="none"/>
        </w:rPr>
        <w:t>41、担保</w:t>
      </w:r>
    </w:p>
    <w:p>
      <w:pPr>
        <w:pStyle w:val="21"/>
        <w:spacing w:line="320" w:lineRule="exact"/>
        <w:rPr>
          <w:rFonts w:cs="宋体"/>
          <w:color w:val="auto"/>
          <w:sz w:val="24"/>
          <w:szCs w:val="24"/>
          <w:highlight w:val="none"/>
        </w:rPr>
      </w:pPr>
      <w:r>
        <w:rPr>
          <w:rFonts w:cs="宋体"/>
          <w:color w:val="auto"/>
          <w:sz w:val="24"/>
          <w:szCs w:val="24"/>
          <w:highlight w:val="none"/>
        </w:rPr>
        <w:t xml:space="preserve">    41.3 本工程双方约定担保事项如下：</w:t>
      </w:r>
    </w:p>
    <w:p>
      <w:pPr>
        <w:pStyle w:val="21"/>
        <w:spacing w:line="320" w:lineRule="exact"/>
        <w:jc w:val="left"/>
        <w:rPr>
          <w:rFonts w:cs="宋体"/>
          <w:color w:val="auto"/>
          <w:sz w:val="24"/>
          <w:szCs w:val="24"/>
          <w:highlight w:val="none"/>
        </w:rPr>
      </w:pPr>
      <w:r>
        <w:rPr>
          <w:rFonts w:cs="宋体"/>
          <w:color w:val="auto"/>
          <w:sz w:val="24"/>
          <w:szCs w:val="24"/>
          <w:highlight w:val="none"/>
        </w:rPr>
        <w:t xml:space="preserve">    （1）承包人提供履约担保，担保方式为：承包人提交履约保证金，金额为中标价款的</w:t>
      </w:r>
      <w:r>
        <w:rPr>
          <w:rFonts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cs="宋体"/>
          <w:color w:val="auto"/>
          <w:sz w:val="24"/>
          <w:szCs w:val="24"/>
          <w:highlight w:val="none"/>
          <w:u w:val="single"/>
        </w:rPr>
        <w:t xml:space="preserve"> </w:t>
      </w:r>
      <w:r>
        <w:rPr>
          <w:rFonts w:cs="宋体"/>
          <w:color w:val="auto"/>
          <w:sz w:val="24"/>
          <w:szCs w:val="24"/>
          <w:highlight w:val="none"/>
        </w:rPr>
        <w:t>%。</w:t>
      </w:r>
    </w:p>
    <w:p>
      <w:pPr>
        <w:pStyle w:val="21"/>
        <w:spacing w:line="320" w:lineRule="exact"/>
        <w:rPr>
          <w:rFonts w:cs="宋体"/>
          <w:color w:val="auto"/>
          <w:sz w:val="24"/>
          <w:szCs w:val="24"/>
          <w:highlight w:val="none"/>
        </w:rPr>
      </w:pPr>
      <w:r>
        <w:rPr>
          <w:rFonts w:cs="宋体"/>
          <w:color w:val="auto"/>
          <w:sz w:val="24"/>
          <w:szCs w:val="24"/>
          <w:highlight w:val="none"/>
        </w:rPr>
        <w:t xml:space="preserve">    担保合同作为本合同附件。</w:t>
      </w:r>
    </w:p>
    <w:p>
      <w:pPr>
        <w:pStyle w:val="21"/>
        <w:spacing w:line="320" w:lineRule="exact"/>
        <w:rPr>
          <w:rFonts w:cs="宋体"/>
          <w:color w:val="auto"/>
          <w:sz w:val="24"/>
          <w:szCs w:val="24"/>
          <w:highlight w:val="none"/>
        </w:rPr>
      </w:pPr>
      <w:r>
        <w:rPr>
          <w:rFonts w:cs="宋体"/>
          <w:color w:val="auto"/>
          <w:sz w:val="24"/>
          <w:szCs w:val="24"/>
          <w:highlight w:val="none"/>
        </w:rPr>
        <w:t xml:space="preserve">    （2）双方约定的其他担保事项：</w:t>
      </w:r>
    </w:p>
    <w:p>
      <w:pPr>
        <w:pStyle w:val="21"/>
        <w:spacing w:line="320" w:lineRule="exact"/>
        <w:rPr>
          <w:rFonts w:cs="宋体"/>
          <w:color w:val="auto"/>
          <w:sz w:val="24"/>
          <w:szCs w:val="24"/>
          <w:highlight w:val="none"/>
        </w:rPr>
      </w:pPr>
      <w:r>
        <w:rPr>
          <w:rFonts w:cs="宋体"/>
          <w:color w:val="auto"/>
          <w:sz w:val="24"/>
          <w:szCs w:val="24"/>
          <w:highlight w:val="none"/>
        </w:rPr>
        <w:t xml:space="preserve">    </w:t>
      </w:r>
      <w:bookmarkStart w:id="127" w:name="_Toc43044975"/>
      <w:bookmarkEnd w:id="127"/>
      <w:r>
        <w:rPr>
          <w:rFonts w:cs="宋体"/>
          <w:color w:val="auto"/>
          <w:sz w:val="24"/>
          <w:szCs w:val="24"/>
          <w:highlight w:val="none"/>
        </w:rPr>
        <w:t>46、合同份数</w:t>
      </w:r>
    </w:p>
    <w:p>
      <w:pPr>
        <w:pStyle w:val="21"/>
        <w:spacing w:line="320" w:lineRule="exact"/>
        <w:rPr>
          <w:rFonts w:cs="宋体"/>
          <w:color w:val="auto"/>
          <w:sz w:val="24"/>
          <w:szCs w:val="24"/>
          <w:highlight w:val="none"/>
        </w:rPr>
      </w:pPr>
      <w:r>
        <w:rPr>
          <w:rFonts w:cs="宋体"/>
          <w:color w:val="auto"/>
          <w:sz w:val="24"/>
          <w:szCs w:val="24"/>
          <w:highlight w:val="none"/>
        </w:rPr>
        <w:t xml:space="preserve">    46.1本合同书一式 </w:t>
      </w:r>
      <w:r>
        <w:rPr>
          <w:rFonts w:cs="宋体"/>
          <w:color w:val="auto"/>
          <w:sz w:val="24"/>
          <w:szCs w:val="24"/>
          <w:highlight w:val="none"/>
          <w:u w:val="single"/>
        </w:rPr>
        <w:t xml:space="preserve"> 陆  </w:t>
      </w:r>
      <w:r>
        <w:rPr>
          <w:rFonts w:cs="宋体"/>
          <w:color w:val="auto"/>
          <w:sz w:val="24"/>
          <w:szCs w:val="24"/>
          <w:highlight w:val="none"/>
        </w:rPr>
        <w:t>份，合同双方各执</w:t>
      </w:r>
      <w:r>
        <w:rPr>
          <w:rFonts w:cs="宋体"/>
          <w:color w:val="auto"/>
          <w:sz w:val="24"/>
          <w:szCs w:val="24"/>
          <w:highlight w:val="none"/>
          <w:u w:val="single"/>
        </w:rPr>
        <w:t xml:space="preserve">  贰  </w:t>
      </w:r>
      <w:r>
        <w:rPr>
          <w:rFonts w:cs="宋体"/>
          <w:color w:val="auto"/>
          <w:sz w:val="24"/>
          <w:szCs w:val="24"/>
          <w:highlight w:val="none"/>
        </w:rPr>
        <w:t>份；送县政府采购管理办公室及</w:t>
      </w:r>
      <w:r>
        <w:rPr>
          <w:rFonts w:hint="eastAsia" w:cs="宋体"/>
          <w:color w:val="auto"/>
          <w:sz w:val="24"/>
          <w:szCs w:val="24"/>
          <w:highlight w:val="none"/>
        </w:rPr>
        <w:t>采购</w:t>
      </w:r>
      <w:r>
        <w:rPr>
          <w:rFonts w:cs="宋体"/>
          <w:color w:val="auto"/>
          <w:sz w:val="24"/>
          <w:szCs w:val="24"/>
          <w:highlight w:val="none"/>
        </w:rPr>
        <w:t xml:space="preserve">代理机构备案 </w:t>
      </w:r>
      <w:r>
        <w:rPr>
          <w:rFonts w:cs="宋体"/>
          <w:color w:val="auto"/>
          <w:sz w:val="24"/>
          <w:szCs w:val="24"/>
          <w:highlight w:val="none"/>
          <w:u w:val="single"/>
        </w:rPr>
        <w:t xml:space="preserve"> 壹  </w:t>
      </w:r>
      <w:r>
        <w:rPr>
          <w:rFonts w:cs="宋体"/>
          <w:color w:val="auto"/>
          <w:sz w:val="24"/>
          <w:szCs w:val="24"/>
          <w:highlight w:val="none"/>
        </w:rPr>
        <w:t>份。</w:t>
      </w:r>
    </w:p>
    <w:p>
      <w:pPr>
        <w:spacing w:line="320" w:lineRule="exact"/>
        <w:ind w:firstLine="468"/>
        <w:rPr>
          <w:rFonts w:ascii="宋体" w:hAnsi="宋体" w:cs="宋体"/>
          <w:color w:val="auto"/>
          <w:kern w:val="1"/>
          <w:sz w:val="24"/>
          <w:highlight w:val="none"/>
        </w:rPr>
      </w:pPr>
    </w:p>
    <w:p>
      <w:pPr>
        <w:spacing w:line="320" w:lineRule="exact"/>
        <w:ind w:firstLine="468"/>
        <w:rPr>
          <w:rFonts w:ascii="宋体" w:hAnsi="宋体" w:cs="宋体"/>
          <w:color w:val="auto"/>
          <w:kern w:val="1"/>
          <w:sz w:val="24"/>
          <w:highlight w:val="none"/>
        </w:rPr>
      </w:pPr>
      <w:r>
        <w:rPr>
          <w:rFonts w:ascii="宋体" w:hAnsi="宋体" w:cs="宋体"/>
          <w:color w:val="auto"/>
          <w:kern w:val="1"/>
          <w:sz w:val="24"/>
          <w:highlight w:val="none"/>
        </w:rPr>
        <w:t>附件1：承包人承揽工程项目一览表</w:t>
      </w:r>
    </w:p>
    <w:p>
      <w:pPr>
        <w:spacing w:line="320" w:lineRule="exact"/>
        <w:ind w:firstLine="468"/>
        <w:rPr>
          <w:rFonts w:ascii="宋体" w:hAnsi="宋体" w:cs="宋体"/>
          <w:color w:val="auto"/>
          <w:kern w:val="1"/>
          <w:sz w:val="24"/>
          <w:highlight w:val="none"/>
        </w:rPr>
      </w:pPr>
      <w:r>
        <w:rPr>
          <w:rFonts w:ascii="宋体" w:hAnsi="宋体" w:cs="宋体"/>
          <w:color w:val="auto"/>
          <w:kern w:val="1"/>
          <w:sz w:val="24"/>
          <w:highlight w:val="none"/>
        </w:rPr>
        <w:t>附件2：发包人供应材料设备一览表</w:t>
      </w:r>
    </w:p>
    <w:p>
      <w:pPr>
        <w:spacing w:line="320" w:lineRule="exact"/>
        <w:ind w:firstLine="468"/>
        <w:rPr>
          <w:rFonts w:ascii="宋体" w:hAnsi="宋体" w:cs="宋体"/>
          <w:color w:val="auto"/>
          <w:kern w:val="1"/>
          <w:sz w:val="24"/>
          <w:highlight w:val="none"/>
        </w:rPr>
      </w:pPr>
      <w:r>
        <w:rPr>
          <w:rFonts w:ascii="宋体" w:hAnsi="宋体" w:cs="宋体"/>
          <w:color w:val="auto"/>
          <w:kern w:val="1"/>
          <w:sz w:val="24"/>
          <w:highlight w:val="none"/>
        </w:rPr>
        <w:t>附件3：工程质量保修书</w:t>
      </w:r>
    </w:p>
    <w:p>
      <w:pPr>
        <w:spacing w:line="320" w:lineRule="exact"/>
        <w:rPr>
          <w:rFonts w:ascii="宋体" w:hAnsi="宋体" w:cs="宋体"/>
          <w:b/>
          <w:color w:val="auto"/>
          <w:kern w:val="1"/>
          <w:sz w:val="24"/>
          <w:highlight w:val="none"/>
        </w:rPr>
      </w:pPr>
    </w:p>
    <w:p>
      <w:pPr>
        <w:spacing w:line="320" w:lineRule="exact"/>
        <w:rPr>
          <w:rFonts w:ascii="宋体" w:hAnsi="宋体" w:cs="宋体"/>
          <w:b/>
          <w:color w:val="auto"/>
          <w:kern w:val="1"/>
          <w:sz w:val="24"/>
          <w:highlight w:val="none"/>
        </w:rPr>
      </w:pPr>
    </w:p>
    <w:p>
      <w:pPr>
        <w:spacing w:line="320" w:lineRule="exact"/>
        <w:rPr>
          <w:rFonts w:ascii="宋体" w:hAnsi="宋体" w:cs="宋体"/>
          <w:b/>
          <w:color w:val="auto"/>
          <w:kern w:val="1"/>
          <w:sz w:val="24"/>
          <w:highlight w:val="none"/>
        </w:rPr>
      </w:pPr>
    </w:p>
    <w:p>
      <w:pPr>
        <w:spacing w:line="320" w:lineRule="exact"/>
        <w:rPr>
          <w:rFonts w:hint="eastAsia" w:ascii="宋体" w:hAnsi="宋体" w:cs="宋体"/>
          <w:b/>
          <w:color w:val="auto"/>
          <w:kern w:val="1"/>
          <w:sz w:val="24"/>
          <w:highlight w:val="none"/>
        </w:rPr>
      </w:pPr>
      <w:r>
        <w:rPr>
          <w:rFonts w:ascii="宋体" w:hAnsi="宋体" w:cs="宋体"/>
          <w:b/>
          <w:color w:val="auto"/>
          <w:kern w:val="1"/>
          <w:sz w:val="24"/>
          <w:highlight w:val="none"/>
        </w:rPr>
        <w:br w:type="page"/>
      </w:r>
    </w:p>
    <w:p>
      <w:pPr>
        <w:spacing w:line="320" w:lineRule="exact"/>
        <w:rPr>
          <w:rFonts w:ascii="宋体" w:hAnsi="宋体" w:cs="宋体"/>
          <w:b/>
          <w:color w:val="auto"/>
          <w:kern w:val="1"/>
          <w:sz w:val="24"/>
          <w:highlight w:val="none"/>
        </w:rPr>
      </w:pPr>
      <w:r>
        <w:rPr>
          <w:rFonts w:ascii="宋体" w:hAnsi="宋体" w:cs="宋体"/>
          <w:b/>
          <w:color w:val="auto"/>
          <w:kern w:val="1"/>
          <w:sz w:val="24"/>
          <w:highlight w:val="none"/>
        </w:rPr>
        <w:t>附件1：承包人承揽工程项目一览表</w:t>
      </w:r>
    </w:p>
    <w:p>
      <w:pPr>
        <w:spacing w:line="320" w:lineRule="exact"/>
        <w:ind w:firstLine="470"/>
        <w:rPr>
          <w:rFonts w:ascii="宋体" w:hAnsi="宋体" w:cs="宋体"/>
          <w:b/>
          <w:color w:val="auto"/>
          <w:kern w:val="1"/>
          <w:sz w:val="24"/>
          <w:highlight w:val="none"/>
        </w:rPr>
      </w:pPr>
    </w:p>
    <w:tbl>
      <w:tblPr>
        <w:tblStyle w:val="39"/>
        <w:tblW w:w="9870" w:type="dxa"/>
        <w:tblInd w:w="0" w:type="dxa"/>
        <w:tblLayout w:type="fixed"/>
        <w:tblCellMar>
          <w:top w:w="0" w:type="dxa"/>
          <w:left w:w="108" w:type="dxa"/>
          <w:bottom w:w="0" w:type="dxa"/>
          <w:right w:w="108" w:type="dxa"/>
        </w:tblCellMar>
      </w:tblPr>
      <w:tblGrid>
        <w:gridCol w:w="1365"/>
        <w:gridCol w:w="840"/>
        <w:gridCol w:w="1171"/>
        <w:gridCol w:w="719"/>
        <w:gridCol w:w="735"/>
        <w:gridCol w:w="980"/>
        <w:gridCol w:w="1120"/>
        <w:gridCol w:w="1260"/>
        <w:gridCol w:w="840"/>
        <w:gridCol w:w="840"/>
      </w:tblGrid>
      <w:tr>
        <w:tblPrEx>
          <w:tblCellMar>
            <w:top w:w="0" w:type="dxa"/>
            <w:left w:w="108" w:type="dxa"/>
            <w:bottom w:w="0" w:type="dxa"/>
            <w:right w:w="108" w:type="dxa"/>
          </w:tblCellMar>
        </w:tblPrEx>
        <w:trPr>
          <w:trHeight w:val="754" w:hRule="exac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单位工程</w:t>
            </w:r>
          </w:p>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名称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建设规模</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建筑面积（㎡）</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结</w:t>
            </w:r>
          </w:p>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层</w:t>
            </w:r>
          </w:p>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数</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跨度</w:t>
            </w:r>
          </w:p>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（m）</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设备安装内容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工程造价</w:t>
            </w:r>
          </w:p>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开工日期</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竣工日期</w:t>
            </w:r>
          </w:p>
        </w:tc>
      </w:tr>
      <w:tr>
        <w:tblPrEx>
          <w:tblCellMar>
            <w:top w:w="0" w:type="dxa"/>
            <w:left w:w="108" w:type="dxa"/>
            <w:bottom w:w="0" w:type="dxa"/>
            <w:right w:w="108" w:type="dxa"/>
          </w:tblCellMar>
        </w:tblPrEx>
        <w:trPr>
          <w:trHeight w:val="567" w:hRule="exac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trHeight w:val="567" w:hRule="exac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trHeight w:val="567" w:hRule="exac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trHeight w:val="567" w:hRule="exac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trHeight w:val="567" w:hRule="exac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trHeight w:val="567" w:hRule="exac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trHeight w:val="567" w:hRule="exac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bl>
    <w:p>
      <w:pPr>
        <w:spacing w:line="320" w:lineRule="exact"/>
        <w:rPr>
          <w:rFonts w:ascii="宋体" w:hAnsi="宋体" w:cs="宋体"/>
          <w:b/>
          <w:color w:val="auto"/>
          <w:kern w:val="1"/>
          <w:sz w:val="24"/>
          <w:highlight w:val="none"/>
        </w:rPr>
      </w:pPr>
      <w:r>
        <w:rPr>
          <w:rFonts w:ascii="宋体" w:hAnsi="宋体" w:cs="宋体"/>
          <w:color w:val="auto"/>
          <w:kern w:val="1"/>
          <w:sz w:val="24"/>
          <w:highlight w:val="none"/>
        </w:rPr>
        <w:tab/>
      </w:r>
      <w:r>
        <w:rPr>
          <w:rFonts w:ascii="宋体" w:hAnsi="宋体" w:cs="宋体"/>
          <w:color w:val="auto"/>
          <w:kern w:val="1"/>
          <w:sz w:val="24"/>
          <w:highlight w:val="none"/>
        </w:rPr>
        <w:tab/>
      </w:r>
      <w:r>
        <w:rPr>
          <w:rFonts w:ascii="宋体" w:hAnsi="宋体" w:cs="宋体"/>
          <w:color w:val="auto"/>
          <w:kern w:val="1"/>
          <w:sz w:val="24"/>
          <w:highlight w:val="none"/>
        </w:rPr>
        <w:tab/>
      </w:r>
      <w:r>
        <w:rPr>
          <w:rFonts w:ascii="宋体" w:hAnsi="宋体" w:cs="宋体"/>
          <w:color w:val="auto"/>
          <w:kern w:val="1"/>
          <w:sz w:val="24"/>
          <w:highlight w:val="none"/>
        </w:rPr>
        <w:tab/>
      </w:r>
      <w:r>
        <w:rPr>
          <w:rFonts w:ascii="宋体" w:hAnsi="宋体" w:cs="宋体"/>
          <w:color w:val="auto"/>
          <w:kern w:val="1"/>
          <w:sz w:val="24"/>
          <w:highlight w:val="none"/>
        </w:rPr>
        <w:tab/>
      </w:r>
      <w:r>
        <w:rPr>
          <w:rFonts w:ascii="宋体" w:hAnsi="宋体" w:cs="宋体"/>
          <w:color w:val="auto"/>
          <w:kern w:val="1"/>
          <w:sz w:val="24"/>
          <w:highlight w:val="none"/>
        </w:rPr>
        <w:tab/>
      </w:r>
      <w:r>
        <w:rPr>
          <w:rFonts w:ascii="宋体" w:hAnsi="宋体" w:cs="宋体"/>
          <w:color w:val="auto"/>
          <w:kern w:val="1"/>
          <w:sz w:val="24"/>
          <w:highlight w:val="none"/>
        </w:rPr>
        <w:tab/>
      </w:r>
      <w:r>
        <w:rPr>
          <w:rFonts w:ascii="宋体" w:hAnsi="宋体" w:cs="宋体"/>
          <w:color w:val="auto"/>
          <w:kern w:val="1"/>
          <w:sz w:val="24"/>
          <w:highlight w:val="none"/>
        </w:rPr>
        <w:tab/>
      </w:r>
      <w:r>
        <w:rPr>
          <w:rFonts w:ascii="宋体" w:hAnsi="宋体" w:cs="宋体"/>
          <w:color w:val="auto"/>
          <w:kern w:val="1"/>
          <w:sz w:val="24"/>
          <w:highlight w:val="none"/>
        </w:rPr>
        <w:tab/>
      </w:r>
    </w:p>
    <w:p>
      <w:pPr>
        <w:spacing w:line="320" w:lineRule="exact"/>
        <w:rPr>
          <w:rFonts w:hint="eastAsia" w:ascii="宋体" w:hAnsi="宋体" w:cs="宋体"/>
          <w:b/>
          <w:color w:val="auto"/>
          <w:kern w:val="1"/>
          <w:sz w:val="24"/>
          <w:highlight w:val="none"/>
        </w:rPr>
      </w:pPr>
    </w:p>
    <w:p>
      <w:pPr>
        <w:spacing w:line="320" w:lineRule="exact"/>
        <w:rPr>
          <w:rFonts w:hint="eastAsia" w:ascii="宋体" w:hAnsi="宋体" w:cs="宋体"/>
          <w:b/>
          <w:color w:val="auto"/>
          <w:kern w:val="1"/>
          <w:sz w:val="24"/>
          <w:highlight w:val="none"/>
        </w:rPr>
      </w:pPr>
    </w:p>
    <w:p>
      <w:pPr>
        <w:spacing w:line="320" w:lineRule="exact"/>
        <w:rPr>
          <w:rFonts w:hint="eastAsia" w:ascii="宋体" w:hAnsi="宋体" w:cs="宋体"/>
          <w:b/>
          <w:color w:val="auto"/>
          <w:kern w:val="1"/>
          <w:sz w:val="24"/>
          <w:highlight w:val="none"/>
        </w:rPr>
      </w:pPr>
    </w:p>
    <w:p>
      <w:pPr>
        <w:spacing w:line="320" w:lineRule="exact"/>
        <w:rPr>
          <w:rFonts w:hint="eastAsia" w:ascii="宋体" w:hAnsi="宋体" w:cs="宋体"/>
          <w:b/>
          <w:color w:val="auto"/>
          <w:kern w:val="1"/>
          <w:sz w:val="24"/>
          <w:highlight w:val="none"/>
        </w:rPr>
      </w:pPr>
    </w:p>
    <w:p>
      <w:pPr>
        <w:spacing w:line="320" w:lineRule="exact"/>
        <w:ind w:firstLine="470"/>
        <w:rPr>
          <w:rFonts w:ascii="宋体" w:hAnsi="宋体" w:cs="宋体"/>
          <w:b/>
          <w:color w:val="auto"/>
          <w:kern w:val="1"/>
          <w:sz w:val="24"/>
          <w:highlight w:val="none"/>
        </w:rPr>
      </w:pPr>
      <w:r>
        <w:rPr>
          <w:rFonts w:ascii="宋体" w:hAnsi="宋体" w:cs="宋体"/>
          <w:b/>
          <w:color w:val="auto"/>
          <w:kern w:val="1"/>
          <w:sz w:val="24"/>
          <w:highlight w:val="none"/>
        </w:rPr>
        <w:t>附件2：发包人供应材料设备一览表</w:t>
      </w:r>
      <w:r>
        <w:rPr>
          <w:rFonts w:ascii="宋体" w:hAnsi="宋体" w:cs="宋体"/>
          <w:b/>
          <w:color w:val="auto"/>
          <w:kern w:val="1"/>
          <w:sz w:val="24"/>
          <w:highlight w:val="none"/>
        </w:rPr>
        <w:tab/>
      </w:r>
    </w:p>
    <w:p>
      <w:pPr>
        <w:spacing w:line="320" w:lineRule="exact"/>
        <w:ind w:firstLine="470"/>
        <w:rPr>
          <w:rFonts w:ascii="宋体" w:hAnsi="宋体" w:cs="宋体"/>
          <w:b/>
          <w:color w:val="auto"/>
          <w:kern w:val="1"/>
          <w:sz w:val="24"/>
          <w:highlight w:val="none"/>
        </w:rPr>
      </w:pPr>
    </w:p>
    <w:tbl>
      <w:tblPr>
        <w:tblStyle w:val="39"/>
        <w:tblW w:w="9870" w:type="dxa"/>
        <w:tblInd w:w="0" w:type="dxa"/>
        <w:tblLayout w:type="fixed"/>
        <w:tblCellMar>
          <w:top w:w="0" w:type="dxa"/>
          <w:left w:w="108" w:type="dxa"/>
          <w:bottom w:w="0" w:type="dxa"/>
          <w:right w:w="108" w:type="dxa"/>
        </w:tblCellMar>
      </w:tblPr>
      <w:tblGrid>
        <w:gridCol w:w="456"/>
        <w:gridCol w:w="1767"/>
        <w:gridCol w:w="1168"/>
        <w:gridCol w:w="718"/>
        <w:gridCol w:w="734"/>
        <w:gridCol w:w="978"/>
        <w:gridCol w:w="1117"/>
        <w:gridCol w:w="1256"/>
        <w:gridCol w:w="838"/>
        <w:gridCol w:w="838"/>
      </w:tblGrid>
      <w:tr>
        <w:tblPrEx>
          <w:tblCellMar>
            <w:top w:w="0" w:type="dxa"/>
            <w:left w:w="108" w:type="dxa"/>
            <w:bottom w:w="0" w:type="dxa"/>
            <w:right w:w="108" w:type="dxa"/>
          </w:tblCellMar>
        </w:tblPrEx>
        <w:trPr>
          <w:trHeight w:val="754" w:hRule="exac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序号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材料设备品种</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规格型号</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单</w:t>
            </w:r>
          </w:p>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位</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数</w:t>
            </w:r>
          </w:p>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量</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单 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质量等级</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供应时间</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送达地点</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r>
              <w:rPr>
                <w:rFonts w:ascii="宋体" w:hAnsi="宋体" w:cs="宋体"/>
                <w:color w:val="auto"/>
                <w:kern w:val="1"/>
                <w:sz w:val="24"/>
                <w:highlight w:val="none"/>
              </w:rPr>
              <w:t>备 注</w:t>
            </w:r>
          </w:p>
        </w:tc>
      </w:tr>
      <w:tr>
        <w:tblPrEx>
          <w:tblCellMar>
            <w:top w:w="0" w:type="dxa"/>
            <w:left w:w="108" w:type="dxa"/>
            <w:bottom w:w="0" w:type="dxa"/>
            <w:right w:w="108" w:type="dxa"/>
          </w:tblCellMar>
        </w:tblPrEx>
        <w:trPr>
          <w:trHeight w:val="567" w:hRule="exac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trHeight w:val="567" w:hRule="exac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trHeight w:val="567" w:hRule="exac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trHeight w:val="567" w:hRule="exac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trHeight w:val="567" w:hRule="exac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trHeight w:val="567" w:hRule="exac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trHeight w:val="567" w:hRule="exac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kern w:val="1"/>
                <w:sz w:val="24"/>
                <w:highlight w:val="none"/>
              </w:rPr>
            </w:pPr>
          </w:p>
        </w:tc>
      </w:tr>
    </w:tbl>
    <w:p>
      <w:pPr>
        <w:spacing w:line="320" w:lineRule="exact"/>
        <w:ind w:firstLine="409"/>
        <w:rPr>
          <w:rFonts w:ascii="宋体" w:hAnsi="宋体" w:cs="宋体"/>
          <w:b/>
          <w:color w:val="auto"/>
          <w:kern w:val="1"/>
          <w:sz w:val="24"/>
          <w:highlight w:val="none"/>
        </w:rPr>
      </w:pPr>
      <w:r>
        <w:rPr>
          <w:rFonts w:ascii="宋体" w:hAnsi="宋体"/>
          <w:color w:val="auto"/>
          <w:sz w:val="24"/>
          <w:highlight w:val="none"/>
        </w:rPr>
        <w:br w:type="page"/>
      </w:r>
      <w:r>
        <w:rPr>
          <w:rFonts w:ascii="宋体" w:hAnsi="宋体" w:cs="宋体"/>
          <w:b/>
          <w:color w:val="auto"/>
          <w:kern w:val="1"/>
          <w:sz w:val="24"/>
          <w:highlight w:val="none"/>
        </w:rPr>
        <w:t>附件3：工程质量保修书</w:t>
      </w:r>
    </w:p>
    <w:p>
      <w:pPr>
        <w:pStyle w:val="21"/>
        <w:spacing w:line="320" w:lineRule="exact"/>
        <w:ind w:firstLine="540"/>
        <w:rPr>
          <w:rFonts w:cs="宋体"/>
          <w:color w:val="auto"/>
          <w:sz w:val="24"/>
          <w:szCs w:val="24"/>
          <w:highlight w:val="none"/>
          <w:u w:val="single"/>
        </w:rPr>
      </w:pPr>
      <w:r>
        <w:rPr>
          <w:rFonts w:cs="宋体"/>
          <w:color w:val="auto"/>
          <w:sz w:val="24"/>
          <w:szCs w:val="24"/>
          <w:highlight w:val="none"/>
        </w:rPr>
        <w:t>发包人（全称）：</w:t>
      </w:r>
      <w:r>
        <w:rPr>
          <w:rFonts w:cs="宋体"/>
          <w:color w:val="auto"/>
          <w:sz w:val="24"/>
          <w:szCs w:val="24"/>
          <w:highlight w:val="none"/>
          <w:u w:val="single"/>
        </w:rPr>
        <w:t xml:space="preserve">                                  </w:t>
      </w:r>
    </w:p>
    <w:p>
      <w:pPr>
        <w:pStyle w:val="21"/>
        <w:spacing w:line="320" w:lineRule="exact"/>
        <w:ind w:firstLine="540"/>
        <w:rPr>
          <w:rFonts w:cs="宋体"/>
          <w:color w:val="auto"/>
          <w:sz w:val="24"/>
          <w:szCs w:val="24"/>
          <w:highlight w:val="none"/>
          <w:u w:val="single"/>
        </w:rPr>
      </w:pPr>
      <w:r>
        <w:rPr>
          <w:rFonts w:cs="宋体"/>
          <w:color w:val="auto"/>
          <w:sz w:val="24"/>
          <w:szCs w:val="24"/>
          <w:highlight w:val="none"/>
        </w:rPr>
        <w:t>承包人（全称）：</w:t>
      </w:r>
      <w:r>
        <w:rPr>
          <w:rFonts w:cs="宋体"/>
          <w:color w:val="auto"/>
          <w:sz w:val="24"/>
          <w:szCs w:val="24"/>
          <w:highlight w:val="none"/>
          <w:u w:val="single"/>
        </w:rPr>
        <w:t xml:space="preserve">                                  </w:t>
      </w:r>
    </w:p>
    <w:p>
      <w:pPr>
        <w:pStyle w:val="21"/>
        <w:spacing w:line="320" w:lineRule="exact"/>
        <w:ind w:firstLine="540"/>
        <w:rPr>
          <w:rFonts w:cs="宋体"/>
          <w:color w:val="auto"/>
          <w:sz w:val="24"/>
          <w:szCs w:val="24"/>
          <w:highlight w:val="none"/>
        </w:rPr>
      </w:pPr>
      <w:r>
        <w:rPr>
          <w:rFonts w:cs="宋体"/>
          <w:color w:val="auto"/>
          <w:sz w:val="24"/>
          <w:szCs w:val="24"/>
          <w:highlight w:val="none"/>
        </w:rPr>
        <w:t>为保证</w:t>
      </w:r>
      <w:r>
        <w:rPr>
          <w:rFonts w:cs="宋体"/>
          <w:color w:val="auto"/>
          <w:sz w:val="24"/>
          <w:szCs w:val="24"/>
          <w:highlight w:val="none"/>
          <w:u w:val="single"/>
        </w:rPr>
        <w:t xml:space="preserve">    （工程名称）    </w:t>
      </w:r>
      <w:r>
        <w:rPr>
          <w:rFonts w:cs="宋体"/>
          <w:color w:val="auto"/>
          <w:sz w:val="24"/>
          <w:szCs w:val="24"/>
          <w:highlight w:val="none"/>
        </w:rPr>
        <w:t>在合理使用期限内正常使用，发包人承包人协商一致签订工程质量保修书。承包人在质量保修期内按照有关管理规定及双方约定承担工程质量保修责任。</w:t>
      </w:r>
    </w:p>
    <w:p>
      <w:pPr>
        <w:pStyle w:val="21"/>
        <w:spacing w:line="320" w:lineRule="exact"/>
        <w:ind w:firstLine="540"/>
        <w:rPr>
          <w:color w:val="auto"/>
          <w:sz w:val="24"/>
          <w:szCs w:val="24"/>
          <w:highlight w:val="none"/>
        </w:rPr>
      </w:pPr>
      <w:r>
        <w:rPr>
          <w:rFonts w:cs="宋体"/>
          <w:color w:val="auto"/>
          <w:sz w:val="24"/>
          <w:szCs w:val="24"/>
          <w:highlight w:val="none"/>
        </w:rPr>
        <w:t>一、工程质量保修范围和内容：质量保修范围包括</w:t>
      </w:r>
      <w:r>
        <w:rPr>
          <w:color w:val="auto"/>
          <w:sz w:val="24"/>
          <w:szCs w:val="24"/>
          <w:highlight w:val="none"/>
        </w:rPr>
        <w:t>所有施工项目。</w:t>
      </w:r>
    </w:p>
    <w:p>
      <w:pPr>
        <w:pStyle w:val="21"/>
        <w:spacing w:line="320" w:lineRule="exact"/>
        <w:ind w:firstLine="540"/>
        <w:rPr>
          <w:rFonts w:cs="宋体"/>
          <w:b/>
          <w:color w:val="auto"/>
          <w:sz w:val="24"/>
          <w:szCs w:val="24"/>
          <w:highlight w:val="none"/>
        </w:rPr>
      </w:pPr>
      <w:r>
        <w:rPr>
          <w:rFonts w:cs="宋体"/>
          <w:b/>
          <w:bCs/>
          <w:color w:val="auto"/>
          <w:sz w:val="24"/>
          <w:szCs w:val="24"/>
          <w:highlight w:val="none"/>
        </w:rPr>
        <w:t>*</w:t>
      </w:r>
      <w:r>
        <w:rPr>
          <w:rFonts w:cs="宋体"/>
          <w:b/>
          <w:color w:val="auto"/>
          <w:sz w:val="24"/>
          <w:szCs w:val="24"/>
          <w:highlight w:val="none"/>
        </w:rPr>
        <w:t>二、质量保修期：1年</w:t>
      </w:r>
    </w:p>
    <w:p>
      <w:pPr>
        <w:pStyle w:val="21"/>
        <w:spacing w:line="320" w:lineRule="exact"/>
        <w:ind w:firstLine="540"/>
        <w:rPr>
          <w:rFonts w:cs="宋体"/>
          <w:color w:val="auto"/>
          <w:sz w:val="24"/>
          <w:szCs w:val="24"/>
          <w:highlight w:val="none"/>
        </w:rPr>
      </w:pPr>
      <w:r>
        <w:rPr>
          <w:rFonts w:cs="宋体"/>
          <w:color w:val="auto"/>
          <w:sz w:val="24"/>
          <w:szCs w:val="24"/>
          <w:highlight w:val="none"/>
        </w:rPr>
        <w:t>三、质量保修责任</w:t>
      </w:r>
    </w:p>
    <w:p>
      <w:pPr>
        <w:pStyle w:val="21"/>
        <w:spacing w:line="320" w:lineRule="exact"/>
        <w:ind w:firstLine="540"/>
        <w:rPr>
          <w:rFonts w:cs="宋体"/>
          <w:color w:val="auto"/>
          <w:sz w:val="24"/>
          <w:szCs w:val="24"/>
          <w:highlight w:val="none"/>
        </w:rPr>
      </w:pPr>
      <w:r>
        <w:rPr>
          <w:rFonts w:cs="宋体"/>
          <w:color w:val="auto"/>
          <w:sz w:val="24"/>
          <w:szCs w:val="24"/>
          <w:highlight w:val="none"/>
        </w:rPr>
        <w:t>1、属于保修范围和内容的项目，承包人应在接到修理通知之日后7天内派人修理。承包人不在约定期限内派人修理，发包人可委托其他人员修理，保修费用从质量保修金内如除。</w:t>
      </w:r>
    </w:p>
    <w:p>
      <w:pPr>
        <w:pStyle w:val="21"/>
        <w:spacing w:line="320" w:lineRule="exact"/>
        <w:ind w:firstLine="540"/>
        <w:rPr>
          <w:rFonts w:cs="宋体"/>
          <w:color w:val="auto"/>
          <w:sz w:val="24"/>
          <w:szCs w:val="24"/>
          <w:highlight w:val="none"/>
        </w:rPr>
      </w:pPr>
      <w:r>
        <w:rPr>
          <w:rFonts w:cs="宋体"/>
          <w:color w:val="auto"/>
          <w:sz w:val="24"/>
          <w:szCs w:val="24"/>
          <w:highlight w:val="none"/>
        </w:rPr>
        <w:t>2、发生须紧急抢修事故（如上水跑水、暖气漏水漏气、燃气漏气等），承包人接到事故通知后，应立即到达事故现场抢修。非承包人施工质量引起的事故，抢修费用由发包人承担。</w:t>
      </w:r>
    </w:p>
    <w:p>
      <w:pPr>
        <w:pStyle w:val="21"/>
        <w:spacing w:line="320" w:lineRule="exact"/>
        <w:ind w:firstLine="540"/>
        <w:rPr>
          <w:rFonts w:cs="宋体"/>
          <w:color w:val="auto"/>
          <w:sz w:val="24"/>
          <w:szCs w:val="24"/>
          <w:highlight w:val="none"/>
        </w:rPr>
      </w:pPr>
      <w:r>
        <w:rPr>
          <w:rFonts w:cs="宋体"/>
          <w:color w:val="auto"/>
          <w:sz w:val="24"/>
          <w:szCs w:val="24"/>
          <w:highlight w:val="none"/>
        </w:rPr>
        <w:t>3、在国家规定的工程合理使用期限内，承包人确保地基基础工程和主体结构的质量。因承包人原因致使工程在合理使用期限内造成人身和财产损害的，承包人应承担损害赔偿责任。</w:t>
      </w:r>
    </w:p>
    <w:p>
      <w:pPr>
        <w:pStyle w:val="21"/>
        <w:spacing w:line="320" w:lineRule="exact"/>
        <w:ind w:firstLine="540"/>
        <w:rPr>
          <w:rFonts w:cs="宋体"/>
          <w:color w:val="auto"/>
          <w:sz w:val="24"/>
          <w:szCs w:val="24"/>
          <w:highlight w:val="none"/>
        </w:rPr>
      </w:pPr>
      <w:r>
        <w:rPr>
          <w:rFonts w:cs="宋体"/>
          <w:color w:val="auto"/>
          <w:sz w:val="24"/>
          <w:szCs w:val="24"/>
          <w:highlight w:val="none"/>
        </w:rPr>
        <w:t>四、质量保修金的支付</w:t>
      </w:r>
    </w:p>
    <w:p>
      <w:pPr>
        <w:pStyle w:val="21"/>
        <w:spacing w:line="320" w:lineRule="exact"/>
        <w:ind w:firstLine="540"/>
        <w:rPr>
          <w:rFonts w:cs="宋体"/>
          <w:color w:val="auto"/>
          <w:sz w:val="24"/>
          <w:szCs w:val="24"/>
          <w:highlight w:val="none"/>
        </w:rPr>
      </w:pPr>
      <w:r>
        <w:rPr>
          <w:rFonts w:cs="宋体"/>
          <w:color w:val="auto"/>
          <w:sz w:val="24"/>
          <w:szCs w:val="24"/>
          <w:highlight w:val="none"/>
        </w:rPr>
        <w:t>本工程约定的工程质量保修金为工程结算价的</w:t>
      </w:r>
      <w:r>
        <w:rPr>
          <w:rFonts w:hint="eastAsia" w:cs="宋体"/>
          <w:color w:val="auto"/>
          <w:sz w:val="24"/>
          <w:szCs w:val="24"/>
          <w:highlight w:val="none"/>
          <w:u w:val="single"/>
          <w:lang w:val="en-US" w:eastAsia="zh-CN"/>
        </w:rPr>
        <w:t>3</w:t>
      </w:r>
      <w:r>
        <w:rPr>
          <w:rFonts w:cs="宋体"/>
          <w:color w:val="auto"/>
          <w:sz w:val="24"/>
          <w:szCs w:val="24"/>
          <w:highlight w:val="none"/>
        </w:rPr>
        <w:t>%。</w:t>
      </w:r>
    </w:p>
    <w:p>
      <w:pPr>
        <w:pStyle w:val="21"/>
        <w:spacing w:line="320" w:lineRule="exact"/>
        <w:ind w:firstLine="540"/>
        <w:rPr>
          <w:rFonts w:cs="宋体"/>
          <w:color w:val="auto"/>
          <w:sz w:val="24"/>
          <w:szCs w:val="24"/>
          <w:highlight w:val="none"/>
        </w:rPr>
      </w:pPr>
      <w:r>
        <w:rPr>
          <w:rFonts w:cs="宋体"/>
          <w:color w:val="auto"/>
          <w:sz w:val="24"/>
          <w:szCs w:val="24"/>
          <w:highlight w:val="none"/>
        </w:rPr>
        <w:t>质量保修金银行利率为零。</w:t>
      </w:r>
    </w:p>
    <w:p>
      <w:pPr>
        <w:pStyle w:val="21"/>
        <w:spacing w:line="320" w:lineRule="exact"/>
        <w:ind w:firstLine="540"/>
        <w:rPr>
          <w:rFonts w:cs="宋体"/>
          <w:color w:val="auto"/>
          <w:sz w:val="24"/>
          <w:szCs w:val="24"/>
          <w:highlight w:val="none"/>
        </w:rPr>
      </w:pPr>
      <w:r>
        <w:rPr>
          <w:rFonts w:cs="宋体"/>
          <w:color w:val="auto"/>
          <w:sz w:val="24"/>
          <w:szCs w:val="24"/>
          <w:highlight w:val="none"/>
        </w:rPr>
        <w:t>五、质量保修金的返还</w:t>
      </w:r>
    </w:p>
    <w:p>
      <w:pPr>
        <w:pStyle w:val="21"/>
        <w:spacing w:line="320" w:lineRule="exact"/>
        <w:ind w:firstLine="540"/>
        <w:rPr>
          <w:rFonts w:cs="宋体"/>
          <w:color w:val="auto"/>
          <w:sz w:val="24"/>
          <w:szCs w:val="24"/>
          <w:highlight w:val="none"/>
        </w:rPr>
      </w:pPr>
      <w:r>
        <w:rPr>
          <w:rFonts w:cs="宋体"/>
          <w:color w:val="auto"/>
          <w:sz w:val="24"/>
          <w:szCs w:val="24"/>
          <w:highlight w:val="none"/>
        </w:rPr>
        <w:t>甲方在应付款中扣出，在工程保修期满后</w:t>
      </w:r>
      <w:r>
        <w:rPr>
          <w:rFonts w:hint="eastAsia" w:cs="宋体"/>
          <w:color w:val="auto"/>
          <w:sz w:val="24"/>
          <w:szCs w:val="24"/>
          <w:highlight w:val="none"/>
          <w:lang w:eastAsia="zh-CN"/>
        </w:rPr>
        <w:t>1</w:t>
      </w:r>
      <w:r>
        <w:rPr>
          <w:rFonts w:cs="宋体"/>
          <w:color w:val="auto"/>
          <w:sz w:val="24"/>
          <w:szCs w:val="24"/>
          <w:highlight w:val="none"/>
        </w:rPr>
        <w:t>5天内，将保修金（不计利息）退回乙方。在保修期内乙方应按保修内容进行保修，若乙方接到甲方保修通知书在二天内未派人进行修理的，甲方则安排其它公司修理，在保修期内发生的修理费用由乙方负责或由甲方从保修金中扣出。</w:t>
      </w:r>
    </w:p>
    <w:p>
      <w:pPr>
        <w:pStyle w:val="21"/>
        <w:spacing w:line="320" w:lineRule="exact"/>
        <w:ind w:firstLine="540"/>
        <w:rPr>
          <w:rFonts w:cs="宋体"/>
          <w:color w:val="auto"/>
          <w:sz w:val="24"/>
          <w:szCs w:val="24"/>
          <w:highlight w:val="none"/>
        </w:rPr>
      </w:pPr>
      <w:r>
        <w:rPr>
          <w:rFonts w:cs="宋体"/>
          <w:color w:val="auto"/>
          <w:sz w:val="24"/>
          <w:szCs w:val="24"/>
          <w:highlight w:val="none"/>
        </w:rPr>
        <w:t>六、其他</w:t>
      </w:r>
    </w:p>
    <w:p>
      <w:pPr>
        <w:pStyle w:val="21"/>
        <w:spacing w:line="320" w:lineRule="exact"/>
        <w:ind w:firstLine="540"/>
        <w:rPr>
          <w:rFonts w:cs="宋体"/>
          <w:color w:val="auto"/>
          <w:sz w:val="24"/>
          <w:szCs w:val="24"/>
          <w:highlight w:val="none"/>
        </w:rPr>
      </w:pPr>
      <w:r>
        <w:rPr>
          <w:rFonts w:cs="宋体"/>
          <w:color w:val="auto"/>
          <w:sz w:val="24"/>
          <w:szCs w:val="24"/>
          <w:highlight w:val="none"/>
        </w:rPr>
        <w:t>双方约定的其他工程质量保修事项：</w:t>
      </w:r>
    </w:p>
    <w:p>
      <w:pPr>
        <w:pStyle w:val="21"/>
        <w:spacing w:line="320" w:lineRule="exact"/>
        <w:ind w:firstLine="480"/>
        <w:rPr>
          <w:rFonts w:cs="宋体"/>
          <w:color w:val="auto"/>
          <w:sz w:val="24"/>
          <w:szCs w:val="24"/>
          <w:highlight w:val="none"/>
        </w:rPr>
      </w:pPr>
      <w:r>
        <w:rPr>
          <w:rFonts w:cs="宋体"/>
          <w:color w:val="auto"/>
          <w:sz w:val="24"/>
          <w:szCs w:val="24"/>
          <w:highlight w:val="none"/>
        </w:rPr>
        <w:t>本工程质量保修书作为施工合同附件，由施工合同发包人承包人双方共同签署，其有效期限至保修期满。</w:t>
      </w:r>
    </w:p>
    <w:p>
      <w:pPr>
        <w:pStyle w:val="21"/>
        <w:tabs>
          <w:tab w:val="left" w:pos="4500"/>
        </w:tabs>
        <w:spacing w:line="320" w:lineRule="exact"/>
        <w:ind w:firstLine="540"/>
        <w:rPr>
          <w:rFonts w:cs="宋体"/>
          <w:color w:val="auto"/>
          <w:sz w:val="24"/>
          <w:szCs w:val="24"/>
          <w:highlight w:val="none"/>
        </w:rPr>
      </w:pPr>
    </w:p>
    <w:p>
      <w:pPr>
        <w:pStyle w:val="21"/>
        <w:tabs>
          <w:tab w:val="left" w:pos="4500"/>
        </w:tabs>
        <w:spacing w:line="320" w:lineRule="exact"/>
        <w:ind w:firstLine="540"/>
        <w:rPr>
          <w:rFonts w:cs="宋体"/>
          <w:color w:val="auto"/>
          <w:sz w:val="24"/>
          <w:szCs w:val="24"/>
          <w:highlight w:val="none"/>
        </w:rPr>
      </w:pPr>
    </w:p>
    <w:p>
      <w:pPr>
        <w:pStyle w:val="21"/>
        <w:tabs>
          <w:tab w:val="left" w:pos="4500"/>
        </w:tabs>
        <w:spacing w:line="320" w:lineRule="exact"/>
        <w:ind w:firstLine="540"/>
        <w:rPr>
          <w:rFonts w:cs="宋体"/>
          <w:color w:val="auto"/>
          <w:sz w:val="24"/>
          <w:szCs w:val="24"/>
          <w:highlight w:val="none"/>
        </w:rPr>
      </w:pPr>
      <w:r>
        <w:rPr>
          <w:rFonts w:cs="宋体"/>
          <w:color w:val="auto"/>
          <w:sz w:val="24"/>
          <w:szCs w:val="24"/>
          <w:highlight w:val="none"/>
        </w:rPr>
        <w:t xml:space="preserve">发  包  人（公章）： </w:t>
      </w:r>
      <w:r>
        <w:rPr>
          <w:rFonts w:cs="宋体"/>
          <w:color w:val="auto"/>
          <w:sz w:val="24"/>
          <w:szCs w:val="24"/>
          <w:highlight w:val="none"/>
        </w:rPr>
        <w:tab/>
      </w:r>
      <w:r>
        <w:rPr>
          <w:rFonts w:cs="宋体"/>
          <w:color w:val="auto"/>
          <w:sz w:val="24"/>
          <w:szCs w:val="24"/>
          <w:highlight w:val="none"/>
        </w:rPr>
        <w:t xml:space="preserve"> 承  包  人（公章）：</w:t>
      </w:r>
    </w:p>
    <w:p>
      <w:pPr>
        <w:pStyle w:val="21"/>
        <w:tabs>
          <w:tab w:val="left" w:pos="4500"/>
        </w:tabs>
        <w:spacing w:line="320" w:lineRule="exact"/>
        <w:ind w:firstLine="540"/>
        <w:rPr>
          <w:rFonts w:cs="宋体"/>
          <w:color w:val="auto"/>
          <w:sz w:val="24"/>
          <w:szCs w:val="24"/>
          <w:highlight w:val="none"/>
        </w:rPr>
      </w:pPr>
      <w:r>
        <w:rPr>
          <w:rFonts w:cs="宋体"/>
          <w:color w:val="auto"/>
          <w:sz w:val="24"/>
          <w:szCs w:val="24"/>
          <w:highlight w:val="none"/>
        </w:rPr>
        <w:t xml:space="preserve">法定代表人（签字）： </w:t>
      </w:r>
      <w:r>
        <w:rPr>
          <w:rFonts w:cs="宋体"/>
          <w:color w:val="auto"/>
          <w:sz w:val="24"/>
          <w:szCs w:val="24"/>
          <w:highlight w:val="none"/>
        </w:rPr>
        <w:tab/>
      </w:r>
      <w:r>
        <w:rPr>
          <w:rFonts w:cs="宋体"/>
          <w:color w:val="auto"/>
          <w:sz w:val="24"/>
          <w:szCs w:val="24"/>
          <w:highlight w:val="none"/>
        </w:rPr>
        <w:t xml:space="preserve"> 法定代表人（签字）：</w:t>
      </w:r>
    </w:p>
    <w:p>
      <w:pPr>
        <w:pStyle w:val="21"/>
        <w:tabs>
          <w:tab w:val="left" w:pos="4500"/>
        </w:tabs>
        <w:spacing w:line="320" w:lineRule="exact"/>
        <w:ind w:firstLine="540"/>
        <w:rPr>
          <w:rFonts w:cs="宋体"/>
          <w:color w:val="auto"/>
          <w:sz w:val="24"/>
          <w:szCs w:val="24"/>
          <w:highlight w:val="none"/>
          <w:u w:val="single"/>
        </w:rPr>
      </w:pPr>
      <w:r>
        <w:rPr>
          <w:rFonts w:cs="宋体"/>
          <w:color w:val="auto"/>
          <w:sz w:val="24"/>
          <w:szCs w:val="24"/>
          <w:highlight w:val="none"/>
          <w:u w:val="single"/>
        </w:rPr>
        <w:t xml:space="preserve">      </w:t>
      </w:r>
      <w:r>
        <w:rPr>
          <w:rFonts w:cs="宋体"/>
          <w:color w:val="auto"/>
          <w:sz w:val="24"/>
          <w:szCs w:val="24"/>
          <w:highlight w:val="none"/>
        </w:rPr>
        <w:t>年</w:t>
      </w:r>
      <w:r>
        <w:rPr>
          <w:rFonts w:cs="宋体"/>
          <w:color w:val="auto"/>
          <w:sz w:val="24"/>
          <w:szCs w:val="24"/>
          <w:highlight w:val="none"/>
          <w:u w:val="single"/>
        </w:rPr>
        <w:t xml:space="preserve">    </w:t>
      </w:r>
      <w:r>
        <w:rPr>
          <w:rFonts w:cs="宋体"/>
          <w:color w:val="auto"/>
          <w:sz w:val="24"/>
          <w:szCs w:val="24"/>
          <w:highlight w:val="none"/>
        </w:rPr>
        <w:t>月</w:t>
      </w:r>
      <w:r>
        <w:rPr>
          <w:rFonts w:cs="宋体"/>
          <w:color w:val="auto"/>
          <w:sz w:val="24"/>
          <w:szCs w:val="24"/>
          <w:highlight w:val="none"/>
          <w:u w:val="single"/>
        </w:rPr>
        <w:t xml:space="preserve">    </w:t>
      </w:r>
      <w:r>
        <w:rPr>
          <w:rFonts w:cs="宋体"/>
          <w:color w:val="auto"/>
          <w:sz w:val="24"/>
          <w:szCs w:val="24"/>
          <w:highlight w:val="none"/>
        </w:rPr>
        <w:t xml:space="preserve">日 </w:t>
      </w:r>
      <w:r>
        <w:rPr>
          <w:rFonts w:cs="宋体"/>
          <w:color w:val="auto"/>
          <w:sz w:val="24"/>
          <w:szCs w:val="24"/>
          <w:highlight w:val="none"/>
        </w:rPr>
        <w:tab/>
      </w:r>
      <w:r>
        <w:rPr>
          <w:rFonts w:cs="宋体"/>
          <w:color w:val="auto"/>
          <w:sz w:val="24"/>
          <w:szCs w:val="24"/>
          <w:highlight w:val="none"/>
        </w:rPr>
        <w:t xml:space="preserve">  </w:t>
      </w:r>
      <w:r>
        <w:rPr>
          <w:rFonts w:cs="宋体"/>
          <w:color w:val="auto"/>
          <w:sz w:val="24"/>
          <w:szCs w:val="24"/>
          <w:highlight w:val="none"/>
          <w:u w:val="single"/>
        </w:rPr>
        <w:t xml:space="preserve">    </w:t>
      </w:r>
      <w:r>
        <w:rPr>
          <w:rFonts w:cs="宋体"/>
          <w:color w:val="auto"/>
          <w:sz w:val="24"/>
          <w:szCs w:val="24"/>
          <w:highlight w:val="none"/>
        </w:rPr>
        <w:t xml:space="preserve"> 年 </w:t>
      </w:r>
      <w:r>
        <w:rPr>
          <w:rFonts w:cs="宋体"/>
          <w:color w:val="auto"/>
          <w:sz w:val="24"/>
          <w:szCs w:val="24"/>
          <w:highlight w:val="none"/>
          <w:u w:val="single"/>
        </w:rPr>
        <w:t xml:space="preserve">   </w:t>
      </w:r>
      <w:r>
        <w:rPr>
          <w:rFonts w:cs="宋体"/>
          <w:color w:val="auto"/>
          <w:sz w:val="24"/>
          <w:szCs w:val="24"/>
          <w:highlight w:val="none"/>
        </w:rPr>
        <w:t>月</w:t>
      </w:r>
      <w:r>
        <w:rPr>
          <w:rFonts w:cs="宋体"/>
          <w:color w:val="auto"/>
          <w:sz w:val="24"/>
          <w:szCs w:val="24"/>
          <w:highlight w:val="none"/>
          <w:u w:val="single"/>
        </w:rPr>
        <w:t xml:space="preserve">    </w:t>
      </w:r>
      <w:r>
        <w:rPr>
          <w:rFonts w:cs="宋体"/>
          <w:color w:val="auto"/>
          <w:sz w:val="24"/>
          <w:szCs w:val="24"/>
          <w:highlight w:val="none"/>
        </w:rPr>
        <w:t>日</w:t>
      </w:r>
    </w:p>
    <w:p>
      <w:pPr>
        <w:pStyle w:val="21"/>
        <w:tabs>
          <w:tab w:val="left" w:pos="4500"/>
        </w:tabs>
        <w:spacing w:line="320" w:lineRule="exact"/>
        <w:ind w:firstLine="540"/>
        <w:rPr>
          <w:rFonts w:cs="宋体"/>
          <w:color w:val="auto"/>
          <w:sz w:val="24"/>
          <w:szCs w:val="24"/>
          <w:highlight w:val="none"/>
          <w:u w:val="single"/>
        </w:rPr>
      </w:pPr>
    </w:p>
    <w:p>
      <w:pPr>
        <w:pStyle w:val="21"/>
        <w:tabs>
          <w:tab w:val="left" w:pos="4500"/>
        </w:tabs>
        <w:spacing w:line="320" w:lineRule="exact"/>
        <w:ind w:firstLine="540"/>
        <w:rPr>
          <w:rFonts w:hint="eastAsia" w:cs="宋体"/>
          <w:color w:val="auto"/>
          <w:sz w:val="24"/>
          <w:szCs w:val="24"/>
          <w:highlight w:val="none"/>
          <w:u w:val="single"/>
        </w:rPr>
      </w:pPr>
    </w:p>
    <w:p>
      <w:pPr>
        <w:pStyle w:val="21"/>
        <w:tabs>
          <w:tab w:val="left" w:pos="4500"/>
        </w:tabs>
        <w:spacing w:line="320" w:lineRule="exact"/>
        <w:ind w:firstLine="540"/>
        <w:rPr>
          <w:rFonts w:hint="eastAsia" w:cs="宋体"/>
          <w:color w:val="auto"/>
          <w:sz w:val="24"/>
          <w:szCs w:val="24"/>
          <w:highlight w:val="none"/>
          <w:u w:val="single"/>
        </w:rPr>
      </w:pPr>
    </w:p>
    <w:p>
      <w:pPr>
        <w:pStyle w:val="21"/>
        <w:tabs>
          <w:tab w:val="left" w:pos="4500"/>
        </w:tabs>
        <w:spacing w:line="320" w:lineRule="exact"/>
        <w:ind w:firstLine="540"/>
        <w:rPr>
          <w:rFonts w:hint="eastAsia" w:cs="宋体"/>
          <w:color w:val="auto"/>
          <w:sz w:val="24"/>
          <w:szCs w:val="24"/>
          <w:highlight w:val="none"/>
          <w:u w:val="single"/>
        </w:rPr>
      </w:pPr>
    </w:p>
    <w:p>
      <w:pPr>
        <w:pStyle w:val="21"/>
        <w:tabs>
          <w:tab w:val="left" w:pos="4500"/>
        </w:tabs>
        <w:spacing w:line="320" w:lineRule="exact"/>
        <w:ind w:firstLine="540"/>
        <w:rPr>
          <w:rFonts w:hint="eastAsia" w:cs="宋体"/>
          <w:color w:val="auto"/>
          <w:sz w:val="24"/>
          <w:szCs w:val="24"/>
          <w:highlight w:val="none"/>
          <w:u w:val="single"/>
        </w:rPr>
      </w:pPr>
    </w:p>
    <w:p>
      <w:pPr>
        <w:pStyle w:val="21"/>
        <w:tabs>
          <w:tab w:val="left" w:pos="4500"/>
        </w:tabs>
        <w:spacing w:line="320" w:lineRule="exact"/>
        <w:ind w:firstLine="540"/>
        <w:rPr>
          <w:rFonts w:hint="eastAsia" w:cs="宋体"/>
          <w:color w:val="auto"/>
          <w:sz w:val="24"/>
          <w:szCs w:val="24"/>
          <w:highlight w:val="none"/>
          <w:u w:val="single"/>
        </w:rPr>
      </w:pPr>
    </w:p>
    <w:p>
      <w:pPr>
        <w:pStyle w:val="21"/>
        <w:tabs>
          <w:tab w:val="left" w:pos="4500"/>
        </w:tabs>
        <w:spacing w:line="320" w:lineRule="exact"/>
        <w:ind w:firstLine="540"/>
        <w:rPr>
          <w:rFonts w:hint="eastAsia" w:cs="宋体"/>
          <w:color w:val="auto"/>
          <w:sz w:val="24"/>
          <w:szCs w:val="24"/>
          <w:highlight w:val="none"/>
          <w:u w:val="single"/>
        </w:rPr>
      </w:pPr>
    </w:p>
    <w:p>
      <w:pPr>
        <w:pStyle w:val="21"/>
        <w:tabs>
          <w:tab w:val="left" w:pos="4500"/>
        </w:tabs>
        <w:spacing w:line="320" w:lineRule="exact"/>
        <w:ind w:firstLine="540"/>
        <w:rPr>
          <w:rFonts w:hint="eastAsia" w:cs="宋体"/>
          <w:color w:val="auto"/>
          <w:sz w:val="24"/>
          <w:szCs w:val="24"/>
          <w:highlight w:val="none"/>
          <w:u w:val="single"/>
        </w:rPr>
      </w:pPr>
    </w:p>
    <w:p>
      <w:pPr>
        <w:spacing w:line="336" w:lineRule="auto"/>
        <w:ind w:right="-153" w:rightChars="-73"/>
        <w:jc w:val="center"/>
        <w:rPr>
          <w:rFonts w:hint="eastAsia" w:ascii="宋体" w:hAnsi="宋体"/>
          <w:b/>
          <w:color w:val="auto"/>
          <w:sz w:val="24"/>
          <w:highlight w:val="none"/>
        </w:rPr>
      </w:pPr>
      <w:bookmarkStart w:id="128" w:name="_Toc233189724"/>
      <w:bookmarkEnd w:id="128"/>
      <w:r>
        <w:rPr>
          <w:color w:val="auto"/>
          <w:sz w:val="28"/>
          <w:highlight w:val="none"/>
        </w:rPr>
        <w:br w:type="page"/>
      </w:r>
    </w:p>
    <w:p>
      <w:pPr>
        <w:pStyle w:val="140"/>
        <w:jc w:val="center"/>
        <w:rPr>
          <w:rFonts w:hint="eastAsia" w:ascii="宋体" w:hAnsi="宋体" w:eastAsia="宋体"/>
          <w:color w:val="auto"/>
          <w:highlight w:val="none"/>
        </w:rPr>
      </w:pPr>
      <w:bookmarkStart w:id="129" w:name="_Toc238102278"/>
      <w:bookmarkStart w:id="130" w:name="_Toc152042546"/>
      <w:bookmarkStart w:id="131" w:name="_Toc272158243"/>
      <w:bookmarkStart w:id="132" w:name="_Toc152045767"/>
      <w:bookmarkStart w:id="133" w:name="_Toc144974826"/>
      <w:r>
        <w:rPr>
          <w:rFonts w:hint="eastAsia" w:ascii="宋体" w:hAnsi="宋体" w:eastAsia="宋体"/>
          <w:color w:val="auto"/>
          <w:highlight w:val="none"/>
        </w:rPr>
        <w:t>第三节  合同附件格式</w:t>
      </w:r>
      <w:bookmarkEnd w:id="129"/>
      <w:bookmarkEnd w:id="130"/>
      <w:bookmarkEnd w:id="131"/>
      <w:bookmarkEnd w:id="132"/>
      <w:bookmarkEnd w:id="133"/>
    </w:p>
    <w:p>
      <w:pPr>
        <w:pStyle w:val="140"/>
        <w:jc w:val="center"/>
        <w:rPr>
          <w:rFonts w:hint="eastAsia" w:ascii="宋体" w:hAnsi="宋体" w:eastAsia="宋体"/>
          <w:color w:val="auto"/>
          <w:highlight w:val="none"/>
        </w:rPr>
      </w:pPr>
    </w:p>
    <w:p>
      <w:pPr>
        <w:pStyle w:val="169"/>
        <w:rPr>
          <w:rFonts w:hint="eastAsia" w:ascii="宋体" w:hAnsi="宋体" w:eastAsia="宋体"/>
          <w:color w:val="auto"/>
          <w:highlight w:val="none"/>
        </w:rPr>
      </w:pPr>
      <w:bookmarkStart w:id="134" w:name="_Toc238102279"/>
      <w:bookmarkStart w:id="135" w:name="_Toc152045768"/>
      <w:bookmarkStart w:id="136" w:name="_Toc272158244"/>
      <w:bookmarkStart w:id="137" w:name="_Toc144974827"/>
      <w:bookmarkStart w:id="138" w:name="_Toc179632786"/>
      <w:bookmarkStart w:id="139" w:name="_Toc152042547"/>
      <w:bookmarkStart w:id="140" w:name="_Toc216498925"/>
      <w:r>
        <w:rPr>
          <w:rFonts w:hint="eastAsia" w:ascii="宋体" w:hAnsi="宋体" w:eastAsia="宋体"/>
          <w:color w:val="auto"/>
          <w:highlight w:val="none"/>
        </w:rPr>
        <w:t>附件：合同协议书</w:t>
      </w:r>
      <w:bookmarkEnd w:id="134"/>
      <w:bookmarkEnd w:id="135"/>
      <w:bookmarkEnd w:id="136"/>
      <w:bookmarkEnd w:id="137"/>
      <w:bookmarkEnd w:id="138"/>
      <w:bookmarkEnd w:id="139"/>
      <w:bookmarkEnd w:id="140"/>
    </w:p>
    <w:p>
      <w:pPr>
        <w:spacing w:line="400" w:lineRule="exact"/>
        <w:rPr>
          <w:rFonts w:ascii="宋体" w:hAnsi="宋体"/>
          <w:color w:val="auto"/>
          <w:highlight w:val="none"/>
        </w:rPr>
      </w:pPr>
    </w:p>
    <w:p>
      <w:pPr>
        <w:spacing w:line="440" w:lineRule="exact"/>
        <w:jc w:val="center"/>
        <w:rPr>
          <w:rFonts w:hint="eastAsia" w:ascii="宋体" w:hAnsi="宋体"/>
          <w:color w:val="auto"/>
          <w:sz w:val="28"/>
          <w:szCs w:val="28"/>
          <w:highlight w:val="none"/>
        </w:rPr>
      </w:pPr>
      <w:r>
        <w:rPr>
          <w:rFonts w:hint="eastAsia" w:ascii="宋体" w:hAnsi="宋体"/>
          <w:color w:val="auto"/>
          <w:sz w:val="28"/>
          <w:szCs w:val="28"/>
          <w:highlight w:val="none"/>
        </w:rPr>
        <w:t>合同协议书</w:t>
      </w:r>
    </w:p>
    <w:p>
      <w:pPr>
        <w:spacing w:line="440" w:lineRule="exact"/>
        <w:ind w:firstLine="42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（发包人名称，以下简称“发包人”）为实施</w:t>
      </w:r>
      <w:r>
        <w:rPr>
          <w:rFonts w:ascii="宋体" w:hAnsi="宋体"/>
          <w:color w:val="auto"/>
          <w:szCs w:val="21"/>
          <w:highlight w:val="none"/>
          <w:u w:val="single"/>
        </w:rPr>
        <w:t xml:space="preserve">                        </w:t>
      </w:r>
      <w:r>
        <w:rPr>
          <w:rFonts w:ascii="宋体" w:hAnsi="宋体"/>
          <w:color w:val="auto"/>
          <w:szCs w:val="21"/>
          <w:highlight w:val="none"/>
        </w:rPr>
        <w:t>（项目名称），已接受</w:t>
      </w:r>
      <w:r>
        <w:rPr>
          <w:rFonts w:ascii="宋体" w:hAnsi="宋体"/>
          <w:color w:val="auto"/>
          <w:szCs w:val="21"/>
          <w:highlight w:val="none"/>
          <w:u w:val="single"/>
        </w:rPr>
        <w:t xml:space="preserve">        </w:t>
      </w:r>
      <w:r>
        <w:rPr>
          <w:rFonts w:ascii="宋体" w:hAnsi="宋体"/>
          <w:color w:val="auto"/>
          <w:szCs w:val="21"/>
          <w:highlight w:val="none"/>
        </w:rPr>
        <w:t>（承包人名称，以下简称“承包人”）对该项目</w:t>
      </w:r>
      <w:r>
        <w:rPr>
          <w:rFonts w:ascii="宋体" w:hAnsi="宋体"/>
          <w:color w:val="auto"/>
          <w:szCs w:val="21"/>
          <w:highlight w:val="none"/>
          <w:u w:val="single"/>
        </w:rPr>
        <w:t xml:space="preserve">     </w:t>
      </w:r>
      <w:r>
        <w:rPr>
          <w:rFonts w:ascii="宋体" w:hAnsi="宋体"/>
          <w:color w:val="auto"/>
          <w:szCs w:val="21"/>
          <w:highlight w:val="none"/>
        </w:rPr>
        <w:t>标段施工</w:t>
      </w:r>
      <w:r>
        <w:rPr>
          <w:rFonts w:hint="eastAsia" w:ascii="宋体" w:hAnsi="宋体"/>
          <w:color w:val="auto"/>
          <w:szCs w:val="21"/>
          <w:highlight w:val="none"/>
        </w:rPr>
        <w:t>的</w:t>
      </w:r>
      <w:r>
        <w:rPr>
          <w:rFonts w:ascii="宋体" w:hAnsi="宋体"/>
          <w:color w:val="auto"/>
          <w:szCs w:val="21"/>
          <w:highlight w:val="none"/>
        </w:rPr>
        <w:t>投标。发包人和承包人共同达成如下协议。</w:t>
      </w:r>
    </w:p>
    <w:p>
      <w:pPr>
        <w:spacing w:line="440" w:lineRule="exact"/>
        <w:ind w:firstLine="359" w:firstLineChars="171"/>
        <w:rPr>
          <w:rFonts w:ascii="宋体" w:hAnsi="宋体"/>
          <w:color w:val="auto"/>
          <w:szCs w:val="21"/>
          <w:highlight w:val="none"/>
        </w:rPr>
      </w:pPr>
      <w:bookmarkStart w:id="141" w:name="_Toc144974828"/>
      <w:bookmarkStart w:id="142" w:name="_Toc152042548"/>
      <w:r>
        <w:rPr>
          <w:rFonts w:ascii="宋体" w:hAnsi="宋体"/>
          <w:color w:val="auto"/>
          <w:szCs w:val="21"/>
          <w:highlight w:val="none"/>
        </w:rPr>
        <w:t>1. 本协议书与下列文件一起构成合同文件：</w:t>
      </w:r>
      <w:bookmarkEnd w:id="141"/>
      <w:bookmarkEnd w:id="142"/>
    </w:p>
    <w:p>
      <w:pPr>
        <w:spacing w:line="440" w:lineRule="exact"/>
        <w:ind w:firstLine="718" w:firstLineChars="342"/>
        <w:rPr>
          <w:rFonts w:ascii="宋体" w:hAnsi="宋体"/>
          <w:color w:val="auto"/>
          <w:szCs w:val="21"/>
          <w:highlight w:val="none"/>
        </w:rPr>
      </w:pPr>
      <w:r>
        <w:rPr>
          <w:rFonts w:ascii="宋体" w:hAnsi="宋体"/>
          <w:color w:val="auto"/>
          <w:szCs w:val="21"/>
          <w:highlight w:val="none"/>
        </w:rPr>
        <w:t>（1）中标通知书；</w:t>
      </w:r>
    </w:p>
    <w:p>
      <w:pPr>
        <w:spacing w:line="440" w:lineRule="exact"/>
        <w:ind w:firstLine="718" w:firstLineChars="342"/>
        <w:rPr>
          <w:rFonts w:ascii="宋体" w:hAnsi="宋体"/>
          <w:color w:val="auto"/>
          <w:szCs w:val="21"/>
          <w:highlight w:val="none"/>
        </w:rPr>
      </w:pPr>
      <w:r>
        <w:rPr>
          <w:rFonts w:ascii="宋体" w:hAnsi="宋体"/>
          <w:color w:val="auto"/>
          <w:szCs w:val="21"/>
          <w:highlight w:val="none"/>
        </w:rPr>
        <w:t>（2）投标函及投标函附录；</w:t>
      </w:r>
    </w:p>
    <w:p>
      <w:pPr>
        <w:spacing w:line="440" w:lineRule="exact"/>
        <w:ind w:firstLine="718" w:firstLineChars="342"/>
        <w:rPr>
          <w:rFonts w:ascii="宋体" w:hAnsi="宋体"/>
          <w:color w:val="auto"/>
          <w:szCs w:val="21"/>
          <w:highlight w:val="none"/>
        </w:rPr>
      </w:pPr>
      <w:r>
        <w:rPr>
          <w:rFonts w:ascii="宋体" w:hAnsi="宋体"/>
          <w:color w:val="auto"/>
          <w:szCs w:val="21"/>
          <w:highlight w:val="none"/>
        </w:rPr>
        <w:t>（3）专用合同条款；</w:t>
      </w:r>
    </w:p>
    <w:p>
      <w:pPr>
        <w:spacing w:line="440" w:lineRule="exact"/>
        <w:ind w:firstLine="718" w:firstLineChars="342"/>
        <w:rPr>
          <w:rFonts w:ascii="宋体" w:hAnsi="宋体"/>
          <w:color w:val="auto"/>
          <w:szCs w:val="21"/>
          <w:highlight w:val="none"/>
        </w:rPr>
      </w:pPr>
      <w:r>
        <w:rPr>
          <w:rFonts w:ascii="宋体" w:hAnsi="宋体"/>
          <w:color w:val="auto"/>
          <w:szCs w:val="21"/>
          <w:highlight w:val="none"/>
        </w:rPr>
        <w:t>（4）通用合同条款；</w:t>
      </w:r>
    </w:p>
    <w:p>
      <w:pPr>
        <w:spacing w:line="440" w:lineRule="exact"/>
        <w:ind w:firstLine="718" w:firstLineChars="342"/>
        <w:rPr>
          <w:rFonts w:ascii="宋体" w:hAnsi="宋体"/>
          <w:color w:val="auto"/>
          <w:szCs w:val="21"/>
          <w:highlight w:val="none"/>
        </w:rPr>
      </w:pPr>
      <w:r>
        <w:rPr>
          <w:rFonts w:ascii="宋体" w:hAnsi="宋体"/>
          <w:color w:val="auto"/>
          <w:szCs w:val="21"/>
          <w:highlight w:val="none"/>
        </w:rPr>
        <w:t>（5）技术标准和要求；</w:t>
      </w:r>
    </w:p>
    <w:p>
      <w:pPr>
        <w:spacing w:line="440" w:lineRule="exact"/>
        <w:ind w:firstLine="718" w:firstLineChars="342"/>
        <w:rPr>
          <w:rFonts w:ascii="宋体" w:hAnsi="宋体"/>
          <w:color w:val="auto"/>
          <w:szCs w:val="21"/>
          <w:highlight w:val="none"/>
        </w:rPr>
      </w:pPr>
      <w:r>
        <w:rPr>
          <w:rFonts w:ascii="宋体" w:hAnsi="宋体"/>
          <w:color w:val="auto"/>
          <w:szCs w:val="21"/>
          <w:highlight w:val="none"/>
        </w:rPr>
        <w:t>（6）图纸；</w:t>
      </w:r>
    </w:p>
    <w:p>
      <w:pPr>
        <w:spacing w:line="440" w:lineRule="exact"/>
        <w:ind w:firstLine="718" w:firstLineChars="342"/>
        <w:rPr>
          <w:rFonts w:ascii="宋体" w:hAnsi="宋体"/>
          <w:color w:val="auto"/>
          <w:szCs w:val="21"/>
          <w:highlight w:val="none"/>
        </w:rPr>
      </w:pPr>
      <w:r>
        <w:rPr>
          <w:rFonts w:ascii="宋体" w:hAnsi="宋体"/>
          <w:color w:val="auto"/>
          <w:szCs w:val="21"/>
          <w:highlight w:val="none"/>
        </w:rPr>
        <w:t>（7）已标价工程量清单；</w:t>
      </w:r>
    </w:p>
    <w:p>
      <w:pPr>
        <w:spacing w:line="440" w:lineRule="exact"/>
        <w:ind w:firstLine="718" w:firstLineChars="342"/>
        <w:rPr>
          <w:rFonts w:hint="eastAsia" w:ascii="宋体" w:hAnsi="宋体"/>
          <w:color w:val="auto"/>
          <w:szCs w:val="21"/>
          <w:highlight w:val="none"/>
        </w:rPr>
      </w:pPr>
      <w:r>
        <w:rPr>
          <w:rFonts w:ascii="宋体" w:hAnsi="宋体"/>
          <w:color w:val="auto"/>
          <w:szCs w:val="21"/>
          <w:highlight w:val="none"/>
        </w:rPr>
        <w:t>（8）其他合同文件。</w:t>
      </w:r>
    </w:p>
    <w:p>
      <w:pPr>
        <w:spacing w:line="440" w:lineRule="exact"/>
        <w:ind w:firstLine="359" w:firstLineChars="171"/>
        <w:rPr>
          <w:rFonts w:ascii="宋体" w:hAnsi="宋体"/>
          <w:color w:val="auto"/>
          <w:szCs w:val="21"/>
          <w:highlight w:val="none"/>
        </w:rPr>
      </w:pPr>
      <w:bookmarkStart w:id="143" w:name="_Toc144974829"/>
      <w:bookmarkStart w:id="144" w:name="_Toc152042549"/>
      <w:r>
        <w:rPr>
          <w:rFonts w:ascii="宋体" w:hAnsi="宋体"/>
          <w:color w:val="auto"/>
          <w:szCs w:val="21"/>
          <w:highlight w:val="none"/>
        </w:rPr>
        <w:t>2. 上述文件互相补充和解释，如有不明确或不一致之处，以合同约定次序在先者为准。</w:t>
      </w:r>
      <w:bookmarkEnd w:id="143"/>
      <w:bookmarkEnd w:id="144"/>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签约合同价：人民币（大写）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59" w:firstLineChars="171"/>
        <w:rPr>
          <w:rFonts w:ascii="宋体" w:hAnsi="宋体"/>
          <w:color w:val="auto"/>
          <w:szCs w:val="21"/>
          <w:highlight w:val="none"/>
          <w:u w:val="single"/>
        </w:rPr>
      </w:pPr>
      <w:r>
        <w:rPr>
          <w:rFonts w:ascii="宋体" w:hAnsi="宋体"/>
          <w:color w:val="auto"/>
          <w:szCs w:val="21"/>
          <w:highlight w:val="none"/>
        </w:rPr>
        <w:t xml:space="preserve">4. </w:t>
      </w:r>
      <w:r>
        <w:rPr>
          <w:rFonts w:hint="eastAsia" w:ascii="宋体" w:hAnsi="宋体"/>
          <w:color w:val="auto"/>
          <w:szCs w:val="21"/>
          <w:highlight w:val="none"/>
        </w:rPr>
        <w:t>承包人</w:t>
      </w:r>
      <w:r>
        <w:rPr>
          <w:rFonts w:ascii="宋体" w:hAnsi="宋体"/>
          <w:color w:val="auto"/>
          <w:szCs w:val="21"/>
          <w:highlight w:val="none"/>
        </w:rPr>
        <w:t>项目经理：</w:t>
      </w:r>
      <w:r>
        <w:rPr>
          <w:rFonts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 工程质量符合</w:t>
      </w:r>
      <w:r>
        <w:rPr>
          <w:rFonts w:ascii="宋体" w:hAnsi="宋体"/>
          <w:color w:val="auto"/>
          <w:szCs w:val="21"/>
          <w:highlight w:val="none"/>
          <w:u w:val="single"/>
        </w:rPr>
        <w:t xml:space="preserve">             </w:t>
      </w:r>
      <w:r>
        <w:rPr>
          <w:rFonts w:ascii="宋体" w:hAnsi="宋体"/>
          <w:color w:val="auto"/>
          <w:szCs w:val="21"/>
          <w:highlight w:val="none"/>
        </w:rPr>
        <w:t>标准。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 承包人承诺按合同约定承担工程的实施、完成及缺陷修复。</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7. 发包人承诺按合同约定的条件、时间和方式向承包人支付合同价款。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8. 承包人应按照监理人指示开工，工期为</w:t>
      </w:r>
      <w:r>
        <w:rPr>
          <w:rFonts w:ascii="宋体" w:hAnsi="宋体"/>
          <w:color w:val="auto"/>
          <w:szCs w:val="21"/>
          <w:highlight w:val="none"/>
          <w:u w:val="single"/>
        </w:rPr>
        <w:t xml:space="preserve">    </w:t>
      </w:r>
      <w:r>
        <w:rPr>
          <w:rFonts w:hint="eastAsia" w:ascii="宋体" w:hAnsi="宋体"/>
          <w:color w:val="auto"/>
          <w:szCs w:val="21"/>
          <w:highlight w:val="none"/>
        </w:rPr>
        <w:t>天</w:t>
      </w:r>
      <w:r>
        <w:rPr>
          <w:rFonts w:ascii="宋体" w:hAnsi="宋体"/>
          <w:color w:val="auto"/>
          <w:szCs w:val="21"/>
          <w:highlight w:val="none"/>
        </w:rPr>
        <w:t>。</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9. 本协议书一式</w:t>
      </w:r>
      <w:r>
        <w:rPr>
          <w:rFonts w:ascii="宋体" w:hAnsi="宋体"/>
          <w:color w:val="auto"/>
          <w:szCs w:val="21"/>
          <w:highlight w:val="none"/>
          <w:u w:val="single"/>
        </w:rPr>
        <w:t xml:space="preserve">     </w:t>
      </w:r>
      <w:r>
        <w:rPr>
          <w:rFonts w:ascii="宋体" w:hAnsi="宋体"/>
          <w:color w:val="auto"/>
          <w:szCs w:val="21"/>
          <w:highlight w:val="none"/>
        </w:rPr>
        <w:t>份，合同双方各执一份。</w:t>
      </w:r>
    </w:p>
    <w:p>
      <w:pPr>
        <w:spacing w:line="440" w:lineRule="exact"/>
        <w:ind w:firstLine="359" w:firstLineChars="171"/>
        <w:rPr>
          <w:rFonts w:ascii="宋体" w:hAnsi="宋体"/>
          <w:color w:val="auto"/>
          <w:szCs w:val="21"/>
          <w:highlight w:val="none"/>
        </w:rPr>
      </w:pPr>
      <w:bookmarkStart w:id="145" w:name="_Toc144974830"/>
      <w:bookmarkStart w:id="146" w:name="_Toc152042550"/>
      <w:r>
        <w:rPr>
          <w:rFonts w:ascii="宋体" w:hAnsi="宋体"/>
          <w:color w:val="auto"/>
          <w:szCs w:val="21"/>
          <w:highlight w:val="none"/>
        </w:rPr>
        <w:t>10. 合同未尽事宜，双方另行签订补充协议。补充协议是合同的组成部分。</w:t>
      </w:r>
      <w:bookmarkEnd w:id="145"/>
      <w:bookmarkEnd w:id="146"/>
    </w:p>
    <w:p>
      <w:pPr>
        <w:spacing w:line="440" w:lineRule="exact"/>
        <w:ind w:firstLine="359" w:firstLineChars="171"/>
        <w:rPr>
          <w:rFonts w:ascii="宋体" w:hAns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t>发包人：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r>
        <w:rPr>
          <w:rFonts w:hint="eastAsia" w:ascii="宋体" w:hAnsi="宋体"/>
          <w:color w:val="auto"/>
          <w:szCs w:val="21"/>
          <w:highlight w:val="none"/>
        </w:rPr>
        <w:t xml:space="preserve">     </w:t>
      </w:r>
      <w:r>
        <w:rPr>
          <w:rFonts w:ascii="宋体" w:hAnsi="宋体"/>
          <w:color w:val="auto"/>
          <w:szCs w:val="21"/>
          <w:highlight w:val="none"/>
        </w:rPr>
        <w:t>承包人：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（盖单位章）</w:t>
      </w:r>
    </w:p>
    <w:p>
      <w:pPr>
        <w:spacing w:line="440" w:lineRule="exact"/>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r>
        <w:rPr>
          <w:rFonts w:hint="eastAsia" w:ascii="宋体" w:hAnsi="宋体"/>
          <w:color w:val="auto"/>
          <w:szCs w:val="21"/>
          <w:highlight w:val="none"/>
        </w:rPr>
        <w:t xml:space="preserve">    </w:t>
      </w: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pPr>
        <w:spacing w:line="440" w:lineRule="exact"/>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月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日</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月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pPr>
        <w:ind w:firstLine="600" w:firstLineChars="250"/>
        <w:rPr>
          <w:rFonts w:asciiTheme="minorEastAsia" w:hAnsiTheme="minorEastAsia" w:cstheme="minorEastAsia"/>
          <w:color w:val="auto"/>
          <w:sz w:val="24"/>
        </w:rPr>
      </w:pPr>
    </w:p>
    <w:p>
      <w:pPr>
        <w:pStyle w:val="21"/>
        <w:jc w:val="center"/>
        <w:rPr>
          <w:rFonts w:hint="default" w:asciiTheme="minorEastAsia" w:hAnsiTheme="minorEastAsia" w:eastAsiaTheme="minorEastAsia" w:cstheme="minorEastAsia"/>
          <w:b/>
          <w:color w:val="auto"/>
          <w:sz w:val="24"/>
          <w:szCs w:val="24"/>
        </w:rPr>
      </w:pPr>
    </w:p>
    <w:p>
      <w:pPr>
        <w:pStyle w:val="21"/>
        <w:jc w:val="center"/>
        <w:rPr>
          <w:rFonts w:hint="default" w:asciiTheme="minorEastAsia" w:hAnsiTheme="minorEastAsia" w:eastAsiaTheme="minorEastAsia" w:cstheme="minorEastAsia"/>
          <w:b/>
          <w:color w:val="auto"/>
          <w:sz w:val="24"/>
          <w:szCs w:val="24"/>
        </w:rPr>
      </w:pPr>
    </w:p>
    <w:p>
      <w:pPr>
        <w:pStyle w:val="21"/>
        <w:jc w:val="center"/>
        <w:rPr>
          <w:rFonts w:hAnsi="宋体"/>
          <w:b/>
          <w:bCs/>
          <w:color w:val="auto"/>
          <w:sz w:val="44"/>
          <w:szCs w:val="44"/>
        </w:rPr>
      </w:pPr>
      <w:r>
        <w:rPr>
          <w:rFonts w:hint="eastAsia" w:hAnsi="宋体"/>
          <w:b/>
          <w:bCs/>
          <w:color w:val="auto"/>
          <w:sz w:val="44"/>
          <w:szCs w:val="44"/>
        </w:rPr>
        <w:t xml:space="preserve"> </w:t>
      </w:r>
      <w:bookmarkStart w:id="147" w:name="_Toc7543_WPSOffice_Level1"/>
      <w:bookmarkStart w:id="148" w:name="_Toc32314_WPSOffice_Level1"/>
      <w:r>
        <w:rPr>
          <w:rFonts w:hint="eastAsia" w:hAnsi="宋体"/>
          <w:b/>
          <w:bCs/>
          <w:color w:val="auto"/>
          <w:sz w:val="44"/>
          <w:szCs w:val="44"/>
        </w:rPr>
        <w:t xml:space="preserve">第五章 </w:t>
      </w:r>
      <w:bookmarkStart w:id="149" w:name="_Toc25494_WPSOffice_Level1"/>
      <w:r>
        <w:rPr>
          <w:rFonts w:hint="eastAsia" w:hAnsi="宋体"/>
          <w:b/>
          <w:bCs/>
          <w:color w:val="auto"/>
          <w:sz w:val="44"/>
          <w:szCs w:val="44"/>
        </w:rPr>
        <w:t>竞争性磋商响应文件（格式）</w:t>
      </w:r>
      <w:bookmarkEnd w:id="147"/>
      <w:bookmarkEnd w:id="148"/>
      <w:bookmarkEnd w:id="149"/>
    </w:p>
    <w:p>
      <w:pPr>
        <w:pStyle w:val="21"/>
        <w:jc w:val="center"/>
        <w:rPr>
          <w:rFonts w:hAnsi="宋体"/>
          <w:color w:val="auto"/>
          <w:sz w:val="36"/>
          <w:szCs w:val="36"/>
        </w:rPr>
      </w:pPr>
      <w:r>
        <w:rPr>
          <w:rFonts w:hint="eastAsia" w:hAnsi="宋体"/>
          <w:color w:val="auto"/>
          <w:sz w:val="36"/>
          <w:szCs w:val="36"/>
        </w:rPr>
        <w:t>（封面格式）</w:t>
      </w:r>
    </w:p>
    <w:p>
      <w:pPr>
        <w:pStyle w:val="21"/>
        <w:jc w:val="center"/>
        <w:rPr>
          <w:rFonts w:hAnsi="宋体"/>
          <w:color w:val="auto"/>
          <w:sz w:val="36"/>
          <w:szCs w:val="36"/>
        </w:rPr>
      </w:pPr>
    </w:p>
    <w:p>
      <w:pPr>
        <w:pStyle w:val="21"/>
        <w:ind w:firstLine="720" w:firstLineChars="200"/>
        <w:rPr>
          <w:rFonts w:hAnsi="宋体"/>
          <w:color w:val="auto"/>
          <w:sz w:val="36"/>
          <w:szCs w:val="36"/>
        </w:rPr>
      </w:pPr>
      <w:r>
        <w:rPr>
          <w:rFonts w:hint="eastAsia" w:hAnsi="宋体"/>
          <w:color w:val="auto"/>
          <w:sz w:val="36"/>
          <w:szCs w:val="36"/>
          <w:u w:val="single"/>
        </w:rPr>
        <w:t xml:space="preserve"> 正/副 </w:t>
      </w:r>
      <w:r>
        <w:rPr>
          <w:rFonts w:hint="eastAsia" w:hAnsi="宋体"/>
          <w:color w:val="auto"/>
          <w:sz w:val="36"/>
          <w:szCs w:val="36"/>
        </w:rPr>
        <w:t>本</w:t>
      </w:r>
    </w:p>
    <w:p>
      <w:pPr>
        <w:pStyle w:val="21"/>
        <w:jc w:val="center"/>
        <w:rPr>
          <w:rFonts w:hAnsi="宋体"/>
          <w:color w:val="auto"/>
          <w:sz w:val="36"/>
          <w:szCs w:val="36"/>
        </w:rPr>
      </w:pPr>
    </w:p>
    <w:p>
      <w:pPr>
        <w:pStyle w:val="21"/>
        <w:jc w:val="center"/>
        <w:rPr>
          <w:rFonts w:hAnsi="宋体"/>
          <w:color w:val="auto"/>
          <w:sz w:val="36"/>
          <w:szCs w:val="36"/>
        </w:rPr>
      </w:pPr>
      <w:r>
        <w:rPr>
          <w:rFonts w:hint="eastAsia" w:hAnsi="宋体"/>
          <w:color w:val="auto"/>
          <w:sz w:val="36"/>
          <w:szCs w:val="36"/>
        </w:rPr>
        <w:t>××××××（磋商人名称）</w:t>
      </w:r>
    </w:p>
    <w:p>
      <w:pPr>
        <w:pStyle w:val="21"/>
        <w:jc w:val="center"/>
        <w:rPr>
          <w:rFonts w:hAnsi="宋体"/>
          <w:color w:val="auto"/>
          <w:sz w:val="36"/>
          <w:szCs w:val="36"/>
        </w:rPr>
      </w:pPr>
    </w:p>
    <w:p>
      <w:pPr>
        <w:pStyle w:val="21"/>
        <w:jc w:val="center"/>
        <w:rPr>
          <w:rFonts w:hAnsi="宋体"/>
          <w:color w:val="auto"/>
          <w:sz w:val="36"/>
          <w:szCs w:val="36"/>
        </w:rPr>
      </w:pPr>
    </w:p>
    <w:p>
      <w:pPr>
        <w:pStyle w:val="21"/>
        <w:jc w:val="center"/>
        <w:rPr>
          <w:rFonts w:hAnsi="宋体"/>
          <w:b/>
          <w:bCs/>
          <w:color w:val="auto"/>
          <w:sz w:val="72"/>
          <w:szCs w:val="72"/>
        </w:rPr>
      </w:pPr>
      <w:r>
        <w:rPr>
          <w:rFonts w:hint="eastAsia" w:hAnsi="宋体"/>
          <w:b/>
          <w:bCs/>
          <w:color w:val="auto"/>
          <w:sz w:val="72"/>
          <w:szCs w:val="72"/>
        </w:rPr>
        <w:t>竞争性磋商响应文件</w:t>
      </w:r>
    </w:p>
    <w:p>
      <w:pPr>
        <w:pStyle w:val="21"/>
        <w:jc w:val="center"/>
        <w:rPr>
          <w:rFonts w:hAnsi="宋体"/>
          <w:color w:val="auto"/>
          <w:sz w:val="36"/>
          <w:szCs w:val="36"/>
        </w:rPr>
      </w:pPr>
    </w:p>
    <w:p>
      <w:pPr>
        <w:pStyle w:val="21"/>
        <w:jc w:val="center"/>
        <w:rPr>
          <w:rFonts w:hAnsi="宋体"/>
          <w:color w:val="auto"/>
          <w:sz w:val="36"/>
          <w:szCs w:val="36"/>
        </w:rPr>
      </w:pPr>
    </w:p>
    <w:p>
      <w:pPr>
        <w:pStyle w:val="21"/>
        <w:ind w:firstLine="1619" w:firstLineChars="504"/>
        <w:jc w:val="left"/>
        <w:rPr>
          <w:rFonts w:hAnsi="宋体"/>
          <w:b/>
          <w:bCs/>
          <w:color w:val="auto"/>
          <w:sz w:val="32"/>
          <w:szCs w:val="32"/>
          <w:u w:val="single"/>
        </w:rPr>
      </w:pPr>
      <w:r>
        <w:rPr>
          <w:rFonts w:hint="eastAsia" w:hAnsi="宋体"/>
          <w:b/>
          <w:bCs/>
          <w:color w:val="auto"/>
          <w:sz w:val="32"/>
          <w:szCs w:val="32"/>
        </w:rPr>
        <w:t>项目名称：</w:t>
      </w:r>
    </w:p>
    <w:p>
      <w:pPr>
        <w:pStyle w:val="21"/>
        <w:ind w:firstLine="1619" w:firstLineChars="504"/>
        <w:rPr>
          <w:rFonts w:hAnsi="宋体"/>
          <w:b/>
          <w:bCs/>
          <w:color w:val="auto"/>
          <w:sz w:val="32"/>
          <w:szCs w:val="32"/>
          <w:u w:val="single"/>
        </w:rPr>
      </w:pPr>
      <w:r>
        <w:rPr>
          <w:rFonts w:hint="eastAsia" w:hAnsi="宋体"/>
          <w:b/>
          <w:bCs/>
          <w:color w:val="auto"/>
          <w:sz w:val="32"/>
          <w:szCs w:val="32"/>
        </w:rPr>
        <w:t>项目编号：</w:t>
      </w:r>
    </w:p>
    <w:p>
      <w:pPr>
        <w:pStyle w:val="21"/>
        <w:ind w:firstLine="2380" w:firstLineChars="850"/>
        <w:jc w:val="left"/>
        <w:rPr>
          <w:rFonts w:hAnsi="宋体"/>
          <w:color w:val="auto"/>
          <w:sz w:val="28"/>
          <w:szCs w:val="28"/>
        </w:rPr>
      </w:pPr>
    </w:p>
    <w:p>
      <w:pPr>
        <w:pStyle w:val="22"/>
        <w:ind w:left="5250"/>
        <w:rPr>
          <w:color w:val="auto"/>
        </w:rPr>
      </w:pPr>
    </w:p>
    <w:p>
      <w:pPr>
        <w:pStyle w:val="21"/>
        <w:ind w:firstLine="1980" w:firstLineChars="660"/>
        <w:jc w:val="left"/>
        <w:rPr>
          <w:rFonts w:hAnsi="宋体"/>
          <w:color w:val="auto"/>
          <w:sz w:val="30"/>
          <w:szCs w:val="30"/>
          <w:u w:val="single"/>
        </w:rPr>
      </w:pPr>
      <w:r>
        <w:rPr>
          <w:rFonts w:hint="eastAsia" w:hAnsi="宋体"/>
          <w:color w:val="auto"/>
          <w:sz w:val="30"/>
          <w:szCs w:val="30"/>
        </w:rPr>
        <w:t>磋商人：</w:t>
      </w:r>
      <w:r>
        <w:rPr>
          <w:rFonts w:hint="eastAsia" w:hAnsi="宋体"/>
          <w:color w:val="auto"/>
          <w:sz w:val="30"/>
          <w:szCs w:val="30"/>
          <w:u w:val="single"/>
        </w:rPr>
        <w:t xml:space="preserve">      （盖章）    </w:t>
      </w:r>
    </w:p>
    <w:p>
      <w:pPr>
        <w:pStyle w:val="21"/>
        <w:ind w:firstLine="1980" w:firstLineChars="660"/>
        <w:jc w:val="left"/>
        <w:rPr>
          <w:rFonts w:hAnsi="宋体"/>
          <w:color w:val="auto"/>
          <w:sz w:val="30"/>
          <w:szCs w:val="30"/>
        </w:rPr>
      </w:pPr>
      <w:r>
        <w:rPr>
          <w:rFonts w:hint="eastAsia" w:hAnsi="宋体"/>
          <w:color w:val="auto"/>
          <w:sz w:val="30"/>
          <w:szCs w:val="30"/>
        </w:rPr>
        <w:t>法定代表人或其委托代理人：</w:t>
      </w:r>
    </w:p>
    <w:p>
      <w:pPr>
        <w:pStyle w:val="21"/>
        <w:ind w:right="560" w:firstLine="1980" w:firstLineChars="660"/>
        <w:jc w:val="left"/>
        <w:rPr>
          <w:rFonts w:hAnsi="宋体"/>
          <w:color w:val="auto"/>
          <w:sz w:val="30"/>
          <w:szCs w:val="30"/>
        </w:rPr>
      </w:pPr>
      <w:r>
        <w:rPr>
          <w:rFonts w:hint="eastAsia" w:hAnsi="宋体"/>
          <w:color w:val="auto"/>
          <w:sz w:val="30"/>
          <w:szCs w:val="30"/>
        </w:rPr>
        <w:t>日期：年月日</w:t>
      </w:r>
    </w:p>
    <w:p>
      <w:pPr>
        <w:pStyle w:val="22"/>
        <w:ind w:left="5250"/>
        <w:rPr>
          <w:color w:val="auto"/>
        </w:rPr>
      </w:pPr>
    </w:p>
    <w:p>
      <w:pPr>
        <w:pStyle w:val="22"/>
        <w:ind w:left="5250"/>
        <w:rPr>
          <w:color w:val="auto"/>
        </w:rPr>
      </w:pPr>
    </w:p>
    <w:p>
      <w:pPr>
        <w:pStyle w:val="21"/>
        <w:spacing w:line="360" w:lineRule="auto"/>
        <w:jc w:val="center"/>
        <w:rPr>
          <w:rFonts w:hAnsi="宋体"/>
          <w:b/>
          <w:bCs/>
          <w:color w:val="auto"/>
          <w:sz w:val="44"/>
          <w:szCs w:val="44"/>
        </w:rPr>
      </w:pPr>
    </w:p>
    <w:p>
      <w:pPr>
        <w:pStyle w:val="21"/>
        <w:spacing w:line="360" w:lineRule="auto"/>
        <w:jc w:val="center"/>
        <w:rPr>
          <w:rFonts w:hint="eastAsia" w:hAnsi="宋体"/>
          <w:b/>
          <w:bCs/>
          <w:color w:val="auto"/>
          <w:sz w:val="44"/>
          <w:szCs w:val="44"/>
        </w:rPr>
      </w:pPr>
    </w:p>
    <w:p>
      <w:pPr>
        <w:pStyle w:val="21"/>
        <w:spacing w:line="360" w:lineRule="auto"/>
        <w:jc w:val="center"/>
        <w:rPr>
          <w:rFonts w:hAnsi="宋体"/>
          <w:b/>
          <w:bCs/>
          <w:color w:val="auto"/>
          <w:sz w:val="44"/>
          <w:szCs w:val="44"/>
        </w:rPr>
      </w:pPr>
      <w:r>
        <w:rPr>
          <w:rFonts w:hint="eastAsia" w:hAnsi="宋体"/>
          <w:b/>
          <w:bCs/>
          <w:color w:val="auto"/>
          <w:sz w:val="44"/>
          <w:szCs w:val="44"/>
        </w:rPr>
        <w:t>目  录</w:t>
      </w:r>
    </w:p>
    <w:p>
      <w:pPr>
        <w:rPr>
          <w:rFonts w:ascii="宋体" w:hAnsi="宋体"/>
          <w:b/>
          <w:bCs/>
          <w:color w:val="auto"/>
          <w:sz w:val="44"/>
          <w:szCs w:val="44"/>
        </w:rPr>
      </w:pPr>
    </w:p>
    <w:p>
      <w:pPr>
        <w:pStyle w:val="21"/>
        <w:numPr>
          <w:ilvl w:val="0"/>
          <w:numId w:val="8"/>
        </w:numPr>
        <w:spacing w:line="360" w:lineRule="auto"/>
        <w:rPr>
          <w:rFonts w:hAnsi="宋体"/>
          <w:color w:val="auto"/>
          <w:sz w:val="24"/>
          <w:szCs w:val="24"/>
        </w:rPr>
      </w:pPr>
      <w:r>
        <w:rPr>
          <w:rFonts w:hint="eastAsia" w:hAnsi="宋体"/>
          <w:color w:val="auto"/>
          <w:sz w:val="24"/>
          <w:szCs w:val="24"/>
        </w:rPr>
        <w:t>磋商函</w:t>
      </w:r>
    </w:p>
    <w:p>
      <w:pPr>
        <w:pStyle w:val="21"/>
        <w:numPr>
          <w:ilvl w:val="0"/>
          <w:numId w:val="8"/>
        </w:numPr>
        <w:spacing w:line="360" w:lineRule="auto"/>
        <w:jc w:val="left"/>
        <w:rPr>
          <w:rFonts w:hAnsi="宋体"/>
          <w:color w:val="auto"/>
          <w:sz w:val="24"/>
          <w:szCs w:val="24"/>
        </w:rPr>
      </w:pPr>
      <w:r>
        <w:rPr>
          <w:rFonts w:hint="eastAsia" w:hAnsi="宋体"/>
          <w:color w:val="auto"/>
          <w:sz w:val="24"/>
          <w:szCs w:val="24"/>
        </w:rPr>
        <w:t>磋商响应表</w:t>
      </w:r>
    </w:p>
    <w:p>
      <w:pPr>
        <w:numPr>
          <w:ilvl w:val="0"/>
          <w:numId w:val="8"/>
        </w:numPr>
        <w:spacing w:line="360" w:lineRule="auto"/>
        <w:jc w:val="left"/>
        <w:rPr>
          <w:rFonts w:ascii="宋体" w:hAnsi="宋体"/>
          <w:color w:val="auto"/>
          <w:sz w:val="24"/>
          <w:szCs w:val="24"/>
        </w:rPr>
      </w:pPr>
      <w:r>
        <w:rPr>
          <w:rFonts w:hint="eastAsia" w:ascii="宋体" w:hAnsi="宋体"/>
          <w:color w:val="auto"/>
          <w:sz w:val="24"/>
          <w:szCs w:val="24"/>
        </w:rPr>
        <w:t>磋商人基本情况表</w:t>
      </w:r>
    </w:p>
    <w:p>
      <w:pPr>
        <w:pStyle w:val="21"/>
        <w:numPr>
          <w:ilvl w:val="0"/>
          <w:numId w:val="8"/>
        </w:numPr>
        <w:spacing w:line="360" w:lineRule="auto"/>
        <w:jc w:val="left"/>
        <w:rPr>
          <w:rFonts w:hAnsi="宋体"/>
          <w:color w:val="auto"/>
          <w:sz w:val="24"/>
          <w:szCs w:val="24"/>
        </w:rPr>
      </w:pPr>
      <w:r>
        <w:rPr>
          <w:rFonts w:hint="eastAsia" w:hAnsi="宋体"/>
          <w:color w:val="auto"/>
          <w:sz w:val="24"/>
          <w:szCs w:val="24"/>
          <w:lang w:eastAsia="zh-CN"/>
        </w:rPr>
        <w:t>磋商</w:t>
      </w:r>
      <w:r>
        <w:rPr>
          <w:rFonts w:hint="eastAsia" w:hAnsi="宋体"/>
          <w:color w:val="auto"/>
          <w:sz w:val="24"/>
          <w:szCs w:val="24"/>
        </w:rPr>
        <w:t>保证金缴纳证明（格式）</w:t>
      </w:r>
    </w:p>
    <w:p>
      <w:pPr>
        <w:pStyle w:val="21"/>
        <w:numPr>
          <w:ilvl w:val="0"/>
          <w:numId w:val="8"/>
        </w:numPr>
        <w:spacing w:line="360" w:lineRule="auto"/>
        <w:jc w:val="left"/>
        <w:rPr>
          <w:rFonts w:hAnsi="宋体"/>
          <w:color w:val="auto"/>
          <w:sz w:val="24"/>
          <w:szCs w:val="24"/>
        </w:rPr>
      </w:pPr>
      <w:r>
        <w:rPr>
          <w:rFonts w:hint="eastAsia" w:hAnsi="宋体"/>
          <w:color w:val="auto"/>
          <w:sz w:val="24"/>
          <w:szCs w:val="24"/>
        </w:rPr>
        <w:t>授权委托书（格式）</w:t>
      </w:r>
    </w:p>
    <w:p>
      <w:pPr>
        <w:pStyle w:val="21"/>
        <w:numPr>
          <w:ilvl w:val="0"/>
          <w:numId w:val="8"/>
        </w:numPr>
        <w:spacing w:line="360" w:lineRule="auto"/>
        <w:jc w:val="left"/>
        <w:outlineLvl w:val="2"/>
        <w:rPr>
          <w:rFonts w:hAnsi="宋体"/>
          <w:color w:val="auto"/>
          <w:sz w:val="24"/>
          <w:szCs w:val="24"/>
        </w:rPr>
      </w:pPr>
      <w:r>
        <w:rPr>
          <w:rFonts w:hint="eastAsia" w:hAnsi="宋体"/>
          <w:color w:val="auto"/>
          <w:sz w:val="24"/>
          <w:szCs w:val="24"/>
        </w:rPr>
        <w:t>已标价的工程量清单</w:t>
      </w:r>
    </w:p>
    <w:p>
      <w:pPr>
        <w:pStyle w:val="21"/>
        <w:numPr>
          <w:ilvl w:val="0"/>
          <w:numId w:val="8"/>
        </w:numPr>
        <w:spacing w:line="360" w:lineRule="auto"/>
        <w:jc w:val="left"/>
        <w:outlineLvl w:val="2"/>
        <w:rPr>
          <w:rFonts w:hAnsi="宋体"/>
          <w:color w:val="auto"/>
          <w:sz w:val="24"/>
          <w:szCs w:val="24"/>
        </w:rPr>
      </w:pPr>
      <w:r>
        <w:rPr>
          <w:rFonts w:hint="eastAsia" w:hAnsi="宋体"/>
          <w:color w:val="auto"/>
          <w:sz w:val="24"/>
          <w:szCs w:val="24"/>
        </w:rPr>
        <w:t>施工组织设计</w:t>
      </w:r>
    </w:p>
    <w:p>
      <w:pPr>
        <w:pStyle w:val="21"/>
        <w:numPr>
          <w:ilvl w:val="0"/>
          <w:numId w:val="8"/>
        </w:numPr>
        <w:spacing w:line="360" w:lineRule="auto"/>
        <w:jc w:val="left"/>
        <w:outlineLvl w:val="2"/>
        <w:rPr>
          <w:rFonts w:hAnsi="宋体"/>
          <w:color w:val="auto"/>
          <w:sz w:val="24"/>
          <w:szCs w:val="24"/>
        </w:rPr>
      </w:pPr>
      <w:r>
        <w:rPr>
          <w:rFonts w:hint="eastAsia" w:hAnsi="宋体"/>
          <w:color w:val="auto"/>
          <w:sz w:val="24"/>
          <w:szCs w:val="24"/>
        </w:rPr>
        <w:t>项目管理机构配备情况表（格式）</w:t>
      </w:r>
    </w:p>
    <w:p>
      <w:pPr>
        <w:pStyle w:val="21"/>
        <w:numPr>
          <w:ilvl w:val="0"/>
          <w:numId w:val="8"/>
        </w:numPr>
        <w:spacing w:line="360" w:lineRule="auto"/>
        <w:jc w:val="left"/>
        <w:rPr>
          <w:rFonts w:hAnsi="宋体"/>
          <w:color w:val="auto"/>
          <w:sz w:val="24"/>
          <w:szCs w:val="24"/>
        </w:rPr>
      </w:pPr>
      <w:r>
        <w:rPr>
          <w:rFonts w:hint="eastAsia" w:hAnsi="宋体"/>
          <w:color w:val="auto"/>
          <w:sz w:val="24"/>
          <w:szCs w:val="24"/>
          <w:lang w:eastAsia="zh-CN"/>
        </w:rPr>
        <w:t>企业业绩</w:t>
      </w:r>
    </w:p>
    <w:p>
      <w:pPr>
        <w:pStyle w:val="21"/>
        <w:numPr>
          <w:ilvl w:val="0"/>
          <w:numId w:val="8"/>
        </w:numPr>
        <w:spacing w:line="360" w:lineRule="auto"/>
        <w:jc w:val="left"/>
        <w:rPr>
          <w:rFonts w:hAnsi="宋体"/>
          <w:color w:val="auto"/>
          <w:sz w:val="24"/>
          <w:szCs w:val="24"/>
        </w:rPr>
      </w:pPr>
      <w:r>
        <w:rPr>
          <w:rFonts w:hint="eastAsia" w:hAnsi="宋体"/>
          <w:color w:val="auto"/>
          <w:sz w:val="24"/>
          <w:szCs w:val="24"/>
        </w:rPr>
        <w:t>磋商人认为有必要提供的证明材料</w:t>
      </w:r>
    </w:p>
    <w:p>
      <w:pPr>
        <w:pStyle w:val="21"/>
        <w:spacing w:line="360" w:lineRule="exact"/>
        <w:jc w:val="left"/>
        <w:outlineLvl w:val="2"/>
        <w:rPr>
          <w:rFonts w:hAnsi="宋体"/>
          <w:b/>
          <w:bCs/>
          <w:color w:val="auto"/>
          <w:sz w:val="32"/>
          <w:szCs w:val="32"/>
        </w:rPr>
      </w:pPr>
    </w:p>
    <w:p>
      <w:pPr>
        <w:pStyle w:val="21"/>
        <w:spacing w:line="360" w:lineRule="auto"/>
        <w:ind w:left="412" w:leftChars="196" w:firstLine="105" w:firstLineChars="50"/>
        <w:rPr>
          <w:rFonts w:hAnsi="宋体"/>
          <w:b/>
          <w:bCs/>
          <w:color w:val="auto"/>
        </w:rPr>
      </w:pPr>
    </w:p>
    <w:p>
      <w:pPr>
        <w:pStyle w:val="21"/>
        <w:spacing w:line="360" w:lineRule="auto"/>
        <w:ind w:left="412" w:leftChars="196" w:firstLine="105" w:firstLineChars="50"/>
        <w:rPr>
          <w:rFonts w:hAnsi="宋体"/>
          <w:color w:val="auto"/>
        </w:rPr>
      </w:pPr>
    </w:p>
    <w:p>
      <w:pPr>
        <w:pStyle w:val="21"/>
        <w:ind w:right="560" w:firstLine="700" w:firstLineChars="250"/>
        <w:rPr>
          <w:rFonts w:hAnsi="宋体"/>
          <w:color w:val="auto"/>
          <w:sz w:val="28"/>
          <w:szCs w:val="28"/>
        </w:rPr>
      </w:pPr>
    </w:p>
    <w:p>
      <w:pPr>
        <w:pStyle w:val="21"/>
        <w:ind w:right="560" w:firstLine="700" w:firstLineChars="250"/>
        <w:jc w:val="center"/>
        <w:rPr>
          <w:rFonts w:hAnsi="宋体"/>
          <w:b/>
          <w:bCs/>
          <w:color w:val="auto"/>
          <w:sz w:val="28"/>
          <w:szCs w:val="28"/>
        </w:rPr>
      </w:pPr>
      <w:r>
        <w:rPr>
          <w:rFonts w:hint="eastAsia" w:hAnsi="宋体"/>
          <w:color w:val="auto"/>
          <w:sz w:val="28"/>
          <w:szCs w:val="28"/>
        </w:rPr>
        <w:br w:type="page"/>
      </w:r>
      <w:r>
        <w:rPr>
          <w:rFonts w:hint="eastAsia" w:hAnsi="宋体"/>
          <w:b/>
          <w:bCs/>
          <w:color w:val="auto"/>
          <w:sz w:val="28"/>
          <w:szCs w:val="28"/>
        </w:rPr>
        <w:t>一、磋商函（格式）</w:t>
      </w:r>
    </w:p>
    <w:p>
      <w:pPr>
        <w:spacing w:line="400" w:lineRule="exact"/>
        <w:rPr>
          <w:rFonts w:ascii="宋体" w:hAnsi="宋体"/>
          <w:color w:val="auto"/>
        </w:rPr>
      </w:pPr>
    </w:p>
    <w:p>
      <w:pPr>
        <w:spacing w:line="400" w:lineRule="exact"/>
        <w:ind w:firstLine="420" w:firstLineChars="200"/>
        <w:rPr>
          <w:rFonts w:ascii="宋体" w:hAnsi="宋体"/>
          <w:color w:val="auto"/>
        </w:rPr>
      </w:pPr>
      <w:r>
        <w:rPr>
          <w:rFonts w:hint="eastAsia" w:ascii="宋体" w:hAnsi="宋体"/>
          <w:color w:val="auto"/>
        </w:rPr>
        <w:t>1.根据你方项目编号为</w:t>
      </w:r>
      <w:r>
        <w:rPr>
          <w:rFonts w:hint="eastAsia" w:ascii="宋体" w:hAnsi="宋体"/>
          <w:color w:val="auto"/>
          <w:u w:val="single"/>
        </w:rPr>
        <w:t xml:space="preserve">  （项目编号）  </w:t>
      </w:r>
      <w:r>
        <w:rPr>
          <w:rFonts w:hint="eastAsia" w:ascii="宋体" w:hAnsi="宋体"/>
          <w:color w:val="auto"/>
        </w:rPr>
        <w:t>的</w:t>
      </w:r>
      <w:r>
        <w:rPr>
          <w:rFonts w:hint="eastAsia" w:ascii="宋体" w:hAnsi="宋体"/>
          <w:color w:val="auto"/>
          <w:u w:val="single"/>
        </w:rPr>
        <w:t xml:space="preserve">  （工程项目名称）  </w:t>
      </w:r>
      <w:r>
        <w:rPr>
          <w:rFonts w:hint="eastAsia" w:ascii="宋体" w:hAnsi="宋体"/>
          <w:color w:val="auto"/>
          <w:u w:val="none"/>
          <w:lang w:eastAsia="zh-CN"/>
        </w:rPr>
        <w:t>竞争性</w:t>
      </w:r>
      <w:r>
        <w:rPr>
          <w:rFonts w:hint="eastAsia" w:ascii="宋体" w:hAnsi="宋体"/>
          <w:color w:val="auto"/>
        </w:rPr>
        <w:t>磋商文件，遵照《中华人民共和国采购法》等有关规定，经踏勘项目现场和研究上述采购文件的磋商须知、合同条款、图纸、工程建设标准和工程量清单及其他有关文件后，我方愿以人民币（大写）</w:t>
      </w:r>
      <w:r>
        <w:rPr>
          <w:rFonts w:hint="eastAsia" w:ascii="宋体" w:hAnsi="宋体"/>
          <w:color w:val="auto"/>
          <w:u w:val="single"/>
        </w:rPr>
        <w:t xml:space="preserve">           </w:t>
      </w:r>
      <w:r>
        <w:rPr>
          <w:rFonts w:hint="eastAsia" w:ascii="宋体" w:hAnsi="宋体"/>
          <w:color w:val="auto"/>
        </w:rPr>
        <w:t>元（</w:t>
      </w:r>
      <w:r>
        <w:rPr>
          <w:rFonts w:hint="eastAsia" w:ascii="宋体" w:hAnsi="宋体"/>
          <w:color w:val="auto"/>
          <w:u w:val="single"/>
        </w:rPr>
        <w:t xml:space="preserve">￥      </w:t>
      </w:r>
      <w:r>
        <w:rPr>
          <w:rFonts w:hint="eastAsia" w:ascii="宋体" w:hAnsi="宋体"/>
          <w:color w:val="auto"/>
        </w:rPr>
        <w:t>）的总报价并按上述图纸、合同条款、工程建设标准和工程量清单（如有时）的条件要求承包上述工程的施工、竣工，并承担任何质量缺陷保修责任。我方保证工程质量达到</w:t>
      </w:r>
      <w:r>
        <w:rPr>
          <w:rFonts w:hint="eastAsia" w:ascii="宋体" w:hAnsi="宋体"/>
          <w:color w:val="auto"/>
          <w:u w:val="single"/>
          <w:lang w:val="en-US" w:eastAsia="zh-CN"/>
        </w:rPr>
        <w:t xml:space="preserve">         </w:t>
      </w:r>
      <w:r>
        <w:rPr>
          <w:rFonts w:hint="eastAsia" w:ascii="宋体" w:hAnsi="宋体"/>
          <w:color w:val="auto"/>
        </w:rPr>
        <w:t>。</w:t>
      </w:r>
    </w:p>
    <w:p>
      <w:pPr>
        <w:spacing w:line="400" w:lineRule="exact"/>
        <w:ind w:firstLine="420" w:firstLineChars="200"/>
        <w:rPr>
          <w:rFonts w:ascii="宋体" w:hAnsi="宋体"/>
          <w:color w:val="auto"/>
        </w:rPr>
      </w:pPr>
      <w:r>
        <w:rPr>
          <w:rFonts w:hint="eastAsia" w:ascii="宋体" w:hAnsi="宋体"/>
          <w:color w:val="auto"/>
        </w:rPr>
        <w:t>2.我方已详细审核全部磋商文件，包括修改文件（如有时）及有关附件。</w:t>
      </w:r>
    </w:p>
    <w:p>
      <w:pPr>
        <w:spacing w:line="400" w:lineRule="exact"/>
        <w:ind w:firstLine="420" w:firstLineChars="200"/>
        <w:rPr>
          <w:rFonts w:ascii="宋体" w:hAnsi="宋体"/>
          <w:color w:val="auto"/>
        </w:rPr>
      </w:pPr>
      <w:r>
        <w:rPr>
          <w:rFonts w:hint="eastAsia" w:ascii="宋体" w:hAnsi="宋体"/>
          <w:color w:val="auto"/>
        </w:rPr>
        <w:t>3、我方同意所提交的响应文件在竞争性磋商文件的磋商须知中规定磋商有效期内有效，在此期间内如果中标，我方将受此约束。</w:t>
      </w:r>
    </w:p>
    <w:p>
      <w:pPr>
        <w:spacing w:line="400" w:lineRule="exact"/>
        <w:ind w:firstLine="420" w:firstLineChars="200"/>
        <w:rPr>
          <w:rFonts w:ascii="宋体" w:hAnsi="宋体"/>
          <w:color w:val="auto"/>
        </w:rPr>
      </w:pPr>
      <w:r>
        <w:rPr>
          <w:rFonts w:hint="eastAsia" w:ascii="宋体" w:hAnsi="宋体"/>
          <w:color w:val="auto"/>
        </w:rPr>
        <w:t>4.一旦我方中标，我方保证按合同书中规定的工期</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日历天内完成并移交全部工程。</w:t>
      </w:r>
    </w:p>
    <w:p>
      <w:pPr>
        <w:spacing w:line="400" w:lineRule="exact"/>
        <w:ind w:firstLine="420" w:firstLineChars="200"/>
        <w:rPr>
          <w:rFonts w:ascii="宋体" w:hAnsi="宋体"/>
          <w:color w:val="auto"/>
        </w:rPr>
      </w:pPr>
      <w:r>
        <w:rPr>
          <w:rFonts w:hint="eastAsia" w:ascii="宋体" w:hAnsi="宋体"/>
          <w:color w:val="auto"/>
        </w:rPr>
        <w:t>5.如果我方中标，我方将按照文件规定提交履约保证金作为履约担保。</w:t>
      </w:r>
    </w:p>
    <w:p>
      <w:pPr>
        <w:spacing w:line="400" w:lineRule="exact"/>
        <w:ind w:firstLine="420" w:firstLineChars="200"/>
        <w:rPr>
          <w:rFonts w:ascii="宋体" w:hAnsi="宋体"/>
          <w:color w:val="auto"/>
        </w:rPr>
      </w:pPr>
      <w:r>
        <w:rPr>
          <w:rFonts w:hint="eastAsia" w:ascii="宋体" w:hAnsi="宋体"/>
          <w:color w:val="auto"/>
        </w:rPr>
        <w:t>6.我方同意所提交的响应文件在磋商文件的“磋商人须知”中规定的磋商有效期内有效，在此期间内如果中标，我方将受此约束。</w:t>
      </w:r>
    </w:p>
    <w:p>
      <w:pPr>
        <w:spacing w:line="400" w:lineRule="exact"/>
        <w:ind w:firstLine="420" w:firstLineChars="200"/>
        <w:rPr>
          <w:rFonts w:ascii="宋体" w:hAnsi="宋体"/>
          <w:color w:val="auto"/>
        </w:rPr>
      </w:pPr>
      <w:r>
        <w:rPr>
          <w:rFonts w:hint="eastAsia" w:ascii="宋体" w:hAnsi="宋体"/>
          <w:color w:val="auto"/>
        </w:rPr>
        <w:t>7.除非另外达成协议并生效，你方的中标通知书和本响应文件将成为约束双方的合同文件的组成部分。</w:t>
      </w:r>
    </w:p>
    <w:p>
      <w:pPr>
        <w:spacing w:line="400" w:lineRule="exact"/>
        <w:ind w:firstLine="420" w:firstLineChars="200"/>
        <w:rPr>
          <w:rFonts w:ascii="宋体" w:hAnsi="宋体"/>
          <w:color w:val="auto"/>
        </w:rPr>
      </w:pPr>
      <w:r>
        <w:rPr>
          <w:rFonts w:hint="eastAsia" w:ascii="宋体" w:hAnsi="宋体"/>
          <w:color w:val="auto"/>
        </w:rPr>
        <w:t>8.我方将与本磋商函一起，提交人民币</w:t>
      </w:r>
      <w:r>
        <w:rPr>
          <w:rFonts w:hint="eastAsia" w:ascii="宋体" w:hAnsi="宋体"/>
          <w:color w:val="auto"/>
          <w:u w:val="single"/>
        </w:rPr>
        <w:t xml:space="preserve">          </w:t>
      </w:r>
      <w:r>
        <w:rPr>
          <w:rFonts w:hint="eastAsia" w:ascii="宋体" w:hAnsi="宋体"/>
          <w:color w:val="auto"/>
        </w:rPr>
        <w:t>元作为</w:t>
      </w:r>
      <w:r>
        <w:rPr>
          <w:rFonts w:hint="eastAsia" w:ascii="宋体" w:hAnsi="宋体"/>
          <w:color w:val="auto"/>
          <w:lang w:eastAsia="zh-CN"/>
        </w:rPr>
        <w:t>磋商</w:t>
      </w:r>
      <w:r>
        <w:rPr>
          <w:rFonts w:hint="eastAsia" w:ascii="宋体" w:hAnsi="宋体"/>
          <w:color w:val="auto"/>
        </w:rPr>
        <w:t>保证金。</w:t>
      </w:r>
    </w:p>
    <w:p>
      <w:pPr>
        <w:spacing w:line="400" w:lineRule="exact"/>
        <w:ind w:firstLine="420" w:firstLineChars="200"/>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ind w:left="1000"/>
        <w:jc w:val="right"/>
        <w:rPr>
          <w:rFonts w:ascii="宋体" w:hAnsi="宋体"/>
          <w:color w:val="auto"/>
          <w:u w:val="single"/>
        </w:rPr>
      </w:pPr>
      <w:r>
        <w:rPr>
          <w:rFonts w:hint="eastAsia" w:ascii="宋体" w:hAnsi="宋体"/>
          <w:color w:val="auto"/>
        </w:rPr>
        <w:t xml:space="preserve">         磋商人：</w:t>
      </w:r>
      <w:r>
        <w:rPr>
          <w:rFonts w:hint="eastAsia" w:ascii="宋体" w:hAnsi="宋体"/>
          <w:color w:val="auto"/>
          <w:u w:val="single"/>
        </w:rPr>
        <w:t xml:space="preserve">                        （盖章）</w:t>
      </w:r>
    </w:p>
    <w:p>
      <w:pPr>
        <w:spacing w:line="400" w:lineRule="exact"/>
        <w:ind w:left="1000"/>
        <w:jc w:val="right"/>
        <w:rPr>
          <w:rFonts w:ascii="宋体" w:hAnsi="宋体"/>
          <w:color w:val="auto"/>
          <w:u w:val="single"/>
        </w:rPr>
      </w:pPr>
      <w:r>
        <w:rPr>
          <w:rFonts w:hint="eastAsia" w:ascii="宋体" w:hAnsi="宋体"/>
          <w:color w:val="auto"/>
        </w:rPr>
        <w:t xml:space="preserve">         单位地址：</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pPr>
        <w:spacing w:line="400" w:lineRule="exact"/>
        <w:ind w:left="1000"/>
        <w:jc w:val="right"/>
        <w:rPr>
          <w:rFonts w:ascii="宋体" w:hAnsi="宋体"/>
          <w:color w:val="auto"/>
          <w:u w:val="single"/>
        </w:rPr>
      </w:pPr>
      <w:r>
        <w:rPr>
          <w:rFonts w:hint="eastAsia" w:ascii="宋体" w:hAnsi="宋体"/>
          <w:color w:val="auto"/>
        </w:rPr>
        <w:t xml:space="preserve">         法定代表人或其委托代理人：</w:t>
      </w:r>
      <w:r>
        <w:rPr>
          <w:rFonts w:hint="eastAsia" w:ascii="宋体" w:hAnsi="宋体"/>
          <w:color w:val="auto"/>
          <w:u w:val="single"/>
        </w:rPr>
        <w:t xml:space="preserve">      （签字或盖章）</w:t>
      </w:r>
    </w:p>
    <w:p>
      <w:pPr>
        <w:spacing w:line="400" w:lineRule="exact"/>
        <w:ind w:left="1000"/>
        <w:jc w:val="right"/>
        <w:rPr>
          <w:rFonts w:ascii="宋体" w:hAnsi="宋体"/>
          <w:color w:val="auto"/>
        </w:rPr>
      </w:pPr>
      <w:r>
        <w:rPr>
          <w:rFonts w:hint="eastAsia" w:ascii="宋体" w:hAnsi="宋体"/>
          <w:color w:val="auto"/>
        </w:rPr>
        <w:t xml:space="preserve">         邮政编码：</w:t>
      </w:r>
      <w:r>
        <w:rPr>
          <w:rFonts w:hint="eastAsia" w:ascii="宋体" w:hAnsi="宋体"/>
          <w:color w:val="auto"/>
          <w:u w:val="single"/>
        </w:rPr>
        <w:tab/>
      </w:r>
      <w:r>
        <w:rPr>
          <w:rFonts w:hint="eastAsia" w:ascii="宋体" w:hAnsi="宋体"/>
          <w:color w:val="auto"/>
          <w:u w:val="single"/>
        </w:rPr>
        <w:tab/>
      </w:r>
      <w:r>
        <w:rPr>
          <w:rFonts w:hint="eastAsia" w:ascii="宋体" w:hAnsi="宋体"/>
          <w:color w:val="auto"/>
        </w:rPr>
        <w:t>电话：</w:t>
      </w:r>
      <w:r>
        <w:rPr>
          <w:rFonts w:hint="eastAsia" w:ascii="宋体" w:hAnsi="宋体"/>
          <w:color w:val="auto"/>
          <w:u w:val="single"/>
        </w:rPr>
        <w:tab/>
      </w:r>
      <w:r>
        <w:rPr>
          <w:rFonts w:hint="eastAsia" w:ascii="宋体" w:hAnsi="宋体"/>
          <w:color w:val="auto"/>
          <w:u w:val="single"/>
        </w:rPr>
        <w:tab/>
      </w:r>
      <w:r>
        <w:rPr>
          <w:rFonts w:hint="eastAsia" w:ascii="宋体" w:hAnsi="宋体"/>
          <w:color w:val="auto"/>
        </w:rPr>
        <w:t xml:space="preserve"> 传真：</w:t>
      </w:r>
      <w:r>
        <w:rPr>
          <w:rFonts w:hint="eastAsia" w:ascii="宋体" w:hAnsi="宋体"/>
          <w:color w:val="auto"/>
          <w:u w:val="single"/>
        </w:rPr>
        <w:tab/>
      </w:r>
      <w:r>
        <w:rPr>
          <w:rFonts w:hint="eastAsia" w:ascii="宋体" w:hAnsi="宋体"/>
          <w:color w:val="auto"/>
          <w:u w:val="single"/>
        </w:rPr>
        <w:tab/>
      </w:r>
    </w:p>
    <w:p>
      <w:pPr>
        <w:spacing w:line="400" w:lineRule="exact"/>
        <w:ind w:left="1000"/>
        <w:jc w:val="right"/>
        <w:rPr>
          <w:rFonts w:ascii="宋体" w:hAnsi="宋体"/>
          <w:color w:val="auto"/>
        </w:rPr>
      </w:pPr>
      <w:r>
        <w:rPr>
          <w:rFonts w:hint="eastAsia" w:ascii="宋体" w:hAnsi="宋体"/>
          <w:color w:val="auto"/>
        </w:rPr>
        <w:t xml:space="preserve">         开户银行名称：</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pPr>
        <w:spacing w:line="400" w:lineRule="exact"/>
        <w:ind w:left="1000"/>
        <w:jc w:val="right"/>
        <w:rPr>
          <w:rFonts w:ascii="宋体" w:hAnsi="宋体"/>
          <w:color w:val="auto"/>
        </w:rPr>
      </w:pPr>
      <w:r>
        <w:rPr>
          <w:rFonts w:hint="eastAsia" w:ascii="宋体" w:hAnsi="宋体"/>
          <w:color w:val="auto"/>
        </w:rPr>
        <w:t xml:space="preserve">         开户银行账号：</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pPr>
        <w:spacing w:line="400" w:lineRule="exact"/>
        <w:ind w:left="1000"/>
        <w:jc w:val="right"/>
        <w:rPr>
          <w:rFonts w:ascii="宋体" w:hAnsi="宋体"/>
          <w:color w:val="auto"/>
        </w:rPr>
      </w:pPr>
      <w:r>
        <w:rPr>
          <w:rFonts w:hint="eastAsia" w:ascii="宋体" w:hAnsi="宋体"/>
          <w:color w:val="auto"/>
        </w:rPr>
        <w:t xml:space="preserve">         开户银行地址：</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pPr>
        <w:spacing w:line="400" w:lineRule="exact"/>
        <w:ind w:left="1000"/>
        <w:jc w:val="right"/>
        <w:rPr>
          <w:rFonts w:ascii="宋体" w:hAnsi="宋体"/>
          <w:color w:val="auto"/>
        </w:rPr>
      </w:pPr>
      <w:r>
        <w:rPr>
          <w:rFonts w:hint="eastAsia" w:ascii="宋体" w:hAnsi="宋体"/>
          <w:color w:val="auto"/>
        </w:rPr>
        <w:t xml:space="preserve">         开户银行电话：</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pPr>
        <w:spacing w:line="400" w:lineRule="exact"/>
        <w:ind w:right="420" w:firstLine="1974" w:firstLineChars="940"/>
        <w:jc w:val="right"/>
        <w:rPr>
          <w:rFonts w:ascii="宋体" w:hAnsi="宋体"/>
          <w:color w:val="auto"/>
        </w:rPr>
      </w:pPr>
      <w:r>
        <w:rPr>
          <w:rFonts w:hint="eastAsia" w:ascii="宋体" w:hAnsi="宋体"/>
          <w:color w:val="auto"/>
        </w:rPr>
        <w:t>日期：</w:t>
      </w:r>
      <w:r>
        <w:rPr>
          <w:rFonts w:hint="eastAsia" w:ascii="宋体" w:hAnsi="宋体"/>
          <w:color w:val="auto"/>
          <w:lang w:val="en-US" w:eastAsia="zh-CN"/>
        </w:rPr>
        <w:t xml:space="preserve"> </w:t>
      </w:r>
      <w:r>
        <w:rPr>
          <w:rFonts w:hint="eastAsia" w:ascii="宋体" w:hAnsi="宋体"/>
          <w:color w:val="auto"/>
        </w:rPr>
        <w:t>年</w:t>
      </w:r>
      <w:r>
        <w:rPr>
          <w:rFonts w:hint="eastAsia" w:ascii="宋体" w:hAnsi="宋体"/>
          <w:color w:val="auto"/>
          <w:lang w:val="en-US" w:eastAsia="zh-CN"/>
        </w:rPr>
        <w:t xml:space="preserve">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p>
    <w:p>
      <w:pPr>
        <w:spacing w:line="400" w:lineRule="exact"/>
        <w:rPr>
          <w:rFonts w:ascii="宋体" w:hAnsi="宋体"/>
          <w:color w:val="auto"/>
        </w:rPr>
      </w:pPr>
    </w:p>
    <w:p>
      <w:pPr>
        <w:spacing w:line="400" w:lineRule="exact"/>
        <w:rPr>
          <w:rFonts w:ascii="宋体" w:hAnsi="宋体"/>
          <w:color w:val="auto"/>
        </w:rPr>
      </w:pPr>
    </w:p>
    <w:p>
      <w:pPr>
        <w:spacing w:line="400" w:lineRule="exact"/>
        <w:jc w:val="center"/>
        <w:rPr>
          <w:rFonts w:ascii="宋体" w:hAnsi="宋体"/>
          <w:b/>
          <w:bCs/>
          <w:color w:val="auto"/>
          <w:sz w:val="28"/>
          <w:szCs w:val="28"/>
        </w:rPr>
      </w:pPr>
    </w:p>
    <w:p>
      <w:pPr>
        <w:rPr>
          <w:rFonts w:hint="eastAsia" w:ascii="宋体" w:hAnsi="宋体"/>
          <w:b/>
          <w:bCs/>
          <w:color w:val="auto"/>
          <w:sz w:val="28"/>
          <w:szCs w:val="28"/>
        </w:rPr>
      </w:pPr>
      <w:r>
        <w:rPr>
          <w:rFonts w:hint="eastAsia" w:ascii="宋体" w:hAnsi="宋体"/>
          <w:b/>
          <w:bCs/>
          <w:color w:val="auto"/>
          <w:sz w:val="28"/>
          <w:szCs w:val="28"/>
        </w:rPr>
        <w:br w:type="page"/>
      </w:r>
    </w:p>
    <w:p>
      <w:pPr>
        <w:spacing w:line="400" w:lineRule="exact"/>
        <w:jc w:val="center"/>
        <w:rPr>
          <w:rFonts w:ascii="宋体" w:hAnsi="宋体"/>
          <w:b/>
          <w:bCs/>
          <w:color w:val="auto"/>
          <w:sz w:val="28"/>
          <w:szCs w:val="28"/>
        </w:rPr>
      </w:pPr>
      <w:r>
        <w:rPr>
          <w:rFonts w:hint="eastAsia" w:ascii="宋体" w:hAnsi="宋体"/>
          <w:b/>
          <w:bCs/>
          <w:color w:val="auto"/>
          <w:sz w:val="28"/>
          <w:szCs w:val="28"/>
        </w:rPr>
        <w:t>二、磋商响应表</w:t>
      </w:r>
    </w:p>
    <w:p>
      <w:pPr>
        <w:spacing w:line="400" w:lineRule="exact"/>
        <w:rPr>
          <w:rFonts w:ascii="宋体" w:hAnsi="宋体"/>
          <w:color w:val="auto"/>
        </w:rPr>
      </w:pPr>
    </w:p>
    <w:p>
      <w:pPr>
        <w:spacing w:line="400" w:lineRule="exact"/>
        <w:rPr>
          <w:rFonts w:ascii="宋体" w:hAnsi="宋体"/>
          <w:color w:val="auto"/>
        </w:rPr>
      </w:pPr>
      <w:r>
        <w:rPr>
          <w:rFonts w:hint="eastAsia" w:ascii="宋体" w:hAnsi="宋体"/>
          <w:color w:val="auto"/>
        </w:rPr>
        <w:t>（对磋商文件有关磋商内容</w:t>
      </w:r>
      <w:r>
        <w:rPr>
          <w:rFonts w:hint="eastAsia" w:ascii="宋体" w:hAnsi="宋体"/>
          <w:color w:val="auto"/>
          <w:lang w:eastAsia="zh-CN"/>
        </w:rPr>
        <w:t>、</w:t>
      </w:r>
      <w:r>
        <w:rPr>
          <w:rFonts w:hint="eastAsia" w:ascii="宋体" w:hAnsi="宋体"/>
          <w:color w:val="auto"/>
        </w:rPr>
        <w:t>工期、工程质量</w:t>
      </w:r>
      <w:r>
        <w:rPr>
          <w:rFonts w:hint="eastAsia" w:ascii="宋体" w:hAnsi="宋体"/>
          <w:color w:val="auto"/>
          <w:lang w:eastAsia="zh-CN"/>
        </w:rPr>
        <w:t>、</w:t>
      </w:r>
      <w:r>
        <w:rPr>
          <w:rFonts w:hint="eastAsia" w:ascii="宋体" w:hAnsi="宋体"/>
          <w:color w:val="auto"/>
        </w:rPr>
        <w:t>磋商有效期、磋商保证金、</w:t>
      </w:r>
      <w:r>
        <w:rPr>
          <w:rFonts w:hint="eastAsia" w:ascii="宋体" w:hAnsi="宋体"/>
          <w:color w:val="auto"/>
          <w:lang w:eastAsia="zh-CN"/>
        </w:rPr>
        <w:t>权利义务、</w:t>
      </w:r>
      <w:r>
        <w:rPr>
          <w:rFonts w:hint="eastAsia" w:ascii="宋体" w:hAnsi="宋体"/>
          <w:color w:val="auto"/>
        </w:rPr>
        <w:t>技术标准和要求、</w:t>
      </w:r>
      <w:r>
        <w:rPr>
          <w:rFonts w:hint="eastAsia" w:ascii="宋体" w:hAnsi="宋体"/>
          <w:color w:val="auto"/>
          <w:lang w:eastAsia="zh-CN"/>
        </w:rPr>
        <w:t>有效报价</w:t>
      </w:r>
      <w:r>
        <w:rPr>
          <w:rFonts w:hint="eastAsia" w:ascii="宋体" w:hAnsi="宋体"/>
          <w:color w:val="auto"/>
        </w:rPr>
        <w:t>等实质性内容作出响应,格式自行拟定）。</w:t>
      </w:r>
    </w:p>
    <w:p>
      <w:pPr>
        <w:spacing w:line="400" w:lineRule="exact"/>
        <w:rPr>
          <w:rFonts w:ascii="宋体" w:hAnsi="宋体"/>
          <w:color w:val="auto"/>
        </w:rPr>
      </w:pPr>
    </w:p>
    <w:p>
      <w:pPr>
        <w:pStyle w:val="21"/>
        <w:spacing w:line="360" w:lineRule="exact"/>
        <w:rPr>
          <w:rFonts w:hAnsi="宋体"/>
          <w:color w:val="auto"/>
        </w:rPr>
      </w:pPr>
    </w:p>
    <w:p>
      <w:pPr>
        <w:pStyle w:val="22"/>
        <w:ind w:left="5250"/>
        <w:rPr>
          <w:rFonts w:hAnsi="宋体"/>
          <w:color w:val="auto"/>
        </w:rPr>
      </w:pPr>
    </w:p>
    <w:p>
      <w:pPr>
        <w:tabs>
          <w:tab w:val="left" w:pos="3459"/>
        </w:tabs>
        <w:rPr>
          <w:rFonts w:hint="eastAsia" w:ascii="宋体" w:hAnsi="宋体" w:eastAsia="宋体"/>
          <w:color w:val="auto"/>
          <w:lang w:eastAsia="zh-CN"/>
        </w:rPr>
      </w:pPr>
      <w:r>
        <w:rPr>
          <w:rFonts w:hint="eastAsia" w:ascii="宋体" w:hAnsi="宋体"/>
          <w:color w:val="auto"/>
          <w:lang w:eastAsia="zh-CN"/>
        </w:rPr>
        <w:tab/>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hint="eastAsia" w:ascii="宋体" w:hAnsi="宋体"/>
          <w:b/>
          <w:bCs/>
          <w:color w:val="auto"/>
          <w:sz w:val="28"/>
          <w:szCs w:val="28"/>
        </w:rPr>
      </w:pPr>
      <w:r>
        <w:rPr>
          <w:rFonts w:hint="eastAsia" w:ascii="宋体" w:hAnsi="宋体"/>
          <w:b/>
          <w:bCs/>
          <w:color w:val="auto"/>
          <w:sz w:val="28"/>
          <w:szCs w:val="28"/>
        </w:rPr>
        <w:br w:type="page"/>
      </w:r>
    </w:p>
    <w:p>
      <w:pPr>
        <w:spacing w:line="480" w:lineRule="auto"/>
        <w:ind w:firstLine="703" w:firstLineChars="250"/>
        <w:jc w:val="center"/>
        <w:rPr>
          <w:rFonts w:ascii="宋体" w:hAnsi="宋体"/>
          <w:color w:val="auto"/>
          <w:sz w:val="24"/>
          <w:szCs w:val="24"/>
        </w:rPr>
      </w:pPr>
      <w:r>
        <w:rPr>
          <w:rFonts w:hint="eastAsia" w:ascii="宋体" w:hAnsi="宋体"/>
          <w:b/>
          <w:bCs/>
          <w:color w:val="auto"/>
          <w:sz w:val="28"/>
          <w:szCs w:val="28"/>
        </w:rPr>
        <w:t>三、磋商人基本情况表（格式）</w:t>
      </w:r>
    </w:p>
    <w:tbl>
      <w:tblPr>
        <w:tblStyle w:val="39"/>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磋商人名称</w:t>
            </w:r>
          </w:p>
        </w:tc>
        <w:tc>
          <w:tcPr>
            <w:tcW w:w="7341" w:type="dxa"/>
            <w:gridSpan w:val="8"/>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注册地址</w:t>
            </w:r>
          </w:p>
        </w:tc>
        <w:tc>
          <w:tcPr>
            <w:tcW w:w="3389"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1246"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邮政编码</w:t>
            </w:r>
          </w:p>
        </w:tc>
        <w:tc>
          <w:tcPr>
            <w:tcW w:w="2706"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联系方式</w:t>
            </w: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联系人</w:t>
            </w:r>
          </w:p>
        </w:tc>
        <w:tc>
          <w:tcPr>
            <w:tcW w:w="2492"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1246"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电  话</w:t>
            </w:r>
          </w:p>
        </w:tc>
        <w:tc>
          <w:tcPr>
            <w:tcW w:w="2706"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rPr>
            </w:pP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传  真</w:t>
            </w:r>
          </w:p>
        </w:tc>
        <w:tc>
          <w:tcPr>
            <w:tcW w:w="2492"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1246"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网  址</w:t>
            </w:r>
          </w:p>
        </w:tc>
        <w:tc>
          <w:tcPr>
            <w:tcW w:w="2706"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color w:val="auto"/>
              </w:rPr>
              <w:t>统一社会信用代码</w:t>
            </w:r>
          </w:p>
        </w:tc>
        <w:tc>
          <w:tcPr>
            <w:tcW w:w="7341" w:type="dxa"/>
            <w:gridSpan w:val="8"/>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法定代表人</w:t>
            </w: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姓名</w:t>
            </w:r>
          </w:p>
        </w:tc>
        <w:tc>
          <w:tcPr>
            <w:tcW w:w="1021"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技术职称</w:t>
            </w: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电话</w:t>
            </w:r>
          </w:p>
        </w:tc>
        <w:tc>
          <w:tcPr>
            <w:tcW w:w="1923"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技术负责人</w:t>
            </w: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姓名</w:t>
            </w:r>
          </w:p>
        </w:tc>
        <w:tc>
          <w:tcPr>
            <w:tcW w:w="1021"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技术职称</w:t>
            </w: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电话</w:t>
            </w:r>
          </w:p>
        </w:tc>
        <w:tc>
          <w:tcPr>
            <w:tcW w:w="1923"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成立时间</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5423" w:type="dxa"/>
            <w:gridSpan w:val="6"/>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企业资质等级</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1160" w:type="dxa"/>
            <w:vMerge w:val="restart"/>
            <w:tcBorders>
              <w:top w:val="nil"/>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其中</w:t>
            </w: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项目经理</w:t>
            </w:r>
          </w:p>
        </w:tc>
        <w:tc>
          <w:tcPr>
            <w:tcW w:w="2643"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营业执照号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1160" w:type="dxa"/>
            <w:vMerge w:val="continue"/>
            <w:tcBorders>
              <w:top w:val="nil"/>
              <w:left w:val="nil"/>
              <w:bottom w:val="single" w:color="auto" w:sz="4" w:space="0"/>
              <w:right w:val="single" w:color="auto" w:sz="4" w:space="0"/>
            </w:tcBorders>
            <w:vAlign w:val="center"/>
          </w:tcPr>
          <w:p>
            <w:pPr>
              <w:widowControl/>
              <w:jc w:val="left"/>
              <w:rPr>
                <w:rFonts w:ascii="宋体" w:hAnsi="宋体"/>
                <w:color w:val="auto"/>
              </w:rPr>
            </w:pP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高级职称人员</w:t>
            </w:r>
          </w:p>
        </w:tc>
        <w:tc>
          <w:tcPr>
            <w:tcW w:w="2643"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注册资金</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1160" w:type="dxa"/>
            <w:vMerge w:val="continue"/>
            <w:tcBorders>
              <w:top w:val="nil"/>
              <w:left w:val="nil"/>
              <w:bottom w:val="single" w:color="auto" w:sz="4" w:space="0"/>
              <w:right w:val="single" w:color="auto" w:sz="4" w:space="0"/>
            </w:tcBorders>
            <w:vAlign w:val="center"/>
          </w:tcPr>
          <w:p>
            <w:pPr>
              <w:widowControl/>
              <w:jc w:val="left"/>
              <w:rPr>
                <w:rFonts w:ascii="宋体" w:hAnsi="宋体"/>
                <w:color w:val="auto"/>
              </w:rPr>
            </w:pP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中级职称人员</w:t>
            </w:r>
          </w:p>
        </w:tc>
        <w:tc>
          <w:tcPr>
            <w:tcW w:w="2643"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开户银行</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1160" w:type="dxa"/>
            <w:vMerge w:val="continue"/>
            <w:tcBorders>
              <w:top w:val="nil"/>
              <w:left w:val="nil"/>
              <w:bottom w:val="single" w:color="auto" w:sz="4" w:space="0"/>
              <w:right w:val="single" w:color="auto" w:sz="4" w:space="0"/>
            </w:tcBorders>
            <w:vAlign w:val="center"/>
          </w:tcPr>
          <w:p>
            <w:pPr>
              <w:widowControl/>
              <w:jc w:val="left"/>
              <w:rPr>
                <w:rFonts w:ascii="宋体" w:hAnsi="宋体"/>
                <w:color w:val="auto"/>
              </w:rPr>
            </w:pP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初级职称人员</w:t>
            </w:r>
          </w:p>
        </w:tc>
        <w:tc>
          <w:tcPr>
            <w:tcW w:w="2643"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账号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c>
          <w:tcPr>
            <w:tcW w:w="1160" w:type="dxa"/>
            <w:vMerge w:val="continue"/>
            <w:tcBorders>
              <w:top w:val="nil"/>
              <w:left w:val="nil"/>
              <w:bottom w:val="single" w:color="auto" w:sz="4" w:space="0"/>
              <w:right w:val="single" w:color="auto" w:sz="4" w:space="0"/>
            </w:tcBorders>
            <w:vAlign w:val="center"/>
          </w:tcPr>
          <w:p>
            <w:pPr>
              <w:widowControl/>
              <w:jc w:val="left"/>
              <w:rPr>
                <w:rFonts w:ascii="宋体" w:hAnsi="宋体"/>
                <w:color w:val="auto"/>
              </w:rPr>
            </w:pP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技  工</w:t>
            </w:r>
          </w:p>
        </w:tc>
        <w:tc>
          <w:tcPr>
            <w:tcW w:w="2643"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经营范围</w:t>
            </w:r>
          </w:p>
        </w:tc>
        <w:tc>
          <w:tcPr>
            <w:tcW w:w="7341" w:type="dxa"/>
            <w:gridSpan w:val="8"/>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备注</w:t>
            </w:r>
          </w:p>
        </w:tc>
        <w:tc>
          <w:tcPr>
            <w:tcW w:w="7341" w:type="dxa"/>
            <w:gridSpan w:val="8"/>
            <w:tcBorders>
              <w:top w:val="single" w:color="auto" w:sz="4" w:space="0"/>
              <w:left w:val="nil"/>
              <w:bottom w:val="single" w:color="auto" w:sz="4" w:space="0"/>
              <w:right w:val="single" w:color="auto" w:sz="4" w:space="0"/>
            </w:tcBorders>
            <w:vAlign w:val="center"/>
          </w:tcPr>
          <w:p>
            <w:pPr>
              <w:jc w:val="center"/>
              <w:rPr>
                <w:rFonts w:ascii="宋体" w:hAnsi="宋体"/>
                <w:color w:val="auto"/>
              </w:rPr>
            </w:pPr>
          </w:p>
        </w:tc>
      </w:tr>
    </w:tbl>
    <w:p>
      <w:pPr>
        <w:spacing w:line="440" w:lineRule="exact"/>
        <w:rPr>
          <w:rFonts w:ascii="宋体" w:hAnsi="宋体"/>
          <w:color w:val="auto"/>
        </w:rPr>
      </w:pPr>
    </w:p>
    <w:p>
      <w:pPr>
        <w:spacing w:line="440" w:lineRule="exact"/>
        <w:rPr>
          <w:rFonts w:ascii="宋体" w:hAnsi="宋体"/>
          <w:color w:val="auto"/>
        </w:rPr>
      </w:pPr>
      <w:r>
        <w:rPr>
          <w:rFonts w:hint="eastAsia" w:ascii="宋体" w:hAnsi="宋体"/>
          <w:color w:val="auto"/>
        </w:rPr>
        <w:t>【备注：附有效的</w:t>
      </w:r>
      <w:bookmarkStart w:id="150" w:name="OLE_LINK14"/>
      <w:r>
        <w:rPr>
          <w:rFonts w:hint="eastAsia" w:ascii="宋体" w:hAnsi="宋体"/>
          <w:color w:val="auto"/>
        </w:rPr>
        <w:t>企业营业执照副本、企业资质证书副本和安全生产许可证副本等</w:t>
      </w:r>
      <w:bookmarkEnd w:id="150"/>
      <w:r>
        <w:rPr>
          <w:rFonts w:hint="eastAsia" w:ascii="宋体" w:hAnsi="宋体"/>
          <w:color w:val="auto"/>
        </w:rPr>
        <w:t>的</w:t>
      </w:r>
      <w:bookmarkStart w:id="151" w:name="OLE_LINK15"/>
      <w:r>
        <w:rPr>
          <w:rFonts w:hint="eastAsia" w:ascii="宋体" w:hAnsi="宋体"/>
          <w:color w:val="auto"/>
        </w:rPr>
        <w:t>复印件</w:t>
      </w:r>
      <w:bookmarkEnd w:id="151"/>
      <w:r>
        <w:rPr>
          <w:rFonts w:hint="eastAsia" w:ascii="宋体" w:hAnsi="宋体"/>
          <w:color w:val="auto"/>
        </w:rPr>
        <w:t>，并加盖磋商人单位公章】</w:t>
      </w:r>
    </w:p>
    <w:p>
      <w:pPr>
        <w:pStyle w:val="21"/>
        <w:spacing w:line="360" w:lineRule="exact"/>
        <w:jc w:val="center"/>
        <w:outlineLvl w:val="2"/>
        <w:rPr>
          <w:rFonts w:hAnsi="宋体"/>
          <w:b/>
          <w:bCs/>
          <w:color w:val="auto"/>
          <w:sz w:val="32"/>
          <w:szCs w:val="32"/>
        </w:rPr>
      </w:pPr>
      <w:r>
        <w:rPr>
          <w:rFonts w:hint="eastAsia" w:hAnsi="宋体"/>
          <w:color w:val="auto"/>
        </w:rPr>
        <w:br w:type="page"/>
      </w:r>
      <w:r>
        <w:rPr>
          <w:rFonts w:hint="eastAsia" w:hAnsi="宋体"/>
          <w:b/>
          <w:bCs/>
          <w:color w:val="auto"/>
          <w:sz w:val="28"/>
          <w:szCs w:val="28"/>
        </w:rPr>
        <w:t>四、</w:t>
      </w:r>
      <w:r>
        <w:rPr>
          <w:rFonts w:hint="eastAsia" w:hAnsi="宋体"/>
          <w:b/>
          <w:bCs/>
          <w:color w:val="auto"/>
          <w:sz w:val="28"/>
          <w:szCs w:val="28"/>
          <w:lang w:eastAsia="zh-CN"/>
        </w:rPr>
        <w:t>磋商</w:t>
      </w:r>
      <w:r>
        <w:rPr>
          <w:rFonts w:hint="eastAsia" w:hAnsi="宋体"/>
          <w:b/>
          <w:bCs/>
          <w:color w:val="auto"/>
          <w:sz w:val="28"/>
          <w:szCs w:val="28"/>
        </w:rPr>
        <w:t>保证金缴纳证明（格式）</w:t>
      </w:r>
    </w:p>
    <w:p>
      <w:pPr>
        <w:pStyle w:val="21"/>
        <w:spacing w:before="240" w:line="360" w:lineRule="exact"/>
        <w:jc w:val="center"/>
        <w:rPr>
          <w:rFonts w:hint="eastAsia" w:hAnsi="宋体" w:eastAsia="宋体"/>
          <w:color w:val="auto"/>
          <w:lang w:eastAsia="zh-CN"/>
        </w:rPr>
      </w:pPr>
      <w:r>
        <w:rPr>
          <w:rFonts w:hint="eastAsia" w:hAnsi="宋体"/>
          <w:color w:val="auto"/>
        </w:rPr>
        <w:t>附</w:t>
      </w:r>
      <w:r>
        <w:rPr>
          <w:rFonts w:hint="eastAsia" w:hAnsi="宋体"/>
          <w:color w:val="auto"/>
          <w:lang w:eastAsia="zh-CN"/>
        </w:rPr>
        <w:t>磋商</w:t>
      </w:r>
      <w:r>
        <w:rPr>
          <w:rFonts w:hint="eastAsia" w:hAnsi="宋体"/>
          <w:color w:val="auto"/>
        </w:rPr>
        <w:t>保证金转账底单（不包括网上银行转账电子回执单）复印件及</w:t>
      </w:r>
      <w:r>
        <w:rPr>
          <w:rFonts w:hint="eastAsia" w:hAnsi="宋体"/>
          <w:color w:val="auto"/>
          <w:lang w:eastAsia="zh-CN"/>
        </w:rPr>
        <w:t>公司开户许可证复印件（或基本存款账户信息复印件）</w:t>
      </w:r>
    </w:p>
    <w:p>
      <w:pPr>
        <w:pStyle w:val="22"/>
        <w:ind w:left="5250"/>
        <w:rPr>
          <w:rFonts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21"/>
        <w:spacing w:before="240" w:line="360" w:lineRule="exact"/>
        <w:jc w:val="center"/>
        <w:rPr>
          <w:rFonts w:hAnsi="宋体"/>
          <w:color w:val="auto"/>
        </w:rPr>
      </w:pPr>
      <w:r>
        <w:rPr>
          <w:rFonts w:hint="eastAsia" w:hAnsi="宋体"/>
          <w:color w:val="auto"/>
        </w:rPr>
        <w:t>【备注：</w:t>
      </w:r>
      <w:bookmarkStart w:id="152" w:name="OLE_LINK16"/>
      <w:r>
        <w:rPr>
          <w:rFonts w:hint="eastAsia" w:hAnsi="宋体"/>
          <w:color w:val="auto"/>
        </w:rPr>
        <w:t>以上复印件须加盖磋商人单位公章</w:t>
      </w:r>
      <w:bookmarkEnd w:id="152"/>
      <w:r>
        <w:rPr>
          <w:rFonts w:hint="eastAsia" w:hAnsi="宋体"/>
          <w:color w:val="auto"/>
        </w:rPr>
        <w:t>】</w:t>
      </w:r>
    </w:p>
    <w:p>
      <w:pPr>
        <w:pStyle w:val="21"/>
        <w:spacing w:before="240" w:line="360" w:lineRule="exact"/>
        <w:rPr>
          <w:rFonts w:hAnsi="宋体"/>
          <w:color w:val="auto"/>
        </w:rPr>
      </w:pPr>
    </w:p>
    <w:p>
      <w:pPr>
        <w:pStyle w:val="22"/>
        <w:ind w:left="5250"/>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宋体" w:hAnsi="宋体"/>
          <w:b/>
          <w:bCs/>
          <w:color w:val="auto"/>
          <w:sz w:val="28"/>
          <w:szCs w:val="28"/>
        </w:rPr>
      </w:pPr>
      <w:bookmarkStart w:id="153" w:name="_Toc329096200"/>
      <w:bookmarkEnd w:id="153"/>
      <w:bookmarkStart w:id="154" w:name="_Toc446927452"/>
      <w:r>
        <w:rPr>
          <w:rFonts w:hint="eastAsia" w:ascii="宋体" w:hAnsi="宋体"/>
          <w:b/>
          <w:bCs/>
          <w:color w:val="auto"/>
          <w:sz w:val="28"/>
          <w:szCs w:val="28"/>
        </w:rPr>
        <w:br w:type="page"/>
      </w:r>
    </w:p>
    <w:p>
      <w:pPr>
        <w:spacing w:line="400" w:lineRule="exact"/>
        <w:jc w:val="center"/>
        <w:rPr>
          <w:rFonts w:ascii="宋体" w:hAnsi="宋体"/>
          <w:b/>
          <w:bCs/>
          <w:color w:val="auto"/>
          <w:sz w:val="28"/>
          <w:szCs w:val="28"/>
        </w:rPr>
      </w:pPr>
      <w:r>
        <w:rPr>
          <w:rFonts w:hint="eastAsia" w:ascii="宋体" w:hAnsi="宋体"/>
          <w:b/>
          <w:bCs/>
          <w:color w:val="auto"/>
          <w:sz w:val="28"/>
          <w:szCs w:val="28"/>
        </w:rPr>
        <w:t>五、授权委托书（格式）</w:t>
      </w:r>
      <w:bookmarkEnd w:id="154"/>
    </w:p>
    <w:p>
      <w:pPr>
        <w:spacing w:line="400" w:lineRule="exact"/>
        <w:rPr>
          <w:rFonts w:ascii="宋体" w:hAnsi="宋体"/>
          <w:b/>
          <w:bCs/>
          <w:color w:val="auto"/>
        </w:rPr>
      </w:pPr>
    </w:p>
    <w:p>
      <w:pPr>
        <w:spacing w:line="400" w:lineRule="exact"/>
        <w:jc w:val="center"/>
        <w:rPr>
          <w:rFonts w:ascii="宋体" w:hAnsi="宋体"/>
          <w:b/>
          <w:bCs/>
          <w:color w:val="auto"/>
          <w:sz w:val="24"/>
          <w:szCs w:val="24"/>
        </w:rPr>
      </w:pPr>
      <w:r>
        <w:rPr>
          <w:rFonts w:hint="eastAsia" w:ascii="宋体" w:hAnsi="宋体"/>
          <w:b/>
          <w:bCs/>
          <w:color w:val="auto"/>
          <w:sz w:val="24"/>
          <w:szCs w:val="24"/>
        </w:rPr>
        <w:t>授权委托书</w:t>
      </w:r>
    </w:p>
    <w:p>
      <w:pPr>
        <w:spacing w:line="400" w:lineRule="exact"/>
        <w:ind w:firstLine="411" w:firstLineChars="196"/>
        <w:rPr>
          <w:rFonts w:ascii="宋体" w:hAnsi="宋体"/>
          <w:color w:val="auto"/>
        </w:rPr>
      </w:pPr>
    </w:p>
    <w:p>
      <w:pPr>
        <w:spacing w:line="400" w:lineRule="exact"/>
        <w:ind w:firstLine="411" w:firstLineChars="196"/>
        <w:rPr>
          <w:rFonts w:ascii="宋体" w:hAnsi="宋体"/>
          <w:color w:val="auto"/>
        </w:rPr>
      </w:pPr>
      <w:r>
        <w:rPr>
          <w:rFonts w:hint="eastAsia" w:ascii="宋体" w:hAnsi="宋体"/>
          <w:color w:val="auto"/>
        </w:rPr>
        <w:t>本授权委托书声明：我（姓名）系</w:t>
      </w:r>
      <w:r>
        <w:rPr>
          <w:rFonts w:hint="eastAsia" w:ascii="宋体" w:hAnsi="宋体"/>
          <w:color w:val="auto"/>
          <w:u w:val="single"/>
        </w:rPr>
        <w:t xml:space="preserve">        （磋商人名称）</w:t>
      </w:r>
      <w:r>
        <w:rPr>
          <w:rFonts w:hint="eastAsia" w:ascii="宋体" w:hAnsi="宋体"/>
          <w:color w:val="auto"/>
        </w:rPr>
        <w:t>的法定代表人，现授权委托</w:t>
      </w:r>
      <w:r>
        <w:rPr>
          <w:rFonts w:hint="eastAsia" w:ascii="宋体" w:hAnsi="宋体"/>
          <w:color w:val="auto"/>
          <w:u w:val="single"/>
        </w:rPr>
        <w:t xml:space="preserve">      （单位名称）     </w:t>
      </w:r>
      <w:r>
        <w:rPr>
          <w:rFonts w:hint="eastAsia" w:ascii="宋体" w:hAnsi="宋体"/>
          <w:color w:val="auto"/>
        </w:rPr>
        <w:t>的</w:t>
      </w:r>
      <w:r>
        <w:rPr>
          <w:rFonts w:hint="eastAsia" w:ascii="宋体" w:hAnsi="宋体"/>
          <w:color w:val="auto"/>
          <w:u w:val="single"/>
        </w:rPr>
        <w:t xml:space="preserve">    （姓名）</w:t>
      </w:r>
      <w:r>
        <w:rPr>
          <w:rFonts w:hint="eastAsia" w:ascii="宋体" w:hAnsi="宋体"/>
          <w:color w:val="auto"/>
        </w:rPr>
        <w:t>为我公司签署</w:t>
      </w:r>
      <w:r>
        <w:rPr>
          <w:rFonts w:hint="eastAsia" w:ascii="宋体" w:hAnsi="宋体"/>
          <w:color w:val="auto"/>
          <w:u w:val="single"/>
        </w:rPr>
        <w:t xml:space="preserve">        （项目名称）</w:t>
      </w:r>
      <w:r>
        <w:rPr>
          <w:rFonts w:hint="eastAsia" w:ascii="宋体" w:hAnsi="宋体"/>
          <w:color w:val="auto"/>
        </w:rPr>
        <w:t>的响应文件的法定代表人授权委托代理人，我承认代理人全权代表我所签署的本工程的响应文件的内容。</w:t>
      </w:r>
    </w:p>
    <w:p>
      <w:pPr>
        <w:spacing w:line="400" w:lineRule="exact"/>
        <w:ind w:firstLine="420" w:firstLineChars="200"/>
        <w:rPr>
          <w:rFonts w:ascii="宋体" w:hAnsi="宋体"/>
          <w:color w:val="auto"/>
        </w:rPr>
      </w:pPr>
    </w:p>
    <w:p>
      <w:pPr>
        <w:spacing w:line="400" w:lineRule="exact"/>
        <w:ind w:firstLine="420" w:firstLineChars="200"/>
        <w:rPr>
          <w:rFonts w:ascii="宋体" w:hAnsi="宋体"/>
          <w:color w:val="auto"/>
        </w:rPr>
      </w:pPr>
      <w:r>
        <w:rPr>
          <w:rFonts w:hint="eastAsia" w:ascii="宋体" w:hAnsi="宋体"/>
          <w:color w:val="auto"/>
        </w:rPr>
        <w:t>代理人无转委托权，特此委托。</w:t>
      </w:r>
    </w:p>
    <w:p>
      <w:pPr>
        <w:spacing w:line="400" w:lineRule="exact"/>
        <w:ind w:left="1260"/>
        <w:rPr>
          <w:rFonts w:ascii="宋体" w:hAnsi="宋体"/>
          <w:color w:val="auto"/>
        </w:rPr>
      </w:pPr>
    </w:p>
    <w:p>
      <w:pPr>
        <w:spacing w:line="400" w:lineRule="exact"/>
        <w:ind w:left="1260"/>
        <w:rPr>
          <w:rFonts w:ascii="宋体" w:hAnsi="宋体"/>
          <w:color w:val="auto"/>
        </w:rPr>
      </w:pPr>
    </w:p>
    <w:p>
      <w:pPr>
        <w:spacing w:line="400" w:lineRule="exact"/>
        <w:ind w:left="1260"/>
        <w:rPr>
          <w:rFonts w:ascii="宋体" w:hAnsi="宋体"/>
          <w:color w:val="auto"/>
        </w:rPr>
      </w:pPr>
    </w:p>
    <w:p>
      <w:pPr>
        <w:spacing w:line="400" w:lineRule="exact"/>
        <w:ind w:left="1260"/>
        <w:rPr>
          <w:rFonts w:ascii="宋体" w:hAnsi="宋体"/>
          <w:color w:val="auto"/>
        </w:rPr>
      </w:pPr>
    </w:p>
    <w:p>
      <w:pPr>
        <w:spacing w:line="400" w:lineRule="exact"/>
        <w:ind w:left="1260"/>
        <w:rPr>
          <w:rFonts w:ascii="宋体" w:hAnsi="宋体"/>
          <w:color w:val="auto"/>
        </w:rPr>
      </w:pPr>
    </w:p>
    <w:p>
      <w:pPr>
        <w:spacing w:line="400" w:lineRule="exact"/>
        <w:ind w:left="1260"/>
        <w:rPr>
          <w:rFonts w:ascii="宋体" w:hAnsi="宋体"/>
          <w:color w:val="auto"/>
        </w:rPr>
      </w:pPr>
    </w:p>
    <w:p>
      <w:pPr>
        <w:spacing w:line="400" w:lineRule="exact"/>
        <w:ind w:left="2699"/>
        <w:jc w:val="both"/>
        <w:rPr>
          <w:rFonts w:ascii="宋体" w:hAnsi="宋体"/>
          <w:color w:val="auto"/>
          <w:u w:val="single"/>
        </w:rPr>
      </w:pPr>
      <w:bookmarkStart w:id="155" w:name="_Toc251051979"/>
      <w:bookmarkEnd w:id="155"/>
      <w:r>
        <w:rPr>
          <w:rFonts w:hint="eastAsia" w:ascii="宋体" w:hAnsi="宋体"/>
          <w:color w:val="auto"/>
        </w:rPr>
        <w:t>代理人：</w:t>
      </w:r>
      <w:r>
        <w:rPr>
          <w:rFonts w:hint="eastAsia" w:ascii="宋体" w:hAnsi="宋体"/>
          <w:color w:val="auto"/>
          <w:lang w:val="en-US" w:eastAsia="zh-CN"/>
        </w:rPr>
        <w:t xml:space="preserve">     </w:t>
      </w:r>
      <w:r>
        <w:rPr>
          <w:rFonts w:hint="eastAsia" w:ascii="宋体" w:hAnsi="宋体"/>
          <w:color w:val="auto"/>
        </w:rPr>
        <w:t>性别 ：</w:t>
      </w:r>
      <w:r>
        <w:rPr>
          <w:rFonts w:hint="eastAsia" w:ascii="宋体" w:hAnsi="宋体"/>
          <w:color w:val="auto"/>
          <w:lang w:val="en-US" w:eastAsia="zh-CN"/>
        </w:rPr>
        <w:t xml:space="preserve">      </w:t>
      </w:r>
      <w:r>
        <w:rPr>
          <w:rFonts w:hint="eastAsia" w:ascii="宋体" w:hAnsi="宋体"/>
          <w:color w:val="auto"/>
        </w:rPr>
        <w:t>年龄：_______</w:t>
      </w:r>
    </w:p>
    <w:p>
      <w:pPr>
        <w:spacing w:line="400" w:lineRule="exact"/>
        <w:ind w:right="420" w:firstLine="2698" w:firstLineChars="1285"/>
        <w:rPr>
          <w:rFonts w:ascii="宋体" w:hAnsi="宋体"/>
          <w:color w:val="auto"/>
        </w:rPr>
      </w:pPr>
      <w:bookmarkStart w:id="156" w:name="_Toc251051980"/>
      <w:bookmarkEnd w:id="156"/>
      <w:r>
        <w:rPr>
          <w:rFonts w:hint="eastAsia" w:ascii="宋体" w:hAnsi="宋体"/>
          <w:color w:val="auto"/>
        </w:rPr>
        <w:t>身份证号码</w:t>
      </w:r>
      <w:r>
        <w:rPr>
          <w:rFonts w:hint="eastAsia" w:ascii="宋体" w:hAnsi="宋体"/>
          <w:color w:val="auto"/>
          <w:lang w:val="en-US" w:eastAsia="zh-CN"/>
        </w:rPr>
        <w:t xml:space="preserve"> </w:t>
      </w:r>
      <w:r>
        <w:rPr>
          <w:rFonts w:hint="eastAsia" w:ascii="宋体" w:hAnsi="宋体"/>
          <w:color w:val="auto"/>
        </w:rPr>
        <w:t>：</w:t>
      </w:r>
      <w:r>
        <w:rPr>
          <w:rFonts w:hint="eastAsia" w:ascii="宋体" w:hAnsi="宋体"/>
          <w:color w:val="auto"/>
          <w:lang w:val="en-US" w:eastAsia="zh-CN"/>
        </w:rPr>
        <w:t xml:space="preserve">             </w:t>
      </w:r>
      <w:r>
        <w:rPr>
          <w:rFonts w:hint="eastAsia" w:ascii="宋体" w:hAnsi="宋体"/>
          <w:color w:val="auto"/>
        </w:rPr>
        <w:t>职务：</w:t>
      </w:r>
    </w:p>
    <w:p>
      <w:pPr>
        <w:spacing w:line="400" w:lineRule="exact"/>
        <w:ind w:left="2698" w:leftChars="1285" w:firstLine="2"/>
        <w:rPr>
          <w:rFonts w:ascii="宋体" w:hAnsi="宋体"/>
          <w:color w:val="auto"/>
        </w:rPr>
      </w:pPr>
      <w:bookmarkStart w:id="157" w:name="_Toc251051981"/>
      <w:bookmarkEnd w:id="157"/>
      <w:r>
        <w:rPr>
          <w:rFonts w:hint="eastAsia" w:ascii="宋体" w:hAnsi="宋体"/>
          <w:color w:val="auto"/>
        </w:rPr>
        <w:t>磋商人：</w:t>
      </w:r>
      <w:r>
        <w:rPr>
          <w:rFonts w:hint="eastAsia" w:ascii="宋体" w:hAnsi="宋体"/>
          <w:color w:val="auto"/>
          <w:u w:val="single"/>
        </w:rPr>
        <w:t xml:space="preserve">                           （盖单位章）</w:t>
      </w:r>
    </w:p>
    <w:p>
      <w:pPr>
        <w:spacing w:line="400" w:lineRule="exact"/>
        <w:ind w:left="2698" w:leftChars="1285" w:firstLine="2"/>
        <w:rPr>
          <w:rFonts w:ascii="宋体" w:hAnsi="宋体"/>
          <w:color w:val="auto"/>
        </w:rPr>
      </w:pPr>
      <w:bookmarkStart w:id="158" w:name="_Toc251051982"/>
      <w:bookmarkEnd w:id="158"/>
      <w:r>
        <w:rPr>
          <w:rFonts w:hint="eastAsia" w:ascii="宋体" w:hAnsi="宋体"/>
          <w:color w:val="auto"/>
        </w:rPr>
        <w:t>法定代表人：</w:t>
      </w:r>
      <w:r>
        <w:rPr>
          <w:rFonts w:hint="eastAsia" w:ascii="宋体" w:hAnsi="宋体"/>
          <w:color w:val="auto"/>
          <w:u w:val="single"/>
        </w:rPr>
        <w:t xml:space="preserve">                      （签字或盖章）</w:t>
      </w:r>
    </w:p>
    <w:p>
      <w:pPr>
        <w:spacing w:line="400" w:lineRule="exact"/>
        <w:ind w:firstLine="3990" w:firstLineChars="1900"/>
        <w:rPr>
          <w:rFonts w:ascii="宋体" w:hAnsi="宋体"/>
          <w:color w:val="auto"/>
        </w:rPr>
      </w:pPr>
      <w:bookmarkStart w:id="159" w:name="_Toc251051983"/>
      <w:bookmarkEnd w:id="159"/>
      <w:r>
        <w:rPr>
          <w:rFonts w:hint="eastAsia" w:ascii="宋体" w:hAnsi="宋体"/>
          <w:color w:val="auto"/>
        </w:rPr>
        <w:t>授权委托日期：</w:t>
      </w:r>
      <w:r>
        <w:rPr>
          <w:rFonts w:hint="eastAsia" w:ascii="宋体" w:hAnsi="宋体"/>
          <w:color w:val="auto"/>
          <w:lang w:val="en-US" w:eastAsia="zh-CN"/>
        </w:rPr>
        <w:t xml:space="preserve"> </w:t>
      </w:r>
      <w:r>
        <w:rPr>
          <w:rFonts w:hint="eastAsia" w:ascii="宋体" w:hAnsi="宋体"/>
          <w:color w:val="auto"/>
        </w:rPr>
        <w:t>年</w:t>
      </w:r>
      <w:r>
        <w:rPr>
          <w:rFonts w:hint="eastAsia" w:ascii="宋体" w:hAnsi="宋体"/>
          <w:color w:val="auto"/>
          <w:lang w:val="en-US" w:eastAsia="zh-CN"/>
        </w:rPr>
        <w:t xml:space="preserve">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360" w:lineRule="auto"/>
        <w:rPr>
          <w:rFonts w:ascii="宋体" w:hAnsi="宋体"/>
          <w:color w:val="auto"/>
        </w:rPr>
      </w:pPr>
      <w:r>
        <w:rPr>
          <w:rFonts w:hint="eastAsia" w:ascii="宋体" w:hAnsi="宋体"/>
          <w:color w:val="auto"/>
        </w:rPr>
        <w:t>【备注：附法定代表人身份证明及其身份证等材料的复印件。以上复印件均须加盖磋商人单位公章】</w:t>
      </w:r>
    </w:p>
    <w:p>
      <w:pPr>
        <w:spacing w:line="400" w:lineRule="exact"/>
        <w:ind w:firstLine="3654" w:firstLineChars="1300"/>
        <w:rPr>
          <w:rFonts w:ascii="宋体" w:hAnsi="宋体"/>
          <w:b/>
          <w:bCs/>
          <w:color w:val="auto"/>
          <w:sz w:val="28"/>
          <w:szCs w:val="28"/>
        </w:rPr>
      </w:pPr>
    </w:p>
    <w:p>
      <w:pPr>
        <w:spacing w:line="400" w:lineRule="exact"/>
        <w:ind w:firstLine="3654" w:firstLineChars="1300"/>
        <w:rPr>
          <w:rFonts w:ascii="宋体" w:hAnsi="宋体"/>
          <w:b/>
          <w:bCs/>
          <w:color w:val="auto"/>
          <w:sz w:val="28"/>
          <w:szCs w:val="28"/>
        </w:rPr>
      </w:pPr>
    </w:p>
    <w:p>
      <w:pPr>
        <w:spacing w:line="400" w:lineRule="exact"/>
        <w:ind w:firstLine="3654" w:firstLineChars="1300"/>
        <w:rPr>
          <w:rFonts w:hint="eastAsia" w:ascii="宋体" w:hAnsi="宋体"/>
          <w:b/>
          <w:bCs/>
          <w:color w:val="auto"/>
          <w:sz w:val="28"/>
          <w:szCs w:val="28"/>
        </w:rPr>
      </w:pPr>
    </w:p>
    <w:p>
      <w:pPr>
        <w:spacing w:line="400" w:lineRule="exact"/>
        <w:ind w:firstLine="3654" w:firstLineChars="1300"/>
        <w:rPr>
          <w:rFonts w:ascii="宋体" w:hAnsi="宋体"/>
          <w:b/>
          <w:bCs/>
          <w:color w:val="auto"/>
          <w:sz w:val="28"/>
          <w:szCs w:val="28"/>
        </w:rPr>
      </w:pPr>
    </w:p>
    <w:p>
      <w:pPr>
        <w:spacing w:line="400" w:lineRule="exact"/>
        <w:ind w:firstLine="3654" w:firstLineChars="1300"/>
        <w:rPr>
          <w:rFonts w:ascii="宋体" w:hAnsi="宋体"/>
          <w:b/>
          <w:bCs/>
          <w:color w:val="auto"/>
          <w:sz w:val="28"/>
          <w:szCs w:val="28"/>
        </w:rPr>
      </w:pPr>
    </w:p>
    <w:p>
      <w:pPr>
        <w:rPr>
          <w:rFonts w:hint="eastAsia" w:ascii="宋体" w:hAnsi="宋体"/>
          <w:b/>
          <w:bCs/>
          <w:color w:val="auto"/>
          <w:sz w:val="28"/>
          <w:szCs w:val="28"/>
        </w:rPr>
      </w:pPr>
      <w:r>
        <w:rPr>
          <w:rFonts w:hint="eastAsia" w:ascii="宋体" w:hAnsi="宋体"/>
          <w:b/>
          <w:bCs/>
          <w:color w:val="auto"/>
          <w:sz w:val="28"/>
          <w:szCs w:val="28"/>
        </w:rPr>
        <w:br w:type="page"/>
      </w:r>
    </w:p>
    <w:p>
      <w:pPr>
        <w:spacing w:line="400" w:lineRule="exact"/>
        <w:ind w:firstLine="2339" w:firstLineChars="832"/>
        <w:rPr>
          <w:rFonts w:ascii="宋体" w:hAnsi="宋体"/>
          <w:color w:val="auto"/>
          <w:sz w:val="28"/>
          <w:szCs w:val="28"/>
        </w:rPr>
      </w:pPr>
      <w:r>
        <w:rPr>
          <w:rFonts w:hint="eastAsia" w:ascii="宋体" w:hAnsi="宋体"/>
          <w:b/>
          <w:bCs/>
          <w:color w:val="auto"/>
          <w:sz w:val="28"/>
          <w:szCs w:val="28"/>
        </w:rPr>
        <w:t>附件：法定代表人身份证明</w:t>
      </w:r>
    </w:p>
    <w:p>
      <w:pPr>
        <w:spacing w:line="400" w:lineRule="exact"/>
        <w:ind w:firstLine="525" w:firstLineChars="250"/>
        <w:rPr>
          <w:rFonts w:ascii="宋体" w:hAnsi="宋体"/>
          <w:color w:val="auto"/>
        </w:rPr>
      </w:pPr>
    </w:p>
    <w:p>
      <w:pPr>
        <w:spacing w:line="400" w:lineRule="exact"/>
        <w:ind w:firstLine="525" w:firstLineChars="250"/>
        <w:rPr>
          <w:rFonts w:ascii="宋体" w:hAnsi="宋体"/>
          <w:color w:val="auto"/>
        </w:rPr>
      </w:pPr>
      <w:r>
        <w:rPr>
          <w:rFonts w:hint="eastAsia" w:ascii="宋体" w:hAnsi="宋体"/>
          <w:color w:val="auto"/>
        </w:rPr>
        <w:t xml:space="preserve">磋 商 人：                                                        </w:t>
      </w:r>
    </w:p>
    <w:p>
      <w:pPr>
        <w:spacing w:line="400" w:lineRule="exact"/>
        <w:ind w:firstLine="525" w:firstLineChars="250"/>
        <w:rPr>
          <w:rFonts w:ascii="宋体" w:hAnsi="宋体"/>
          <w:color w:val="auto"/>
        </w:rPr>
      </w:pPr>
      <w:r>
        <w:rPr>
          <w:rFonts w:hint="eastAsia" w:ascii="宋体" w:hAnsi="宋体"/>
          <w:color w:val="auto"/>
        </w:rPr>
        <w:t>单位性质：</w:t>
      </w:r>
    </w:p>
    <w:p>
      <w:pPr>
        <w:spacing w:line="400" w:lineRule="exact"/>
        <w:ind w:firstLine="525" w:firstLineChars="250"/>
        <w:rPr>
          <w:rFonts w:ascii="宋体" w:hAnsi="宋体"/>
          <w:color w:val="auto"/>
        </w:rPr>
      </w:pPr>
      <w:r>
        <w:rPr>
          <w:rFonts w:hint="eastAsia" w:ascii="宋体" w:hAnsi="宋体"/>
          <w:color w:val="auto"/>
        </w:rPr>
        <w:t>地    址：</w:t>
      </w:r>
    </w:p>
    <w:p>
      <w:pPr>
        <w:spacing w:line="400" w:lineRule="exact"/>
        <w:ind w:firstLine="525" w:firstLineChars="250"/>
        <w:rPr>
          <w:rFonts w:ascii="宋体" w:hAnsi="宋体"/>
          <w:color w:val="auto"/>
        </w:rPr>
      </w:pPr>
      <w:r>
        <w:rPr>
          <w:rFonts w:hint="eastAsia" w:ascii="宋体" w:hAnsi="宋体"/>
          <w:color w:val="auto"/>
        </w:rPr>
        <w:t>成立时间：年月日</w:t>
      </w:r>
    </w:p>
    <w:p>
      <w:pPr>
        <w:spacing w:line="400" w:lineRule="exact"/>
        <w:ind w:firstLine="525" w:firstLineChars="250"/>
        <w:rPr>
          <w:rFonts w:ascii="宋体" w:hAnsi="宋体"/>
          <w:color w:val="auto"/>
        </w:rPr>
      </w:pPr>
      <w:r>
        <w:rPr>
          <w:rFonts w:hint="eastAsia" w:ascii="宋体" w:hAnsi="宋体"/>
          <w:color w:val="auto"/>
        </w:rPr>
        <w:t>经营期限：</w:t>
      </w:r>
    </w:p>
    <w:p>
      <w:pPr>
        <w:spacing w:line="400" w:lineRule="exact"/>
        <w:ind w:firstLine="525" w:firstLineChars="250"/>
        <w:rPr>
          <w:rFonts w:ascii="宋体" w:hAnsi="宋体"/>
          <w:color w:val="auto"/>
        </w:rPr>
      </w:pPr>
      <w:r>
        <w:rPr>
          <w:rFonts w:hint="eastAsia" w:ascii="宋体" w:hAnsi="宋体"/>
          <w:color w:val="auto"/>
        </w:rPr>
        <w:t>姓    名：性     别：</w:t>
      </w:r>
    </w:p>
    <w:p>
      <w:pPr>
        <w:spacing w:line="400" w:lineRule="exact"/>
        <w:ind w:firstLine="525" w:firstLineChars="250"/>
        <w:rPr>
          <w:rFonts w:ascii="宋体" w:hAnsi="宋体"/>
          <w:color w:val="auto"/>
        </w:rPr>
      </w:pPr>
      <w:r>
        <w:rPr>
          <w:rFonts w:hint="eastAsia" w:ascii="宋体" w:hAnsi="宋体"/>
          <w:color w:val="auto"/>
        </w:rPr>
        <w:t>年    龄：职     务：</w:t>
      </w:r>
    </w:p>
    <w:p>
      <w:pPr>
        <w:spacing w:line="400" w:lineRule="exact"/>
        <w:ind w:firstLine="525" w:firstLineChars="250"/>
        <w:rPr>
          <w:rFonts w:ascii="宋体" w:hAnsi="宋体"/>
          <w:color w:val="auto"/>
        </w:rPr>
      </w:pPr>
      <w:r>
        <w:rPr>
          <w:rFonts w:hint="eastAsia" w:ascii="宋体" w:hAnsi="宋体"/>
          <w:color w:val="auto"/>
        </w:rPr>
        <w:t>系（磋商人名称）的法定代表人。</w:t>
      </w:r>
    </w:p>
    <w:p>
      <w:pPr>
        <w:spacing w:line="400" w:lineRule="exact"/>
        <w:ind w:firstLine="525" w:firstLineChars="250"/>
        <w:rPr>
          <w:rFonts w:ascii="宋体" w:hAnsi="宋体"/>
          <w:color w:val="auto"/>
        </w:rPr>
      </w:pPr>
      <w:r>
        <w:rPr>
          <w:rFonts w:hint="eastAsia" w:ascii="宋体" w:hAnsi="宋体"/>
          <w:color w:val="auto"/>
        </w:rPr>
        <w:t>特此证明。</w:t>
      </w: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jc w:val="right"/>
        <w:rPr>
          <w:rFonts w:ascii="宋体" w:hAnsi="宋体"/>
          <w:color w:val="auto"/>
        </w:rPr>
      </w:pPr>
      <w:r>
        <w:rPr>
          <w:rFonts w:hint="eastAsia" w:ascii="宋体" w:hAnsi="宋体"/>
          <w:color w:val="auto"/>
        </w:rPr>
        <w:t>磋商人：（盖单位章）</w:t>
      </w:r>
    </w:p>
    <w:p>
      <w:pPr>
        <w:spacing w:line="400" w:lineRule="exact"/>
        <w:jc w:val="right"/>
        <w:rPr>
          <w:rFonts w:ascii="宋体" w:hAnsi="宋体"/>
          <w:color w:val="auto"/>
        </w:rPr>
      </w:pPr>
      <w:r>
        <w:rPr>
          <w:rFonts w:hint="eastAsia" w:ascii="宋体" w:hAnsi="宋体"/>
          <w:color w:val="auto"/>
        </w:rPr>
        <w:t>年</w:t>
      </w:r>
      <w:r>
        <w:rPr>
          <w:rFonts w:hint="eastAsia" w:ascii="宋体" w:hAnsi="宋体"/>
          <w:color w:val="auto"/>
          <w:lang w:val="en-US" w:eastAsia="zh-CN"/>
        </w:rPr>
        <w:t xml:space="preserve">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p>
    <w:p>
      <w:pPr>
        <w:spacing w:line="400" w:lineRule="exact"/>
        <w:ind w:firstLine="525" w:firstLineChars="250"/>
        <w:jc w:val="center"/>
        <w:rPr>
          <w:rFonts w:ascii="宋体" w:hAnsi="宋体"/>
          <w:color w:val="auto"/>
        </w:rPr>
      </w:pPr>
    </w:p>
    <w:p>
      <w:pPr>
        <w:pStyle w:val="21"/>
        <w:spacing w:line="560" w:lineRule="exact"/>
        <w:ind w:firstLine="2310" w:firstLineChars="1100"/>
        <w:rPr>
          <w:rFonts w:hAnsi="宋体"/>
          <w:color w:val="auto"/>
          <w:u w:val="single"/>
        </w:rPr>
      </w:pPr>
    </w:p>
    <w:p>
      <w:pPr>
        <w:pStyle w:val="21"/>
        <w:spacing w:line="360" w:lineRule="exact"/>
        <w:outlineLvl w:val="2"/>
        <w:rPr>
          <w:rFonts w:hAnsi="宋体"/>
          <w:b/>
          <w:bCs/>
          <w:color w:val="auto"/>
          <w:sz w:val="32"/>
          <w:szCs w:val="32"/>
        </w:rPr>
      </w:pPr>
    </w:p>
    <w:p>
      <w:pPr>
        <w:pStyle w:val="22"/>
        <w:ind w:left="5250"/>
        <w:rPr>
          <w:rFonts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pStyle w:val="21"/>
        <w:spacing w:line="360" w:lineRule="exact"/>
        <w:jc w:val="center"/>
        <w:outlineLvl w:val="2"/>
        <w:rPr>
          <w:rFonts w:hAnsi="宋体"/>
          <w:b/>
          <w:bCs/>
          <w:color w:val="auto"/>
          <w:sz w:val="32"/>
          <w:szCs w:val="32"/>
        </w:rPr>
      </w:pPr>
    </w:p>
    <w:p>
      <w:pPr>
        <w:rPr>
          <w:rFonts w:hint="eastAsia" w:hAnsi="宋体"/>
          <w:b/>
          <w:bCs/>
          <w:color w:val="auto"/>
          <w:sz w:val="28"/>
          <w:szCs w:val="28"/>
        </w:rPr>
      </w:pPr>
      <w:r>
        <w:rPr>
          <w:rFonts w:hint="eastAsia" w:hAnsi="宋体"/>
          <w:b/>
          <w:bCs/>
          <w:color w:val="auto"/>
          <w:sz w:val="28"/>
          <w:szCs w:val="28"/>
        </w:rPr>
        <w:br w:type="page"/>
      </w:r>
    </w:p>
    <w:p>
      <w:pPr>
        <w:pStyle w:val="21"/>
        <w:spacing w:afterLines="100" w:line="360" w:lineRule="exact"/>
        <w:jc w:val="center"/>
        <w:outlineLvl w:val="2"/>
        <w:rPr>
          <w:rFonts w:hAnsi="宋体"/>
          <w:b/>
          <w:bCs/>
          <w:color w:val="auto"/>
          <w:sz w:val="28"/>
          <w:szCs w:val="28"/>
        </w:rPr>
      </w:pPr>
      <w:r>
        <w:rPr>
          <w:rFonts w:hint="eastAsia" w:hAnsi="宋体"/>
          <w:b/>
          <w:bCs/>
          <w:color w:val="auto"/>
          <w:sz w:val="28"/>
          <w:szCs w:val="28"/>
        </w:rPr>
        <w:t>六、</w:t>
      </w:r>
      <w:r>
        <w:rPr>
          <w:rFonts w:hint="eastAsia" w:hAnsi="宋体"/>
          <w:b/>
          <w:bCs/>
          <w:color w:val="auto"/>
          <w:sz w:val="28"/>
          <w:szCs w:val="28"/>
          <w:lang w:val="en-US" w:eastAsia="zh-CN"/>
        </w:rPr>
        <w:t>已标价</w:t>
      </w:r>
      <w:r>
        <w:rPr>
          <w:rFonts w:hint="eastAsia" w:hAnsi="宋体"/>
          <w:b/>
          <w:bCs/>
          <w:color w:val="auto"/>
          <w:sz w:val="28"/>
          <w:szCs w:val="28"/>
        </w:rPr>
        <w:t>工程量清单</w:t>
      </w:r>
    </w:p>
    <w:p>
      <w:pPr>
        <w:keepNext w:val="0"/>
        <w:keepLines w:val="0"/>
        <w:widowControl/>
        <w:suppressLineNumbers w:val="0"/>
        <w:ind w:firstLine="480" w:firstLineChars="200"/>
        <w:jc w:val="left"/>
        <w:rPr>
          <w:color w:val="auto"/>
        </w:rPr>
      </w:pPr>
      <w:r>
        <w:rPr>
          <w:rFonts w:ascii="宋体" w:hAnsi="宋体" w:eastAsia="宋体" w:cs="宋体"/>
          <w:color w:val="auto"/>
          <w:kern w:val="0"/>
          <w:sz w:val="24"/>
          <w:szCs w:val="24"/>
          <w:lang w:val="en-US" w:eastAsia="zh-CN" w:bidi="ar"/>
        </w:rPr>
        <w:t>工程量清单中合价和</w:t>
      </w:r>
      <w:r>
        <w:rPr>
          <w:rFonts w:hint="eastAsia" w:ascii="宋体" w:hAnsi="宋体" w:cs="宋体"/>
          <w:color w:val="auto"/>
          <w:kern w:val="0"/>
          <w:sz w:val="24"/>
          <w:szCs w:val="24"/>
          <w:lang w:val="en-US" w:eastAsia="zh-CN" w:bidi="ar"/>
        </w:rPr>
        <w:t>单价</w:t>
      </w:r>
      <w:r>
        <w:rPr>
          <w:rFonts w:ascii="宋体" w:hAnsi="宋体" w:eastAsia="宋体" w:cs="宋体"/>
          <w:color w:val="auto"/>
          <w:kern w:val="0"/>
          <w:sz w:val="24"/>
          <w:szCs w:val="24"/>
          <w:lang w:val="en-US" w:eastAsia="zh-CN" w:bidi="ar"/>
        </w:rPr>
        <w:t>应取整至</w:t>
      </w:r>
      <w:r>
        <w:rPr>
          <w:rFonts w:hint="eastAsia" w:ascii="宋体" w:hAnsi="宋体" w:cs="宋体"/>
          <w:color w:val="auto"/>
          <w:kern w:val="0"/>
          <w:sz w:val="24"/>
          <w:szCs w:val="24"/>
          <w:lang w:val="en-US" w:eastAsia="zh-CN" w:bidi="ar"/>
        </w:rPr>
        <w:t>小数点后两位</w:t>
      </w:r>
      <w:r>
        <w:rPr>
          <w:rFonts w:ascii="宋体" w:hAnsi="宋体" w:eastAsia="宋体" w:cs="宋体"/>
          <w:color w:val="auto"/>
          <w:kern w:val="0"/>
          <w:sz w:val="24"/>
          <w:szCs w:val="24"/>
          <w:lang w:val="en-US" w:eastAsia="zh-CN" w:bidi="ar"/>
        </w:rPr>
        <w:t>，各项金额均以人民币（元）结算。</w:t>
      </w:r>
      <w:r>
        <w:rPr>
          <w:rFonts w:ascii="宋体" w:hAnsi="宋体" w:eastAsia="宋体" w:cs="宋体"/>
          <w:color w:val="auto"/>
          <w:kern w:val="0"/>
          <w:sz w:val="24"/>
          <w:szCs w:val="24"/>
          <w:lang w:val="en-US" w:eastAsia="zh-CN" w:bidi="ar"/>
        </w:rPr>
        <w:br w:type="textWrapping"/>
      </w:r>
      <w:r>
        <w:rPr>
          <w:rFonts w:hint="eastAsia" w:ascii="宋体" w:hAnsi="宋体" w:cs="宋体"/>
          <w:color w:val="auto"/>
          <w:kern w:val="0"/>
          <w:sz w:val="24"/>
          <w:szCs w:val="24"/>
          <w:lang w:val="en-US" w:eastAsia="zh-CN" w:bidi="ar"/>
        </w:rPr>
        <w:t xml:space="preserve">   </w:t>
      </w:r>
    </w:p>
    <w:p>
      <w:pPr>
        <w:pStyle w:val="21"/>
        <w:spacing w:afterLines="100" w:line="360" w:lineRule="exact"/>
        <w:jc w:val="left"/>
        <w:outlineLvl w:val="2"/>
        <w:rPr>
          <w:rFonts w:hAnsi="宋体"/>
          <w:b/>
          <w:bCs/>
          <w:color w:val="auto"/>
          <w:sz w:val="32"/>
          <w:szCs w:val="32"/>
        </w:rPr>
      </w:pPr>
    </w:p>
    <w:p>
      <w:pPr>
        <w:pStyle w:val="21"/>
        <w:spacing w:line="360" w:lineRule="exact"/>
        <w:jc w:val="left"/>
        <w:outlineLvl w:val="2"/>
        <w:rPr>
          <w:rFonts w:hAnsi="宋体"/>
          <w:b/>
          <w:bCs/>
          <w:color w:val="auto"/>
          <w:sz w:val="32"/>
          <w:szCs w:val="32"/>
        </w:rPr>
      </w:pPr>
    </w:p>
    <w:p>
      <w:pPr>
        <w:pStyle w:val="22"/>
        <w:ind w:left="5250"/>
        <w:rPr>
          <w:rFonts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rPr>
          <w:rFonts w:ascii="宋体" w:hAnsi="宋体"/>
          <w:b/>
          <w:bCs/>
          <w:color w:val="auto"/>
          <w:sz w:val="32"/>
          <w:szCs w:val="32"/>
        </w:rPr>
      </w:pPr>
    </w:p>
    <w:p>
      <w:pPr>
        <w:pStyle w:val="21"/>
        <w:spacing w:line="360" w:lineRule="exact"/>
        <w:jc w:val="center"/>
        <w:outlineLvl w:val="2"/>
        <w:rPr>
          <w:rFonts w:hint="eastAsia" w:hAnsi="宋体"/>
          <w:b/>
          <w:bCs/>
          <w:color w:val="auto"/>
          <w:sz w:val="28"/>
          <w:szCs w:val="28"/>
        </w:rPr>
      </w:pPr>
    </w:p>
    <w:p>
      <w:pPr>
        <w:pStyle w:val="21"/>
        <w:spacing w:line="360" w:lineRule="exact"/>
        <w:jc w:val="center"/>
        <w:outlineLvl w:val="2"/>
        <w:rPr>
          <w:rFonts w:hint="eastAsia" w:hAnsi="宋体"/>
          <w:b/>
          <w:bCs/>
          <w:color w:val="auto"/>
          <w:sz w:val="28"/>
          <w:szCs w:val="28"/>
        </w:rPr>
      </w:pPr>
    </w:p>
    <w:p>
      <w:pPr>
        <w:rPr>
          <w:rFonts w:hint="eastAsia" w:hAnsi="宋体"/>
          <w:b/>
          <w:bCs/>
          <w:color w:val="auto"/>
          <w:sz w:val="28"/>
          <w:szCs w:val="28"/>
        </w:rPr>
      </w:pPr>
      <w:r>
        <w:rPr>
          <w:rFonts w:hint="eastAsia" w:hAnsi="宋体"/>
          <w:b/>
          <w:bCs/>
          <w:color w:val="auto"/>
          <w:sz w:val="28"/>
          <w:szCs w:val="28"/>
        </w:rPr>
        <w:br w:type="page"/>
      </w:r>
    </w:p>
    <w:p>
      <w:pPr>
        <w:pStyle w:val="21"/>
        <w:spacing w:line="360" w:lineRule="exact"/>
        <w:jc w:val="center"/>
        <w:outlineLvl w:val="2"/>
        <w:rPr>
          <w:rFonts w:hAnsi="宋体"/>
          <w:b/>
          <w:bCs/>
          <w:color w:val="auto"/>
          <w:sz w:val="28"/>
          <w:szCs w:val="28"/>
        </w:rPr>
      </w:pPr>
      <w:r>
        <w:rPr>
          <w:rFonts w:hint="eastAsia" w:hAnsi="宋体"/>
          <w:b/>
          <w:bCs/>
          <w:color w:val="auto"/>
          <w:sz w:val="28"/>
          <w:szCs w:val="28"/>
        </w:rPr>
        <w:t>七、施工组织设计</w:t>
      </w:r>
    </w:p>
    <w:p>
      <w:pPr>
        <w:spacing w:line="400" w:lineRule="exact"/>
        <w:rPr>
          <w:rFonts w:ascii="宋体" w:hAnsi="宋体"/>
          <w:color w:val="auto"/>
        </w:rPr>
      </w:pPr>
      <w:r>
        <w:rPr>
          <w:rFonts w:hint="eastAsia" w:ascii="宋体" w:hAnsi="宋体"/>
          <w:color w:val="auto"/>
        </w:rPr>
        <w:t xml:space="preserve"> 1.磋商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减少噪音、降低环境污染、地下管线及其他地上地下设施的保护加固措施等。</w:t>
      </w:r>
    </w:p>
    <w:p>
      <w:pPr>
        <w:spacing w:line="400" w:lineRule="exact"/>
        <w:rPr>
          <w:rFonts w:ascii="宋体" w:hAnsi="宋体"/>
          <w:color w:val="auto"/>
        </w:rPr>
      </w:pPr>
      <w:r>
        <w:rPr>
          <w:rFonts w:hint="eastAsia" w:ascii="宋体" w:hAnsi="宋体"/>
          <w:color w:val="auto"/>
        </w:rPr>
        <w:t>2.施工组织设计除采用文字表述外可附下列图表，图表及格式要求附后。</w:t>
      </w:r>
    </w:p>
    <w:p>
      <w:pPr>
        <w:spacing w:line="400" w:lineRule="exact"/>
        <w:rPr>
          <w:rFonts w:ascii="宋体" w:hAnsi="宋体"/>
          <w:color w:val="auto"/>
        </w:rPr>
      </w:pPr>
      <w:r>
        <w:rPr>
          <w:rFonts w:hint="eastAsia" w:ascii="宋体" w:hAnsi="宋体"/>
          <w:color w:val="auto"/>
        </w:rPr>
        <w:t>附表一  拟投入本工程的主要施工设备表</w:t>
      </w:r>
    </w:p>
    <w:p>
      <w:pPr>
        <w:spacing w:line="400" w:lineRule="exact"/>
        <w:rPr>
          <w:rFonts w:ascii="宋体" w:hAnsi="宋体"/>
          <w:color w:val="auto"/>
        </w:rPr>
      </w:pPr>
      <w:r>
        <w:rPr>
          <w:rFonts w:hint="eastAsia" w:ascii="宋体" w:hAnsi="宋体"/>
          <w:color w:val="auto"/>
        </w:rPr>
        <w:t>附表二  拟配备本工程的试验和检测仪器设备表</w:t>
      </w:r>
    </w:p>
    <w:p>
      <w:pPr>
        <w:spacing w:line="400" w:lineRule="exact"/>
        <w:rPr>
          <w:rFonts w:ascii="宋体" w:hAnsi="宋体"/>
          <w:color w:val="auto"/>
        </w:rPr>
      </w:pPr>
      <w:r>
        <w:rPr>
          <w:rFonts w:hint="eastAsia" w:ascii="宋体" w:hAnsi="宋体"/>
          <w:color w:val="auto"/>
        </w:rPr>
        <w:t>附表三  劳动力计划表</w:t>
      </w:r>
    </w:p>
    <w:p>
      <w:pPr>
        <w:spacing w:line="400" w:lineRule="exact"/>
        <w:rPr>
          <w:rFonts w:ascii="宋体" w:hAnsi="宋体"/>
          <w:color w:val="auto"/>
        </w:rPr>
      </w:pPr>
      <w:r>
        <w:rPr>
          <w:rFonts w:hint="eastAsia" w:ascii="宋体" w:hAnsi="宋体"/>
          <w:color w:val="auto"/>
        </w:rPr>
        <w:t>附表四  计划开、竣工日期和施工进度网络图</w:t>
      </w:r>
    </w:p>
    <w:p>
      <w:pPr>
        <w:spacing w:line="400" w:lineRule="exact"/>
        <w:rPr>
          <w:rFonts w:ascii="宋体" w:hAnsi="宋体"/>
          <w:color w:val="auto"/>
        </w:rPr>
      </w:pPr>
      <w:r>
        <w:rPr>
          <w:rFonts w:hint="eastAsia" w:ascii="宋体" w:hAnsi="宋体"/>
          <w:color w:val="auto"/>
        </w:rPr>
        <w:t>附表五  施工总平面图</w:t>
      </w:r>
    </w:p>
    <w:p>
      <w:pPr>
        <w:spacing w:line="400" w:lineRule="exact"/>
        <w:rPr>
          <w:rFonts w:ascii="宋体" w:hAnsi="宋体"/>
          <w:color w:val="auto"/>
        </w:rPr>
      </w:pPr>
      <w:r>
        <w:rPr>
          <w:rFonts w:hint="eastAsia" w:ascii="宋体" w:hAnsi="宋体"/>
          <w:color w:val="auto"/>
        </w:rPr>
        <w:t>附表六  临时用地表</w:t>
      </w:r>
    </w:p>
    <w:p>
      <w:pPr>
        <w:spacing w:line="400" w:lineRule="exact"/>
        <w:rPr>
          <w:rFonts w:ascii="宋体" w:hAnsi="宋体"/>
          <w:color w:val="auto"/>
        </w:rPr>
      </w:pPr>
    </w:p>
    <w:p>
      <w:pPr>
        <w:spacing w:line="400" w:lineRule="exact"/>
        <w:rPr>
          <w:rFonts w:ascii="宋体" w:hAnsi="宋体"/>
          <w:color w:val="auto"/>
        </w:rPr>
      </w:pPr>
      <w:r>
        <w:rPr>
          <w:rFonts w:hint="eastAsia" w:ascii="宋体" w:hAnsi="宋体"/>
          <w:color w:val="auto"/>
        </w:rPr>
        <w:t>附表一：拟投入本工程的主要施工设备表</w:t>
      </w:r>
    </w:p>
    <w:tbl>
      <w:tblPr>
        <w:tblStyle w:val="39"/>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77"/>
        <w:gridCol w:w="1061"/>
        <w:gridCol w:w="907"/>
        <w:gridCol w:w="1061"/>
        <w:gridCol w:w="841"/>
        <w:gridCol w:w="1062"/>
        <w:gridCol w:w="1061"/>
        <w:gridCol w:w="1061"/>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序号</w:t>
            </w:r>
          </w:p>
        </w:tc>
        <w:tc>
          <w:tcPr>
            <w:tcW w:w="67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设备名称</w:t>
            </w:r>
          </w:p>
        </w:tc>
        <w:tc>
          <w:tcPr>
            <w:tcW w:w="1061"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型号</w:t>
            </w:r>
          </w:p>
          <w:p>
            <w:pPr>
              <w:spacing w:line="300" w:lineRule="exact"/>
              <w:jc w:val="center"/>
              <w:rPr>
                <w:rFonts w:ascii="宋体" w:hAnsi="宋体"/>
                <w:color w:val="auto"/>
              </w:rPr>
            </w:pPr>
            <w:r>
              <w:rPr>
                <w:rFonts w:hint="eastAsia" w:ascii="宋体" w:hAnsi="宋体"/>
                <w:color w:val="auto"/>
              </w:rPr>
              <w:t>规格</w:t>
            </w:r>
          </w:p>
        </w:tc>
        <w:tc>
          <w:tcPr>
            <w:tcW w:w="90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数量</w:t>
            </w:r>
          </w:p>
        </w:tc>
        <w:tc>
          <w:tcPr>
            <w:tcW w:w="1061"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国别</w:t>
            </w:r>
          </w:p>
          <w:p>
            <w:pPr>
              <w:spacing w:line="300" w:lineRule="exact"/>
              <w:jc w:val="center"/>
              <w:rPr>
                <w:rFonts w:ascii="宋体" w:hAnsi="宋体"/>
                <w:color w:val="auto"/>
              </w:rPr>
            </w:pPr>
            <w:r>
              <w:rPr>
                <w:rFonts w:hint="eastAsia" w:ascii="宋体" w:hAnsi="宋体"/>
                <w:color w:val="auto"/>
              </w:rPr>
              <w:t>产地</w:t>
            </w:r>
          </w:p>
        </w:tc>
        <w:tc>
          <w:tcPr>
            <w:tcW w:w="841"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制造</w:t>
            </w:r>
          </w:p>
          <w:p>
            <w:pPr>
              <w:spacing w:line="300" w:lineRule="exact"/>
              <w:jc w:val="center"/>
              <w:rPr>
                <w:rFonts w:ascii="宋体" w:hAnsi="宋体"/>
                <w:color w:val="auto"/>
              </w:rPr>
            </w:pPr>
            <w:r>
              <w:rPr>
                <w:rFonts w:hint="eastAsia" w:ascii="宋体" w:hAnsi="宋体"/>
                <w:color w:val="auto"/>
              </w:rPr>
              <w:t>年份</w:t>
            </w:r>
          </w:p>
        </w:tc>
        <w:tc>
          <w:tcPr>
            <w:tcW w:w="1062"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额定功率</w:t>
            </w:r>
          </w:p>
          <w:p>
            <w:pPr>
              <w:spacing w:line="300" w:lineRule="exact"/>
              <w:jc w:val="center"/>
              <w:rPr>
                <w:rFonts w:ascii="宋体" w:hAnsi="宋体"/>
                <w:color w:val="auto"/>
              </w:rPr>
            </w:pPr>
            <w:r>
              <w:rPr>
                <w:rFonts w:hint="eastAsia" w:ascii="宋体" w:hAnsi="宋体"/>
                <w:color w:val="auto"/>
              </w:rPr>
              <w:t>（ KW ）</w:t>
            </w:r>
          </w:p>
        </w:tc>
        <w:tc>
          <w:tcPr>
            <w:tcW w:w="1061"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生产</w:t>
            </w:r>
          </w:p>
          <w:p>
            <w:pPr>
              <w:spacing w:line="300" w:lineRule="exact"/>
              <w:jc w:val="center"/>
              <w:rPr>
                <w:rFonts w:ascii="宋体" w:hAnsi="宋体"/>
                <w:color w:val="auto"/>
              </w:rPr>
            </w:pPr>
            <w:r>
              <w:rPr>
                <w:rFonts w:hint="eastAsia" w:ascii="宋体" w:hAnsi="宋体"/>
                <w:color w:val="auto"/>
              </w:rPr>
              <w:t>能力</w:t>
            </w:r>
          </w:p>
        </w:tc>
        <w:tc>
          <w:tcPr>
            <w:tcW w:w="1061"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r>
              <w:rPr>
                <w:rFonts w:hint="eastAsia" w:ascii="宋体" w:hAnsi="宋体"/>
                <w:color w:val="auto"/>
              </w:rPr>
              <w:t>用于施</w:t>
            </w:r>
          </w:p>
          <w:p>
            <w:pPr>
              <w:spacing w:line="300" w:lineRule="exact"/>
              <w:rPr>
                <w:rFonts w:ascii="宋体" w:hAnsi="宋体"/>
                <w:color w:val="auto"/>
              </w:rPr>
            </w:pPr>
            <w:r>
              <w:rPr>
                <w:rFonts w:hint="eastAsia" w:ascii="宋体" w:hAnsi="宋体"/>
                <w:color w:val="auto"/>
              </w:rPr>
              <w:t>工部位</w:t>
            </w:r>
          </w:p>
        </w:tc>
        <w:tc>
          <w:tcPr>
            <w:tcW w:w="54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color w:val="auto"/>
              </w:rPr>
            </w:pPr>
            <w:r>
              <w:rPr>
                <w:rFonts w:hint="eastAsia" w:ascii="宋体" w:hAnsi="宋体"/>
                <w:color w:val="auto"/>
              </w:rPr>
              <w:t>1</w:t>
            </w:r>
          </w:p>
        </w:tc>
        <w:tc>
          <w:tcPr>
            <w:tcW w:w="677" w:type="dxa"/>
            <w:tcBorders>
              <w:top w:val="single" w:color="auto" w:sz="4" w:space="0"/>
              <w:left w:val="nil"/>
              <w:bottom w:val="single" w:color="auto" w:sz="4" w:space="0"/>
              <w:right w:val="single" w:color="auto" w:sz="4" w:space="0"/>
            </w:tcBorders>
          </w:tcPr>
          <w:p>
            <w:pPr>
              <w:spacing w:line="300" w:lineRule="exact"/>
              <w:ind w:firstLine="420" w:firstLineChars="200"/>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907"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4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2"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545"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color w:val="auto"/>
              </w:rPr>
            </w:pPr>
            <w:r>
              <w:rPr>
                <w:rFonts w:hint="eastAsia" w:ascii="宋体" w:hAnsi="宋体"/>
                <w:color w:val="auto"/>
              </w:rPr>
              <w:t>2</w:t>
            </w:r>
          </w:p>
        </w:tc>
        <w:tc>
          <w:tcPr>
            <w:tcW w:w="677"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907"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4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2"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545"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color w:val="auto"/>
              </w:rPr>
            </w:pPr>
            <w:r>
              <w:rPr>
                <w:rFonts w:hint="eastAsia" w:ascii="宋体" w:hAnsi="宋体"/>
                <w:color w:val="auto"/>
              </w:rPr>
              <w:t>3</w:t>
            </w:r>
          </w:p>
        </w:tc>
        <w:tc>
          <w:tcPr>
            <w:tcW w:w="677"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907"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4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2"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545"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color w:val="auto"/>
              </w:rPr>
            </w:pPr>
            <w:r>
              <w:rPr>
                <w:rFonts w:hint="eastAsia" w:ascii="宋体" w:hAnsi="宋体"/>
                <w:color w:val="auto"/>
              </w:rPr>
              <w:t>……</w:t>
            </w:r>
          </w:p>
        </w:tc>
        <w:tc>
          <w:tcPr>
            <w:tcW w:w="677"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907"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4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2"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061"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545"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bl>
    <w:p>
      <w:pPr>
        <w:spacing w:line="400" w:lineRule="exact"/>
        <w:rPr>
          <w:rFonts w:ascii="宋体" w:hAnsi="宋体"/>
          <w:color w:val="auto"/>
        </w:rPr>
      </w:pPr>
    </w:p>
    <w:p>
      <w:pPr>
        <w:spacing w:line="400" w:lineRule="exact"/>
        <w:rPr>
          <w:rFonts w:ascii="宋体" w:hAnsi="宋体"/>
          <w:color w:val="auto"/>
        </w:rPr>
      </w:pPr>
      <w:r>
        <w:rPr>
          <w:rFonts w:hint="eastAsia" w:ascii="宋体" w:hAnsi="宋体"/>
          <w:color w:val="auto"/>
        </w:rPr>
        <w:t>附表二：拟配备本工程的试验和检测仪器设备表</w:t>
      </w:r>
    </w:p>
    <w:tbl>
      <w:tblPr>
        <w:tblStyle w:val="3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03"/>
        <w:gridCol w:w="1216"/>
        <w:gridCol w:w="839"/>
        <w:gridCol w:w="1216"/>
        <w:gridCol w:w="1216"/>
        <w:gridCol w:w="1216"/>
        <w:gridCol w:w="85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序号</w:t>
            </w:r>
          </w:p>
        </w:tc>
        <w:tc>
          <w:tcPr>
            <w:tcW w:w="1103"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仪器设备</w:t>
            </w:r>
          </w:p>
          <w:p>
            <w:pPr>
              <w:spacing w:line="300" w:lineRule="exact"/>
              <w:jc w:val="center"/>
              <w:rPr>
                <w:rFonts w:ascii="宋体" w:hAnsi="宋体"/>
                <w:color w:val="auto"/>
              </w:rPr>
            </w:pPr>
            <w:r>
              <w:rPr>
                <w:rFonts w:hint="eastAsia" w:ascii="宋体" w:hAnsi="宋体"/>
                <w:color w:val="auto"/>
              </w:rPr>
              <w:t>名称</w:t>
            </w:r>
          </w:p>
        </w:tc>
        <w:tc>
          <w:tcPr>
            <w:tcW w:w="1216"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型号</w:t>
            </w:r>
          </w:p>
          <w:p>
            <w:pPr>
              <w:spacing w:line="300" w:lineRule="exact"/>
              <w:jc w:val="center"/>
              <w:rPr>
                <w:rFonts w:ascii="宋体" w:hAnsi="宋体"/>
                <w:color w:val="auto"/>
              </w:rPr>
            </w:pPr>
            <w:r>
              <w:rPr>
                <w:rFonts w:hint="eastAsia" w:ascii="宋体" w:hAnsi="宋体"/>
                <w:color w:val="auto"/>
              </w:rPr>
              <w:t>规格</w:t>
            </w:r>
          </w:p>
        </w:tc>
        <w:tc>
          <w:tcPr>
            <w:tcW w:w="839"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数量</w:t>
            </w:r>
          </w:p>
        </w:tc>
        <w:tc>
          <w:tcPr>
            <w:tcW w:w="1216"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国别</w:t>
            </w:r>
          </w:p>
          <w:p>
            <w:pPr>
              <w:spacing w:line="300" w:lineRule="exact"/>
              <w:jc w:val="center"/>
              <w:rPr>
                <w:rFonts w:ascii="宋体" w:hAnsi="宋体"/>
                <w:color w:val="auto"/>
              </w:rPr>
            </w:pPr>
            <w:r>
              <w:rPr>
                <w:rFonts w:hint="eastAsia" w:ascii="宋体" w:hAnsi="宋体"/>
                <w:color w:val="auto"/>
              </w:rPr>
              <w:t>产地</w:t>
            </w:r>
          </w:p>
        </w:tc>
        <w:tc>
          <w:tcPr>
            <w:tcW w:w="1216"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制造年份</w:t>
            </w:r>
          </w:p>
        </w:tc>
        <w:tc>
          <w:tcPr>
            <w:tcW w:w="1216"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已使用</w:t>
            </w:r>
          </w:p>
          <w:p>
            <w:pPr>
              <w:spacing w:line="300" w:lineRule="exact"/>
              <w:jc w:val="center"/>
              <w:rPr>
                <w:rFonts w:ascii="宋体" w:hAnsi="宋体"/>
                <w:color w:val="auto"/>
              </w:rPr>
            </w:pPr>
            <w:r>
              <w:rPr>
                <w:rFonts w:hint="eastAsia" w:ascii="宋体" w:hAnsi="宋体"/>
                <w:color w:val="auto"/>
              </w:rPr>
              <w:t>台时数</w:t>
            </w:r>
          </w:p>
        </w:tc>
        <w:tc>
          <w:tcPr>
            <w:tcW w:w="85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用途</w:t>
            </w:r>
          </w:p>
        </w:tc>
        <w:tc>
          <w:tcPr>
            <w:tcW w:w="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color w:val="auto"/>
              </w:rPr>
            </w:pPr>
            <w:r>
              <w:rPr>
                <w:rFonts w:hint="eastAsia" w:ascii="宋体" w:hAnsi="宋体"/>
                <w:color w:val="auto"/>
              </w:rPr>
              <w:t>1</w:t>
            </w:r>
          </w:p>
        </w:tc>
        <w:tc>
          <w:tcPr>
            <w:tcW w:w="1103"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839"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854"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764" w:type="dxa"/>
            <w:tcBorders>
              <w:top w:val="single" w:color="auto" w:sz="4" w:space="0"/>
              <w:left w:val="nil"/>
              <w:bottom w:val="single" w:color="auto" w:sz="4" w:space="0"/>
              <w:right w:val="single" w:color="auto" w:sz="4" w:space="0"/>
            </w:tcBorders>
          </w:tcPr>
          <w:p>
            <w:pPr>
              <w:spacing w:line="300" w:lineRule="exact"/>
              <w:ind w:firstLine="420" w:firstLineChars="20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color w:val="auto"/>
              </w:rPr>
            </w:pPr>
            <w:r>
              <w:rPr>
                <w:rFonts w:hint="eastAsia" w:ascii="宋体" w:hAnsi="宋体"/>
                <w:color w:val="auto"/>
              </w:rPr>
              <w:t>2</w:t>
            </w:r>
          </w:p>
        </w:tc>
        <w:tc>
          <w:tcPr>
            <w:tcW w:w="1103"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839"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854"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764" w:type="dxa"/>
            <w:tcBorders>
              <w:top w:val="single" w:color="auto" w:sz="4" w:space="0"/>
              <w:left w:val="nil"/>
              <w:bottom w:val="single" w:color="auto" w:sz="4" w:space="0"/>
              <w:right w:val="single" w:color="auto" w:sz="4" w:space="0"/>
            </w:tcBorders>
          </w:tcPr>
          <w:p>
            <w:pPr>
              <w:spacing w:line="300" w:lineRule="exact"/>
              <w:ind w:firstLine="420" w:firstLineChars="20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color w:val="auto"/>
              </w:rPr>
            </w:pPr>
            <w:r>
              <w:rPr>
                <w:rFonts w:hint="eastAsia" w:ascii="宋体" w:hAnsi="宋体"/>
                <w:color w:val="auto"/>
              </w:rPr>
              <w:t>3</w:t>
            </w:r>
          </w:p>
        </w:tc>
        <w:tc>
          <w:tcPr>
            <w:tcW w:w="1103"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839"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854"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764" w:type="dxa"/>
            <w:tcBorders>
              <w:top w:val="single" w:color="auto" w:sz="4" w:space="0"/>
              <w:left w:val="nil"/>
              <w:bottom w:val="single" w:color="auto" w:sz="4" w:space="0"/>
              <w:right w:val="single" w:color="auto" w:sz="4" w:space="0"/>
            </w:tcBorders>
          </w:tcPr>
          <w:p>
            <w:pPr>
              <w:spacing w:line="300" w:lineRule="exact"/>
              <w:ind w:firstLine="420" w:firstLineChars="20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color w:val="auto"/>
              </w:rPr>
            </w:pPr>
            <w:r>
              <w:rPr>
                <w:rFonts w:hint="eastAsia" w:ascii="宋体" w:hAnsi="宋体"/>
                <w:color w:val="auto"/>
              </w:rPr>
              <w:t>……</w:t>
            </w:r>
          </w:p>
        </w:tc>
        <w:tc>
          <w:tcPr>
            <w:tcW w:w="1103"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839"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854"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宋体" w:hAnsi="宋体"/>
                <w:color w:val="auto"/>
              </w:rPr>
            </w:pPr>
          </w:p>
        </w:tc>
        <w:tc>
          <w:tcPr>
            <w:tcW w:w="764" w:type="dxa"/>
            <w:tcBorders>
              <w:top w:val="single" w:color="auto" w:sz="4" w:space="0"/>
              <w:left w:val="nil"/>
              <w:bottom w:val="single" w:color="auto" w:sz="4" w:space="0"/>
              <w:right w:val="single" w:color="auto" w:sz="4" w:space="0"/>
            </w:tcBorders>
          </w:tcPr>
          <w:p>
            <w:pPr>
              <w:spacing w:line="300" w:lineRule="exact"/>
              <w:ind w:firstLine="420" w:firstLineChars="200"/>
              <w:rPr>
                <w:rFonts w:ascii="宋体" w:hAnsi="宋体"/>
                <w:color w:val="auto"/>
              </w:rPr>
            </w:pPr>
          </w:p>
        </w:tc>
      </w:tr>
    </w:tbl>
    <w:p>
      <w:pPr>
        <w:spacing w:line="400" w:lineRule="exact"/>
        <w:rPr>
          <w:rFonts w:ascii="宋体" w:hAnsi="宋体"/>
          <w:color w:val="auto"/>
        </w:rPr>
      </w:pPr>
    </w:p>
    <w:p>
      <w:pPr>
        <w:spacing w:line="400" w:lineRule="exact"/>
        <w:rPr>
          <w:rFonts w:ascii="宋体" w:hAnsi="宋体"/>
          <w:color w:val="auto"/>
        </w:rPr>
      </w:pPr>
      <w:r>
        <w:rPr>
          <w:rFonts w:hint="eastAsia" w:ascii="宋体" w:hAnsi="宋体"/>
          <w:color w:val="auto"/>
        </w:rPr>
        <w:t>附表三：劳动力计划表</w:t>
      </w:r>
    </w:p>
    <w:p>
      <w:pPr>
        <w:spacing w:line="400" w:lineRule="exact"/>
        <w:ind w:firstLine="7245" w:firstLineChars="3450"/>
        <w:rPr>
          <w:rFonts w:ascii="宋体" w:hAnsi="宋体"/>
          <w:color w:val="auto"/>
        </w:rPr>
      </w:pPr>
      <w:r>
        <w:rPr>
          <w:rFonts w:hint="eastAsia" w:ascii="宋体" w:hAnsi="宋体"/>
          <w:color w:val="auto"/>
        </w:rPr>
        <w:t xml:space="preserve">   单位：人</w:t>
      </w:r>
    </w:p>
    <w:tbl>
      <w:tblPr>
        <w:tblStyle w:val="39"/>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工种</w:t>
            </w:r>
          </w:p>
        </w:tc>
        <w:tc>
          <w:tcPr>
            <w:tcW w:w="8290"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rPr>
            </w:pPr>
          </w:p>
        </w:tc>
        <w:tc>
          <w:tcPr>
            <w:tcW w:w="961"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042"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rPr>
            </w:pPr>
          </w:p>
        </w:tc>
        <w:tc>
          <w:tcPr>
            <w:tcW w:w="961"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042"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rPr>
            </w:pPr>
          </w:p>
        </w:tc>
        <w:tc>
          <w:tcPr>
            <w:tcW w:w="961"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042"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rPr>
            </w:pPr>
            <w:r>
              <w:rPr>
                <w:rFonts w:hint="eastAsia" w:ascii="宋体" w:hAnsi="宋体"/>
                <w:color w:val="auto"/>
              </w:rPr>
              <w:t>……</w:t>
            </w:r>
          </w:p>
        </w:tc>
        <w:tc>
          <w:tcPr>
            <w:tcW w:w="961"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c>
          <w:tcPr>
            <w:tcW w:w="1042" w:type="dxa"/>
            <w:tcBorders>
              <w:top w:val="single" w:color="auto" w:sz="4" w:space="0"/>
              <w:left w:val="nil"/>
              <w:bottom w:val="single" w:color="auto" w:sz="4" w:space="0"/>
              <w:right w:val="single" w:color="auto" w:sz="4" w:space="0"/>
            </w:tcBorders>
            <w:vAlign w:val="center"/>
          </w:tcPr>
          <w:p>
            <w:pPr>
              <w:spacing w:line="300" w:lineRule="exact"/>
              <w:rPr>
                <w:rFonts w:ascii="宋体" w:hAnsi="宋体"/>
                <w:color w:val="auto"/>
              </w:rPr>
            </w:pPr>
          </w:p>
        </w:tc>
      </w:tr>
    </w:tbl>
    <w:p>
      <w:pPr>
        <w:spacing w:line="400" w:lineRule="exact"/>
        <w:rPr>
          <w:rFonts w:ascii="宋体" w:hAnsi="宋体"/>
          <w:color w:val="auto"/>
        </w:rPr>
      </w:pPr>
      <w:r>
        <w:rPr>
          <w:rFonts w:hint="eastAsia" w:ascii="宋体" w:hAnsi="宋体"/>
          <w:color w:val="auto"/>
        </w:rPr>
        <w:t>附表四：计划开、竣工日期和施工进度网络图</w:t>
      </w:r>
    </w:p>
    <w:p>
      <w:pPr>
        <w:spacing w:line="400" w:lineRule="exact"/>
        <w:rPr>
          <w:rFonts w:ascii="宋体" w:hAnsi="宋体"/>
          <w:color w:val="auto"/>
        </w:rPr>
      </w:pPr>
      <w:r>
        <w:rPr>
          <w:rFonts w:hint="eastAsia" w:ascii="宋体" w:hAnsi="宋体"/>
          <w:color w:val="auto"/>
        </w:rPr>
        <w:t>1.磋商人应提交的施工进度网络图或施工进度表，说明按招标文件要求的工期进行施工的各个关键日期。中标的磋商人还应按合同条件有关条款的要求提交详细的施工进度计划。</w:t>
      </w:r>
    </w:p>
    <w:p>
      <w:pPr>
        <w:spacing w:line="400" w:lineRule="exact"/>
        <w:rPr>
          <w:rFonts w:ascii="宋体" w:hAnsi="宋体"/>
          <w:color w:val="auto"/>
        </w:rPr>
      </w:pPr>
      <w:r>
        <w:rPr>
          <w:rFonts w:hint="eastAsia" w:ascii="宋体" w:hAnsi="宋体"/>
          <w:color w:val="auto"/>
        </w:rPr>
        <w:t>2.施工进度表可采用网络图（或横道图）表示，说明计划开工日期和各分项工程各阶段的完工日期和分包合同签订的日期。</w:t>
      </w:r>
    </w:p>
    <w:p>
      <w:pPr>
        <w:spacing w:line="400" w:lineRule="exact"/>
        <w:rPr>
          <w:rFonts w:ascii="宋体" w:hAnsi="宋体"/>
          <w:color w:val="auto"/>
        </w:rPr>
      </w:pPr>
      <w:r>
        <w:rPr>
          <w:rFonts w:hint="eastAsia" w:ascii="宋体" w:hAnsi="宋体"/>
          <w:color w:val="auto"/>
        </w:rPr>
        <w:t>3.施工进度计划应与施工组织设计相适应。</w:t>
      </w:r>
    </w:p>
    <w:p>
      <w:pPr>
        <w:spacing w:line="400" w:lineRule="exact"/>
        <w:rPr>
          <w:rFonts w:ascii="宋体" w:hAnsi="宋体"/>
          <w:color w:val="auto"/>
        </w:rPr>
      </w:pPr>
    </w:p>
    <w:p>
      <w:pPr>
        <w:spacing w:line="400" w:lineRule="exact"/>
        <w:rPr>
          <w:rFonts w:ascii="宋体" w:hAnsi="宋体"/>
          <w:color w:val="auto"/>
        </w:rPr>
      </w:pPr>
      <w:r>
        <w:rPr>
          <w:rFonts w:hint="eastAsia" w:ascii="宋体" w:hAnsi="宋体"/>
          <w:color w:val="auto"/>
        </w:rPr>
        <w:t>附表五：施工总平面图</w:t>
      </w:r>
    </w:p>
    <w:p>
      <w:pPr>
        <w:spacing w:line="400" w:lineRule="exact"/>
        <w:rPr>
          <w:rFonts w:ascii="宋体" w:hAnsi="宋体"/>
          <w:color w:val="auto"/>
        </w:rPr>
      </w:pPr>
      <w:r>
        <w:rPr>
          <w:rFonts w:hint="eastAsia" w:ascii="宋体" w:hAnsi="宋体"/>
          <w:color w:val="auto"/>
        </w:rPr>
        <w:t>磋商人应递交一份施工总平面图，绘出现场临时设施布置图表并附文字说明，说明临时设施、加工车间、现场办公、设备及仓储、供电、供水、卫生、生活、道路、消防等设施的情况和布置。</w:t>
      </w:r>
    </w:p>
    <w:p>
      <w:pPr>
        <w:spacing w:line="400" w:lineRule="exact"/>
        <w:rPr>
          <w:rFonts w:ascii="宋体" w:hAnsi="宋体"/>
          <w:color w:val="auto"/>
        </w:rPr>
      </w:pPr>
    </w:p>
    <w:p>
      <w:pPr>
        <w:spacing w:line="400" w:lineRule="exact"/>
        <w:rPr>
          <w:rFonts w:ascii="宋体" w:hAnsi="宋体"/>
          <w:color w:val="auto"/>
        </w:rPr>
      </w:pPr>
      <w:r>
        <w:rPr>
          <w:rFonts w:hint="eastAsia" w:ascii="宋体" w:hAnsi="宋体"/>
          <w:color w:val="auto"/>
        </w:rPr>
        <w:t>附表六：临时用地表</w:t>
      </w:r>
    </w:p>
    <w:p>
      <w:pPr>
        <w:rPr>
          <w:rFonts w:ascii="宋体" w:hAnsi="宋体"/>
          <w:color w:val="auto"/>
        </w:rPr>
      </w:pPr>
    </w:p>
    <w:tbl>
      <w:tblPr>
        <w:tblStyle w:val="39"/>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用途</w:t>
            </w:r>
          </w:p>
        </w:tc>
        <w:tc>
          <w:tcPr>
            <w:tcW w:w="256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面积（平方米）</w:t>
            </w:r>
          </w:p>
        </w:tc>
        <w:tc>
          <w:tcPr>
            <w:tcW w:w="256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位置</w:t>
            </w:r>
          </w:p>
        </w:tc>
        <w:tc>
          <w:tcPr>
            <w:tcW w:w="1922"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rPr>
            </w:pPr>
          </w:p>
        </w:tc>
        <w:tc>
          <w:tcPr>
            <w:tcW w:w="2565"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2565"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922"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rPr>
            </w:pPr>
          </w:p>
        </w:tc>
        <w:tc>
          <w:tcPr>
            <w:tcW w:w="2565"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2565"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922"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rPr>
            </w:pPr>
          </w:p>
        </w:tc>
        <w:tc>
          <w:tcPr>
            <w:tcW w:w="2565"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2565"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922"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color w:val="auto"/>
              </w:rPr>
            </w:pPr>
            <w:r>
              <w:rPr>
                <w:rFonts w:hint="eastAsia" w:ascii="宋体" w:hAnsi="宋体"/>
                <w:color w:val="auto"/>
              </w:rPr>
              <w:t>……</w:t>
            </w:r>
          </w:p>
        </w:tc>
        <w:tc>
          <w:tcPr>
            <w:tcW w:w="2565"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2565"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922"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bl>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pStyle w:val="21"/>
        <w:spacing w:line="360" w:lineRule="exact"/>
        <w:jc w:val="center"/>
        <w:outlineLvl w:val="2"/>
        <w:rPr>
          <w:rFonts w:hAnsi="宋体"/>
          <w:b/>
          <w:bCs/>
          <w:color w:val="auto"/>
          <w:sz w:val="32"/>
          <w:szCs w:val="32"/>
        </w:rPr>
      </w:pPr>
    </w:p>
    <w:p>
      <w:pPr>
        <w:spacing w:line="400" w:lineRule="exact"/>
        <w:jc w:val="center"/>
        <w:rPr>
          <w:rFonts w:ascii="宋体" w:hAnsi="宋体"/>
          <w:b/>
          <w:bCs/>
          <w:color w:val="auto"/>
        </w:rPr>
      </w:pPr>
      <w:r>
        <w:rPr>
          <w:rFonts w:hint="eastAsia" w:ascii="宋体" w:hAnsi="宋体"/>
          <w:b/>
          <w:bCs/>
          <w:color w:val="auto"/>
          <w:sz w:val="28"/>
          <w:szCs w:val="28"/>
        </w:rPr>
        <w:br w:type="page"/>
      </w:r>
      <w:r>
        <w:rPr>
          <w:rFonts w:hint="eastAsia" w:ascii="宋体" w:hAnsi="宋体"/>
          <w:b/>
          <w:bCs/>
          <w:color w:val="auto"/>
          <w:sz w:val="28"/>
          <w:szCs w:val="28"/>
        </w:rPr>
        <w:t>八、项目管理机构配备情况表（格式）</w:t>
      </w:r>
    </w:p>
    <w:p>
      <w:pPr>
        <w:spacing w:line="400" w:lineRule="exact"/>
        <w:rPr>
          <w:rFonts w:ascii="宋体" w:hAnsi="宋体"/>
          <w:color w:val="auto"/>
          <w:u w:val="single"/>
        </w:rPr>
      </w:pPr>
    </w:p>
    <w:p>
      <w:pPr>
        <w:spacing w:line="400" w:lineRule="exact"/>
        <w:jc w:val="center"/>
        <w:rPr>
          <w:rFonts w:ascii="宋体" w:hAnsi="宋体"/>
          <w:color w:val="auto"/>
          <w:sz w:val="24"/>
          <w:szCs w:val="24"/>
          <w:u w:val="single"/>
        </w:rPr>
      </w:pPr>
      <w:r>
        <w:rPr>
          <w:rFonts w:hint="eastAsia" w:ascii="宋体" w:hAnsi="宋体"/>
          <w:b/>
          <w:bCs/>
          <w:color w:val="auto"/>
          <w:sz w:val="24"/>
          <w:szCs w:val="24"/>
        </w:rPr>
        <w:t>①项目管理机构配备情况表</w:t>
      </w:r>
    </w:p>
    <w:p>
      <w:pPr>
        <w:spacing w:line="400" w:lineRule="exact"/>
        <w:rPr>
          <w:rFonts w:ascii="宋体" w:hAnsi="宋体"/>
          <w:color w:val="auto"/>
          <w:u w:val="single"/>
        </w:rPr>
      </w:pPr>
    </w:p>
    <w:p>
      <w:pPr>
        <w:spacing w:line="400" w:lineRule="exact"/>
        <w:rPr>
          <w:rFonts w:ascii="宋体" w:hAnsi="宋体"/>
          <w:b/>
          <w:bCs/>
          <w:color w:val="auto"/>
        </w:rPr>
      </w:pPr>
      <w:r>
        <w:rPr>
          <w:rFonts w:hint="eastAsia" w:ascii="宋体" w:hAnsi="宋体"/>
          <w:color w:val="auto"/>
          <w:u w:val="single"/>
        </w:rPr>
        <w:t xml:space="preserve">{项目名称}     </w:t>
      </w:r>
      <w:r>
        <w:rPr>
          <w:rFonts w:hint="eastAsia" w:ascii="宋体" w:hAnsi="宋体"/>
          <w:color w:val="auto"/>
        </w:rPr>
        <w:t xml:space="preserve">工程 </w:t>
      </w:r>
    </w:p>
    <w:tbl>
      <w:tblPr>
        <w:tblStyle w:val="39"/>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816"/>
        <w:gridCol w:w="816"/>
        <w:gridCol w:w="1190"/>
        <w:gridCol w:w="670"/>
        <w:gridCol w:w="706"/>
        <w:gridCol w:w="750"/>
        <w:gridCol w:w="1276"/>
        <w:gridCol w:w="85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岗位</w:t>
            </w:r>
          </w:p>
        </w:tc>
        <w:tc>
          <w:tcPr>
            <w:tcW w:w="816"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姓名</w:t>
            </w:r>
          </w:p>
        </w:tc>
        <w:tc>
          <w:tcPr>
            <w:tcW w:w="816"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职称</w:t>
            </w:r>
          </w:p>
        </w:tc>
        <w:tc>
          <w:tcPr>
            <w:tcW w:w="4592"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执业或职业资格证明</w:t>
            </w:r>
          </w:p>
        </w:tc>
        <w:tc>
          <w:tcPr>
            <w:tcW w:w="259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auto"/>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auto"/>
              </w:rPr>
            </w:pPr>
          </w:p>
        </w:tc>
        <w:tc>
          <w:tcPr>
            <w:tcW w:w="119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证书名称</w:t>
            </w:r>
          </w:p>
        </w:tc>
        <w:tc>
          <w:tcPr>
            <w:tcW w:w="67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级别</w:t>
            </w:r>
          </w:p>
        </w:tc>
        <w:tc>
          <w:tcPr>
            <w:tcW w:w="706"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证号</w:t>
            </w:r>
          </w:p>
        </w:tc>
        <w:tc>
          <w:tcPr>
            <w:tcW w:w="75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专业</w:t>
            </w:r>
          </w:p>
        </w:tc>
        <w:tc>
          <w:tcPr>
            <w:tcW w:w="1276"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bookmarkStart w:id="160" w:name="_Toc251052196"/>
            <w:r>
              <w:rPr>
                <w:rFonts w:hint="eastAsia" w:ascii="宋体" w:hAnsi="宋体"/>
                <w:color w:val="auto"/>
              </w:rPr>
              <w:t>原服务单位</w:t>
            </w:r>
            <w:bookmarkEnd w:id="160"/>
          </w:p>
        </w:tc>
        <w:tc>
          <w:tcPr>
            <w:tcW w:w="85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项目数</w:t>
            </w:r>
          </w:p>
        </w:tc>
        <w:tc>
          <w:tcPr>
            <w:tcW w:w="174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项目经理</w:t>
            </w: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19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67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0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27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748"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技术负责人</w:t>
            </w: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19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67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0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27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748"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施工员</w:t>
            </w: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19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67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0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27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748"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质量员</w:t>
            </w: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19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67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0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27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748"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安全员</w:t>
            </w: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19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67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0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27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748"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材料员</w:t>
            </w: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19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67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0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27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748"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w:t>
            </w: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19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67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0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27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748"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1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19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67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0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7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276"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850"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c>
          <w:tcPr>
            <w:tcW w:w="1748" w:type="dxa"/>
            <w:tcBorders>
              <w:top w:val="single" w:color="auto" w:sz="4" w:space="0"/>
              <w:left w:val="nil"/>
              <w:bottom w:val="single" w:color="auto" w:sz="4" w:space="0"/>
              <w:right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268" w:type="dxa"/>
            <w:gridSpan w:val="10"/>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rPr>
            </w:pPr>
            <w:r>
              <w:rPr>
                <w:rFonts w:hint="eastAsia" w:ascii="宋体" w:hAnsi="宋体"/>
                <w:color w:val="auto"/>
              </w:rPr>
              <w:t>一旦我单位中标，将实行项目经理负责制，我方保证并配备上述项目管理机构。上述填报内容真实，若不真实，愿按有关规定接受处理。项目管理班子机构设置、职责分工等情况另附资料说明。</w:t>
            </w:r>
          </w:p>
        </w:tc>
      </w:tr>
    </w:tbl>
    <w:p>
      <w:pPr>
        <w:spacing w:line="400" w:lineRule="exact"/>
        <w:rPr>
          <w:rFonts w:ascii="宋体" w:hAnsi="宋体"/>
          <w:color w:val="auto"/>
        </w:rPr>
      </w:pPr>
    </w:p>
    <w:p>
      <w:pPr>
        <w:spacing w:line="400" w:lineRule="exact"/>
        <w:rPr>
          <w:rFonts w:ascii="宋体" w:hAnsi="宋体"/>
          <w:color w:val="auto"/>
          <w:sz w:val="21"/>
          <w:szCs w:val="21"/>
        </w:rPr>
      </w:pPr>
      <w:r>
        <w:rPr>
          <w:rFonts w:ascii="宋体" w:hAnsi="宋体"/>
          <w:color w:val="auto"/>
          <w:sz w:val="21"/>
          <w:szCs w:val="21"/>
        </w:rPr>
        <w:t>备注：</w:t>
      </w:r>
      <w:r>
        <w:rPr>
          <w:rFonts w:hint="eastAsia" w:ascii="宋体" w:hAnsi="宋体"/>
          <w:color w:val="auto"/>
          <w:sz w:val="21"/>
          <w:szCs w:val="21"/>
        </w:rPr>
        <w:t>项目经理附注册建造师执业资格证书、安全生产考核合格证书（B类）的复印件；</w:t>
      </w:r>
    </w:p>
    <w:p>
      <w:pPr>
        <w:spacing w:line="400" w:lineRule="exact"/>
        <w:rPr>
          <w:rFonts w:ascii="宋体" w:hAnsi="宋体"/>
          <w:color w:val="auto"/>
          <w:sz w:val="21"/>
          <w:szCs w:val="21"/>
        </w:rPr>
      </w:pPr>
      <w:r>
        <w:rPr>
          <w:rFonts w:hint="eastAsia" w:ascii="宋体" w:hAnsi="宋体"/>
          <w:color w:val="auto"/>
          <w:sz w:val="21"/>
          <w:szCs w:val="21"/>
        </w:rPr>
        <w:t>技术负责人附职称证书；</w:t>
      </w:r>
    </w:p>
    <w:p>
      <w:pPr>
        <w:spacing w:line="400" w:lineRule="exact"/>
        <w:rPr>
          <w:rFonts w:ascii="宋体" w:hAnsi="宋体"/>
          <w:color w:val="auto"/>
          <w:sz w:val="21"/>
          <w:szCs w:val="21"/>
        </w:rPr>
      </w:pPr>
      <w:r>
        <w:rPr>
          <w:rFonts w:ascii="宋体" w:hAnsi="宋体"/>
          <w:color w:val="auto"/>
          <w:sz w:val="21"/>
          <w:szCs w:val="21"/>
        </w:rPr>
        <w:t>各岗位人员</w:t>
      </w:r>
      <w:r>
        <w:rPr>
          <w:rFonts w:hint="eastAsia" w:ascii="宋体" w:hAnsi="宋体"/>
          <w:color w:val="auto"/>
          <w:sz w:val="21"/>
          <w:szCs w:val="21"/>
        </w:rPr>
        <w:t>附</w:t>
      </w:r>
      <w:r>
        <w:rPr>
          <w:rFonts w:ascii="宋体" w:hAnsi="宋体"/>
          <w:color w:val="auto"/>
          <w:sz w:val="21"/>
          <w:szCs w:val="21"/>
        </w:rPr>
        <w:t>资格证件复印件</w:t>
      </w:r>
      <w:r>
        <w:rPr>
          <w:rFonts w:hint="eastAsia" w:ascii="宋体" w:hAnsi="宋体"/>
          <w:color w:val="auto"/>
          <w:sz w:val="21"/>
          <w:szCs w:val="21"/>
        </w:rPr>
        <w:t>、</w:t>
      </w:r>
      <w:r>
        <w:rPr>
          <w:color w:val="auto"/>
          <w:sz w:val="21"/>
          <w:szCs w:val="21"/>
        </w:rPr>
        <w:t>专职安全员</w:t>
      </w:r>
      <w:r>
        <w:rPr>
          <w:rFonts w:hint="eastAsia"/>
          <w:color w:val="auto"/>
          <w:sz w:val="21"/>
          <w:szCs w:val="21"/>
        </w:rPr>
        <w:t>还须附</w:t>
      </w:r>
      <w:r>
        <w:rPr>
          <w:color w:val="auto"/>
          <w:sz w:val="21"/>
          <w:szCs w:val="21"/>
        </w:rPr>
        <w:t>安全生产考核合格证书（C类）</w:t>
      </w:r>
      <w:r>
        <w:rPr>
          <w:rFonts w:hint="eastAsia"/>
          <w:color w:val="auto"/>
          <w:sz w:val="21"/>
          <w:szCs w:val="21"/>
        </w:rPr>
        <w:t>复印件；</w:t>
      </w:r>
    </w:p>
    <w:p>
      <w:pPr>
        <w:spacing w:line="400" w:lineRule="exact"/>
        <w:rPr>
          <w:rFonts w:ascii="宋体" w:hAnsi="宋体"/>
          <w:color w:val="auto"/>
          <w:sz w:val="21"/>
          <w:szCs w:val="21"/>
        </w:rPr>
      </w:pPr>
      <w:r>
        <w:rPr>
          <w:rFonts w:ascii="宋体" w:hAnsi="宋体"/>
          <w:color w:val="auto"/>
          <w:sz w:val="21"/>
          <w:szCs w:val="21"/>
        </w:rPr>
        <w:t>以</w:t>
      </w:r>
      <w:r>
        <w:rPr>
          <w:rFonts w:hint="eastAsia" w:ascii="宋体" w:hAnsi="宋体"/>
          <w:color w:val="auto"/>
          <w:sz w:val="21"/>
          <w:szCs w:val="21"/>
        </w:rPr>
        <w:t>上</w:t>
      </w:r>
      <w:r>
        <w:rPr>
          <w:rFonts w:ascii="宋体" w:hAnsi="宋体"/>
          <w:color w:val="auto"/>
          <w:sz w:val="21"/>
          <w:szCs w:val="21"/>
        </w:rPr>
        <w:t>复印件均须加盖磋商人单位公章</w:t>
      </w: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jc w:val="center"/>
        <w:rPr>
          <w:rFonts w:ascii="宋体" w:hAnsi="宋体"/>
          <w:b/>
          <w:bCs/>
          <w:color w:val="auto"/>
          <w:sz w:val="24"/>
          <w:szCs w:val="24"/>
        </w:rPr>
      </w:pPr>
      <w:r>
        <w:rPr>
          <w:rFonts w:hint="eastAsia" w:ascii="宋体" w:hAnsi="宋体"/>
          <w:color w:val="auto"/>
          <w:sz w:val="28"/>
          <w:szCs w:val="28"/>
        </w:rPr>
        <w:br w:type="page"/>
      </w:r>
      <w:r>
        <w:rPr>
          <w:rFonts w:hint="eastAsia" w:ascii="宋体" w:hAnsi="宋体"/>
          <w:b/>
          <w:bCs/>
          <w:color w:val="auto"/>
          <w:sz w:val="24"/>
          <w:szCs w:val="24"/>
        </w:rPr>
        <w:t>②.项目经理（注册建造师）简历表（格式）</w:t>
      </w:r>
    </w:p>
    <w:p>
      <w:pPr>
        <w:spacing w:line="400" w:lineRule="exact"/>
        <w:rPr>
          <w:rFonts w:ascii="宋体" w:hAnsi="宋体"/>
          <w:b/>
          <w:bCs/>
          <w:color w:val="auto"/>
          <w:sz w:val="28"/>
          <w:szCs w:val="28"/>
        </w:rPr>
      </w:pPr>
    </w:p>
    <w:p>
      <w:pPr>
        <w:spacing w:line="400" w:lineRule="exact"/>
        <w:jc w:val="center"/>
        <w:rPr>
          <w:rFonts w:ascii="宋体" w:hAnsi="宋体"/>
          <w:b/>
          <w:bCs/>
          <w:color w:val="auto"/>
        </w:rPr>
      </w:pPr>
      <w:r>
        <w:rPr>
          <w:rFonts w:hint="eastAsia" w:ascii="宋体" w:hAnsi="宋体"/>
          <w:b/>
          <w:bCs/>
          <w:color w:val="auto"/>
        </w:rPr>
        <w:t>项目经理（注册建造师）简历表</w:t>
      </w:r>
    </w:p>
    <w:p>
      <w:pPr>
        <w:spacing w:line="400" w:lineRule="exact"/>
        <w:rPr>
          <w:rFonts w:ascii="宋体" w:hAnsi="宋体"/>
          <w:b/>
          <w:bCs/>
          <w:color w:val="auto"/>
          <w:sz w:val="28"/>
          <w:szCs w:val="28"/>
        </w:rPr>
      </w:pPr>
    </w:p>
    <w:p>
      <w:pPr>
        <w:pStyle w:val="65"/>
        <w:spacing w:line="400" w:lineRule="exact"/>
        <w:outlineLvl w:val="0"/>
        <w:rPr>
          <w:rFonts w:ascii="宋体" w:hAnsi="宋体"/>
          <w:color w:val="auto"/>
        </w:rPr>
      </w:pPr>
      <w:r>
        <w:rPr>
          <w:rFonts w:hint="eastAsia" w:ascii="宋体" w:hAnsi="宋体"/>
          <w:color w:val="auto"/>
          <w:u w:val="single"/>
        </w:rPr>
        <w:t xml:space="preserve">{项目名称}    </w:t>
      </w:r>
      <w:r>
        <w:rPr>
          <w:rFonts w:hint="eastAsia" w:ascii="宋体" w:hAnsi="宋体"/>
          <w:color w:val="auto"/>
        </w:rPr>
        <w:t xml:space="preserve">工程                                                              </w:t>
      </w:r>
    </w:p>
    <w:tbl>
      <w:tblPr>
        <w:tblStyle w:val="39"/>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姓名</w:t>
            </w:r>
          </w:p>
        </w:tc>
        <w:tc>
          <w:tcPr>
            <w:tcW w:w="234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89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性别</w:t>
            </w:r>
          </w:p>
        </w:tc>
        <w:tc>
          <w:tcPr>
            <w:tcW w:w="15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10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年龄</w:t>
            </w:r>
          </w:p>
        </w:tc>
        <w:tc>
          <w:tcPr>
            <w:tcW w:w="21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职务</w:t>
            </w:r>
          </w:p>
        </w:tc>
        <w:tc>
          <w:tcPr>
            <w:tcW w:w="234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89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职称</w:t>
            </w:r>
          </w:p>
        </w:tc>
        <w:tc>
          <w:tcPr>
            <w:tcW w:w="15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10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学历</w:t>
            </w:r>
          </w:p>
        </w:tc>
        <w:tc>
          <w:tcPr>
            <w:tcW w:w="21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参加工作时间</w:t>
            </w:r>
          </w:p>
        </w:tc>
        <w:tc>
          <w:tcPr>
            <w:tcW w:w="189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269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担任项目经理年限</w:t>
            </w:r>
          </w:p>
        </w:tc>
        <w:tc>
          <w:tcPr>
            <w:tcW w:w="21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项目经理注册证书编号</w:t>
            </w:r>
          </w:p>
        </w:tc>
        <w:tc>
          <w:tcPr>
            <w:tcW w:w="6750"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3"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建设单位</w:t>
            </w: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项目名称</w:t>
            </w: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建设规模</w:t>
            </w: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开、竣工日期</w:t>
            </w: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在建或已完</w:t>
            </w:r>
          </w:p>
        </w:tc>
        <w:tc>
          <w:tcPr>
            <w:tcW w:w="243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243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243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243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243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bl>
    <w:p>
      <w:pPr>
        <w:spacing w:line="400" w:lineRule="exact"/>
        <w:rPr>
          <w:rFonts w:ascii="宋体" w:hAnsi="宋体"/>
          <w:color w:val="auto"/>
          <w:sz w:val="28"/>
          <w:szCs w:val="28"/>
        </w:rPr>
      </w:pPr>
    </w:p>
    <w:p>
      <w:pPr>
        <w:spacing w:line="360" w:lineRule="auto"/>
        <w:rPr>
          <w:rFonts w:ascii="宋体" w:hAnsi="宋体"/>
          <w:color w:val="auto"/>
        </w:rPr>
      </w:pPr>
      <w:r>
        <w:rPr>
          <w:rFonts w:hint="eastAsia" w:ascii="宋体" w:hAnsi="宋体"/>
          <w:color w:val="auto"/>
        </w:rPr>
        <w:t>备注：附项目经理注册建造师注册证书、安全生产考核合格证书（B证）和已完工程中标通知书（如有）、工程合同协议书（如有）、工程竣工验收证明材料的复印件（如有），以上复印件须加盖磋商人单位公章。（本工程不要求提供业绩）</w:t>
      </w: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spacing w:line="400" w:lineRule="exact"/>
        <w:rPr>
          <w:rFonts w:ascii="宋体" w:hAnsi="宋体"/>
          <w:color w:val="auto"/>
          <w:sz w:val="28"/>
          <w:szCs w:val="28"/>
        </w:rPr>
      </w:pPr>
    </w:p>
    <w:p>
      <w:pPr>
        <w:rPr>
          <w:rFonts w:hint="eastAsia" w:ascii="宋体" w:hAnsi="宋体"/>
          <w:b/>
          <w:bCs/>
          <w:color w:val="auto"/>
          <w:sz w:val="24"/>
          <w:szCs w:val="24"/>
        </w:rPr>
      </w:pPr>
      <w:r>
        <w:rPr>
          <w:rFonts w:hint="eastAsia" w:ascii="宋体" w:hAnsi="宋体"/>
          <w:b/>
          <w:bCs/>
          <w:color w:val="auto"/>
          <w:sz w:val="24"/>
          <w:szCs w:val="24"/>
        </w:rPr>
        <w:br w:type="page"/>
      </w:r>
    </w:p>
    <w:p>
      <w:pPr>
        <w:spacing w:line="400" w:lineRule="exact"/>
        <w:jc w:val="center"/>
        <w:rPr>
          <w:rFonts w:ascii="宋体" w:hAnsi="宋体"/>
          <w:b/>
          <w:bCs/>
          <w:color w:val="auto"/>
          <w:sz w:val="24"/>
          <w:szCs w:val="24"/>
        </w:rPr>
      </w:pPr>
      <w:r>
        <w:rPr>
          <w:rFonts w:hint="eastAsia" w:ascii="宋体" w:hAnsi="宋体"/>
          <w:b/>
          <w:bCs/>
          <w:color w:val="auto"/>
          <w:sz w:val="24"/>
          <w:szCs w:val="24"/>
        </w:rPr>
        <w:t>③.项目技术负责人简历表（格式）</w:t>
      </w:r>
    </w:p>
    <w:p>
      <w:pPr>
        <w:spacing w:line="400" w:lineRule="exact"/>
        <w:rPr>
          <w:rFonts w:ascii="宋体" w:hAnsi="宋体"/>
          <w:b/>
          <w:bCs/>
          <w:color w:val="auto"/>
          <w:sz w:val="28"/>
          <w:szCs w:val="28"/>
        </w:rPr>
      </w:pPr>
    </w:p>
    <w:p>
      <w:pPr>
        <w:spacing w:line="400" w:lineRule="exact"/>
        <w:jc w:val="center"/>
        <w:rPr>
          <w:rFonts w:ascii="宋体" w:hAnsi="宋体"/>
          <w:b/>
          <w:bCs/>
          <w:color w:val="auto"/>
        </w:rPr>
      </w:pPr>
      <w:r>
        <w:rPr>
          <w:rFonts w:hint="eastAsia" w:ascii="宋体" w:hAnsi="宋体"/>
          <w:b/>
          <w:bCs/>
          <w:color w:val="auto"/>
        </w:rPr>
        <w:t>项目技术负责人简历表</w:t>
      </w:r>
    </w:p>
    <w:p>
      <w:pPr>
        <w:spacing w:line="400" w:lineRule="exact"/>
        <w:rPr>
          <w:rFonts w:ascii="宋体" w:hAnsi="宋体"/>
          <w:b/>
          <w:bCs/>
          <w:color w:val="auto"/>
          <w:sz w:val="28"/>
          <w:szCs w:val="28"/>
        </w:rPr>
      </w:pPr>
    </w:p>
    <w:p>
      <w:pPr>
        <w:spacing w:line="400" w:lineRule="exact"/>
        <w:rPr>
          <w:rFonts w:ascii="宋体" w:hAnsi="宋体"/>
          <w:color w:val="auto"/>
        </w:rPr>
      </w:pPr>
      <w:bookmarkStart w:id="161" w:name="_Toc251052220"/>
      <w:bookmarkEnd w:id="161"/>
      <w:r>
        <w:rPr>
          <w:rFonts w:hint="eastAsia" w:ascii="宋体" w:hAnsi="宋体"/>
          <w:color w:val="auto"/>
          <w:u w:val="single"/>
        </w:rPr>
        <w:t xml:space="preserve">{项目名称}    </w:t>
      </w:r>
      <w:r>
        <w:rPr>
          <w:rFonts w:hint="eastAsia" w:ascii="宋体" w:hAnsi="宋体"/>
          <w:color w:val="auto"/>
        </w:rPr>
        <w:t xml:space="preserve">工程                           </w:t>
      </w:r>
      <w:r>
        <w:rPr>
          <w:rFonts w:hint="eastAsia" w:ascii="宋体" w:hAnsi="宋体"/>
          <w:color w:val="auto"/>
        </w:rPr>
        <w:tab/>
      </w:r>
      <w:r>
        <w:rPr>
          <w:rFonts w:hint="eastAsia" w:ascii="宋体" w:hAnsi="宋体"/>
          <w:color w:val="auto"/>
        </w:rPr>
        <w:tab/>
      </w:r>
      <w:r>
        <w:rPr>
          <w:rFonts w:hint="eastAsia" w:ascii="宋体" w:hAnsi="宋体"/>
          <w:color w:val="auto"/>
        </w:rPr>
        <w:tab/>
      </w:r>
    </w:p>
    <w:tbl>
      <w:tblPr>
        <w:tblStyle w:val="39"/>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姓名</w:t>
            </w:r>
          </w:p>
        </w:tc>
        <w:tc>
          <w:tcPr>
            <w:tcW w:w="234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89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性别</w:t>
            </w:r>
          </w:p>
        </w:tc>
        <w:tc>
          <w:tcPr>
            <w:tcW w:w="15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10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年龄</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职务</w:t>
            </w:r>
          </w:p>
        </w:tc>
        <w:tc>
          <w:tcPr>
            <w:tcW w:w="234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89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职称</w:t>
            </w:r>
          </w:p>
        </w:tc>
        <w:tc>
          <w:tcPr>
            <w:tcW w:w="15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10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学历</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参加工作时间</w:t>
            </w:r>
          </w:p>
        </w:tc>
        <w:tc>
          <w:tcPr>
            <w:tcW w:w="189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269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担任技术负责人年限</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04"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建设单位</w:t>
            </w: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项目名称</w:t>
            </w: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建设规模</w:t>
            </w: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开、竣工日期</w:t>
            </w: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在建或已完</w:t>
            </w:r>
          </w:p>
        </w:tc>
        <w:tc>
          <w:tcPr>
            <w:tcW w:w="226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226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226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226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c>
          <w:tcPr>
            <w:tcW w:w="226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rPr>
            </w:pPr>
          </w:p>
        </w:tc>
      </w:tr>
    </w:tbl>
    <w:p>
      <w:pPr>
        <w:spacing w:line="400" w:lineRule="exact"/>
        <w:rPr>
          <w:rFonts w:ascii="宋体" w:hAnsi="宋体"/>
          <w:color w:val="auto"/>
        </w:rPr>
      </w:pPr>
    </w:p>
    <w:p>
      <w:pPr>
        <w:pStyle w:val="21"/>
        <w:spacing w:line="360" w:lineRule="exact"/>
        <w:outlineLvl w:val="2"/>
        <w:rPr>
          <w:rFonts w:hAnsi="宋体"/>
          <w:color w:val="auto"/>
          <w:sz w:val="28"/>
          <w:szCs w:val="28"/>
        </w:rPr>
      </w:pPr>
      <w:r>
        <w:rPr>
          <w:rFonts w:hint="eastAsia" w:hAnsi="宋体"/>
          <w:color w:val="auto"/>
        </w:rPr>
        <w:t>备注：</w:t>
      </w:r>
      <w:r>
        <w:rPr>
          <w:rFonts w:hint="eastAsia"/>
          <w:color w:val="auto"/>
        </w:rPr>
        <w:t>附技术负责人的职称证、资格证和已完工程中标通知书（如有）、工程合同协议书</w:t>
      </w:r>
      <w:r>
        <w:rPr>
          <w:rFonts w:hint="eastAsia" w:hAnsi="宋体"/>
          <w:color w:val="auto"/>
        </w:rPr>
        <w:t>（如有）</w:t>
      </w:r>
      <w:r>
        <w:rPr>
          <w:rFonts w:hint="eastAsia"/>
          <w:color w:val="auto"/>
        </w:rPr>
        <w:t>、工程竣工验收证明材料的复印件</w:t>
      </w:r>
      <w:r>
        <w:rPr>
          <w:rFonts w:hint="eastAsia" w:hAnsi="宋体"/>
          <w:color w:val="auto"/>
        </w:rPr>
        <w:t>（如有）</w:t>
      </w:r>
      <w:r>
        <w:rPr>
          <w:rFonts w:hint="eastAsia"/>
          <w:color w:val="auto"/>
        </w:rPr>
        <w:t>，以上复印件须加盖磋商人单位公章。（本工程不要求提供业绩）</w:t>
      </w:r>
      <w:r>
        <w:rPr>
          <w:rFonts w:hint="eastAsia" w:hAnsi="宋体"/>
          <w:color w:val="auto"/>
        </w:rPr>
        <w:br w:type="page"/>
      </w:r>
    </w:p>
    <w:p>
      <w:pPr>
        <w:pStyle w:val="21"/>
        <w:spacing w:line="360" w:lineRule="exact"/>
        <w:jc w:val="center"/>
        <w:rPr>
          <w:rFonts w:hint="eastAsia" w:hAnsi="宋体" w:eastAsia="宋体"/>
          <w:b/>
          <w:bCs/>
          <w:color w:val="auto"/>
          <w:sz w:val="28"/>
          <w:szCs w:val="28"/>
          <w:lang w:eastAsia="zh-CN"/>
        </w:rPr>
      </w:pPr>
      <w:bookmarkStart w:id="162" w:name="_Toc329096202"/>
      <w:bookmarkEnd w:id="162"/>
      <w:bookmarkStart w:id="163" w:name="_Toc446927454"/>
      <w:r>
        <w:rPr>
          <w:rFonts w:hint="eastAsia" w:hAnsi="宋体"/>
          <w:b/>
          <w:bCs/>
          <w:color w:val="auto"/>
          <w:sz w:val="28"/>
          <w:szCs w:val="28"/>
        </w:rPr>
        <w:t>九、</w:t>
      </w:r>
      <w:bookmarkEnd w:id="163"/>
      <w:r>
        <w:rPr>
          <w:rFonts w:hint="eastAsia" w:hAnsi="宋体"/>
          <w:b/>
          <w:bCs/>
          <w:color w:val="auto"/>
          <w:sz w:val="28"/>
          <w:szCs w:val="28"/>
          <w:lang w:eastAsia="zh-CN"/>
        </w:rPr>
        <w:t>企业业绩</w:t>
      </w:r>
    </w:p>
    <w:p>
      <w:pPr>
        <w:rPr>
          <w:rFonts w:hint="eastAsia" w:hAnsi="宋体"/>
          <w:b w:val="0"/>
          <w:bCs w:val="0"/>
          <w:color w:val="auto"/>
          <w:sz w:val="24"/>
          <w:szCs w:val="24"/>
          <w:lang w:eastAsia="zh-CN"/>
        </w:rPr>
      </w:pPr>
    </w:p>
    <w:p>
      <w:pPr>
        <w:rPr>
          <w:rFonts w:hint="eastAsia" w:hAnsi="宋体" w:eastAsia="宋体"/>
          <w:b w:val="0"/>
          <w:bCs w:val="0"/>
          <w:color w:val="auto"/>
          <w:sz w:val="24"/>
          <w:szCs w:val="24"/>
          <w:lang w:eastAsia="zh-CN"/>
        </w:rPr>
      </w:pPr>
      <w:r>
        <w:rPr>
          <w:rFonts w:hint="eastAsia" w:hAnsi="宋体"/>
          <w:b w:val="0"/>
          <w:bCs w:val="0"/>
          <w:color w:val="auto"/>
          <w:sz w:val="24"/>
          <w:szCs w:val="24"/>
          <w:lang w:eastAsia="zh-CN"/>
        </w:rPr>
        <w:t>（</w:t>
      </w:r>
      <w:r>
        <w:rPr>
          <w:rFonts w:hint="eastAsia" w:hAnsi="宋体"/>
          <w:b w:val="0"/>
          <w:bCs w:val="0"/>
          <w:color w:val="auto"/>
          <w:sz w:val="24"/>
          <w:szCs w:val="24"/>
        </w:rPr>
        <w:t>企业201</w:t>
      </w:r>
      <w:r>
        <w:rPr>
          <w:rFonts w:hint="eastAsia" w:hAnsi="宋体"/>
          <w:b w:val="0"/>
          <w:bCs w:val="0"/>
          <w:color w:val="auto"/>
          <w:sz w:val="24"/>
          <w:szCs w:val="24"/>
          <w:lang w:val="en-US" w:eastAsia="zh-CN"/>
        </w:rPr>
        <w:t>7</w:t>
      </w:r>
      <w:r>
        <w:rPr>
          <w:rFonts w:hint="eastAsia" w:hAnsi="宋体"/>
          <w:b w:val="0"/>
          <w:bCs w:val="0"/>
          <w:color w:val="auto"/>
          <w:sz w:val="24"/>
          <w:szCs w:val="24"/>
        </w:rPr>
        <w:t>年以来承建或完成100万及以上建筑工程的项目，需提供中标</w:t>
      </w:r>
      <w:r>
        <w:rPr>
          <w:rFonts w:hint="eastAsia" w:hAnsi="宋体"/>
          <w:b w:val="0"/>
          <w:bCs w:val="0"/>
          <w:color w:val="auto"/>
          <w:sz w:val="24"/>
          <w:szCs w:val="24"/>
          <w:lang w:eastAsia="zh-CN"/>
        </w:rPr>
        <w:t>（成交）</w:t>
      </w:r>
      <w:r>
        <w:rPr>
          <w:rFonts w:hint="eastAsia" w:hAnsi="宋体"/>
          <w:b w:val="0"/>
          <w:bCs w:val="0"/>
          <w:color w:val="auto"/>
          <w:sz w:val="24"/>
          <w:szCs w:val="24"/>
        </w:rPr>
        <w:t>通知书复印件或合同协议书复印件，或者提供验收单复印件，三者提供其一即可</w:t>
      </w:r>
      <w:r>
        <w:rPr>
          <w:rFonts w:hint="eastAsia" w:hAnsi="宋体"/>
          <w:b w:val="0"/>
          <w:bCs w:val="0"/>
          <w:color w:val="auto"/>
          <w:sz w:val="24"/>
          <w:szCs w:val="24"/>
          <w:lang w:eastAsia="zh-CN"/>
        </w:rPr>
        <w:t>。若无，请填写“无”。）</w:t>
      </w:r>
    </w:p>
    <w:p>
      <w:pPr>
        <w:rPr>
          <w:rFonts w:hint="eastAsia" w:hAnsi="宋体"/>
          <w:b/>
          <w:bCs/>
          <w:color w:val="auto"/>
          <w:sz w:val="28"/>
          <w:szCs w:val="28"/>
        </w:rPr>
      </w:pPr>
    </w:p>
    <w:p>
      <w:pPr>
        <w:rPr>
          <w:rFonts w:hint="eastAsia" w:hAnsi="宋体"/>
          <w:b/>
          <w:bCs/>
          <w:color w:val="auto"/>
          <w:sz w:val="28"/>
          <w:szCs w:val="28"/>
        </w:rPr>
      </w:pPr>
    </w:p>
    <w:p>
      <w:pPr>
        <w:rPr>
          <w:rFonts w:hint="eastAsia" w:hAnsi="宋体"/>
          <w:b/>
          <w:bCs/>
          <w:color w:val="auto"/>
          <w:sz w:val="28"/>
          <w:szCs w:val="28"/>
        </w:rPr>
      </w:pPr>
    </w:p>
    <w:p>
      <w:pPr>
        <w:rPr>
          <w:rFonts w:hint="eastAsia" w:hAnsi="宋体"/>
          <w:b/>
          <w:bCs/>
          <w:color w:val="auto"/>
          <w:sz w:val="28"/>
          <w:szCs w:val="28"/>
        </w:rPr>
      </w:pPr>
    </w:p>
    <w:p>
      <w:pPr>
        <w:rPr>
          <w:rFonts w:hint="eastAsia" w:hAnsi="宋体"/>
          <w:b/>
          <w:bCs/>
          <w:color w:val="auto"/>
          <w:sz w:val="28"/>
          <w:szCs w:val="28"/>
          <w:lang w:eastAsia="zh-CN"/>
        </w:rPr>
      </w:pPr>
      <w:r>
        <w:rPr>
          <w:rFonts w:hint="eastAsia" w:hAnsi="宋体"/>
          <w:b/>
          <w:bCs/>
          <w:color w:val="auto"/>
          <w:sz w:val="28"/>
          <w:szCs w:val="28"/>
          <w:lang w:eastAsia="zh-CN"/>
        </w:rPr>
        <w:br w:type="page"/>
      </w:r>
    </w:p>
    <w:p>
      <w:pPr>
        <w:pStyle w:val="21"/>
        <w:spacing w:line="360" w:lineRule="exact"/>
        <w:jc w:val="center"/>
        <w:rPr>
          <w:rFonts w:hAnsi="宋体"/>
          <w:color w:val="auto"/>
        </w:rPr>
      </w:pPr>
      <w:r>
        <w:rPr>
          <w:rFonts w:hint="eastAsia" w:hAnsi="宋体"/>
          <w:b/>
          <w:bCs/>
          <w:color w:val="auto"/>
          <w:sz w:val="28"/>
          <w:szCs w:val="28"/>
          <w:lang w:eastAsia="zh-CN"/>
        </w:rPr>
        <w:t>十、</w:t>
      </w:r>
      <w:r>
        <w:rPr>
          <w:rFonts w:hint="eastAsia" w:hAnsi="宋体"/>
          <w:b/>
          <w:bCs/>
          <w:color w:val="auto"/>
          <w:sz w:val="28"/>
          <w:szCs w:val="28"/>
        </w:rPr>
        <w:t>磋商人认为有必要提供的证明材料</w:t>
      </w:r>
    </w:p>
    <w:p>
      <w:pPr>
        <w:pStyle w:val="21"/>
        <w:spacing w:line="360" w:lineRule="exact"/>
        <w:rPr>
          <w:rFonts w:hAnsi="宋体"/>
          <w:b/>
          <w:bCs/>
          <w:color w:val="auto"/>
          <w:sz w:val="32"/>
          <w:szCs w:val="32"/>
        </w:rPr>
      </w:pPr>
    </w:p>
    <w:p>
      <w:pPr>
        <w:pStyle w:val="21"/>
        <w:spacing w:line="360" w:lineRule="exact"/>
        <w:ind w:firstLine="420"/>
        <w:rPr>
          <w:rFonts w:hAnsi="宋体"/>
          <w:color w:val="auto"/>
        </w:rPr>
      </w:pPr>
    </w:p>
    <w:p>
      <w:pPr>
        <w:pStyle w:val="21"/>
        <w:spacing w:line="360" w:lineRule="exact"/>
        <w:ind w:firstLine="420"/>
        <w:rPr>
          <w:rFonts w:hAnsi="宋体"/>
          <w:color w:val="auto"/>
        </w:rPr>
      </w:pPr>
    </w:p>
    <w:p>
      <w:pPr>
        <w:pStyle w:val="21"/>
        <w:spacing w:line="360" w:lineRule="exact"/>
        <w:ind w:firstLine="420"/>
        <w:rPr>
          <w:rFonts w:hAnsi="宋体"/>
          <w:color w:val="auto"/>
        </w:rPr>
      </w:pPr>
    </w:p>
    <w:p>
      <w:pPr>
        <w:pStyle w:val="21"/>
        <w:numPr>
          <w:ilvl w:val="0"/>
          <w:numId w:val="9"/>
        </w:numPr>
        <w:spacing w:line="360" w:lineRule="exact"/>
        <w:rPr>
          <w:rFonts w:hint="eastAsia" w:hAnsi="宋体"/>
          <w:b w:val="0"/>
          <w:bCs w:val="0"/>
          <w:color w:val="auto"/>
          <w:sz w:val="24"/>
          <w:szCs w:val="24"/>
          <w:lang w:val="en-US" w:eastAsia="zh-CN"/>
        </w:rPr>
      </w:pPr>
      <w:r>
        <w:rPr>
          <w:rFonts w:hint="eastAsia" w:hAnsi="宋体"/>
          <w:b w:val="0"/>
          <w:bCs w:val="0"/>
          <w:color w:val="auto"/>
          <w:sz w:val="24"/>
          <w:szCs w:val="24"/>
          <w:lang w:eastAsia="zh-CN"/>
        </w:rPr>
        <w:t>磋商人在“信用中国”网站</w:t>
      </w:r>
      <w:r>
        <w:rPr>
          <w:rFonts w:hint="eastAsia" w:hAnsi="宋体"/>
          <w:b w:val="0"/>
          <w:bCs w:val="0"/>
          <w:color w:val="auto"/>
          <w:sz w:val="24"/>
          <w:szCs w:val="24"/>
          <w:lang w:val="en-US" w:eastAsia="zh-CN"/>
        </w:rPr>
        <w:t>www.creditchina.gov.cn)、中国政府采购网（www.ccgp.gov.cn）查询相关磋商人主体信用记录</w:t>
      </w:r>
      <w:r>
        <w:rPr>
          <w:rFonts w:hint="eastAsia" w:hAnsi="宋体"/>
          <w:b w:val="0"/>
          <w:bCs w:val="0"/>
          <w:color w:val="auto"/>
          <w:sz w:val="24"/>
          <w:szCs w:val="24"/>
          <w:lang w:val="en-US" w:eastAsia="zh-CN"/>
        </w:rPr>
        <w:br w:type="textWrapping"/>
      </w:r>
    </w:p>
    <w:p>
      <w:pPr>
        <w:pStyle w:val="22"/>
        <w:numPr>
          <w:ilvl w:val="0"/>
          <w:numId w:val="0"/>
        </w:numPr>
        <w:rPr>
          <w:rFonts w:hint="default"/>
          <w:color w:val="auto"/>
          <w:lang w:val="en-US" w:eastAsia="zh-CN"/>
        </w:rPr>
      </w:pPr>
      <w:r>
        <w:rPr>
          <w:rFonts w:hint="eastAsia"/>
          <w:color w:val="auto"/>
          <w:lang w:val="en-US" w:eastAsia="zh-CN"/>
        </w:rPr>
        <w:t>（二）企业法定代表人安全生产考核合格证</w:t>
      </w:r>
    </w:p>
    <w:p>
      <w:pPr>
        <w:pStyle w:val="21"/>
        <w:spacing w:line="360" w:lineRule="exact"/>
        <w:ind w:firstLine="420"/>
        <w:rPr>
          <w:rFonts w:hAnsi="宋体"/>
          <w:color w:val="auto"/>
        </w:rPr>
      </w:pPr>
    </w:p>
    <w:p>
      <w:pPr>
        <w:pStyle w:val="21"/>
        <w:spacing w:line="360" w:lineRule="exact"/>
        <w:rPr>
          <w:rFonts w:hint="eastAsia" w:hAnsi="宋体" w:eastAsia="宋体"/>
          <w:color w:val="auto"/>
          <w:lang w:eastAsia="zh-CN"/>
        </w:rPr>
      </w:pPr>
      <w:r>
        <w:rPr>
          <w:rFonts w:hint="eastAsia" w:hAnsi="宋体"/>
          <w:color w:val="auto"/>
          <w:lang w:eastAsia="zh-CN"/>
        </w:rPr>
        <w:t>（三）其它证明材料</w:t>
      </w:r>
    </w:p>
    <w:p>
      <w:pPr>
        <w:pStyle w:val="21"/>
        <w:spacing w:line="360" w:lineRule="exact"/>
        <w:ind w:firstLine="420"/>
        <w:rPr>
          <w:rFonts w:hAnsi="宋体"/>
          <w:color w:val="auto"/>
        </w:rPr>
      </w:pPr>
    </w:p>
    <w:p>
      <w:pPr>
        <w:pStyle w:val="21"/>
        <w:spacing w:line="360" w:lineRule="exact"/>
        <w:ind w:firstLine="420"/>
        <w:rPr>
          <w:rFonts w:hAnsi="宋体"/>
          <w:color w:val="auto"/>
        </w:rPr>
      </w:pPr>
    </w:p>
    <w:p>
      <w:pPr>
        <w:pStyle w:val="21"/>
        <w:spacing w:line="360" w:lineRule="exact"/>
        <w:ind w:firstLine="420"/>
        <w:rPr>
          <w:rFonts w:hAnsi="宋体"/>
          <w:color w:val="auto"/>
        </w:rPr>
      </w:pPr>
    </w:p>
    <w:p>
      <w:pPr>
        <w:pStyle w:val="21"/>
        <w:spacing w:line="360" w:lineRule="exact"/>
        <w:ind w:firstLine="420"/>
        <w:rPr>
          <w:rFonts w:hAnsi="宋体"/>
          <w:color w:val="auto"/>
        </w:rPr>
      </w:pPr>
    </w:p>
    <w:p>
      <w:pPr>
        <w:pStyle w:val="21"/>
        <w:spacing w:line="360" w:lineRule="exact"/>
        <w:rPr>
          <w:rFonts w:hAnsi="宋体"/>
          <w:color w:val="auto"/>
        </w:rPr>
      </w:pPr>
    </w:p>
    <w:p>
      <w:pPr>
        <w:spacing w:line="700" w:lineRule="exact"/>
        <w:rPr>
          <w:rFonts w:ascii="宋体" w:hAnsi="宋体"/>
          <w:color w:val="auto"/>
          <w:sz w:val="24"/>
          <w:szCs w:val="24"/>
        </w:rPr>
      </w:pPr>
    </w:p>
    <w:p>
      <w:pPr>
        <w:pStyle w:val="21"/>
        <w:spacing w:line="360" w:lineRule="exact"/>
        <w:jc w:val="center"/>
        <w:rPr>
          <w:rFonts w:hAnsi="宋体"/>
          <w:color w:val="auto"/>
        </w:rPr>
      </w:pPr>
      <w:r>
        <w:rPr>
          <w:rFonts w:hint="eastAsia" w:hAnsi="宋体"/>
          <w:color w:val="auto"/>
        </w:rPr>
        <w:br w:type="page"/>
      </w:r>
    </w:p>
    <w:p>
      <w:pPr>
        <w:jc w:val="center"/>
        <w:outlineLvl w:val="0"/>
        <w:rPr>
          <w:rFonts w:ascii="宋体" w:hAnsi="宋体"/>
          <w:b/>
          <w:bCs/>
          <w:color w:val="auto"/>
          <w:sz w:val="44"/>
          <w:szCs w:val="44"/>
        </w:rPr>
      </w:pPr>
      <w:bookmarkStart w:id="164" w:name="_Toc446927460"/>
      <w:bookmarkEnd w:id="164"/>
      <w:bookmarkStart w:id="165" w:name="_Toc28746_WPSOffice_Level1"/>
      <w:bookmarkStart w:id="166" w:name="_Toc22654_WPSOffice_Level1"/>
      <w:bookmarkStart w:id="167" w:name="_Toc32257_WPSOffice_Level1"/>
      <w:r>
        <w:rPr>
          <w:rFonts w:hint="eastAsia" w:ascii="宋体" w:hAnsi="宋体"/>
          <w:b/>
          <w:bCs/>
          <w:color w:val="auto"/>
          <w:sz w:val="44"/>
          <w:szCs w:val="44"/>
        </w:rPr>
        <w:t>第六章  评定标准</w:t>
      </w:r>
      <w:bookmarkEnd w:id="165"/>
      <w:bookmarkEnd w:id="166"/>
      <w:bookmarkEnd w:id="167"/>
    </w:p>
    <w:p>
      <w:pPr>
        <w:spacing w:line="360" w:lineRule="auto"/>
        <w:jc w:val="center"/>
        <w:outlineLvl w:val="1"/>
        <w:rPr>
          <w:rFonts w:ascii="宋体" w:hAnsi="宋体"/>
          <w:b/>
          <w:bCs/>
          <w:color w:val="auto"/>
        </w:rPr>
      </w:pPr>
      <w:bookmarkStart w:id="168" w:name="_Toc446927461"/>
      <w:bookmarkEnd w:id="168"/>
      <w:r>
        <w:rPr>
          <w:rFonts w:hint="eastAsia" w:ascii="宋体" w:hAnsi="宋体"/>
          <w:b/>
          <w:bCs/>
          <w:color w:val="auto"/>
          <w:sz w:val="28"/>
          <w:szCs w:val="28"/>
        </w:rPr>
        <w:t>评定标准</w:t>
      </w:r>
    </w:p>
    <w:p>
      <w:pPr>
        <w:pStyle w:val="21"/>
        <w:spacing w:line="360" w:lineRule="auto"/>
        <w:ind w:firstLine="42" w:firstLineChars="20"/>
        <w:rPr>
          <w:rFonts w:hAnsi="宋体"/>
          <w:b/>
          <w:bCs/>
          <w:color w:val="auto"/>
        </w:rPr>
      </w:pPr>
      <w:bookmarkStart w:id="169" w:name="_Toc426551291"/>
      <w:bookmarkEnd w:id="169"/>
      <w:bookmarkStart w:id="170" w:name="_Toc433038766"/>
      <w:bookmarkEnd w:id="170"/>
      <w:bookmarkStart w:id="171" w:name="_Toc426551232"/>
      <w:bookmarkEnd w:id="171"/>
      <w:bookmarkStart w:id="172" w:name="_Toc435176745"/>
      <w:bookmarkEnd w:id="172"/>
      <w:bookmarkStart w:id="173" w:name="_Toc418671735"/>
      <w:bookmarkEnd w:id="173"/>
      <w:bookmarkStart w:id="174" w:name="_Toc426551185"/>
      <w:r>
        <w:rPr>
          <w:rFonts w:hint="eastAsia" w:hAnsi="宋体"/>
          <w:b/>
          <w:bCs/>
          <w:color w:val="auto"/>
        </w:rPr>
        <w:t>一、评标原则</w:t>
      </w:r>
      <w:bookmarkEnd w:id="174"/>
    </w:p>
    <w:p>
      <w:pPr>
        <w:pStyle w:val="21"/>
        <w:spacing w:line="360" w:lineRule="auto"/>
        <w:ind w:firstLine="42" w:firstLineChars="20"/>
        <w:rPr>
          <w:rFonts w:hAnsi="宋体"/>
          <w:color w:val="auto"/>
        </w:rPr>
      </w:pPr>
      <w:r>
        <w:rPr>
          <w:rFonts w:hint="eastAsia" w:hAnsi="宋体"/>
          <w:color w:val="auto"/>
        </w:rPr>
        <w:t>（一）评委构成：本竞争性磋商采购项目的磋商小组由采购人代表和评审专家共三人以上的单数组成，其中评审专家的人数不得少于磋商小组成员总数的三分之二。</w:t>
      </w:r>
    </w:p>
    <w:p>
      <w:pPr>
        <w:pStyle w:val="21"/>
        <w:spacing w:line="360" w:lineRule="auto"/>
        <w:ind w:firstLine="42" w:firstLineChars="20"/>
        <w:rPr>
          <w:rFonts w:hAnsi="宋体"/>
          <w:color w:val="auto"/>
        </w:rPr>
      </w:pPr>
      <w:r>
        <w:rPr>
          <w:rFonts w:hint="eastAsia" w:hAnsi="宋体"/>
          <w:color w:val="auto"/>
        </w:rPr>
        <w:t>（二）评标依据：本次评标采用综合评估法。磋商小组以竞争性磋商文件和竞争性磋商响应文件为依据，对初步评审的响应文件，进入下一轮报价并对磋商人的技术服务方案等方面内容按百分制打分。其中商务分40分，企业人员信誉实力分10分，技术服务方案分50分。</w:t>
      </w:r>
    </w:p>
    <w:p>
      <w:pPr>
        <w:pStyle w:val="21"/>
        <w:spacing w:line="360" w:lineRule="auto"/>
        <w:ind w:firstLine="42" w:firstLineChars="20"/>
        <w:rPr>
          <w:rFonts w:hAnsi="宋体"/>
          <w:color w:val="auto"/>
        </w:rPr>
      </w:pPr>
      <w:r>
        <w:rPr>
          <w:rFonts w:hint="eastAsia" w:hAnsi="宋体"/>
          <w:color w:val="auto"/>
        </w:rPr>
        <w:t>（三）评标方式：以封闭方式进行。</w:t>
      </w:r>
    </w:p>
    <w:p>
      <w:pPr>
        <w:pStyle w:val="21"/>
        <w:spacing w:line="360" w:lineRule="auto"/>
        <w:ind w:firstLine="42" w:firstLineChars="20"/>
        <w:rPr>
          <w:rFonts w:hAnsi="宋体"/>
          <w:b/>
          <w:bCs/>
          <w:color w:val="auto"/>
        </w:rPr>
      </w:pPr>
      <w:bookmarkStart w:id="175" w:name="_Toc426551292"/>
      <w:bookmarkEnd w:id="175"/>
      <w:bookmarkStart w:id="176" w:name="_Toc418671736"/>
      <w:bookmarkEnd w:id="176"/>
      <w:bookmarkStart w:id="177" w:name="_Toc426551233"/>
      <w:bookmarkEnd w:id="177"/>
      <w:bookmarkStart w:id="178" w:name="_Toc435176746"/>
      <w:bookmarkEnd w:id="178"/>
      <w:bookmarkStart w:id="179" w:name="_Toc433038767"/>
      <w:bookmarkEnd w:id="179"/>
      <w:bookmarkStart w:id="180" w:name="_Toc426551186"/>
      <w:r>
        <w:rPr>
          <w:rFonts w:hint="eastAsia" w:hAnsi="宋体"/>
          <w:b/>
          <w:bCs/>
          <w:color w:val="auto"/>
        </w:rPr>
        <w:t>二、评标依据</w:t>
      </w:r>
      <w:bookmarkEnd w:id="180"/>
    </w:p>
    <w:p>
      <w:pPr>
        <w:pStyle w:val="21"/>
        <w:spacing w:line="360" w:lineRule="auto"/>
        <w:ind w:firstLine="42" w:firstLineChars="20"/>
        <w:rPr>
          <w:rFonts w:hint="eastAsia" w:hAnsi="宋体"/>
          <w:color w:val="auto"/>
        </w:rPr>
      </w:pPr>
      <w:r>
        <w:rPr>
          <w:rFonts w:hint="eastAsia" w:hAnsi="宋体"/>
          <w:color w:val="auto"/>
        </w:rPr>
        <w:t>评标委员会（磋商小组）以磋商文件为评标依据。</w:t>
      </w:r>
    </w:p>
    <w:tbl>
      <w:tblPr>
        <w:tblStyle w:val="39"/>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69"/>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3179" w:type="dxa"/>
            <w:gridSpan w:val="2"/>
            <w:vAlign w:val="center"/>
          </w:tcPr>
          <w:p>
            <w:pPr>
              <w:spacing w:line="360" w:lineRule="auto"/>
              <w:ind w:right="-153" w:rightChars="-73"/>
              <w:jc w:val="center"/>
              <w:rPr>
                <w:rFonts w:ascii="宋体" w:hAnsi="宋体" w:eastAsia="宋体" w:cs="宋体"/>
                <w:color w:val="auto"/>
                <w:sz w:val="24"/>
              </w:rPr>
            </w:pPr>
            <w:r>
              <w:rPr>
                <w:rFonts w:hint="eastAsia" w:ascii="宋体" w:hAnsi="宋体" w:eastAsia="宋体" w:cs="宋体"/>
                <w:color w:val="auto"/>
                <w:sz w:val="24"/>
              </w:rPr>
              <w:t>评审因素</w:t>
            </w:r>
          </w:p>
        </w:tc>
        <w:tc>
          <w:tcPr>
            <w:tcW w:w="5894" w:type="dxa"/>
            <w:vAlign w:val="center"/>
          </w:tcPr>
          <w:p>
            <w:pPr>
              <w:spacing w:line="360" w:lineRule="auto"/>
              <w:ind w:right="-153" w:rightChars="-73"/>
              <w:jc w:val="center"/>
              <w:rPr>
                <w:rFonts w:ascii="宋体" w:hAnsi="宋体" w:eastAsia="宋体" w:cs="宋体"/>
                <w:color w:val="auto"/>
                <w:sz w:val="24"/>
              </w:rPr>
            </w:pPr>
            <w:r>
              <w:rPr>
                <w:rFonts w:hint="eastAsia" w:ascii="宋体" w:hAnsi="宋体" w:eastAsia="宋体" w:cs="宋体"/>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710" w:type="dxa"/>
            <w:vMerge w:val="restart"/>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形式</w:t>
            </w:r>
          </w:p>
          <w:p>
            <w:pPr>
              <w:ind w:right="-153" w:rightChars="-73"/>
              <w:rPr>
                <w:rFonts w:ascii="宋体" w:hAnsi="宋体" w:eastAsia="宋体" w:cs="宋体"/>
                <w:color w:val="auto"/>
                <w:sz w:val="24"/>
              </w:rPr>
            </w:pPr>
            <w:r>
              <w:rPr>
                <w:rFonts w:hint="eastAsia" w:ascii="宋体" w:hAnsi="宋体" w:eastAsia="宋体" w:cs="宋体"/>
                <w:color w:val="auto"/>
                <w:sz w:val="24"/>
              </w:rPr>
              <w:t>评审</w:t>
            </w:r>
          </w:p>
          <w:p>
            <w:pPr>
              <w:ind w:right="-153" w:rightChars="-73"/>
              <w:rPr>
                <w:rFonts w:ascii="宋体" w:hAnsi="宋体" w:eastAsia="宋体" w:cs="宋体"/>
                <w:color w:val="auto"/>
                <w:sz w:val="24"/>
              </w:rPr>
            </w:pPr>
            <w:r>
              <w:rPr>
                <w:rFonts w:hint="eastAsia" w:ascii="宋体" w:hAnsi="宋体" w:eastAsia="宋体" w:cs="宋体"/>
                <w:color w:val="auto"/>
                <w:sz w:val="24"/>
              </w:rPr>
              <w:t>标准</w:t>
            </w:r>
          </w:p>
        </w:tc>
        <w:tc>
          <w:tcPr>
            <w:tcW w:w="2469" w:type="dxa"/>
            <w:vAlign w:val="center"/>
          </w:tcPr>
          <w:p>
            <w:pPr>
              <w:ind w:right="-153" w:rightChars="-73" w:firstLine="240" w:firstLineChars="100"/>
              <w:rPr>
                <w:rFonts w:ascii="宋体" w:hAnsi="宋体" w:eastAsia="宋体" w:cs="宋体"/>
                <w:color w:val="auto"/>
                <w:sz w:val="24"/>
              </w:rPr>
            </w:pPr>
            <w:r>
              <w:rPr>
                <w:rFonts w:hint="eastAsia" w:ascii="宋体" w:hAnsi="宋体" w:eastAsia="宋体" w:cs="宋体"/>
                <w:color w:val="auto"/>
                <w:sz w:val="24"/>
              </w:rPr>
              <w:t>磋商人名称</w:t>
            </w:r>
          </w:p>
        </w:tc>
        <w:tc>
          <w:tcPr>
            <w:tcW w:w="5894"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firstLine="240" w:firstLineChars="100"/>
              <w:rPr>
                <w:rFonts w:ascii="宋体" w:hAnsi="宋体" w:eastAsia="宋体" w:cs="宋体"/>
                <w:color w:val="auto"/>
                <w:sz w:val="24"/>
              </w:rPr>
            </w:pPr>
            <w:r>
              <w:rPr>
                <w:rFonts w:hint="eastAsia" w:ascii="宋体" w:hAnsi="宋体" w:eastAsia="宋体" w:cs="宋体"/>
                <w:color w:val="auto"/>
                <w:sz w:val="24"/>
              </w:rPr>
              <w:t>磋商函签字盖章</w:t>
            </w:r>
          </w:p>
        </w:tc>
        <w:tc>
          <w:tcPr>
            <w:tcW w:w="5894"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rPr>
                <w:rFonts w:hint="eastAsia" w:ascii="宋体" w:hAnsi="宋体" w:eastAsia="宋体" w:cs="宋体"/>
                <w:color w:val="auto"/>
                <w:sz w:val="24"/>
                <w:lang w:eastAsia="zh-CN"/>
              </w:rPr>
            </w:pPr>
            <w:r>
              <w:rPr>
                <w:rFonts w:hint="eastAsia" w:ascii="宋体" w:hAnsi="宋体" w:cs="宋体"/>
                <w:color w:val="auto"/>
                <w:sz w:val="24"/>
                <w:lang w:eastAsia="zh-CN"/>
              </w:rPr>
              <w:t>竞争性磋商响应文件格式</w:t>
            </w:r>
          </w:p>
        </w:tc>
        <w:tc>
          <w:tcPr>
            <w:tcW w:w="5894"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符合第五章“</w:t>
            </w:r>
            <w:r>
              <w:rPr>
                <w:rFonts w:hint="eastAsia" w:ascii="宋体" w:hAnsi="宋体" w:cs="宋体"/>
                <w:color w:val="auto"/>
                <w:sz w:val="24"/>
                <w:lang w:eastAsia="zh-CN"/>
              </w:rPr>
              <w:t>竞争性磋商响应文件格式</w:t>
            </w:r>
            <w:r>
              <w:rPr>
                <w:rFonts w:hint="eastAsia" w:ascii="宋体" w:hAnsi="宋体" w:eastAsia="宋体" w:cs="宋体"/>
                <w:color w:val="auto"/>
                <w:sz w:val="24"/>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0" w:type="dxa"/>
            <w:vMerge w:val="restart"/>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资格</w:t>
            </w:r>
          </w:p>
          <w:p>
            <w:pPr>
              <w:ind w:right="-153" w:rightChars="-73"/>
              <w:rPr>
                <w:rFonts w:ascii="宋体" w:hAnsi="宋体" w:eastAsia="宋体" w:cs="宋体"/>
                <w:color w:val="auto"/>
                <w:sz w:val="24"/>
              </w:rPr>
            </w:pPr>
            <w:r>
              <w:rPr>
                <w:rFonts w:hint="eastAsia" w:ascii="宋体" w:hAnsi="宋体" w:eastAsia="宋体" w:cs="宋体"/>
                <w:color w:val="auto"/>
                <w:sz w:val="24"/>
              </w:rPr>
              <w:t>评审</w:t>
            </w:r>
          </w:p>
          <w:p>
            <w:pPr>
              <w:ind w:right="-153" w:rightChars="-73"/>
              <w:rPr>
                <w:rFonts w:ascii="宋体" w:hAnsi="宋体" w:eastAsia="宋体" w:cs="宋体"/>
                <w:color w:val="auto"/>
                <w:sz w:val="24"/>
              </w:rPr>
            </w:pPr>
            <w:r>
              <w:rPr>
                <w:rFonts w:hint="eastAsia" w:ascii="宋体" w:hAnsi="宋体" w:eastAsia="宋体" w:cs="宋体"/>
                <w:color w:val="auto"/>
                <w:sz w:val="24"/>
              </w:rPr>
              <w:t>标准</w:t>
            </w:r>
          </w:p>
        </w:tc>
        <w:tc>
          <w:tcPr>
            <w:tcW w:w="2469"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 xml:space="preserve">  营业执照</w:t>
            </w:r>
          </w:p>
        </w:tc>
        <w:tc>
          <w:tcPr>
            <w:tcW w:w="5894"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 xml:space="preserve">  安全生产许可证</w:t>
            </w:r>
          </w:p>
        </w:tc>
        <w:tc>
          <w:tcPr>
            <w:tcW w:w="5894"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 xml:space="preserve">  资质等级</w:t>
            </w:r>
          </w:p>
        </w:tc>
        <w:tc>
          <w:tcPr>
            <w:tcW w:w="5894"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符合第二章“磋商人须知”第2.1项规定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 xml:space="preserve"> 注册建造师</w:t>
            </w:r>
          </w:p>
        </w:tc>
        <w:tc>
          <w:tcPr>
            <w:tcW w:w="5894" w:type="dxa"/>
            <w:vAlign w:val="center"/>
          </w:tcPr>
          <w:p>
            <w:pPr>
              <w:ind w:right="-107" w:rightChars="-51"/>
              <w:rPr>
                <w:rFonts w:ascii="宋体" w:hAnsi="宋体" w:eastAsia="宋体" w:cs="宋体"/>
                <w:color w:val="auto"/>
                <w:sz w:val="24"/>
              </w:rPr>
            </w:pPr>
            <w:r>
              <w:rPr>
                <w:rFonts w:hint="eastAsia" w:ascii="宋体" w:hAnsi="宋体" w:eastAsia="宋体" w:cs="宋体"/>
                <w:color w:val="auto"/>
                <w:sz w:val="24"/>
              </w:rPr>
              <w:t>符合第二章“磋商人须知”第2.1项规定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0" w:type="dxa"/>
            <w:vMerge w:val="restart"/>
            <w:vAlign w:val="center"/>
          </w:tcPr>
          <w:p>
            <w:pPr>
              <w:ind w:left="15" w:leftChars="-51" w:right="-153" w:rightChars="-73" w:hanging="122" w:hangingChars="51"/>
              <w:jc w:val="center"/>
              <w:rPr>
                <w:rFonts w:ascii="宋体" w:hAnsi="宋体" w:eastAsia="宋体" w:cs="宋体"/>
                <w:color w:val="auto"/>
                <w:sz w:val="24"/>
              </w:rPr>
            </w:pPr>
            <w:r>
              <w:rPr>
                <w:rFonts w:hint="eastAsia" w:ascii="宋体" w:hAnsi="宋体" w:eastAsia="宋体" w:cs="宋体"/>
                <w:color w:val="auto"/>
                <w:sz w:val="24"/>
              </w:rPr>
              <w:t>响应性</w:t>
            </w:r>
          </w:p>
          <w:p>
            <w:pPr>
              <w:ind w:left="-107" w:leftChars="-51" w:right="-153" w:rightChars="-73" w:firstLine="120" w:firstLineChars="50"/>
              <w:rPr>
                <w:rFonts w:ascii="宋体" w:hAnsi="宋体" w:eastAsia="宋体" w:cs="宋体"/>
                <w:color w:val="auto"/>
                <w:sz w:val="24"/>
              </w:rPr>
            </w:pPr>
            <w:r>
              <w:rPr>
                <w:rFonts w:hint="eastAsia" w:ascii="宋体" w:hAnsi="宋体" w:eastAsia="宋体" w:cs="宋体"/>
                <w:color w:val="auto"/>
                <w:sz w:val="24"/>
              </w:rPr>
              <w:t>评审</w:t>
            </w:r>
          </w:p>
          <w:p>
            <w:pPr>
              <w:ind w:left="15" w:leftChars="6" w:right="-153" w:rightChars="-73" w:hanging="2"/>
              <w:rPr>
                <w:rFonts w:ascii="宋体" w:hAnsi="宋体" w:eastAsia="宋体" w:cs="宋体"/>
                <w:color w:val="auto"/>
                <w:sz w:val="24"/>
              </w:rPr>
            </w:pPr>
            <w:r>
              <w:rPr>
                <w:rFonts w:hint="eastAsia" w:ascii="宋体" w:hAnsi="宋体" w:eastAsia="宋体" w:cs="宋体"/>
                <w:color w:val="auto"/>
                <w:sz w:val="24"/>
              </w:rPr>
              <w:t>标准</w:t>
            </w:r>
          </w:p>
        </w:tc>
        <w:tc>
          <w:tcPr>
            <w:tcW w:w="2469"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eastAsia="zh-CN"/>
              </w:rPr>
              <w:t>磋商</w:t>
            </w:r>
            <w:r>
              <w:rPr>
                <w:rFonts w:hint="eastAsia" w:ascii="宋体" w:hAnsi="宋体" w:eastAsia="宋体" w:cs="宋体"/>
                <w:color w:val="auto"/>
                <w:sz w:val="24"/>
              </w:rPr>
              <w:t>内容</w:t>
            </w:r>
          </w:p>
        </w:tc>
        <w:tc>
          <w:tcPr>
            <w:tcW w:w="5894" w:type="dxa"/>
            <w:vAlign w:val="center"/>
          </w:tcPr>
          <w:p>
            <w:pPr>
              <w:ind w:right="-107" w:rightChars="-51"/>
              <w:rPr>
                <w:rFonts w:ascii="宋体" w:hAnsi="宋体" w:eastAsia="宋体" w:cs="宋体"/>
                <w:color w:val="auto"/>
                <w:sz w:val="24"/>
              </w:rPr>
            </w:pPr>
            <w:r>
              <w:rPr>
                <w:rFonts w:hint="eastAsia" w:ascii="宋体" w:hAnsi="宋体" w:eastAsia="宋体" w:cs="宋体"/>
                <w:color w:val="auto"/>
                <w:sz w:val="24"/>
              </w:rPr>
              <w:t>符合第二章“磋商人须知”第1.1项规定，并在磋商函做出响应。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 xml:space="preserve">  工期</w:t>
            </w:r>
          </w:p>
        </w:tc>
        <w:tc>
          <w:tcPr>
            <w:tcW w:w="5894" w:type="dxa"/>
            <w:vAlign w:val="center"/>
          </w:tcPr>
          <w:p>
            <w:pPr>
              <w:ind w:right="-153" w:rightChars="-73"/>
              <w:rPr>
                <w:rFonts w:ascii="宋体" w:hAnsi="宋体" w:eastAsia="宋体" w:cs="宋体"/>
                <w:color w:val="auto"/>
                <w:sz w:val="24"/>
              </w:rPr>
            </w:pPr>
            <w:r>
              <w:rPr>
                <w:rFonts w:hint="eastAsia" w:ascii="宋体" w:hAnsi="宋体" w:cs="宋体"/>
                <w:color w:val="auto"/>
                <w:sz w:val="24"/>
                <w:lang w:val="en-US" w:eastAsia="zh-CN"/>
              </w:rPr>
              <w:t>120日历天，并</w:t>
            </w:r>
            <w:r>
              <w:rPr>
                <w:rFonts w:hint="eastAsia" w:ascii="宋体" w:hAnsi="宋体" w:eastAsia="宋体" w:cs="宋体"/>
                <w:color w:val="auto"/>
                <w:sz w:val="24"/>
              </w:rPr>
              <w:t>在磋商函中做出响应。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 xml:space="preserve">  工程质量</w:t>
            </w:r>
          </w:p>
        </w:tc>
        <w:tc>
          <w:tcPr>
            <w:tcW w:w="5894" w:type="dxa"/>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达到国家工程施工验收规范合格标准。</w:t>
            </w:r>
          </w:p>
          <w:p>
            <w:pPr>
              <w:ind w:right="-153" w:rightChars="-73"/>
              <w:rPr>
                <w:rFonts w:ascii="宋体" w:hAnsi="宋体" w:eastAsia="宋体" w:cs="宋体"/>
                <w:color w:val="auto"/>
                <w:sz w:val="24"/>
              </w:rPr>
            </w:pP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 xml:space="preserve">  磋商有效期</w:t>
            </w:r>
          </w:p>
        </w:tc>
        <w:tc>
          <w:tcPr>
            <w:tcW w:w="5894" w:type="dxa"/>
            <w:vAlign w:val="center"/>
          </w:tcPr>
          <w:p>
            <w:pPr>
              <w:ind w:right="-107" w:rightChars="-51"/>
              <w:rPr>
                <w:rFonts w:ascii="宋体" w:hAnsi="宋体" w:eastAsia="宋体" w:cs="宋体"/>
                <w:color w:val="auto"/>
                <w:sz w:val="24"/>
              </w:rPr>
            </w:pPr>
            <w:r>
              <w:rPr>
                <w:rFonts w:hint="eastAsia" w:ascii="宋体" w:hAnsi="宋体" w:eastAsia="宋体" w:cs="宋体"/>
                <w:color w:val="auto"/>
                <w:sz w:val="24"/>
              </w:rPr>
              <w:t>从投标截止之日起</w:t>
            </w:r>
            <w:r>
              <w:rPr>
                <w:rFonts w:hint="eastAsia" w:ascii="宋体" w:hAnsi="宋体" w:eastAsia="宋体" w:cs="宋体"/>
                <w:color w:val="auto"/>
                <w:sz w:val="24"/>
                <w:u w:val="single"/>
              </w:rPr>
              <w:t>60</w:t>
            </w:r>
            <w:r>
              <w:rPr>
                <w:rFonts w:hint="eastAsia" w:ascii="宋体" w:hAnsi="宋体" w:eastAsia="宋体" w:cs="宋体"/>
                <w:color w:val="auto"/>
                <w:sz w:val="24"/>
              </w:rPr>
              <w:t>日历天，并在磋商函做出响应。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 xml:space="preserve">  磋商保证金</w:t>
            </w:r>
          </w:p>
        </w:tc>
        <w:tc>
          <w:tcPr>
            <w:tcW w:w="5894" w:type="dxa"/>
            <w:vAlign w:val="center"/>
          </w:tcPr>
          <w:p>
            <w:pPr>
              <w:ind w:right="-153" w:rightChars="-73"/>
              <w:rPr>
                <w:rFonts w:ascii="宋体" w:hAnsi="宋体" w:eastAsia="宋体" w:cs="宋体"/>
                <w:color w:val="auto"/>
                <w:sz w:val="24"/>
              </w:rPr>
            </w:pPr>
            <w:r>
              <w:rPr>
                <w:rFonts w:hint="eastAsia" w:ascii="宋体" w:hAnsi="宋体" w:eastAsia="宋体" w:cs="宋体"/>
                <w:color w:val="auto"/>
                <w:kern w:val="0"/>
                <w:sz w:val="24"/>
              </w:rPr>
              <w:t>人民币：</w:t>
            </w:r>
            <w:r>
              <w:rPr>
                <w:rFonts w:hint="eastAsia" w:hAnsi="宋体" w:cs="Arial"/>
                <w:b/>
                <w:bCs/>
                <w:color w:val="auto"/>
                <w:lang w:val="en-US" w:eastAsia="zh-CN"/>
              </w:rPr>
              <w:t>叁万伍仟元整（¥35000.00）</w:t>
            </w:r>
            <w:r>
              <w:rPr>
                <w:rFonts w:hint="eastAsia" w:ascii="宋体" w:hAnsi="宋体" w:eastAsia="宋体" w:cs="宋体"/>
                <w:color w:val="auto"/>
                <w:sz w:val="24"/>
              </w:rPr>
              <w:t>，并在磋商函中做出响应。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 xml:space="preserve">  权利义务</w:t>
            </w:r>
          </w:p>
        </w:tc>
        <w:tc>
          <w:tcPr>
            <w:tcW w:w="5894" w:type="dxa"/>
            <w:vAlign w:val="center"/>
          </w:tcPr>
          <w:p>
            <w:pPr>
              <w:ind w:right="-107" w:rightChars="-51"/>
              <w:rPr>
                <w:rFonts w:ascii="宋体" w:hAnsi="宋体" w:eastAsia="宋体" w:cs="宋体"/>
                <w:color w:val="auto"/>
                <w:sz w:val="24"/>
              </w:rPr>
            </w:pPr>
            <w:r>
              <w:rPr>
                <w:rFonts w:hint="eastAsia" w:ascii="宋体" w:hAnsi="宋体" w:eastAsia="宋体" w:cs="宋体"/>
                <w:color w:val="auto"/>
                <w:sz w:val="24"/>
              </w:rPr>
              <w:t>在磋商函中做出响应，按磋商文件明确的合同条款及格式履行权利义务。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firstLine="240" w:firstLineChars="100"/>
              <w:rPr>
                <w:rFonts w:hint="eastAsia" w:ascii="宋体" w:hAnsi="宋体" w:eastAsia="宋体" w:cs="宋体"/>
                <w:color w:val="auto"/>
                <w:sz w:val="24"/>
                <w:lang w:eastAsia="zh-CN"/>
              </w:rPr>
            </w:pPr>
            <w:r>
              <w:rPr>
                <w:rFonts w:hint="eastAsia" w:ascii="宋体" w:hAnsi="宋体" w:cs="宋体"/>
                <w:color w:val="auto"/>
                <w:sz w:val="24"/>
                <w:lang w:eastAsia="zh-CN"/>
              </w:rPr>
              <w:t>技术标准和要求</w:t>
            </w:r>
          </w:p>
        </w:tc>
        <w:tc>
          <w:tcPr>
            <w:tcW w:w="5894" w:type="dxa"/>
            <w:vAlign w:val="center"/>
          </w:tcPr>
          <w:p>
            <w:pPr>
              <w:ind w:right="-107" w:rightChars="-51"/>
              <w:rPr>
                <w:rFonts w:hint="eastAsia" w:ascii="宋体" w:hAnsi="宋体" w:eastAsia="宋体" w:cs="宋体"/>
                <w:color w:val="auto"/>
                <w:sz w:val="24"/>
                <w:lang w:eastAsia="zh-CN"/>
              </w:rPr>
            </w:pPr>
            <w:r>
              <w:rPr>
                <w:rFonts w:hint="eastAsia" w:ascii="宋体" w:hAnsi="宋体" w:cs="宋体"/>
                <w:color w:val="auto"/>
                <w:sz w:val="24"/>
                <w:lang w:eastAsia="zh-CN"/>
              </w:rPr>
              <w:t>符合本项目磋商文件“技术标准和要求”的规定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firstLine="240" w:firstLineChars="100"/>
              <w:rPr>
                <w:rFonts w:ascii="宋体" w:hAnsi="宋体" w:eastAsia="宋体" w:cs="宋体"/>
                <w:color w:val="auto"/>
                <w:sz w:val="24"/>
              </w:rPr>
            </w:pPr>
            <w:r>
              <w:rPr>
                <w:rFonts w:hint="eastAsia" w:ascii="宋体" w:hAnsi="宋体" w:eastAsia="宋体" w:cs="宋体"/>
                <w:color w:val="auto"/>
                <w:sz w:val="24"/>
              </w:rPr>
              <w:t>有效报价</w:t>
            </w:r>
          </w:p>
        </w:tc>
        <w:tc>
          <w:tcPr>
            <w:tcW w:w="5894" w:type="dxa"/>
            <w:vAlign w:val="center"/>
          </w:tcPr>
          <w:p>
            <w:pPr>
              <w:ind w:right="-107" w:rightChars="-51"/>
              <w:rPr>
                <w:rFonts w:ascii="宋体" w:hAnsi="宋体" w:eastAsia="宋体" w:cs="宋体"/>
                <w:color w:val="auto"/>
                <w:sz w:val="24"/>
              </w:rPr>
            </w:pPr>
            <w:r>
              <w:rPr>
                <w:rFonts w:hint="eastAsia" w:ascii="宋体" w:hAnsi="宋体" w:eastAsia="宋体" w:cs="宋体"/>
                <w:color w:val="auto"/>
                <w:sz w:val="24"/>
              </w:rPr>
              <w:t>低于（含等于）上限控制价。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trPr>
        <w:tc>
          <w:tcPr>
            <w:tcW w:w="710" w:type="dxa"/>
            <w:vMerge w:val="continue"/>
            <w:vAlign w:val="center"/>
          </w:tcPr>
          <w:p>
            <w:pPr>
              <w:ind w:right="-153" w:rightChars="-73"/>
              <w:jc w:val="center"/>
              <w:rPr>
                <w:rFonts w:ascii="宋体" w:hAnsi="宋体" w:eastAsia="宋体" w:cs="宋体"/>
                <w:color w:val="auto"/>
                <w:sz w:val="24"/>
              </w:rPr>
            </w:pPr>
          </w:p>
        </w:tc>
        <w:tc>
          <w:tcPr>
            <w:tcW w:w="2469" w:type="dxa"/>
            <w:vAlign w:val="center"/>
          </w:tcPr>
          <w:p>
            <w:pPr>
              <w:ind w:right="-153" w:rightChars="-73"/>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已标价</w:t>
            </w:r>
            <w:r>
              <w:rPr>
                <w:rFonts w:hint="eastAsia" w:ascii="宋体" w:hAnsi="宋体" w:eastAsia="宋体" w:cs="宋体"/>
                <w:color w:val="auto"/>
                <w:sz w:val="24"/>
              </w:rPr>
              <w:t>工程量清单</w:t>
            </w:r>
          </w:p>
        </w:tc>
        <w:tc>
          <w:tcPr>
            <w:tcW w:w="5894" w:type="dxa"/>
            <w:vAlign w:val="center"/>
          </w:tcPr>
          <w:p>
            <w:pPr>
              <w:ind w:right="-153" w:rightChars="-73"/>
              <w:rPr>
                <w:rFonts w:hint="eastAsia" w:ascii="宋体" w:hAnsi="宋体" w:eastAsia="宋体" w:cs="宋体"/>
                <w:color w:val="auto"/>
                <w:sz w:val="24"/>
              </w:rPr>
            </w:pPr>
            <w:r>
              <w:rPr>
                <w:rFonts w:hint="eastAsia" w:ascii="宋体" w:hAnsi="宋体" w:eastAsia="宋体" w:cs="宋体"/>
                <w:color w:val="auto"/>
                <w:sz w:val="24"/>
              </w:rPr>
              <w:t>符合磋商文件给出的范围及数量。</w:t>
            </w:r>
          </w:p>
          <w:p>
            <w:pPr>
              <w:keepNext w:val="0"/>
              <w:keepLines w:val="0"/>
              <w:widowControl/>
              <w:suppressLineNumbers w:val="0"/>
              <w:jc w:val="left"/>
              <w:rPr>
                <w:rFonts w:hint="eastAsia" w:ascii="宋体" w:hAnsi="宋体" w:eastAsia="宋体" w:cs="宋体"/>
                <w:color w:val="auto"/>
                <w:sz w:val="24"/>
              </w:rPr>
            </w:pPr>
            <w:r>
              <w:rPr>
                <w:rFonts w:ascii="宋体" w:hAnsi="宋体" w:eastAsia="宋体" w:cs="宋体"/>
                <w:color w:val="auto"/>
                <w:kern w:val="0"/>
                <w:sz w:val="24"/>
                <w:szCs w:val="24"/>
                <w:lang w:val="en-US" w:eastAsia="zh-CN" w:bidi="ar"/>
              </w:rPr>
              <w:t>工程量清单中合价和</w:t>
            </w:r>
            <w:r>
              <w:rPr>
                <w:rFonts w:hint="eastAsia" w:ascii="宋体" w:hAnsi="宋体" w:cs="宋体"/>
                <w:color w:val="auto"/>
                <w:kern w:val="0"/>
                <w:sz w:val="24"/>
                <w:szCs w:val="24"/>
                <w:lang w:val="en-US" w:eastAsia="zh-CN" w:bidi="ar"/>
              </w:rPr>
              <w:t>单价</w:t>
            </w:r>
            <w:r>
              <w:rPr>
                <w:rFonts w:ascii="宋体" w:hAnsi="宋体" w:eastAsia="宋体" w:cs="宋体"/>
                <w:color w:val="auto"/>
                <w:kern w:val="0"/>
                <w:sz w:val="24"/>
                <w:szCs w:val="24"/>
                <w:lang w:val="en-US" w:eastAsia="zh-CN" w:bidi="ar"/>
              </w:rPr>
              <w:t>应取整至</w:t>
            </w:r>
            <w:r>
              <w:rPr>
                <w:rFonts w:hint="eastAsia" w:ascii="宋体" w:hAnsi="宋体" w:cs="宋体"/>
                <w:color w:val="auto"/>
                <w:kern w:val="0"/>
                <w:sz w:val="24"/>
                <w:szCs w:val="24"/>
                <w:lang w:val="en-US" w:eastAsia="zh-CN" w:bidi="ar"/>
              </w:rPr>
              <w:t>小数点后两位</w:t>
            </w:r>
            <w:r>
              <w:rPr>
                <w:rFonts w:ascii="宋体" w:hAnsi="宋体" w:eastAsia="宋体" w:cs="宋体"/>
                <w:color w:val="auto"/>
                <w:kern w:val="0"/>
                <w:sz w:val="24"/>
                <w:szCs w:val="24"/>
                <w:lang w:val="en-US" w:eastAsia="zh-CN" w:bidi="ar"/>
              </w:rPr>
              <w:t>，各项金额均以人民币（元）结算。</w:t>
            </w:r>
          </w:p>
        </w:tc>
      </w:tr>
    </w:tbl>
    <w:p>
      <w:pPr>
        <w:pStyle w:val="21"/>
        <w:numPr>
          <w:ilvl w:val="0"/>
          <w:numId w:val="10"/>
        </w:numPr>
        <w:spacing w:line="360" w:lineRule="auto"/>
        <w:rPr>
          <w:rFonts w:hint="eastAsia" w:hAnsi="宋体"/>
          <w:b/>
          <w:bCs/>
          <w:color w:val="000000"/>
        </w:rPr>
      </w:pPr>
      <w:bookmarkStart w:id="181" w:name="_Toc426551187"/>
      <w:bookmarkEnd w:id="181"/>
      <w:bookmarkStart w:id="182" w:name="_Toc426551293"/>
      <w:bookmarkEnd w:id="182"/>
      <w:bookmarkStart w:id="183" w:name="_Toc418671737"/>
      <w:bookmarkEnd w:id="183"/>
      <w:bookmarkStart w:id="184" w:name="_Toc433038768"/>
      <w:bookmarkEnd w:id="184"/>
      <w:bookmarkStart w:id="185" w:name="_Toc426551234"/>
      <w:bookmarkEnd w:id="185"/>
      <w:r>
        <w:rPr>
          <w:rFonts w:hint="eastAsia" w:hAnsi="宋体"/>
          <w:b/>
          <w:bCs/>
          <w:color w:val="000000"/>
        </w:rPr>
        <w:t>详细评审：</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（1）对进入详评的，采用百分制综合评分法。</w:t>
      </w:r>
    </w:p>
    <w:p>
      <w:pPr>
        <w:widowControl/>
        <w:spacing w:line="360" w:lineRule="auto"/>
        <w:jc w:val="left"/>
      </w:pPr>
      <w:r>
        <w:rPr>
          <w:rFonts w:hint="eastAsia" w:ascii="宋体" w:hAnsi="宋体" w:cs="宋体"/>
          <w:color w:val="auto"/>
          <w:szCs w:val="21"/>
        </w:rPr>
        <w:t>（2）计分办法（按四舍五入取至百分位）：</w:t>
      </w:r>
    </w:p>
    <w:p>
      <w:pPr>
        <w:pStyle w:val="21"/>
        <w:spacing w:line="360" w:lineRule="auto"/>
        <w:ind w:firstLine="42" w:firstLineChars="20"/>
        <w:rPr>
          <w:rFonts w:hAnsi="宋体" w:cs="宋体"/>
          <w:b/>
        </w:rPr>
      </w:pPr>
      <w:r>
        <w:rPr>
          <w:rFonts w:hint="eastAsia" w:hAnsi="宋体" w:cs="宋体"/>
          <w:b/>
        </w:rPr>
        <w:t>1、商务分………………………………………………………………………………4</w:t>
      </w:r>
      <w:r>
        <w:rPr>
          <w:rFonts w:hAnsi="宋体" w:cs="宋体"/>
          <w:b/>
        </w:rPr>
        <w:t>0</w:t>
      </w:r>
      <w:r>
        <w:rPr>
          <w:rFonts w:hint="eastAsia" w:hAnsi="宋体" w:cs="宋体"/>
          <w:b/>
        </w:rPr>
        <w:t>分</w:t>
      </w:r>
    </w:p>
    <w:p>
      <w:pPr>
        <w:pStyle w:val="21"/>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color w:val="auto"/>
          <w:sz w:val="21"/>
          <w:szCs w:val="21"/>
        </w:rPr>
        <w:t>（</w:t>
      </w:r>
      <w:r>
        <w:rPr>
          <w:rFonts w:hint="eastAsia" w:hAnsi="宋体" w:cs="宋体"/>
          <w:b w:val="0"/>
          <w:bCs/>
          <w:color w:val="auto"/>
          <w:sz w:val="21"/>
          <w:szCs w:val="21"/>
          <w:lang w:eastAsia="zh-CN"/>
        </w:rPr>
        <w:t>一</w:t>
      </w:r>
      <w:r>
        <w:rPr>
          <w:rFonts w:hint="eastAsia" w:ascii="宋体" w:hAnsi="宋体" w:eastAsia="宋体" w:cs="宋体"/>
          <w:b w:val="0"/>
          <w:bCs/>
          <w:color w:val="auto"/>
          <w:sz w:val="21"/>
          <w:szCs w:val="21"/>
        </w:rPr>
        <w:t>）参与</w:t>
      </w:r>
      <w:r>
        <w:rPr>
          <w:rFonts w:hint="eastAsia" w:hAnsi="宋体" w:eastAsia="宋体" w:cs="宋体"/>
          <w:b w:val="0"/>
          <w:bCs/>
          <w:color w:val="auto"/>
          <w:sz w:val="21"/>
          <w:szCs w:val="21"/>
          <w:lang w:eastAsia="zh-CN"/>
        </w:rPr>
        <w:t>磋商</w:t>
      </w:r>
      <w:r>
        <w:rPr>
          <w:rFonts w:hint="eastAsia" w:ascii="宋体" w:hAnsi="宋体" w:eastAsia="宋体" w:cs="宋体"/>
          <w:b w:val="0"/>
          <w:bCs/>
          <w:color w:val="auto"/>
          <w:sz w:val="21"/>
          <w:szCs w:val="21"/>
        </w:rPr>
        <w:t>的小型、微型企业提供本企业服务的（必须</w:t>
      </w:r>
      <w:r>
        <w:rPr>
          <w:rFonts w:hint="eastAsia" w:ascii="宋体" w:hAnsi="宋体" w:eastAsia="宋体" w:cs="宋体"/>
          <w:bCs/>
          <w:color w:val="auto"/>
          <w:sz w:val="21"/>
          <w:szCs w:val="21"/>
        </w:rPr>
        <w:t>符合以下情形，并以响应文件提供的有关证明材料为准）</w:t>
      </w:r>
      <w:r>
        <w:rPr>
          <w:rFonts w:hint="eastAsia" w:ascii="宋体" w:hAnsi="宋体" w:eastAsia="宋体" w:cs="宋体"/>
          <w:color w:val="auto"/>
          <w:sz w:val="21"/>
          <w:szCs w:val="21"/>
        </w:rPr>
        <w:t>，对供应商的价格给予</w:t>
      </w:r>
      <w:r>
        <w:rPr>
          <w:rFonts w:hint="eastAsia" w:hAnsi="宋体" w:cs="宋体"/>
          <w:color w:val="auto"/>
          <w:sz w:val="21"/>
          <w:szCs w:val="21"/>
          <w:lang w:val="en-US" w:eastAsia="zh-CN"/>
        </w:rPr>
        <w:t>8</w:t>
      </w:r>
      <w:r>
        <w:rPr>
          <w:rFonts w:hint="eastAsia" w:ascii="宋体" w:hAnsi="宋体" w:eastAsia="宋体" w:cs="宋体"/>
          <w:color w:val="auto"/>
          <w:sz w:val="21"/>
          <w:szCs w:val="21"/>
        </w:rPr>
        <w:t>%的扣除，扣除后的价格为评标价，即评标价=</w:t>
      </w:r>
      <w:r>
        <w:rPr>
          <w:rFonts w:hint="eastAsia" w:hAnsi="宋体" w:cs="宋体"/>
          <w:color w:val="auto"/>
          <w:sz w:val="21"/>
          <w:szCs w:val="21"/>
          <w:lang w:eastAsia="zh-CN"/>
        </w:rPr>
        <w:t>最终磋商报</w:t>
      </w:r>
      <w:r>
        <w:rPr>
          <w:rFonts w:hint="eastAsia" w:ascii="宋体" w:hAnsi="宋体" w:eastAsia="宋体" w:cs="宋体"/>
          <w:color w:val="auto"/>
          <w:sz w:val="21"/>
          <w:szCs w:val="21"/>
        </w:rPr>
        <w:t>价×（1-</w:t>
      </w:r>
      <w:r>
        <w:rPr>
          <w:rFonts w:hint="eastAsia" w:hAnsi="宋体" w:cs="宋体"/>
          <w:color w:val="auto"/>
          <w:sz w:val="21"/>
          <w:szCs w:val="21"/>
          <w:lang w:val="en-US" w:eastAsia="zh-CN"/>
        </w:rPr>
        <w:t>8</w:t>
      </w:r>
      <w:r>
        <w:rPr>
          <w:rFonts w:hint="eastAsia" w:ascii="宋体" w:hAnsi="宋体" w:eastAsia="宋体" w:cs="宋体"/>
          <w:color w:val="auto"/>
          <w:sz w:val="21"/>
          <w:szCs w:val="21"/>
        </w:rPr>
        <w:t>%）；否则，评标价=</w:t>
      </w:r>
      <w:r>
        <w:rPr>
          <w:rFonts w:hint="eastAsia" w:hAnsi="宋体" w:cs="宋体"/>
          <w:color w:val="auto"/>
          <w:sz w:val="21"/>
          <w:szCs w:val="21"/>
          <w:lang w:eastAsia="zh-CN"/>
        </w:rPr>
        <w:t>最终磋商报</w:t>
      </w:r>
      <w:r>
        <w:rPr>
          <w:rFonts w:hint="eastAsia" w:ascii="宋体" w:hAnsi="宋体" w:eastAsia="宋体" w:cs="宋体"/>
          <w:color w:val="auto"/>
          <w:sz w:val="21"/>
          <w:szCs w:val="21"/>
        </w:rPr>
        <w:t>价。</w:t>
      </w:r>
    </w:p>
    <w:p>
      <w:pPr>
        <w:pStyle w:val="21"/>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参与</w:t>
      </w:r>
      <w:r>
        <w:rPr>
          <w:rFonts w:hint="eastAsia" w:hAnsi="宋体" w:eastAsia="宋体" w:cs="宋体"/>
          <w:b w:val="0"/>
          <w:bCs/>
          <w:color w:val="auto"/>
          <w:sz w:val="21"/>
          <w:szCs w:val="21"/>
          <w:lang w:eastAsia="zh-CN"/>
        </w:rPr>
        <w:t>磋商</w:t>
      </w:r>
      <w:r>
        <w:rPr>
          <w:rFonts w:hint="eastAsia" w:ascii="宋体" w:hAnsi="宋体" w:eastAsia="宋体" w:cs="宋体"/>
          <w:b w:val="0"/>
          <w:bCs/>
          <w:color w:val="auto"/>
          <w:sz w:val="21"/>
          <w:szCs w:val="21"/>
        </w:rPr>
        <w:t>的小型、微型企业提供本企业服务的，必须同时提供以下资料：</w:t>
      </w:r>
    </w:p>
    <w:p>
      <w:pPr>
        <w:pStyle w:val="21"/>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a.小型、微型企业声明函；</w:t>
      </w:r>
    </w:p>
    <w:p>
      <w:pPr>
        <w:pStyle w:val="21"/>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符合《工业和信息化部、国家统计局、国家发展和改革委员会、财政部关于印发中小企业划型标准规定的通知》（工信部联企业[2011]300号）规定的证明材料；或符合《关于政府采购支持监狱企业发展有关问题的通知》(财库[2014]68号)规定的证明材料；或符合《关于促进残疾人就业政府采购政策的通知》(财库〔2017〕141号)规定的《残疾人福利性单位声明函》。</w:t>
      </w:r>
    </w:p>
    <w:p>
      <w:pPr>
        <w:pStyle w:val="21"/>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hAnsi="宋体" w:cs="宋体"/>
          <w:color w:val="auto"/>
          <w:sz w:val="21"/>
          <w:szCs w:val="21"/>
          <w:lang w:eastAsia="zh-CN"/>
        </w:rPr>
        <w:t>二</w:t>
      </w:r>
      <w:r>
        <w:rPr>
          <w:rFonts w:hint="eastAsia" w:ascii="宋体" w:hAnsi="宋体" w:eastAsia="宋体" w:cs="宋体"/>
          <w:color w:val="auto"/>
          <w:sz w:val="21"/>
          <w:szCs w:val="21"/>
        </w:rPr>
        <w:t>）商务分评分标准：</w:t>
      </w:r>
    </w:p>
    <w:p>
      <w:pPr>
        <w:pStyle w:val="2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color w:val="auto"/>
          <w:sz w:val="21"/>
          <w:szCs w:val="21"/>
          <w:lang w:val="en-US" w:eastAsia="zh-CN"/>
        </w:rPr>
      </w:pPr>
      <w:r>
        <w:rPr>
          <w:rFonts w:hint="eastAsia" w:hAnsi="宋体" w:cs="宋体"/>
          <w:color w:val="auto"/>
          <w:sz w:val="21"/>
          <w:szCs w:val="21"/>
          <w:lang w:val="en-US" w:eastAsia="zh-CN"/>
        </w:rPr>
        <w:t>（1）以磋商报价的评标基准价为满分，采用内插法计算，磋商人报价每高于评标基准价1％的扣1.5分，每低于评标基准价1％的扣1分，计算出磋商人的磋商报价得分。</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（2）有效报价磋商人的商务标得分=该磋商人的磋商报价得分。</w:t>
      </w:r>
    </w:p>
    <w:p>
      <w:pPr>
        <w:widowControl/>
        <w:spacing w:line="360" w:lineRule="auto"/>
        <w:ind w:firstLine="420"/>
        <w:jc w:val="left"/>
        <w:rPr>
          <w:rFonts w:hint="eastAsia" w:ascii="宋体" w:hAnsi="宋体" w:eastAsia="宋体" w:cs="宋体"/>
          <w:color w:val="auto"/>
          <w:sz w:val="21"/>
          <w:szCs w:val="21"/>
        </w:rPr>
      </w:pPr>
      <w:r>
        <w:rPr>
          <w:rFonts w:hint="eastAsia" w:ascii="宋体" w:hAnsi="宋体" w:cs="宋体"/>
          <w:color w:val="auto"/>
          <w:sz w:val="21"/>
          <w:szCs w:val="21"/>
          <w:lang w:eastAsia="zh-CN"/>
        </w:rPr>
        <w:t>（三）</w:t>
      </w:r>
      <w:r>
        <w:rPr>
          <w:rFonts w:hint="eastAsia" w:ascii="宋体" w:hAnsi="宋体" w:eastAsia="宋体" w:cs="宋体"/>
          <w:color w:val="auto"/>
          <w:sz w:val="21"/>
          <w:szCs w:val="21"/>
        </w:rPr>
        <w:t>磋商基准价的计算：</w:t>
      </w:r>
    </w:p>
    <w:p>
      <w:pPr>
        <w:widowControl/>
        <w:spacing w:line="360"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（1）有效报价范围：为</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总价低于或等于招标控制价，通过资格评审、响应性评审，经</w:t>
      </w:r>
      <w:r>
        <w:rPr>
          <w:rFonts w:hint="eastAsia" w:ascii="宋体" w:hAnsi="宋体" w:cs="宋体"/>
          <w:color w:val="auto"/>
          <w:sz w:val="21"/>
          <w:szCs w:val="21"/>
          <w:lang w:eastAsia="zh-CN"/>
        </w:rPr>
        <w:t>磋商小组</w:t>
      </w:r>
      <w:r>
        <w:rPr>
          <w:rFonts w:hint="eastAsia" w:ascii="宋体" w:hAnsi="宋体" w:eastAsia="宋体" w:cs="宋体"/>
          <w:color w:val="auto"/>
          <w:sz w:val="21"/>
          <w:szCs w:val="21"/>
        </w:rPr>
        <w:t>审定不存在严重不平衡、不合理、不低于其企业成本的磋商人</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总价。</w:t>
      </w:r>
    </w:p>
    <w:p>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（2）将有效报价范围内的磋商人，按其</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报价由低到高的顺序依次排出名次。</w:t>
      </w:r>
    </w:p>
    <w:p>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（3）有效报价的磋商人在10家以上的，从最高的</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报价开始去掉n家</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报价和从最低的</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报价开始去掉n家或n-1家（有效报价范围内磋商人家数为奇数时取n-1家）</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报价后（当出现两个或两个以上相同</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报价时，一并去掉），取10家（如不足10家，按实际家数计取）磋商人</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进入评标基准价计算范围，再取其中的有效报价的算术平均值作为评标基准价；有效报价的磋商人在10家（含10家）以下的，将全部有效报价的算术平均值作为评标基准价。n=（有效报价范围的磋商人家数－10）/2，n为四舍五入取整数。</w:t>
      </w:r>
    </w:p>
    <w:p>
      <w:pPr>
        <w:pStyle w:val="21"/>
        <w:spacing w:line="360" w:lineRule="auto"/>
        <w:ind w:firstLine="42" w:firstLineChars="20"/>
        <w:rPr>
          <w:rFonts w:hAnsi="宋体" w:cs="宋体"/>
          <w:b/>
          <w:color w:val="auto"/>
        </w:rPr>
      </w:pPr>
      <w:r>
        <w:rPr>
          <w:rFonts w:hint="eastAsia" w:hAnsi="宋体" w:cs="宋体"/>
          <w:b/>
          <w:color w:val="auto"/>
        </w:rPr>
        <w:t>2、企业人员业绩</w:t>
      </w:r>
      <w:r>
        <w:rPr>
          <w:rFonts w:hAnsi="宋体" w:cs="宋体"/>
          <w:b/>
          <w:color w:val="auto"/>
        </w:rPr>
        <w:t>分</w:t>
      </w:r>
      <w:r>
        <w:rPr>
          <w:rFonts w:hint="eastAsia" w:hAnsi="宋体" w:cs="宋体"/>
          <w:b/>
          <w:color w:val="auto"/>
        </w:rPr>
        <w:t>…………………………………………………………</w:t>
      </w:r>
      <w:r>
        <w:rPr>
          <w:rFonts w:hAnsi="宋体" w:cs="宋体"/>
          <w:b/>
          <w:color w:val="auto"/>
        </w:rPr>
        <w:t>10</w:t>
      </w:r>
      <w:r>
        <w:rPr>
          <w:rFonts w:hint="eastAsia" w:hAnsi="宋体" w:cs="宋体"/>
          <w:b/>
          <w:color w:val="auto"/>
        </w:rPr>
        <w:t>分</w:t>
      </w:r>
    </w:p>
    <w:p>
      <w:pPr>
        <w:spacing w:line="360" w:lineRule="auto"/>
        <w:ind w:firstLine="420" w:firstLineChars="200"/>
        <w:rPr>
          <w:rFonts w:ascii="宋体" w:hAnsi="宋体"/>
          <w:color w:val="auto"/>
        </w:rPr>
      </w:pPr>
      <w:r>
        <w:rPr>
          <w:rFonts w:hint="eastAsia" w:ascii="宋体" w:hAnsi="宋体"/>
          <w:color w:val="auto"/>
        </w:rPr>
        <w:t>（1</w:t>
      </w:r>
      <w:r>
        <w:rPr>
          <w:rFonts w:ascii="宋体" w:hAnsi="宋体"/>
          <w:color w:val="auto"/>
        </w:rPr>
        <w:t>）</w:t>
      </w:r>
      <w:r>
        <w:rPr>
          <w:rFonts w:hint="eastAsia" w:ascii="宋体" w:hAnsi="宋体"/>
          <w:color w:val="auto"/>
        </w:rPr>
        <w:t>人员</w:t>
      </w:r>
      <w:r>
        <w:rPr>
          <w:rFonts w:ascii="宋体" w:hAnsi="宋体"/>
          <w:color w:val="auto"/>
        </w:rPr>
        <w:t>情况分</w:t>
      </w:r>
      <w:r>
        <w:rPr>
          <w:rFonts w:hint="eastAsia" w:ascii="宋体" w:hAnsi="宋体"/>
          <w:color w:val="auto"/>
        </w:rPr>
        <w:t>（</w:t>
      </w:r>
      <w:r>
        <w:rPr>
          <w:rFonts w:ascii="宋体" w:hAnsi="宋体"/>
          <w:color w:val="auto"/>
        </w:rPr>
        <w:t>5</w:t>
      </w:r>
      <w:r>
        <w:rPr>
          <w:rFonts w:hint="eastAsia" w:ascii="宋体" w:hAnsi="宋体"/>
          <w:color w:val="auto"/>
        </w:rPr>
        <w:t>分）：</w:t>
      </w:r>
    </w:p>
    <w:p>
      <w:pPr>
        <w:spacing w:line="400" w:lineRule="exact"/>
        <w:ind w:firstLine="420" w:firstLineChars="200"/>
        <w:rPr>
          <w:rFonts w:ascii="宋体" w:hAnsi="宋体"/>
          <w:color w:val="auto"/>
        </w:rPr>
      </w:pPr>
      <w:r>
        <w:rPr>
          <w:rFonts w:hint="eastAsia" w:ascii="宋体" w:hAnsi="宋体"/>
          <w:color w:val="auto"/>
        </w:rPr>
        <w:t>①拟派本项目的技术负责人具有</w:t>
      </w:r>
      <w:r>
        <w:rPr>
          <w:rFonts w:hint="eastAsia" w:ascii="宋体" w:hAnsi="宋体"/>
          <w:color w:val="auto"/>
          <w:lang w:val="en-US" w:eastAsia="zh-CN"/>
        </w:rPr>
        <w:t>建筑工程</w:t>
      </w:r>
      <w:r>
        <w:rPr>
          <w:rFonts w:hint="eastAsia" w:ascii="宋体" w:hAnsi="宋体"/>
          <w:color w:val="auto"/>
          <w:lang w:eastAsia="zh-CN"/>
        </w:rPr>
        <w:t>相关</w:t>
      </w:r>
      <w:r>
        <w:rPr>
          <w:rFonts w:ascii="宋体" w:hAnsi="宋体"/>
          <w:color w:val="auto"/>
        </w:rPr>
        <w:t>专业</w:t>
      </w:r>
      <w:r>
        <w:rPr>
          <w:rFonts w:hint="eastAsia" w:ascii="宋体" w:hAnsi="宋体"/>
          <w:color w:val="auto"/>
          <w:lang w:val="en-US" w:eastAsia="zh-CN"/>
        </w:rPr>
        <w:t>中级</w:t>
      </w:r>
      <w:r>
        <w:rPr>
          <w:rFonts w:hint="eastAsia" w:ascii="宋体" w:hAnsi="宋体"/>
          <w:color w:val="auto"/>
        </w:rPr>
        <w:t>职称的得3分，满分3分。</w:t>
      </w:r>
    </w:p>
    <w:p>
      <w:pPr>
        <w:spacing w:line="400" w:lineRule="exact"/>
        <w:ind w:firstLine="420" w:firstLineChars="200"/>
        <w:rPr>
          <w:rFonts w:ascii="宋体" w:hAnsi="宋体"/>
          <w:color w:val="auto"/>
        </w:rPr>
      </w:pPr>
      <w:r>
        <w:rPr>
          <w:rFonts w:hint="eastAsia" w:ascii="宋体" w:hAnsi="宋体"/>
          <w:color w:val="auto"/>
        </w:rPr>
        <w:t>②拟派本项目的项目经理具有工程师及以上职称的，得2分，满分2分。</w:t>
      </w:r>
    </w:p>
    <w:p>
      <w:pPr>
        <w:spacing w:line="400" w:lineRule="exact"/>
        <w:ind w:firstLine="315" w:firstLineChars="15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企业业绩</w:t>
      </w:r>
      <w:r>
        <w:rPr>
          <w:rFonts w:ascii="宋体" w:hAnsi="宋体"/>
          <w:color w:val="auto"/>
        </w:rPr>
        <w:t>分</w:t>
      </w:r>
      <w:r>
        <w:rPr>
          <w:rFonts w:hint="eastAsia" w:ascii="宋体" w:hAnsi="宋体"/>
          <w:color w:val="auto"/>
        </w:rPr>
        <w:t>（</w:t>
      </w:r>
      <w:r>
        <w:rPr>
          <w:rFonts w:ascii="宋体" w:hAnsi="宋体"/>
          <w:color w:val="auto"/>
        </w:rPr>
        <w:t>5</w:t>
      </w:r>
      <w:r>
        <w:rPr>
          <w:rFonts w:hint="eastAsia" w:ascii="宋体" w:hAnsi="宋体"/>
          <w:color w:val="auto"/>
        </w:rPr>
        <w:t>分）</w:t>
      </w:r>
      <w:r>
        <w:rPr>
          <w:rFonts w:ascii="宋体" w:hAnsi="宋体"/>
          <w:color w:val="auto"/>
        </w:rPr>
        <w:t>：</w:t>
      </w:r>
    </w:p>
    <w:p>
      <w:pPr>
        <w:spacing w:line="400" w:lineRule="exact"/>
        <w:ind w:firstLine="315" w:firstLineChars="150"/>
        <w:rPr>
          <w:rFonts w:hint="eastAsia" w:ascii="宋体" w:hAnsi="宋体" w:eastAsia="宋体" w:cs="宋体"/>
          <w:color w:val="auto"/>
          <w:sz w:val="21"/>
          <w:szCs w:val="21"/>
        </w:rPr>
      </w:pPr>
      <w:r>
        <w:rPr>
          <w:rFonts w:ascii="宋体" w:hAnsi="宋体"/>
          <w:color w:val="auto"/>
        </w:rPr>
        <w:t>企业</w:t>
      </w:r>
      <w:r>
        <w:rPr>
          <w:rFonts w:hint="eastAsia" w:ascii="宋体" w:hAnsi="宋体"/>
          <w:color w:val="auto"/>
          <w:lang w:val="en-US" w:eastAsia="zh-CN"/>
        </w:rPr>
        <w:t>2017年以来</w:t>
      </w:r>
      <w:r>
        <w:rPr>
          <w:rFonts w:ascii="宋体" w:hAnsi="宋体"/>
          <w:color w:val="auto"/>
        </w:rPr>
        <w:t>承建或完成</w:t>
      </w:r>
      <w:r>
        <w:rPr>
          <w:rFonts w:hint="eastAsia" w:ascii="宋体" w:hAnsi="宋体"/>
          <w:color w:val="auto"/>
          <w:lang w:val="en-US" w:eastAsia="zh-CN"/>
        </w:rPr>
        <w:t>1</w:t>
      </w:r>
      <w:r>
        <w:rPr>
          <w:rFonts w:hint="eastAsia" w:ascii="宋体" w:hAnsi="宋体"/>
          <w:color w:val="auto"/>
        </w:rPr>
        <w:t>00万及以上</w:t>
      </w:r>
      <w:r>
        <w:rPr>
          <w:rFonts w:hint="eastAsia" w:ascii="宋体" w:hAnsi="宋体"/>
          <w:color w:val="auto"/>
          <w:lang w:val="en-US" w:eastAsia="zh-CN"/>
        </w:rPr>
        <w:t>建筑工程</w:t>
      </w:r>
      <w:r>
        <w:rPr>
          <w:rFonts w:hint="eastAsia" w:ascii="宋体" w:hAnsi="宋体"/>
          <w:color w:val="auto"/>
        </w:rPr>
        <w:t>的项目，每提供一个业绩得1分，</w:t>
      </w:r>
      <w:r>
        <w:rPr>
          <w:rFonts w:hint="eastAsia"/>
          <w:color w:val="auto"/>
        </w:rPr>
        <w:t>需提供中标</w:t>
      </w:r>
      <w:r>
        <w:rPr>
          <w:rFonts w:hint="eastAsia"/>
          <w:color w:val="auto"/>
          <w:lang w:eastAsia="zh-CN"/>
        </w:rPr>
        <w:t>（成交）</w:t>
      </w:r>
      <w:r>
        <w:rPr>
          <w:rFonts w:hint="eastAsia"/>
          <w:color w:val="auto"/>
        </w:rPr>
        <w:t>通知书</w:t>
      </w:r>
      <w:r>
        <w:rPr>
          <w:rFonts w:hint="eastAsia"/>
          <w:color w:val="auto"/>
          <w:lang w:eastAsia="zh-CN"/>
        </w:rPr>
        <w:t>复印件</w:t>
      </w:r>
      <w:r>
        <w:rPr>
          <w:rFonts w:hint="eastAsia"/>
          <w:color w:val="auto"/>
          <w:lang w:val="en-US" w:eastAsia="zh-CN"/>
        </w:rPr>
        <w:t>或</w:t>
      </w:r>
      <w:r>
        <w:rPr>
          <w:rFonts w:hint="eastAsia"/>
          <w:color w:val="auto"/>
        </w:rPr>
        <w:t>合同协议书</w:t>
      </w:r>
      <w:r>
        <w:rPr>
          <w:rFonts w:hint="eastAsia"/>
          <w:color w:val="auto"/>
          <w:lang w:eastAsia="zh-CN"/>
        </w:rPr>
        <w:t>复印件</w:t>
      </w:r>
      <w:r>
        <w:rPr>
          <w:rFonts w:hint="eastAsia"/>
          <w:color w:val="auto"/>
        </w:rPr>
        <w:t>，或者提供验收单</w:t>
      </w:r>
      <w:r>
        <w:rPr>
          <w:rFonts w:hint="eastAsia"/>
          <w:color w:val="auto"/>
          <w:lang w:eastAsia="zh-CN"/>
        </w:rPr>
        <w:t>复印件</w:t>
      </w:r>
      <w:r>
        <w:rPr>
          <w:rFonts w:hint="eastAsia"/>
          <w:color w:val="auto"/>
        </w:rPr>
        <w:t>，三者提供其一即可，</w:t>
      </w:r>
      <w:r>
        <w:rPr>
          <w:rFonts w:ascii="宋体" w:hAnsi="宋体"/>
          <w:color w:val="auto"/>
        </w:rPr>
        <w:t>本项满分5分</w:t>
      </w:r>
      <w:r>
        <w:rPr>
          <w:rFonts w:hint="eastAsia" w:ascii="宋体" w:hAnsi="宋体"/>
          <w:color w:val="auto"/>
        </w:rPr>
        <w:t>。</w:t>
      </w:r>
    </w:p>
    <w:p>
      <w:pPr>
        <w:pStyle w:val="21"/>
        <w:spacing w:line="360" w:lineRule="auto"/>
        <w:rPr>
          <w:rFonts w:hAnsi="宋体" w:cs="宋体"/>
          <w:b/>
          <w:color w:val="auto"/>
        </w:rPr>
      </w:pPr>
      <w:r>
        <w:rPr>
          <w:rFonts w:hint="eastAsia" w:hAnsi="宋体" w:cs="宋体"/>
          <w:b/>
          <w:color w:val="auto"/>
        </w:rPr>
        <w:t>3、技术服务方案分…………………………………………………………………………50分</w:t>
      </w:r>
    </w:p>
    <w:tbl>
      <w:tblPr>
        <w:tblStyle w:val="39"/>
        <w:tblW w:w="96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985"/>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restart"/>
            <w:vAlign w:val="center"/>
          </w:tcPr>
          <w:p>
            <w:pPr>
              <w:spacing w:line="360" w:lineRule="auto"/>
              <w:jc w:val="center"/>
              <w:rPr>
                <w:rFonts w:ascii="宋体" w:hAnsi="宋体"/>
                <w:color w:val="auto"/>
              </w:rPr>
            </w:pPr>
            <w:r>
              <w:rPr>
                <w:rFonts w:hint="eastAsia" w:ascii="宋体" w:hAnsi="宋体"/>
                <w:color w:val="auto"/>
              </w:rPr>
              <w:t>技术服务方案</w:t>
            </w:r>
          </w:p>
          <w:p>
            <w:pPr>
              <w:spacing w:line="360" w:lineRule="auto"/>
              <w:jc w:val="center"/>
              <w:rPr>
                <w:rFonts w:ascii="宋体" w:hAnsi="宋体"/>
                <w:color w:val="auto"/>
              </w:rPr>
            </w:pPr>
            <w:r>
              <w:rPr>
                <w:rFonts w:hint="eastAsia" w:ascii="宋体" w:hAnsi="宋体"/>
                <w:color w:val="auto"/>
              </w:rPr>
              <w:t>（50分）</w:t>
            </w:r>
          </w:p>
        </w:tc>
        <w:tc>
          <w:tcPr>
            <w:tcW w:w="1985" w:type="dxa"/>
            <w:vAlign w:val="center"/>
          </w:tcPr>
          <w:p>
            <w:pPr>
              <w:spacing w:line="360" w:lineRule="auto"/>
              <w:jc w:val="center"/>
              <w:rPr>
                <w:rFonts w:ascii="宋体" w:hAnsi="宋体"/>
                <w:color w:val="auto"/>
              </w:rPr>
            </w:pPr>
            <w:r>
              <w:rPr>
                <w:rFonts w:ascii="宋体" w:hAnsi="宋体"/>
                <w:color w:val="auto"/>
              </w:rPr>
              <w:t>主要施工方法</w:t>
            </w:r>
          </w:p>
          <w:p>
            <w:pPr>
              <w:spacing w:line="360" w:lineRule="auto"/>
              <w:jc w:val="center"/>
              <w:rPr>
                <w:rFonts w:ascii="宋体" w:hAnsi="宋体"/>
                <w:color w:val="auto"/>
              </w:rPr>
            </w:pPr>
            <w:r>
              <w:rPr>
                <w:rFonts w:hint="eastAsia" w:ascii="宋体" w:hAnsi="宋体"/>
                <w:color w:val="auto"/>
              </w:rPr>
              <w:t>（5分）</w:t>
            </w:r>
          </w:p>
        </w:tc>
        <w:tc>
          <w:tcPr>
            <w:tcW w:w="6520" w:type="dxa"/>
          </w:tcPr>
          <w:p>
            <w:pPr>
              <w:widowControl/>
              <w:spacing w:line="360" w:lineRule="auto"/>
              <w:rPr>
                <w:rFonts w:ascii="宋体" w:hAnsi="宋体"/>
                <w:color w:val="auto"/>
              </w:rPr>
            </w:pPr>
            <w:r>
              <w:rPr>
                <w:rFonts w:hint="eastAsia" w:ascii="宋体" w:hAnsi="宋体"/>
                <w:color w:val="auto"/>
              </w:rPr>
              <w:t>（优得3.6-5分；良得2-3.5分；一般得1.0-1.9分，差得0-0.9分）</w:t>
            </w:r>
          </w:p>
          <w:p>
            <w:pPr>
              <w:spacing w:line="360" w:lineRule="auto"/>
              <w:rPr>
                <w:rFonts w:ascii="宋体" w:hAnsi="宋体"/>
                <w:color w:val="auto"/>
              </w:rPr>
            </w:pPr>
            <w:r>
              <w:rPr>
                <w:rFonts w:ascii="宋体" w:hAnsi="宋体"/>
                <w:color w:val="auto"/>
              </w:rPr>
              <w:t>各主要分部施工方法符合项目实际，须有详尽的施工技术方案，工艺先进、方法科学合理、可行，能指导具体施工并确保安全。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continue"/>
          </w:tcPr>
          <w:p>
            <w:pPr>
              <w:widowControl/>
              <w:spacing w:line="360" w:lineRule="auto"/>
              <w:rPr>
                <w:rFonts w:ascii="宋体" w:hAnsi="宋体"/>
                <w:color w:val="auto"/>
              </w:rPr>
            </w:pPr>
          </w:p>
        </w:tc>
        <w:tc>
          <w:tcPr>
            <w:tcW w:w="1985" w:type="dxa"/>
            <w:vAlign w:val="center"/>
          </w:tcPr>
          <w:p>
            <w:pPr>
              <w:widowControl/>
              <w:spacing w:line="360" w:lineRule="auto"/>
              <w:jc w:val="center"/>
              <w:rPr>
                <w:rFonts w:ascii="宋体" w:hAnsi="宋体"/>
                <w:color w:val="auto"/>
              </w:rPr>
            </w:pPr>
            <w:r>
              <w:rPr>
                <w:rFonts w:ascii="宋体" w:hAnsi="宋体"/>
                <w:color w:val="auto"/>
              </w:rPr>
              <w:t>拟投入的主要物资计划</w:t>
            </w:r>
            <w:r>
              <w:rPr>
                <w:rFonts w:hint="eastAsia" w:ascii="宋体" w:hAnsi="宋体"/>
                <w:color w:val="auto"/>
              </w:rPr>
              <w:t>（5分）</w:t>
            </w:r>
          </w:p>
        </w:tc>
        <w:tc>
          <w:tcPr>
            <w:tcW w:w="6520" w:type="dxa"/>
            <w:vAlign w:val="center"/>
          </w:tcPr>
          <w:p>
            <w:pPr>
              <w:widowControl/>
              <w:spacing w:line="360" w:lineRule="auto"/>
              <w:rPr>
                <w:rFonts w:ascii="宋体" w:hAnsi="宋体"/>
                <w:color w:val="auto"/>
              </w:rPr>
            </w:pPr>
            <w:r>
              <w:rPr>
                <w:rFonts w:hint="eastAsia" w:ascii="宋体" w:hAnsi="宋体"/>
                <w:color w:val="auto"/>
              </w:rPr>
              <w:t>（优得3.6-5分；良得2-3.5分；一般得1.0-1.9分，差得0-0.9分）</w:t>
            </w:r>
          </w:p>
          <w:p>
            <w:pPr>
              <w:widowControl/>
              <w:spacing w:line="360" w:lineRule="auto"/>
              <w:rPr>
                <w:rFonts w:ascii="宋体" w:hAnsi="宋体"/>
                <w:color w:val="auto"/>
              </w:rPr>
            </w:pPr>
            <w:r>
              <w:rPr>
                <w:rFonts w:ascii="宋体" w:hAnsi="宋体"/>
                <w:color w:val="auto"/>
              </w:rPr>
              <w:t>投入的施工材料有详细的组织计划且计划周密，数量、选型配置、进场时间安排合理，满足施工需要。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宋体" w:hAnsi="宋体"/>
                <w:color w:val="auto"/>
              </w:rPr>
            </w:pPr>
          </w:p>
        </w:tc>
        <w:tc>
          <w:tcPr>
            <w:tcW w:w="1985" w:type="dxa"/>
            <w:vAlign w:val="center"/>
          </w:tcPr>
          <w:p>
            <w:pPr>
              <w:widowControl/>
              <w:spacing w:line="360" w:lineRule="auto"/>
              <w:jc w:val="center"/>
              <w:rPr>
                <w:rFonts w:ascii="宋体" w:hAnsi="宋体"/>
                <w:color w:val="auto"/>
              </w:rPr>
            </w:pPr>
            <w:r>
              <w:rPr>
                <w:rFonts w:ascii="宋体" w:hAnsi="宋体"/>
                <w:color w:val="auto"/>
              </w:rPr>
              <w:t>拟投入的主要施工机械、设备计划</w:t>
            </w:r>
          </w:p>
          <w:p>
            <w:pPr>
              <w:widowControl/>
              <w:spacing w:line="360" w:lineRule="auto"/>
              <w:jc w:val="center"/>
              <w:rPr>
                <w:rFonts w:ascii="宋体" w:hAnsi="宋体"/>
                <w:color w:val="auto"/>
              </w:rPr>
            </w:pPr>
            <w:r>
              <w:rPr>
                <w:rFonts w:hint="eastAsia" w:ascii="宋体" w:hAnsi="宋体"/>
                <w:color w:val="auto"/>
              </w:rPr>
              <w:t>（5分）</w:t>
            </w:r>
          </w:p>
        </w:tc>
        <w:tc>
          <w:tcPr>
            <w:tcW w:w="6520" w:type="dxa"/>
            <w:vAlign w:val="center"/>
          </w:tcPr>
          <w:p>
            <w:pPr>
              <w:widowControl/>
              <w:spacing w:line="360" w:lineRule="auto"/>
              <w:rPr>
                <w:rFonts w:ascii="宋体" w:hAnsi="宋体"/>
                <w:color w:val="auto"/>
              </w:rPr>
            </w:pPr>
            <w:r>
              <w:rPr>
                <w:rFonts w:hint="eastAsia" w:ascii="宋体" w:hAnsi="宋体"/>
                <w:color w:val="auto"/>
              </w:rPr>
              <w:t>（优得3.6-5分；良得2-3.5分；一般得1.0-1.9分，差得0-0.9分）</w:t>
            </w:r>
          </w:p>
          <w:p>
            <w:pPr>
              <w:widowControl/>
              <w:spacing w:line="360" w:lineRule="auto"/>
              <w:rPr>
                <w:rFonts w:ascii="宋体" w:hAnsi="宋体"/>
                <w:color w:val="auto"/>
              </w:rPr>
            </w:pPr>
            <w:r>
              <w:rPr>
                <w:rFonts w:ascii="宋体" w:hAnsi="宋体"/>
                <w:color w:val="auto"/>
              </w:rPr>
              <w:t>投入的施工机械、设备、机具有详细的组织计划且计划周密，设备数量、选型配置、进场时间安排合理，满足施工需要。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宋体" w:hAnsi="宋体"/>
                <w:color w:val="auto"/>
              </w:rPr>
            </w:pPr>
          </w:p>
        </w:tc>
        <w:tc>
          <w:tcPr>
            <w:tcW w:w="1985" w:type="dxa"/>
            <w:vAlign w:val="center"/>
          </w:tcPr>
          <w:p>
            <w:pPr>
              <w:widowControl/>
              <w:spacing w:line="360" w:lineRule="auto"/>
              <w:jc w:val="center"/>
              <w:rPr>
                <w:rFonts w:ascii="宋体" w:hAnsi="宋体"/>
                <w:color w:val="auto"/>
              </w:rPr>
            </w:pPr>
            <w:r>
              <w:rPr>
                <w:rFonts w:ascii="宋体" w:hAnsi="宋体"/>
                <w:color w:val="auto"/>
              </w:rPr>
              <w:t>劳动力安排计划</w:t>
            </w:r>
          </w:p>
          <w:p>
            <w:pPr>
              <w:widowControl/>
              <w:spacing w:line="360" w:lineRule="auto"/>
              <w:jc w:val="center"/>
              <w:rPr>
                <w:rFonts w:ascii="宋体" w:hAnsi="宋体"/>
                <w:color w:val="auto"/>
              </w:rPr>
            </w:pPr>
            <w:r>
              <w:rPr>
                <w:rFonts w:hint="eastAsia" w:ascii="宋体" w:hAnsi="宋体"/>
                <w:color w:val="auto"/>
              </w:rPr>
              <w:t>（5分）</w:t>
            </w:r>
          </w:p>
        </w:tc>
        <w:tc>
          <w:tcPr>
            <w:tcW w:w="6520" w:type="dxa"/>
            <w:vAlign w:val="center"/>
          </w:tcPr>
          <w:p>
            <w:pPr>
              <w:widowControl/>
              <w:spacing w:line="360" w:lineRule="auto"/>
              <w:rPr>
                <w:rFonts w:ascii="宋体" w:hAnsi="宋体"/>
                <w:color w:val="auto"/>
              </w:rPr>
            </w:pPr>
            <w:r>
              <w:rPr>
                <w:rFonts w:hint="eastAsia" w:ascii="宋体" w:hAnsi="宋体"/>
                <w:color w:val="auto"/>
              </w:rPr>
              <w:t>（优得3.6-5分；良得2-3.5分；一般得1.0-1.9分，差得0-0.9分）</w:t>
            </w:r>
          </w:p>
          <w:p>
            <w:pPr>
              <w:widowControl/>
              <w:spacing w:line="360" w:lineRule="auto"/>
              <w:rPr>
                <w:rFonts w:ascii="宋体" w:hAnsi="宋体"/>
                <w:color w:val="auto"/>
              </w:rPr>
            </w:pPr>
            <w:r>
              <w:rPr>
                <w:rFonts w:ascii="宋体" w:hAnsi="宋体"/>
                <w:color w:val="auto"/>
              </w:rPr>
              <w:t>各主要施工工序应有详细周密的劳动力安排计划，有各工种劳动力安排计划，劳动力投入合理，满足施工需要。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宋体" w:hAnsi="宋体"/>
                <w:color w:val="auto"/>
              </w:rPr>
            </w:pPr>
          </w:p>
        </w:tc>
        <w:tc>
          <w:tcPr>
            <w:tcW w:w="1985" w:type="dxa"/>
            <w:vAlign w:val="center"/>
          </w:tcPr>
          <w:p>
            <w:pPr>
              <w:widowControl/>
              <w:spacing w:line="360" w:lineRule="auto"/>
              <w:jc w:val="center"/>
              <w:rPr>
                <w:rFonts w:ascii="宋体" w:hAnsi="宋体"/>
                <w:color w:val="auto"/>
              </w:rPr>
            </w:pPr>
            <w:r>
              <w:rPr>
                <w:rFonts w:ascii="宋体" w:hAnsi="宋体"/>
                <w:color w:val="auto"/>
              </w:rPr>
              <w:t>确保工程质量的技术组织措施</w:t>
            </w:r>
          </w:p>
          <w:p>
            <w:pPr>
              <w:widowControl/>
              <w:spacing w:line="360" w:lineRule="auto"/>
              <w:jc w:val="center"/>
              <w:rPr>
                <w:rFonts w:ascii="宋体" w:hAnsi="宋体"/>
                <w:color w:val="auto"/>
              </w:rPr>
            </w:pPr>
            <w:r>
              <w:rPr>
                <w:rFonts w:hint="eastAsia" w:ascii="宋体" w:hAnsi="宋体"/>
                <w:color w:val="auto"/>
              </w:rPr>
              <w:t>（5分）</w:t>
            </w:r>
          </w:p>
        </w:tc>
        <w:tc>
          <w:tcPr>
            <w:tcW w:w="6520" w:type="dxa"/>
            <w:vAlign w:val="center"/>
          </w:tcPr>
          <w:p>
            <w:pPr>
              <w:widowControl/>
              <w:spacing w:line="360" w:lineRule="auto"/>
              <w:rPr>
                <w:rFonts w:ascii="宋体" w:hAnsi="宋体"/>
                <w:color w:val="auto"/>
              </w:rPr>
            </w:pPr>
            <w:r>
              <w:rPr>
                <w:rFonts w:hint="eastAsia" w:ascii="宋体" w:hAnsi="宋体"/>
                <w:color w:val="auto"/>
              </w:rPr>
              <w:t>（优得3.6-5分；良得2-3.5分；一般得1.0-1.9分，差得0-0.9分）</w:t>
            </w:r>
          </w:p>
          <w:p>
            <w:pPr>
              <w:widowControl/>
              <w:spacing w:line="360" w:lineRule="auto"/>
              <w:rPr>
                <w:rFonts w:ascii="宋体" w:hAnsi="宋体"/>
                <w:color w:val="auto"/>
              </w:rPr>
            </w:pPr>
            <w:r>
              <w:rPr>
                <w:rFonts w:ascii="宋体" w:hAnsi="宋体"/>
                <w:color w:val="auto"/>
              </w:rPr>
              <w:t>应有专门的质量技术管理班子和制度，且人员配备合理，制度健全。主要工序应有质量技术保证措施和手段，自控体系完整，能有效保证技术质量，达到承诺的质量标准。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宋体" w:hAnsi="宋体"/>
                <w:color w:val="auto"/>
              </w:rPr>
            </w:pPr>
          </w:p>
        </w:tc>
        <w:tc>
          <w:tcPr>
            <w:tcW w:w="1985" w:type="dxa"/>
            <w:vAlign w:val="center"/>
          </w:tcPr>
          <w:p>
            <w:pPr>
              <w:widowControl/>
              <w:spacing w:line="360" w:lineRule="auto"/>
              <w:jc w:val="center"/>
              <w:rPr>
                <w:rFonts w:ascii="宋体" w:hAnsi="宋体"/>
                <w:color w:val="auto"/>
              </w:rPr>
            </w:pPr>
            <w:r>
              <w:rPr>
                <w:rFonts w:ascii="宋体" w:hAnsi="宋体"/>
                <w:color w:val="auto"/>
              </w:rPr>
              <w:t>确保安全生产的技术组织措施</w:t>
            </w:r>
          </w:p>
          <w:p>
            <w:pPr>
              <w:widowControl/>
              <w:spacing w:line="360" w:lineRule="auto"/>
              <w:jc w:val="center"/>
              <w:rPr>
                <w:rFonts w:ascii="宋体" w:hAnsi="宋体"/>
                <w:color w:val="auto"/>
              </w:rPr>
            </w:pPr>
            <w:r>
              <w:rPr>
                <w:rFonts w:hint="eastAsia" w:ascii="宋体" w:hAnsi="宋体"/>
                <w:color w:val="auto"/>
              </w:rPr>
              <w:t>（5分）</w:t>
            </w:r>
          </w:p>
        </w:tc>
        <w:tc>
          <w:tcPr>
            <w:tcW w:w="6520" w:type="dxa"/>
            <w:vAlign w:val="center"/>
          </w:tcPr>
          <w:p>
            <w:pPr>
              <w:widowControl/>
              <w:spacing w:line="360" w:lineRule="auto"/>
              <w:rPr>
                <w:rFonts w:ascii="宋体" w:hAnsi="宋体"/>
                <w:color w:val="auto"/>
              </w:rPr>
            </w:pPr>
            <w:r>
              <w:rPr>
                <w:rFonts w:hint="eastAsia" w:ascii="宋体" w:hAnsi="宋体"/>
                <w:color w:val="auto"/>
              </w:rPr>
              <w:t>（优得3.6-5分；良得2-3.5分；一般得1.0-1.9分，差得0-0.9分）</w:t>
            </w:r>
          </w:p>
          <w:p>
            <w:pPr>
              <w:widowControl/>
              <w:spacing w:line="360" w:lineRule="auto"/>
              <w:rPr>
                <w:rFonts w:ascii="宋体" w:hAnsi="宋体"/>
                <w:color w:val="auto"/>
              </w:rPr>
            </w:pPr>
            <w:r>
              <w:rPr>
                <w:rFonts w:ascii="宋体" w:hAnsi="宋体"/>
                <w:color w:val="auto"/>
              </w:rPr>
              <w:t>应有专门的安全管理人员和制度，且人员配备合理，制度健全，各道工序安全技术措施针对性强，符合实际且满足有关安全技术标准要求。现场防火、应急救援、社会治安安全措施得力。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宋体" w:hAnsi="宋体"/>
                <w:color w:val="auto"/>
              </w:rPr>
            </w:pPr>
          </w:p>
        </w:tc>
        <w:tc>
          <w:tcPr>
            <w:tcW w:w="1985" w:type="dxa"/>
            <w:vAlign w:val="center"/>
          </w:tcPr>
          <w:p>
            <w:pPr>
              <w:widowControl/>
              <w:spacing w:line="360" w:lineRule="auto"/>
              <w:jc w:val="center"/>
              <w:rPr>
                <w:rFonts w:ascii="宋体" w:hAnsi="宋体"/>
                <w:color w:val="auto"/>
              </w:rPr>
            </w:pPr>
            <w:r>
              <w:rPr>
                <w:rFonts w:ascii="宋体" w:hAnsi="宋体"/>
                <w:color w:val="auto"/>
              </w:rPr>
              <w:t>确保工期的技术组织措施</w:t>
            </w:r>
            <w:r>
              <w:rPr>
                <w:rFonts w:hint="eastAsia" w:ascii="宋体" w:hAnsi="宋体"/>
                <w:color w:val="auto"/>
              </w:rPr>
              <w:t>（5分）</w:t>
            </w:r>
          </w:p>
        </w:tc>
        <w:tc>
          <w:tcPr>
            <w:tcW w:w="6520" w:type="dxa"/>
            <w:vAlign w:val="center"/>
          </w:tcPr>
          <w:p>
            <w:pPr>
              <w:widowControl/>
              <w:spacing w:line="360" w:lineRule="auto"/>
              <w:rPr>
                <w:rFonts w:ascii="宋体" w:hAnsi="宋体"/>
                <w:color w:val="auto"/>
              </w:rPr>
            </w:pPr>
            <w:r>
              <w:rPr>
                <w:rFonts w:hint="eastAsia" w:ascii="宋体" w:hAnsi="宋体"/>
                <w:color w:val="auto"/>
              </w:rPr>
              <w:t>（优得3.6-5分；良得2-3.5分；一般得1.0-1.9分，差得0-0.9分）</w:t>
            </w:r>
          </w:p>
          <w:p>
            <w:pPr>
              <w:widowControl/>
              <w:spacing w:line="360" w:lineRule="auto"/>
              <w:rPr>
                <w:rFonts w:ascii="宋体" w:hAnsi="宋体"/>
                <w:color w:val="auto"/>
              </w:rPr>
            </w:pPr>
            <w:r>
              <w:rPr>
                <w:rFonts w:ascii="宋体" w:hAnsi="宋体"/>
                <w:color w:val="auto"/>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宋体" w:hAnsi="宋体"/>
                <w:color w:val="auto"/>
              </w:rPr>
            </w:pPr>
          </w:p>
        </w:tc>
        <w:tc>
          <w:tcPr>
            <w:tcW w:w="1985" w:type="dxa"/>
            <w:vAlign w:val="center"/>
          </w:tcPr>
          <w:p>
            <w:pPr>
              <w:widowControl/>
              <w:spacing w:line="360" w:lineRule="auto"/>
              <w:jc w:val="center"/>
              <w:rPr>
                <w:rFonts w:ascii="宋体" w:hAnsi="宋体"/>
                <w:color w:val="auto"/>
              </w:rPr>
            </w:pPr>
            <w:r>
              <w:rPr>
                <w:rFonts w:ascii="宋体" w:hAnsi="宋体"/>
                <w:color w:val="auto"/>
              </w:rPr>
              <w:t>确保文明施工的技术组织措施</w:t>
            </w:r>
            <w:r>
              <w:rPr>
                <w:rFonts w:hint="eastAsia" w:ascii="宋体" w:hAnsi="宋体"/>
                <w:color w:val="auto"/>
              </w:rPr>
              <w:t>（5分）</w:t>
            </w:r>
          </w:p>
        </w:tc>
        <w:tc>
          <w:tcPr>
            <w:tcW w:w="6520" w:type="dxa"/>
            <w:vAlign w:val="center"/>
          </w:tcPr>
          <w:p>
            <w:pPr>
              <w:widowControl/>
              <w:spacing w:line="360" w:lineRule="auto"/>
              <w:rPr>
                <w:rFonts w:ascii="宋体" w:hAnsi="宋体"/>
                <w:color w:val="auto"/>
              </w:rPr>
            </w:pPr>
            <w:r>
              <w:rPr>
                <w:rFonts w:hint="eastAsia" w:ascii="宋体" w:hAnsi="宋体"/>
                <w:color w:val="auto"/>
              </w:rPr>
              <w:t>（优得3.6-5分；良得2-3.5分；一般得1.0-1.9分，差得0-0.9分）</w:t>
            </w:r>
          </w:p>
          <w:p>
            <w:pPr>
              <w:widowControl/>
              <w:spacing w:line="360" w:lineRule="auto"/>
              <w:rPr>
                <w:rFonts w:ascii="宋体" w:hAnsi="宋体"/>
                <w:color w:val="auto"/>
              </w:rPr>
            </w:pPr>
            <w:r>
              <w:rPr>
                <w:rFonts w:ascii="宋体" w:hAnsi="宋体"/>
                <w:color w:val="auto"/>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宋体" w:hAnsi="宋体"/>
                <w:color w:val="auto"/>
              </w:rPr>
            </w:pPr>
          </w:p>
        </w:tc>
        <w:tc>
          <w:tcPr>
            <w:tcW w:w="1985" w:type="dxa"/>
            <w:vAlign w:val="center"/>
          </w:tcPr>
          <w:p>
            <w:pPr>
              <w:widowControl/>
              <w:spacing w:line="360" w:lineRule="auto"/>
              <w:jc w:val="center"/>
              <w:rPr>
                <w:rFonts w:ascii="宋体" w:hAnsi="宋体"/>
                <w:color w:val="auto"/>
              </w:rPr>
            </w:pPr>
            <w:r>
              <w:rPr>
                <w:rFonts w:ascii="宋体" w:hAnsi="宋体"/>
                <w:color w:val="auto"/>
              </w:rPr>
              <w:t>工程施工的重点和难点及保证措施</w:t>
            </w:r>
          </w:p>
          <w:p>
            <w:pPr>
              <w:widowControl/>
              <w:spacing w:line="360" w:lineRule="auto"/>
              <w:jc w:val="center"/>
              <w:rPr>
                <w:rFonts w:ascii="宋体" w:hAnsi="宋体"/>
                <w:color w:val="auto"/>
              </w:rPr>
            </w:pPr>
            <w:r>
              <w:rPr>
                <w:rFonts w:hint="eastAsia" w:ascii="宋体" w:hAnsi="宋体"/>
                <w:color w:val="auto"/>
              </w:rPr>
              <w:t>（5分）</w:t>
            </w:r>
          </w:p>
        </w:tc>
        <w:tc>
          <w:tcPr>
            <w:tcW w:w="6520" w:type="dxa"/>
            <w:vAlign w:val="center"/>
          </w:tcPr>
          <w:p>
            <w:pPr>
              <w:widowControl/>
              <w:spacing w:line="360" w:lineRule="auto"/>
              <w:rPr>
                <w:rFonts w:ascii="宋体" w:hAnsi="宋体"/>
                <w:color w:val="auto"/>
              </w:rPr>
            </w:pPr>
            <w:r>
              <w:rPr>
                <w:rFonts w:hint="eastAsia" w:ascii="宋体" w:hAnsi="宋体"/>
                <w:color w:val="auto"/>
              </w:rPr>
              <w:t>（优得3.6-5分；良得2-3.5分；一般得1.0-1.9分，差得0-0.9分）</w:t>
            </w:r>
          </w:p>
          <w:p>
            <w:pPr>
              <w:widowControl/>
              <w:spacing w:line="360" w:lineRule="auto"/>
              <w:rPr>
                <w:rFonts w:ascii="宋体" w:hAnsi="宋体"/>
                <w:color w:val="auto"/>
              </w:rPr>
            </w:pPr>
            <w:r>
              <w:rPr>
                <w:rFonts w:ascii="宋体" w:hAnsi="宋体"/>
                <w:color w:val="auto"/>
              </w:rPr>
              <w:t>针对本工程的特点，阐述本工程的重点和难点，解决重点和难点问题的方法是否合理。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宋体" w:hAnsi="宋体"/>
                <w:color w:val="auto"/>
              </w:rPr>
            </w:pPr>
          </w:p>
        </w:tc>
        <w:tc>
          <w:tcPr>
            <w:tcW w:w="1985" w:type="dxa"/>
            <w:vAlign w:val="center"/>
          </w:tcPr>
          <w:p>
            <w:pPr>
              <w:widowControl/>
              <w:spacing w:line="360" w:lineRule="auto"/>
              <w:jc w:val="center"/>
              <w:rPr>
                <w:rFonts w:ascii="宋体" w:hAnsi="宋体"/>
                <w:color w:val="auto"/>
              </w:rPr>
            </w:pPr>
            <w:r>
              <w:rPr>
                <w:rFonts w:ascii="宋体" w:hAnsi="宋体"/>
                <w:color w:val="auto"/>
              </w:rPr>
              <w:t>施工总平面布置图</w:t>
            </w:r>
            <w:r>
              <w:rPr>
                <w:rFonts w:hint="eastAsia" w:ascii="宋体" w:hAnsi="宋体"/>
                <w:color w:val="auto"/>
              </w:rPr>
              <w:t>（5分）</w:t>
            </w:r>
          </w:p>
        </w:tc>
        <w:tc>
          <w:tcPr>
            <w:tcW w:w="6520" w:type="dxa"/>
            <w:vAlign w:val="center"/>
          </w:tcPr>
          <w:p>
            <w:pPr>
              <w:widowControl/>
              <w:spacing w:line="360" w:lineRule="auto"/>
              <w:rPr>
                <w:rFonts w:ascii="宋体" w:hAnsi="宋体"/>
                <w:color w:val="auto"/>
              </w:rPr>
            </w:pPr>
            <w:r>
              <w:rPr>
                <w:rFonts w:hint="eastAsia" w:ascii="宋体" w:hAnsi="宋体"/>
                <w:color w:val="auto"/>
              </w:rPr>
              <w:t>（优得3.6-5分；良得2-3.5分；一般得1.0-1.9分，差得0-0.9分）</w:t>
            </w:r>
          </w:p>
          <w:p>
            <w:pPr>
              <w:widowControl/>
              <w:spacing w:line="360" w:lineRule="auto"/>
              <w:rPr>
                <w:rFonts w:ascii="宋体" w:hAnsi="宋体"/>
                <w:color w:val="auto"/>
              </w:rPr>
            </w:pPr>
            <w:r>
              <w:rPr>
                <w:rFonts w:ascii="宋体" w:hAnsi="宋体"/>
                <w:color w:val="auto"/>
              </w:rPr>
              <w:t>应有施工总平面布置图，安排科学合理，符合本项目施工实际要求。</w:t>
            </w:r>
          </w:p>
        </w:tc>
      </w:tr>
    </w:tbl>
    <w:p>
      <w:pPr>
        <w:pStyle w:val="21"/>
        <w:spacing w:line="360" w:lineRule="auto"/>
        <w:ind w:firstLine="42" w:firstLineChars="20"/>
        <w:rPr>
          <w:rFonts w:hAnsi="宋体"/>
          <w:b/>
          <w:bCs/>
          <w:color w:val="auto"/>
        </w:rPr>
      </w:pPr>
      <w:r>
        <w:rPr>
          <w:rFonts w:hint="eastAsia" w:hAnsi="宋体"/>
          <w:b/>
          <w:bCs/>
          <w:color w:val="auto"/>
        </w:rPr>
        <w:t xml:space="preserve"> 磋商人综合得分=商务+企业人员业绩分+技术服务方案分</w:t>
      </w:r>
    </w:p>
    <w:p>
      <w:pPr>
        <w:pStyle w:val="21"/>
        <w:spacing w:line="360" w:lineRule="auto"/>
        <w:rPr>
          <w:rFonts w:hAnsi="宋体"/>
          <w:b/>
          <w:bCs/>
          <w:color w:val="auto"/>
        </w:rPr>
      </w:pPr>
      <w:r>
        <w:rPr>
          <w:rFonts w:hint="eastAsia" w:hAnsi="宋体"/>
          <w:b/>
          <w:bCs/>
          <w:color w:val="auto"/>
        </w:rPr>
        <w:t>四、</w:t>
      </w:r>
      <w:r>
        <w:rPr>
          <w:rFonts w:hint="eastAsia" w:hAnsi="宋体"/>
          <w:b/>
          <w:bCs/>
          <w:color w:val="auto"/>
          <w:lang w:eastAsia="zh-CN"/>
        </w:rPr>
        <w:t>中标</w:t>
      </w:r>
      <w:r>
        <w:rPr>
          <w:rFonts w:hint="eastAsia" w:hAnsi="宋体"/>
          <w:b/>
          <w:bCs/>
          <w:color w:val="auto"/>
        </w:rPr>
        <w:t>候选人推荐原则</w:t>
      </w:r>
    </w:p>
    <w:p>
      <w:pPr>
        <w:pStyle w:val="21"/>
        <w:spacing w:line="360" w:lineRule="auto"/>
        <w:ind w:firstLine="462" w:firstLineChars="220"/>
        <w:rPr>
          <w:rFonts w:hAnsi="宋体"/>
          <w:color w:val="auto"/>
        </w:rPr>
      </w:pPr>
      <w:r>
        <w:rPr>
          <w:rFonts w:hint="eastAsia" w:hAnsi="宋体"/>
          <w:color w:val="auto"/>
          <w:lang w:eastAsia="zh-CN"/>
        </w:rPr>
        <w:t>除磋商文件另有规定外，</w:t>
      </w:r>
      <w:r>
        <w:rPr>
          <w:rFonts w:hint="eastAsia" w:hAnsi="宋体"/>
          <w:color w:val="auto"/>
        </w:rPr>
        <w:t>磋商小组将根据并按综合得分由高到低顺序由磋商小组确定</w:t>
      </w:r>
      <w:r>
        <w:rPr>
          <w:rFonts w:hint="eastAsia" w:hAnsi="宋体"/>
          <w:color w:val="auto"/>
          <w:lang w:eastAsia="zh-CN"/>
        </w:rPr>
        <w:t>中标</w:t>
      </w:r>
      <w:r>
        <w:rPr>
          <w:rFonts w:hint="eastAsia" w:hAnsi="宋体"/>
          <w:color w:val="auto"/>
        </w:rPr>
        <w:t>候选人3名。综合评分相等时，以磋商报价低的优先；磋商价也相等时，以企业主项资质高的优先；企业主项资质也相等的，以技术标得分高的优先；技术标得分也相等的，由评标委员会采用记名投票方式确定。</w:t>
      </w:r>
      <w:r>
        <w:rPr>
          <w:rFonts w:hint="eastAsia" w:hAnsi="宋体"/>
          <w:color w:val="auto"/>
          <w:lang w:eastAsia="zh-CN"/>
        </w:rPr>
        <w:t>采购</w:t>
      </w:r>
      <w:r>
        <w:rPr>
          <w:rFonts w:hint="eastAsia" w:hAnsi="宋体"/>
          <w:color w:val="auto"/>
        </w:rPr>
        <w:t>人应当确定磋商小组推荐排名第一的磋商人为</w:t>
      </w:r>
      <w:r>
        <w:rPr>
          <w:rFonts w:hint="eastAsia" w:hAnsi="宋体"/>
          <w:color w:val="auto"/>
          <w:lang w:eastAsia="zh-CN"/>
        </w:rPr>
        <w:t>中标人</w:t>
      </w:r>
      <w:r>
        <w:rPr>
          <w:rFonts w:hint="eastAsia" w:hAnsi="宋体"/>
          <w:color w:val="auto"/>
        </w:rPr>
        <w:t>。排名第一的</w:t>
      </w:r>
      <w:r>
        <w:rPr>
          <w:rFonts w:hint="eastAsia" w:hAnsi="宋体"/>
          <w:color w:val="auto"/>
          <w:lang w:eastAsia="zh-CN"/>
        </w:rPr>
        <w:t>中标</w:t>
      </w:r>
      <w:r>
        <w:rPr>
          <w:rFonts w:hint="eastAsia" w:hAnsi="宋体"/>
          <w:color w:val="auto"/>
        </w:rPr>
        <w:t>候选人放弃中标、因不可抗力提出不能履行合同的，</w:t>
      </w:r>
      <w:r>
        <w:rPr>
          <w:rFonts w:hint="eastAsia" w:hAnsi="宋体"/>
          <w:color w:val="auto"/>
          <w:lang w:eastAsia="zh-CN"/>
        </w:rPr>
        <w:t>采购</w:t>
      </w:r>
      <w:r>
        <w:rPr>
          <w:rFonts w:hint="eastAsia" w:hAnsi="宋体"/>
          <w:color w:val="auto"/>
        </w:rPr>
        <w:t>人可以确定排名第二的磋商人为</w:t>
      </w:r>
      <w:r>
        <w:rPr>
          <w:rFonts w:hint="eastAsia" w:hAnsi="宋体"/>
          <w:color w:val="auto"/>
          <w:lang w:eastAsia="zh-CN"/>
        </w:rPr>
        <w:t>中标人</w:t>
      </w:r>
      <w:r>
        <w:rPr>
          <w:rFonts w:hint="eastAsia" w:hAnsi="宋体"/>
          <w:color w:val="auto"/>
        </w:rPr>
        <w:t>。其余以此类推。</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宋体" w:hAnsi="宋体"/>
          <w:b/>
          <w:bCs/>
          <w:color w:val="auto"/>
          <w:sz w:val="32"/>
          <w:szCs w:val="32"/>
        </w:rPr>
      </w:pPr>
      <w:bookmarkStart w:id="186" w:name="_Toc359069768"/>
      <w:bookmarkEnd w:id="186"/>
      <w:bookmarkStart w:id="187" w:name="_Toc24320"/>
      <w:bookmarkEnd w:id="187"/>
      <w:bookmarkStart w:id="188" w:name="_Toc23831_WPSOffice_Level1"/>
      <w:bookmarkStart w:id="189" w:name="_Toc21417_WPSOffice_Level1"/>
      <w:r>
        <w:rPr>
          <w:rFonts w:hint="eastAsia" w:ascii="宋体" w:hAnsi="宋体"/>
          <w:b/>
          <w:bCs/>
          <w:color w:val="auto"/>
          <w:sz w:val="32"/>
          <w:szCs w:val="32"/>
        </w:rPr>
        <w:br w:type="page"/>
      </w:r>
    </w:p>
    <w:p>
      <w:pPr>
        <w:spacing w:line="336" w:lineRule="auto"/>
        <w:ind w:right="-153" w:rightChars="-73"/>
        <w:jc w:val="center"/>
        <w:outlineLvl w:val="0"/>
        <w:rPr>
          <w:rFonts w:ascii="宋体" w:hAnsi="宋体"/>
          <w:b/>
          <w:bCs/>
          <w:color w:val="auto"/>
          <w:sz w:val="32"/>
          <w:szCs w:val="32"/>
        </w:rPr>
      </w:pPr>
      <w:r>
        <w:rPr>
          <w:rFonts w:hint="eastAsia" w:ascii="宋体" w:hAnsi="宋体"/>
          <w:b/>
          <w:bCs/>
          <w:color w:val="auto"/>
          <w:sz w:val="32"/>
          <w:szCs w:val="32"/>
        </w:rPr>
        <w:t xml:space="preserve">第七章 </w:t>
      </w:r>
      <w:bookmarkStart w:id="190" w:name="_Toc17698"/>
      <w:bookmarkEnd w:id="190"/>
      <w:r>
        <w:rPr>
          <w:rFonts w:hint="eastAsia" w:ascii="宋体" w:hAnsi="宋体"/>
          <w:b/>
          <w:bCs/>
          <w:color w:val="auto"/>
          <w:sz w:val="32"/>
          <w:szCs w:val="32"/>
        </w:rPr>
        <w:t xml:space="preserve">  工程量清单</w:t>
      </w:r>
      <w:bookmarkEnd w:id="188"/>
      <w:bookmarkEnd w:id="189"/>
    </w:p>
    <w:p>
      <w:pPr>
        <w:spacing w:line="336" w:lineRule="auto"/>
        <w:ind w:right="-153" w:rightChars="-73" w:firstLine="3213" w:firstLineChars="1000"/>
        <w:outlineLvl w:val="0"/>
        <w:rPr>
          <w:rFonts w:ascii="宋体" w:hAnsi="宋体"/>
          <w:b/>
          <w:bCs/>
          <w:color w:val="auto"/>
          <w:sz w:val="32"/>
          <w:szCs w:val="32"/>
        </w:rPr>
      </w:pPr>
    </w:p>
    <w:p>
      <w:pPr>
        <w:spacing w:line="336" w:lineRule="auto"/>
        <w:ind w:right="-153" w:rightChars="-73" w:firstLine="3213" w:firstLineChars="1000"/>
        <w:outlineLvl w:val="0"/>
        <w:rPr>
          <w:rFonts w:ascii="宋体" w:hAnsi="宋体"/>
          <w:b/>
          <w:bCs/>
          <w:color w:val="auto"/>
          <w:sz w:val="32"/>
          <w:szCs w:val="32"/>
        </w:rPr>
      </w:pPr>
    </w:p>
    <w:p>
      <w:pPr>
        <w:spacing w:line="336" w:lineRule="auto"/>
        <w:ind w:right="-153" w:rightChars="-73"/>
        <w:jc w:val="center"/>
        <w:outlineLvl w:val="0"/>
        <w:rPr>
          <w:rFonts w:ascii="宋体" w:hAnsi="宋体"/>
          <w:b/>
          <w:bCs/>
          <w:color w:val="auto"/>
          <w:sz w:val="32"/>
          <w:szCs w:val="32"/>
        </w:rPr>
      </w:pPr>
      <w:r>
        <w:rPr>
          <w:rFonts w:hint="eastAsia" w:ascii="宋体" w:hAnsi="宋体"/>
          <w:b/>
          <w:bCs/>
          <w:color w:val="auto"/>
          <w:sz w:val="32"/>
          <w:szCs w:val="32"/>
        </w:rPr>
        <w:t>附 后</w:t>
      </w: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4" w:type="default"/>
      <w:pgSz w:w="11906" w:h="16838"/>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B96"/>
    <w:multiLevelType w:val="multilevel"/>
    <w:tmpl w:val="08880B96"/>
    <w:lvl w:ilvl="0" w:tentative="0">
      <w:start w:val="1"/>
      <w:numFmt w:val="decimal"/>
      <w:lvlText w:val="(%1)"/>
      <w:lvlJc w:val="left"/>
      <w:pPr>
        <w:tabs>
          <w:tab w:val="left" w:pos="780"/>
        </w:tabs>
        <w:ind w:left="78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ascii="Times New Roman" w:hAnsi="Times New Roman" w:cs="Times New Roman"/>
      </w:rPr>
    </w:lvl>
    <w:lvl w:ilvl="2" w:tentative="0">
      <w:start w:val="3"/>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27E285DB"/>
    <w:multiLevelType w:val="singleLevel"/>
    <w:tmpl w:val="27E285DB"/>
    <w:lvl w:ilvl="0" w:tentative="0">
      <w:start w:val="3"/>
      <w:numFmt w:val="chineseCounting"/>
      <w:suff w:val="nothing"/>
      <w:lvlText w:val="%1、"/>
      <w:lvlJc w:val="left"/>
      <w:rPr>
        <w:rFonts w:hint="eastAsia"/>
      </w:rPr>
    </w:lvl>
  </w:abstractNum>
  <w:abstractNum w:abstractNumId="2">
    <w:nsid w:val="2961214A"/>
    <w:multiLevelType w:val="multilevel"/>
    <w:tmpl w:val="2961214A"/>
    <w:lvl w:ilvl="0" w:tentative="0">
      <w:start w:val="1"/>
      <w:numFmt w:val="chineseCounting"/>
      <w:suff w:val="space"/>
      <w:lvlText w:val="第%1章"/>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2425097"/>
    <w:multiLevelType w:val="multilevel"/>
    <w:tmpl w:val="32425097"/>
    <w:lvl w:ilvl="0" w:tentative="0">
      <w:start w:val="1"/>
      <w:numFmt w:val="chineseCountingThousand"/>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36EA6FEF"/>
    <w:multiLevelType w:val="multilevel"/>
    <w:tmpl w:val="36EA6FEF"/>
    <w:lvl w:ilvl="0" w:tentative="0">
      <w:start w:val="1"/>
      <w:numFmt w:val="decimal"/>
      <w:lvlText w:val="%1."/>
      <w:lvlJc w:val="left"/>
      <w:pPr>
        <w:tabs>
          <w:tab w:val="left" w:pos="425"/>
        </w:tabs>
        <w:ind w:left="425" w:hanging="425"/>
      </w:pPr>
      <w:rPr>
        <w:rFonts w:hint="default" w:ascii="Times New Roman" w:hAnsi="Times New Roman" w:cs="Times New Roman"/>
        <w:b/>
        <w:bCs/>
      </w:rPr>
    </w:lvl>
    <w:lvl w:ilvl="1" w:tentative="0">
      <w:start w:val="1"/>
      <w:numFmt w:val="decimal"/>
      <w:lvlText w:val="%1.%2."/>
      <w:lvlJc w:val="left"/>
      <w:pPr>
        <w:tabs>
          <w:tab w:val="left" w:pos="773"/>
        </w:tabs>
        <w:ind w:left="773" w:hanging="567"/>
      </w:pPr>
      <w:rPr>
        <w:rFonts w:hint="default" w:ascii="Times New Roman" w:hAnsi="Times New Roman" w:cs="Times New Roman"/>
        <w:b w:val="0"/>
        <w:bCs w:val="0"/>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default" w:ascii="Times New Roman" w:hAnsi="Times New Roman" w:cs="Times New Roman"/>
      </w:rPr>
    </w:lvl>
    <w:lvl w:ilvl="4" w:tentative="0">
      <w:start w:val="1"/>
      <w:numFmt w:val="decimal"/>
      <w:lvlText w:val="%1.%2.%3.%4.%5."/>
      <w:lvlJc w:val="left"/>
      <w:pPr>
        <w:tabs>
          <w:tab w:val="left" w:pos="992"/>
        </w:tabs>
        <w:ind w:left="992" w:hanging="992"/>
      </w:pPr>
      <w:rPr>
        <w:rFonts w:hint="default" w:ascii="Times New Roman" w:hAnsi="Times New Roman" w:cs="Times New Roman"/>
      </w:rPr>
    </w:lvl>
    <w:lvl w:ilvl="5" w:tentative="0">
      <w:start w:val="1"/>
      <w:numFmt w:val="decimal"/>
      <w:lvlText w:val="%1.%2.%3.%4.%5.%6."/>
      <w:lvlJc w:val="left"/>
      <w:pPr>
        <w:tabs>
          <w:tab w:val="left" w:pos="1134"/>
        </w:tabs>
        <w:ind w:left="1134" w:hanging="1134"/>
      </w:pPr>
      <w:rPr>
        <w:rFonts w:hint="default" w:ascii="Times New Roman" w:hAnsi="Times New Roman" w:cs="Times New Roman"/>
      </w:rPr>
    </w:lvl>
    <w:lvl w:ilvl="6" w:tentative="0">
      <w:start w:val="1"/>
      <w:numFmt w:val="decimal"/>
      <w:lvlText w:val="%1.%2.%3.%4.%5.%6.%7."/>
      <w:lvlJc w:val="left"/>
      <w:pPr>
        <w:tabs>
          <w:tab w:val="left" w:pos="1276"/>
        </w:tabs>
        <w:ind w:left="1276" w:hanging="1276"/>
      </w:pPr>
      <w:rPr>
        <w:rFonts w:hint="default" w:ascii="Times New Roman" w:hAnsi="Times New Roman" w:cs="Times New Roman"/>
      </w:rPr>
    </w:lvl>
    <w:lvl w:ilvl="7" w:tentative="0">
      <w:start w:val="1"/>
      <w:numFmt w:val="decimal"/>
      <w:lvlText w:val="%1.%2.%3.%4.%5.%6.%7.%8."/>
      <w:lvlJc w:val="left"/>
      <w:pPr>
        <w:tabs>
          <w:tab w:val="left" w:pos="1418"/>
        </w:tabs>
        <w:ind w:left="1418" w:hanging="1418"/>
      </w:pPr>
      <w:rPr>
        <w:rFonts w:hint="default" w:ascii="Times New Roman" w:hAnsi="Times New Roman" w:cs="Times New Roman"/>
      </w:rPr>
    </w:lvl>
    <w:lvl w:ilvl="8" w:tentative="0">
      <w:start w:val="1"/>
      <w:numFmt w:val="decimal"/>
      <w:lvlText w:val="%1.%2.%3.%4.%5.%6.%7.%8.%9."/>
      <w:lvlJc w:val="left"/>
      <w:pPr>
        <w:tabs>
          <w:tab w:val="left" w:pos="1559"/>
        </w:tabs>
        <w:ind w:left="1559" w:hanging="1559"/>
      </w:pPr>
      <w:rPr>
        <w:rFonts w:hint="default" w:ascii="Times New Roman" w:hAnsi="Times New Roman" w:cs="Times New Roman"/>
      </w:rPr>
    </w:lvl>
  </w:abstractNum>
  <w:abstractNum w:abstractNumId="5">
    <w:nsid w:val="3B1B33D9"/>
    <w:multiLevelType w:val="multilevel"/>
    <w:tmpl w:val="3B1B33D9"/>
    <w:lvl w:ilvl="0" w:tentative="0">
      <w:start w:val="1"/>
      <w:numFmt w:val="japaneseCounting"/>
      <w:lvlText w:val="（%1）"/>
      <w:lvlJc w:val="left"/>
      <w:pPr>
        <w:tabs>
          <w:tab w:val="left" w:pos="1140"/>
        </w:tabs>
        <w:ind w:left="1140" w:hanging="720"/>
      </w:pPr>
      <w:rPr>
        <w:rFonts w:hint="default" w:ascii="Times New Roman" w:hAnsi="Times New Roman" w:cs="Times New Roman"/>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6">
    <w:nsid w:val="57DA7F01"/>
    <w:multiLevelType w:val="multilevel"/>
    <w:tmpl w:val="57DA7F01"/>
    <w:lvl w:ilvl="0" w:tentative="0">
      <w:start w:val="1"/>
      <w:numFmt w:val="decimal"/>
      <w:lvlText w:val="(%1)"/>
      <w:lvlJc w:val="left"/>
      <w:pPr>
        <w:tabs>
          <w:tab w:val="left" w:pos="780"/>
        </w:tabs>
        <w:ind w:left="780" w:hanging="360"/>
      </w:pPr>
      <w:rPr>
        <w:rFonts w:hint="default" w:ascii="Times New Roman" w:hAnsi="Times New Roman" w:cs="Times New Roman"/>
      </w:rPr>
    </w:lvl>
    <w:lvl w:ilvl="1" w:tentative="0">
      <w:start w:val="1"/>
      <w:numFmt w:val="japaneseCounting"/>
      <w:lvlText w:val="(%2)"/>
      <w:lvlJc w:val="left"/>
      <w:pPr>
        <w:tabs>
          <w:tab w:val="left" w:pos="1305"/>
        </w:tabs>
        <w:ind w:left="1305" w:hanging="885"/>
      </w:pPr>
      <w:rPr>
        <w:rFonts w:hint="default" w:ascii="Times New Roman" w:hAnsi="宋体" w:cs="Times New Roman"/>
      </w:rPr>
    </w:lvl>
    <w:lvl w:ilvl="2" w:tentative="0">
      <w:start w:val="1"/>
      <w:numFmt w:val="decimal"/>
      <w:lvlText w:val="%3、"/>
      <w:lvlJc w:val="left"/>
      <w:pPr>
        <w:tabs>
          <w:tab w:val="left" w:pos="1200"/>
        </w:tabs>
        <w:ind w:left="1200" w:hanging="36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
    <w:nsid w:val="66FE5E8C"/>
    <w:multiLevelType w:val="multilevel"/>
    <w:tmpl w:val="66FE5E8C"/>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7252547F"/>
    <w:multiLevelType w:val="singleLevel"/>
    <w:tmpl w:val="7252547F"/>
    <w:lvl w:ilvl="0" w:tentative="0">
      <w:start w:val="1"/>
      <w:numFmt w:val="chineseCounting"/>
      <w:suff w:val="nothing"/>
      <w:lvlText w:val="（%1）"/>
      <w:lvlJc w:val="left"/>
      <w:rPr>
        <w:rFonts w:hint="eastAsia"/>
      </w:rPr>
    </w:lvl>
  </w:abstractNum>
  <w:abstractNum w:abstractNumId="9">
    <w:nsid w:val="72C65C92"/>
    <w:multiLevelType w:val="multilevel"/>
    <w:tmpl w:val="72C65C92"/>
    <w:lvl w:ilvl="0" w:tentative="0">
      <w:start w:val="1"/>
      <w:numFmt w:val="decimal"/>
      <w:lvlText w:val="(%1)"/>
      <w:lvlJc w:val="left"/>
      <w:pPr>
        <w:tabs>
          <w:tab w:val="left" w:pos="780"/>
        </w:tabs>
        <w:ind w:left="78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C3"/>
    <w:rsid w:val="002C2CB6"/>
    <w:rsid w:val="002F402F"/>
    <w:rsid w:val="003159DE"/>
    <w:rsid w:val="0036064C"/>
    <w:rsid w:val="004101F1"/>
    <w:rsid w:val="00431E2F"/>
    <w:rsid w:val="00481DB4"/>
    <w:rsid w:val="0048552A"/>
    <w:rsid w:val="004C6EC3"/>
    <w:rsid w:val="004F3C8E"/>
    <w:rsid w:val="00504612"/>
    <w:rsid w:val="005173BD"/>
    <w:rsid w:val="00630EA1"/>
    <w:rsid w:val="00731039"/>
    <w:rsid w:val="007374AA"/>
    <w:rsid w:val="007D7192"/>
    <w:rsid w:val="008A2E7F"/>
    <w:rsid w:val="008C5BC5"/>
    <w:rsid w:val="009F470C"/>
    <w:rsid w:val="00AA2A1F"/>
    <w:rsid w:val="00B718D0"/>
    <w:rsid w:val="00BD261C"/>
    <w:rsid w:val="00BE2824"/>
    <w:rsid w:val="00D96BF3"/>
    <w:rsid w:val="00DF10E4"/>
    <w:rsid w:val="00E4661C"/>
    <w:rsid w:val="00EC240F"/>
    <w:rsid w:val="00F07A6E"/>
    <w:rsid w:val="00F10E82"/>
    <w:rsid w:val="00F1418E"/>
    <w:rsid w:val="00F34279"/>
    <w:rsid w:val="00F41D5E"/>
    <w:rsid w:val="00F726BC"/>
    <w:rsid w:val="00F90CB8"/>
    <w:rsid w:val="011E5948"/>
    <w:rsid w:val="01EF3B18"/>
    <w:rsid w:val="021D23CC"/>
    <w:rsid w:val="033263DA"/>
    <w:rsid w:val="056F5E80"/>
    <w:rsid w:val="05A9334C"/>
    <w:rsid w:val="05BF6796"/>
    <w:rsid w:val="07673471"/>
    <w:rsid w:val="09BE1611"/>
    <w:rsid w:val="09C16E41"/>
    <w:rsid w:val="09C619C2"/>
    <w:rsid w:val="0A9A729D"/>
    <w:rsid w:val="0B7C241C"/>
    <w:rsid w:val="0BC55F5E"/>
    <w:rsid w:val="0C2762FD"/>
    <w:rsid w:val="0C40105D"/>
    <w:rsid w:val="0C9D570C"/>
    <w:rsid w:val="0CC72500"/>
    <w:rsid w:val="0DC27FB6"/>
    <w:rsid w:val="0DC869AA"/>
    <w:rsid w:val="0DD41AE6"/>
    <w:rsid w:val="0FE67574"/>
    <w:rsid w:val="10694C79"/>
    <w:rsid w:val="111B6ADB"/>
    <w:rsid w:val="11424B82"/>
    <w:rsid w:val="11850D44"/>
    <w:rsid w:val="134B1873"/>
    <w:rsid w:val="1479279C"/>
    <w:rsid w:val="14E0140E"/>
    <w:rsid w:val="14EC6B74"/>
    <w:rsid w:val="169B2382"/>
    <w:rsid w:val="17392A4B"/>
    <w:rsid w:val="177C6E90"/>
    <w:rsid w:val="186F3C26"/>
    <w:rsid w:val="18A5185C"/>
    <w:rsid w:val="19685B1E"/>
    <w:rsid w:val="196A5FAA"/>
    <w:rsid w:val="19766E00"/>
    <w:rsid w:val="19EE7F6E"/>
    <w:rsid w:val="1BE20705"/>
    <w:rsid w:val="1C3E1AEB"/>
    <w:rsid w:val="1C6E53D2"/>
    <w:rsid w:val="1C871542"/>
    <w:rsid w:val="1E1945F2"/>
    <w:rsid w:val="1EF33187"/>
    <w:rsid w:val="1F1426A9"/>
    <w:rsid w:val="1F50367D"/>
    <w:rsid w:val="1FFC2D3B"/>
    <w:rsid w:val="201026B8"/>
    <w:rsid w:val="2098167F"/>
    <w:rsid w:val="20E1618C"/>
    <w:rsid w:val="217F6FF6"/>
    <w:rsid w:val="229F240F"/>
    <w:rsid w:val="22DA1F21"/>
    <w:rsid w:val="231A47A0"/>
    <w:rsid w:val="23BE60AD"/>
    <w:rsid w:val="24217586"/>
    <w:rsid w:val="24C63796"/>
    <w:rsid w:val="25430400"/>
    <w:rsid w:val="26652D6B"/>
    <w:rsid w:val="2679278D"/>
    <w:rsid w:val="26D34669"/>
    <w:rsid w:val="272A0844"/>
    <w:rsid w:val="27362219"/>
    <w:rsid w:val="275B0E4C"/>
    <w:rsid w:val="27B45750"/>
    <w:rsid w:val="2974338D"/>
    <w:rsid w:val="29C30727"/>
    <w:rsid w:val="2ACA3A66"/>
    <w:rsid w:val="2B7D1DC3"/>
    <w:rsid w:val="2CD25D33"/>
    <w:rsid w:val="2CE24060"/>
    <w:rsid w:val="2D1261D1"/>
    <w:rsid w:val="2D241857"/>
    <w:rsid w:val="2FDD1E6B"/>
    <w:rsid w:val="305362FA"/>
    <w:rsid w:val="318D3C3C"/>
    <w:rsid w:val="32DB1BD8"/>
    <w:rsid w:val="33884847"/>
    <w:rsid w:val="342A0EF6"/>
    <w:rsid w:val="353A6B30"/>
    <w:rsid w:val="353F1E75"/>
    <w:rsid w:val="35D135B1"/>
    <w:rsid w:val="36810BDB"/>
    <w:rsid w:val="36A823FF"/>
    <w:rsid w:val="36D329D2"/>
    <w:rsid w:val="37000AB2"/>
    <w:rsid w:val="3755318E"/>
    <w:rsid w:val="376210E5"/>
    <w:rsid w:val="3A7359B0"/>
    <w:rsid w:val="3AC102DA"/>
    <w:rsid w:val="3B575A2B"/>
    <w:rsid w:val="3B596EB7"/>
    <w:rsid w:val="3B635348"/>
    <w:rsid w:val="3C846195"/>
    <w:rsid w:val="3D804B21"/>
    <w:rsid w:val="3E66492E"/>
    <w:rsid w:val="3EB6612E"/>
    <w:rsid w:val="3F0A32D1"/>
    <w:rsid w:val="3FC5420D"/>
    <w:rsid w:val="401D2B20"/>
    <w:rsid w:val="40A1769A"/>
    <w:rsid w:val="41FF528F"/>
    <w:rsid w:val="42C10B64"/>
    <w:rsid w:val="432E4F4B"/>
    <w:rsid w:val="4370307C"/>
    <w:rsid w:val="43DF7531"/>
    <w:rsid w:val="442F3983"/>
    <w:rsid w:val="472D0C25"/>
    <w:rsid w:val="47472EAC"/>
    <w:rsid w:val="47A50F2F"/>
    <w:rsid w:val="48034F68"/>
    <w:rsid w:val="48436D44"/>
    <w:rsid w:val="4A3F2F3B"/>
    <w:rsid w:val="4ACE6BBB"/>
    <w:rsid w:val="4B0B5218"/>
    <w:rsid w:val="4B9B2875"/>
    <w:rsid w:val="4C321250"/>
    <w:rsid w:val="4C7C7B40"/>
    <w:rsid w:val="4CC8367A"/>
    <w:rsid w:val="4F212685"/>
    <w:rsid w:val="4FA63137"/>
    <w:rsid w:val="50BD6E87"/>
    <w:rsid w:val="548115BC"/>
    <w:rsid w:val="54FD2092"/>
    <w:rsid w:val="56716E9C"/>
    <w:rsid w:val="56746441"/>
    <w:rsid w:val="58261AD7"/>
    <w:rsid w:val="584B223F"/>
    <w:rsid w:val="58CA70BE"/>
    <w:rsid w:val="58CD40DA"/>
    <w:rsid w:val="595947F1"/>
    <w:rsid w:val="598716DE"/>
    <w:rsid w:val="5B017465"/>
    <w:rsid w:val="5B527257"/>
    <w:rsid w:val="5C0242CF"/>
    <w:rsid w:val="5CF525E6"/>
    <w:rsid w:val="5D0D72A5"/>
    <w:rsid w:val="5DDB1EBD"/>
    <w:rsid w:val="5E871171"/>
    <w:rsid w:val="5FF831A6"/>
    <w:rsid w:val="604C37CB"/>
    <w:rsid w:val="61F16DCF"/>
    <w:rsid w:val="62323EE8"/>
    <w:rsid w:val="626C43FB"/>
    <w:rsid w:val="62766187"/>
    <w:rsid w:val="62BF3E2F"/>
    <w:rsid w:val="62F55934"/>
    <w:rsid w:val="631D28C2"/>
    <w:rsid w:val="63B201DE"/>
    <w:rsid w:val="63E1139C"/>
    <w:rsid w:val="63F51C19"/>
    <w:rsid w:val="64A31315"/>
    <w:rsid w:val="64F860F8"/>
    <w:rsid w:val="64FE6114"/>
    <w:rsid w:val="66992B74"/>
    <w:rsid w:val="673B6DD8"/>
    <w:rsid w:val="6754692F"/>
    <w:rsid w:val="67F902CF"/>
    <w:rsid w:val="680D6BF3"/>
    <w:rsid w:val="68132CF0"/>
    <w:rsid w:val="687D1C06"/>
    <w:rsid w:val="68A14D2D"/>
    <w:rsid w:val="68AA4E2E"/>
    <w:rsid w:val="68B15C9D"/>
    <w:rsid w:val="69021014"/>
    <w:rsid w:val="6A933F89"/>
    <w:rsid w:val="6B5F54F5"/>
    <w:rsid w:val="6D8A7106"/>
    <w:rsid w:val="6E9E7DAB"/>
    <w:rsid w:val="6FC9307F"/>
    <w:rsid w:val="70247DF2"/>
    <w:rsid w:val="72DD0418"/>
    <w:rsid w:val="745B3A48"/>
    <w:rsid w:val="74947126"/>
    <w:rsid w:val="75AF70AE"/>
    <w:rsid w:val="76394A1F"/>
    <w:rsid w:val="76545CB9"/>
    <w:rsid w:val="76547BE5"/>
    <w:rsid w:val="76AF766C"/>
    <w:rsid w:val="77453BCE"/>
    <w:rsid w:val="77DD4B67"/>
    <w:rsid w:val="78C568D6"/>
    <w:rsid w:val="78E846EE"/>
    <w:rsid w:val="79241AEF"/>
    <w:rsid w:val="79DD426D"/>
    <w:rsid w:val="7A6836A2"/>
    <w:rsid w:val="7A9F2E4B"/>
    <w:rsid w:val="7B1720BE"/>
    <w:rsid w:val="7D395B05"/>
    <w:rsid w:val="7DA82C61"/>
    <w:rsid w:val="7EB92D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9"/>
    <w:qFormat/>
    <w:uiPriority w:val="0"/>
    <w:pPr>
      <w:keepNext/>
      <w:outlineLvl w:val="0"/>
    </w:pPr>
    <w:rPr>
      <w:b/>
      <w:bCs/>
    </w:rPr>
  </w:style>
  <w:style w:type="paragraph" w:styleId="3">
    <w:name w:val="heading 2"/>
    <w:basedOn w:val="1"/>
    <w:next w:val="1"/>
    <w:link w:val="50"/>
    <w:qFormat/>
    <w:uiPriority w:val="0"/>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2" w:lineRule="auto"/>
      <w:outlineLvl w:val="2"/>
    </w:pPr>
    <w:rPr>
      <w:b/>
      <w:bCs/>
      <w:sz w:val="32"/>
      <w:szCs w:val="32"/>
    </w:rPr>
  </w:style>
  <w:style w:type="paragraph" w:styleId="5">
    <w:name w:val="heading 4"/>
    <w:basedOn w:val="1"/>
    <w:next w:val="1"/>
    <w:link w:val="52"/>
    <w:qFormat/>
    <w:uiPriority w:val="0"/>
    <w:pPr>
      <w:keepNext/>
      <w:keepLines/>
      <w:spacing w:line="360" w:lineRule="auto"/>
      <w:outlineLvl w:val="3"/>
    </w:pPr>
    <w:rPr>
      <w:rFonts w:ascii="Arial" w:hAnsi="Arial"/>
      <w:b/>
      <w:bCs/>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0"/>
    <w:pPr>
      <w:keepNext/>
      <w:keepLines/>
      <w:spacing w:before="240" w:after="64" w:line="317" w:lineRule="auto"/>
      <w:outlineLvl w:val="5"/>
    </w:pPr>
    <w:rPr>
      <w:rFonts w:ascii="Cambria" w:hAnsi="Cambria"/>
      <w:b/>
      <w:bCs/>
      <w:sz w:val="24"/>
      <w:szCs w:val="24"/>
    </w:rPr>
  </w:style>
  <w:style w:type="paragraph" w:styleId="8">
    <w:name w:val="heading 7"/>
    <w:basedOn w:val="1"/>
    <w:next w:val="1"/>
    <w:link w:val="55"/>
    <w:qFormat/>
    <w:uiPriority w:val="0"/>
    <w:pPr>
      <w:keepNext/>
      <w:keepLines/>
      <w:spacing w:before="240" w:after="64" w:line="317" w:lineRule="auto"/>
      <w:outlineLvl w:val="6"/>
    </w:pPr>
    <w:rPr>
      <w:rFonts w:ascii="Calibri" w:hAnsi="Calibri"/>
      <w:b/>
      <w:bCs/>
      <w:sz w:val="24"/>
      <w:szCs w:val="24"/>
    </w:rPr>
  </w:style>
  <w:style w:type="paragraph" w:styleId="9">
    <w:name w:val="heading 8"/>
    <w:basedOn w:val="1"/>
    <w:next w:val="1"/>
    <w:link w:val="56"/>
    <w:qFormat/>
    <w:uiPriority w:val="0"/>
    <w:pPr>
      <w:keepNext/>
      <w:keepLines/>
      <w:spacing w:before="240" w:after="64" w:line="317" w:lineRule="auto"/>
      <w:outlineLvl w:val="7"/>
    </w:pPr>
    <w:rPr>
      <w:rFonts w:ascii="Cambria" w:hAnsi="Cambria"/>
      <w:sz w:val="24"/>
      <w:szCs w:val="24"/>
    </w:rPr>
  </w:style>
  <w:style w:type="paragraph" w:styleId="10">
    <w:name w:val="heading 9"/>
    <w:basedOn w:val="1"/>
    <w:next w:val="1"/>
    <w:link w:val="57"/>
    <w:qFormat/>
    <w:uiPriority w:val="0"/>
    <w:pPr>
      <w:keepNext/>
      <w:keepLines/>
      <w:spacing w:before="240" w:after="64" w:line="317" w:lineRule="auto"/>
      <w:outlineLvl w:val="8"/>
    </w:pPr>
    <w:rPr>
      <w:rFonts w:ascii="Cambria" w:hAnsi="Cambria"/>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widowControl/>
      <w:ind w:firstLine="420"/>
      <w:jc w:val="left"/>
    </w:pPr>
    <w:rPr>
      <w:sz w:val="20"/>
      <w:szCs w:val="24"/>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47"/>
    <w:qFormat/>
    <w:uiPriority w:val="0"/>
    <w:pPr>
      <w:shd w:val="clear" w:color="auto" w:fill="000080"/>
    </w:pPr>
    <w:rPr>
      <w:rFonts w:asciiTheme="minorHAnsi" w:hAnsiTheme="minorHAnsi" w:eastAsiaTheme="minorEastAsia" w:cstheme="minorBidi"/>
      <w:szCs w:val="24"/>
      <w:shd w:val="clear" w:color="auto" w:fill="000080"/>
    </w:rPr>
  </w:style>
  <w:style w:type="paragraph" w:styleId="15">
    <w:name w:val="annotation text"/>
    <w:basedOn w:val="1"/>
    <w:link w:val="142"/>
    <w:qFormat/>
    <w:uiPriority w:val="0"/>
    <w:pPr>
      <w:jc w:val="left"/>
    </w:pPr>
    <w:rPr>
      <w:rFonts w:asciiTheme="minorHAnsi" w:hAnsiTheme="minorHAnsi" w:eastAsiaTheme="minorEastAsia" w:cstheme="minorBidi"/>
      <w:szCs w:val="24"/>
    </w:rPr>
  </w:style>
  <w:style w:type="paragraph" w:styleId="16">
    <w:name w:val="Body Text"/>
    <w:basedOn w:val="1"/>
    <w:link w:val="66"/>
    <w:qFormat/>
    <w:uiPriority w:val="0"/>
    <w:rPr>
      <w:rFonts w:ascii="金山简黑体" w:hAnsi="Courier New"/>
      <w:b/>
      <w:bCs/>
      <w:spacing w:val="-8"/>
      <w:sz w:val="44"/>
      <w:szCs w:val="44"/>
    </w:rPr>
  </w:style>
  <w:style w:type="paragraph" w:styleId="17">
    <w:name w:val="Body Text Indent"/>
    <w:basedOn w:val="1"/>
    <w:link w:val="148"/>
    <w:qFormat/>
    <w:uiPriority w:val="0"/>
    <w:pPr>
      <w:spacing w:before="240" w:line="360" w:lineRule="auto"/>
      <w:ind w:firstLine="552" w:firstLineChars="263"/>
    </w:pPr>
    <w:rPr>
      <w:rFonts w:ascii="宋体" w:hAnsi="宋体" w:eastAsiaTheme="minorEastAsia" w:cstheme="minorBidi"/>
      <w:szCs w:val="22"/>
    </w:rPr>
  </w:style>
  <w:style w:type="paragraph" w:styleId="18">
    <w:name w:val="index 4"/>
    <w:basedOn w:val="1"/>
    <w:next w:val="1"/>
    <w:qFormat/>
    <w:uiPriority w:val="0"/>
    <w:pPr>
      <w:ind w:left="600" w:leftChars="600"/>
    </w:pPr>
    <w:rPr>
      <w:szCs w:val="24"/>
    </w:rPr>
  </w:style>
  <w:style w:type="paragraph" w:styleId="19">
    <w:name w:val="toc 5"/>
    <w:basedOn w:val="1"/>
    <w:next w:val="1"/>
    <w:qFormat/>
    <w:uiPriority w:val="0"/>
    <w:pPr>
      <w:ind w:left="1680" w:leftChars="800"/>
    </w:pPr>
    <w:rPr>
      <w:rFonts w:ascii="Calibri" w:hAnsi="Calibri"/>
      <w:szCs w:val="22"/>
    </w:rPr>
  </w:style>
  <w:style w:type="paragraph" w:styleId="20">
    <w:name w:val="toc 3"/>
    <w:basedOn w:val="1"/>
    <w:next w:val="1"/>
    <w:qFormat/>
    <w:uiPriority w:val="0"/>
    <w:pPr>
      <w:ind w:left="840" w:leftChars="400"/>
    </w:pPr>
    <w:rPr>
      <w:szCs w:val="24"/>
    </w:rPr>
  </w:style>
  <w:style w:type="paragraph" w:styleId="21">
    <w:name w:val="Plain Text"/>
    <w:basedOn w:val="1"/>
    <w:next w:val="22"/>
    <w:link w:val="63"/>
    <w:qFormat/>
    <w:uiPriority w:val="0"/>
    <w:rPr>
      <w:rFonts w:ascii="宋体" w:hAnsi="Courier New"/>
    </w:rPr>
  </w:style>
  <w:style w:type="paragraph" w:styleId="22">
    <w:name w:val="Date"/>
    <w:basedOn w:val="1"/>
    <w:next w:val="1"/>
    <w:link w:val="62"/>
    <w:qFormat/>
    <w:uiPriority w:val="0"/>
    <w:pPr>
      <w:spacing w:before="100" w:beforeAutospacing="1" w:after="100" w:afterAutospacing="1"/>
      <w:ind w:left="2500" w:leftChars="2500"/>
    </w:pPr>
    <w:rPr>
      <w:rFonts w:ascii="宋体" w:hAnsi="Courier New"/>
      <w:sz w:val="24"/>
      <w:szCs w:val="24"/>
    </w:rPr>
  </w:style>
  <w:style w:type="paragraph" w:styleId="23">
    <w:name w:val="toc 8"/>
    <w:basedOn w:val="1"/>
    <w:next w:val="1"/>
    <w:qFormat/>
    <w:uiPriority w:val="0"/>
    <w:pPr>
      <w:ind w:left="2940" w:leftChars="1400"/>
    </w:pPr>
    <w:rPr>
      <w:rFonts w:ascii="Calibri" w:hAnsi="Calibri"/>
      <w:szCs w:val="22"/>
    </w:rPr>
  </w:style>
  <w:style w:type="paragraph" w:styleId="24">
    <w:name w:val="Body Text Indent 2"/>
    <w:basedOn w:val="1"/>
    <w:link w:val="143"/>
    <w:qFormat/>
    <w:uiPriority w:val="0"/>
    <w:pPr>
      <w:spacing w:after="120" w:line="480" w:lineRule="auto"/>
      <w:ind w:left="420" w:leftChars="200"/>
    </w:pPr>
    <w:rPr>
      <w:rFonts w:asciiTheme="minorHAnsi" w:hAnsiTheme="minorHAnsi" w:eastAsiaTheme="minorEastAsia" w:cstheme="minorBidi"/>
      <w:szCs w:val="24"/>
    </w:rPr>
  </w:style>
  <w:style w:type="paragraph" w:styleId="25">
    <w:name w:val="Balloon Text"/>
    <w:basedOn w:val="1"/>
    <w:link w:val="146"/>
    <w:qFormat/>
    <w:uiPriority w:val="0"/>
    <w:rPr>
      <w:rFonts w:asciiTheme="minorHAnsi" w:hAnsiTheme="minorHAnsi" w:eastAsiaTheme="minorEastAsia" w:cstheme="minorBidi"/>
      <w:sz w:val="18"/>
      <w:szCs w:val="18"/>
    </w:rPr>
  </w:style>
  <w:style w:type="paragraph" w:styleId="26">
    <w:name w:val="footer"/>
    <w:basedOn w:val="1"/>
    <w:link w:val="59"/>
    <w:qFormat/>
    <w:uiPriority w:val="0"/>
    <w:pPr>
      <w:tabs>
        <w:tab w:val="center" w:pos="4153"/>
        <w:tab w:val="right" w:pos="8306"/>
      </w:tabs>
      <w:snapToGrid w:val="0"/>
      <w:jc w:val="left"/>
    </w:pPr>
    <w:rPr>
      <w:sz w:val="18"/>
      <w:szCs w:val="18"/>
    </w:rPr>
  </w:style>
  <w:style w:type="paragraph" w:styleId="27">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spacing w:before="60" w:line="400" w:lineRule="exact"/>
    </w:pPr>
    <w:rPr>
      <w:rFonts w:eastAsia="黑体"/>
      <w:szCs w:val="24"/>
    </w:rPr>
  </w:style>
  <w:style w:type="paragraph" w:styleId="29">
    <w:name w:val="toc 4"/>
    <w:basedOn w:val="1"/>
    <w:next w:val="1"/>
    <w:qFormat/>
    <w:uiPriority w:val="0"/>
    <w:pPr>
      <w:ind w:left="1260" w:leftChars="600"/>
    </w:pPr>
    <w:rPr>
      <w:rFonts w:ascii="Calibri" w:hAnsi="Calibri"/>
      <w:szCs w:val="22"/>
    </w:rPr>
  </w:style>
  <w:style w:type="paragraph" w:styleId="30">
    <w:name w:val="Subtitle"/>
    <w:basedOn w:val="1"/>
    <w:next w:val="1"/>
    <w:link w:val="153"/>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link w:val="152"/>
    <w:qFormat/>
    <w:uiPriority w:val="0"/>
    <w:pPr>
      <w:adjustRightInd w:val="0"/>
      <w:spacing w:line="312" w:lineRule="atLeast"/>
      <w:jc w:val="left"/>
      <w:textAlignment w:val="baseline"/>
    </w:pPr>
    <w:rPr>
      <w:rFonts w:asciiTheme="minorHAnsi" w:hAnsiTheme="minorHAnsi" w:eastAsiaTheme="minorEastAsia" w:cstheme="minorBidi"/>
      <w:sz w:val="18"/>
      <w:szCs w:val="22"/>
    </w:rPr>
  </w:style>
  <w:style w:type="paragraph" w:styleId="32">
    <w:name w:val="toc 6"/>
    <w:basedOn w:val="1"/>
    <w:next w:val="1"/>
    <w:qFormat/>
    <w:uiPriority w:val="0"/>
    <w:pPr>
      <w:ind w:left="2100" w:leftChars="1000"/>
    </w:pPr>
    <w:rPr>
      <w:rFonts w:ascii="Calibri" w:hAnsi="Calibri"/>
      <w:szCs w:val="22"/>
    </w:rPr>
  </w:style>
  <w:style w:type="paragraph" w:styleId="33">
    <w:name w:val="toc 2"/>
    <w:basedOn w:val="1"/>
    <w:next w:val="1"/>
    <w:qFormat/>
    <w:uiPriority w:val="0"/>
    <w:pPr>
      <w:ind w:left="420" w:leftChars="200"/>
    </w:pPr>
    <w:rPr>
      <w:rFonts w:ascii="Calibri" w:hAnsi="Calibri"/>
      <w:szCs w:val="22"/>
    </w:rPr>
  </w:style>
  <w:style w:type="paragraph" w:styleId="34">
    <w:name w:val="toc 9"/>
    <w:basedOn w:val="1"/>
    <w:next w:val="1"/>
    <w:qFormat/>
    <w:uiPriority w:val="0"/>
    <w:pPr>
      <w:ind w:left="3360" w:leftChars="1600"/>
    </w:pPr>
    <w:rPr>
      <w:rFonts w:ascii="Calibri" w:hAnsi="Calibri"/>
      <w:szCs w:val="22"/>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index 1"/>
    <w:basedOn w:val="1"/>
    <w:next w:val="1"/>
    <w:qFormat/>
    <w:uiPriority w:val="0"/>
    <w:pPr>
      <w:spacing w:line="240" w:lineRule="exact"/>
      <w:ind w:firstLine="420" w:firstLineChars="200"/>
    </w:pPr>
    <w:rPr>
      <w:rFonts w:ascii="宋体" w:hAnsi="宋体"/>
    </w:rPr>
  </w:style>
  <w:style w:type="paragraph" w:styleId="37">
    <w:name w:val="Title"/>
    <w:basedOn w:val="1"/>
    <w:next w:val="1"/>
    <w:link w:val="141"/>
    <w:qFormat/>
    <w:uiPriority w:val="0"/>
    <w:pPr>
      <w:spacing w:before="240" w:after="60"/>
      <w:jc w:val="center"/>
      <w:outlineLvl w:val="0"/>
    </w:pPr>
    <w:rPr>
      <w:rFonts w:ascii="Cambria" w:hAnsi="Cambria" w:eastAsiaTheme="minorEastAsia" w:cstheme="minorBidi"/>
      <w:b/>
      <w:bCs/>
      <w:sz w:val="32"/>
      <w:szCs w:val="32"/>
    </w:rPr>
  </w:style>
  <w:style w:type="paragraph" w:styleId="38">
    <w:name w:val="annotation subject"/>
    <w:basedOn w:val="15"/>
    <w:next w:val="15"/>
    <w:link w:val="145"/>
    <w:qFormat/>
    <w:uiPriority w:val="0"/>
    <w:rPr>
      <w:b/>
      <w:bCs/>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basedOn w:val="40"/>
    <w:qFormat/>
    <w:uiPriority w:val="0"/>
    <w:rPr>
      <w:color w:val="0000FF"/>
      <w:u w:val="single"/>
    </w:rPr>
  </w:style>
  <w:style w:type="character" w:styleId="44">
    <w:name w:val="Emphasis"/>
    <w:qFormat/>
    <w:uiPriority w:val="0"/>
    <w:rPr>
      <w:i/>
      <w:iCs/>
    </w:rPr>
  </w:style>
  <w:style w:type="character" w:styleId="45">
    <w:name w:val="Hyperlink"/>
    <w:basedOn w:val="40"/>
    <w:qFormat/>
    <w:uiPriority w:val="0"/>
    <w:rPr>
      <w:color w:val="0000FF"/>
      <w:u w:val="single"/>
    </w:rPr>
  </w:style>
  <w:style w:type="character" w:styleId="46">
    <w:name w:val="HTML Code"/>
    <w:qFormat/>
    <w:uiPriority w:val="0"/>
    <w:rPr>
      <w:rFonts w:ascii="Courier New" w:hAnsi="Courier New"/>
      <w:sz w:val="20"/>
    </w:rPr>
  </w:style>
  <w:style w:type="character" w:styleId="47">
    <w:name w:val="annotation reference"/>
    <w:qFormat/>
    <w:uiPriority w:val="0"/>
    <w:rPr>
      <w:sz w:val="21"/>
      <w:szCs w:val="21"/>
    </w:rPr>
  </w:style>
  <w:style w:type="character" w:styleId="48">
    <w:name w:val="HTML Cite"/>
    <w:qFormat/>
    <w:uiPriority w:val="0"/>
  </w:style>
  <w:style w:type="character" w:customStyle="1" w:styleId="49">
    <w:name w:val="标题 1 Char"/>
    <w:basedOn w:val="40"/>
    <w:link w:val="2"/>
    <w:qFormat/>
    <w:uiPriority w:val="0"/>
    <w:rPr>
      <w:rFonts w:ascii="Times New Roman" w:hAnsi="Times New Roman" w:eastAsia="宋体" w:cs="Times New Roman"/>
      <w:b/>
      <w:bCs/>
      <w:szCs w:val="21"/>
    </w:rPr>
  </w:style>
  <w:style w:type="character" w:customStyle="1" w:styleId="50">
    <w:name w:val="标题 2 Char"/>
    <w:basedOn w:val="40"/>
    <w:link w:val="3"/>
    <w:qFormat/>
    <w:uiPriority w:val="0"/>
    <w:rPr>
      <w:rFonts w:ascii="Arial" w:hAnsi="Arial" w:eastAsia="黑体" w:cs="Times New Roman"/>
      <w:b/>
      <w:bCs/>
      <w:sz w:val="32"/>
      <w:szCs w:val="32"/>
    </w:rPr>
  </w:style>
  <w:style w:type="character" w:customStyle="1" w:styleId="51">
    <w:name w:val="标题 3 Char"/>
    <w:basedOn w:val="40"/>
    <w:link w:val="4"/>
    <w:qFormat/>
    <w:uiPriority w:val="0"/>
    <w:rPr>
      <w:rFonts w:ascii="Times New Roman" w:hAnsi="Times New Roman" w:eastAsia="宋体" w:cs="Times New Roman"/>
      <w:b/>
      <w:bCs/>
      <w:sz w:val="32"/>
      <w:szCs w:val="32"/>
    </w:rPr>
  </w:style>
  <w:style w:type="character" w:customStyle="1" w:styleId="52">
    <w:name w:val="标题 4 Char"/>
    <w:basedOn w:val="40"/>
    <w:link w:val="5"/>
    <w:qFormat/>
    <w:uiPriority w:val="0"/>
    <w:rPr>
      <w:rFonts w:ascii="Arial" w:hAnsi="Arial" w:eastAsia="宋体" w:cs="Times New Roman"/>
      <w:b/>
      <w:bCs/>
      <w:szCs w:val="28"/>
    </w:rPr>
  </w:style>
  <w:style w:type="character" w:customStyle="1" w:styleId="53">
    <w:name w:val="标题 5 Char"/>
    <w:basedOn w:val="40"/>
    <w:link w:val="6"/>
    <w:qFormat/>
    <w:uiPriority w:val="0"/>
    <w:rPr>
      <w:rFonts w:ascii="Times New Roman" w:hAnsi="Times New Roman" w:eastAsia="宋体" w:cs="Times New Roman"/>
      <w:b/>
      <w:bCs/>
      <w:sz w:val="28"/>
      <w:szCs w:val="28"/>
    </w:rPr>
  </w:style>
  <w:style w:type="character" w:customStyle="1" w:styleId="54">
    <w:name w:val="标题 6 Char"/>
    <w:basedOn w:val="40"/>
    <w:link w:val="7"/>
    <w:qFormat/>
    <w:uiPriority w:val="0"/>
    <w:rPr>
      <w:rFonts w:ascii="Cambria" w:hAnsi="Cambria" w:eastAsia="宋体" w:cs="Times New Roman"/>
      <w:b/>
      <w:bCs/>
      <w:sz w:val="24"/>
      <w:szCs w:val="24"/>
    </w:rPr>
  </w:style>
  <w:style w:type="character" w:customStyle="1" w:styleId="55">
    <w:name w:val="标题 7 Char"/>
    <w:basedOn w:val="40"/>
    <w:link w:val="8"/>
    <w:qFormat/>
    <w:uiPriority w:val="0"/>
    <w:rPr>
      <w:rFonts w:ascii="Calibri" w:hAnsi="Calibri" w:eastAsia="宋体" w:cs="Times New Roman"/>
      <w:b/>
      <w:bCs/>
      <w:sz w:val="24"/>
      <w:szCs w:val="24"/>
    </w:rPr>
  </w:style>
  <w:style w:type="character" w:customStyle="1" w:styleId="56">
    <w:name w:val="标题 8 Char"/>
    <w:basedOn w:val="40"/>
    <w:link w:val="9"/>
    <w:qFormat/>
    <w:uiPriority w:val="0"/>
    <w:rPr>
      <w:rFonts w:ascii="Cambria" w:hAnsi="Cambria" w:eastAsia="宋体" w:cs="Times New Roman"/>
      <w:sz w:val="24"/>
      <w:szCs w:val="24"/>
    </w:rPr>
  </w:style>
  <w:style w:type="character" w:customStyle="1" w:styleId="57">
    <w:name w:val="标题 9 Char"/>
    <w:basedOn w:val="40"/>
    <w:link w:val="10"/>
    <w:qFormat/>
    <w:uiPriority w:val="0"/>
    <w:rPr>
      <w:rFonts w:ascii="Cambria" w:hAnsi="Cambria" w:eastAsia="宋体" w:cs="Times New Roman"/>
      <w:szCs w:val="21"/>
    </w:rPr>
  </w:style>
  <w:style w:type="character" w:customStyle="1" w:styleId="58">
    <w:name w:val="页眉 Char"/>
    <w:basedOn w:val="40"/>
    <w:link w:val="27"/>
    <w:qFormat/>
    <w:uiPriority w:val="0"/>
    <w:rPr>
      <w:rFonts w:ascii="Times New Roman" w:hAnsi="Times New Roman" w:eastAsia="宋体" w:cs="Times New Roman"/>
      <w:sz w:val="18"/>
      <w:szCs w:val="18"/>
    </w:rPr>
  </w:style>
  <w:style w:type="character" w:customStyle="1" w:styleId="59">
    <w:name w:val="页脚 Char"/>
    <w:basedOn w:val="40"/>
    <w:link w:val="26"/>
    <w:qFormat/>
    <w:uiPriority w:val="0"/>
    <w:rPr>
      <w:rFonts w:ascii="Times New Roman" w:hAnsi="Times New Roman" w:eastAsia="宋体" w:cs="Times New Roman"/>
      <w:sz w:val="18"/>
      <w:szCs w:val="18"/>
    </w:rPr>
  </w:style>
  <w:style w:type="paragraph" w:customStyle="1" w:styleId="60">
    <w:name w:val="正文_2"/>
    <w:basedOn w:val="1"/>
    <w:qFormat/>
    <w:uiPriority w:val="0"/>
    <w:rPr>
      <w:rFonts w:ascii="Calibri" w:hAnsi="Calibri"/>
    </w:rPr>
  </w:style>
  <w:style w:type="paragraph" w:customStyle="1" w:styleId="61">
    <w:name w:val="正文_0"/>
    <w:basedOn w:val="1"/>
    <w:qFormat/>
    <w:uiPriority w:val="0"/>
    <w:rPr>
      <w:rFonts w:ascii="Calibri" w:hAnsi="Calibri"/>
    </w:rPr>
  </w:style>
  <w:style w:type="character" w:customStyle="1" w:styleId="62">
    <w:name w:val="日期 Char"/>
    <w:basedOn w:val="40"/>
    <w:link w:val="22"/>
    <w:qFormat/>
    <w:uiPriority w:val="0"/>
    <w:rPr>
      <w:rFonts w:ascii="宋体" w:hAnsi="Courier New" w:eastAsia="宋体" w:cs="Times New Roman"/>
      <w:sz w:val="24"/>
      <w:szCs w:val="24"/>
    </w:rPr>
  </w:style>
  <w:style w:type="character" w:customStyle="1" w:styleId="63">
    <w:name w:val="纯文本 Char"/>
    <w:basedOn w:val="40"/>
    <w:link w:val="21"/>
    <w:qFormat/>
    <w:uiPriority w:val="0"/>
    <w:rPr>
      <w:rFonts w:ascii="宋体" w:hAnsi="Courier New" w:eastAsia="宋体" w:cs="Times New Roman"/>
      <w:szCs w:val="21"/>
    </w:rPr>
  </w:style>
  <w:style w:type="paragraph" w:customStyle="1" w:styleId="64">
    <w:name w:val="1"/>
    <w:basedOn w:val="1"/>
    <w:next w:val="21"/>
    <w:qFormat/>
    <w:uiPriority w:val="0"/>
    <w:rPr>
      <w:rFonts w:ascii="宋体" w:hAnsi="Courier New"/>
    </w:rPr>
  </w:style>
  <w:style w:type="paragraph" w:customStyle="1" w:styleId="65">
    <w:name w:val="无间隔1"/>
    <w:basedOn w:val="1"/>
    <w:qFormat/>
    <w:uiPriority w:val="0"/>
  </w:style>
  <w:style w:type="character" w:customStyle="1" w:styleId="66">
    <w:name w:val="正文文本 Char"/>
    <w:basedOn w:val="40"/>
    <w:link w:val="16"/>
    <w:qFormat/>
    <w:uiPriority w:val="0"/>
    <w:rPr>
      <w:rFonts w:ascii="金山简黑体" w:hAnsi="Courier New" w:eastAsia="宋体" w:cs="Times New Roman"/>
      <w:b/>
      <w:bCs/>
      <w:spacing w:val="-8"/>
      <w:sz w:val="44"/>
      <w:szCs w:val="44"/>
    </w:rPr>
  </w:style>
  <w:style w:type="paragraph" w:customStyle="1" w:styleId="67">
    <w:name w:val="WPSOffice手动目录 1"/>
    <w:basedOn w:val="1"/>
    <w:qFormat/>
    <w:uiPriority w:val="0"/>
    <w:pPr>
      <w:widowControl/>
      <w:jc w:val="left"/>
    </w:pPr>
    <w:rPr>
      <w:kern w:val="0"/>
      <w:sz w:val="20"/>
      <w:szCs w:val="20"/>
    </w:rPr>
  </w:style>
  <w:style w:type="character" w:customStyle="1" w:styleId="68">
    <w:name w:val="10"/>
    <w:basedOn w:val="40"/>
    <w:qFormat/>
    <w:uiPriority w:val="0"/>
    <w:rPr>
      <w:rFonts w:hint="default" w:ascii="Calibri" w:hAnsi="Calibri"/>
    </w:rPr>
  </w:style>
  <w:style w:type="character" w:customStyle="1" w:styleId="69">
    <w:name w:val="15"/>
    <w:basedOn w:val="40"/>
    <w:qFormat/>
    <w:uiPriority w:val="0"/>
    <w:rPr>
      <w:rFonts w:hint="default" w:ascii="Calibri" w:hAnsi="Calibri"/>
      <w:sz w:val="21"/>
      <w:szCs w:val="21"/>
    </w:rPr>
  </w:style>
  <w:style w:type="character" w:customStyle="1" w:styleId="70">
    <w:name w:val="16"/>
    <w:basedOn w:val="40"/>
    <w:qFormat/>
    <w:uiPriority w:val="0"/>
    <w:rPr>
      <w:rFonts w:hint="default" w:ascii="Calibri" w:hAnsi="Calibri"/>
    </w:rPr>
  </w:style>
  <w:style w:type="character" w:customStyle="1" w:styleId="71">
    <w:name w:val="文档结构图 Char"/>
    <w:link w:val="14"/>
    <w:qFormat/>
    <w:uiPriority w:val="0"/>
    <w:rPr>
      <w:szCs w:val="24"/>
      <w:shd w:val="clear" w:color="auto" w:fill="000080"/>
    </w:rPr>
  </w:style>
  <w:style w:type="character" w:customStyle="1" w:styleId="72">
    <w:name w:val="明显参考1"/>
    <w:qFormat/>
    <w:uiPriority w:val="0"/>
    <w:rPr>
      <w:b/>
      <w:bCs/>
      <w:smallCaps/>
      <w:color w:val="C0504D"/>
      <w:spacing w:val="5"/>
      <w:u w:val="single"/>
    </w:rPr>
  </w:style>
  <w:style w:type="character" w:customStyle="1" w:styleId="73">
    <w:name w:val="引用 Char"/>
    <w:qFormat/>
    <w:uiPriority w:val="0"/>
    <w:rPr>
      <w:i/>
      <w:iCs/>
      <w:color w:val="000000"/>
    </w:rPr>
  </w:style>
  <w:style w:type="paragraph" w:styleId="74">
    <w:name w:val="Quote"/>
    <w:basedOn w:val="1"/>
    <w:next w:val="1"/>
    <w:link w:val="160"/>
    <w:qFormat/>
    <w:uiPriority w:val="0"/>
    <w:rPr>
      <w:rFonts w:asciiTheme="minorHAnsi" w:hAnsiTheme="minorHAnsi" w:eastAsiaTheme="minorEastAsia" w:cstheme="minorBidi"/>
      <w:i/>
      <w:iCs/>
      <w:color w:val="000000"/>
      <w:szCs w:val="22"/>
    </w:rPr>
  </w:style>
  <w:style w:type="character" w:customStyle="1" w:styleId="75">
    <w:name w:val="Header Char"/>
    <w:qFormat/>
    <w:uiPriority w:val="0"/>
    <w:rPr>
      <w:rFonts w:eastAsia="宋体"/>
      <w:kern w:val="2"/>
      <w:sz w:val="18"/>
      <w:szCs w:val="18"/>
      <w:lang w:val="en-US" w:eastAsia="zh-CN" w:bidi="ar-SA"/>
    </w:rPr>
  </w:style>
  <w:style w:type="character" w:customStyle="1" w:styleId="76">
    <w:name w:val="bsharetext"/>
    <w:basedOn w:val="40"/>
    <w:qFormat/>
    <w:uiPriority w:val="0"/>
  </w:style>
  <w:style w:type="character" w:customStyle="1" w:styleId="77">
    <w:name w:val="Char Char23"/>
    <w:qFormat/>
    <w:uiPriority w:val="0"/>
    <w:rPr>
      <w:rFonts w:eastAsia="宋体"/>
      <w:b/>
      <w:bCs/>
      <w:kern w:val="44"/>
      <w:sz w:val="32"/>
      <w:szCs w:val="44"/>
      <w:lang w:val="en-US" w:eastAsia="zh-CN" w:bidi="ar-SA"/>
    </w:rPr>
  </w:style>
  <w:style w:type="character" w:customStyle="1" w:styleId="78">
    <w:name w:val="Char Char91"/>
    <w:qFormat/>
    <w:uiPriority w:val="0"/>
    <w:rPr>
      <w:rFonts w:eastAsia="宋体"/>
      <w:b/>
      <w:bCs/>
      <w:kern w:val="44"/>
      <w:sz w:val="32"/>
      <w:szCs w:val="44"/>
      <w:lang w:val="en-US" w:eastAsia="zh-CN" w:bidi="ar-SA"/>
    </w:rPr>
  </w:style>
  <w:style w:type="character" w:customStyle="1" w:styleId="79">
    <w:name w:val="Title Char"/>
    <w:qFormat/>
    <w:uiPriority w:val="0"/>
    <w:rPr>
      <w:rFonts w:ascii="Cambria" w:hAnsi="Cambria"/>
      <w:b/>
      <w:sz w:val="32"/>
      <w:lang w:bidi="ar-SA"/>
    </w:rPr>
  </w:style>
  <w:style w:type="character" w:customStyle="1" w:styleId="80">
    <w:name w:val="Plain Text Char"/>
    <w:qFormat/>
    <w:uiPriority w:val="0"/>
    <w:rPr>
      <w:rFonts w:ascii="宋体" w:hAnsi="Courier New" w:eastAsia="宋体"/>
      <w:sz w:val="24"/>
      <w:lang w:bidi="ar-SA"/>
    </w:rPr>
  </w:style>
  <w:style w:type="character" w:customStyle="1" w:styleId="81">
    <w:name w:val="Heading 2 Char"/>
    <w:qFormat/>
    <w:uiPriority w:val="0"/>
    <w:rPr>
      <w:rFonts w:ascii="Arial" w:hAnsi="Arial" w:eastAsia="黑体"/>
      <w:b/>
      <w:bCs/>
      <w:kern w:val="2"/>
      <w:sz w:val="32"/>
      <w:szCs w:val="32"/>
      <w:lang w:val="en-US" w:eastAsia="zh-CN" w:bidi="ar-SA"/>
    </w:rPr>
  </w:style>
  <w:style w:type="character" w:customStyle="1" w:styleId="82">
    <w:name w:val="Char Char24"/>
    <w:qFormat/>
    <w:uiPriority w:val="0"/>
    <w:rPr>
      <w:rFonts w:eastAsia="宋体"/>
      <w:b/>
      <w:bCs/>
      <w:kern w:val="44"/>
      <w:sz w:val="32"/>
      <w:szCs w:val="44"/>
      <w:lang w:val="en-US" w:eastAsia="zh-CN" w:bidi="ar-SA"/>
    </w:rPr>
  </w:style>
  <w:style w:type="character" w:customStyle="1" w:styleId="83">
    <w:name w:val="Char Char20"/>
    <w:qFormat/>
    <w:uiPriority w:val="0"/>
    <w:rPr>
      <w:rFonts w:ascii="Times New Roman" w:hAnsi="Times New Roman" w:eastAsia="宋体" w:cs="Times New Roman"/>
      <w:b/>
      <w:bCs/>
      <w:sz w:val="24"/>
      <w:szCs w:val="32"/>
    </w:rPr>
  </w:style>
  <w:style w:type="character" w:customStyle="1" w:styleId="84">
    <w:name w:val="Char Char21"/>
    <w:link w:val="85"/>
    <w:qFormat/>
    <w:uiPriority w:val="0"/>
    <w:rPr>
      <w:rFonts w:ascii="Arial" w:hAnsi="Arial" w:eastAsia="黑体" w:cs="Times New Roman"/>
      <w:b/>
      <w:bCs/>
      <w:sz w:val="32"/>
      <w:szCs w:val="32"/>
    </w:rPr>
  </w:style>
  <w:style w:type="paragraph" w:customStyle="1" w:styleId="85">
    <w:name w:val="标题 2_2"/>
    <w:basedOn w:val="1"/>
    <w:next w:val="1"/>
    <w:link w:val="84"/>
    <w:qFormat/>
    <w:uiPriority w:val="0"/>
    <w:pPr>
      <w:keepNext/>
      <w:keepLines/>
      <w:spacing w:before="60" w:after="60" w:line="413" w:lineRule="auto"/>
      <w:outlineLvl w:val="1"/>
    </w:pPr>
    <w:rPr>
      <w:rFonts w:ascii="Arial" w:hAnsi="Arial" w:eastAsia="黑体"/>
      <w:b/>
      <w:bCs/>
      <w:sz w:val="32"/>
      <w:szCs w:val="32"/>
    </w:rPr>
  </w:style>
  <w:style w:type="character" w:customStyle="1" w:styleId="86">
    <w:name w:val="日期 Char1"/>
    <w:qFormat/>
    <w:uiPriority w:val="0"/>
    <w:rPr>
      <w:rFonts w:ascii="Times New Roman" w:hAnsi="Times New Roman" w:eastAsia="宋体" w:cs="Times New Roman"/>
      <w:szCs w:val="24"/>
    </w:rPr>
  </w:style>
  <w:style w:type="character" w:customStyle="1" w:styleId="87">
    <w:name w:val="Heading 5 Char"/>
    <w:qFormat/>
    <w:uiPriority w:val="0"/>
    <w:rPr>
      <w:rFonts w:eastAsia="宋体"/>
      <w:b/>
      <w:bCs/>
      <w:kern w:val="2"/>
      <w:sz w:val="28"/>
      <w:szCs w:val="28"/>
      <w:lang w:val="en-US" w:eastAsia="zh-CN" w:bidi="ar-SA"/>
    </w:rPr>
  </w:style>
  <w:style w:type="character" w:customStyle="1" w:styleId="88">
    <w:name w:val="Char Char9"/>
    <w:qFormat/>
    <w:uiPriority w:val="0"/>
    <w:rPr>
      <w:rFonts w:eastAsia="宋体"/>
      <w:b/>
      <w:bCs/>
      <w:kern w:val="44"/>
      <w:sz w:val="32"/>
      <w:szCs w:val="44"/>
      <w:lang w:val="en-US" w:eastAsia="zh-CN" w:bidi="ar-SA"/>
    </w:rPr>
  </w:style>
  <w:style w:type="character" w:customStyle="1" w:styleId="89">
    <w:name w:val="批注文字 Char Char"/>
    <w:qFormat/>
    <w:uiPriority w:val="0"/>
    <w:rPr>
      <w:rFonts w:ascii="宋体" w:hAnsi="Times New Roman" w:eastAsia="宋体" w:cs="Times New Roman"/>
      <w:sz w:val="28"/>
      <w:szCs w:val="20"/>
    </w:rPr>
  </w:style>
  <w:style w:type="character" w:customStyle="1" w:styleId="90">
    <w:name w:val="不明显参考1"/>
    <w:qFormat/>
    <w:uiPriority w:val="0"/>
    <w:rPr>
      <w:smallCaps/>
      <w:color w:val="C0504D"/>
      <w:u w:val="single"/>
    </w:rPr>
  </w:style>
  <w:style w:type="character" w:customStyle="1" w:styleId="91">
    <w:name w:val="Char Char181"/>
    <w:qFormat/>
    <w:uiPriority w:val="0"/>
    <w:rPr>
      <w:b/>
      <w:bCs/>
      <w:kern w:val="44"/>
      <w:sz w:val="44"/>
      <w:szCs w:val="44"/>
    </w:rPr>
  </w:style>
  <w:style w:type="character" w:customStyle="1" w:styleId="92">
    <w:name w:val="不明显强调1"/>
    <w:qFormat/>
    <w:uiPriority w:val="0"/>
    <w:rPr>
      <w:i/>
      <w:iCs/>
      <w:color w:val="808080"/>
    </w:rPr>
  </w:style>
  <w:style w:type="character" w:customStyle="1" w:styleId="93">
    <w:name w:val="Char Char6"/>
    <w:qFormat/>
    <w:uiPriority w:val="0"/>
    <w:rPr>
      <w:rFonts w:eastAsia="宋体"/>
      <w:b/>
      <w:bCs/>
      <w:kern w:val="44"/>
      <w:sz w:val="32"/>
      <w:szCs w:val="44"/>
      <w:lang w:val="en-US" w:eastAsia="zh-CN" w:bidi="ar-SA"/>
    </w:rPr>
  </w:style>
  <w:style w:type="character" w:customStyle="1" w:styleId="94">
    <w:name w:val="Heading 1 Char"/>
    <w:qFormat/>
    <w:uiPriority w:val="0"/>
    <w:rPr>
      <w:rFonts w:eastAsia="宋体"/>
      <w:b/>
      <w:bCs/>
      <w:kern w:val="44"/>
      <w:sz w:val="32"/>
      <w:szCs w:val="44"/>
      <w:lang w:val="en-US" w:eastAsia="zh-CN" w:bidi="ar-SA"/>
    </w:rPr>
  </w:style>
  <w:style w:type="character" w:customStyle="1" w:styleId="95">
    <w:name w:val="批注主题 Char"/>
    <w:link w:val="38"/>
    <w:qFormat/>
    <w:uiPriority w:val="0"/>
    <w:rPr>
      <w:b/>
      <w:bCs/>
      <w:szCs w:val="24"/>
    </w:rPr>
  </w:style>
  <w:style w:type="character" w:customStyle="1" w:styleId="96">
    <w:name w:val="标题 Char2"/>
    <w:qFormat/>
    <w:uiPriority w:val="0"/>
    <w:rPr>
      <w:rFonts w:ascii="Cambria" w:hAnsi="Cambria" w:eastAsia="宋体" w:cs="Times New Roman"/>
      <w:b/>
      <w:bCs/>
      <w:sz w:val="32"/>
      <w:szCs w:val="32"/>
    </w:rPr>
  </w:style>
  <w:style w:type="character" w:customStyle="1" w:styleId="97">
    <w:name w:val="批注文字 Char1"/>
    <w:qFormat/>
    <w:uiPriority w:val="0"/>
    <w:rPr>
      <w:rFonts w:ascii="Times New Roman" w:hAnsi="Times New Roman" w:eastAsia="宋体" w:cs="Times New Roman"/>
      <w:szCs w:val="24"/>
    </w:rPr>
  </w:style>
  <w:style w:type="character" w:customStyle="1" w:styleId="98">
    <w:name w:val="纯文本 Char1"/>
    <w:qFormat/>
    <w:uiPriority w:val="0"/>
    <w:rPr>
      <w:rFonts w:ascii="宋体" w:hAnsi="Courier New" w:eastAsia="宋体" w:cs="Courier New"/>
      <w:szCs w:val="21"/>
    </w:rPr>
  </w:style>
  <w:style w:type="character" w:customStyle="1" w:styleId="99">
    <w:name w:val="标题4 Char Char"/>
    <w:link w:val="100"/>
    <w:qFormat/>
    <w:uiPriority w:val="0"/>
    <w:rPr>
      <w:rFonts w:ascii="Arial" w:hAnsi="Arial"/>
      <w:b/>
      <w:bCs/>
      <w:sz w:val="24"/>
      <w:szCs w:val="32"/>
    </w:rPr>
  </w:style>
  <w:style w:type="paragraph" w:customStyle="1" w:styleId="100">
    <w:name w:val="标题4"/>
    <w:basedOn w:val="3"/>
    <w:next w:val="18"/>
    <w:link w:val="99"/>
    <w:qFormat/>
    <w:uiPriority w:val="0"/>
    <w:pPr>
      <w:spacing w:before="60" w:after="60" w:line="413" w:lineRule="auto"/>
    </w:pPr>
    <w:rPr>
      <w:rFonts w:eastAsiaTheme="minorEastAsia" w:cstheme="minorBidi"/>
      <w:sz w:val="24"/>
    </w:rPr>
  </w:style>
  <w:style w:type="character" w:customStyle="1" w:styleId="101">
    <w:name w:val="Heading 3 Char1"/>
    <w:qFormat/>
    <w:uiPriority w:val="0"/>
    <w:rPr>
      <w:rFonts w:eastAsia="宋体"/>
      <w:b/>
      <w:bCs/>
      <w:kern w:val="2"/>
      <w:sz w:val="24"/>
      <w:szCs w:val="32"/>
      <w:lang w:val="en-US" w:eastAsia="zh-CN" w:bidi="ar-SA"/>
    </w:rPr>
  </w:style>
  <w:style w:type="character" w:customStyle="1" w:styleId="102">
    <w:name w:val="标题5 Char Char"/>
    <w:link w:val="103"/>
    <w:qFormat/>
    <w:uiPriority w:val="0"/>
    <w:rPr>
      <w:rFonts w:ascii="Arial" w:hAnsi="Arial"/>
      <w:b/>
      <w:bCs/>
      <w:sz w:val="24"/>
      <w:szCs w:val="32"/>
    </w:rPr>
  </w:style>
  <w:style w:type="paragraph" w:customStyle="1" w:styleId="103">
    <w:name w:val="标题5"/>
    <w:basedOn w:val="4"/>
    <w:link w:val="102"/>
    <w:qFormat/>
    <w:uiPriority w:val="0"/>
    <w:pPr>
      <w:spacing w:line="413" w:lineRule="auto"/>
    </w:pPr>
    <w:rPr>
      <w:rFonts w:ascii="Arial" w:hAnsi="Arial" w:eastAsiaTheme="minorEastAsia" w:cstheme="minorBidi"/>
      <w:sz w:val="24"/>
    </w:rPr>
  </w:style>
  <w:style w:type="character" w:customStyle="1" w:styleId="104">
    <w:name w:val="Char Char19"/>
    <w:qFormat/>
    <w:uiPriority w:val="0"/>
    <w:rPr>
      <w:rFonts w:ascii="Arial" w:hAnsi="Arial" w:eastAsia="宋体" w:cs="Times New Roman"/>
      <w:b/>
      <w:bCs/>
      <w:szCs w:val="28"/>
    </w:rPr>
  </w:style>
  <w:style w:type="character" w:customStyle="1" w:styleId="105">
    <w:name w:val="正文文本缩进 2 Char"/>
    <w:link w:val="24"/>
    <w:qFormat/>
    <w:uiPriority w:val="0"/>
    <w:rPr>
      <w:szCs w:val="24"/>
    </w:rPr>
  </w:style>
  <w:style w:type="character" w:customStyle="1" w:styleId="106">
    <w:name w:val="Date Char"/>
    <w:qFormat/>
    <w:uiPriority w:val="0"/>
    <w:rPr>
      <w:rFonts w:eastAsia="宋体"/>
      <w:kern w:val="2"/>
      <w:sz w:val="21"/>
      <w:szCs w:val="24"/>
      <w:lang w:val="en-US" w:eastAsia="zh-CN" w:bidi="ar-SA"/>
    </w:rPr>
  </w:style>
  <w:style w:type="character" w:customStyle="1" w:styleId="107">
    <w:name w:val="Comment Text Char1"/>
    <w:qFormat/>
    <w:uiPriority w:val="0"/>
    <w:rPr>
      <w:sz w:val="24"/>
      <w:lang w:bidi="ar-SA"/>
    </w:rPr>
  </w:style>
  <w:style w:type="character" w:customStyle="1" w:styleId="108">
    <w:name w:val="Heading 3 Char"/>
    <w:qFormat/>
    <w:uiPriority w:val="0"/>
    <w:rPr>
      <w:rFonts w:cs="Times New Roman"/>
      <w:b/>
      <w:bCs/>
      <w:kern w:val="2"/>
      <w:sz w:val="32"/>
      <w:szCs w:val="32"/>
    </w:rPr>
  </w:style>
  <w:style w:type="character" w:customStyle="1" w:styleId="109">
    <w:name w:val="Heading 4 Char"/>
    <w:qFormat/>
    <w:uiPriority w:val="0"/>
    <w:rPr>
      <w:rFonts w:ascii="Arial" w:hAnsi="Arial" w:eastAsia="宋体"/>
      <w:b/>
      <w:bCs/>
      <w:kern w:val="2"/>
      <w:sz w:val="21"/>
      <w:szCs w:val="28"/>
      <w:lang w:val="en-US" w:eastAsia="zh-CN" w:bidi="ar-SA"/>
    </w:rPr>
  </w:style>
  <w:style w:type="character" w:customStyle="1" w:styleId="110">
    <w:name w:val="Char Char18"/>
    <w:qFormat/>
    <w:uiPriority w:val="0"/>
    <w:rPr>
      <w:rFonts w:ascii="Times New Roman" w:hAnsi="Times New Roman" w:eastAsia="宋体" w:cs="Times New Roman"/>
      <w:b/>
      <w:bCs/>
      <w:sz w:val="28"/>
      <w:szCs w:val="28"/>
    </w:rPr>
  </w:style>
  <w:style w:type="character" w:customStyle="1" w:styleId="111">
    <w:name w:val="Body Text Indent 2 Char"/>
    <w:qFormat/>
    <w:uiPriority w:val="0"/>
    <w:rPr>
      <w:rFonts w:eastAsia="宋体"/>
      <w:kern w:val="2"/>
      <w:sz w:val="21"/>
      <w:szCs w:val="24"/>
      <w:lang w:val="en-US" w:eastAsia="zh-CN" w:bidi="ar-SA"/>
    </w:rPr>
  </w:style>
  <w:style w:type="character" w:customStyle="1" w:styleId="112">
    <w:name w:val="书籍标题1"/>
    <w:qFormat/>
    <w:uiPriority w:val="0"/>
    <w:rPr>
      <w:b/>
      <w:bCs/>
      <w:smallCaps/>
      <w:spacing w:val="5"/>
    </w:rPr>
  </w:style>
  <w:style w:type="character" w:customStyle="1" w:styleId="113">
    <w:name w:val="明显引用 Char"/>
    <w:qFormat/>
    <w:uiPriority w:val="0"/>
    <w:rPr>
      <w:b/>
      <w:bCs/>
      <w:i/>
      <w:iCs/>
      <w:color w:val="4F81BD"/>
    </w:rPr>
  </w:style>
  <w:style w:type="paragraph" w:styleId="114">
    <w:name w:val="Intense Quote"/>
    <w:basedOn w:val="1"/>
    <w:next w:val="1"/>
    <w:link w:val="144"/>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15">
    <w:name w:val="Document Map Char"/>
    <w:qFormat/>
    <w:uiPriority w:val="0"/>
    <w:rPr>
      <w:rFonts w:eastAsia="宋体"/>
      <w:kern w:val="2"/>
      <w:sz w:val="21"/>
      <w:szCs w:val="24"/>
      <w:lang w:val="en-US" w:eastAsia="zh-CN" w:bidi="ar-SA"/>
    </w:rPr>
  </w:style>
  <w:style w:type="character" w:customStyle="1" w:styleId="116">
    <w:name w:val="批注主题 Char1"/>
    <w:qFormat/>
    <w:uiPriority w:val="0"/>
    <w:rPr>
      <w:rFonts w:ascii="Times New Roman" w:hAnsi="Times New Roman" w:eastAsia="宋体" w:cs="Times New Roman"/>
      <w:b/>
      <w:bCs/>
      <w:szCs w:val="24"/>
    </w:rPr>
  </w:style>
  <w:style w:type="character" w:customStyle="1" w:styleId="117">
    <w:name w:val="文档结构图 Char1"/>
    <w:qFormat/>
    <w:uiPriority w:val="0"/>
    <w:rPr>
      <w:rFonts w:ascii="宋体" w:hAnsi="Times New Roman" w:eastAsia="宋体" w:cs="Times New Roman"/>
      <w:sz w:val="18"/>
      <w:szCs w:val="18"/>
    </w:rPr>
  </w:style>
  <w:style w:type="character" w:customStyle="1" w:styleId="118">
    <w:name w:val="Footer Char"/>
    <w:qFormat/>
    <w:uiPriority w:val="0"/>
    <w:rPr>
      <w:rFonts w:eastAsia="宋体"/>
      <w:kern w:val="2"/>
      <w:sz w:val="18"/>
      <w:szCs w:val="18"/>
      <w:lang w:val="en-US" w:eastAsia="zh-CN" w:bidi="ar-SA"/>
    </w:rPr>
  </w:style>
  <w:style w:type="character" w:customStyle="1" w:styleId="119">
    <w:name w:val="Footnote Text Char"/>
    <w:qFormat/>
    <w:uiPriority w:val="0"/>
    <w:rPr>
      <w:rFonts w:eastAsia="宋体"/>
      <w:sz w:val="18"/>
      <w:lang w:val="en-US" w:eastAsia="zh-CN" w:bidi="ar-SA"/>
    </w:rPr>
  </w:style>
  <w:style w:type="character" w:customStyle="1" w:styleId="120">
    <w:name w:val="disabled"/>
    <w:qFormat/>
    <w:uiPriority w:val="0"/>
    <w:rPr>
      <w:vanish/>
    </w:rPr>
  </w:style>
  <w:style w:type="character" w:customStyle="1" w:styleId="121">
    <w:name w:val="批注文字 Char"/>
    <w:qFormat/>
    <w:uiPriority w:val="0"/>
    <w:rPr>
      <w:kern w:val="2"/>
      <w:sz w:val="21"/>
      <w:szCs w:val="24"/>
    </w:rPr>
  </w:style>
  <w:style w:type="character" w:customStyle="1" w:styleId="122">
    <w:name w:val="正文文本缩进 Char"/>
    <w:link w:val="17"/>
    <w:qFormat/>
    <w:uiPriority w:val="0"/>
    <w:rPr>
      <w:rFonts w:ascii="宋体" w:hAnsi="宋体"/>
    </w:rPr>
  </w:style>
  <w:style w:type="character" w:customStyle="1" w:styleId="123">
    <w:name w:val="脚注文本 Char"/>
    <w:link w:val="31"/>
    <w:qFormat/>
    <w:uiPriority w:val="0"/>
    <w:rPr>
      <w:sz w:val="18"/>
    </w:rPr>
  </w:style>
  <w:style w:type="character" w:customStyle="1" w:styleId="124">
    <w:name w:val="Body Text Indent Char"/>
    <w:qFormat/>
    <w:uiPriority w:val="0"/>
    <w:rPr>
      <w:rFonts w:ascii="宋体" w:hAnsi="宋体" w:eastAsia="宋体"/>
      <w:kern w:val="2"/>
      <w:sz w:val="21"/>
      <w:lang w:val="en-US" w:eastAsia="zh-CN" w:bidi="ar-SA"/>
    </w:rPr>
  </w:style>
  <w:style w:type="character" w:customStyle="1" w:styleId="125">
    <w:name w:val="标题 Char1"/>
    <w:qFormat/>
    <w:uiPriority w:val="0"/>
    <w:rPr>
      <w:rFonts w:ascii="Cambria" w:hAnsi="Cambria" w:eastAsia="宋体" w:cs="Times New Roman"/>
      <w:b/>
      <w:bCs/>
      <w:sz w:val="32"/>
      <w:szCs w:val="32"/>
    </w:rPr>
  </w:style>
  <w:style w:type="character" w:customStyle="1" w:styleId="126">
    <w:name w:val="明显引用 Char1"/>
    <w:qFormat/>
    <w:uiPriority w:val="0"/>
    <w:rPr>
      <w:rFonts w:ascii="Times New Roman" w:hAnsi="Times New Roman" w:eastAsia="宋体" w:cs="Times New Roman"/>
      <w:b/>
      <w:bCs/>
      <w:i/>
      <w:iCs/>
      <w:color w:val="4F81BD"/>
      <w:szCs w:val="24"/>
    </w:rPr>
  </w:style>
  <w:style w:type="character" w:customStyle="1" w:styleId="127">
    <w:name w:val="批注框文本 Char1"/>
    <w:qFormat/>
    <w:uiPriority w:val="0"/>
    <w:rPr>
      <w:rFonts w:ascii="Times New Roman" w:hAnsi="Times New Roman" w:eastAsia="宋体" w:cs="Times New Roman"/>
      <w:sz w:val="18"/>
      <w:szCs w:val="18"/>
    </w:rPr>
  </w:style>
  <w:style w:type="character" w:customStyle="1" w:styleId="128">
    <w:name w:val="Char Char22"/>
    <w:qFormat/>
    <w:uiPriority w:val="0"/>
    <w:rPr>
      <w:rFonts w:ascii="Times New Roman" w:hAnsi="Times New Roman" w:eastAsia="宋体" w:cs="Times New Roman"/>
      <w:b/>
      <w:bCs/>
      <w:kern w:val="44"/>
      <w:sz w:val="32"/>
      <w:szCs w:val="44"/>
    </w:rPr>
  </w:style>
  <w:style w:type="character" w:customStyle="1" w:styleId="129">
    <w:name w:val="批注框文本 Char"/>
    <w:link w:val="25"/>
    <w:qFormat/>
    <w:uiPriority w:val="0"/>
    <w:rPr>
      <w:sz w:val="18"/>
      <w:szCs w:val="18"/>
    </w:rPr>
  </w:style>
  <w:style w:type="character" w:customStyle="1" w:styleId="130">
    <w:name w:val="正文文本 Char1"/>
    <w:qFormat/>
    <w:uiPriority w:val="0"/>
    <w:rPr>
      <w:kern w:val="2"/>
      <w:sz w:val="21"/>
      <w:szCs w:val="22"/>
    </w:rPr>
  </w:style>
  <w:style w:type="character" w:customStyle="1" w:styleId="131">
    <w:name w:val="批注文字 Char2"/>
    <w:link w:val="15"/>
    <w:qFormat/>
    <w:uiPriority w:val="0"/>
    <w:rPr>
      <w:szCs w:val="24"/>
    </w:rPr>
  </w:style>
  <w:style w:type="character" w:customStyle="1" w:styleId="132">
    <w:name w:val="Balloon Text Char"/>
    <w:qFormat/>
    <w:uiPriority w:val="0"/>
    <w:rPr>
      <w:sz w:val="18"/>
      <w:lang w:bidi="ar-SA"/>
    </w:rPr>
  </w:style>
  <w:style w:type="character" w:customStyle="1" w:styleId="133">
    <w:name w:val="Comment Subject Char"/>
    <w:qFormat/>
    <w:uiPriority w:val="0"/>
    <w:rPr>
      <w:b/>
      <w:sz w:val="24"/>
      <w:lang w:bidi="ar-SA"/>
    </w:rPr>
  </w:style>
  <w:style w:type="character" w:customStyle="1" w:styleId="134">
    <w:name w:val="标题 Char"/>
    <w:link w:val="37"/>
    <w:qFormat/>
    <w:uiPriority w:val="0"/>
    <w:rPr>
      <w:rFonts w:ascii="Cambria" w:hAnsi="Cambria"/>
      <w:b/>
      <w:bCs/>
      <w:sz w:val="32"/>
      <w:szCs w:val="32"/>
    </w:rPr>
  </w:style>
  <w:style w:type="character" w:customStyle="1" w:styleId="135">
    <w:name w:val="引用 Char1"/>
    <w:qFormat/>
    <w:uiPriority w:val="0"/>
    <w:rPr>
      <w:rFonts w:ascii="Times New Roman" w:hAnsi="Times New Roman" w:eastAsia="宋体" w:cs="Times New Roman"/>
      <w:i/>
      <w:iCs/>
      <w:color w:val="000000"/>
      <w:szCs w:val="24"/>
    </w:rPr>
  </w:style>
  <w:style w:type="character" w:customStyle="1" w:styleId="136">
    <w:name w:val="明显强调1"/>
    <w:qFormat/>
    <w:uiPriority w:val="0"/>
    <w:rPr>
      <w:b/>
      <w:bCs/>
      <w:i/>
      <w:iCs/>
      <w:color w:val="4F81BD"/>
    </w:rPr>
  </w:style>
  <w:style w:type="character" w:customStyle="1" w:styleId="137">
    <w:name w:val="textcontents"/>
    <w:qFormat/>
    <w:uiPriority w:val="0"/>
    <w:rPr>
      <w:rFonts w:cs="Times New Roman"/>
    </w:rPr>
  </w:style>
  <w:style w:type="character" w:customStyle="1" w:styleId="138">
    <w:name w:val="Comment Text Char"/>
    <w:qFormat/>
    <w:uiPriority w:val="0"/>
    <w:rPr>
      <w:rFonts w:cs="Times New Roman"/>
      <w:sz w:val="24"/>
      <w:szCs w:val="24"/>
    </w:rPr>
  </w:style>
  <w:style w:type="character" w:customStyle="1" w:styleId="139">
    <w:name w:val="current"/>
    <w:qFormat/>
    <w:uiPriority w:val="0"/>
    <w:rPr>
      <w:color w:val="FFFFFF"/>
      <w:bdr w:val="single" w:color="028BD3" w:sz="6" w:space="0"/>
      <w:shd w:val="clear" w:color="auto" w:fill="028BD3"/>
    </w:rPr>
  </w:style>
  <w:style w:type="paragraph" w:customStyle="1" w:styleId="14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character" w:customStyle="1" w:styleId="141">
    <w:name w:val="标题 Char3"/>
    <w:basedOn w:val="40"/>
    <w:link w:val="37"/>
    <w:qFormat/>
    <w:uiPriority w:val="10"/>
    <w:rPr>
      <w:rFonts w:eastAsia="宋体" w:asciiTheme="majorHAnsi" w:hAnsiTheme="majorHAnsi" w:cstheme="majorBidi"/>
      <w:b/>
      <w:bCs/>
      <w:sz w:val="32"/>
      <w:szCs w:val="32"/>
    </w:rPr>
  </w:style>
  <w:style w:type="character" w:customStyle="1" w:styleId="142">
    <w:name w:val="批注文字 Char3"/>
    <w:basedOn w:val="40"/>
    <w:link w:val="15"/>
    <w:semiHidden/>
    <w:qFormat/>
    <w:uiPriority w:val="99"/>
    <w:rPr>
      <w:rFonts w:ascii="Times New Roman" w:hAnsi="Times New Roman" w:eastAsia="宋体" w:cs="Times New Roman"/>
      <w:szCs w:val="21"/>
    </w:rPr>
  </w:style>
  <w:style w:type="character" w:customStyle="1" w:styleId="143">
    <w:name w:val="正文文本缩进 2 Char1"/>
    <w:basedOn w:val="40"/>
    <w:link w:val="24"/>
    <w:semiHidden/>
    <w:qFormat/>
    <w:uiPriority w:val="99"/>
    <w:rPr>
      <w:rFonts w:ascii="Times New Roman" w:hAnsi="Times New Roman" w:eastAsia="宋体" w:cs="Times New Roman"/>
      <w:szCs w:val="21"/>
    </w:rPr>
  </w:style>
  <w:style w:type="character" w:customStyle="1" w:styleId="144">
    <w:name w:val="明显引用 Char2"/>
    <w:basedOn w:val="40"/>
    <w:link w:val="114"/>
    <w:qFormat/>
    <w:uiPriority w:val="30"/>
    <w:rPr>
      <w:rFonts w:ascii="Times New Roman" w:hAnsi="Times New Roman" w:eastAsia="宋体" w:cs="Times New Roman"/>
      <w:b/>
      <w:bCs/>
      <w:i/>
      <w:iCs/>
      <w:color w:val="4F81BD" w:themeColor="accent1"/>
      <w:szCs w:val="21"/>
      <w14:textFill>
        <w14:solidFill>
          <w14:schemeClr w14:val="accent1"/>
        </w14:solidFill>
      </w14:textFill>
    </w:rPr>
  </w:style>
  <w:style w:type="character" w:customStyle="1" w:styleId="145">
    <w:name w:val="批注主题 Char2"/>
    <w:basedOn w:val="142"/>
    <w:link w:val="38"/>
    <w:semiHidden/>
    <w:qFormat/>
    <w:uiPriority w:val="99"/>
    <w:rPr>
      <w:b/>
      <w:bCs/>
    </w:rPr>
  </w:style>
  <w:style w:type="character" w:customStyle="1" w:styleId="146">
    <w:name w:val="批注框文本 Char2"/>
    <w:basedOn w:val="40"/>
    <w:link w:val="25"/>
    <w:semiHidden/>
    <w:qFormat/>
    <w:uiPriority w:val="99"/>
    <w:rPr>
      <w:rFonts w:ascii="Times New Roman" w:hAnsi="Times New Roman" w:eastAsia="宋体" w:cs="Times New Roman"/>
      <w:sz w:val="18"/>
      <w:szCs w:val="18"/>
    </w:rPr>
  </w:style>
  <w:style w:type="character" w:customStyle="1" w:styleId="147">
    <w:name w:val="文档结构图 Char2"/>
    <w:basedOn w:val="40"/>
    <w:link w:val="14"/>
    <w:semiHidden/>
    <w:qFormat/>
    <w:uiPriority w:val="99"/>
    <w:rPr>
      <w:rFonts w:ascii="宋体" w:hAnsi="Times New Roman" w:eastAsia="宋体" w:cs="Times New Roman"/>
      <w:sz w:val="18"/>
      <w:szCs w:val="18"/>
    </w:rPr>
  </w:style>
  <w:style w:type="character" w:customStyle="1" w:styleId="148">
    <w:name w:val="正文文本缩进 Char1"/>
    <w:basedOn w:val="40"/>
    <w:link w:val="17"/>
    <w:semiHidden/>
    <w:qFormat/>
    <w:uiPriority w:val="99"/>
    <w:rPr>
      <w:rFonts w:ascii="Times New Roman" w:hAnsi="Times New Roman" w:eastAsia="宋体" w:cs="Times New Roman"/>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1">
    <w:name w:val="修订1"/>
    <w:qFormat/>
    <w:uiPriority w:val="0"/>
    <w:rPr>
      <w:rFonts w:ascii="Times New Roman" w:hAnsi="Times New Roman" w:eastAsia="宋体" w:cs="Times New Roman"/>
      <w:kern w:val="2"/>
      <w:sz w:val="21"/>
      <w:szCs w:val="24"/>
      <w:lang w:val="en-US" w:eastAsia="zh-CN" w:bidi="ar-SA"/>
    </w:rPr>
  </w:style>
  <w:style w:type="character" w:customStyle="1" w:styleId="152">
    <w:name w:val="脚注文本 Char1"/>
    <w:basedOn w:val="40"/>
    <w:link w:val="31"/>
    <w:semiHidden/>
    <w:qFormat/>
    <w:uiPriority w:val="99"/>
    <w:rPr>
      <w:rFonts w:ascii="Times New Roman" w:hAnsi="Times New Roman" w:eastAsia="宋体" w:cs="Times New Roman"/>
      <w:sz w:val="18"/>
      <w:szCs w:val="18"/>
    </w:rPr>
  </w:style>
  <w:style w:type="character" w:customStyle="1" w:styleId="153">
    <w:name w:val="副标题 Char"/>
    <w:basedOn w:val="40"/>
    <w:link w:val="30"/>
    <w:qFormat/>
    <w:uiPriority w:val="0"/>
    <w:rPr>
      <w:rFonts w:ascii="Cambria" w:hAnsi="Cambria" w:eastAsia="宋体" w:cs="Times New Roman"/>
      <w:b/>
      <w:bCs/>
      <w:kern w:val="28"/>
      <w:sz w:val="32"/>
      <w:szCs w:val="32"/>
    </w:rPr>
  </w:style>
  <w:style w:type="paragraph" w:customStyle="1" w:styleId="154">
    <w:name w:val="Char Char Char Char Char Char Char"/>
    <w:basedOn w:val="1"/>
    <w:qFormat/>
    <w:uiPriority w:val="0"/>
    <w:pPr>
      <w:widowControl/>
      <w:spacing w:after="160" w:line="240" w:lineRule="exact"/>
      <w:jc w:val="left"/>
    </w:pPr>
    <w:rPr>
      <w:szCs w:val="24"/>
    </w:rPr>
  </w:style>
  <w:style w:type="paragraph" w:customStyle="1" w:styleId="155">
    <w:name w:val="Char"/>
    <w:basedOn w:val="1"/>
    <w:qFormat/>
    <w:uiPriority w:val="0"/>
    <w:pPr>
      <w:widowControl/>
      <w:spacing w:after="160" w:line="240" w:lineRule="exact"/>
      <w:jc w:val="left"/>
    </w:pPr>
    <w:rPr>
      <w:szCs w:val="24"/>
    </w:rPr>
  </w:style>
  <w:style w:type="paragraph" w:customStyle="1" w:styleId="156">
    <w:name w:val="_Style 37"/>
    <w:basedOn w:val="1"/>
    <w:next w:val="1"/>
    <w:qFormat/>
    <w:uiPriority w:val="0"/>
    <w:rPr>
      <w:szCs w:val="24"/>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8">
    <w:name w:val="样式1"/>
    <w:basedOn w:val="1"/>
    <w:next w:val="5"/>
    <w:qFormat/>
    <w:uiPriority w:val="0"/>
    <w:pPr>
      <w:spacing w:line="360" w:lineRule="auto"/>
      <w:ind w:firstLine="420" w:firstLineChars="200"/>
    </w:pPr>
    <w:rPr>
      <w:rFonts w:ascii="宋体" w:hAnsi="宋体"/>
    </w:rPr>
  </w:style>
  <w:style w:type="paragraph" w:styleId="15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引用 Char2"/>
    <w:basedOn w:val="40"/>
    <w:link w:val="74"/>
    <w:qFormat/>
    <w:uiPriority w:val="29"/>
    <w:rPr>
      <w:rFonts w:ascii="Times New Roman" w:hAnsi="Times New Roman" w:eastAsia="宋体" w:cs="Times New Roman"/>
      <w:i/>
      <w:iCs/>
      <w:color w:val="000000" w:themeColor="text1"/>
      <w:szCs w:val="21"/>
      <w14:textFill>
        <w14:solidFill>
          <w14:schemeClr w14:val="tx1"/>
        </w14:solidFill>
      </w14:textFill>
    </w:rPr>
  </w:style>
  <w:style w:type="paragraph" w:customStyle="1" w:styleId="161">
    <w:name w:val="Char1"/>
    <w:basedOn w:val="1"/>
    <w:qFormat/>
    <w:uiPriority w:val="0"/>
    <w:pPr>
      <w:widowControl/>
      <w:spacing w:after="160" w:line="240" w:lineRule="exact"/>
      <w:jc w:val="left"/>
    </w:pPr>
    <w:rPr>
      <w:szCs w:val="24"/>
    </w:rPr>
  </w:style>
  <w:style w:type="paragraph" w:customStyle="1" w:styleId="16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TOC 标题1"/>
    <w:basedOn w:val="2"/>
    <w:next w:val="1"/>
    <w:qFormat/>
    <w:uiPriority w:val="0"/>
    <w:pPr>
      <w:keepLines/>
      <w:spacing w:before="340" w:after="330" w:line="576" w:lineRule="auto"/>
      <w:outlineLvl w:val="9"/>
    </w:pPr>
    <w:rPr>
      <w:rFonts w:ascii="Calibri" w:hAnsi="Calibri" w:eastAsia="黑体"/>
      <w:kern w:val="44"/>
      <w:sz w:val="44"/>
      <w:szCs w:val="44"/>
    </w:rPr>
  </w:style>
  <w:style w:type="paragraph" w:customStyle="1" w:styleId="164">
    <w:name w:val="2-2ji"/>
    <w:basedOn w:val="3"/>
    <w:qFormat/>
    <w:uiPriority w:val="0"/>
    <w:pPr>
      <w:spacing w:before="0" w:after="0" w:line="360" w:lineRule="auto"/>
      <w:jc w:val="center"/>
    </w:pPr>
    <w:rPr>
      <w:rFonts w:ascii="宋体" w:hAnsi="宋体" w:eastAsia="宋体"/>
      <w:sz w:val="36"/>
      <w:szCs w:val="24"/>
    </w:rPr>
  </w:style>
  <w:style w:type="paragraph" w:customStyle="1" w:styleId="16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6">
    <w:name w:val="p0"/>
    <w:basedOn w:val="1"/>
    <w:qFormat/>
    <w:uiPriority w:val="0"/>
    <w:pPr>
      <w:widowControl/>
    </w:pPr>
    <w:rPr>
      <w:rFonts w:ascii="Calibri" w:hAnsi="Calibri" w:cs="宋体"/>
      <w:kern w:val="0"/>
    </w:rPr>
  </w:style>
  <w:style w:type="paragraph" w:customStyle="1" w:styleId="16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168">
    <w:name w:val="List Paragraph"/>
    <w:basedOn w:val="1"/>
    <w:qFormat/>
    <w:uiPriority w:val="0"/>
    <w:pPr>
      <w:ind w:firstLine="420" w:firstLineChars="200"/>
    </w:pPr>
    <w:rPr>
      <w:rFonts w:ascii="Calibri" w:hAnsi="Calibri"/>
      <w:szCs w:val="22"/>
    </w:rPr>
  </w:style>
  <w:style w:type="paragraph" w:customStyle="1" w:styleId="16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1"/>
      <w:szCs w:val="20"/>
    </w:rPr>
  </w:style>
  <w:style w:type="paragraph" w:customStyle="1" w:styleId="170">
    <w:name w:val="列出段落1"/>
    <w:basedOn w:val="1"/>
    <w:qFormat/>
    <w:uiPriority w:val="0"/>
    <w:pPr>
      <w:ind w:firstLine="420" w:firstLineChars="200"/>
    </w:pPr>
    <w:rPr>
      <w:rFonts w:ascii="Calibri" w:hAnsi="Calibri"/>
      <w:szCs w:val="22"/>
    </w:rPr>
  </w:style>
  <w:style w:type="paragraph" w:customStyle="1" w:styleId="17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2">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8117d75-04e8-4e98-a6fd-fd70f2ae5168}"/>
        <w:style w:val=""/>
        <w:category>
          <w:name w:val="常规"/>
          <w:gallery w:val="placeholder"/>
        </w:category>
        <w:types>
          <w:type w:val="bbPlcHdr"/>
        </w:types>
        <w:behaviors>
          <w:behavior w:val="content"/>
        </w:behaviors>
        <w:description w:val=""/>
        <w:guid w:val="{d8117d75-04e8-4e98-a6fd-fd70f2ae5168}"/>
      </w:docPartPr>
      <w:docPartBody>
        <w:p>
          <w:r>
            <w:rPr>
              <w:color w:val="808080"/>
            </w:rPr>
            <w:t>单击此处输入文字。</w:t>
          </w:r>
        </w:p>
      </w:docPartBody>
    </w:docPart>
    <w:docPart>
      <w:docPartPr>
        <w:name w:val="{0fc61fb0-bd04-4c26-ac38-cf579e53e09c}"/>
        <w:style w:val=""/>
        <w:category>
          <w:name w:val="常规"/>
          <w:gallery w:val="placeholder"/>
        </w:category>
        <w:types>
          <w:type w:val="bbPlcHdr"/>
        </w:types>
        <w:behaviors>
          <w:behavior w:val="content"/>
        </w:behaviors>
        <w:description w:val=""/>
        <w:guid w:val="{0fc61fb0-bd04-4c26-ac38-cf579e53e09c}"/>
      </w:docPartPr>
      <w:docPartBody>
        <w:p>
          <w:r>
            <w:rPr>
              <w:color w:val="808080"/>
            </w:rPr>
            <w:t>单击此处输入文字。</w:t>
          </w:r>
        </w:p>
      </w:docPartBody>
    </w:docPart>
    <w:docPart>
      <w:docPartPr>
        <w:name w:val="{a1101f80-2dae-44ba-a892-5cd81988f710}"/>
        <w:style w:val=""/>
        <w:category>
          <w:name w:val="常规"/>
          <w:gallery w:val="placeholder"/>
        </w:category>
        <w:types>
          <w:type w:val="bbPlcHdr"/>
        </w:types>
        <w:behaviors>
          <w:behavior w:val="content"/>
        </w:behaviors>
        <w:description w:val=""/>
        <w:guid w:val="{a1101f80-2dae-44ba-a892-5cd81988f710}"/>
      </w:docPartPr>
      <w:docPartBody>
        <w:p>
          <w:r>
            <w:rPr>
              <w:color w:val="808080"/>
            </w:rPr>
            <w:t>单击此处输入文字。</w:t>
          </w:r>
        </w:p>
      </w:docPartBody>
    </w:docPart>
    <w:docPart>
      <w:docPartPr>
        <w:name w:val="{b767e853-1574-4fbd-8db1-e321d7ddf138}"/>
        <w:style w:val=""/>
        <w:category>
          <w:name w:val="常规"/>
          <w:gallery w:val="placeholder"/>
        </w:category>
        <w:types>
          <w:type w:val="bbPlcHdr"/>
        </w:types>
        <w:behaviors>
          <w:behavior w:val="content"/>
        </w:behaviors>
        <w:description w:val=""/>
        <w:guid w:val="{b767e853-1574-4fbd-8db1-e321d7ddf138}"/>
      </w:docPartPr>
      <w:docPartBody>
        <w:p>
          <w:r>
            <w:rPr>
              <w:color w:val="808080"/>
            </w:rPr>
            <w:t>单击此处输入文字。</w:t>
          </w:r>
        </w:p>
      </w:docPartBody>
    </w:docPart>
    <w:docPart>
      <w:docPartPr>
        <w:name w:val="{39818ce7-31d8-4a28-9b12-5abf42927f17}"/>
        <w:style w:val=""/>
        <w:category>
          <w:name w:val="常规"/>
          <w:gallery w:val="placeholder"/>
        </w:category>
        <w:types>
          <w:type w:val="bbPlcHdr"/>
        </w:types>
        <w:behaviors>
          <w:behavior w:val="content"/>
        </w:behaviors>
        <w:description w:val=""/>
        <w:guid w:val="{39818ce7-31d8-4a28-9b12-5abf42927f17}"/>
      </w:docPartPr>
      <w:docPartBody>
        <w:p>
          <w:r>
            <w:rPr>
              <w:color w:val="808080"/>
            </w:rPr>
            <w:t>单击此处输入文字。</w:t>
          </w:r>
        </w:p>
      </w:docPartBody>
    </w:docPart>
    <w:docPart>
      <w:docPartPr>
        <w:name w:val="{cb2f0f3d-abb7-4c81-8b14-3c1d4c772558}"/>
        <w:style w:val=""/>
        <w:category>
          <w:name w:val="常规"/>
          <w:gallery w:val="placeholder"/>
        </w:category>
        <w:types>
          <w:type w:val="bbPlcHdr"/>
        </w:types>
        <w:behaviors>
          <w:behavior w:val="content"/>
        </w:behaviors>
        <w:description w:val=""/>
        <w:guid w:val="{cb2f0f3d-abb7-4c81-8b14-3c1d4c772558}"/>
      </w:docPartPr>
      <w:docPartBody>
        <w:p>
          <w:r>
            <w:rPr>
              <w:color w:val="808080"/>
            </w:rPr>
            <w:t>单击此处输入文字。</w:t>
          </w:r>
        </w:p>
      </w:docPartBody>
    </w:docPart>
    <w:docPart>
      <w:docPartPr>
        <w:name w:val="{385789ee-d407-43db-a463-40c39acedae4}"/>
        <w:style w:val=""/>
        <w:category>
          <w:name w:val="常规"/>
          <w:gallery w:val="placeholder"/>
        </w:category>
        <w:types>
          <w:type w:val="bbPlcHdr"/>
        </w:types>
        <w:behaviors>
          <w:behavior w:val="content"/>
        </w:behaviors>
        <w:description w:val=""/>
        <w:guid w:val="{385789ee-d407-43db-a463-40c39acedae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6702</Words>
  <Characters>38208</Characters>
  <Lines>318</Lines>
  <Paragraphs>89</Paragraphs>
  <TotalTime>3</TotalTime>
  <ScaleCrop>false</ScaleCrop>
  <LinksUpToDate>false</LinksUpToDate>
  <CharactersWithSpaces>44821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2018-09-13T11:44:00Z</dcterms:created>
  <dc:creator>PC</dc:creator>
  <cp:lastModifiedBy>流年Cara</cp:lastModifiedBy>
  <cp:lastPrinted>2020-07-31T02:15:00Z</cp:lastPrinted>
  <dcterms:modified xsi:type="dcterms:W3CDTF">2020-07-31T02:41:09Z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