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rPr>
          <w:rFonts w:ascii="宋体" w:hAnsi="宋体"/>
          <w:b/>
          <w:sz w:val="44"/>
          <w:szCs w:val="44"/>
        </w:rPr>
      </w:pPr>
      <w:bookmarkStart w:id="0" w:name="_Toc183682338"/>
      <w:bookmarkStart w:id="1" w:name="_Toc217446030"/>
    </w:p>
    <w:p>
      <w:pPr>
        <w:spacing w:before="120" w:beforeLines="50"/>
        <w:jc w:val="center"/>
        <w:rPr>
          <w:rFonts w:ascii="宋体" w:hAnsi="宋体"/>
          <w:b/>
          <w:sz w:val="48"/>
          <w:szCs w:val="48"/>
        </w:rPr>
      </w:pPr>
      <w:r>
        <w:rPr>
          <w:rFonts w:hint="eastAsia" w:ascii="宋体" w:hAnsi="宋体"/>
          <w:b/>
          <w:sz w:val="48"/>
          <w:szCs w:val="48"/>
        </w:rPr>
        <w:t>广西德元工程项目管理有限责任公司</w:t>
      </w:r>
    </w:p>
    <w:p>
      <w:pPr>
        <w:spacing w:before="120" w:beforeLines="50"/>
        <w:rPr>
          <w:rFonts w:ascii="宋体" w:hAnsi="宋体"/>
          <w:sz w:val="48"/>
          <w:szCs w:val="48"/>
        </w:rPr>
      </w:pPr>
    </w:p>
    <w:p>
      <w:pPr>
        <w:spacing w:before="120" w:beforeLines="50"/>
        <w:jc w:val="center"/>
        <w:rPr>
          <w:rFonts w:ascii="宋体" w:hAnsi="宋体"/>
          <w:sz w:val="48"/>
          <w:szCs w:val="48"/>
        </w:rPr>
      </w:pPr>
    </w:p>
    <w:p>
      <w:pPr>
        <w:spacing w:before="120" w:beforeLines="50"/>
        <w:jc w:val="center"/>
        <w:rPr>
          <w:rFonts w:ascii="宋体" w:hAnsi="宋体"/>
          <w:sz w:val="52"/>
          <w:szCs w:val="52"/>
        </w:rPr>
      </w:pPr>
      <w:r>
        <w:rPr>
          <w:rFonts w:hint="eastAsia" w:ascii="宋体" w:hAnsi="宋体"/>
          <w:sz w:val="52"/>
          <w:szCs w:val="52"/>
        </w:rPr>
        <w:t>公开招标采购文件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ind w:left="2722" w:leftChars="396" w:hanging="1890" w:hangingChars="900"/>
        <w:rPr>
          <w:rFonts w:ascii="宋体" w:hAnsi="宋体"/>
          <w:b/>
          <w:bCs/>
          <w:sz w:val="30"/>
          <w:szCs w:val="30"/>
        </w:rPr>
      </w:pPr>
      <w:r>
        <w:rPr>
          <w:rFonts w:hint="eastAsia" w:ascii="宋体" w:hAnsi="宋体"/>
        </w:rPr>
        <w:t xml:space="preserve">    </w:t>
      </w:r>
      <w:r>
        <w:rPr>
          <w:rFonts w:hint="eastAsia" w:ascii="宋体" w:hAnsi="宋体"/>
          <w:b/>
          <w:bCs/>
          <w:sz w:val="30"/>
          <w:szCs w:val="30"/>
        </w:rPr>
        <w:t>项目名称：</w:t>
      </w:r>
      <w:r>
        <w:rPr>
          <w:rFonts w:hint="eastAsia" w:ascii="宋体" w:hAnsi="宋体"/>
          <w:b/>
          <w:bCs/>
          <w:sz w:val="30"/>
          <w:szCs w:val="30"/>
          <w:highlight w:val="none"/>
        </w:rPr>
        <w:t xml:space="preserve">防城港市西湾新城控制性详细规划 </w:t>
      </w:r>
      <w:r>
        <w:rPr>
          <w:rFonts w:hint="eastAsia" w:ascii="宋体" w:hAnsi="宋体"/>
          <w:b/>
          <w:bCs/>
          <w:sz w:val="30"/>
          <w:szCs w:val="30"/>
        </w:rPr>
        <w:t xml:space="preserve">       </w:t>
      </w:r>
    </w:p>
    <w:p>
      <w:pPr>
        <w:snapToGrid w:val="0"/>
        <w:spacing w:before="120" w:beforeLines="50" w:line="360" w:lineRule="auto"/>
        <w:ind w:firstLine="1193" w:firstLineChars="396"/>
        <w:rPr>
          <w:rFonts w:ascii="宋体" w:hAnsi="宋体"/>
          <w:b/>
          <w:bCs/>
          <w:sz w:val="30"/>
          <w:szCs w:val="30"/>
        </w:rPr>
      </w:pPr>
      <w:r>
        <w:rPr>
          <w:rFonts w:hint="eastAsia" w:ascii="宋体" w:hAnsi="宋体"/>
          <w:b/>
          <w:bCs/>
          <w:sz w:val="30"/>
          <w:szCs w:val="30"/>
        </w:rPr>
        <w:t>项目编号：FCZC2021-G3-10004-GXDY</w:t>
      </w:r>
    </w:p>
    <w:p>
      <w:pPr>
        <w:snapToGrid w:val="0"/>
        <w:spacing w:before="120" w:beforeLines="50" w:line="360" w:lineRule="auto"/>
        <w:ind w:firstLine="1193" w:firstLineChars="396"/>
        <w:rPr>
          <w:rFonts w:ascii="宋体" w:hAnsi="宋体"/>
          <w:b/>
          <w:bCs/>
          <w:sz w:val="30"/>
          <w:szCs w:val="30"/>
        </w:rPr>
      </w:pPr>
    </w:p>
    <w:p>
      <w:pPr>
        <w:snapToGrid w:val="0"/>
        <w:spacing w:before="120" w:beforeLines="50" w:line="360" w:lineRule="auto"/>
        <w:ind w:firstLine="1193" w:firstLineChars="396"/>
        <w:rPr>
          <w:rFonts w:ascii="宋体" w:hAnsi="宋体"/>
          <w:b/>
          <w:bCs/>
          <w:sz w:val="30"/>
          <w:szCs w:val="30"/>
        </w:rPr>
      </w:pPr>
    </w:p>
    <w:p>
      <w:pPr>
        <w:snapToGrid w:val="0"/>
        <w:spacing w:before="120" w:beforeLines="50" w:line="360" w:lineRule="auto"/>
        <w:ind w:firstLine="1193" w:firstLineChars="396"/>
        <w:rPr>
          <w:rFonts w:ascii="宋体" w:hAnsi="宋体"/>
          <w:b/>
          <w:bCs/>
          <w:sz w:val="30"/>
          <w:szCs w:val="30"/>
        </w:rPr>
      </w:pPr>
    </w:p>
    <w:p>
      <w:pPr>
        <w:snapToGrid w:val="0"/>
        <w:spacing w:before="120" w:beforeLines="50" w:line="360" w:lineRule="auto"/>
        <w:ind w:firstLine="1193" w:firstLineChars="396"/>
        <w:rPr>
          <w:rFonts w:ascii="宋体" w:hAnsi="宋体"/>
          <w:b/>
          <w:bCs/>
          <w:sz w:val="30"/>
          <w:szCs w:val="30"/>
        </w:rPr>
      </w:pPr>
    </w:p>
    <w:p>
      <w:pPr>
        <w:snapToGrid w:val="0"/>
        <w:spacing w:before="120" w:beforeLines="50" w:line="360" w:lineRule="auto"/>
        <w:ind w:firstLine="1193" w:firstLineChars="396"/>
        <w:rPr>
          <w:rFonts w:ascii="宋体" w:hAnsi="宋体"/>
          <w:b/>
          <w:bCs/>
          <w:sz w:val="30"/>
          <w:szCs w:val="30"/>
        </w:rPr>
      </w:pPr>
    </w:p>
    <w:p>
      <w:pPr>
        <w:snapToGrid w:val="0"/>
        <w:spacing w:before="120" w:beforeLines="50" w:line="360" w:lineRule="auto"/>
        <w:ind w:firstLine="1193" w:firstLineChars="396"/>
        <w:rPr>
          <w:rFonts w:ascii="宋体" w:hAnsi="宋体"/>
          <w:b/>
          <w:bCs/>
          <w:sz w:val="30"/>
          <w:szCs w:val="30"/>
        </w:rPr>
      </w:pPr>
    </w:p>
    <w:p>
      <w:pPr>
        <w:pStyle w:val="26"/>
        <w:snapToGrid w:val="0"/>
        <w:spacing w:before="120" w:after="120" w:line="360" w:lineRule="auto"/>
        <w:rPr>
          <w:rFonts w:hAnsi="宋体"/>
          <w:b/>
          <w:bCs/>
          <w:w w:val="95"/>
          <w:sz w:val="30"/>
          <w:szCs w:val="30"/>
        </w:rPr>
      </w:pPr>
      <w:r>
        <w:rPr>
          <w:rFonts w:hint="eastAsia" w:hAnsi="宋体"/>
          <w:w w:val="95"/>
        </w:rPr>
        <w:t xml:space="preserve">            </w:t>
      </w:r>
      <w:r>
        <w:rPr>
          <w:rFonts w:hint="eastAsia" w:hAnsi="宋体"/>
          <w:b/>
          <w:bCs/>
          <w:w w:val="95"/>
          <w:sz w:val="30"/>
          <w:szCs w:val="30"/>
        </w:rPr>
        <w:t>采购单位：防城港市自然资源局</w:t>
      </w:r>
    </w:p>
    <w:p>
      <w:pPr>
        <w:rPr>
          <w:rFonts w:ascii="宋体" w:hAnsi="宋体" w:cs="Courier New"/>
          <w:b/>
          <w:bCs/>
          <w:w w:val="95"/>
          <w:sz w:val="30"/>
          <w:szCs w:val="30"/>
        </w:rPr>
      </w:pPr>
      <w:r>
        <w:rPr>
          <w:rFonts w:hint="eastAsia" w:ascii="宋体" w:hAnsi="宋体" w:cs="Courier New"/>
          <w:b/>
          <w:bCs/>
          <w:w w:val="95"/>
          <w:sz w:val="30"/>
          <w:szCs w:val="30"/>
        </w:rPr>
        <w:t xml:space="preserve">        采购代理机构：广西德元工程项目管理有限责任公司</w:t>
      </w:r>
    </w:p>
    <w:p>
      <w:pPr>
        <w:rPr>
          <w:rFonts w:ascii="宋体" w:hAnsi="宋体" w:cs="Courier New"/>
          <w:b/>
          <w:bCs/>
          <w:w w:val="95"/>
          <w:sz w:val="30"/>
          <w:szCs w:val="30"/>
        </w:rPr>
      </w:pPr>
      <w:r>
        <w:rPr>
          <w:rFonts w:hint="eastAsia" w:ascii="宋体" w:hAnsi="宋体" w:cs="Courier New"/>
          <w:b/>
          <w:bCs/>
          <w:w w:val="95"/>
          <w:sz w:val="30"/>
          <w:szCs w:val="30"/>
        </w:rPr>
        <w:t xml:space="preserve">           </w:t>
      </w:r>
    </w:p>
    <w:p>
      <w:pPr>
        <w:rPr>
          <w:rFonts w:ascii="宋体" w:hAnsi="宋体" w:cs="Courier New"/>
          <w:b/>
          <w:bCs/>
          <w:w w:val="95"/>
          <w:sz w:val="30"/>
          <w:szCs w:val="30"/>
        </w:rPr>
      </w:pPr>
    </w:p>
    <w:p>
      <w:pPr>
        <w:ind w:firstLine="3692" w:firstLineChars="1290"/>
        <w:rPr>
          <w:rFonts w:ascii="宋体" w:hAnsi="宋体" w:cs="Courier New"/>
          <w:b/>
          <w:bCs/>
          <w:w w:val="95"/>
          <w:sz w:val="30"/>
          <w:szCs w:val="30"/>
        </w:rPr>
      </w:pPr>
      <w:r>
        <w:rPr>
          <w:rFonts w:hint="eastAsia" w:ascii="宋体" w:hAnsi="宋体" w:cs="Courier New"/>
          <w:b/>
          <w:bCs/>
          <w:w w:val="95"/>
          <w:sz w:val="30"/>
          <w:szCs w:val="30"/>
        </w:rPr>
        <w:t>2021年</w:t>
      </w:r>
      <w:r>
        <w:rPr>
          <w:rFonts w:hint="eastAsia" w:ascii="宋体" w:hAnsi="宋体" w:cs="Courier New"/>
          <w:b/>
          <w:bCs/>
          <w:w w:val="95"/>
          <w:sz w:val="30"/>
          <w:szCs w:val="30"/>
          <w:lang w:val="en-US" w:eastAsia="zh-CN"/>
        </w:rPr>
        <w:t>9</w:t>
      </w:r>
      <w:r>
        <w:rPr>
          <w:rFonts w:hint="eastAsia" w:ascii="宋体" w:hAnsi="宋体" w:cs="Courier New"/>
          <w:b/>
          <w:bCs/>
          <w:w w:val="95"/>
          <w:sz w:val="30"/>
          <w:szCs w:val="30"/>
        </w:rPr>
        <w:t>月</w:t>
      </w:r>
    </w:p>
    <w:p>
      <w:pPr>
        <w:snapToGrid w:val="0"/>
        <w:spacing w:line="500" w:lineRule="exact"/>
        <w:rPr>
          <w:rFonts w:ascii="宋体" w:hAnsi="宋体" w:cs="宋体"/>
          <w:b/>
          <w:sz w:val="32"/>
          <w:szCs w:val="32"/>
        </w:rPr>
        <w:sectPr>
          <w:headerReference r:id="rId4" w:type="first"/>
          <w:footerReference r:id="rId5" w:type="default"/>
          <w:headerReference r:id="rId3" w:type="even"/>
          <w:footerReference r:id="rId6" w:type="even"/>
          <w:pgSz w:w="11907" w:h="16840"/>
          <w:pgMar w:top="1440" w:right="1080" w:bottom="1440" w:left="1080" w:header="680" w:footer="907" w:gutter="0"/>
          <w:pgNumType w:start="0"/>
          <w:cols w:space="720" w:num="1"/>
          <w:titlePg/>
          <w:docGrid w:linePitch="271" w:charSpace="0"/>
        </w:sectPr>
      </w:pPr>
    </w:p>
    <w:p>
      <w:pPr>
        <w:pStyle w:val="26"/>
        <w:spacing w:before="120" w:after="120" w:line="360" w:lineRule="auto"/>
        <w:jc w:val="center"/>
        <w:rPr>
          <w:rFonts w:hAnsi="宋体" w:cs="宋体"/>
          <w:b/>
          <w:sz w:val="36"/>
          <w:szCs w:val="36"/>
        </w:rPr>
      </w:pPr>
      <w:r>
        <w:rPr>
          <w:rFonts w:hint="eastAsia" w:hAnsi="宋体" w:cs="宋体"/>
          <w:b/>
          <w:sz w:val="36"/>
          <w:szCs w:val="36"/>
        </w:rPr>
        <w:t>目录</w:t>
      </w:r>
    </w:p>
    <w:p>
      <w:pPr>
        <w:numPr>
          <w:ilvl w:val="0"/>
          <w:numId w:val="5"/>
        </w:numPr>
        <w:spacing w:before="120" w:beforeLines="50" w:line="480" w:lineRule="exact"/>
        <w:rPr>
          <w:rFonts w:ascii="宋体" w:hAnsi="宋体" w:cs="宋体"/>
          <w:b/>
          <w:sz w:val="24"/>
        </w:rPr>
      </w:pPr>
      <w:r>
        <w:rPr>
          <w:rFonts w:hint="eastAsia" w:ascii="宋体" w:hAnsi="宋体" w:cs="宋体"/>
          <w:b/>
          <w:sz w:val="24"/>
        </w:rPr>
        <w:t>公开招标公告……………………………………………………………2</w:t>
      </w:r>
    </w:p>
    <w:p>
      <w:pPr>
        <w:numPr>
          <w:ilvl w:val="0"/>
          <w:numId w:val="6"/>
        </w:numPr>
        <w:tabs>
          <w:tab w:val="left" w:pos="1440"/>
        </w:tabs>
        <w:spacing w:before="120" w:beforeLines="50" w:line="480" w:lineRule="exact"/>
        <w:rPr>
          <w:rFonts w:ascii="宋体" w:hAnsi="宋体" w:cs="宋体"/>
          <w:b/>
          <w:sz w:val="24"/>
        </w:rPr>
      </w:pPr>
      <w:r>
        <w:rPr>
          <w:rFonts w:hint="eastAsia" w:ascii="宋体" w:hAnsi="宋体" w:cs="宋体"/>
          <w:b/>
          <w:sz w:val="24"/>
        </w:rPr>
        <w:t>项目采购需求……………………………………………………………4</w:t>
      </w:r>
    </w:p>
    <w:p>
      <w:pPr>
        <w:numPr>
          <w:ilvl w:val="0"/>
          <w:numId w:val="6"/>
        </w:numPr>
        <w:tabs>
          <w:tab w:val="left" w:pos="1440"/>
        </w:tabs>
        <w:spacing w:before="120" w:beforeLines="50" w:line="480" w:lineRule="exact"/>
        <w:rPr>
          <w:rFonts w:ascii="宋体" w:hAnsi="宋体" w:cs="宋体"/>
          <w:b/>
          <w:sz w:val="24"/>
        </w:rPr>
      </w:pPr>
      <w:r>
        <w:rPr>
          <w:rFonts w:hint="eastAsia" w:ascii="宋体" w:hAnsi="宋体" w:cs="宋体"/>
          <w:b/>
          <w:sz w:val="24"/>
        </w:rPr>
        <w:t>投标人须知………………………………………………………………</w:t>
      </w:r>
      <w:r>
        <w:rPr>
          <w:rFonts w:hint="eastAsia" w:ascii="宋体" w:hAnsi="宋体" w:cs="宋体"/>
          <w:b/>
          <w:sz w:val="24"/>
          <w:lang w:val="en-US" w:eastAsia="zh-CN"/>
        </w:rPr>
        <w:t>5</w:t>
      </w:r>
    </w:p>
    <w:p>
      <w:pPr>
        <w:numPr>
          <w:ilvl w:val="0"/>
          <w:numId w:val="6"/>
        </w:numPr>
        <w:tabs>
          <w:tab w:val="left" w:pos="1440"/>
        </w:tabs>
        <w:spacing w:before="120" w:beforeLines="50" w:line="480" w:lineRule="exact"/>
        <w:rPr>
          <w:rFonts w:ascii="宋体" w:hAnsi="宋体" w:cs="宋体"/>
          <w:b/>
          <w:sz w:val="24"/>
        </w:rPr>
      </w:pPr>
      <w:r>
        <w:rPr>
          <w:rFonts w:hint="eastAsia" w:ascii="宋体" w:hAnsi="宋体" w:cs="宋体"/>
          <w:b/>
          <w:sz w:val="24"/>
        </w:rPr>
        <w:t>评标办法及评分标准……………………………………………………20</w:t>
      </w:r>
    </w:p>
    <w:p>
      <w:pPr>
        <w:numPr>
          <w:ilvl w:val="0"/>
          <w:numId w:val="6"/>
        </w:numPr>
        <w:tabs>
          <w:tab w:val="left" w:pos="1440"/>
        </w:tabs>
        <w:spacing w:before="120" w:beforeLines="50" w:line="480" w:lineRule="exact"/>
        <w:rPr>
          <w:rFonts w:ascii="宋体" w:hAnsi="宋体" w:cs="宋体"/>
          <w:b/>
          <w:sz w:val="24"/>
        </w:rPr>
      </w:pPr>
      <w:r>
        <w:rPr>
          <w:rFonts w:hint="eastAsia" w:ascii="宋体" w:hAnsi="宋体" w:cs="宋体"/>
          <w:b/>
          <w:sz w:val="24"/>
        </w:rPr>
        <w:t>政府采购合同主要条款…………………………………………………2</w:t>
      </w:r>
      <w:r>
        <w:rPr>
          <w:rFonts w:hint="eastAsia" w:ascii="宋体" w:hAnsi="宋体" w:cs="宋体"/>
          <w:b/>
          <w:sz w:val="24"/>
          <w:lang w:val="en-US" w:eastAsia="zh-CN"/>
        </w:rPr>
        <w:t>4</w:t>
      </w:r>
    </w:p>
    <w:p>
      <w:pPr>
        <w:numPr>
          <w:ilvl w:val="0"/>
          <w:numId w:val="6"/>
        </w:numPr>
        <w:tabs>
          <w:tab w:val="left" w:pos="1440"/>
        </w:tabs>
        <w:spacing w:before="120" w:beforeLines="50" w:line="480" w:lineRule="exact"/>
        <w:rPr>
          <w:rFonts w:ascii="宋体" w:hAnsi="宋体" w:cs="宋体"/>
          <w:b/>
          <w:sz w:val="24"/>
        </w:rPr>
      </w:pPr>
      <w:r>
        <w:rPr>
          <w:rFonts w:hint="eastAsia" w:ascii="宋体" w:hAnsi="宋体" w:cs="宋体"/>
          <w:b/>
          <w:sz w:val="24"/>
        </w:rPr>
        <w:t>投标文件格式……………………………………………………………</w:t>
      </w:r>
      <w:r>
        <w:rPr>
          <w:rFonts w:hint="eastAsia" w:ascii="宋体" w:hAnsi="宋体" w:cs="宋体"/>
          <w:b/>
          <w:sz w:val="24"/>
          <w:lang w:val="en-US" w:eastAsia="zh-CN"/>
        </w:rPr>
        <w:t>31</w:t>
      </w:r>
    </w:p>
    <w:p>
      <w:pPr>
        <w:spacing w:before="120" w:beforeLines="50" w:line="480" w:lineRule="exact"/>
        <w:rPr>
          <w:rFonts w:ascii="宋体" w:hAnsi="宋体"/>
          <w:sz w:val="30"/>
          <w:highlight w:val="yellow"/>
        </w:rPr>
      </w:pPr>
    </w:p>
    <w:p>
      <w:pPr>
        <w:rPr>
          <w:rFonts w:ascii="宋体" w:hAnsi="宋体" w:cs="宋体"/>
        </w:rPr>
      </w:pPr>
    </w:p>
    <w:p>
      <w:pPr>
        <w:spacing w:before="120" w:beforeLines="50" w:line="480" w:lineRule="exact"/>
        <w:rPr>
          <w:rFonts w:ascii="宋体" w:hAnsi="宋体" w:cs="宋体"/>
          <w:sz w:val="24"/>
        </w:rPr>
      </w:pPr>
    </w:p>
    <w:p>
      <w:pPr>
        <w:pStyle w:val="7"/>
        <w:spacing w:before="0" w:after="0" w:line="380" w:lineRule="exact"/>
        <w:rPr>
          <w:rFonts w:ascii="宋体" w:hAnsi="宋体" w:eastAsia="宋体" w:cs="宋体"/>
          <w:b/>
          <w:bCs/>
          <w:highlight w:val="none"/>
        </w:rPr>
      </w:pPr>
      <w:r>
        <w:rPr>
          <w:rFonts w:hint="eastAsia" w:ascii="宋体" w:hAnsi="宋体" w:eastAsia="宋体" w:cs="宋体"/>
        </w:rPr>
        <w:br w:type="page"/>
      </w:r>
      <w:bookmarkStart w:id="2" w:name="_Toc254970630"/>
      <w:bookmarkStart w:id="3" w:name="_Toc254970489"/>
      <w:r>
        <w:rPr>
          <w:rFonts w:hint="eastAsia" w:ascii="宋体" w:hAnsi="宋体" w:eastAsia="宋体" w:cs="宋体"/>
          <w:b/>
          <w:bCs/>
          <w:sz w:val="36"/>
          <w:szCs w:val="36"/>
          <w:highlight w:val="none"/>
        </w:rPr>
        <w:t>第一章 公开招标公告</w:t>
      </w:r>
    </w:p>
    <w:p>
      <w:pPr>
        <w:pStyle w:val="7"/>
        <w:spacing w:before="0" w:after="0" w:line="380" w:lineRule="exact"/>
        <w:rPr>
          <w:rFonts w:ascii="宋体" w:hAnsi="宋体" w:eastAsia="宋体" w:cs="宋体"/>
          <w:b/>
          <w:bCs/>
          <w:highlight w:val="none"/>
        </w:rPr>
      </w:pPr>
      <w:r>
        <w:rPr>
          <w:rFonts w:hint="eastAsia" w:ascii="宋体" w:hAnsi="宋体" w:eastAsia="宋体" w:cs="宋体"/>
          <w:b/>
          <w:bCs/>
          <w:sz w:val="32"/>
          <w:szCs w:val="32"/>
          <w:highlight w:val="none"/>
        </w:rPr>
        <w:t xml:space="preserve">防城港市自然资源局 </w:t>
      </w:r>
      <w:r>
        <w:rPr>
          <w:rFonts w:hint="eastAsia" w:ascii="宋体" w:hAnsi="宋体" w:eastAsia="宋体" w:cs="宋体"/>
          <w:b/>
          <w:bCs/>
          <w:highlight w:val="none"/>
        </w:rPr>
        <w:t xml:space="preserve"> </w:t>
      </w:r>
      <w:bookmarkEnd w:id="2"/>
      <w:bookmarkEnd w:id="3"/>
    </w:p>
    <w:p>
      <w:pPr>
        <w:pStyle w:val="7"/>
        <w:spacing w:before="0" w:after="0" w:line="380" w:lineRule="exact"/>
        <w:rPr>
          <w:rFonts w:ascii="宋体" w:hAnsi="宋体" w:eastAsia="宋体" w:cs="宋体"/>
          <w:b/>
          <w:bCs/>
          <w:highlight w:val="none"/>
        </w:rPr>
      </w:pPr>
      <w:r>
        <w:rPr>
          <w:rFonts w:hint="eastAsia" w:ascii="宋体" w:hAnsi="宋体" w:eastAsia="宋体" w:cs="宋体"/>
          <w:b/>
          <w:bCs/>
          <w:sz w:val="32"/>
          <w:szCs w:val="32"/>
          <w:highlight w:val="none"/>
        </w:rPr>
        <w:t>防城港市西湾新城控制性详细规划公开招标公告</w:t>
      </w:r>
    </w:p>
    <w:p>
      <w:pPr>
        <w:pBdr>
          <w:top w:val="single" w:color="auto" w:sz="4" w:space="1"/>
          <w:left w:val="single" w:color="auto" w:sz="4" w:space="4"/>
          <w:bottom w:val="single" w:color="auto" w:sz="4" w:space="1"/>
          <w:right w:val="single" w:color="auto" w:sz="4" w:space="4"/>
        </w:pBdr>
        <w:spacing w:line="380" w:lineRule="exact"/>
        <w:rPr>
          <w:rFonts w:ascii="宋体" w:hAnsi="宋体" w:cs="宋体"/>
          <w:szCs w:val="21"/>
          <w:highlight w:val="none"/>
        </w:rPr>
      </w:pPr>
      <w:r>
        <w:rPr>
          <w:rFonts w:hint="eastAsia" w:ascii="宋体" w:hAnsi="宋体" w:cs="宋体"/>
          <w:szCs w:val="21"/>
          <w:highlight w:val="none"/>
        </w:rPr>
        <w:t xml:space="preserve">  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szCs w:val="21"/>
          <w:highlight w:val="none"/>
        </w:rPr>
      </w:pPr>
      <w:r>
        <w:rPr>
          <w:rFonts w:hint="eastAsia" w:ascii="宋体" w:hAnsi="宋体" w:cs="宋体"/>
          <w:szCs w:val="21"/>
          <w:highlight w:val="none"/>
          <w:u w:val="single"/>
        </w:rPr>
        <w:t>防城港市西湾新城控制性详细规划</w:t>
      </w:r>
      <w:r>
        <w:rPr>
          <w:rFonts w:hint="eastAsia" w:ascii="宋体" w:hAnsi="宋体" w:cs="宋体"/>
          <w:szCs w:val="21"/>
          <w:highlight w:val="none"/>
        </w:rPr>
        <w:t>的潜在投标人应在政采云平台获取招标文件，并于2021</w:t>
      </w:r>
      <w:r>
        <w:rPr>
          <w:rFonts w:hint="eastAsia" w:ascii="宋体" w:hAnsi="宋体" w:cs="宋体"/>
          <w:bCs/>
          <w:szCs w:val="21"/>
          <w:highlight w:val="none"/>
        </w:rPr>
        <w:t>年</w:t>
      </w:r>
      <w:r>
        <w:rPr>
          <w:rFonts w:hint="eastAsia" w:ascii="宋体" w:hAnsi="宋体" w:cs="宋体"/>
          <w:bCs/>
          <w:szCs w:val="21"/>
          <w:highlight w:val="none"/>
          <w:lang w:val="en-US" w:eastAsia="zh-CN"/>
        </w:rPr>
        <w:t>10</w:t>
      </w:r>
      <w:r>
        <w:rPr>
          <w:rFonts w:hint="eastAsia" w:ascii="宋体" w:hAnsi="宋体" w:cs="宋体"/>
          <w:bCs/>
          <w:szCs w:val="21"/>
          <w:highlight w:val="none"/>
        </w:rPr>
        <w:t>月</w:t>
      </w:r>
      <w:r>
        <w:rPr>
          <w:rFonts w:hint="eastAsia" w:ascii="宋体" w:hAnsi="宋体" w:cs="宋体"/>
          <w:bCs/>
          <w:szCs w:val="21"/>
          <w:highlight w:val="none"/>
          <w:lang w:val="en-US" w:eastAsia="zh-CN"/>
        </w:rPr>
        <w:t>8</w:t>
      </w:r>
      <w:r>
        <w:rPr>
          <w:rFonts w:hint="eastAsia" w:ascii="宋体" w:hAnsi="宋体" w:cs="宋体"/>
          <w:bCs/>
          <w:szCs w:val="21"/>
          <w:highlight w:val="none"/>
        </w:rPr>
        <w:t xml:space="preserve">日 </w:t>
      </w:r>
      <w:r>
        <w:rPr>
          <w:rFonts w:hint="eastAsia" w:ascii="宋体" w:hAnsi="宋体" w:cs="宋体"/>
          <w:bCs/>
          <w:szCs w:val="21"/>
          <w:highlight w:val="none"/>
          <w:lang w:val="en-US" w:eastAsia="zh-CN"/>
        </w:rPr>
        <w:t>9</w:t>
      </w:r>
      <w:r>
        <w:rPr>
          <w:rFonts w:hint="eastAsia" w:ascii="宋体" w:hAnsi="宋体" w:cs="宋体"/>
          <w:bCs/>
          <w:szCs w:val="21"/>
          <w:highlight w:val="none"/>
        </w:rPr>
        <w:t>点</w:t>
      </w:r>
      <w:r>
        <w:rPr>
          <w:rFonts w:hint="eastAsia" w:ascii="宋体" w:hAnsi="宋体" w:cs="宋体"/>
          <w:bCs/>
          <w:szCs w:val="21"/>
          <w:highlight w:val="none"/>
          <w:lang w:val="en-US" w:eastAsia="zh-CN"/>
        </w:rPr>
        <w:t>30</w:t>
      </w:r>
      <w:r>
        <w:rPr>
          <w:rFonts w:hint="eastAsia" w:ascii="宋体" w:hAnsi="宋体" w:cs="宋体"/>
          <w:bCs/>
          <w:szCs w:val="21"/>
          <w:highlight w:val="none"/>
        </w:rPr>
        <w:t>分（北京时间）前递交投标文件</w:t>
      </w:r>
      <w:r>
        <w:rPr>
          <w:rFonts w:hint="eastAsia" w:ascii="宋体" w:hAnsi="宋体" w:cs="宋体"/>
          <w:szCs w:val="21"/>
          <w:highlight w:val="none"/>
        </w:rPr>
        <w:t>。</w:t>
      </w:r>
    </w:p>
    <w:p>
      <w:pPr>
        <w:pStyle w:val="2"/>
        <w:spacing w:before="0" w:after="0" w:line="380" w:lineRule="exact"/>
        <w:ind w:firstLine="422" w:firstLineChars="200"/>
        <w:rPr>
          <w:rFonts w:ascii="宋体" w:hAnsi="宋体" w:cs="宋体"/>
          <w:b/>
          <w:bCs w:val="0"/>
          <w:spacing w:val="0"/>
          <w:kern w:val="2"/>
          <w:sz w:val="21"/>
          <w:szCs w:val="21"/>
          <w:highlight w:val="none"/>
        </w:rPr>
      </w:pPr>
      <w:bookmarkStart w:id="4" w:name="_Toc28359079"/>
      <w:bookmarkStart w:id="5" w:name="_Toc35393790"/>
      <w:bookmarkStart w:id="6" w:name="_Toc28359002"/>
      <w:bookmarkStart w:id="7" w:name="_Toc35393621"/>
      <w:bookmarkStart w:id="8" w:name="_Hlk24379207"/>
      <w:r>
        <w:rPr>
          <w:rFonts w:hint="eastAsia" w:ascii="宋体" w:hAnsi="宋体" w:cs="宋体"/>
          <w:b/>
          <w:bCs w:val="0"/>
          <w:spacing w:val="0"/>
          <w:kern w:val="2"/>
          <w:sz w:val="21"/>
          <w:szCs w:val="21"/>
          <w:highlight w:val="none"/>
        </w:rPr>
        <w:t>一、项目基本情况</w:t>
      </w:r>
      <w:bookmarkEnd w:id="4"/>
      <w:bookmarkEnd w:id="5"/>
      <w:bookmarkEnd w:id="6"/>
      <w:bookmarkEnd w:id="7"/>
    </w:p>
    <w:p>
      <w:pPr>
        <w:pStyle w:val="2"/>
        <w:spacing w:before="0" w:after="0" w:line="380" w:lineRule="exact"/>
        <w:ind w:firstLine="420" w:firstLineChars="200"/>
        <w:rPr>
          <w:rFonts w:ascii="宋体" w:hAnsi="宋体" w:cs="宋体"/>
          <w:bCs w:val="0"/>
          <w:spacing w:val="0"/>
          <w:kern w:val="2"/>
          <w:sz w:val="21"/>
          <w:szCs w:val="21"/>
          <w:highlight w:val="none"/>
        </w:rPr>
      </w:pPr>
      <w:r>
        <w:rPr>
          <w:rFonts w:hint="eastAsia" w:ascii="宋体" w:hAnsi="宋体" w:cs="宋体"/>
          <w:bCs w:val="0"/>
          <w:spacing w:val="0"/>
          <w:kern w:val="2"/>
          <w:sz w:val="21"/>
          <w:szCs w:val="21"/>
          <w:highlight w:val="none"/>
        </w:rPr>
        <w:t>项目编号：FCZC2021-G3-10004-GXDY</w:t>
      </w:r>
    </w:p>
    <w:p>
      <w:pPr>
        <w:pStyle w:val="2"/>
        <w:spacing w:before="0" w:after="0" w:line="380" w:lineRule="exact"/>
        <w:ind w:firstLine="420" w:firstLineChars="200"/>
        <w:rPr>
          <w:rFonts w:ascii="宋体" w:hAnsi="宋体" w:cs="宋体"/>
          <w:bCs w:val="0"/>
          <w:spacing w:val="0"/>
          <w:kern w:val="2"/>
          <w:sz w:val="21"/>
          <w:szCs w:val="21"/>
          <w:highlight w:val="none"/>
        </w:rPr>
      </w:pPr>
      <w:r>
        <w:rPr>
          <w:rFonts w:hint="eastAsia" w:ascii="宋体" w:hAnsi="宋体" w:cs="宋体"/>
          <w:bCs w:val="0"/>
          <w:spacing w:val="0"/>
          <w:kern w:val="2"/>
          <w:sz w:val="21"/>
          <w:szCs w:val="21"/>
          <w:highlight w:val="none"/>
        </w:rPr>
        <w:t>项目名称：防城港市西湾新城控制性详细规划</w:t>
      </w:r>
    </w:p>
    <w:bookmarkEnd w:id="8"/>
    <w:p>
      <w:pPr>
        <w:pStyle w:val="2"/>
        <w:spacing w:before="0" w:after="0" w:line="380" w:lineRule="exact"/>
        <w:ind w:firstLine="420" w:firstLineChars="200"/>
        <w:rPr>
          <w:rFonts w:ascii="宋体" w:hAnsi="宋体" w:cs="宋体"/>
          <w:bCs w:val="0"/>
          <w:spacing w:val="0"/>
          <w:kern w:val="2"/>
          <w:sz w:val="21"/>
          <w:szCs w:val="21"/>
          <w:highlight w:val="none"/>
        </w:rPr>
      </w:pPr>
      <w:r>
        <w:rPr>
          <w:rFonts w:hint="eastAsia" w:ascii="宋体" w:hAnsi="宋体" w:cs="宋体"/>
          <w:bCs w:val="0"/>
          <w:spacing w:val="0"/>
          <w:kern w:val="2"/>
          <w:sz w:val="21"/>
          <w:szCs w:val="21"/>
          <w:highlight w:val="none"/>
        </w:rPr>
        <w:t>预算金额：人民币陆佰壹拾贰万壹仟捌佰元整（￥6121800.00）</w:t>
      </w:r>
    </w:p>
    <w:p>
      <w:pPr>
        <w:pStyle w:val="2"/>
        <w:spacing w:before="0" w:after="0" w:line="380" w:lineRule="exact"/>
        <w:ind w:firstLine="420" w:firstLineChars="200"/>
        <w:rPr>
          <w:rFonts w:ascii="宋体" w:hAnsi="宋体" w:cs="宋体"/>
          <w:bCs w:val="0"/>
          <w:spacing w:val="0"/>
          <w:kern w:val="2"/>
          <w:sz w:val="21"/>
          <w:szCs w:val="21"/>
          <w:highlight w:val="none"/>
        </w:rPr>
      </w:pPr>
      <w:r>
        <w:rPr>
          <w:rFonts w:hint="eastAsia" w:ascii="宋体" w:hAnsi="宋体" w:cs="宋体"/>
          <w:bCs w:val="0"/>
          <w:spacing w:val="0"/>
          <w:kern w:val="2"/>
          <w:sz w:val="21"/>
          <w:szCs w:val="21"/>
          <w:highlight w:val="none"/>
        </w:rPr>
        <w:t>最高限价：人民币陆佰壹拾贰万壹仟捌佰元整（￥6121800.00）</w:t>
      </w:r>
    </w:p>
    <w:p>
      <w:pPr>
        <w:pStyle w:val="2"/>
        <w:spacing w:before="0" w:after="0" w:line="380" w:lineRule="exact"/>
        <w:ind w:firstLine="420" w:firstLineChars="200"/>
        <w:rPr>
          <w:rFonts w:ascii="宋体" w:hAnsi="宋体" w:cs="宋体"/>
          <w:bCs w:val="0"/>
          <w:spacing w:val="0"/>
          <w:kern w:val="2"/>
          <w:sz w:val="21"/>
          <w:szCs w:val="21"/>
          <w:highlight w:val="none"/>
        </w:rPr>
      </w:pPr>
      <w:r>
        <w:rPr>
          <w:rFonts w:hint="eastAsia" w:ascii="宋体" w:hAnsi="宋体" w:cs="宋体"/>
          <w:bCs w:val="0"/>
          <w:spacing w:val="0"/>
          <w:kern w:val="2"/>
          <w:sz w:val="21"/>
          <w:szCs w:val="21"/>
          <w:highlight w:val="none"/>
        </w:rPr>
        <w:t>采购需求：按照《城市规划编制办法》中规定控制性详细规划（增加分图则）深度要求进行编制，并增加市政工程设施专题和城市设计导则；如需进一步了解详细内容，详见</w:t>
      </w:r>
      <w:r>
        <w:rPr>
          <w:rFonts w:hint="eastAsia" w:ascii="宋体" w:hAnsi="宋体" w:cs="宋体"/>
          <w:bCs w:val="0"/>
          <w:spacing w:val="0"/>
          <w:kern w:val="2"/>
          <w:sz w:val="21"/>
          <w:szCs w:val="21"/>
          <w:highlight w:val="none"/>
          <w:lang w:eastAsia="zh-CN"/>
        </w:rPr>
        <w:t>项目</w:t>
      </w:r>
      <w:r>
        <w:rPr>
          <w:rFonts w:hint="eastAsia" w:ascii="宋体" w:hAnsi="宋体" w:cs="宋体"/>
          <w:bCs w:val="0"/>
          <w:spacing w:val="0"/>
          <w:kern w:val="2"/>
          <w:sz w:val="21"/>
          <w:szCs w:val="21"/>
          <w:highlight w:val="none"/>
        </w:rPr>
        <w:t>采购需求。</w:t>
      </w:r>
    </w:p>
    <w:p>
      <w:pPr>
        <w:pStyle w:val="2"/>
        <w:spacing w:before="0" w:after="0" w:line="380" w:lineRule="exact"/>
        <w:ind w:firstLine="420" w:firstLineChars="200"/>
        <w:rPr>
          <w:rFonts w:ascii="宋体" w:hAnsi="宋体" w:cs="宋体"/>
          <w:bCs w:val="0"/>
          <w:spacing w:val="0"/>
          <w:kern w:val="2"/>
          <w:sz w:val="21"/>
          <w:szCs w:val="21"/>
          <w:highlight w:val="none"/>
        </w:rPr>
      </w:pPr>
      <w:r>
        <w:rPr>
          <w:rFonts w:hint="eastAsia" w:ascii="宋体" w:hAnsi="宋体" w:cs="宋体"/>
          <w:bCs w:val="0"/>
          <w:spacing w:val="0"/>
          <w:kern w:val="2"/>
          <w:sz w:val="21"/>
          <w:szCs w:val="21"/>
          <w:highlight w:val="none"/>
        </w:rPr>
        <w:t>合同履行期限：</w:t>
      </w:r>
      <w:r>
        <w:rPr>
          <w:rFonts w:ascii="宋体" w:hAnsi="宋体" w:cs="宋体"/>
          <w:bCs w:val="0"/>
          <w:spacing w:val="0"/>
          <w:kern w:val="2"/>
          <w:sz w:val="21"/>
          <w:szCs w:val="21"/>
          <w:highlight w:val="none"/>
        </w:rPr>
        <w:t>90</w:t>
      </w:r>
      <w:r>
        <w:rPr>
          <w:rFonts w:hint="eastAsia" w:ascii="宋体" w:hAnsi="宋体" w:cs="宋体"/>
          <w:bCs w:val="0"/>
          <w:spacing w:val="0"/>
          <w:kern w:val="2"/>
          <w:sz w:val="21"/>
          <w:szCs w:val="21"/>
          <w:highlight w:val="none"/>
        </w:rPr>
        <w:t>个日历日。</w:t>
      </w:r>
    </w:p>
    <w:p>
      <w:pPr>
        <w:pStyle w:val="2"/>
        <w:spacing w:before="0" w:after="0" w:line="380" w:lineRule="exact"/>
        <w:ind w:firstLine="420" w:firstLineChars="200"/>
        <w:rPr>
          <w:rFonts w:ascii="宋体" w:hAnsi="宋体" w:cs="宋体"/>
          <w:bCs w:val="0"/>
          <w:spacing w:val="0"/>
          <w:kern w:val="2"/>
          <w:sz w:val="21"/>
          <w:szCs w:val="21"/>
          <w:highlight w:val="none"/>
        </w:rPr>
      </w:pPr>
      <w:r>
        <w:rPr>
          <w:rFonts w:hint="eastAsia" w:ascii="宋体" w:hAnsi="宋体" w:cs="宋体"/>
          <w:bCs w:val="0"/>
          <w:spacing w:val="0"/>
          <w:kern w:val="2"/>
          <w:sz w:val="21"/>
          <w:szCs w:val="21"/>
          <w:highlight w:val="none"/>
        </w:rPr>
        <w:t>本项目接受联合体投标。</w:t>
      </w:r>
    </w:p>
    <w:p>
      <w:pPr>
        <w:pStyle w:val="2"/>
        <w:spacing w:before="0" w:after="0" w:line="380" w:lineRule="exact"/>
        <w:ind w:firstLine="422" w:firstLineChars="200"/>
        <w:rPr>
          <w:rFonts w:ascii="宋体" w:hAnsi="宋体" w:cs="宋体"/>
          <w:b/>
          <w:bCs w:val="0"/>
          <w:spacing w:val="0"/>
          <w:kern w:val="2"/>
          <w:sz w:val="21"/>
          <w:szCs w:val="21"/>
          <w:highlight w:val="none"/>
        </w:rPr>
      </w:pPr>
      <w:bookmarkStart w:id="9" w:name="_Toc28359003"/>
      <w:bookmarkStart w:id="10" w:name="_Toc28359080"/>
      <w:bookmarkStart w:id="11" w:name="_Toc35393622"/>
      <w:bookmarkStart w:id="12" w:name="_Toc35393791"/>
      <w:r>
        <w:rPr>
          <w:rFonts w:hint="eastAsia" w:ascii="宋体" w:hAnsi="宋体" w:cs="宋体"/>
          <w:b/>
          <w:bCs w:val="0"/>
          <w:spacing w:val="0"/>
          <w:kern w:val="2"/>
          <w:sz w:val="21"/>
          <w:szCs w:val="21"/>
          <w:highlight w:val="none"/>
        </w:rPr>
        <w:t>二、申请人的资格要求</w:t>
      </w:r>
      <w:bookmarkEnd w:id="9"/>
      <w:bookmarkEnd w:id="10"/>
      <w:bookmarkEnd w:id="11"/>
      <w:bookmarkEnd w:id="12"/>
    </w:p>
    <w:p>
      <w:pPr>
        <w:spacing w:line="380" w:lineRule="exact"/>
        <w:ind w:firstLine="411" w:firstLineChars="196"/>
        <w:rPr>
          <w:rFonts w:ascii="宋体" w:hAnsi="宋体" w:cs="宋体"/>
          <w:szCs w:val="21"/>
          <w:highlight w:val="none"/>
        </w:rPr>
      </w:pPr>
      <w:bookmarkStart w:id="13" w:name="_Toc35393623"/>
      <w:bookmarkStart w:id="14" w:name="_Toc28359004"/>
      <w:bookmarkStart w:id="15" w:name="_Toc35393792"/>
      <w:bookmarkStart w:id="16" w:name="_Toc28359081"/>
      <w:r>
        <w:rPr>
          <w:rFonts w:hint="eastAsia" w:ascii="宋体" w:hAnsi="宋体" w:cs="宋体"/>
          <w:szCs w:val="21"/>
          <w:highlight w:val="none"/>
        </w:rPr>
        <w:t>1.满足《中华人民共和国政府采购法》第二十二条规定；</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2.落实政府采购政策需满足的资格要求：无</w:t>
      </w:r>
    </w:p>
    <w:p>
      <w:pPr>
        <w:spacing w:line="380" w:lineRule="exact"/>
        <w:ind w:firstLine="411" w:firstLineChars="196"/>
        <w:rPr>
          <w:rFonts w:ascii="宋体" w:hAnsi="宋体" w:cs="宋体"/>
          <w:szCs w:val="21"/>
          <w:highlight w:val="none"/>
        </w:rPr>
      </w:pPr>
      <w:r>
        <w:rPr>
          <w:rFonts w:hint="eastAsia" w:ascii="宋体" w:hAnsi="宋体" w:cs="宋体"/>
          <w:szCs w:val="21"/>
          <w:highlight w:val="none"/>
        </w:rPr>
        <w:t>3.本项目的特定资格要求：国内注册（指按国家有关规定要求注册的），专业从事本次采购服务内容，具备</w:t>
      </w:r>
      <w:r>
        <w:rPr>
          <w:rFonts w:hint="eastAsia" w:ascii="宋体" w:hAnsi="宋体" w:cs="宋体"/>
          <w:b w:val="0"/>
          <w:bCs w:val="0"/>
          <w:color w:val="auto"/>
          <w:szCs w:val="21"/>
          <w:highlight w:val="none"/>
        </w:rPr>
        <w:t>城乡规划编制甲级及工程设计综合甲级或工程设计建筑行业甲级或工程设计建筑行业（建筑工程）专业甲级资质，</w:t>
      </w:r>
      <w:r>
        <w:rPr>
          <w:rFonts w:hint="eastAsia" w:ascii="宋体" w:hAnsi="宋体" w:cs="宋体"/>
          <w:szCs w:val="21"/>
          <w:highlight w:val="none"/>
        </w:rPr>
        <w:t>并在人员、设备、资金、技术能力等方面具有相应的能力且具有独立法人资格的供应商；</w:t>
      </w:r>
    </w:p>
    <w:p>
      <w:pPr>
        <w:spacing w:line="380" w:lineRule="exact"/>
        <w:ind w:firstLine="411" w:firstLineChars="196"/>
        <w:rPr>
          <w:highlight w:val="none"/>
        </w:rPr>
      </w:pPr>
      <w:r>
        <w:rPr>
          <w:rFonts w:hint="eastAsia" w:ascii="宋体" w:hAnsi="宋体" w:cs="宋体"/>
          <w:szCs w:val="21"/>
          <w:highlight w:val="none"/>
        </w:rPr>
        <w:t>4.</w:t>
      </w:r>
      <w:r>
        <w:rPr>
          <w:rFonts w:hint="eastAsia" w:ascii="宋体" w:hAnsi="宋体" w:cs="宋体"/>
          <w:kern w:val="0"/>
          <w:szCs w:val="21"/>
          <w:highlight w:val="none"/>
        </w:rPr>
        <w:t>拟投入本项目的项目负责人须同时具备高级工程师及注册城市（城乡）规划师资格；</w:t>
      </w:r>
    </w:p>
    <w:p>
      <w:pPr>
        <w:spacing w:line="380" w:lineRule="exact"/>
        <w:ind w:firstLine="411" w:firstLineChars="196"/>
        <w:rPr>
          <w:rFonts w:ascii="宋体" w:hAnsi="宋体" w:cs="宋体"/>
          <w:szCs w:val="21"/>
          <w:highlight w:val="none"/>
        </w:rPr>
      </w:pPr>
      <w:r>
        <w:rPr>
          <w:rFonts w:hint="eastAsia" w:ascii="宋体" w:hAnsi="宋体" w:cs="宋体"/>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11" w:firstLineChars="196"/>
        <w:rPr>
          <w:rFonts w:ascii="宋体" w:hAnsi="宋体" w:cs="宋体"/>
          <w:szCs w:val="21"/>
          <w:highlight w:val="none"/>
        </w:rPr>
      </w:pPr>
      <w:r>
        <w:rPr>
          <w:rFonts w:hint="eastAsia" w:ascii="宋体" w:hAnsi="宋体" w:cs="宋体"/>
          <w:szCs w:val="21"/>
          <w:highlight w:val="none"/>
        </w:rPr>
        <w:t>6.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11" w:firstLineChars="196"/>
        <w:rPr>
          <w:rFonts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w:t>
      </w:r>
      <w:r>
        <w:rPr>
          <w:rFonts w:hint="eastAsia"/>
          <w:highlight w:val="none"/>
        </w:rPr>
        <w:t xml:space="preserve"> </w:t>
      </w:r>
      <w:r>
        <w:rPr>
          <w:rFonts w:hint="eastAsia" w:ascii="宋体" w:hAnsi="宋体" w:cs="宋体"/>
          <w:szCs w:val="21"/>
          <w:highlight w:val="none"/>
        </w:rPr>
        <w:t>本项目 接受 联合体投标。</w:t>
      </w:r>
    </w:p>
    <w:p>
      <w:pPr>
        <w:pStyle w:val="2"/>
        <w:spacing w:before="0" w:after="0" w:line="380" w:lineRule="exact"/>
        <w:ind w:firstLine="422" w:firstLineChars="200"/>
        <w:rPr>
          <w:rFonts w:ascii="宋体" w:hAnsi="宋体" w:cs="宋体"/>
          <w:b/>
          <w:bCs w:val="0"/>
          <w:spacing w:val="0"/>
          <w:kern w:val="2"/>
          <w:sz w:val="21"/>
          <w:szCs w:val="21"/>
          <w:highlight w:val="none"/>
        </w:rPr>
      </w:pPr>
      <w:r>
        <w:rPr>
          <w:rFonts w:hint="eastAsia" w:ascii="宋体" w:hAnsi="宋体" w:cs="宋体"/>
          <w:b/>
          <w:bCs w:val="0"/>
          <w:spacing w:val="0"/>
          <w:kern w:val="2"/>
          <w:sz w:val="21"/>
          <w:szCs w:val="21"/>
          <w:highlight w:val="none"/>
        </w:rPr>
        <w:t>三、获取招标文件</w:t>
      </w:r>
      <w:bookmarkEnd w:id="13"/>
      <w:bookmarkEnd w:id="14"/>
      <w:bookmarkEnd w:id="15"/>
      <w:bookmarkEnd w:id="16"/>
    </w:p>
    <w:p>
      <w:pPr>
        <w:pStyle w:val="2"/>
        <w:spacing w:before="0" w:after="0" w:line="380" w:lineRule="exact"/>
        <w:ind w:firstLine="420" w:firstLineChars="200"/>
        <w:rPr>
          <w:rFonts w:ascii="宋体" w:hAnsi="宋体" w:cs="宋体"/>
          <w:spacing w:val="0"/>
          <w:kern w:val="2"/>
          <w:sz w:val="21"/>
          <w:szCs w:val="21"/>
          <w:highlight w:val="none"/>
        </w:rPr>
      </w:pPr>
      <w:r>
        <w:rPr>
          <w:rFonts w:hint="eastAsia" w:ascii="宋体" w:hAnsi="宋体" w:cs="宋体"/>
          <w:spacing w:val="0"/>
          <w:kern w:val="2"/>
          <w:sz w:val="21"/>
          <w:szCs w:val="21"/>
          <w:highlight w:val="none"/>
        </w:rPr>
        <w:t>时间：2021年</w:t>
      </w:r>
      <w:r>
        <w:rPr>
          <w:rFonts w:hint="eastAsia" w:ascii="宋体" w:hAnsi="宋体" w:cs="宋体"/>
          <w:spacing w:val="0"/>
          <w:kern w:val="2"/>
          <w:sz w:val="21"/>
          <w:szCs w:val="21"/>
          <w:highlight w:val="none"/>
          <w:lang w:val="en-US" w:eastAsia="zh-CN"/>
        </w:rPr>
        <w:t>9</w:t>
      </w:r>
      <w:r>
        <w:rPr>
          <w:rFonts w:hint="eastAsia" w:ascii="宋体" w:hAnsi="宋体" w:cs="宋体"/>
          <w:spacing w:val="0"/>
          <w:kern w:val="2"/>
          <w:sz w:val="21"/>
          <w:szCs w:val="21"/>
          <w:highlight w:val="none"/>
        </w:rPr>
        <w:t>月</w:t>
      </w:r>
      <w:r>
        <w:rPr>
          <w:rFonts w:hint="eastAsia" w:ascii="宋体" w:hAnsi="宋体" w:cs="宋体"/>
          <w:spacing w:val="0"/>
          <w:kern w:val="2"/>
          <w:sz w:val="21"/>
          <w:szCs w:val="21"/>
          <w:highlight w:val="none"/>
          <w:lang w:val="en-US" w:eastAsia="zh-CN"/>
        </w:rPr>
        <w:t>13</w:t>
      </w:r>
      <w:r>
        <w:rPr>
          <w:rFonts w:hint="eastAsia" w:ascii="宋体" w:hAnsi="宋体" w:cs="宋体"/>
          <w:spacing w:val="0"/>
          <w:kern w:val="2"/>
          <w:sz w:val="21"/>
          <w:szCs w:val="21"/>
          <w:highlight w:val="none"/>
        </w:rPr>
        <w:t>日至2021年</w:t>
      </w:r>
      <w:r>
        <w:rPr>
          <w:rFonts w:hint="eastAsia" w:ascii="宋体" w:hAnsi="宋体" w:cs="宋体"/>
          <w:spacing w:val="0"/>
          <w:kern w:val="2"/>
          <w:sz w:val="21"/>
          <w:szCs w:val="21"/>
          <w:highlight w:val="none"/>
          <w:lang w:val="en-US" w:eastAsia="zh-CN"/>
        </w:rPr>
        <w:t>9</w:t>
      </w:r>
      <w:r>
        <w:rPr>
          <w:rFonts w:hint="eastAsia" w:ascii="宋体" w:hAnsi="宋体" w:cs="宋体"/>
          <w:spacing w:val="0"/>
          <w:kern w:val="2"/>
          <w:sz w:val="21"/>
          <w:szCs w:val="21"/>
          <w:highlight w:val="none"/>
        </w:rPr>
        <w:t>月</w:t>
      </w:r>
      <w:r>
        <w:rPr>
          <w:rFonts w:hint="eastAsia" w:ascii="宋体" w:hAnsi="宋体" w:cs="宋体"/>
          <w:spacing w:val="0"/>
          <w:kern w:val="2"/>
          <w:sz w:val="21"/>
          <w:szCs w:val="21"/>
          <w:highlight w:val="none"/>
          <w:lang w:val="en-US" w:eastAsia="zh-CN"/>
        </w:rPr>
        <w:t>20</w:t>
      </w:r>
      <w:r>
        <w:rPr>
          <w:rFonts w:hint="eastAsia" w:ascii="宋体" w:hAnsi="宋体" w:cs="宋体"/>
          <w:spacing w:val="0"/>
          <w:kern w:val="2"/>
          <w:sz w:val="21"/>
          <w:szCs w:val="21"/>
          <w:highlight w:val="none"/>
        </w:rPr>
        <w:t>日，每天上午08:00至12:00，下午15:00至18:00（北京时间，法定节假日除外）</w:t>
      </w:r>
      <w:bookmarkStart w:id="160" w:name="_GoBack"/>
      <w:bookmarkEnd w:id="160"/>
    </w:p>
    <w:p>
      <w:pPr>
        <w:pStyle w:val="2"/>
        <w:spacing w:before="0" w:after="0" w:line="380" w:lineRule="exact"/>
        <w:ind w:firstLine="420" w:firstLineChars="200"/>
        <w:rPr>
          <w:rFonts w:ascii="宋体" w:hAnsi="宋体" w:cs="宋体"/>
          <w:spacing w:val="0"/>
          <w:kern w:val="2"/>
          <w:sz w:val="21"/>
          <w:szCs w:val="21"/>
          <w:highlight w:val="none"/>
        </w:rPr>
      </w:pPr>
      <w:r>
        <w:rPr>
          <w:rFonts w:hint="eastAsia" w:ascii="宋体" w:hAnsi="宋体" w:cs="宋体"/>
          <w:spacing w:val="0"/>
          <w:kern w:val="2"/>
          <w:sz w:val="21"/>
          <w:szCs w:val="21"/>
          <w:highlight w:val="none"/>
        </w:rPr>
        <w:t>地点：政采云平台</w:t>
      </w:r>
    </w:p>
    <w:p>
      <w:pPr>
        <w:pStyle w:val="2"/>
        <w:spacing w:before="0" w:after="0" w:line="380" w:lineRule="exact"/>
        <w:ind w:firstLine="420" w:firstLineChars="200"/>
        <w:rPr>
          <w:rFonts w:ascii="宋体" w:hAnsi="宋体" w:cs="宋体"/>
          <w:spacing w:val="0"/>
          <w:kern w:val="2"/>
          <w:sz w:val="21"/>
          <w:szCs w:val="21"/>
          <w:highlight w:val="none"/>
        </w:rPr>
      </w:pPr>
      <w:bookmarkStart w:id="17" w:name="_Toc28359005"/>
      <w:bookmarkStart w:id="18" w:name="_Toc28359082"/>
      <w:bookmarkStart w:id="19" w:name="_Toc35393624"/>
      <w:bookmarkStart w:id="20" w:name="_Toc35393793"/>
      <w:r>
        <w:rPr>
          <w:rFonts w:hint="eastAsia" w:ascii="宋体" w:hAnsi="宋体" w:cs="宋体"/>
          <w:spacing w:val="0"/>
          <w:kern w:val="2"/>
          <w:sz w:val="21"/>
          <w:szCs w:val="21"/>
          <w:highlight w:val="none"/>
        </w:rPr>
        <w:t>方式：请潜在投标人在获取招标文件时间内</w:t>
      </w:r>
      <w:r>
        <w:rPr>
          <w:highlight w:val="none"/>
        </w:rPr>
        <w:fldChar w:fldCharType="begin"/>
      </w:r>
      <w:r>
        <w:rPr>
          <w:highlight w:val="none"/>
        </w:rPr>
        <w:instrText xml:space="preserve"> HYPERLINK "mailto:日止的正常工作时间，正常工作时间是指每天上午8时00分到12时00分，下午3时00分到6时00分，双休日和法定节假日不办理业务。由投标人通过电子邮件发送单位主体资格证明（如营业执照、事业单位法人证书）等副本复印件（复印件须加盖单位公章）发送至采购代理机构邮箱（ggecc.fcg@163.com)的方式报名。逾期不受理，采购文件售后不退。" </w:instrText>
      </w:r>
      <w:r>
        <w:rPr>
          <w:highlight w:val="none"/>
        </w:rPr>
        <w:fldChar w:fldCharType="separate"/>
      </w:r>
      <w:r>
        <w:rPr>
          <w:rFonts w:hint="eastAsia" w:ascii="宋体" w:hAnsi="宋体" w:cs="宋体"/>
          <w:spacing w:val="0"/>
          <w:kern w:val="2"/>
          <w:sz w:val="21"/>
          <w:szCs w:val="21"/>
          <w:highlight w:val="none"/>
        </w:rPr>
        <w:t>自行登陆政采云平台上传单位营业执照或事业单位法人证书副本复印件（加盖单位公章）获取招标文件，逾期不受理</w:t>
      </w:r>
      <w:r>
        <w:rPr>
          <w:rFonts w:hint="eastAsia" w:ascii="宋体" w:hAnsi="宋体" w:cs="宋体"/>
          <w:spacing w:val="0"/>
          <w:kern w:val="2"/>
          <w:sz w:val="21"/>
          <w:szCs w:val="21"/>
          <w:highlight w:val="none"/>
        </w:rPr>
        <w:fldChar w:fldCharType="end"/>
      </w:r>
      <w:r>
        <w:rPr>
          <w:rFonts w:hint="eastAsia" w:ascii="宋体" w:hAnsi="宋体" w:cs="宋体"/>
          <w:spacing w:val="0"/>
          <w:kern w:val="2"/>
          <w:sz w:val="21"/>
          <w:szCs w:val="21"/>
          <w:highlight w:val="none"/>
        </w:rPr>
        <w:t>。</w:t>
      </w:r>
    </w:p>
    <w:p>
      <w:pPr>
        <w:pStyle w:val="2"/>
        <w:spacing w:before="0" w:after="0" w:line="380" w:lineRule="exact"/>
        <w:ind w:firstLine="420" w:firstLineChars="200"/>
        <w:rPr>
          <w:rFonts w:ascii="宋体" w:hAnsi="宋体" w:cs="宋体"/>
          <w:spacing w:val="0"/>
          <w:kern w:val="2"/>
          <w:sz w:val="21"/>
          <w:szCs w:val="21"/>
          <w:highlight w:val="none"/>
        </w:rPr>
      </w:pPr>
      <w:r>
        <w:rPr>
          <w:rFonts w:hint="eastAsia" w:ascii="宋体" w:hAnsi="宋体" w:cs="宋体"/>
          <w:spacing w:val="0"/>
          <w:kern w:val="2"/>
          <w:sz w:val="21"/>
          <w:szCs w:val="21"/>
          <w:highlight w:val="none"/>
        </w:rPr>
        <w:t>售价：0元。</w:t>
      </w:r>
    </w:p>
    <w:p>
      <w:pPr>
        <w:pStyle w:val="2"/>
        <w:spacing w:before="0" w:after="0" w:line="380" w:lineRule="exact"/>
        <w:ind w:firstLine="422" w:firstLineChars="200"/>
        <w:rPr>
          <w:rFonts w:ascii="宋体" w:hAnsi="宋体" w:cs="宋体"/>
          <w:spacing w:val="0"/>
          <w:kern w:val="2"/>
          <w:sz w:val="21"/>
          <w:szCs w:val="21"/>
          <w:highlight w:val="none"/>
        </w:rPr>
      </w:pPr>
      <w:r>
        <w:rPr>
          <w:rFonts w:hint="eastAsia" w:ascii="宋体" w:hAnsi="宋体" w:cs="宋体"/>
          <w:b/>
          <w:bCs w:val="0"/>
          <w:spacing w:val="0"/>
          <w:kern w:val="2"/>
          <w:sz w:val="21"/>
          <w:szCs w:val="21"/>
          <w:highlight w:val="none"/>
        </w:rPr>
        <w:t>四、提交投标文件</w:t>
      </w:r>
      <w:bookmarkEnd w:id="17"/>
      <w:bookmarkEnd w:id="18"/>
      <w:r>
        <w:rPr>
          <w:rFonts w:hint="eastAsia" w:ascii="宋体" w:hAnsi="宋体" w:cs="宋体"/>
          <w:b/>
          <w:bCs w:val="0"/>
          <w:spacing w:val="0"/>
          <w:kern w:val="2"/>
          <w:sz w:val="21"/>
          <w:szCs w:val="21"/>
          <w:highlight w:val="none"/>
        </w:rPr>
        <w:t>截止时间、开标时间和地点</w:t>
      </w:r>
      <w:bookmarkEnd w:id="19"/>
      <w:bookmarkEnd w:id="20"/>
    </w:p>
    <w:p>
      <w:pPr>
        <w:spacing w:line="380" w:lineRule="exact"/>
        <w:ind w:firstLine="411" w:firstLineChars="196"/>
        <w:rPr>
          <w:rFonts w:ascii="宋体" w:hAnsi="宋体" w:cs="宋体"/>
          <w:szCs w:val="21"/>
          <w:highlight w:val="none"/>
        </w:rPr>
      </w:pPr>
      <w:bookmarkStart w:id="21" w:name="_Toc35393794"/>
      <w:bookmarkStart w:id="22" w:name="_Toc28359007"/>
      <w:bookmarkStart w:id="23" w:name="_Toc35393625"/>
      <w:bookmarkStart w:id="24" w:name="_Toc28359084"/>
      <w:r>
        <w:rPr>
          <w:rFonts w:hint="eastAsia" w:ascii="宋体" w:hAnsi="宋体" w:cs="宋体"/>
          <w:szCs w:val="21"/>
          <w:highlight w:val="none"/>
        </w:rPr>
        <w:t>截止时间：2021</w:t>
      </w:r>
      <w:r>
        <w:rPr>
          <w:rFonts w:hint="eastAsia" w:ascii="宋体" w:hAnsi="宋体" w:cs="宋体"/>
          <w:bCs/>
          <w:szCs w:val="21"/>
          <w:highlight w:val="none"/>
        </w:rPr>
        <w:t>年</w:t>
      </w:r>
      <w:r>
        <w:rPr>
          <w:rFonts w:hint="eastAsia" w:ascii="宋体" w:hAnsi="宋体" w:cs="宋体"/>
          <w:bCs/>
          <w:szCs w:val="21"/>
          <w:highlight w:val="none"/>
          <w:lang w:val="en-US" w:eastAsia="zh-CN"/>
        </w:rPr>
        <w:t>10</w:t>
      </w:r>
      <w:r>
        <w:rPr>
          <w:rFonts w:hint="eastAsia" w:ascii="宋体" w:hAnsi="宋体" w:cs="宋体"/>
          <w:bCs/>
          <w:szCs w:val="21"/>
          <w:highlight w:val="none"/>
        </w:rPr>
        <w:t>月</w:t>
      </w:r>
      <w:r>
        <w:rPr>
          <w:rFonts w:hint="eastAsia" w:ascii="宋体" w:hAnsi="宋体" w:cs="宋体"/>
          <w:bCs/>
          <w:szCs w:val="21"/>
          <w:highlight w:val="none"/>
          <w:lang w:val="en-US" w:eastAsia="zh-CN"/>
        </w:rPr>
        <w:t>8</w:t>
      </w:r>
      <w:r>
        <w:rPr>
          <w:rFonts w:hint="eastAsia" w:ascii="宋体" w:hAnsi="宋体" w:cs="宋体"/>
          <w:bCs/>
          <w:szCs w:val="21"/>
          <w:highlight w:val="none"/>
        </w:rPr>
        <w:t>日</w:t>
      </w:r>
      <w:r>
        <w:rPr>
          <w:rFonts w:hint="eastAsia" w:ascii="宋体" w:hAnsi="宋体" w:cs="宋体"/>
          <w:bCs/>
          <w:szCs w:val="21"/>
          <w:highlight w:val="none"/>
          <w:lang w:val="en-US" w:eastAsia="zh-CN"/>
        </w:rPr>
        <w:t>9</w:t>
      </w:r>
      <w:r>
        <w:rPr>
          <w:rFonts w:hint="eastAsia" w:ascii="宋体" w:hAnsi="宋体" w:cs="宋体"/>
          <w:bCs/>
          <w:szCs w:val="21"/>
          <w:highlight w:val="none"/>
        </w:rPr>
        <w:t>点</w:t>
      </w:r>
      <w:r>
        <w:rPr>
          <w:rFonts w:hint="eastAsia" w:ascii="宋体" w:hAnsi="宋体" w:cs="宋体"/>
          <w:bCs/>
          <w:szCs w:val="21"/>
          <w:highlight w:val="none"/>
          <w:lang w:val="en-US" w:eastAsia="zh-CN"/>
        </w:rPr>
        <w:t>30</w:t>
      </w:r>
      <w:r>
        <w:rPr>
          <w:rFonts w:hint="eastAsia" w:ascii="宋体" w:hAnsi="宋体" w:cs="宋体"/>
          <w:bCs/>
          <w:szCs w:val="21"/>
          <w:highlight w:val="none"/>
        </w:rPr>
        <w:t>分</w:t>
      </w:r>
      <w:r>
        <w:rPr>
          <w:rFonts w:hint="eastAsia" w:ascii="宋体" w:hAnsi="宋体" w:cs="宋体"/>
          <w:szCs w:val="21"/>
          <w:highlight w:val="none"/>
        </w:rPr>
        <w:t>（北京时间）</w:t>
      </w:r>
    </w:p>
    <w:p>
      <w:pPr>
        <w:spacing w:line="380" w:lineRule="exact"/>
        <w:ind w:firstLine="411" w:firstLineChars="196"/>
        <w:rPr>
          <w:rFonts w:ascii="宋体" w:hAnsi="宋体" w:cs="宋体"/>
          <w:szCs w:val="21"/>
          <w:highlight w:val="none"/>
        </w:rPr>
      </w:pPr>
      <w:r>
        <w:rPr>
          <w:rFonts w:hint="eastAsia" w:ascii="宋体" w:hAnsi="宋体" w:cs="宋体"/>
          <w:szCs w:val="21"/>
          <w:highlight w:val="none"/>
        </w:rPr>
        <w:t>地点：防城港市公共资源交易中心（防城港市迎宾路红树林大厦东塔）</w:t>
      </w:r>
    </w:p>
    <w:p>
      <w:pPr>
        <w:pStyle w:val="2"/>
        <w:spacing w:before="0" w:after="0" w:line="380" w:lineRule="exact"/>
        <w:ind w:firstLine="422" w:firstLineChars="200"/>
        <w:rPr>
          <w:rFonts w:ascii="宋体" w:hAnsi="宋体" w:cs="宋体"/>
          <w:b/>
          <w:bCs w:val="0"/>
          <w:spacing w:val="0"/>
          <w:kern w:val="2"/>
          <w:sz w:val="21"/>
          <w:szCs w:val="21"/>
          <w:highlight w:val="none"/>
        </w:rPr>
      </w:pPr>
      <w:r>
        <w:rPr>
          <w:rFonts w:hint="eastAsia" w:ascii="宋体" w:hAnsi="宋体" w:cs="宋体"/>
          <w:b/>
          <w:bCs w:val="0"/>
          <w:spacing w:val="0"/>
          <w:kern w:val="2"/>
          <w:sz w:val="21"/>
          <w:szCs w:val="21"/>
          <w:highlight w:val="none"/>
        </w:rPr>
        <w:t>五、公告期限</w:t>
      </w:r>
      <w:bookmarkEnd w:id="21"/>
      <w:bookmarkEnd w:id="22"/>
      <w:bookmarkEnd w:id="23"/>
      <w:bookmarkEnd w:id="24"/>
    </w:p>
    <w:p>
      <w:pPr>
        <w:pStyle w:val="2"/>
        <w:spacing w:before="0" w:after="0" w:line="380" w:lineRule="exact"/>
        <w:ind w:firstLine="420" w:firstLineChars="200"/>
        <w:rPr>
          <w:rFonts w:ascii="宋体" w:hAnsi="宋体" w:cs="宋体"/>
          <w:spacing w:val="0"/>
          <w:kern w:val="2"/>
          <w:sz w:val="21"/>
          <w:szCs w:val="21"/>
          <w:highlight w:val="none"/>
        </w:rPr>
      </w:pPr>
      <w:r>
        <w:rPr>
          <w:rFonts w:hint="eastAsia" w:ascii="宋体" w:hAnsi="宋体" w:cs="宋体"/>
          <w:spacing w:val="0"/>
          <w:kern w:val="2"/>
          <w:sz w:val="21"/>
          <w:szCs w:val="21"/>
          <w:highlight w:val="none"/>
        </w:rPr>
        <w:t>自本公告发布之日起5个工作日。</w:t>
      </w:r>
    </w:p>
    <w:p>
      <w:pPr>
        <w:pStyle w:val="2"/>
        <w:spacing w:before="0" w:after="0" w:line="380" w:lineRule="exact"/>
        <w:ind w:firstLine="422" w:firstLineChars="200"/>
        <w:rPr>
          <w:rFonts w:ascii="宋体" w:hAnsi="宋体" w:cs="宋体"/>
          <w:b/>
          <w:bCs w:val="0"/>
          <w:spacing w:val="0"/>
          <w:kern w:val="2"/>
          <w:sz w:val="21"/>
          <w:szCs w:val="21"/>
          <w:highlight w:val="none"/>
        </w:rPr>
      </w:pPr>
      <w:bookmarkStart w:id="25" w:name="_Toc35393795"/>
      <w:bookmarkStart w:id="26" w:name="_Toc35393626"/>
      <w:r>
        <w:rPr>
          <w:rFonts w:hint="eastAsia" w:ascii="宋体" w:hAnsi="宋体" w:cs="宋体"/>
          <w:b/>
          <w:bCs w:val="0"/>
          <w:spacing w:val="0"/>
          <w:kern w:val="2"/>
          <w:sz w:val="21"/>
          <w:szCs w:val="21"/>
          <w:highlight w:val="none"/>
        </w:rPr>
        <w:t>六、其他补充事宜</w:t>
      </w:r>
      <w:bookmarkEnd w:id="25"/>
      <w:bookmarkEnd w:id="26"/>
    </w:p>
    <w:p>
      <w:pPr>
        <w:spacing w:line="380" w:lineRule="exact"/>
        <w:ind w:firstLine="420" w:firstLineChars="200"/>
        <w:rPr>
          <w:rFonts w:ascii="宋体" w:hAnsi="宋体" w:cs="宋体"/>
          <w:szCs w:val="21"/>
          <w:highlight w:val="none"/>
        </w:rPr>
      </w:pPr>
      <w:bookmarkStart w:id="27" w:name="_Toc35393796"/>
      <w:bookmarkStart w:id="28" w:name="_Toc35393627"/>
      <w:bookmarkStart w:id="29" w:name="_Toc28359008"/>
      <w:bookmarkStart w:id="30" w:name="_Toc28359085"/>
      <w:r>
        <w:rPr>
          <w:rFonts w:hint="eastAsia" w:ascii="宋体" w:hAnsi="宋体" w:cs="宋体"/>
          <w:szCs w:val="21"/>
          <w:highlight w:val="none"/>
        </w:rPr>
        <w:t>1.网上查询地址：中国政府采购网、广西壮族自治区政府采购网、广西防城港政府采购网站、防城港市公共资源交易中心网。</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2.本项目需要落实的政府采购政策：</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（1）财政部、司法部关于政府采购支持监狱企业发展有关问题的通知（财库[2014]68号）；</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（2）《政府采购促进中小企业发展管理办法》（财库[2020]46号）；</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（3）《关于促进残疾人就业政府采购政策的通知》（财库[2017]141号）。</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3.投标保证金：无。</w:t>
      </w:r>
    </w:p>
    <w:p>
      <w:pPr>
        <w:pStyle w:val="2"/>
        <w:spacing w:before="0" w:after="0" w:line="380" w:lineRule="exact"/>
        <w:ind w:firstLine="422" w:firstLineChars="200"/>
        <w:rPr>
          <w:rFonts w:ascii="宋体" w:hAnsi="宋体" w:cs="宋体"/>
          <w:b/>
          <w:bCs w:val="0"/>
          <w:spacing w:val="0"/>
          <w:kern w:val="2"/>
          <w:sz w:val="21"/>
          <w:szCs w:val="21"/>
          <w:highlight w:val="none"/>
        </w:rPr>
      </w:pPr>
      <w:r>
        <w:rPr>
          <w:rFonts w:hint="eastAsia" w:ascii="宋体" w:hAnsi="宋体" w:cs="宋体"/>
          <w:b/>
          <w:bCs w:val="0"/>
          <w:spacing w:val="0"/>
          <w:kern w:val="2"/>
          <w:sz w:val="21"/>
          <w:szCs w:val="21"/>
          <w:highlight w:val="none"/>
        </w:rPr>
        <w:t>七、对本次招标提出询问，请按以下方式联系</w:t>
      </w:r>
      <w:bookmarkEnd w:id="27"/>
      <w:bookmarkEnd w:id="28"/>
      <w:bookmarkEnd w:id="29"/>
      <w:bookmarkEnd w:id="30"/>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1.采购人信息</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名称：防城港市自然资源局</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地址：防城港市港口区云南路30号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联系方式：郑艳，</w:t>
      </w:r>
      <w:bookmarkStart w:id="31" w:name="_Toc35393807"/>
      <w:bookmarkStart w:id="32" w:name="_Toc28359020"/>
      <w:bookmarkStart w:id="33" w:name="_Toc28359097"/>
      <w:bookmarkStart w:id="34" w:name="_Toc35393638"/>
      <w:r>
        <w:rPr>
          <w:rFonts w:hint="eastAsia" w:ascii="宋体" w:hAnsi="宋体" w:cs="宋体"/>
          <w:szCs w:val="21"/>
          <w:highlight w:val="none"/>
        </w:rPr>
        <w:t>0770-2820013 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2.采购代理机构信息</w:t>
      </w:r>
      <w:bookmarkEnd w:id="31"/>
      <w:bookmarkEnd w:id="32"/>
      <w:bookmarkEnd w:id="33"/>
      <w:bookmarkEnd w:id="34"/>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名称：广西德元工程项目管理有限责任公司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地址：防城港市港口区西湾广场康晨小区F-21#4楼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联系方式：杨明，0770-288</w:t>
      </w:r>
      <w:bookmarkStart w:id="35" w:name="_Toc35393639"/>
      <w:bookmarkStart w:id="36" w:name="_Toc28359098"/>
      <w:bookmarkStart w:id="37" w:name="_Toc28359021"/>
      <w:bookmarkStart w:id="38" w:name="_Toc35393808"/>
      <w:r>
        <w:rPr>
          <w:rFonts w:hint="eastAsia" w:ascii="宋体" w:hAnsi="宋体" w:cs="宋体"/>
          <w:szCs w:val="21"/>
          <w:highlight w:val="none"/>
        </w:rPr>
        <w:t>3091</w:t>
      </w:r>
    </w:p>
    <w:bookmarkEnd w:id="35"/>
    <w:bookmarkEnd w:id="36"/>
    <w:bookmarkEnd w:id="37"/>
    <w:bookmarkEnd w:id="38"/>
    <w:p>
      <w:pPr>
        <w:numPr>
          <w:ilvl w:val="0"/>
          <w:numId w:val="7"/>
        </w:numPr>
        <w:spacing w:line="400" w:lineRule="exact"/>
        <w:ind w:firstLine="420" w:firstLineChars="200"/>
        <w:rPr>
          <w:rFonts w:ascii="宋体" w:hAnsi="宋体" w:cs="宋体"/>
          <w:szCs w:val="21"/>
          <w:highlight w:val="none"/>
        </w:rPr>
      </w:pPr>
      <w:r>
        <w:rPr>
          <w:rFonts w:hint="eastAsia" w:ascii="宋体" w:hAnsi="宋体" w:cs="宋体"/>
          <w:szCs w:val="21"/>
          <w:highlight w:val="none"/>
        </w:rPr>
        <w:t>监督部门</w:t>
      </w:r>
    </w:p>
    <w:p>
      <w:pPr>
        <w:spacing w:line="380" w:lineRule="exact"/>
        <w:ind w:firstLine="420" w:firstLineChars="200"/>
        <w:rPr>
          <w:rFonts w:ascii="宋体" w:hAnsi="宋体" w:cs="宋体"/>
          <w:highlight w:val="none"/>
        </w:rPr>
      </w:pPr>
      <w:r>
        <w:rPr>
          <w:rFonts w:hint="eastAsia" w:ascii="宋体" w:hAnsi="宋体" w:cs="宋体"/>
          <w:highlight w:val="none"/>
        </w:rPr>
        <w:t>名称：防城港市政府采购管理中心</w:t>
      </w:r>
    </w:p>
    <w:p>
      <w:pPr>
        <w:spacing w:line="380" w:lineRule="exact"/>
        <w:ind w:firstLine="420" w:firstLineChars="200"/>
        <w:rPr>
          <w:rFonts w:ascii="宋体" w:hAnsi="宋体" w:cs="宋体"/>
          <w:highlight w:val="none"/>
        </w:rPr>
      </w:pPr>
      <w:r>
        <w:rPr>
          <w:rFonts w:hint="eastAsia" w:ascii="宋体" w:hAnsi="宋体" w:cs="宋体"/>
          <w:highlight w:val="none"/>
        </w:rPr>
        <w:t>联系方式：0770-6102319</w:t>
      </w:r>
    </w:p>
    <w:p>
      <w:pPr>
        <w:pStyle w:val="10"/>
        <w:rPr>
          <w:rFonts w:ascii="宋体" w:hAnsi="宋体" w:cs="宋体"/>
          <w:highlight w:val="none"/>
        </w:rPr>
      </w:pPr>
    </w:p>
    <w:p>
      <w:pPr>
        <w:pStyle w:val="26"/>
        <w:snapToGrid w:val="0"/>
        <w:spacing w:line="400" w:lineRule="exact"/>
        <w:ind w:firstLine="4620" w:firstLineChars="2200"/>
        <w:jc w:val="right"/>
        <w:rPr>
          <w:rFonts w:hAnsi="宋体" w:cs="宋体"/>
          <w:sz w:val="21"/>
          <w:highlight w:val="none"/>
        </w:rPr>
      </w:pPr>
    </w:p>
    <w:p>
      <w:pPr>
        <w:pStyle w:val="26"/>
        <w:snapToGrid w:val="0"/>
        <w:spacing w:line="400" w:lineRule="exact"/>
        <w:ind w:firstLine="4620" w:firstLineChars="2200"/>
        <w:jc w:val="right"/>
        <w:rPr>
          <w:rFonts w:hAnsi="宋体" w:cs="宋体"/>
          <w:bCs/>
          <w:sz w:val="21"/>
          <w:highlight w:val="none"/>
        </w:rPr>
      </w:pPr>
      <w:r>
        <w:rPr>
          <w:rFonts w:hint="eastAsia" w:hAnsi="宋体" w:cs="宋体"/>
          <w:sz w:val="21"/>
          <w:highlight w:val="none"/>
        </w:rPr>
        <w:t>采购人：防城港市自然资源局</w:t>
      </w:r>
    </w:p>
    <w:p>
      <w:pPr>
        <w:pStyle w:val="28"/>
        <w:spacing w:line="400" w:lineRule="exact"/>
        <w:ind w:left="0" w:leftChars="0"/>
        <w:jc w:val="right"/>
        <w:rPr>
          <w:rFonts w:hAnsi="宋体" w:cs="宋体"/>
          <w:kern w:val="2"/>
          <w:sz w:val="21"/>
          <w:highlight w:val="none"/>
        </w:rPr>
      </w:pPr>
      <w:r>
        <w:rPr>
          <w:rFonts w:hint="eastAsia" w:hAnsi="宋体" w:cs="宋体"/>
          <w:kern w:val="2"/>
          <w:sz w:val="21"/>
          <w:highlight w:val="none"/>
        </w:rPr>
        <w:t>采购代理机构：广西德元工程项目管理有限责任公司</w:t>
      </w:r>
    </w:p>
    <w:p>
      <w:pPr>
        <w:pStyle w:val="26"/>
        <w:spacing w:line="330" w:lineRule="exact"/>
        <w:ind w:right="404" w:firstLine="420" w:firstLineChars="200"/>
        <w:jc w:val="right"/>
        <w:rPr>
          <w:rFonts w:hAnsi="宋体" w:cs="宋体"/>
          <w:color w:val="000000"/>
          <w:sz w:val="21"/>
          <w:highlight w:val="none"/>
        </w:rPr>
      </w:pPr>
      <w:r>
        <w:rPr>
          <w:rFonts w:hint="eastAsia" w:hAnsi="宋体" w:cs="宋体"/>
          <w:sz w:val="21"/>
          <w:highlight w:val="none"/>
        </w:rPr>
        <w:t xml:space="preserve">   2021年</w:t>
      </w:r>
      <w:r>
        <w:rPr>
          <w:rFonts w:hint="eastAsia" w:hAnsi="宋体" w:cs="宋体"/>
          <w:sz w:val="21"/>
          <w:highlight w:val="none"/>
          <w:lang w:val="en-US" w:eastAsia="zh-CN"/>
        </w:rPr>
        <w:t>9</w:t>
      </w:r>
      <w:r>
        <w:rPr>
          <w:rFonts w:hint="eastAsia" w:hAnsi="宋体" w:cs="宋体"/>
          <w:sz w:val="21"/>
          <w:highlight w:val="none"/>
        </w:rPr>
        <w:t>月</w:t>
      </w:r>
      <w:r>
        <w:rPr>
          <w:rFonts w:hint="eastAsia" w:hAnsi="宋体" w:cs="宋体"/>
          <w:sz w:val="21"/>
          <w:highlight w:val="none"/>
          <w:lang w:val="en-US" w:eastAsia="zh-CN"/>
        </w:rPr>
        <w:t>13</w:t>
      </w:r>
      <w:r>
        <w:rPr>
          <w:rFonts w:hint="eastAsia" w:hAnsi="宋体" w:cs="宋体"/>
          <w:sz w:val="21"/>
          <w:highlight w:val="none"/>
        </w:rPr>
        <w:t>日</w:t>
      </w:r>
    </w:p>
    <w:p>
      <w:pPr>
        <w:snapToGrid w:val="0"/>
        <w:spacing w:line="380" w:lineRule="exact"/>
        <w:ind w:left="238"/>
        <w:jc w:val="center"/>
        <w:rPr>
          <w:rFonts w:ascii="宋体" w:hAnsi="宋体" w:cs="宋体"/>
          <w:szCs w:val="21"/>
          <w:highlight w:val="none"/>
        </w:rPr>
      </w:pPr>
    </w:p>
    <w:p>
      <w:pPr>
        <w:snapToGrid w:val="0"/>
        <w:spacing w:line="380" w:lineRule="exact"/>
        <w:ind w:left="238"/>
        <w:jc w:val="center"/>
        <w:rPr>
          <w:rFonts w:ascii="宋体" w:hAnsi="宋体" w:cs="宋体"/>
          <w:szCs w:val="21"/>
          <w:highlight w:val="none"/>
        </w:rPr>
      </w:pPr>
    </w:p>
    <w:p>
      <w:pPr>
        <w:snapToGrid w:val="0"/>
        <w:spacing w:line="380" w:lineRule="exact"/>
        <w:ind w:left="238"/>
        <w:jc w:val="center"/>
        <w:rPr>
          <w:rFonts w:ascii="宋体" w:hAnsi="宋体" w:cs="宋体"/>
          <w:szCs w:val="21"/>
          <w:highlight w:val="none"/>
        </w:rPr>
      </w:pPr>
    </w:p>
    <w:p>
      <w:pPr>
        <w:snapToGrid w:val="0"/>
        <w:spacing w:line="380" w:lineRule="exact"/>
        <w:ind w:left="238"/>
        <w:jc w:val="center"/>
        <w:rPr>
          <w:rFonts w:ascii="宋体" w:hAnsi="宋体" w:cs="宋体"/>
          <w:szCs w:val="21"/>
          <w:highlight w:val="none"/>
        </w:rPr>
      </w:pPr>
    </w:p>
    <w:p>
      <w:pPr>
        <w:pStyle w:val="2"/>
        <w:rPr>
          <w:rFonts w:ascii="宋体" w:hAnsi="宋体" w:cs="宋体"/>
          <w:szCs w:val="21"/>
          <w:highlight w:val="none"/>
        </w:rPr>
      </w:pPr>
    </w:p>
    <w:p>
      <w:pPr>
        <w:pStyle w:val="2"/>
        <w:rPr>
          <w:rFonts w:ascii="宋体" w:hAnsi="宋体" w:cs="宋体"/>
          <w:szCs w:val="21"/>
          <w:highlight w:val="none"/>
        </w:rPr>
      </w:pPr>
    </w:p>
    <w:p>
      <w:pPr>
        <w:pStyle w:val="2"/>
        <w:rPr>
          <w:rFonts w:ascii="宋体" w:hAnsi="宋体" w:cs="宋体"/>
          <w:szCs w:val="21"/>
          <w:highlight w:val="none"/>
        </w:rPr>
      </w:pPr>
    </w:p>
    <w:p>
      <w:pPr>
        <w:snapToGrid w:val="0"/>
        <w:spacing w:line="400" w:lineRule="exact"/>
        <w:rPr>
          <w:rFonts w:ascii="宋体" w:hAnsi="宋体" w:cs="宋体"/>
          <w:szCs w:val="21"/>
          <w:highlight w:val="none"/>
        </w:rPr>
      </w:pPr>
    </w:p>
    <w:p>
      <w:pPr>
        <w:numPr>
          <w:ilvl w:val="0"/>
          <w:numId w:val="8"/>
        </w:numPr>
        <w:spacing w:line="360" w:lineRule="exact"/>
        <w:jc w:val="center"/>
        <w:rPr>
          <w:rFonts w:ascii="宋体" w:hAnsi="宋体" w:cs="宋体"/>
          <w:b/>
          <w:bCs/>
          <w:sz w:val="36"/>
          <w:szCs w:val="36"/>
          <w:highlight w:val="none"/>
        </w:rPr>
      </w:pPr>
      <w:r>
        <w:rPr>
          <w:rFonts w:hint="eastAsia" w:ascii="宋体" w:hAnsi="宋体" w:cs="宋体"/>
          <w:b/>
          <w:bCs/>
          <w:sz w:val="36"/>
          <w:szCs w:val="36"/>
          <w:highlight w:val="none"/>
        </w:rPr>
        <w:t>项目采购需求</w:t>
      </w:r>
    </w:p>
    <w:p>
      <w:pPr>
        <w:pStyle w:val="10"/>
        <w:rPr>
          <w:rFonts w:ascii="宋体" w:hAnsi="宋体" w:cs="宋体"/>
          <w:highlight w:val="none"/>
        </w:rPr>
      </w:pPr>
    </w:p>
    <w:p>
      <w:pPr>
        <w:pStyle w:val="10"/>
        <w:rPr>
          <w:rFonts w:ascii="宋体" w:hAnsi="宋体" w:cs="宋体"/>
          <w:highlight w:val="none"/>
        </w:rPr>
      </w:pPr>
    </w:p>
    <w:p>
      <w:pPr>
        <w:spacing w:line="460" w:lineRule="exact"/>
        <w:ind w:firstLine="422" w:firstLineChars="200"/>
        <w:rPr>
          <w:rFonts w:ascii="宋体" w:hAnsi="宋体"/>
          <w:b/>
          <w:szCs w:val="21"/>
          <w:highlight w:val="none"/>
        </w:rPr>
      </w:pPr>
      <w:r>
        <w:rPr>
          <w:rFonts w:hint="eastAsia" w:ascii="宋体" w:hAnsi="宋体"/>
          <w:b/>
          <w:szCs w:val="21"/>
          <w:highlight w:val="none"/>
        </w:rPr>
        <w:t>一、基本情况：</w:t>
      </w:r>
    </w:p>
    <w:p>
      <w:pPr>
        <w:spacing w:line="460" w:lineRule="exact"/>
        <w:ind w:firstLine="630" w:firstLineChars="300"/>
        <w:rPr>
          <w:rFonts w:ascii="宋体" w:hAnsi="宋体"/>
          <w:szCs w:val="21"/>
          <w:highlight w:val="none"/>
        </w:rPr>
      </w:pPr>
      <w:r>
        <w:rPr>
          <w:rFonts w:hint="eastAsia" w:ascii="Arial" w:hAnsi="Arial" w:cs="Arial"/>
          <w:szCs w:val="21"/>
          <w:highlight w:val="none"/>
        </w:rPr>
        <w:t xml:space="preserve">本招标项目 </w:t>
      </w:r>
      <w:r>
        <w:rPr>
          <w:rFonts w:hint="eastAsia" w:ascii="Arial" w:hAnsi="Arial" w:cs="Arial"/>
          <w:szCs w:val="21"/>
          <w:highlight w:val="none"/>
          <w:u w:val="single"/>
        </w:rPr>
        <w:t xml:space="preserve">防城港市西湾新城控制性详细规划 </w:t>
      </w:r>
      <w:r>
        <w:rPr>
          <w:rFonts w:hint="eastAsia" w:ascii="Arial" w:hAnsi="Arial" w:cs="Arial"/>
          <w:szCs w:val="21"/>
          <w:highlight w:val="none"/>
        </w:rPr>
        <w:t>根据《中华人民共和国城乡规划法》相关规定以及各项目建设用地规划审批工作要求，经防城港市人民政府同意，启动控制性详细规划全覆盖编制工作。项目已具备招标条件，现对该项目进行公开招标。</w:t>
      </w:r>
    </w:p>
    <w:p>
      <w:pPr>
        <w:spacing w:line="460" w:lineRule="exact"/>
        <w:ind w:firstLine="422" w:firstLineChars="200"/>
        <w:rPr>
          <w:rFonts w:ascii="宋体" w:hAnsi="宋体"/>
          <w:b/>
          <w:szCs w:val="21"/>
          <w:highlight w:val="none"/>
        </w:rPr>
      </w:pPr>
      <w:r>
        <w:rPr>
          <w:rFonts w:hint="eastAsia" w:ascii="宋体" w:hAnsi="宋体"/>
          <w:b/>
          <w:szCs w:val="21"/>
          <w:highlight w:val="none"/>
        </w:rPr>
        <w:t>二、采购内容：</w:t>
      </w:r>
    </w:p>
    <w:p>
      <w:pPr>
        <w:spacing w:line="460" w:lineRule="exact"/>
        <w:ind w:firstLine="420" w:firstLineChars="200"/>
        <w:rPr>
          <w:rFonts w:ascii="Arial" w:hAnsi="Arial" w:cs="Arial"/>
          <w:szCs w:val="21"/>
          <w:highlight w:val="none"/>
        </w:rPr>
      </w:pPr>
      <w:r>
        <w:rPr>
          <w:rFonts w:hint="eastAsia" w:ascii="Arial" w:hAnsi="Arial" w:cs="Arial"/>
          <w:szCs w:val="21"/>
          <w:highlight w:val="none"/>
        </w:rPr>
        <w:t>西湾新城位于我市中心城西部，西海湾西岸，并包含跨海大桥沿线的龙孔墩、北风脑、石屋门三个小岛，控制范围约34.01平方公里，按照《城市规划编制办法》中规定控制性详细规划（增加分图则）深度要求进行编制。</w:t>
      </w:r>
    </w:p>
    <w:p>
      <w:pPr>
        <w:spacing w:line="460" w:lineRule="exact"/>
        <w:ind w:firstLine="422" w:firstLineChars="200"/>
        <w:rPr>
          <w:rFonts w:ascii="宋体" w:hAnsi="宋体"/>
          <w:b/>
          <w:szCs w:val="21"/>
          <w:highlight w:val="none"/>
        </w:rPr>
      </w:pPr>
      <w:r>
        <w:rPr>
          <w:rFonts w:hint="eastAsia" w:ascii="宋体" w:hAnsi="宋体"/>
          <w:b/>
          <w:szCs w:val="21"/>
          <w:highlight w:val="none"/>
        </w:rPr>
        <w:t>三、其它要求：</w:t>
      </w:r>
    </w:p>
    <w:p>
      <w:pPr>
        <w:spacing w:line="460" w:lineRule="exact"/>
        <w:ind w:firstLine="420" w:firstLineChars="200"/>
        <w:rPr>
          <w:rFonts w:hint="eastAsia" w:ascii="Arial" w:hAnsi="Arial" w:cs="Arial"/>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规划</w:t>
      </w:r>
      <w:r>
        <w:rPr>
          <w:rFonts w:hint="eastAsia" w:ascii="Arial" w:hAnsi="Arial" w:cs="Arial"/>
          <w:szCs w:val="21"/>
          <w:highlight w:val="none"/>
        </w:rPr>
        <w:t>应符合国家规定《中华人民共和国城乡规划法》的要求的合格标准。</w:t>
      </w:r>
    </w:p>
    <w:p>
      <w:pPr>
        <w:pStyle w:val="2"/>
        <w:spacing w:before="0" w:after="0" w:line="380" w:lineRule="exact"/>
        <w:ind w:firstLine="420" w:firstLineChars="200"/>
      </w:pPr>
      <w:r>
        <w:rPr>
          <w:rFonts w:hint="eastAsia" w:ascii="宋体" w:hAnsi="宋体" w:cs="宋体"/>
          <w:bCs w:val="0"/>
          <w:spacing w:val="0"/>
          <w:kern w:val="2"/>
          <w:sz w:val="21"/>
          <w:szCs w:val="21"/>
          <w:highlight w:val="none"/>
          <w:lang w:val="en-US" w:eastAsia="zh-CN"/>
        </w:rPr>
        <w:t>2、</w:t>
      </w:r>
      <w:r>
        <w:rPr>
          <w:rFonts w:hint="eastAsia" w:ascii="宋体" w:hAnsi="宋体" w:cs="宋体"/>
          <w:bCs w:val="0"/>
          <w:spacing w:val="0"/>
          <w:kern w:val="2"/>
          <w:sz w:val="21"/>
          <w:szCs w:val="21"/>
          <w:highlight w:val="none"/>
        </w:rPr>
        <w:t>合同履行期限：</w:t>
      </w:r>
      <w:r>
        <w:rPr>
          <w:rFonts w:ascii="宋体" w:hAnsi="宋体" w:cs="宋体"/>
          <w:bCs w:val="0"/>
          <w:spacing w:val="0"/>
          <w:kern w:val="2"/>
          <w:sz w:val="21"/>
          <w:szCs w:val="21"/>
          <w:highlight w:val="none"/>
        </w:rPr>
        <w:t>90</w:t>
      </w:r>
      <w:r>
        <w:rPr>
          <w:rFonts w:hint="eastAsia" w:ascii="宋体" w:hAnsi="宋体" w:cs="宋体"/>
          <w:bCs w:val="0"/>
          <w:spacing w:val="0"/>
          <w:kern w:val="2"/>
          <w:sz w:val="21"/>
          <w:szCs w:val="21"/>
          <w:highlight w:val="none"/>
        </w:rPr>
        <w:t>个日历日。</w:t>
      </w:r>
    </w:p>
    <w:p>
      <w:pPr>
        <w:numPr>
          <w:ilvl w:val="0"/>
          <w:numId w:val="9"/>
        </w:numPr>
        <w:spacing w:line="460" w:lineRule="exact"/>
        <w:ind w:firstLine="422" w:firstLineChars="200"/>
        <w:rPr>
          <w:rFonts w:hint="eastAsia" w:ascii="宋体" w:hAnsi="宋体"/>
          <w:b/>
          <w:szCs w:val="21"/>
          <w:highlight w:val="none"/>
        </w:rPr>
      </w:pPr>
      <w:r>
        <w:rPr>
          <w:rFonts w:hint="eastAsia" w:ascii="宋体" w:hAnsi="宋体"/>
          <w:b/>
          <w:szCs w:val="21"/>
          <w:highlight w:val="none"/>
        </w:rPr>
        <w:t>付款方式：</w:t>
      </w:r>
    </w:p>
    <w:p>
      <w:pPr>
        <w:numPr>
          <w:ilvl w:val="0"/>
          <w:numId w:val="0"/>
        </w:numPr>
        <w:spacing w:line="460" w:lineRule="exact"/>
        <w:ind w:firstLine="420" w:firstLineChars="200"/>
        <w:rPr>
          <w:rFonts w:ascii="宋体" w:hAnsi="宋体"/>
          <w:szCs w:val="21"/>
          <w:highlight w:val="none"/>
        </w:rPr>
      </w:pPr>
      <w:r>
        <w:rPr>
          <w:rFonts w:hint="eastAsia" w:ascii="宋体" w:hAnsi="宋体"/>
          <w:szCs w:val="21"/>
          <w:highlight w:val="none"/>
          <w:lang w:eastAsia="zh-CN"/>
        </w:rPr>
        <w:t>按合同约定，</w:t>
      </w:r>
      <w:r>
        <w:rPr>
          <w:rFonts w:hint="eastAsia" w:ascii="宋体" w:hAnsi="宋体"/>
          <w:szCs w:val="21"/>
          <w:highlight w:val="none"/>
        </w:rPr>
        <w:t>招标人支付每笔合同款项前，中标人需提供符合要求的增值税专用发票，否则招标人有权顺延付款时间。</w:t>
      </w:r>
    </w:p>
    <w:p>
      <w:pPr>
        <w:numPr>
          <w:ilvl w:val="0"/>
          <w:numId w:val="9"/>
        </w:numPr>
        <w:spacing w:line="460" w:lineRule="exact"/>
        <w:ind w:left="0" w:leftChars="0" w:firstLine="422" w:firstLineChars="200"/>
        <w:rPr>
          <w:rFonts w:hint="eastAsia" w:ascii="宋体" w:hAnsi="宋体"/>
          <w:b/>
          <w:szCs w:val="21"/>
          <w:highlight w:val="none"/>
        </w:rPr>
      </w:pPr>
      <w:r>
        <w:rPr>
          <w:rFonts w:hint="eastAsia" w:ascii="宋体" w:hAnsi="宋体"/>
          <w:b/>
          <w:szCs w:val="21"/>
          <w:highlight w:val="none"/>
        </w:rPr>
        <w:t>对合同条款的特别说明：</w:t>
      </w:r>
    </w:p>
    <w:p>
      <w:pPr>
        <w:spacing w:line="460" w:lineRule="exact"/>
        <w:ind w:firstLine="420" w:firstLineChars="200"/>
        <w:rPr>
          <w:rFonts w:hint="eastAsia" w:ascii="Arial" w:hAnsi="Arial" w:cs="Arial"/>
          <w:szCs w:val="21"/>
          <w:highlight w:val="none"/>
        </w:rPr>
      </w:pPr>
      <w:r>
        <w:rPr>
          <w:rFonts w:hint="eastAsia" w:ascii="Arial" w:hAnsi="Arial" w:cs="Arial"/>
          <w:szCs w:val="21"/>
          <w:highlight w:val="none"/>
        </w:rPr>
        <w:t>由于投标人原因，投标人未能按本合同规定的内容、时间及相关要求向采购人交付成果文件，投标人承担违约责任，每逾期交付一天，按合同总费用的千分之二支付滞纳金，超过合同规定时间30日，采购人有权解除合同。</w:t>
      </w:r>
    </w:p>
    <w:p>
      <w:pPr>
        <w:spacing w:line="460" w:lineRule="exact"/>
        <w:ind w:firstLine="422" w:firstLineChars="200"/>
        <w:rPr>
          <w:rFonts w:ascii="宋体" w:hAnsi="宋体"/>
          <w:b/>
          <w:szCs w:val="21"/>
          <w:highlight w:val="none"/>
        </w:rPr>
      </w:pPr>
      <w:r>
        <w:rPr>
          <w:rFonts w:hint="eastAsia" w:ascii="宋体" w:hAnsi="宋体"/>
          <w:b/>
          <w:szCs w:val="21"/>
          <w:highlight w:val="none"/>
        </w:rPr>
        <w:t>六、投标报价必须含以下部分，包括：</w:t>
      </w:r>
    </w:p>
    <w:p>
      <w:pPr>
        <w:spacing w:line="460" w:lineRule="exact"/>
        <w:ind w:firstLine="420" w:firstLineChars="200"/>
        <w:rPr>
          <w:rFonts w:ascii="宋体" w:hAnsi="宋体"/>
          <w:szCs w:val="21"/>
          <w:highlight w:val="none"/>
        </w:rPr>
      </w:pPr>
      <w:r>
        <w:rPr>
          <w:rFonts w:hint="eastAsia" w:ascii="宋体" w:hAnsi="宋体"/>
          <w:szCs w:val="21"/>
          <w:highlight w:val="none"/>
        </w:rPr>
        <w:t xml:space="preserve">（1）服务的价格：投标人按总价包干，投标报价是履行合同的最终价格； </w:t>
      </w:r>
    </w:p>
    <w:p>
      <w:pPr>
        <w:spacing w:line="460" w:lineRule="exact"/>
        <w:ind w:firstLine="420" w:firstLineChars="200"/>
        <w:rPr>
          <w:rFonts w:ascii="宋体" w:hAnsi="宋体"/>
          <w:szCs w:val="21"/>
          <w:highlight w:val="none"/>
        </w:rPr>
      </w:pPr>
      <w:r>
        <w:rPr>
          <w:rFonts w:hint="eastAsia" w:ascii="宋体" w:hAnsi="宋体"/>
          <w:szCs w:val="21"/>
          <w:highlight w:val="none"/>
        </w:rPr>
        <w:t xml:space="preserve">（2）必要的保险费用和各项增值税金； </w:t>
      </w:r>
    </w:p>
    <w:p>
      <w:pPr>
        <w:spacing w:line="460" w:lineRule="exact"/>
        <w:ind w:firstLine="420" w:firstLineChars="200"/>
        <w:rPr>
          <w:rFonts w:ascii="宋体" w:hAnsi="宋体"/>
          <w:szCs w:val="21"/>
          <w:highlight w:val="none"/>
        </w:rPr>
      </w:pPr>
      <w:r>
        <w:rPr>
          <w:rFonts w:hint="eastAsia" w:ascii="宋体" w:hAnsi="宋体"/>
          <w:szCs w:val="21"/>
          <w:highlight w:val="none"/>
        </w:rPr>
        <w:t>（3）投标人依据招标人提供的招标资料和现场实地勘察情况，根据自身经验，在确保质量和满足相关要求的前提下报价。</w:t>
      </w:r>
    </w:p>
    <w:p>
      <w:pPr>
        <w:spacing w:line="460" w:lineRule="exact"/>
        <w:ind w:firstLine="420" w:firstLineChars="200"/>
        <w:rPr>
          <w:rFonts w:ascii="宋体" w:hAnsi="宋体"/>
          <w:szCs w:val="21"/>
          <w:highlight w:val="none"/>
        </w:rPr>
      </w:pPr>
      <w:r>
        <w:rPr>
          <w:rFonts w:hint="eastAsia" w:ascii="宋体" w:hAnsi="宋体"/>
          <w:szCs w:val="21"/>
          <w:highlight w:val="none"/>
        </w:rPr>
        <w:t>（4）报价中包含但不限于成果文件及相应提供技术交底等相关资料、设备、劳务、管理、材料、运输费、报告编制费以及评审至合格通过的评审费用、对本项目所产生的所有开支、风险、责任、利润、税金、本项目的采购代理服务费、政策性文件规定及合同包含的应有风险、责任等各项应有费用。</w:t>
      </w:r>
    </w:p>
    <w:p>
      <w:pPr>
        <w:pStyle w:val="2"/>
        <w:rPr>
          <w:rFonts w:ascii="宋体" w:hAnsi="宋体" w:cs="宋体"/>
          <w:highlight w:val="none"/>
        </w:rPr>
      </w:pPr>
      <w:r>
        <w:rPr>
          <w:rFonts w:ascii="宋体" w:hAnsi="宋体" w:cs="宋体"/>
          <w:highlight w:val="none"/>
        </w:rPr>
        <w:br w:type="page"/>
      </w:r>
    </w:p>
    <w:p>
      <w:pPr>
        <w:widowControl/>
        <w:jc w:val="center"/>
        <w:rPr>
          <w:rFonts w:ascii="宋体" w:hAnsi="宋体" w:cs="宋体"/>
          <w:b/>
          <w:bCs/>
          <w:highlight w:val="none"/>
        </w:rPr>
      </w:pPr>
      <w:r>
        <w:rPr>
          <w:rFonts w:hint="eastAsia" w:ascii="宋体" w:hAnsi="宋体" w:cs="宋体"/>
          <w:b/>
          <w:bCs/>
          <w:sz w:val="36"/>
          <w:szCs w:val="36"/>
          <w:highlight w:val="none"/>
        </w:rPr>
        <w:t>第三章  投标人须知</w:t>
      </w:r>
    </w:p>
    <w:p>
      <w:pPr>
        <w:snapToGrid w:val="0"/>
        <w:spacing w:before="120" w:beforeLines="50" w:after="120" w:afterLines="50"/>
        <w:ind w:left="238"/>
        <w:jc w:val="center"/>
        <w:outlineLvl w:val="1"/>
        <w:rPr>
          <w:rFonts w:ascii="宋体" w:hAnsi="宋体" w:cs="宋体"/>
          <w:b/>
          <w:szCs w:val="21"/>
          <w:highlight w:val="none"/>
        </w:rPr>
      </w:pPr>
      <w:bookmarkStart w:id="39" w:name="_Toc254970667"/>
      <w:bookmarkStart w:id="40" w:name="_Toc254970526"/>
      <w:bookmarkStart w:id="41" w:name="_Toc430110129"/>
      <w:r>
        <w:rPr>
          <w:rFonts w:hint="eastAsia" w:ascii="宋体" w:hAnsi="宋体" w:cs="宋体"/>
          <w:b/>
          <w:sz w:val="28"/>
          <w:szCs w:val="28"/>
          <w:highlight w:val="none"/>
        </w:rPr>
        <w:t>投标人须知前附表</w:t>
      </w:r>
      <w:bookmarkEnd w:id="39"/>
      <w:bookmarkEnd w:id="40"/>
      <w:bookmarkEnd w:id="41"/>
    </w:p>
    <w:tbl>
      <w:tblPr>
        <w:tblStyle w:val="49"/>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Cs/>
                <w:szCs w:val="21"/>
                <w:highlight w:val="none"/>
              </w:rPr>
            </w:pPr>
            <w:r>
              <w:rPr>
                <w:rFonts w:hint="eastAsia" w:ascii="宋体" w:hAnsi="宋体" w:cs="宋体"/>
                <w:b/>
                <w:bCs/>
                <w:szCs w:val="21"/>
                <w:highlight w:val="none"/>
              </w:rPr>
              <w:t>项目名称：</w:t>
            </w:r>
            <w:r>
              <w:rPr>
                <w:rFonts w:hint="eastAsia" w:ascii="宋体" w:hAnsi="宋体" w:cs="宋体"/>
                <w:szCs w:val="21"/>
                <w:highlight w:val="none"/>
              </w:rPr>
              <w:t>防城港市西湾新城控制性详细规划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highlight w:val="none"/>
              </w:rPr>
            </w:pPr>
            <w:r>
              <w:rPr>
                <w:rFonts w:hint="eastAsia" w:ascii="宋体" w:hAnsi="宋体" w:cs="宋体"/>
                <w:b/>
                <w:bCs/>
                <w:szCs w:val="21"/>
                <w:highlight w:val="none"/>
              </w:rPr>
              <w:t>采购单位：</w:t>
            </w:r>
            <w:r>
              <w:rPr>
                <w:rFonts w:hint="eastAsia" w:ascii="宋体" w:hAnsi="宋体" w:cs="宋体"/>
                <w:bCs/>
                <w:szCs w:val="21"/>
                <w:highlight w:val="none"/>
              </w:rPr>
              <w:t>防城港市自然资源局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bCs/>
                <w:szCs w:val="21"/>
                <w:highlight w:val="none"/>
              </w:rPr>
            </w:pPr>
            <w:r>
              <w:rPr>
                <w:rFonts w:hint="eastAsia" w:ascii="宋体" w:hAnsi="宋体" w:cs="宋体"/>
                <w:b/>
                <w:szCs w:val="21"/>
                <w:highlight w:val="none"/>
              </w:rPr>
              <w:t>投标报价及费用</w:t>
            </w:r>
            <w:r>
              <w:rPr>
                <w:rFonts w:hint="eastAsia" w:ascii="宋体" w:hAnsi="宋体" w:cs="宋体"/>
                <w:b/>
                <w:bCs/>
                <w:szCs w:val="21"/>
                <w:highlight w:val="none"/>
              </w:rPr>
              <w:t>：</w:t>
            </w:r>
          </w:p>
          <w:p>
            <w:pPr>
              <w:numPr>
                <w:ilvl w:val="0"/>
                <w:numId w:val="0"/>
              </w:num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本项目投标应以人民币报价，根据采购需求作完整唯一报价；</w:t>
            </w:r>
          </w:p>
          <w:p>
            <w:pPr>
              <w:numPr>
                <w:ilvl w:val="0"/>
                <w:numId w:val="0"/>
              </w:num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不论投标结果如何，投标人均应自行承担所有与投标有关的全部费用；</w:t>
            </w:r>
          </w:p>
          <w:p>
            <w:pPr>
              <w:numPr>
                <w:ilvl w:val="0"/>
                <w:numId w:val="0"/>
              </w:num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本项目代理服务费按国家发展计划委员会计价格[2002]1980号</w:t>
            </w:r>
            <w:r>
              <w:rPr>
                <w:rFonts w:hint="eastAsia" w:ascii="宋体" w:hAnsi="宋体"/>
                <w:szCs w:val="21"/>
                <w:highlight w:val="none"/>
              </w:rPr>
              <w:t>“国家计委关于印发《招标代理服务收费管理暂行办法》的通知”</w:t>
            </w:r>
            <w:r>
              <w:rPr>
                <w:rFonts w:hint="eastAsia" w:ascii="宋体" w:hAnsi="宋体" w:cs="宋体"/>
                <w:szCs w:val="21"/>
                <w:highlight w:val="none"/>
              </w:rPr>
              <w:t>规定的收费标准收取，由中标供应商向采购代理机构一次性付清。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sz w:val="22"/>
                <w:szCs w:val="22"/>
                <w:highlight w:val="none"/>
              </w:rPr>
            </w:pPr>
            <w:r>
              <w:rPr>
                <w:rFonts w:hint="eastAsia" w:ascii="宋体" w:hAnsi="宋体" w:cs="宋体"/>
                <w:b/>
                <w:bCs/>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5</w:t>
            </w:r>
          </w:p>
        </w:tc>
        <w:tc>
          <w:tcPr>
            <w:tcW w:w="882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rPr>
                <w:rFonts w:hAnsi="宋体" w:cs="宋体"/>
                <w:b/>
                <w:sz w:val="21"/>
                <w:highlight w:val="none"/>
              </w:rPr>
            </w:pPr>
            <w:r>
              <w:rPr>
                <w:rFonts w:hint="eastAsia" w:hAnsi="宋体" w:cs="宋体"/>
                <w:b/>
                <w:sz w:val="21"/>
                <w:highlight w:val="none"/>
              </w:rPr>
              <w:t>答疑与澄清：</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投标人应认真阅读本招标文件，发现其中有误、缺页、附件不全或有不合理要求的，投标人必须在收到招标文件之日起七个工作日内以书面形式要求采购人或采购代理机构澄清。</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6"/>
              <w:snapToGrid w:val="0"/>
              <w:spacing w:line="400" w:lineRule="exact"/>
              <w:ind w:firstLine="420" w:firstLineChars="200"/>
              <w:rPr>
                <w:rFonts w:hAnsi="宋体" w:cs="宋体"/>
                <w:highlight w:val="none"/>
              </w:rPr>
            </w:pPr>
            <w:r>
              <w:rPr>
                <w:rFonts w:hint="eastAsia" w:hAnsi="宋体" w:cs="宋体"/>
                <w:sz w:val="21"/>
                <w:highlight w:val="none"/>
              </w:rPr>
              <w:t>澄清或者修改的内容可能影响投标文件编制的，采购人或者采购代理机构应当在提交投标文件截止时间至少3日前，以书面形式通知所有获取招标文件的潜在投标人；不足3日的，采购人或者采购代理机构应当顺延提交投标文件的截止时间</w:t>
            </w: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6</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b/>
                <w:szCs w:val="21"/>
                <w:highlight w:val="none"/>
              </w:rPr>
              <w:t>投标文件组成</w:t>
            </w:r>
            <w:r>
              <w:rPr>
                <w:rFonts w:hint="eastAsia" w:ascii="宋体" w:hAnsi="宋体" w:cs="宋体"/>
                <w:b/>
                <w:bCs/>
                <w:szCs w:val="21"/>
                <w:highlight w:val="none"/>
              </w:rPr>
              <w:t>：</w:t>
            </w:r>
            <w:r>
              <w:rPr>
                <w:rFonts w:hint="eastAsia" w:ascii="宋体" w:hAnsi="宋体" w:cs="宋体"/>
                <w:szCs w:val="21"/>
                <w:highlight w:val="none"/>
              </w:rPr>
              <w:t>开标一览表1份，投标文件正副本份数：正本1份、副本4份；</w:t>
            </w:r>
          </w:p>
          <w:p>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报价文件、</w:t>
            </w:r>
            <w:r>
              <w:rPr>
                <w:rFonts w:hint="eastAsia" w:ascii="宋体" w:hAnsi="宋体" w:cs="宋体"/>
                <w:szCs w:val="21"/>
                <w:highlight w:val="none"/>
                <w:lang w:eastAsia="zh-CN"/>
              </w:rPr>
              <w:t>资格文件</w:t>
            </w:r>
            <w:r>
              <w:rPr>
                <w:rFonts w:hint="eastAsia" w:ascii="宋体" w:hAnsi="宋体" w:cs="宋体"/>
                <w:szCs w:val="21"/>
                <w:highlight w:val="none"/>
              </w:rPr>
              <w:t>、商务文件按顺序合并装订成册，技术文件单独装订成册。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highlight w:val="none"/>
              </w:rPr>
            </w:pPr>
            <w:r>
              <w:rPr>
                <w:rFonts w:hint="eastAsia" w:ascii="宋体" w:hAnsi="宋体" w:cs="宋体"/>
                <w:b/>
                <w:szCs w:val="21"/>
                <w:highlight w:val="none"/>
              </w:rPr>
              <w:t>投标截止时间及地点</w:t>
            </w:r>
            <w:r>
              <w:rPr>
                <w:rFonts w:hint="eastAsia" w:ascii="宋体" w:hAnsi="宋体" w:cs="宋体"/>
                <w:b/>
                <w:bCs/>
                <w:szCs w:val="21"/>
                <w:highlight w:val="none"/>
              </w:rPr>
              <w:t>：</w:t>
            </w:r>
            <w:r>
              <w:rPr>
                <w:rFonts w:hint="eastAsia" w:ascii="宋体" w:hAnsi="宋体" w:cs="宋体"/>
                <w:szCs w:val="21"/>
                <w:highlight w:val="none"/>
              </w:rPr>
              <w:t>投标人应于2021年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8</w:t>
            </w:r>
            <w:r>
              <w:rPr>
                <w:rFonts w:hint="eastAsia" w:ascii="宋体" w:hAnsi="宋体" w:cs="宋体"/>
                <w:szCs w:val="21"/>
                <w:highlight w:val="none"/>
              </w:rPr>
              <w:t>日</w:t>
            </w:r>
            <w:r>
              <w:rPr>
                <w:rFonts w:hint="eastAsia" w:ascii="宋体" w:hAnsi="宋体" w:cs="宋体"/>
                <w:szCs w:val="21"/>
                <w:highlight w:val="none"/>
                <w:lang w:val="en-US" w:eastAsia="zh-CN"/>
              </w:rPr>
              <w:t>9</w:t>
            </w:r>
            <w:r>
              <w:rPr>
                <w:rFonts w:hint="eastAsia" w:ascii="宋体" w:hAnsi="宋体" w:cs="宋体"/>
                <w:szCs w:val="21"/>
                <w:highlight w:val="none"/>
              </w:rPr>
              <w:t>点</w:t>
            </w:r>
            <w:r>
              <w:rPr>
                <w:rFonts w:hint="eastAsia" w:ascii="宋体" w:hAnsi="宋体" w:cs="宋体"/>
                <w:szCs w:val="21"/>
                <w:highlight w:val="none"/>
                <w:lang w:val="en-US" w:eastAsia="zh-CN"/>
              </w:rPr>
              <w:t>30</w:t>
            </w:r>
            <w:r>
              <w:rPr>
                <w:rFonts w:hint="eastAsia" w:ascii="宋体" w:hAnsi="宋体" w:cs="宋体"/>
                <w:szCs w:val="21"/>
                <w:highlight w:val="none"/>
              </w:rPr>
              <w:t>分前将投标文件密封送交到</w:t>
            </w:r>
            <w:r>
              <w:rPr>
                <w:rFonts w:hint="eastAsia" w:ascii="宋体" w:hAnsi="宋体" w:cs="宋体"/>
                <w:highlight w:val="none"/>
                <w:u w:val="single"/>
              </w:rPr>
              <w:t>防城港市公共资源交易中心（防城港市迎宾路红树林大厦东塔，具体开标室根据6楼电子屏幕显示）</w:t>
            </w:r>
            <w:r>
              <w:rPr>
                <w:rFonts w:hint="eastAsia" w:ascii="宋体" w:hAnsi="宋体" w:cs="宋体"/>
                <w:szCs w:val="21"/>
                <w:highlight w:val="none"/>
              </w:rPr>
              <w:t>，逾期送达或未密封将予以拒收（或作无效投标文件处理）。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highlight w:val="none"/>
                <w:u w:val="single"/>
              </w:rPr>
            </w:pPr>
            <w:r>
              <w:rPr>
                <w:rFonts w:hint="eastAsia" w:ascii="宋体" w:hAnsi="宋体" w:cs="宋体"/>
                <w:b/>
                <w:szCs w:val="21"/>
                <w:highlight w:val="none"/>
              </w:rPr>
              <w:t>开标时间及地点</w:t>
            </w:r>
            <w:r>
              <w:rPr>
                <w:rFonts w:hint="eastAsia" w:ascii="宋体" w:hAnsi="宋体" w:cs="宋体"/>
                <w:b/>
                <w:bCs/>
                <w:szCs w:val="21"/>
                <w:highlight w:val="none"/>
              </w:rPr>
              <w:t>：</w:t>
            </w:r>
            <w:r>
              <w:rPr>
                <w:rFonts w:hint="eastAsia" w:ascii="宋体" w:hAnsi="宋体" w:cs="宋体"/>
                <w:szCs w:val="21"/>
                <w:highlight w:val="none"/>
              </w:rPr>
              <w:t>本次招标将于2021年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8</w:t>
            </w:r>
            <w:r>
              <w:rPr>
                <w:rFonts w:hint="eastAsia" w:ascii="宋体" w:hAnsi="宋体" w:cs="宋体"/>
                <w:szCs w:val="21"/>
                <w:highlight w:val="none"/>
              </w:rPr>
              <w:t>日</w:t>
            </w:r>
            <w:r>
              <w:rPr>
                <w:rFonts w:hint="eastAsia" w:ascii="宋体" w:hAnsi="宋体" w:cs="宋体"/>
                <w:szCs w:val="21"/>
                <w:highlight w:val="none"/>
                <w:lang w:val="en-US" w:eastAsia="zh-CN"/>
              </w:rPr>
              <w:t>9</w:t>
            </w:r>
            <w:r>
              <w:rPr>
                <w:rFonts w:hint="eastAsia" w:ascii="宋体" w:hAnsi="宋体" w:cs="宋体"/>
                <w:szCs w:val="21"/>
                <w:highlight w:val="none"/>
              </w:rPr>
              <w:t>点</w:t>
            </w:r>
            <w:r>
              <w:rPr>
                <w:rFonts w:hint="eastAsia" w:ascii="宋体" w:hAnsi="宋体" w:cs="宋体"/>
                <w:szCs w:val="21"/>
                <w:highlight w:val="none"/>
                <w:lang w:val="en-US" w:eastAsia="zh-CN"/>
              </w:rPr>
              <w:t>30</w:t>
            </w:r>
            <w:r>
              <w:rPr>
                <w:rFonts w:hint="eastAsia" w:ascii="宋体" w:hAnsi="宋体" w:cs="宋体"/>
                <w:szCs w:val="21"/>
                <w:highlight w:val="none"/>
              </w:rPr>
              <w:t>分整防城港市公共资源交易中心（防城港市迎宾路红树林大厦东塔，具体开标室根据6楼电子屏幕显示）开标室开标。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9</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b/>
                <w:szCs w:val="21"/>
                <w:highlight w:val="none"/>
              </w:rPr>
              <w:t>评标办法及评分标准</w:t>
            </w:r>
            <w:r>
              <w:rPr>
                <w:rFonts w:hint="eastAsia" w:ascii="宋体" w:hAnsi="宋体" w:cs="宋体"/>
                <w:b/>
                <w:bCs/>
                <w:szCs w:val="21"/>
                <w:highlight w:val="none"/>
              </w:rPr>
              <w:t>：</w:t>
            </w:r>
            <w:r>
              <w:rPr>
                <w:rFonts w:hint="eastAsia" w:ascii="宋体" w:hAnsi="宋体" w:cs="宋体"/>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10</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b/>
                <w:szCs w:val="21"/>
                <w:highlight w:val="none"/>
              </w:rPr>
              <w:t>中标公告及中标通知书</w:t>
            </w:r>
            <w:r>
              <w:rPr>
                <w:rFonts w:hint="eastAsia" w:ascii="宋体" w:hAnsi="宋体" w:cs="宋体"/>
                <w:b/>
                <w:bCs/>
                <w:szCs w:val="21"/>
                <w:highlight w:val="none"/>
              </w:rPr>
              <w:t>：</w:t>
            </w:r>
            <w:r>
              <w:rPr>
                <w:rFonts w:hint="eastAsia" w:ascii="宋体" w:hAnsi="宋体" w:cs="宋体"/>
                <w:szCs w:val="21"/>
                <w:highlight w:val="none"/>
              </w:rPr>
              <w:t>采购代理机构在采购人依法确认中标人后2个工作日内发布中标结果和向中标人发出中标通知书，中标结果发布于财政部门指定的政府采购信息发布媒体。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11</w:t>
            </w:r>
          </w:p>
        </w:tc>
        <w:tc>
          <w:tcPr>
            <w:tcW w:w="8820"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rPr>
                <w:rFonts w:hAnsi="宋体" w:cs="宋体"/>
                <w:sz w:val="21"/>
                <w:highlight w:val="none"/>
              </w:rPr>
            </w:pPr>
            <w:r>
              <w:rPr>
                <w:rFonts w:hint="eastAsia" w:hAnsi="宋体" w:cs="宋体"/>
                <w:b/>
                <w:bCs/>
                <w:highlight w:val="none"/>
              </w:rPr>
              <w:t>履约保证金：</w:t>
            </w:r>
            <w:r>
              <w:rPr>
                <w:rFonts w:hint="eastAsia" w:hAnsi="宋体" w:cs="宋体"/>
                <w:sz w:val="21"/>
                <w:highlight w:val="none"/>
              </w:rPr>
              <w:t>无。</w:t>
            </w:r>
          </w:p>
          <w:p>
            <w:pPr>
              <w:pStyle w:val="26"/>
              <w:snapToGrid w:val="0"/>
              <w:spacing w:line="320" w:lineRule="exact"/>
              <w:ind w:firstLine="420" w:firstLineChars="200"/>
              <w:rPr>
                <w:rFonts w:hAnsi="宋体" w:cs="宋体"/>
                <w:sz w:val="21"/>
                <w:highlight w:val="none"/>
              </w:rPr>
            </w:pPr>
            <w:r>
              <w:rPr>
                <w:rFonts w:hint="eastAsia" w:hAnsi="宋体" w:cs="宋体"/>
                <w:sz w:val="21"/>
                <w:highlight w:val="none"/>
              </w:rPr>
              <w:t>履约保证金递交方式：支票、汇票、本票或者银行、保险机构出具的保函等非现金方式。</w:t>
            </w:r>
          </w:p>
          <w:p>
            <w:pPr>
              <w:autoSpaceDE w:val="0"/>
              <w:autoSpaceDN w:val="0"/>
              <w:snapToGrid w:val="0"/>
              <w:spacing w:line="400" w:lineRule="exact"/>
              <w:ind w:firstLine="420" w:firstLineChars="200"/>
              <w:textAlignment w:val="bottom"/>
              <w:rPr>
                <w:rFonts w:ascii="宋体" w:hAnsi="宋体" w:cs="宋体"/>
                <w:szCs w:val="21"/>
                <w:highlight w:val="none"/>
              </w:rPr>
            </w:pPr>
            <w:r>
              <w:rPr>
                <w:rFonts w:hint="eastAsia" w:ascii="宋体" w:hAnsi="宋体" w:cs="宋体"/>
                <w:highlight w:val="none"/>
              </w:rPr>
              <w:t>履约保证金退付方式、时间及条件：履约完毕（验收合格后），由成交供应商向履约保证金收取单位提供《广西壮族自治区政府采购项目合同验收书》及《政府采购项目履约保证金退付意见书》（详见附表），履约保证金收取单位在收到合格材料后办理退还手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12</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b/>
                <w:szCs w:val="21"/>
                <w:highlight w:val="none"/>
              </w:rPr>
              <w:t>签订合同时间</w:t>
            </w:r>
            <w:r>
              <w:rPr>
                <w:rFonts w:hint="eastAsia" w:ascii="宋体" w:hAnsi="宋体" w:cs="宋体"/>
                <w:b/>
                <w:bCs/>
                <w:szCs w:val="21"/>
                <w:highlight w:val="none"/>
              </w:rPr>
              <w:t>：</w:t>
            </w:r>
            <w:r>
              <w:rPr>
                <w:rFonts w:hint="eastAsia" w:ascii="宋体" w:hAnsi="宋体" w:cs="宋体"/>
                <w:szCs w:val="21"/>
                <w:highlight w:val="none"/>
              </w:rPr>
              <w:t>自中标通知书发出之日起25个日历天内。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13</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b/>
                <w:szCs w:val="21"/>
                <w:highlight w:val="none"/>
              </w:rPr>
              <w:t>采购资金来源</w:t>
            </w:r>
            <w:r>
              <w:rPr>
                <w:rFonts w:hint="eastAsia" w:ascii="宋体" w:hAnsi="宋体" w:cs="宋体"/>
                <w:b/>
                <w:bCs/>
                <w:szCs w:val="21"/>
                <w:highlight w:val="none"/>
              </w:rPr>
              <w:t>：</w:t>
            </w: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14</w:t>
            </w:r>
          </w:p>
        </w:tc>
        <w:tc>
          <w:tcPr>
            <w:tcW w:w="88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highlight w:val="none"/>
              </w:rPr>
            </w:pPr>
            <w:r>
              <w:rPr>
                <w:rFonts w:hint="eastAsia" w:ascii="宋体" w:hAnsi="宋体" w:cs="宋体"/>
                <w:b/>
                <w:szCs w:val="21"/>
                <w:highlight w:val="none"/>
              </w:rPr>
              <w:t>付款方式</w:t>
            </w:r>
            <w:r>
              <w:rPr>
                <w:rFonts w:hint="eastAsia" w:ascii="宋体" w:hAnsi="宋体" w:cs="宋体"/>
                <w:b/>
                <w:bCs/>
                <w:szCs w:val="21"/>
                <w:highlight w:val="none"/>
              </w:rPr>
              <w:t>：</w:t>
            </w:r>
          </w:p>
          <w:p>
            <w:pPr>
              <w:pStyle w:val="26"/>
              <w:ind w:firstLine="420" w:firstLineChars="200"/>
              <w:rPr>
                <w:rFonts w:hAnsi="宋体"/>
                <w:sz w:val="21"/>
                <w:highlight w:val="none"/>
              </w:rPr>
            </w:pPr>
            <w:r>
              <w:rPr>
                <w:rFonts w:hint="eastAsia" w:hAnsi="宋体"/>
                <w:sz w:val="21"/>
                <w:highlight w:val="none"/>
                <w:lang w:eastAsia="zh-CN"/>
              </w:rPr>
              <w:t>按合同约定，</w:t>
            </w:r>
            <w:r>
              <w:rPr>
                <w:rFonts w:hint="eastAsia" w:hAnsi="宋体"/>
                <w:sz w:val="21"/>
                <w:highlight w:val="none"/>
              </w:rPr>
              <w:t>分期支付。</w:t>
            </w:r>
          </w:p>
          <w:p>
            <w:pPr>
              <w:pStyle w:val="26"/>
              <w:ind w:firstLine="420" w:firstLineChars="200"/>
              <w:rPr>
                <w:rFonts w:hAnsi="宋体" w:cs="宋体"/>
                <w:highlight w:val="none"/>
              </w:rPr>
            </w:pPr>
            <w:r>
              <w:rPr>
                <w:rFonts w:hint="eastAsia" w:hAnsi="宋体"/>
                <w:sz w:val="21"/>
                <w:highlight w:val="none"/>
              </w:rPr>
              <w:t>招标人支付每笔合同款项前，中标人需提供符合要求的增值税专用发票，否则招标人有权顺延付款时间。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highlight w:val="none"/>
              </w:rPr>
            </w:pPr>
            <w:r>
              <w:rPr>
                <w:rFonts w:hint="eastAsia" w:ascii="宋体" w:hAnsi="宋体" w:cs="宋体"/>
                <w:b/>
                <w:szCs w:val="21"/>
                <w:highlight w:val="none"/>
              </w:rPr>
              <w:t>投标文件有效期</w:t>
            </w:r>
            <w:r>
              <w:rPr>
                <w:rFonts w:hint="eastAsia" w:ascii="宋体" w:hAnsi="宋体" w:cs="宋体"/>
                <w:b/>
                <w:bCs/>
                <w:szCs w:val="21"/>
                <w:highlight w:val="none"/>
              </w:rPr>
              <w:t>：</w:t>
            </w:r>
            <w:r>
              <w:rPr>
                <w:rFonts w:hint="eastAsia" w:ascii="宋体" w:hAnsi="宋体" w:cs="宋体"/>
                <w:szCs w:val="21"/>
                <w:highlight w:val="none"/>
              </w:rPr>
              <w:t>自投标截止时间之日起</w:t>
            </w:r>
            <w:r>
              <w:rPr>
                <w:rFonts w:hint="eastAsia" w:ascii="宋体" w:hAnsi="宋体" w:cs="宋体"/>
                <w:highlight w:val="none"/>
              </w:rPr>
              <w:t>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highlight w:val="none"/>
              </w:rPr>
            </w:pPr>
            <w:r>
              <w:rPr>
                <w:rFonts w:hint="eastAsia" w:ascii="宋体" w:hAnsi="宋体" w:cs="宋体"/>
                <w:b/>
                <w:bCs/>
                <w:szCs w:val="21"/>
                <w:highlight w:val="none"/>
              </w:rPr>
              <w:t>解释：</w:t>
            </w:r>
            <w:r>
              <w:rPr>
                <w:rFonts w:hint="eastAsia" w:ascii="宋体" w:hAnsi="宋体" w:cs="宋体"/>
                <w:szCs w:val="21"/>
                <w:highlight w:val="none"/>
              </w:rPr>
              <w:t>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highlight w:val="none"/>
              </w:rPr>
            </w:pPr>
            <w:r>
              <w:rPr>
                <w:rFonts w:hint="eastAsia" w:ascii="宋体" w:hAnsi="宋体" w:cs="宋体"/>
                <w:b/>
                <w:bCs/>
                <w:szCs w:val="21"/>
                <w:highlight w:val="none"/>
              </w:rPr>
              <w:t>采购预算价（人民币）：</w:t>
            </w:r>
            <w:r>
              <w:rPr>
                <w:rFonts w:hint="eastAsia" w:ascii="宋体" w:hAnsi="宋体" w:cs="宋体"/>
                <w:szCs w:val="21"/>
                <w:highlight w:val="none"/>
              </w:rPr>
              <w:t>陆佰壹拾贰万壹仟捌佰元整（￥6121800.00）。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18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宋体"/>
                <w:bCs/>
                <w:szCs w:val="21"/>
                <w:highlight w:val="none"/>
              </w:rPr>
            </w:pPr>
            <w:r>
              <w:rPr>
                <w:rFonts w:hint="eastAsia" w:ascii="宋体" w:hAnsi="宋体" w:cs="宋体"/>
                <w:b/>
                <w:szCs w:val="21"/>
                <w:highlight w:val="none"/>
              </w:rPr>
              <w:t>在对投标人资格审查时进行信用查询：</w:t>
            </w:r>
            <w:r>
              <w:rPr>
                <w:rFonts w:hint="eastAsia" w:ascii="宋体" w:hAnsi="宋体" w:cs="宋体"/>
                <w:bCs/>
                <w:szCs w:val="21"/>
                <w:highlight w:val="none"/>
              </w:rPr>
              <w:t>采购人及采购代理机构在开标现场对所有参加投标的供应商进行现场信用查询。</w:t>
            </w:r>
          </w:p>
          <w:p>
            <w:pPr>
              <w:snapToGrid w:val="0"/>
              <w:spacing w:line="320" w:lineRule="exact"/>
              <w:rPr>
                <w:rFonts w:ascii="宋体" w:hAnsi="宋体" w:cs="宋体"/>
                <w:bCs/>
                <w:szCs w:val="21"/>
                <w:highlight w:val="none"/>
              </w:rPr>
            </w:pPr>
            <w:r>
              <w:rPr>
                <w:rFonts w:hint="eastAsia" w:ascii="宋体" w:hAnsi="宋体" w:cs="宋体"/>
                <w:b/>
                <w:szCs w:val="21"/>
                <w:highlight w:val="none"/>
              </w:rPr>
              <w:t>查询渠道：</w:t>
            </w:r>
            <w:r>
              <w:rPr>
                <w:rFonts w:hint="eastAsia" w:ascii="宋体" w:hAnsi="宋体" w:cs="宋体"/>
                <w:bCs/>
                <w:szCs w:val="21"/>
                <w:highlight w:val="none"/>
              </w:rPr>
              <w:t>“信用中国”网站(www.creditchina.gov.cn)、中国政府采购网(www.ccgp.gov.cn)等。</w:t>
            </w:r>
          </w:p>
          <w:p>
            <w:pPr>
              <w:snapToGrid w:val="0"/>
              <w:spacing w:line="320" w:lineRule="exact"/>
              <w:rPr>
                <w:rFonts w:ascii="宋体" w:hAnsi="宋体" w:cs="宋体"/>
                <w:bCs/>
                <w:szCs w:val="21"/>
                <w:highlight w:val="none"/>
              </w:rPr>
            </w:pPr>
            <w:r>
              <w:rPr>
                <w:rFonts w:hint="eastAsia" w:ascii="宋体" w:hAnsi="宋体" w:cs="宋体"/>
                <w:b/>
                <w:szCs w:val="21"/>
                <w:highlight w:val="none"/>
              </w:rPr>
              <w:t>查询记录和证据留存方式：</w:t>
            </w:r>
            <w:r>
              <w:rPr>
                <w:rFonts w:hint="eastAsia" w:ascii="宋体" w:hAnsi="宋体" w:cs="宋体"/>
                <w:bCs/>
                <w:szCs w:val="21"/>
                <w:highlight w:val="none"/>
              </w:rPr>
              <w:t>在查询网站中直接打印查询记录，打印材料作为评审资料保存。</w:t>
            </w:r>
          </w:p>
          <w:p>
            <w:pPr>
              <w:snapToGrid w:val="0"/>
              <w:spacing w:line="400" w:lineRule="exact"/>
              <w:rPr>
                <w:rFonts w:ascii="宋体" w:hAnsi="宋体" w:cs="宋体"/>
                <w:szCs w:val="21"/>
                <w:highlight w:val="none"/>
              </w:rPr>
            </w:pPr>
            <w:r>
              <w:rPr>
                <w:rFonts w:hint="eastAsia" w:ascii="宋体" w:hAnsi="宋体" w:cs="宋体"/>
                <w:b/>
                <w:szCs w:val="21"/>
                <w:highlight w:val="none"/>
              </w:rPr>
              <w:t>信用信息使用规则：</w:t>
            </w:r>
            <w:r>
              <w:rPr>
                <w:rFonts w:hint="eastAsia" w:ascii="宋体" w:hAnsi="宋体" w:cs="宋体"/>
                <w:bCs/>
                <w:szCs w:val="21"/>
                <w:highlight w:val="none"/>
              </w:rPr>
              <w:t>对在“信用中国”网站(www.creditchina.gov.cn)、中国政府采购网(www.ccgp.gov.cn)等渠道列入失信被执行人、重大税收违法案件当事人名单、政府采购严重违法失信行为记录名单的供应商，资格审查不通过，不得参与本次采购活动。</w:t>
            </w:r>
          </w:p>
        </w:tc>
      </w:tr>
    </w:tbl>
    <w:p>
      <w:pPr>
        <w:pStyle w:val="2"/>
        <w:rPr>
          <w:rFonts w:ascii="宋体" w:hAnsi="宋体" w:cs="宋体"/>
          <w:highlight w:val="none"/>
        </w:rPr>
      </w:pPr>
    </w:p>
    <w:p>
      <w:pPr>
        <w:pStyle w:val="2"/>
        <w:rPr>
          <w:rFonts w:ascii="宋体" w:hAnsi="宋体" w:cs="宋体"/>
          <w:highlight w:val="none"/>
        </w:rPr>
      </w:pPr>
    </w:p>
    <w:p>
      <w:pPr>
        <w:pStyle w:val="26"/>
        <w:snapToGrid w:val="0"/>
        <w:spacing w:before="120" w:after="120" w:line="400" w:lineRule="exact"/>
        <w:ind w:firstLine="211" w:firstLineChars="100"/>
        <w:jc w:val="center"/>
        <w:rPr>
          <w:rFonts w:hAnsi="宋体" w:cs="宋体"/>
          <w:b/>
          <w:sz w:val="21"/>
          <w:szCs w:val="21"/>
          <w:highlight w:val="none"/>
        </w:rPr>
      </w:pPr>
      <w:r>
        <w:rPr>
          <w:rFonts w:hint="eastAsia" w:hAnsi="宋体" w:cs="宋体"/>
          <w:b/>
          <w:sz w:val="21"/>
          <w:szCs w:val="21"/>
          <w:highlight w:val="none"/>
        </w:rPr>
        <w:t>一、总  则</w:t>
      </w:r>
    </w:p>
    <w:p>
      <w:pPr>
        <w:snapToGrid w:val="0"/>
        <w:spacing w:line="400" w:lineRule="exact"/>
        <w:ind w:firstLine="211" w:firstLineChars="100"/>
        <w:jc w:val="left"/>
        <w:outlineLvl w:val="1"/>
        <w:rPr>
          <w:rFonts w:ascii="宋体" w:hAnsi="宋体" w:cs="宋体"/>
          <w:b/>
          <w:szCs w:val="21"/>
          <w:highlight w:val="none"/>
        </w:rPr>
      </w:pPr>
      <w:bookmarkStart w:id="42" w:name="_Toc254970668"/>
      <w:bookmarkStart w:id="43" w:name="_Toc254970527"/>
      <w:bookmarkStart w:id="44" w:name="_Toc430110130"/>
      <w:r>
        <w:rPr>
          <w:rFonts w:hint="eastAsia" w:ascii="宋体" w:hAnsi="宋体" w:cs="宋体"/>
          <w:b/>
          <w:szCs w:val="21"/>
          <w:highlight w:val="none"/>
        </w:rPr>
        <w:t>（一） 适用范围</w:t>
      </w:r>
      <w:bookmarkEnd w:id="42"/>
      <w:bookmarkEnd w:id="43"/>
      <w:bookmarkEnd w:id="44"/>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本招标文件适用于防城港市西湾新城控制性详细规划的招标、投标、评标、定标、验收、合同履约、付款等行为，法律、法规另有规定的，从其规定。</w:t>
      </w:r>
    </w:p>
    <w:p>
      <w:pPr>
        <w:snapToGrid w:val="0"/>
        <w:spacing w:before="120" w:beforeLines="50" w:line="400" w:lineRule="exact"/>
        <w:ind w:firstLine="211" w:firstLineChars="100"/>
        <w:jc w:val="left"/>
        <w:outlineLvl w:val="1"/>
        <w:rPr>
          <w:rFonts w:ascii="宋体" w:hAnsi="宋体" w:cs="宋体"/>
          <w:b/>
          <w:szCs w:val="21"/>
          <w:highlight w:val="none"/>
        </w:rPr>
      </w:pPr>
      <w:bookmarkStart w:id="45" w:name="_Toc430110131"/>
      <w:bookmarkStart w:id="46" w:name="_Toc254970528"/>
      <w:bookmarkStart w:id="47" w:name="_Toc254970669"/>
      <w:r>
        <w:rPr>
          <w:rFonts w:hint="eastAsia" w:ascii="宋体" w:hAnsi="宋体" w:cs="宋体"/>
          <w:b/>
          <w:szCs w:val="21"/>
          <w:highlight w:val="none"/>
        </w:rPr>
        <w:t>（二）定义</w:t>
      </w:r>
      <w:bookmarkEnd w:id="45"/>
      <w:bookmarkEnd w:id="46"/>
      <w:bookmarkEnd w:id="47"/>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1.“招标采购单位”系指组织本次招标的采购人及采购代理机构。</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2.“投标人”系指向招标方提交投标文件的单位或自然人。</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3.“服务”系指招标项目采购内容的所有服务以及其他相关的义务。</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4.“项目”系指投标人按招标文件规定向采购人提供的服务。</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5.“书面形式”包括信函、传真、电报等。</w:t>
      </w:r>
    </w:p>
    <w:p>
      <w:pPr>
        <w:snapToGrid w:val="0"/>
        <w:spacing w:line="400" w:lineRule="exact"/>
        <w:ind w:firstLine="420" w:firstLineChars="200"/>
        <w:jc w:val="left"/>
        <w:rPr>
          <w:rFonts w:ascii="宋体" w:hAnsi="宋体" w:cs="宋体"/>
          <w:szCs w:val="21"/>
          <w:highlight w:val="none"/>
        </w:rPr>
      </w:pPr>
      <w:bookmarkStart w:id="48" w:name="_Toc254970670"/>
      <w:bookmarkStart w:id="49" w:name="_Toc430110132"/>
      <w:bookmarkStart w:id="50" w:name="_Toc254970529"/>
      <w:r>
        <w:rPr>
          <w:rFonts w:hint="eastAsia" w:ascii="宋体" w:hAnsi="宋体" w:cs="宋体"/>
          <w:szCs w:val="21"/>
          <w:highlight w:val="none"/>
        </w:rPr>
        <w:t>6.“★”系指实质性要求条款。</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 投标人公章”系指投标人用自己法定主体行为名称制作的签名印章，不包含专用章。</w:t>
      </w:r>
    </w:p>
    <w:p>
      <w:pPr>
        <w:snapToGrid w:val="0"/>
        <w:spacing w:before="120" w:beforeLines="50" w:line="400" w:lineRule="exact"/>
        <w:ind w:firstLine="357" w:firstLineChars="170"/>
        <w:jc w:val="left"/>
        <w:outlineLvl w:val="1"/>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．财政部门指定的政府采购信息发布媒体：中国政府采购网（www.ccgp.gov.cn）、广西壮族自治区政府采购网（</w:t>
      </w:r>
      <w:r>
        <w:rPr>
          <w:highlight w:val="none"/>
        </w:rPr>
        <w:fldChar w:fldCharType="begin"/>
      </w:r>
      <w:r>
        <w:rPr>
          <w:highlight w:val="none"/>
        </w:rPr>
        <w:instrText xml:space="preserve"> HYPERLINK "http://www.ccgp-guangxi.gov.cn" </w:instrText>
      </w:r>
      <w:r>
        <w:rPr>
          <w:highlight w:val="none"/>
        </w:rPr>
        <w:fldChar w:fldCharType="separate"/>
      </w:r>
      <w:r>
        <w:rPr>
          <w:rFonts w:hint="eastAsia" w:ascii="宋体" w:hAnsi="宋体" w:cs="宋体"/>
          <w:szCs w:val="21"/>
          <w:highlight w:val="none"/>
        </w:rPr>
        <w:t>www.zfcg.gxzf.gov.cn</w:t>
      </w:r>
      <w:r>
        <w:rPr>
          <w:rFonts w:hint="eastAsia" w:ascii="宋体" w:hAnsi="宋体" w:cs="宋体"/>
          <w:szCs w:val="21"/>
          <w:highlight w:val="none"/>
        </w:rPr>
        <w:fldChar w:fldCharType="end"/>
      </w:r>
      <w:r>
        <w:rPr>
          <w:rFonts w:hint="eastAsia" w:ascii="宋体" w:hAnsi="宋体" w:cs="宋体"/>
          <w:szCs w:val="21"/>
          <w:highlight w:val="none"/>
        </w:rPr>
        <w:t>）、广西防城港政府采购网站（</w:t>
      </w:r>
      <w:r>
        <w:rPr>
          <w:highlight w:val="none"/>
        </w:rPr>
        <w:fldChar w:fldCharType="begin"/>
      </w:r>
      <w:r>
        <w:rPr>
          <w:highlight w:val="none"/>
        </w:rPr>
        <w:instrText xml:space="preserve"> HYPERLINK "http://zfcg.fcgs.gov.cn/" </w:instrText>
      </w:r>
      <w:r>
        <w:rPr>
          <w:highlight w:val="none"/>
        </w:rPr>
        <w:fldChar w:fldCharType="separate"/>
      </w:r>
      <w:r>
        <w:rPr>
          <w:rFonts w:hint="eastAsia" w:ascii="宋体" w:hAnsi="宋体" w:cs="宋体"/>
          <w:szCs w:val="21"/>
          <w:highlight w:val="none"/>
        </w:rPr>
        <w:t>zfcg.fcgs.gov.cn</w:t>
      </w:r>
      <w:r>
        <w:rPr>
          <w:rFonts w:hint="eastAsia" w:ascii="宋体" w:hAnsi="宋体" w:cs="宋体"/>
          <w:szCs w:val="21"/>
          <w:highlight w:val="none"/>
        </w:rPr>
        <w:fldChar w:fldCharType="end"/>
      </w:r>
      <w:r>
        <w:rPr>
          <w:rFonts w:hint="eastAsia" w:ascii="宋体" w:hAnsi="宋体" w:cs="宋体"/>
          <w:szCs w:val="21"/>
          <w:highlight w:val="none"/>
        </w:rPr>
        <w:t>）、防城港市公共资源交易中心网（www.fcgggzy.cn）。</w:t>
      </w:r>
    </w:p>
    <w:p>
      <w:pPr>
        <w:snapToGrid w:val="0"/>
        <w:spacing w:before="120" w:beforeLines="50" w:line="400" w:lineRule="exact"/>
        <w:ind w:firstLine="358" w:firstLineChars="170"/>
        <w:jc w:val="left"/>
        <w:outlineLvl w:val="1"/>
        <w:rPr>
          <w:rFonts w:ascii="宋体" w:hAnsi="宋体" w:cs="宋体"/>
          <w:b/>
          <w:szCs w:val="21"/>
          <w:highlight w:val="none"/>
        </w:rPr>
      </w:pPr>
      <w:r>
        <w:rPr>
          <w:rFonts w:hint="eastAsia" w:ascii="宋体" w:hAnsi="宋体" w:cs="宋体"/>
          <w:b/>
          <w:szCs w:val="21"/>
          <w:highlight w:val="none"/>
        </w:rPr>
        <w:t>（三）招标方式</w:t>
      </w:r>
      <w:bookmarkEnd w:id="48"/>
      <w:bookmarkEnd w:id="49"/>
      <w:bookmarkEnd w:id="50"/>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公开招标。</w:t>
      </w:r>
    </w:p>
    <w:p>
      <w:pPr>
        <w:snapToGrid w:val="0"/>
        <w:spacing w:before="120" w:beforeLines="50" w:line="400" w:lineRule="exact"/>
        <w:ind w:firstLine="413" w:firstLineChars="196"/>
        <w:jc w:val="left"/>
        <w:outlineLvl w:val="1"/>
        <w:rPr>
          <w:rFonts w:ascii="宋体" w:hAnsi="宋体" w:cs="宋体"/>
          <w:b/>
          <w:szCs w:val="21"/>
          <w:highlight w:val="none"/>
        </w:rPr>
      </w:pPr>
      <w:bookmarkStart w:id="51" w:name="_Toc254970530"/>
      <w:bookmarkStart w:id="52" w:name="_Toc254970671"/>
      <w:bookmarkStart w:id="53" w:name="_Toc430110133"/>
      <w:r>
        <w:rPr>
          <w:rFonts w:hint="eastAsia" w:ascii="宋体" w:hAnsi="宋体" w:cs="宋体"/>
          <w:b/>
          <w:szCs w:val="21"/>
          <w:highlight w:val="none"/>
        </w:rPr>
        <w:t>（四）投标委托</w:t>
      </w:r>
      <w:bookmarkEnd w:id="51"/>
      <w:bookmarkEnd w:id="52"/>
      <w:bookmarkEnd w:id="53"/>
    </w:p>
    <w:p>
      <w:pPr>
        <w:pStyle w:val="21"/>
        <w:snapToGrid w:val="0"/>
        <w:spacing w:line="40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投标人代表须携带有效身份证件出席开标会。如投标人代表为法定代表人(负责人）须提供法人(负责人）身份证明书及身份证，如投标人代表不是法定代表人(负责人），须有法定代表人(负责人）出具的授权委托书及身份证（正本用原件，副本用复印件，格式见第六章）。</w:t>
      </w:r>
    </w:p>
    <w:p>
      <w:pPr>
        <w:snapToGrid w:val="0"/>
        <w:spacing w:before="120" w:beforeLines="50" w:line="400" w:lineRule="exact"/>
        <w:ind w:firstLine="413" w:firstLineChars="196"/>
        <w:jc w:val="left"/>
        <w:outlineLvl w:val="1"/>
        <w:rPr>
          <w:rFonts w:ascii="宋体" w:hAnsi="宋体" w:cs="宋体"/>
          <w:b/>
          <w:szCs w:val="21"/>
          <w:highlight w:val="none"/>
        </w:rPr>
      </w:pPr>
      <w:bookmarkStart w:id="54" w:name="_Toc430110134"/>
      <w:bookmarkStart w:id="55" w:name="_Toc254970672"/>
      <w:bookmarkStart w:id="56" w:name="_Toc254970531"/>
      <w:r>
        <w:rPr>
          <w:rFonts w:hint="eastAsia" w:ascii="宋体" w:hAnsi="宋体" w:cs="宋体"/>
          <w:b/>
          <w:szCs w:val="21"/>
          <w:highlight w:val="none"/>
        </w:rPr>
        <w:t>（五）投标费用</w:t>
      </w:r>
      <w:bookmarkEnd w:id="54"/>
      <w:bookmarkEnd w:id="55"/>
      <w:bookmarkEnd w:id="56"/>
    </w:p>
    <w:p>
      <w:pPr>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投标人均应自行承担所有与投标有关的全部费用（招标文件有相关的规定除外）。</w:t>
      </w:r>
    </w:p>
    <w:p>
      <w:pPr>
        <w:snapToGrid w:val="0"/>
        <w:spacing w:before="120" w:beforeLines="50" w:line="400" w:lineRule="exact"/>
        <w:ind w:firstLine="413" w:firstLineChars="196"/>
        <w:jc w:val="left"/>
        <w:rPr>
          <w:rFonts w:ascii="宋体" w:hAnsi="宋体" w:cs="宋体"/>
          <w:b/>
          <w:szCs w:val="21"/>
          <w:highlight w:val="none"/>
        </w:rPr>
      </w:pPr>
      <w:r>
        <w:rPr>
          <w:rFonts w:hint="eastAsia" w:ascii="宋体" w:hAnsi="宋体" w:cs="宋体"/>
          <w:b/>
          <w:szCs w:val="21"/>
          <w:highlight w:val="none"/>
        </w:rPr>
        <w:t>（六）联合体投标</w:t>
      </w:r>
    </w:p>
    <w:p>
      <w:pPr>
        <w:snapToGrid w:val="0"/>
        <w:spacing w:before="120" w:beforeLines="50" w:line="400" w:lineRule="exact"/>
        <w:ind w:firstLine="411" w:firstLineChars="196"/>
        <w:rPr>
          <w:rFonts w:ascii="宋体" w:hAnsi="宋体" w:cs="宋体"/>
          <w:szCs w:val="21"/>
          <w:highlight w:val="none"/>
        </w:rPr>
      </w:pPr>
      <w:r>
        <w:rPr>
          <w:rFonts w:hint="eastAsia" w:ascii="宋体" w:hAnsi="宋体" w:cs="宋体"/>
          <w:szCs w:val="21"/>
          <w:highlight w:val="none"/>
        </w:rPr>
        <w:t>本项目接受联合体投标。</w:t>
      </w:r>
    </w:p>
    <w:p>
      <w:pPr>
        <w:snapToGrid w:val="0"/>
        <w:spacing w:before="120" w:beforeLines="50" w:line="400" w:lineRule="exact"/>
        <w:ind w:firstLine="413" w:firstLineChars="196"/>
        <w:rPr>
          <w:rFonts w:ascii="宋体" w:hAnsi="宋体" w:cs="宋体"/>
          <w:b/>
          <w:kern w:val="0"/>
          <w:szCs w:val="21"/>
          <w:highlight w:val="none"/>
        </w:rPr>
      </w:pPr>
      <w:r>
        <w:rPr>
          <w:rFonts w:hint="eastAsia" w:ascii="宋体" w:hAnsi="宋体" w:cs="宋体"/>
          <w:b/>
          <w:szCs w:val="21"/>
          <w:highlight w:val="none"/>
        </w:rPr>
        <w:t>（七）</w:t>
      </w:r>
      <w:r>
        <w:rPr>
          <w:rFonts w:hint="eastAsia" w:ascii="宋体" w:hAnsi="宋体" w:cs="宋体"/>
          <w:b/>
          <w:kern w:val="0"/>
          <w:szCs w:val="21"/>
          <w:highlight w:val="none"/>
        </w:rPr>
        <w:t xml:space="preserve">转包与分包             </w:t>
      </w:r>
    </w:p>
    <w:p>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1.本项目不允许转包。</w:t>
      </w:r>
    </w:p>
    <w:p>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2.本项目不可以分包。</w:t>
      </w:r>
    </w:p>
    <w:p>
      <w:pPr>
        <w:snapToGrid w:val="0"/>
        <w:spacing w:before="120" w:beforeLines="50" w:line="400" w:lineRule="exact"/>
        <w:ind w:firstLine="413" w:firstLineChars="196"/>
        <w:jc w:val="left"/>
        <w:outlineLvl w:val="1"/>
        <w:rPr>
          <w:rFonts w:ascii="宋体" w:hAnsi="宋体" w:cs="宋体"/>
          <w:b/>
          <w:szCs w:val="21"/>
          <w:highlight w:val="none"/>
        </w:rPr>
      </w:pPr>
      <w:bookmarkStart w:id="57" w:name="_Toc254970673"/>
      <w:bookmarkStart w:id="58" w:name="_Toc430110135"/>
      <w:bookmarkStart w:id="59" w:name="_Toc254970532"/>
      <w:r>
        <w:rPr>
          <w:rFonts w:hint="eastAsia" w:ascii="宋体" w:hAnsi="宋体" w:cs="宋体"/>
          <w:b/>
          <w:szCs w:val="21"/>
          <w:highlight w:val="none"/>
        </w:rPr>
        <w:t>（八）特别说明：</w:t>
      </w:r>
      <w:bookmarkEnd w:id="57"/>
      <w:bookmarkEnd w:id="58"/>
      <w:bookmarkEnd w:id="59"/>
    </w:p>
    <w:p>
      <w:pPr>
        <w:widowControl/>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★1.投标人投标所使用的资格、信誉、荣誉、业绩必须为本法人所拥有。投标人投标所使用的采购项目实施人员必须为本法人员工（或必须为本法人或控股公司正式员工）。</w:t>
      </w:r>
    </w:p>
    <w:p>
      <w:pPr>
        <w:pStyle w:val="26"/>
        <w:snapToGrid w:val="0"/>
        <w:spacing w:line="400" w:lineRule="exact"/>
        <w:ind w:left="2" w:leftChars="1" w:firstLine="420" w:firstLineChars="200"/>
        <w:rPr>
          <w:rFonts w:hAnsi="宋体" w:cs="宋体"/>
          <w:sz w:val="21"/>
          <w:highlight w:val="none"/>
        </w:rPr>
      </w:pPr>
      <w:r>
        <w:rPr>
          <w:rFonts w:hint="eastAsia" w:hAnsi="宋体" w:cs="宋体"/>
          <w:sz w:val="21"/>
          <w:highlight w:val="none"/>
        </w:rPr>
        <w:t>★2.投标人应仔细阅读招标文件的所有内容，按照招标文件的要求提交投标文件，并对所提供的全部资料的真实性承担法律责任。</w:t>
      </w:r>
    </w:p>
    <w:p>
      <w:pPr>
        <w:pStyle w:val="26"/>
        <w:snapToGrid w:val="0"/>
        <w:spacing w:line="400" w:lineRule="exact"/>
        <w:ind w:left="2" w:leftChars="1" w:firstLine="420" w:firstLineChars="200"/>
        <w:rPr>
          <w:rFonts w:hAnsi="宋体" w:cs="宋体"/>
          <w:sz w:val="21"/>
          <w:highlight w:val="none"/>
        </w:rPr>
      </w:pPr>
      <w:r>
        <w:rPr>
          <w:rFonts w:hint="eastAsia" w:hAnsi="宋体" w:cs="宋体"/>
          <w:sz w:val="21"/>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60" w:lineRule="exact"/>
        <w:ind w:left="210" w:leftChars="100" w:firstLine="210" w:firstLineChars="100"/>
        <w:rPr>
          <w:rFonts w:ascii="宋体" w:hAnsi="宋体" w:cs="宋体"/>
          <w:kern w:val="0"/>
          <w:szCs w:val="21"/>
          <w:highlight w:val="none"/>
        </w:rPr>
      </w:pPr>
      <w:r>
        <w:rPr>
          <w:rFonts w:hint="eastAsia" w:ascii="宋体" w:hAnsi="宋体" w:cs="宋体"/>
          <w:kern w:val="0"/>
          <w:szCs w:val="21"/>
          <w:highlight w:val="none"/>
        </w:rPr>
        <w:t>4. 在政府采购活动中，采购人员及相关人员与投标人有下列利害关系之一的，应当回避：</w:t>
      </w:r>
      <w:r>
        <w:rPr>
          <w:rFonts w:hint="eastAsia" w:ascii="宋体" w:hAnsi="宋体" w:cs="宋体"/>
          <w:kern w:val="0"/>
          <w:szCs w:val="21"/>
          <w:highlight w:val="none"/>
        </w:rPr>
        <w:br w:type="textWrapping"/>
      </w:r>
      <w:r>
        <w:rPr>
          <w:rFonts w:hint="eastAsia" w:ascii="宋体" w:hAnsi="宋体" w:cs="宋体"/>
          <w:kern w:val="0"/>
          <w:szCs w:val="21"/>
          <w:highlight w:val="none"/>
        </w:rPr>
        <w:t>（1）参加采购活动前3年内与投标人存在劳动关系；</w:t>
      </w:r>
      <w:r>
        <w:rPr>
          <w:rFonts w:hint="eastAsia" w:ascii="宋体" w:hAnsi="宋体" w:cs="宋体"/>
          <w:kern w:val="0"/>
          <w:szCs w:val="21"/>
          <w:highlight w:val="none"/>
        </w:rPr>
        <w:br w:type="textWrapping"/>
      </w:r>
      <w:r>
        <w:rPr>
          <w:rFonts w:hint="eastAsia" w:ascii="宋体" w:hAnsi="宋体" w:cs="宋体"/>
          <w:kern w:val="0"/>
          <w:szCs w:val="21"/>
          <w:highlight w:val="none"/>
        </w:rPr>
        <w:t>（2）参加采购活动前3年内担任投标人的董事、监事；</w:t>
      </w:r>
      <w:r>
        <w:rPr>
          <w:rFonts w:hint="eastAsia" w:ascii="宋体" w:hAnsi="宋体" w:cs="宋体"/>
          <w:kern w:val="0"/>
          <w:szCs w:val="21"/>
          <w:highlight w:val="none"/>
        </w:rPr>
        <w:br w:type="textWrapping"/>
      </w:r>
      <w:r>
        <w:rPr>
          <w:rFonts w:hint="eastAsia" w:ascii="宋体" w:hAnsi="宋体" w:cs="宋体"/>
          <w:kern w:val="0"/>
          <w:szCs w:val="21"/>
          <w:highlight w:val="none"/>
        </w:rPr>
        <w:t>（3）参加采购活动前3年内是投标人的控股股东或者实际控制人；</w:t>
      </w:r>
      <w:r>
        <w:rPr>
          <w:rFonts w:hint="eastAsia" w:ascii="宋体" w:hAnsi="宋体" w:cs="宋体"/>
          <w:kern w:val="0"/>
          <w:szCs w:val="21"/>
          <w:highlight w:val="none"/>
        </w:rPr>
        <w:br w:type="textWrapping"/>
      </w:r>
      <w:r>
        <w:rPr>
          <w:rFonts w:hint="eastAsia" w:ascii="宋体" w:hAnsi="宋体" w:cs="宋体"/>
          <w:kern w:val="0"/>
          <w:szCs w:val="21"/>
          <w:highlight w:val="none"/>
        </w:rPr>
        <w:t>（4）与投标人的法定代表人或者负责人有夫妻、直系血亲、三代以内旁系血亲或者近姻亲关系；</w:t>
      </w:r>
      <w:r>
        <w:rPr>
          <w:rFonts w:hint="eastAsia" w:ascii="宋体" w:hAnsi="宋体" w:cs="宋体"/>
          <w:kern w:val="0"/>
          <w:szCs w:val="21"/>
          <w:highlight w:val="none"/>
        </w:rPr>
        <w:br w:type="textWrapping"/>
      </w:r>
      <w:r>
        <w:rPr>
          <w:rFonts w:hint="eastAsia" w:ascii="宋体" w:hAnsi="宋体" w:cs="宋体"/>
          <w:kern w:val="0"/>
          <w:szCs w:val="21"/>
          <w:highlight w:val="none"/>
        </w:rPr>
        <w:t>（5）与投标人有其他可能影响政府采购活动公平、公正进行的关系。</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line="360" w:lineRule="exact"/>
        <w:ind w:left="210" w:leftChars="100" w:firstLine="210" w:firstLineChars="100"/>
        <w:rPr>
          <w:rFonts w:ascii="宋体" w:hAnsi="宋体" w:cs="宋体"/>
          <w:kern w:val="0"/>
          <w:szCs w:val="21"/>
          <w:highlight w:val="none"/>
        </w:rPr>
      </w:pPr>
      <w:r>
        <w:rPr>
          <w:rFonts w:hint="eastAsia" w:ascii="宋体" w:hAnsi="宋体" w:cs="宋体"/>
          <w:kern w:val="0"/>
          <w:szCs w:val="21"/>
          <w:highlight w:val="none"/>
        </w:rPr>
        <w:t>5.有下列情形之一的视为投标人相互串通投标，投标文件将被视为无效：</w:t>
      </w:r>
      <w:r>
        <w:rPr>
          <w:rFonts w:hint="eastAsia" w:ascii="宋体" w:hAnsi="宋体" w:cs="宋体"/>
          <w:kern w:val="0"/>
          <w:szCs w:val="21"/>
          <w:highlight w:val="none"/>
        </w:rPr>
        <w:br w:type="textWrapping"/>
      </w:r>
      <w:r>
        <w:rPr>
          <w:rFonts w:hint="eastAsia" w:ascii="宋体" w:hAnsi="宋体" w:cs="宋体"/>
          <w:kern w:val="0"/>
          <w:szCs w:val="21"/>
          <w:highlight w:val="none"/>
        </w:rPr>
        <w:t>（1）不同投标人的投标文件由同一单位或者个人编制；或不同投标人报名的IP地址一致的；</w:t>
      </w:r>
      <w:r>
        <w:rPr>
          <w:rFonts w:hint="eastAsia" w:ascii="宋体" w:hAnsi="宋体" w:cs="宋体"/>
          <w:kern w:val="0"/>
          <w:szCs w:val="21"/>
          <w:highlight w:val="none"/>
        </w:rPr>
        <w:br w:type="textWrapping"/>
      </w:r>
      <w:r>
        <w:rPr>
          <w:rFonts w:hint="eastAsia" w:ascii="宋体" w:hAnsi="宋体" w:cs="宋体"/>
          <w:kern w:val="0"/>
          <w:szCs w:val="21"/>
          <w:highlight w:val="none"/>
        </w:rPr>
        <w:t>（2）不同投标人委托同一单位或者个人办理投标事宜；</w:t>
      </w:r>
      <w:r>
        <w:rPr>
          <w:rFonts w:hint="eastAsia" w:ascii="宋体" w:hAnsi="宋体" w:cs="宋体"/>
          <w:kern w:val="0"/>
          <w:szCs w:val="21"/>
          <w:highlight w:val="none"/>
        </w:rPr>
        <w:br w:type="textWrapping"/>
      </w:r>
      <w:r>
        <w:rPr>
          <w:rFonts w:hint="eastAsia" w:ascii="宋体" w:hAnsi="宋体" w:cs="宋体"/>
          <w:kern w:val="0"/>
          <w:szCs w:val="21"/>
          <w:highlight w:val="none"/>
        </w:rPr>
        <w:t>（3）不同的投标人的投标文件载明的项目管理员为同一个人；</w:t>
      </w:r>
      <w:r>
        <w:rPr>
          <w:rFonts w:hint="eastAsia" w:ascii="宋体" w:hAnsi="宋体" w:cs="宋体"/>
          <w:kern w:val="0"/>
          <w:szCs w:val="21"/>
          <w:highlight w:val="none"/>
        </w:rPr>
        <w:br w:type="textWrapping"/>
      </w:r>
      <w:r>
        <w:rPr>
          <w:rFonts w:hint="eastAsia" w:ascii="宋体" w:hAnsi="宋体" w:cs="宋体"/>
          <w:kern w:val="0"/>
          <w:szCs w:val="21"/>
          <w:highlight w:val="none"/>
        </w:rPr>
        <w:t>（4）不同投标人的投标文件异常一致或投标报价呈规律性差异；</w:t>
      </w:r>
      <w:r>
        <w:rPr>
          <w:rFonts w:hint="eastAsia" w:ascii="宋体" w:hAnsi="宋体" w:cs="宋体"/>
          <w:kern w:val="0"/>
          <w:szCs w:val="21"/>
          <w:highlight w:val="none"/>
        </w:rPr>
        <w:br w:type="textWrapping"/>
      </w:r>
      <w:r>
        <w:rPr>
          <w:rFonts w:hint="eastAsia" w:ascii="宋体" w:hAnsi="宋体" w:cs="宋体"/>
          <w:kern w:val="0"/>
          <w:szCs w:val="21"/>
          <w:highlight w:val="none"/>
        </w:rPr>
        <w:t>（5）不同投标人的投标文件相互混装；</w:t>
      </w:r>
      <w:r>
        <w:rPr>
          <w:rFonts w:hint="eastAsia" w:ascii="宋体" w:hAnsi="宋体" w:cs="宋体"/>
          <w:kern w:val="0"/>
          <w:szCs w:val="21"/>
          <w:highlight w:val="none"/>
        </w:rPr>
        <w:br w:type="textWrapping"/>
      </w:r>
      <w:r>
        <w:rPr>
          <w:rFonts w:hint="eastAsia" w:ascii="宋体" w:hAnsi="宋体" w:cs="宋体"/>
          <w:kern w:val="0"/>
          <w:szCs w:val="21"/>
          <w:highlight w:val="none"/>
        </w:rPr>
        <w:t>（6）不同投标人的投标保证金从同一单位或者个人账户转出。</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6.供应商有下列情形之一的，属于恶意串通行为，投标文件将被视为无效：</w:t>
      </w:r>
      <w:r>
        <w:rPr>
          <w:rFonts w:hint="eastAsia" w:ascii="宋体" w:hAnsi="宋体" w:cs="宋体"/>
          <w:kern w:val="0"/>
          <w:szCs w:val="21"/>
          <w:highlight w:val="none"/>
        </w:rPr>
        <w:br w:type="textWrapping"/>
      </w:r>
      <w:r>
        <w:rPr>
          <w:rFonts w:hint="eastAsia" w:ascii="宋体" w:hAnsi="宋体" w:cs="宋体"/>
          <w:kern w:val="0"/>
          <w:szCs w:val="21"/>
          <w:highlight w:val="none"/>
        </w:rPr>
        <w:t>（1）供应商直接或者间接从采购人或者采购代理机构处获得其他供应商的相关信息并修改其投标文件或者响应文件：</w:t>
      </w:r>
      <w:r>
        <w:rPr>
          <w:rFonts w:hint="eastAsia" w:ascii="宋体" w:hAnsi="宋体" w:cs="宋体"/>
          <w:kern w:val="0"/>
          <w:szCs w:val="21"/>
          <w:highlight w:val="none"/>
        </w:rPr>
        <w:br w:type="textWrapping"/>
      </w:r>
      <w:r>
        <w:rPr>
          <w:rFonts w:hint="eastAsia" w:ascii="宋体" w:hAnsi="宋体" w:cs="宋体"/>
          <w:kern w:val="0"/>
          <w:szCs w:val="21"/>
          <w:highlight w:val="none"/>
        </w:rPr>
        <w:t>（2）供应商按照采购人或者采购代理机构的授意撤换、修改投标文件或者响应文件；</w:t>
      </w:r>
      <w:r>
        <w:rPr>
          <w:rFonts w:hint="eastAsia" w:ascii="宋体" w:hAnsi="宋体" w:cs="宋体"/>
          <w:kern w:val="0"/>
          <w:szCs w:val="21"/>
          <w:highlight w:val="none"/>
        </w:rPr>
        <w:br w:type="textWrapping"/>
      </w:r>
      <w:r>
        <w:rPr>
          <w:rFonts w:hint="eastAsia" w:ascii="宋体" w:hAnsi="宋体" w:cs="宋体"/>
          <w:kern w:val="0"/>
          <w:szCs w:val="21"/>
          <w:highlight w:val="none"/>
        </w:rPr>
        <w:t>（3）供应商之间协商报价、技术方案等投标文件或者响应文件的实质性内容；</w:t>
      </w:r>
      <w:r>
        <w:rPr>
          <w:rFonts w:hint="eastAsia" w:ascii="宋体" w:hAnsi="宋体" w:cs="宋体"/>
          <w:kern w:val="0"/>
          <w:szCs w:val="21"/>
          <w:highlight w:val="none"/>
        </w:rPr>
        <w:br w:type="textWrapping"/>
      </w:r>
      <w:r>
        <w:rPr>
          <w:rFonts w:hint="eastAsia" w:ascii="宋体" w:hAnsi="宋体" w:cs="宋体"/>
          <w:kern w:val="0"/>
          <w:szCs w:val="21"/>
          <w:highlight w:val="none"/>
        </w:rPr>
        <w:t>（4）属于同一集团、协会、商会等组织成员的供应商按照该组织要求协同参加政府采购活动；</w:t>
      </w:r>
      <w:r>
        <w:rPr>
          <w:rFonts w:hint="eastAsia" w:ascii="宋体" w:hAnsi="宋体" w:cs="宋体"/>
          <w:kern w:val="0"/>
          <w:szCs w:val="21"/>
          <w:highlight w:val="none"/>
        </w:rPr>
        <w:br w:type="textWrapping"/>
      </w:r>
      <w:r>
        <w:rPr>
          <w:rFonts w:hint="eastAsia" w:ascii="宋体" w:hAnsi="宋体" w:cs="宋体"/>
          <w:kern w:val="0"/>
          <w:szCs w:val="21"/>
          <w:highlight w:val="none"/>
        </w:rPr>
        <w:t>（5）供应商之间事先约定一致抬高或者压低投标报价,或者在招标项目中事先约定轮流以高价位或者低价位中标,或者事先约定由某一特定供应商中标,然后再参加投标；</w:t>
      </w:r>
      <w:r>
        <w:rPr>
          <w:rFonts w:hint="eastAsia" w:ascii="宋体" w:hAnsi="宋体" w:cs="宋体"/>
          <w:kern w:val="0"/>
          <w:szCs w:val="21"/>
          <w:highlight w:val="none"/>
        </w:rPr>
        <w:br w:type="textWrapping"/>
      </w:r>
      <w:r>
        <w:rPr>
          <w:rFonts w:hint="eastAsia" w:ascii="宋体" w:hAnsi="宋体" w:cs="宋体"/>
          <w:kern w:val="0"/>
          <w:szCs w:val="21"/>
          <w:highlight w:val="none"/>
        </w:rPr>
        <w:t>（6）供应商之间商定部分供应商放弃参加政府采购活动或者放弃中标；</w:t>
      </w:r>
      <w:r>
        <w:rPr>
          <w:rFonts w:hint="eastAsia" w:ascii="宋体" w:hAnsi="宋体" w:cs="宋体"/>
          <w:kern w:val="0"/>
          <w:szCs w:val="21"/>
          <w:highlight w:val="none"/>
        </w:rPr>
        <w:br w:type="textWrapping"/>
      </w:r>
      <w:r>
        <w:rPr>
          <w:rFonts w:hint="eastAsia" w:ascii="宋体" w:hAnsi="宋体" w:cs="宋体"/>
          <w:kern w:val="0"/>
          <w:szCs w:val="21"/>
          <w:highlight w:val="none"/>
        </w:rPr>
        <w:t>（7）供应商与采购人或者采购代理机构之间、供应商相互之间，为谋求特定供应商中标或者排斥其他供应商的其他串通行为。</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7.关联供应商不得参加同一合同项下政府采购活动，否则投标文件将被视为无效：</w:t>
      </w:r>
      <w:r>
        <w:rPr>
          <w:rFonts w:hint="eastAsia" w:ascii="宋体" w:hAnsi="宋体" w:cs="宋体"/>
          <w:kern w:val="0"/>
          <w:szCs w:val="21"/>
          <w:highlight w:val="none"/>
        </w:rPr>
        <w:br w:type="textWrapping"/>
      </w:r>
      <w:r>
        <w:rPr>
          <w:rFonts w:hint="eastAsia" w:ascii="宋体" w:hAnsi="宋体" w:cs="宋体"/>
          <w:kern w:val="0"/>
          <w:szCs w:val="21"/>
          <w:highlight w:val="none"/>
        </w:rPr>
        <w:t>（1）单位负责人为同一人或者存在直接控股、管理关系的不同的供应商，不得参加同一合同项下的政府采购活动；</w:t>
      </w:r>
      <w:r>
        <w:rPr>
          <w:rFonts w:hint="eastAsia" w:ascii="宋体" w:hAnsi="宋体" w:cs="宋体"/>
          <w:kern w:val="0"/>
          <w:szCs w:val="21"/>
          <w:highlight w:val="none"/>
        </w:rPr>
        <w:br w:type="textWrapping"/>
      </w:r>
      <w:r>
        <w:rPr>
          <w:rFonts w:hint="eastAsia" w:ascii="宋体" w:hAnsi="宋体" w:cs="宋体"/>
          <w:kern w:val="0"/>
          <w:szCs w:val="21"/>
          <w:highlight w:val="none"/>
        </w:rPr>
        <w:t>（2）为本采购项目提供整体设计、规范编制或者项目管理、监理、检测等服务的供应商，不得再参加本次采购活动。</w:t>
      </w:r>
    </w:p>
    <w:p>
      <w:pPr>
        <w:pStyle w:val="26"/>
        <w:snapToGrid w:val="0"/>
        <w:spacing w:line="400" w:lineRule="exact"/>
        <w:ind w:firstLine="413" w:firstLineChars="196"/>
        <w:outlineLvl w:val="1"/>
        <w:rPr>
          <w:rFonts w:hAnsi="宋体" w:cs="宋体"/>
          <w:b/>
          <w:bCs/>
          <w:sz w:val="21"/>
          <w:highlight w:val="none"/>
        </w:rPr>
      </w:pPr>
      <w:bookmarkStart w:id="60" w:name="_Toc254970533"/>
      <w:bookmarkStart w:id="61" w:name="_Toc430110136"/>
      <w:bookmarkStart w:id="62" w:name="_Toc254970674"/>
      <w:r>
        <w:rPr>
          <w:rFonts w:hint="eastAsia" w:hAnsi="宋体" w:cs="宋体"/>
          <w:b/>
          <w:bCs/>
          <w:sz w:val="21"/>
          <w:highlight w:val="none"/>
        </w:rPr>
        <w:t>（九）质疑和投诉</w:t>
      </w:r>
      <w:bookmarkEnd w:id="60"/>
      <w:bookmarkEnd w:id="61"/>
      <w:bookmarkEnd w:id="62"/>
    </w:p>
    <w:p>
      <w:pPr>
        <w:pStyle w:val="26"/>
        <w:snapToGrid w:val="0"/>
        <w:spacing w:line="360" w:lineRule="exact"/>
        <w:ind w:firstLine="420" w:firstLineChars="200"/>
        <w:rPr>
          <w:rFonts w:hAnsi="宋体" w:cs="宋体"/>
          <w:sz w:val="21"/>
          <w:highlight w:val="none"/>
        </w:rPr>
      </w:pPr>
      <w:r>
        <w:rPr>
          <w:rFonts w:hint="eastAsia" w:hAnsi="宋体" w:cs="宋体"/>
          <w:bCs/>
          <w:sz w:val="21"/>
          <w:highlight w:val="none"/>
        </w:rPr>
        <w:t>1.投标人认为招标文件、招标过程或中标结果使自己的合法权益受到损害的，应当在知道或者应知其权益受到损害之日起七个工作日内，以书面形式向采购人、采购代理机构提出质疑。</w:t>
      </w:r>
      <w:r>
        <w:rPr>
          <w:rFonts w:hint="eastAsia" w:hAnsi="宋体" w:cs="宋体"/>
          <w:sz w:val="21"/>
          <w:highlight w:val="none"/>
        </w:rPr>
        <w:t>投标人对招标采购单位的质疑答复不满意或者招标采购单位未在规定时间内作出答复的，可以在答复期满后十五个工作日内向同级政府采购监管部门投诉。</w:t>
      </w:r>
    </w:p>
    <w:p>
      <w:pPr>
        <w:pStyle w:val="7"/>
        <w:spacing w:line="380" w:lineRule="exact"/>
        <w:jc w:val="both"/>
        <w:rPr>
          <w:rFonts w:ascii="宋体" w:hAnsi="宋体" w:eastAsia="宋体" w:cs="宋体"/>
          <w:sz w:val="21"/>
          <w:szCs w:val="21"/>
          <w:highlight w:val="none"/>
        </w:rPr>
      </w:pPr>
      <w:r>
        <w:rPr>
          <w:rFonts w:hint="eastAsia" w:ascii="宋体" w:hAnsi="宋体" w:eastAsia="宋体" w:cs="宋体"/>
          <w:sz w:val="21"/>
          <w:szCs w:val="21"/>
          <w:highlight w:val="none"/>
        </w:rPr>
        <w:t xml:space="preserve">    1.1 投标人应知其权益受到损害之日是指：</w:t>
      </w:r>
    </w:p>
    <w:p>
      <w:pPr>
        <w:spacing w:line="380" w:lineRule="exact"/>
        <w:rPr>
          <w:rFonts w:ascii="宋体" w:hAnsi="宋体" w:cs="宋体"/>
          <w:kern w:val="0"/>
          <w:szCs w:val="21"/>
          <w:highlight w:val="none"/>
        </w:rPr>
      </w:pPr>
      <w:r>
        <w:rPr>
          <w:rFonts w:hint="eastAsia" w:ascii="宋体" w:hAnsi="宋体" w:cs="宋体"/>
          <w:kern w:val="0"/>
          <w:szCs w:val="21"/>
          <w:highlight w:val="none"/>
        </w:rPr>
        <w:t xml:space="preserve">     （1）对可以质疑的采购文件提出质疑的，为收到采购文件之日；</w:t>
      </w:r>
    </w:p>
    <w:p>
      <w:pPr>
        <w:pStyle w:val="2"/>
        <w:spacing w:line="380" w:lineRule="exact"/>
        <w:ind w:firstLine="555"/>
        <w:rPr>
          <w:rFonts w:ascii="宋体" w:hAnsi="宋体" w:cs="宋体"/>
          <w:bCs w:val="0"/>
          <w:spacing w:val="0"/>
          <w:sz w:val="21"/>
          <w:szCs w:val="21"/>
          <w:highlight w:val="none"/>
        </w:rPr>
      </w:pPr>
      <w:r>
        <w:rPr>
          <w:rFonts w:hint="eastAsia" w:ascii="宋体" w:hAnsi="宋体" w:cs="宋体"/>
          <w:bCs w:val="0"/>
          <w:spacing w:val="0"/>
          <w:sz w:val="21"/>
          <w:szCs w:val="21"/>
          <w:highlight w:val="none"/>
        </w:rPr>
        <w:t>（2）对采购过程提出质疑的，为各采购环节结束之日；</w:t>
      </w:r>
    </w:p>
    <w:p>
      <w:pPr>
        <w:pStyle w:val="2"/>
        <w:spacing w:line="380" w:lineRule="exact"/>
        <w:ind w:firstLine="555"/>
        <w:rPr>
          <w:rFonts w:ascii="宋体" w:hAnsi="宋体" w:cs="宋体"/>
          <w:bCs w:val="0"/>
          <w:spacing w:val="0"/>
          <w:sz w:val="21"/>
          <w:szCs w:val="21"/>
          <w:highlight w:val="none"/>
        </w:rPr>
      </w:pPr>
      <w:r>
        <w:rPr>
          <w:rFonts w:hint="eastAsia" w:ascii="宋体" w:hAnsi="宋体" w:cs="宋体"/>
          <w:bCs w:val="0"/>
          <w:spacing w:val="0"/>
          <w:sz w:val="21"/>
          <w:szCs w:val="21"/>
          <w:highlight w:val="none"/>
        </w:rPr>
        <w:t>（3）对成交结果提出质疑的，为成交结果公告期限届满之日。</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2.质疑、投诉应当采用书面形式，质疑书、投诉书均应明确阐述招标文件、招标过程、中标结果中使自己合法权益受到损害的实质性内容，提供相关事实、明确的请求、必要的证明材料，便于有关单位调查、答复和处理。</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3.供应商提出质疑应当提交质疑函和必要的证明材料。质疑函应当包括下列内容：</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（1）供应商的单位名称或者姓名、详细地址、邮政编码、联系人及联系电话；</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（2）质疑项目的名称、编号；</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（3）具体、明确的质疑事项和与质疑事项相关的请求；</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（4）事实依据；</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（5）必要的法律依据；</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（6）提出质疑的日期。</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（7）附件材料：营业执照副本内页复印件（要求证件有效并清晰反映企业法人经营范围和年检情况记录）；近期连续三个月依法缴纳税收和缴纳社会保障资金证明材料（复印件，原件备查），新成立企业除外。</w:t>
      </w:r>
    </w:p>
    <w:p>
      <w:pPr>
        <w:pStyle w:val="26"/>
        <w:snapToGrid w:val="0"/>
        <w:spacing w:line="400" w:lineRule="exact"/>
        <w:ind w:firstLine="420" w:firstLineChars="200"/>
        <w:rPr>
          <w:rFonts w:hAnsi="宋体" w:cs="宋体"/>
          <w:b/>
          <w:sz w:val="21"/>
          <w:highlight w:val="none"/>
        </w:rPr>
      </w:pPr>
      <w:r>
        <w:rPr>
          <w:rFonts w:hint="eastAsia" w:hAnsi="宋体" w:cs="宋体"/>
          <w:bCs/>
          <w:sz w:val="21"/>
          <w:highlight w:val="none"/>
        </w:rPr>
        <w:t>质疑或投诉的书面材料须提供法定代表人签名和加盖单位公章的原件。如质疑或投诉委托代理人办理时，须提供质疑人的授权委托书，授权委托书须由法定代表人签名并加盖单位公章，且注明代理权限。</w:t>
      </w:r>
    </w:p>
    <w:p>
      <w:pPr>
        <w:pStyle w:val="26"/>
        <w:numPr>
          <w:ilvl w:val="0"/>
          <w:numId w:val="7"/>
        </w:numPr>
        <w:snapToGrid w:val="0"/>
        <w:spacing w:line="400" w:lineRule="exact"/>
        <w:ind w:firstLine="422" w:firstLineChars="200"/>
        <w:outlineLvl w:val="1"/>
        <w:rPr>
          <w:rFonts w:hAnsi="宋体" w:cs="宋体"/>
          <w:b/>
          <w:bCs/>
          <w:sz w:val="21"/>
          <w:highlight w:val="none"/>
        </w:rPr>
      </w:pPr>
      <w:r>
        <w:rPr>
          <w:rFonts w:hint="eastAsia" w:hAnsi="宋体" w:cs="宋体"/>
          <w:b/>
          <w:bCs/>
          <w:sz w:val="21"/>
          <w:highlight w:val="none"/>
        </w:rPr>
        <w:t>投标人认为招标文件使自己的合法权益受到损害的，按“二、招标文件（三）招标文件的澄清与修改第一条款” 执行。</w:t>
      </w:r>
    </w:p>
    <w:p>
      <w:pPr>
        <w:ind w:left="420" w:leftChars="200"/>
        <w:rPr>
          <w:highlight w:val="none"/>
        </w:rPr>
      </w:pPr>
    </w:p>
    <w:p>
      <w:pPr>
        <w:pStyle w:val="26"/>
        <w:snapToGrid w:val="0"/>
        <w:spacing w:line="400" w:lineRule="exact"/>
        <w:ind w:firstLine="413" w:firstLineChars="196"/>
        <w:outlineLvl w:val="0"/>
        <w:rPr>
          <w:rFonts w:hAnsi="宋体" w:cs="宋体"/>
          <w:b/>
          <w:sz w:val="21"/>
          <w:highlight w:val="none"/>
        </w:rPr>
      </w:pPr>
      <w:bookmarkStart w:id="63" w:name="_Toc430109945"/>
      <w:bookmarkStart w:id="64" w:name="_Toc430110137"/>
      <w:bookmarkStart w:id="65" w:name="_Toc254970675"/>
      <w:bookmarkStart w:id="66" w:name="_Toc254970534"/>
      <w:bookmarkStart w:id="67" w:name="_Toc430110263"/>
      <w:r>
        <w:rPr>
          <w:rFonts w:hint="eastAsia" w:hAnsi="宋体" w:cs="宋体"/>
          <w:b/>
          <w:sz w:val="21"/>
          <w:highlight w:val="none"/>
        </w:rPr>
        <w:t>二、招标文件</w:t>
      </w:r>
      <w:bookmarkEnd w:id="63"/>
      <w:bookmarkEnd w:id="64"/>
      <w:bookmarkEnd w:id="65"/>
      <w:bookmarkEnd w:id="66"/>
      <w:bookmarkEnd w:id="67"/>
    </w:p>
    <w:p>
      <w:pPr>
        <w:snapToGrid w:val="0"/>
        <w:spacing w:line="400" w:lineRule="exact"/>
        <w:ind w:firstLine="413" w:firstLineChars="196"/>
        <w:jc w:val="left"/>
        <w:rPr>
          <w:rFonts w:ascii="宋体" w:hAnsi="宋体" w:cs="宋体"/>
          <w:b/>
          <w:szCs w:val="21"/>
          <w:highlight w:val="none"/>
        </w:rPr>
      </w:pPr>
      <w:r>
        <w:rPr>
          <w:rFonts w:hint="eastAsia" w:ascii="宋体" w:hAnsi="宋体" w:cs="宋体"/>
          <w:b/>
          <w:szCs w:val="21"/>
          <w:highlight w:val="none"/>
        </w:rPr>
        <w:t>（一）招标文件的构成。本招标文件由以下部份组成：</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1.招标公告；</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2.采购需求；</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3.投标人须知；</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4.评标办法及标准；</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5.合同主要条款；</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6.投标文件格式。</w:t>
      </w:r>
    </w:p>
    <w:p>
      <w:pPr>
        <w:snapToGrid w:val="0"/>
        <w:spacing w:before="120" w:beforeLines="50" w:line="400" w:lineRule="exact"/>
        <w:ind w:firstLine="413" w:firstLineChars="196"/>
        <w:jc w:val="left"/>
        <w:rPr>
          <w:rFonts w:ascii="宋体" w:hAnsi="宋体" w:cs="宋体"/>
          <w:b/>
          <w:szCs w:val="21"/>
          <w:highlight w:val="none"/>
        </w:rPr>
      </w:pPr>
      <w:r>
        <w:rPr>
          <w:rFonts w:hint="eastAsia" w:ascii="宋体" w:hAnsi="宋体" w:cs="宋体"/>
          <w:b/>
          <w:szCs w:val="21"/>
          <w:highlight w:val="none"/>
        </w:rPr>
        <w:t>（二）投标人的风险</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投标人没有按照招标文件要求提供全部资料，或者投标人没有对招标文件在各方面作出实质性响应是投标人的风险，并可能导致其投标被拒绝。</w:t>
      </w:r>
    </w:p>
    <w:p>
      <w:pPr>
        <w:pStyle w:val="15"/>
        <w:widowControl w:val="0"/>
        <w:numPr>
          <w:ilvl w:val="0"/>
          <w:numId w:val="10"/>
        </w:numPr>
        <w:tabs>
          <w:tab w:val="clear" w:pos="454"/>
        </w:tabs>
        <w:snapToGrid w:val="0"/>
        <w:spacing w:before="120" w:beforeLines="50" w:afterLines="0" w:line="400" w:lineRule="exact"/>
        <w:ind w:left="0" w:firstLine="413" w:firstLineChars="196"/>
        <w:rPr>
          <w:rFonts w:ascii="宋体" w:hAnsi="宋体" w:cs="宋体"/>
          <w:b/>
          <w:sz w:val="21"/>
          <w:szCs w:val="21"/>
          <w:highlight w:val="none"/>
        </w:rPr>
      </w:pPr>
      <w:r>
        <w:rPr>
          <w:rFonts w:hint="eastAsia" w:ascii="宋体" w:hAnsi="宋体" w:cs="宋体"/>
          <w:b/>
          <w:sz w:val="21"/>
          <w:szCs w:val="21"/>
          <w:highlight w:val="none"/>
        </w:rPr>
        <w:t>招标文件的澄清与修改</w:t>
      </w:r>
    </w:p>
    <w:p>
      <w:pPr>
        <w:pStyle w:val="15"/>
        <w:widowControl w:val="0"/>
        <w:tabs>
          <w:tab w:val="clear" w:pos="454"/>
        </w:tabs>
        <w:snapToGrid w:val="0"/>
        <w:spacing w:before="120" w:beforeLines="50" w:afterLines="0" w:line="400" w:lineRule="exact"/>
        <w:ind w:left="0" w:firstLine="420" w:firstLineChars="200"/>
        <w:rPr>
          <w:rFonts w:ascii="宋体" w:hAnsi="宋体" w:cs="宋体"/>
          <w:b/>
          <w:sz w:val="21"/>
          <w:szCs w:val="21"/>
          <w:highlight w:val="none"/>
        </w:rPr>
      </w:pPr>
      <w:r>
        <w:rPr>
          <w:rFonts w:hint="eastAsia" w:ascii="宋体" w:hAnsi="宋体" w:cs="宋体"/>
          <w:sz w:val="21"/>
          <w:szCs w:val="21"/>
          <w:highlight w:val="none"/>
        </w:rPr>
        <w:t>1.投标人应认真阅读本招标文件，发现其中有误、缺页、附件不全或有不合理要求的，投标人必须在收到招标文件之日起七个工作日内以书面形式要求采购人或采购代理机构澄清。</w:t>
      </w:r>
      <w:r>
        <w:rPr>
          <w:rFonts w:hint="eastAsia" w:ascii="宋体" w:hAnsi="宋体" w:cs="宋体"/>
          <w:b/>
          <w:sz w:val="21"/>
          <w:szCs w:val="21"/>
          <w:highlight w:val="none"/>
        </w:rPr>
        <w:t xml:space="preserve"> </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2.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3.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6"/>
        <w:snapToGrid w:val="0"/>
        <w:spacing w:line="400" w:lineRule="exact"/>
        <w:ind w:firstLine="420" w:firstLineChars="200"/>
        <w:rPr>
          <w:rFonts w:hAnsi="宋体" w:cs="宋体"/>
          <w:b/>
          <w:sz w:val="21"/>
          <w:highlight w:val="none"/>
        </w:rPr>
      </w:pPr>
      <w:r>
        <w:rPr>
          <w:rFonts w:hint="eastAsia" w:hAnsi="宋体" w:cs="宋体"/>
          <w:sz w:val="21"/>
          <w:highlight w:val="none"/>
        </w:rPr>
        <w:t>4.澄清或者修改的内容可能影响投标文件编制的，采购人或者采购代理机构应当在提交投标文件截止时间至少3日前，以书面形式通知所有获取招标文件的潜在投标人；不足3日的，采购人或者采购代理机构应当顺延提交投标文件的截止时间。</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5.招标采购单位必须以书面形式答复投标人要求澄清的问题，并将不包含问题来源的答复书面通知所有购买招标文件的投标人；除书面答复以外的其他澄清方式及澄清内容均无效。</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6.招标文件澄清、答复、修改、补充的内容为招标文件的组成部分。当招标文件与招标文件的答复、澄清、修改、补充通知就同一内容的表述不一致时，以最后发出的书面文件为准。</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7.招标文件的澄清、答复、修改或补充都应该通过本采购代理机构以法定形式发布，采购人非通过本机构，不得擅自澄清、答复、修改或补充招标文件。</w:t>
      </w:r>
    </w:p>
    <w:p>
      <w:pPr>
        <w:pStyle w:val="26"/>
        <w:spacing w:line="420" w:lineRule="exact"/>
        <w:ind w:firstLine="420"/>
        <w:rPr>
          <w:highlight w:val="none"/>
        </w:rPr>
      </w:pPr>
      <w:r>
        <w:rPr>
          <w:rFonts w:hint="eastAsia" w:hAnsi="宋体" w:cs="宋体"/>
          <w:sz w:val="21"/>
          <w:highlight w:val="none"/>
        </w:rPr>
        <w:t>8.</w:t>
      </w:r>
      <w:r>
        <w:rPr>
          <w:rFonts w:hint="eastAsia" w:hAnsi="宋体" w:cs="宋体"/>
          <w:bCs/>
          <w:sz w:val="21"/>
          <w:highlight w:val="none"/>
        </w:rPr>
        <w:t>请投标人在接到采购代理机构的电话通知后到采购代理机构处领取以上澄清答复（或补充通知），或者在网上查询。该澄清答复（或补充通知）不用传真方式发出，如在电话通知后24小时内不上门领取的，则视为已在网上查询收到。该澄清或修改的内容为</w:t>
      </w:r>
      <w:r>
        <w:rPr>
          <w:rFonts w:hint="eastAsia" w:hAnsi="宋体" w:cs="宋体"/>
          <w:sz w:val="21"/>
          <w:highlight w:val="none"/>
        </w:rPr>
        <w:t>招标文件</w:t>
      </w:r>
      <w:r>
        <w:rPr>
          <w:rFonts w:hint="eastAsia" w:hAnsi="宋体" w:cs="宋体"/>
          <w:bCs/>
          <w:sz w:val="21"/>
          <w:highlight w:val="none"/>
        </w:rPr>
        <w:t>的组成部分。投标人在每一次收到澄清答复或补充通知后应立即以书面形式通知采购代理机构，确认已收到该澄清答复或补充通知。否则，由此造成的一切后果由投标人承担</w:t>
      </w:r>
      <w:r>
        <w:rPr>
          <w:rFonts w:hint="eastAsia" w:hAnsi="宋体" w:cs="宋体"/>
          <w:b/>
          <w:bCs/>
          <w:sz w:val="21"/>
          <w:highlight w:val="none"/>
        </w:rPr>
        <w:t>。</w:t>
      </w:r>
    </w:p>
    <w:p>
      <w:pPr>
        <w:pStyle w:val="26"/>
        <w:snapToGrid w:val="0"/>
        <w:spacing w:line="400" w:lineRule="exact"/>
        <w:ind w:firstLine="413" w:firstLineChars="196"/>
        <w:outlineLvl w:val="0"/>
        <w:rPr>
          <w:rFonts w:hAnsi="宋体" w:cs="宋体"/>
          <w:b/>
          <w:sz w:val="21"/>
          <w:highlight w:val="none"/>
        </w:rPr>
      </w:pPr>
      <w:bookmarkStart w:id="68" w:name="_Toc430110138"/>
      <w:bookmarkStart w:id="69" w:name="_Toc254970535"/>
      <w:bookmarkStart w:id="70" w:name="_Toc254970676"/>
      <w:r>
        <w:rPr>
          <w:rFonts w:hint="eastAsia" w:hAnsi="宋体" w:cs="宋体"/>
          <w:b/>
          <w:sz w:val="21"/>
          <w:highlight w:val="none"/>
        </w:rPr>
        <w:t>三、投标文件的编制</w:t>
      </w:r>
      <w:bookmarkEnd w:id="68"/>
      <w:bookmarkEnd w:id="69"/>
      <w:bookmarkEnd w:id="70"/>
    </w:p>
    <w:p>
      <w:pPr>
        <w:snapToGrid w:val="0"/>
        <w:spacing w:line="400" w:lineRule="exact"/>
        <w:ind w:firstLine="413" w:firstLineChars="196"/>
        <w:jc w:val="left"/>
        <w:outlineLvl w:val="0"/>
        <w:rPr>
          <w:rFonts w:ascii="宋体" w:hAnsi="宋体" w:cs="宋体"/>
          <w:b/>
          <w:szCs w:val="21"/>
          <w:highlight w:val="none"/>
        </w:rPr>
      </w:pPr>
      <w:bookmarkStart w:id="71" w:name="_Toc254970536"/>
      <w:bookmarkStart w:id="72" w:name="_Toc430109946"/>
      <w:bookmarkStart w:id="73" w:name="_Toc430110139"/>
      <w:bookmarkStart w:id="74" w:name="_Toc430110264"/>
      <w:bookmarkStart w:id="75" w:name="_Toc254970677"/>
      <w:bookmarkStart w:id="76" w:name="_Hlk79604164"/>
      <w:r>
        <w:rPr>
          <w:rFonts w:hint="eastAsia" w:ascii="宋体" w:hAnsi="宋体" w:cs="宋体"/>
          <w:b/>
          <w:szCs w:val="21"/>
          <w:highlight w:val="none"/>
        </w:rPr>
        <w:t>（一）投标文件的组成</w:t>
      </w:r>
      <w:bookmarkEnd w:id="71"/>
      <w:bookmarkEnd w:id="72"/>
      <w:bookmarkEnd w:id="73"/>
      <w:bookmarkEnd w:id="74"/>
      <w:bookmarkEnd w:id="75"/>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投标文件由报价文件、</w:t>
      </w:r>
      <w:r>
        <w:rPr>
          <w:rFonts w:hint="eastAsia" w:ascii="宋体" w:hAnsi="宋体" w:cs="宋体"/>
          <w:szCs w:val="21"/>
          <w:highlight w:val="none"/>
          <w:lang w:eastAsia="zh-CN"/>
        </w:rPr>
        <w:t>资格文件</w:t>
      </w:r>
      <w:r>
        <w:rPr>
          <w:rFonts w:hint="eastAsia" w:ascii="宋体" w:hAnsi="宋体" w:cs="宋体"/>
          <w:szCs w:val="21"/>
          <w:highlight w:val="none"/>
        </w:rPr>
        <w:t>、商务文件、技术文件组成</w:t>
      </w:r>
      <w:r>
        <w:rPr>
          <w:rFonts w:hint="eastAsia" w:ascii="宋体" w:hAnsi="宋体"/>
          <w:szCs w:val="21"/>
          <w:highlight w:val="none"/>
        </w:rPr>
        <w:t>。</w:t>
      </w:r>
    </w:p>
    <w:p>
      <w:pPr>
        <w:snapToGrid w:val="0"/>
        <w:spacing w:line="400" w:lineRule="exact"/>
        <w:ind w:firstLine="422" w:firstLineChars="200"/>
        <w:jc w:val="left"/>
        <w:rPr>
          <w:rFonts w:ascii="宋体" w:hAnsi="宋体" w:cs="宋体"/>
          <w:b/>
          <w:bCs/>
          <w:szCs w:val="21"/>
          <w:highlight w:val="none"/>
        </w:rPr>
      </w:pPr>
      <w:r>
        <w:rPr>
          <w:rFonts w:ascii="宋体" w:hAnsi="宋体" w:cs="宋体"/>
          <w:b/>
          <w:bCs/>
          <w:szCs w:val="21"/>
          <w:highlight w:val="none"/>
        </w:rPr>
        <w:t>1.报价文件：</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（1）投标函（格式后附）；</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（2）投标报价表（格式后附）；</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 xml:space="preserve">）开标一览表（格式后附）； </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）投标人针对报价需要说明的其他文件和说明（格式自拟）。</w:t>
      </w:r>
    </w:p>
    <w:p>
      <w:pPr>
        <w:snapToGrid w:val="0"/>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注：投标函、开标一览表必须由法定代表人或者委托代理人在规定签章处逐一签字并加盖投标人公章，否则作无效投标处理。</w:t>
      </w:r>
    </w:p>
    <w:p>
      <w:pPr>
        <w:autoSpaceDE w:val="0"/>
        <w:autoSpaceDN w:val="0"/>
        <w:snapToGrid w:val="0"/>
        <w:spacing w:before="111" w:line="263" w:lineRule="exact"/>
        <w:ind w:left="360"/>
        <w:jc w:val="left"/>
        <w:rPr>
          <w:rFonts w:ascii="宋体" w:hAnsi="宋体" w:cs="宋体"/>
          <w:color w:val="0000FF"/>
          <w:highlight w:val="none"/>
        </w:rPr>
      </w:pPr>
      <w:r>
        <w:rPr>
          <w:rFonts w:ascii="宋体" w:hAnsi="宋体" w:cs="宋体"/>
          <w:b/>
          <w:szCs w:val="21"/>
          <w:highlight w:val="none"/>
        </w:rPr>
        <w:t>2</w:t>
      </w:r>
      <w:r>
        <w:rPr>
          <w:rFonts w:hint="eastAsia" w:ascii="宋体" w:hAnsi="宋体" w:cs="宋体"/>
          <w:b/>
          <w:szCs w:val="21"/>
          <w:highlight w:val="none"/>
        </w:rPr>
        <w:t>.</w:t>
      </w:r>
      <w:r>
        <w:rPr>
          <w:rFonts w:hint="eastAsia" w:ascii="宋体" w:hAnsi="宋体" w:cs="宋体"/>
          <w:b/>
          <w:szCs w:val="21"/>
          <w:highlight w:val="none"/>
          <w:lang w:eastAsia="zh-CN"/>
        </w:rPr>
        <w:t>资格文件</w:t>
      </w:r>
      <w:r>
        <w:rPr>
          <w:rFonts w:hint="eastAsia" w:ascii="宋体" w:hAnsi="宋体" w:cs="宋体"/>
          <w:b/>
          <w:szCs w:val="21"/>
          <w:highlight w:val="none"/>
        </w:rPr>
        <w:t>：</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）投标声明（格式后附）；</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ascii="宋体" w:hAnsi="宋体" w:cs="宋体"/>
          <w:b/>
          <w:bCs/>
          <w:szCs w:val="21"/>
          <w:highlight w:val="none"/>
        </w:rPr>
      </w:pPr>
      <w:r>
        <w:rPr>
          <w:rFonts w:hint="eastAsia" w:ascii="宋体" w:hAnsi="宋体" w:cs="宋体"/>
          <w:szCs w:val="21"/>
          <w:highlight w:val="none"/>
        </w:rPr>
        <w:t>（2）法定代表人身份证明及法定代表人有效身份证正反面复印件（格式后附）；</w:t>
      </w:r>
      <w:r>
        <w:rPr>
          <w:rFonts w:hint="eastAsia" w:ascii="宋体" w:hAnsi="宋体" w:cs="宋体"/>
          <w:b/>
          <w:bCs/>
          <w:szCs w:val="21"/>
          <w:highlight w:val="none"/>
        </w:rPr>
        <w:t>（除自然人投标外必须提供，否则作无效投标处理）</w:t>
      </w:r>
    </w:p>
    <w:p>
      <w:pPr>
        <w:snapToGrid w:val="0"/>
        <w:spacing w:line="400" w:lineRule="exact"/>
        <w:ind w:firstLine="420" w:firstLineChars="200"/>
        <w:jc w:val="left"/>
        <w:rPr>
          <w:rFonts w:ascii="宋体" w:hAnsi="宋体" w:cs="宋体"/>
          <w:b/>
          <w:bCs/>
          <w:szCs w:val="21"/>
          <w:highlight w:val="none"/>
        </w:rPr>
      </w:pPr>
      <w:r>
        <w:rPr>
          <w:rFonts w:hint="eastAsia" w:ascii="宋体" w:hAnsi="宋体" w:cs="宋体"/>
          <w:szCs w:val="21"/>
          <w:highlight w:val="none"/>
        </w:rPr>
        <w:t>（3）法定代表人授权委托书及委托代理人有效身份证正反面复印件（格式后附）；</w:t>
      </w:r>
      <w:r>
        <w:rPr>
          <w:rFonts w:hint="eastAsia" w:ascii="宋体" w:hAnsi="宋体" w:cs="宋体"/>
          <w:b/>
          <w:bCs/>
          <w:szCs w:val="21"/>
          <w:highlight w:val="none"/>
        </w:rPr>
        <w:t>（委托时必须提供，否则作无效投标处理）</w:t>
      </w:r>
    </w:p>
    <w:p>
      <w:pPr>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（4）投标人为法人或者其他组织的，提供营业执照等证明文件（如营业执照或者事业单位法人证书或者执业许可证等），投标人为自然人的，提供身份证复印件；</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hint="default" w:ascii="宋体" w:hAnsi="宋体" w:cs="宋体"/>
          <w:szCs w:val="21"/>
          <w:highlight w:val="none"/>
        </w:rPr>
      </w:pPr>
      <w:r>
        <w:rPr>
          <w:rFonts w:hint="default" w:ascii="宋体" w:hAnsi="宋体" w:cs="宋体"/>
          <w:szCs w:val="21"/>
          <w:highlight w:val="none"/>
        </w:rPr>
        <w:t>（</w:t>
      </w:r>
      <w:r>
        <w:rPr>
          <w:rFonts w:hint="eastAsia" w:ascii="宋体" w:hAnsi="宋体" w:cs="宋体"/>
          <w:szCs w:val="21"/>
          <w:highlight w:val="none"/>
          <w:lang w:val="en-US" w:eastAsia="zh-CN"/>
        </w:rPr>
        <w:t>5</w:t>
      </w:r>
      <w:r>
        <w:rPr>
          <w:rFonts w:hint="default" w:ascii="宋体" w:hAnsi="宋体" w:cs="宋体"/>
          <w:szCs w:val="21"/>
          <w:highlight w:val="none"/>
        </w:rPr>
        <w:t>）投标</w:t>
      </w:r>
      <w:r>
        <w:rPr>
          <w:rFonts w:hint="eastAsia" w:ascii="宋体" w:hAnsi="宋体" w:cs="宋体"/>
          <w:szCs w:val="21"/>
          <w:highlight w:val="none"/>
          <w:lang w:eastAsia="zh-CN"/>
        </w:rPr>
        <w:t>人有效的</w:t>
      </w:r>
      <w:r>
        <w:rPr>
          <w:rFonts w:hint="eastAsia" w:ascii="宋体" w:hAnsi="宋体" w:cs="宋体"/>
          <w:b w:val="0"/>
          <w:bCs w:val="0"/>
          <w:color w:val="auto"/>
          <w:szCs w:val="21"/>
          <w:highlight w:val="none"/>
        </w:rPr>
        <w:t>城乡规划编制甲级及工程设计综合甲级或工程设计建筑行业甲级或工程设计建筑行业（建筑工程）专业甲级资质</w:t>
      </w:r>
      <w:r>
        <w:rPr>
          <w:rFonts w:hint="default" w:ascii="宋体" w:hAnsi="宋体" w:cs="宋体"/>
          <w:szCs w:val="21"/>
          <w:highlight w:val="none"/>
        </w:rPr>
        <w:t>证书副本复印件（资质等级必须达到本项目最低资质等级要求，否则不予通过资格审查）</w:t>
      </w:r>
      <w:r>
        <w:rPr>
          <w:rFonts w:hint="default" w:ascii="宋体" w:hAnsi="宋体" w:cs="宋体"/>
          <w:b/>
          <w:bCs/>
          <w:szCs w:val="21"/>
          <w:highlight w:val="none"/>
        </w:rPr>
        <w:t>（必须提供</w:t>
      </w:r>
      <w:r>
        <w:rPr>
          <w:rFonts w:hint="eastAsia" w:ascii="宋体" w:hAnsi="宋体" w:cs="宋体"/>
          <w:b/>
          <w:bCs/>
          <w:szCs w:val="21"/>
          <w:highlight w:val="none"/>
        </w:rPr>
        <w:t>，否则作无效投标处理</w:t>
      </w:r>
      <w:r>
        <w:rPr>
          <w:rFonts w:hint="default" w:ascii="宋体" w:hAnsi="宋体" w:cs="宋体"/>
          <w:b/>
          <w:bCs/>
          <w:szCs w:val="21"/>
          <w:highlight w:val="none"/>
        </w:rPr>
        <w:t>）</w:t>
      </w:r>
      <w:r>
        <w:rPr>
          <w:rFonts w:hint="default" w:ascii="宋体" w:hAnsi="宋体" w:cs="宋体"/>
          <w:szCs w:val="21"/>
          <w:highlight w:val="none"/>
        </w:rPr>
        <w:t>；</w:t>
      </w:r>
    </w:p>
    <w:p>
      <w:pPr>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）投标人依法缴纳税收的相关材料（2021年1月至 2021年</w:t>
      </w:r>
      <w:r>
        <w:rPr>
          <w:rFonts w:ascii="宋体" w:hAnsi="宋体" w:cs="宋体"/>
          <w:szCs w:val="21"/>
          <w:highlight w:val="none"/>
        </w:rPr>
        <w:t>8</w:t>
      </w:r>
      <w:r>
        <w:rPr>
          <w:rFonts w:hint="eastAsia" w:ascii="宋体" w:hAnsi="宋体" w:cs="宋体"/>
          <w:szCs w:val="21"/>
          <w:highlight w:val="none"/>
        </w:rPr>
        <w:t>月内任意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hint="default" w:ascii="宋体" w:hAnsi="宋体" w:cs="宋体"/>
          <w:b/>
          <w:bCs/>
          <w:szCs w:val="21"/>
          <w:highlight w:val="none"/>
        </w:rPr>
      </w:pPr>
      <w:r>
        <w:rPr>
          <w:rFonts w:hint="default" w:ascii="宋体" w:hAnsi="宋体" w:cs="宋体"/>
          <w:szCs w:val="21"/>
          <w:highlight w:val="none"/>
        </w:rPr>
        <w:t>（</w:t>
      </w:r>
      <w:r>
        <w:rPr>
          <w:rFonts w:hint="eastAsia" w:ascii="宋体" w:hAnsi="宋体" w:cs="宋体"/>
          <w:szCs w:val="21"/>
          <w:highlight w:val="none"/>
          <w:lang w:val="en-US" w:eastAsia="zh-CN"/>
        </w:rPr>
        <w:t>7</w:t>
      </w:r>
      <w:r>
        <w:rPr>
          <w:rFonts w:hint="default" w:ascii="宋体" w:hAnsi="宋体" w:cs="宋体"/>
          <w:szCs w:val="21"/>
          <w:highlight w:val="none"/>
        </w:rPr>
        <w:t>）</w:t>
      </w:r>
      <w:r>
        <w:rPr>
          <w:color w:val="000000"/>
          <w:szCs w:val="21"/>
          <w:highlight w:val="none"/>
        </w:rPr>
        <w:t>拟投入本项目的负责人有效的</w:t>
      </w:r>
      <w:r>
        <w:rPr>
          <w:rFonts w:hint="eastAsia" w:ascii="宋体" w:hAnsi="宋体" w:cs="宋体"/>
          <w:kern w:val="0"/>
          <w:szCs w:val="21"/>
          <w:highlight w:val="none"/>
        </w:rPr>
        <w:t>高级工程师及注册城市（城乡）规划师资格</w:t>
      </w:r>
      <w:r>
        <w:rPr>
          <w:rFonts w:hint="default" w:ascii="宋体" w:hAnsi="宋体" w:cs="宋体"/>
          <w:szCs w:val="21"/>
          <w:highlight w:val="none"/>
        </w:rPr>
        <w:t>证书复印件</w:t>
      </w:r>
      <w:r>
        <w:rPr>
          <w:color w:val="000000"/>
          <w:szCs w:val="21"/>
          <w:highlight w:val="none"/>
        </w:rPr>
        <w:t>及</w:t>
      </w:r>
      <w:r>
        <w:rPr>
          <w:rFonts w:hint="eastAsia"/>
          <w:color w:val="000000"/>
          <w:szCs w:val="21"/>
          <w:highlight w:val="none"/>
        </w:rPr>
        <w:t>职称证复印件</w:t>
      </w:r>
      <w:r>
        <w:rPr>
          <w:rFonts w:hint="default" w:ascii="宋体" w:hAnsi="宋体" w:cs="宋体"/>
          <w:b/>
          <w:bCs/>
          <w:szCs w:val="21"/>
          <w:highlight w:val="none"/>
        </w:rPr>
        <w:t>（必须提供</w:t>
      </w:r>
      <w:r>
        <w:rPr>
          <w:rFonts w:hint="eastAsia" w:ascii="宋体" w:hAnsi="宋体" w:cs="宋体"/>
          <w:b/>
          <w:bCs/>
          <w:szCs w:val="21"/>
          <w:highlight w:val="none"/>
        </w:rPr>
        <w:t>，否则作无效投标处理</w:t>
      </w:r>
      <w:r>
        <w:rPr>
          <w:rFonts w:hint="default" w:ascii="宋体" w:hAnsi="宋体" w:cs="宋体"/>
          <w:b/>
          <w:bCs/>
          <w:szCs w:val="21"/>
          <w:highlight w:val="none"/>
        </w:rPr>
        <w:t>）</w:t>
      </w:r>
    </w:p>
    <w:p>
      <w:pPr>
        <w:snapToGrid w:val="0"/>
        <w:spacing w:line="400" w:lineRule="exact"/>
        <w:ind w:firstLine="420" w:firstLineChars="200"/>
        <w:jc w:val="left"/>
        <w:rPr>
          <w:rFonts w:ascii="宋体" w:hAnsi="宋体" w:cs="宋体"/>
          <w:b/>
          <w:bCs/>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）投标人依法缴纳社会保障资金的相关材料[2021年1月至 2021年</w:t>
      </w:r>
      <w:r>
        <w:rPr>
          <w:rFonts w:ascii="宋体" w:hAnsi="宋体" w:cs="宋体"/>
          <w:szCs w:val="21"/>
          <w:highlight w:val="none"/>
        </w:rPr>
        <w:t>8</w:t>
      </w:r>
      <w:r>
        <w:rPr>
          <w:rFonts w:hint="eastAsia" w:ascii="宋体" w:hAnsi="宋体" w:cs="宋体"/>
          <w:szCs w:val="21"/>
          <w:highlight w:val="none"/>
        </w:rPr>
        <w:t>月内任意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投标人财务状况报告[2020年财务状况报告复印件，供应商是法人的，应提供经审计的财务报告（包括“四表一注”，即资产负债表、利润表、现金流量表、所有者权益变动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四表一注”，即资产负债表、利润表、现金流量表、所有者权益变动表及附注，属于小微企业的无须提供现金流量表)或者银行出具的资信证明（注明有效期的，应在有效期内；未注明有效期的，出具时间至投标截止时间不超过一年）]；</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）联合体协议书（格式后附）；</w:t>
      </w:r>
      <w:r>
        <w:rPr>
          <w:rFonts w:hint="eastAsia" w:ascii="宋体" w:hAnsi="宋体" w:cs="宋体"/>
          <w:b/>
          <w:bCs/>
          <w:szCs w:val="21"/>
          <w:highlight w:val="none"/>
        </w:rPr>
        <w:t>（联合体投标时必须提供，否则作无效投标处理）</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 xml:space="preserve">）采购人或采购代理机构根据招标公告对应的特定资格要求及特定条件设置投标人提供的资格证明材料； </w:t>
      </w:r>
      <w:r>
        <w:rPr>
          <w:rFonts w:hint="eastAsia" w:ascii="宋体" w:hAnsi="宋体" w:cs="宋体"/>
          <w:b/>
          <w:bCs/>
          <w:szCs w:val="21"/>
          <w:highlight w:val="none"/>
        </w:rPr>
        <w:t>（必须提供，否则作无效投标处理）</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）除招标文件规定必须提供以外，投标人认为需要提供的其他证明材料。</w:t>
      </w:r>
    </w:p>
    <w:p>
      <w:pPr>
        <w:snapToGrid w:val="0"/>
        <w:spacing w:line="40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注：</w:t>
      </w:r>
    </w:p>
    <w:p>
      <w:pPr>
        <w:snapToGrid w:val="0"/>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1.以上标明“必须提供”的材料属于复印件的，必须加盖投标人公章，否则作无效投标处理。</w:t>
      </w:r>
    </w:p>
    <w:p>
      <w:pPr>
        <w:snapToGrid w:val="0"/>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2.投标声明必须由法定代表人在规定签章处签字并加盖投标人公章，否则作无效投标处理。</w:t>
      </w:r>
    </w:p>
    <w:p>
      <w:pPr>
        <w:snapToGrid w:val="0"/>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3.联合体投标时，第1-</w:t>
      </w:r>
      <w:r>
        <w:rPr>
          <w:rFonts w:hint="eastAsia" w:ascii="宋体" w:hAnsi="宋体" w:cs="宋体"/>
          <w:b/>
          <w:bCs/>
          <w:szCs w:val="21"/>
          <w:highlight w:val="none"/>
          <w:lang w:val="en-US" w:eastAsia="zh-CN"/>
        </w:rPr>
        <w:t>6</w:t>
      </w:r>
      <w:r>
        <w:rPr>
          <w:rFonts w:hint="eastAsia" w:ascii="宋体" w:hAnsi="宋体" w:cs="宋体"/>
          <w:b/>
          <w:bCs/>
          <w:szCs w:val="21"/>
          <w:highlight w:val="none"/>
        </w:rPr>
        <w:t>项</w:t>
      </w:r>
      <w:r>
        <w:rPr>
          <w:rFonts w:hint="eastAsia" w:ascii="宋体" w:hAnsi="宋体" w:cs="宋体"/>
          <w:b/>
          <w:bCs/>
          <w:szCs w:val="21"/>
          <w:highlight w:val="none"/>
          <w:lang w:eastAsia="zh-CN"/>
        </w:rPr>
        <w:t>资格文件</w:t>
      </w:r>
      <w:r>
        <w:rPr>
          <w:rFonts w:hint="eastAsia" w:ascii="宋体" w:hAnsi="宋体" w:cs="宋体"/>
          <w:b/>
          <w:bCs/>
          <w:szCs w:val="21"/>
          <w:highlight w:val="none"/>
        </w:rPr>
        <w:t>联合体各方均必须分别提供，联合体各方分别盖章和签字，否则投标文件按无效响应处理。</w:t>
      </w:r>
    </w:p>
    <w:p>
      <w:pPr>
        <w:snapToGrid w:val="0"/>
        <w:spacing w:line="400" w:lineRule="exact"/>
        <w:ind w:firstLine="420" w:firstLineChars="200"/>
        <w:jc w:val="left"/>
        <w:rPr>
          <w:rFonts w:ascii="宋体" w:hAnsi="宋体" w:cs="宋体"/>
          <w:szCs w:val="21"/>
          <w:highlight w:val="none"/>
        </w:rPr>
      </w:pPr>
    </w:p>
    <w:p>
      <w:pPr>
        <w:snapToGrid w:val="0"/>
        <w:spacing w:line="400" w:lineRule="exact"/>
        <w:ind w:firstLine="422" w:firstLineChars="200"/>
        <w:jc w:val="left"/>
        <w:rPr>
          <w:rFonts w:ascii="宋体" w:hAnsi="宋体" w:cs="宋体"/>
          <w:b/>
          <w:bCs/>
          <w:szCs w:val="21"/>
          <w:highlight w:val="none"/>
        </w:rPr>
      </w:pPr>
      <w:r>
        <w:rPr>
          <w:rFonts w:ascii="宋体" w:hAnsi="宋体" w:cs="宋体"/>
          <w:b/>
          <w:bCs/>
          <w:szCs w:val="21"/>
          <w:highlight w:val="none"/>
        </w:rPr>
        <w:t>3</w:t>
      </w:r>
      <w:r>
        <w:rPr>
          <w:rFonts w:hint="eastAsia" w:ascii="宋体" w:hAnsi="宋体" w:cs="宋体"/>
          <w:b/>
          <w:bCs/>
          <w:szCs w:val="21"/>
          <w:highlight w:val="none"/>
        </w:rPr>
        <w:t>.</w:t>
      </w:r>
      <w:r>
        <w:rPr>
          <w:rFonts w:ascii="宋体" w:hAnsi="宋体" w:cs="宋体"/>
          <w:b/>
          <w:bCs/>
          <w:szCs w:val="21"/>
          <w:highlight w:val="none"/>
        </w:rPr>
        <w:t>商务文件：</w:t>
      </w:r>
    </w:p>
    <w:p>
      <w:pPr>
        <w:snapToGrid w:val="0"/>
        <w:spacing w:line="400" w:lineRule="exact"/>
        <w:ind w:firstLine="420" w:firstLineChars="200"/>
        <w:jc w:val="left"/>
        <w:rPr>
          <w:rFonts w:ascii="宋体" w:hAnsi="宋体" w:cs="宋体"/>
          <w:szCs w:val="21"/>
          <w:highlight w:val="none"/>
        </w:rPr>
      </w:pPr>
      <w:bookmarkStart w:id="77" w:name="_Hlk79604938"/>
      <w:r>
        <w:rPr>
          <w:rFonts w:hint="eastAsia" w:ascii="宋体" w:hAnsi="宋体" w:cs="宋体"/>
          <w:szCs w:val="21"/>
          <w:highlight w:val="none"/>
        </w:rPr>
        <w:t>（1）无串通投标行为的承诺函（格式后附）；</w:t>
      </w:r>
      <w:r>
        <w:rPr>
          <w:rFonts w:hint="eastAsia" w:ascii="宋体" w:hAnsi="宋体" w:cs="宋体"/>
          <w:b/>
          <w:bCs/>
          <w:szCs w:val="21"/>
          <w:highlight w:val="none"/>
        </w:rPr>
        <w:t>（必须提供，否则作无效投标处理）</w:t>
      </w:r>
      <w:r>
        <w:rPr>
          <w:rFonts w:hint="eastAsia" w:ascii="宋体" w:hAnsi="宋体" w:cs="宋体"/>
          <w:szCs w:val="21"/>
          <w:highlight w:val="none"/>
        </w:rPr>
        <w:t xml:space="preserve"> </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）除招标文件规定必须提供以外，投标人认为需要提供的其他证明材料</w:t>
      </w:r>
      <w:r>
        <w:rPr>
          <w:rFonts w:hint="eastAsia" w:ascii="宋体" w:hAnsi="宋体" w:cs="宋体"/>
          <w:szCs w:val="21"/>
          <w:highlight w:val="none"/>
          <w:lang w:eastAsia="zh-CN"/>
        </w:rPr>
        <w:t>（如：</w:t>
      </w:r>
      <w:r>
        <w:rPr>
          <w:rFonts w:hint="eastAsia" w:ascii="宋体" w:hAnsi="宋体" w:cs="宋体"/>
          <w:szCs w:val="21"/>
          <w:highlight w:val="none"/>
        </w:rPr>
        <w:t>业绩</w:t>
      </w:r>
      <w:r>
        <w:rPr>
          <w:rFonts w:hint="eastAsia" w:ascii="宋体" w:hAnsi="宋体" w:cs="宋体"/>
          <w:szCs w:val="21"/>
          <w:highlight w:val="none"/>
          <w:lang w:eastAsia="zh-CN"/>
        </w:rPr>
        <w:t>、</w:t>
      </w:r>
      <w:r>
        <w:rPr>
          <w:rFonts w:hint="eastAsia" w:ascii="宋体" w:hAnsi="宋体" w:cs="宋体"/>
          <w:szCs w:val="21"/>
          <w:highlight w:val="none"/>
        </w:rPr>
        <w:t>人员</w:t>
      </w:r>
      <w:r>
        <w:rPr>
          <w:rFonts w:hint="eastAsia" w:ascii="宋体" w:hAnsi="宋体" w:cs="宋体"/>
          <w:szCs w:val="21"/>
          <w:highlight w:val="none"/>
          <w:lang w:eastAsia="zh-CN"/>
        </w:rPr>
        <w:t>、企业实力信誉等）</w:t>
      </w:r>
      <w:r>
        <w:rPr>
          <w:rFonts w:hint="eastAsia" w:ascii="宋体" w:hAnsi="宋体" w:cs="宋体"/>
          <w:szCs w:val="21"/>
          <w:highlight w:val="none"/>
        </w:rPr>
        <w:t>。</w:t>
      </w:r>
    </w:p>
    <w:p>
      <w:pPr>
        <w:snapToGrid w:val="0"/>
        <w:spacing w:line="40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注：</w:t>
      </w:r>
    </w:p>
    <w:p>
      <w:pPr>
        <w:snapToGrid w:val="0"/>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1.法定代表人授权委托书必须由法定代表人签字或签章、委托代理人签字，并加盖投标人公章，否则作无效投标处理。</w:t>
      </w:r>
    </w:p>
    <w:p>
      <w:pPr>
        <w:snapToGrid w:val="0"/>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2. 以上标明“必须提供”的材料属于复印件的，必须加盖投标人公章，否则作无效投标处理。</w:t>
      </w:r>
    </w:p>
    <w:bookmarkEnd w:id="77"/>
    <w:p>
      <w:pPr>
        <w:snapToGrid w:val="0"/>
        <w:spacing w:line="400" w:lineRule="exact"/>
        <w:ind w:firstLine="422" w:firstLineChars="200"/>
        <w:jc w:val="left"/>
        <w:rPr>
          <w:rFonts w:ascii="宋体" w:hAnsi="宋体" w:cs="宋体"/>
          <w:b/>
          <w:bCs/>
          <w:szCs w:val="21"/>
          <w:highlight w:val="none"/>
        </w:rPr>
      </w:pPr>
    </w:p>
    <w:p>
      <w:pPr>
        <w:snapToGrid w:val="0"/>
        <w:spacing w:line="400" w:lineRule="exact"/>
        <w:ind w:firstLine="422" w:firstLineChars="200"/>
        <w:jc w:val="left"/>
        <w:rPr>
          <w:rFonts w:ascii="宋体" w:hAnsi="宋体" w:cs="宋体"/>
          <w:b/>
          <w:bCs/>
          <w:szCs w:val="21"/>
          <w:highlight w:val="none"/>
        </w:rPr>
      </w:pPr>
      <w:r>
        <w:rPr>
          <w:rFonts w:ascii="宋体" w:hAnsi="宋体" w:cs="宋体"/>
          <w:b/>
          <w:bCs/>
          <w:szCs w:val="21"/>
          <w:highlight w:val="none"/>
        </w:rPr>
        <w:t>4.技术文件：</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（1）服务方案</w:t>
      </w:r>
      <w:r>
        <w:rPr>
          <w:rFonts w:hint="eastAsia" w:ascii="宋体" w:hAnsi="宋体" w:cs="宋体"/>
          <w:b/>
          <w:bCs/>
          <w:szCs w:val="21"/>
          <w:highlight w:val="none"/>
        </w:rPr>
        <w:t>（必须提供，格式自拟）</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（2）除招标文件规定必须提供以外，投标人需要说明的其他文件和说明（格式自拟）。</w:t>
      </w:r>
    </w:p>
    <w:p>
      <w:pPr>
        <w:snapToGrid w:val="0"/>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注：以上标明“必须提供”的材料属于复印件的，必须加盖投标人公章，否则作无效投标处理。</w:t>
      </w:r>
    </w:p>
    <w:bookmarkEnd w:id="76"/>
    <w:p>
      <w:pPr>
        <w:pStyle w:val="2"/>
        <w:rPr>
          <w:highlight w:val="none"/>
        </w:rPr>
      </w:pPr>
    </w:p>
    <w:p>
      <w:pPr>
        <w:snapToGrid w:val="0"/>
        <w:spacing w:line="400" w:lineRule="exact"/>
        <w:jc w:val="left"/>
        <w:rPr>
          <w:rFonts w:ascii="宋体" w:hAnsi="宋体" w:cs="宋体"/>
          <w:szCs w:val="21"/>
          <w:highlight w:val="none"/>
        </w:rPr>
      </w:pPr>
      <w:bookmarkStart w:id="78" w:name="_Toc254970678"/>
      <w:bookmarkStart w:id="79" w:name="_Toc430110265"/>
      <w:bookmarkStart w:id="80" w:name="_Toc430110140"/>
      <w:bookmarkStart w:id="81" w:name="_Toc254970537"/>
      <w:bookmarkStart w:id="82" w:name="_Toc430109947"/>
      <w:r>
        <w:rPr>
          <w:rFonts w:hint="eastAsia" w:ascii="宋体" w:hAnsi="宋体" w:cs="宋体"/>
          <w:szCs w:val="21"/>
          <w:highlight w:val="none"/>
        </w:rPr>
        <w:t>（二）投标文件的语言及计量</w:t>
      </w:r>
      <w:bookmarkEnd w:id="78"/>
      <w:bookmarkEnd w:id="79"/>
      <w:bookmarkEnd w:id="80"/>
      <w:bookmarkEnd w:id="81"/>
      <w:bookmarkEnd w:id="82"/>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1.投标文件以及投标方与招标方就有关投标事宜的所有来往函电，均应以中文书写。除签名、盖章、专用名称等特殊情形外，以中文以外的文字表述的投标文件视同未提交。</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00" w:lineRule="exact"/>
        <w:ind w:firstLine="413" w:firstLineChars="196"/>
        <w:jc w:val="left"/>
        <w:outlineLvl w:val="0"/>
        <w:rPr>
          <w:rFonts w:ascii="宋体" w:hAnsi="宋体" w:cs="宋体"/>
          <w:b/>
          <w:szCs w:val="21"/>
          <w:highlight w:val="none"/>
        </w:rPr>
      </w:pPr>
      <w:bookmarkStart w:id="83" w:name="_Toc430110266"/>
      <w:bookmarkStart w:id="84" w:name="_Toc254970538"/>
      <w:bookmarkStart w:id="85" w:name="_Toc254970679"/>
      <w:bookmarkStart w:id="86" w:name="_Toc430109948"/>
      <w:bookmarkStart w:id="87" w:name="_Toc430110141"/>
      <w:r>
        <w:rPr>
          <w:rFonts w:hint="eastAsia" w:ascii="宋体" w:hAnsi="宋体" w:cs="宋体"/>
          <w:b/>
          <w:szCs w:val="21"/>
          <w:highlight w:val="none"/>
        </w:rPr>
        <w:t>（三）投标报价</w:t>
      </w:r>
      <w:bookmarkEnd w:id="83"/>
      <w:bookmarkEnd w:id="84"/>
      <w:bookmarkEnd w:id="85"/>
      <w:bookmarkEnd w:id="86"/>
      <w:bookmarkEnd w:id="87"/>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1.投标报价应按招标文件中相关附表格式填写。</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2.投标报价是履行合同的最终价格，在采购人指定地点提交服务成果所需的全部费用，其组成部分详见第二章“服务需求一览表”。采购人不再向中标单位支付其投标报价之外的任何费用。</w:t>
      </w:r>
    </w:p>
    <w:p>
      <w:pPr>
        <w:tabs>
          <w:tab w:val="left" w:pos="525"/>
        </w:tabs>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3.投标文件只允许有一个报价，有选择的或有条件的报价将不予接受。</w:t>
      </w:r>
    </w:p>
    <w:p>
      <w:pPr>
        <w:pStyle w:val="15"/>
        <w:widowControl w:val="0"/>
        <w:tabs>
          <w:tab w:val="clear" w:pos="454"/>
        </w:tabs>
        <w:snapToGrid w:val="0"/>
        <w:spacing w:before="120" w:beforeLines="50" w:after="120" w:line="400" w:lineRule="exact"/>
        <w:ind w:left="0" w:firstLine="413" w:firstLineChars="196"/>
        <w:rPr>
          <w:rFonts w:ascii="宋体" w:hAnsi="宋体" w:cs="宋体"/>
          <w:b/>
          <w:sz w:val="21"/>
          <w:szCs w:val="21"/>
          <w:highlight w:val="none"/>
        </w:rPr>
      </w:pPr>
      <w:r>
        <w:rPr>
          <w:rFonts w:hint="eastAsia" w:ascii="宋体" w:hAnsi="宋体" w:cs="宋体"/>
          <w:b/>
          <w:sz w:val="21"/>
          <w:szCs w:val="21"/>
          <w:highlight w:val="none"/>
        </w:rPr>
        <w:t>（四）投标文件的有效期</w:t>
      </w:r>
    </w:p>
    <w:p>
      <w:pPr>
        <w:pStyle w:val="15"/>
        <w:widowControl w:val="0"/>
        <w:tabs>
          <w:tab w:val="clear" w:pos="454"/>
        </w:tabs>
        <w:snapToGrid w:val="0"/>
        <w:spacing w:after="120" w:line="400" w:lineRule="exact"/>
        <w:ind w:left="0" w:firstLine="420" w:firstLineChars="200"/>
        <w:rPr>
          <w:rFonts w:ascii="宋体" w:hAnsi="宋体" w:cs="宋体"/>
          <w:sz w:val="21"/>
          <w:szCs w:val="21"/>
          <w:highlight w:val="none"/>
        </w:rPr>
      </w:pPr>
      <w:r>
        <w:rPr>
          <w:rFonts w:hint="eastAsia" w:ascii="宋体" w:hAnsi="宋体" w:cs="宋体"/>
          <w:sz w:val="21"/>
          <w:szCs w:val="21"/>
          <w:highlight w:val="none"/>
        </w:rPr>
        <w:t>1.投标文件自投标截止日起60天应保持有效。有效期不足的投标文件将被拒绝。</w:t>
      </w:r>
    </w:p>
    <w:p>
      <w:pPr>
        <w:pStyle w:val="15"/>
        <w:widowControl w:val="0"/>
        <w:tabs>
          <w:tab w:val="clear" w:pos="454"/>
        </w:tabs>
        <w:snapToGrid w:val="0"/>
        <w:spacing w:after="120" w:line="400" w:lineRule="exact"/>
        <w:ind w:left="0" w:firstLine="420" w:firstLineChars="200"/>
        <w:rPr>
          <w:rFonts w:ascii="宋体" w:hAnsi="宋体" w:cs="宋体"/>
          <w:sz w:val="21"/>
          <w:szCs w:val="21"/>
          <w:highlight w:val="none"/>
        </w:rPr>
      </w:pPr>
      <w:r>
        <w:rPr>
          <w:rFonts w:hint="eastAsia" w:ascii="宋体" w:hAnsi="宋体" w:cs="宋体"/>
          <w:sz w:val="21"/>
          <w:szCs w:val="21"/>
          <w:highlight w:val="none"/>
        </w:rPr>
        <w:t>2.在特殊情况下，采购人可与投标人协商延长投标文件的有效期，这种要求和答复均以书面形式进行。</w:t>
      </w:r>
    </w:p>
    <w:p>
      <w:pPr>
        <w:snapToGrid w:val="0"/>
        <w:spacing w:line="400" w:lineRule="exact"/>
        <w:ind w:firstLine="420" w:firstLineChars="200"/>
        <w:jc w:val="left"/>
        <w:outlineLvl w:val="0"/>
        <w:rPr>
          <w:rFonts w:ascii="宋体" w:hAnsi="宋体" w:cs="宋体"/>
          <w:b/>
          <w:szCs w:val="21"/>
          <w:highlight w:val="none"/>
        </w:rPr>
      </w:pPr>
      <w:bookmarkStart w:id="88" w:name="_Toc254970539"/>
      <w:bookmarkStart w:id="89" w:name="_Toc430109949"/>
      <w:bookmarkStart w:id="90" w:name="_Toc430110267"/>
      <w:bookmarkStart w:id="91" w:name="_Toc254970680"/>
      <w:bookmarkStart w:id="92" w:name="_Toc430110142"/>
      <w:r>
        <w:rPr>
          <w:rFonts w:hint="eastAsia" w:ascii="宋体" w:hAnsi="宋体" w:cs="宋体"/>
          <w:szCs w:val="21"/>
          <w:highlight w:val="none"/>
        </w:rPr>
        <w:t>3.投标人可拒绝接受延期要求而不会导致投标保证金被没收。同意延长有效期的投标人需要相应延长投标保证金的有效期，但不能修改投标文件。</w:t>
      </w:r>
      <w:bookmarkEnd w:id="88"/>
      <w:bookmarkEnd w:id="89"/>
      <w:bookmarkEnd w:id="90"/>
      <w:bookmarkEnd w:id="91"/>
      <w:bookmarkEnd w:id="92"/>
      <w:r>
        <w:rPr>
          <w:rFonts w:hint="eastAsia" w:ascii="宋体" w:hAnsi="宋体" w:cs="宋体"/>
          <w:b/>
          <w:szCs w:val="21"/>
          <w:highlight w:val="none"/>
        </w:rPr>
        <w:t xml:space="preserve"> </w:t>
      </w:r>
    </w:p>
    <w:p>
      <w:pPr>
        <w:snapToGrid w:val="0"/>
        <w:spacing w:line="400" w:lineRule="exact"/>
        <w:ind w:firstLine="420" w:firstLineChars="200"/>
        <w:jc w:val="left"/>
        <w:outlineLvl w:val="0"/>
        <w:rPr>
          <w:rFonts w:ascii="宋体" w:hAnsi="宋体" w:cs="宋体"/>
          <w:b/>
          <w:szCs w:val="21"/>
          <w:highlight w:val="none"/>
        </w:rPr>
      </w:pPr>
      <w:bookmarkStart w:id="93" w:name="_Toc430109950"/>
      <w:bookmarkStart w:id="94" w:name="_Toc430110143"/>
      <w:bookmarkStart w:id="95" w:name="_Toc430110268"/>
      <w:bookmarkStart w:id="96" w:name="_Toc254970681"/>
      <w:bookmarkStart w:id="97" w:name="_Toc254970540"/>
      <w:r>
        <w:rPr>
          <w:rFonts w:hint="eastAsia" w:ascii="宋体" w:hAnsi="宋体" w:cs="宋体"/>
          <w:szCs w:val="21"/>
          <w:highlight w:val="none"/>
        </w:rPr>
        <w:t>4.中标人的投标文件自开标之日起至合同履行完毕止均应保持有效。</w:t>
      </w:r>
      <w:bookmarkEnd w:id="93"/>
      <w:bookmarkEnd w:id="94"/>
      <w:bookmarkEnd w:id="95"/>
      <w:bookmarkEnd w:id="96"/>
      <w:bookmarkEnd w:id="97"/>
    </w:p>
    <w:p>
      <w:pPr>
        <w:snapToGrid w:val="0"/>
        <w:spacing w:before="120" w:beforeLines="50" w:line="400" w:lineRule="exact"/>
        <w:ind w:firstLine="413" w:firstLineChars="196"/>
        <w:jc w:val="left"/>
        <w:outlineLvl w:val="0"/>
        <w:rPr>
          <w:rFonts w:ascii="宋体" w:hAnsi="宋体" w:cs="宋体"/>
          <w:b/>
          <w:szCs w:val="21"/>
          <w:highlight w:val="none"/>
        </w:rPr>
      </w:pPr>
      <w:bookmarkStart w:id="98" w:name="_Toc430110144"/>
      <w:bookmarkStart w:id="99" w:name="_Toc254970682"/>
      <w:bookmarkStart w:id="100" w:name="_Toc254970541"/>
      <w:bookmarkStart w:id="101" w:name="_Toc430110269"/>
      <w:bookmarkStart w:id="102" w:name="_Toc430109951"/>
      <w:r>
        <w:rPr>
          <w:rFonts w:hint="eastAsia" w:ascii="宋体" w:hAnsi="宋体" w:cs="宋体"/>
          <w:b/>
          <w:szCs w:val="21"/>
          <w:highlight w:val="none"/>
        </w:rPr>
        <w:t>（五）投标保证金</w:t>
      </w:r>
      <w:bookmarkEnd w:id="98"/>
      <w:bookmarkEnd w:id="99"/>
      <w:bookmarkEnd w:id="100"/>
      <w:bookmarkEnd w:id="101"/>
      <w:bookmarkEnd w:id="102"/>
      <w:r>
        <w:rPr>
          <w:rFonts w:hint="eastAsia" w:ascii="宋体" w:hAnsi="宋体" w:cs="宋体"/>
          <w:b/>
          <w:szCs w:val="21"/>
          <w:highlight w:val="none"/>
        </w:rPr>
        <w:t>（无）</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1.投标人须按规定提交投标保证金。否则，其投标将被拒绝。</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2.投标保证金的形式：银行转账或电汇。</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3.投标保证金的金额（人民币）：/</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4.投标人须于投标截止时间前将投标保证金从单位基本账户转账或电汇到以下账户（逾期不予受理，因此投标人在交纳投标保证金时应充分考虑保证金到达账户上的时间）。</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开户名称：/</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开户银行：/</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银行账号：/</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5.未中标人的投标保证金在中标通知书发出后5个工作日内退还。</w:t>
      </w:r>
    </w:p>
    <w:p>
      <w:pPr>
        <w:snapToGrid w:val="0"/>
        <w:spacing w:line="400" w:lineRule="exact"/>
        <w:ind w:firstLine="630" w:firstLineChars="300"/>
        <w:jc w:val="left"/>
        <w:rPr>
          <w:rFonts w:ascii="宋体" w:hAnsi="宋体" w:cs="宋体"/>
          <w:szCs w:val="21"/>
          <w:highlight w:val="none"/>
        </w:rPr>
      </w:pPr>
      <w:r>
        <w:rPr>
          <w:rFonts w:hint="eastAsia" w:ascii="宋体" w:hAnsi="宋体" w:cs="宋体"/>
          <w:szCs w:val="21"/>
          <w:highlight w:val="none"/>
        </w:rPr>
        <w:t>6.中标人的投标保证金将在交易中心收到</w:t>
      </w:r>
      <w:r>
        <w:rPr>
          <w:rFonts w:hint="eastAsia" w:ascii="宋体" w:hAnsi="宋体" w:cs="宋体"/>
          <w:highlight w:val="none"/>
        </w:rPr>
        <w:t>中标人支付履约保证金证明复印件和</w:t>
      </w:r>
      <w:r>
        <w:rPr>
          <w:rFonts w:hint="eastAsia" w:ascii="宋体" w:hAnsi="宋体" w:cs="宋体"/>
          <w:szCs w:val="21"/>
          <w:highlight w:val="none"/>
        </w:rPr>
        <w:t>中标人与采购人签订的采购合同副本1份后5个工作日之内予以退还。</w:t>
      </w:r>
    </w:p>
    <w:p>
      <w:pPr>
        <w:snapToGrid w:val="0"/>
        <w:spacing w:line="400" w:lineRule="exact"/>
        <w:ind w:firstLine="630" w:firstLineChars="300"/>
        <w:jc w:val="left"/>
        <w:rPr>
          <w:rFonts w:ascii="宋体" w:hAnsi="宋体" w:cs="宋体"/>
          <w:b/>
          <w:szCs w:val="21"/>
          <w:highlight w:val="none"/>
        </w:rPr>
      </w:pPr>
      <w:r>
        <w:rPr>
          <w:rFonts w:hint="eastAsia" w:ascii="宋体" w:hAnsi="宋体" w:cs="宋体"/>
          <w:szCs w:val="21"/>
          <w:highlight w:val="none"/>
        </w:rPr>
        <w:t>7.保证金不计息。</w:t>
      </w:r>
    </w:p>
    <w:p>
      <w:pPr>
        <w:snapToGrid w:val="0"/>
        <w:spacing w:line="400" w:lineRule="exact"/>
        <w:ind w:firstLine="413" w:firstLineChars="196"/>
        <w:jc w:val="left"/>
        <w:rPr>
          <w:rFonts w:ascii="宋体" w:hAnsi="宋体" w:cs="宋体"/>
          <w:b/>
          <w:bCs/>
          <w:szCs w:val="21"/>
          <w:highlight w:val="none"/>
        </w:rPr>
      </w:pPr>
      <w:r>
        <w:rPr>
          <w:rFonts w:hint="eastAsia" w:ascii="宋体" w:hAnsi="宋体" w:cs="宋体"/>
          <w:b/>
          <w:bCs/>
          <w:szCs w:val="21"/>
          <w:highlight w:val="none"/>
        </w:rPr>
        <w:t>8.投标人有下列情形之一的，投标保证金将不予退还：</w:t>
      </w:r>
    </w:p>
    <w:p>
      <w:pPr>
        <w:snapToGrid w:val="0"/>
        <w:spacing w:line="400" w:lineRule="exact"/>
        <w:ind w:firstLine="411" w:firstLineChars="196"/>
        <w:jc w:val="left"/>
        <w:rPr>
          <w:rFonts w:ascii="宋体" w:hAnsi="宋体" w:cs="宋体"/>
          <w:szCs w:val="21"/>
          <w:highlight w:val="none"/>
        </w:rPr>
      </w:pPr>
      <w:r>
        <w:rPr>
          <w:rFonts w:hint="eastAsia" w:ascii="宋体" w:hAnsi="宋体" w:cs="宋体"/>
          <w:szCs w:val="21"/>
          <w:highlight w:val="none"/>
        </w:rPr>
        <w:t>（1）投标人在投标有效期内撤回投标文件的；</w:t>
      </w:r>
    </w:p>
    <w:p>
      <w:pPr>
        <w:snapToGrid w:val="0"/>
        <w:spacing w:line="400" w:lineRule="exact"/>
        <w:ind w:firstLine="411" w:firstLineChars="196"/>
        <w:jc w:val="left"/>
        <w:rPr>
          <w:rFonts w:ascii="宋体" w:hAnsi="宋体" w:cs="宋体"/>
          <w:szCs w:val="21"/>
          <w:highlight w:val="none"/>
        </w:rPr>
      </w:pPr>
      <w:r>
        <w:rPr>
          <w:rFonts w:hint="eastAsia" w:ascii="宋体" w:hAnsi="宋体" w:cs="宋体"/>
          <w:szCs w:val="21"/>
          <w:highlight w:val="none"/>
        </w:rPr>
        <w:t>（2）投标人未按规定提交履约保证金的；</w:t>
      </w:r>
    </w:p>
    <w:p>
      <w:pPr>
        <w:snapToGrid w:val="0"/>
        <w:spacing w:line="400" w:lineRule="exact"/>
        <w:ind w:firstLine="411" w:firstLineChars="196"/>
        <w:jc w:val="left"/>
        <w:rPr>
          <w:rFonts w:ascii="宋体" w:hAnsi="宋体" w:cs="宋体"/>
          <w:szCs w:val="21"/>
          <w:highlight w:val="none"/>
        </w:rPr>
      </w:pPr>
      <w:r>
        <w:rPr>
          <w:rFonts w:hint="eastAsia" w:ascii="宋体" w:hAnsi="宋体" w:cs="宋体"/>
          <w:szCs w:val="21"/>
          <w:highlight w:val="none"/>
        </w:rPr>
        <w:t>（3）投标人在投标过程中弄虚作假，提供虚假材料的；</w:t>
      </w:r>
    </w:p>
    <w:p>
      <w:pPr>
        <w:snapToGrid w:val="0"/>
        <w:spacing w:line="400" w:lineRule="exact"/>
        <w:ind w:firstLine="411" w:firstLineChars="196"/>
        <w:rPr>
          <w:rFonts w:ascii="宋体" w:hAnsi="宋体" w:cs="宋体"/>
          <w:szCs w:val="21"/>
          <w:highlight w:val="none"/>
        </w:rPr>
      </w:pPr>
      <w:r>
        <w:rPr>
          <w:rFonts w:hint="eastAsia" w:ascii="宋体" w:hAnsi="宋体" w:cs="宋体"/>
          <w:szCs w:val="21"/>
          <w:highlight w:val="none"/>
        </w:rPr>
        <w:t>（4）中标人无正当理由不与采购人签订合同的；</w:t>
      </w:r>
    </w:p>
    <w:p>
      <w:pPr>
        <w:snapToGrid w:val="0"/>
        <w:spacing w:line="400" w:lineRule="exact"/>
        <w:ind w:firstLine="411" w:firstLineChars="196"/>
        <w:rPr>
          <w:rFonts w:ascii="宋体" w:hAnsi="宋体" w:cs="宋体"/>
          <w:szCs w:val="21"/>
          <w:highlight w:val="none"/>
        </w:rPr>
      </w:pPr>
      <w:r>
        <w:rPr>
          <w:rFonts w:hint="eastAsia" w:ascii="宋体" w:hAnsi="宋体" w:cs="宋体"/>
          <w:szCs w:val="21"/>
          <w:highlight w:val="none"/>
        </w:rPr>
        <w:t>（5）中标人</w:t>
      </w:r>
      <w:r>
        <w:rPr>
          <w:rFonts w:hint="eastAsia" w:ascii="宋体" w:hAnsi="宋体" w:cs="宋体"/>
          <w:bCs/>
          <w:szCs w:val="21"/>
          <w:highlight w:val="none"/>
        </w:rPr>
        <w:t>将中标项目转让给他人或者在投标文件中未说明且未经采购人同意，将中标项目分包给他人的；</w:t>
      </w:r>
    </w:p>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（6）中标人拒绝履行合同义务的；</w:t>
      </w:r>
    </w:p>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（7）投标人有其他严重扰乱招投标程序的。</w:t>
      </w:r>
    </w:p>
    <w:p>
      <w:pPr>
        <w:snapToGrid w:val="0"/>
        <w:spacing w:before="120" w:beforeLines="50" w:line="400" w:lineRule="exact"/>
        <w:ind w:firstLine="413" w:firstLineChars="196"/>
        <w:jc w:val="left"/>
        <w:outlineLvl w:val="0"/>
        <w:rPr>
          <w:rFonts w:ascii="宋体" w:hAnsi="宋体" w:cs="宋体"/>
          <w:b/>
          <w:szCs w:val="21"/>
          <w:highlight w:val="none"/>
        </w:rPr>
      </w:pPr>
      <w:bookmarkStart w:id="103" w:name="_Toc254970683"/>
      <w:bookmarkStart w:id="104" w:name="_Toc430109952"/>
      <w:bookmarkStart w:id="105" w:name="_Toc430110145"/>
      <w:bookmarkStart w:id="106" w:name="_Toc254970542"/>
      <w:bookmarkStart w:id="107" w:name="_Toc430110270"/>
      <w:r>
        <w:rPr>
          <w:rFonts w:hint="eastAsia" w:ascii="宋体" w:hAnsi="宋体" w:cs="宋体"/>
          <w:b/>
          <w:szCs w:val="21"/>
          <w:highlight w:val="none"/>
        </w:rPr>
        <w:t>（六）投标文件的签署和份数</w:t>
      </w:r>
      <w:bookmarkEnd w:id="103"/>
      <w:bookmarkEnd w:id="104"/>
      <w:bookmarkEnd w:id="105"/>
      <w:bookmarkEnd w:id="106"/>
      <w:bookmarkEnd w:id="107"/>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2.投标人应</w:t>
      </w:r>
      <w:r>
        <w:rPr>
          <w:rFonts w:hint="eastAsia" w:ascii="宋体" w:hAnsi="宋体" w:cs="宋体"/>
          <w:szCs w:val="21"/>
          <w:highlight w:val="none"/>
          <w:lang w:eastAsia="zh-CN"/>
        </w:rPr>
        <w:t>将</w:t>
      </w:r>
      <w:r>
        <w:rPr>
          <w:rFonts w:hint="eastAsia" w:ascii="宋体" w:hAnsi="宋体" w:cs="宋体"/>
          <w:szCs w:val="21"/>
          <w:highlight w:val="none"/>
        </w:rPr>
        <w:t>报价文件、</w:t>
      </w:r>
      <w:r>
        <w:rPr>
          <w:rFonts w:hint="eastAsia" w:ascii="宋体" w:hAnsi="宋体" w:cs="宋体"/>
          <w:szCs w:val="21"/>
          <w:highlight w:val="none"/>
          <w:lang w:eastAsia="zh-CN"/>
        </w:rPr>
        <w:t>资格文件</w:t>
      </w:r>
      <w:r>
        <w:rPr>
          <w:rFonts w:hint="eastAsia" w:ascii="宋体" w:hAnsi="宋体" w:cs="宋体"/>
          <w:szCs w:val="21"/>
          <w:highlight w:val="none"/>
        </w:rPr>
        <w:t>、商务文件按顺序合并装订成</w:t>
      </w:r>
      <w:r>
        <w:rPr>
          <w:rFonts w:hint="eastAsia" w:ascii="宋体" w:hAnsi="宋体" w:cs="宋体"/>
          <w:szCs w:val="21"/>
          <w:highlight w:val="none"/>
          <w:lang w:eastAsia="zh-CN"/>
        </w:rPr>
        <w:t>一</w:t>
      </w:r>
      <w:r>
        <w:rPr>
          <w:rFonts w:hint="eastAsia" w:ascii="宋体" w:hAnsi="宋体" w:cs="宋体"/>
          <w:szCs w:val="21"/>
          <w:highlight w:val="none"/>
        </w:rPr>
        <w:t>册，技术文件单独装订成</w:t>
      </w:r>
      <w:r>
        <w:rPr>
          <w:rFonts w:hint="eastAsia" w:ascii="宋体" w:hAnsi="宋体" w:cs="宋体"/>
          <w:szCs w:val="21"/>
          <w:highlight w:val="none"/>
          <w:lang w:eastAsia="zh-CN"/>
        </w:rPr>
        <w:t>一</w:t>
      </w:r>
      <w:r>
        <w:rPr>
          <w:rFonts w:hint="eastAsia" w:ascii="宋体" w:hAnsi="宋体" w:cs="宋体"/>
          <w:szCs w:val="21"/>
          <w:highlight w:val="none"/>
        </w:rPr>
        <w:t>册</w:t>
      </w:r>
      <w:r>
        <w:rPr>
          <w:rFonts w:hint="eastAsia" w:ascii="宋体" w:hAnsi="宋体" w:cs="宋体"/>
          <w:szCs w:val="21"/>
          <w:highlight w:val="none"/>
          <w:lang w:val="en-US" w:eastAsia="zh-CN"/>
        </w:rPr>
        <w:t>,</w:t>
      </w:r>
      <w:r>
        <w:rPr>
          <w:rFonts w:hint="eastAsia" w:ascii="宋体" w:hAnsi="宋体" w:cs="宋体"/>
          <w:szCs w:val="21"/>
          <w:highlight w:val="none"/>
        </w:rPr>
        <w:t>正本各一份，副本各四份，投标文件的封面应注明“正本”、“副本”字样。活页装订的投标文件将被拒绝。</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3.投标文件的正本需打印或用不褪色的墨水填写，投标文件正本除本《投标人须知》中规定的可提供复印件外均须提供原件。副本可以是正本的复印件。</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4.投标文件须由投标人在规定位置加盖单位公章并由法定代表人(负责人）或法定代表人(负责人）的授权委托人签署，投标人应写全称。</w:t>
      </w:r>
    </w:p>
    <w:p>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5.投标文件不得涂改，若有修改错漏处，须加盖单位公章或者法定代表人(负责人）或授权委托人签字。投标文件因字迹潦草或表达不清所引起的后果由投标人负责。</w:t>
      </w:r>
    </w:p>
    <w:p>
      <w:pPr>
        <w:snapToGrid w:val="0"/>
        <w:spacing w:before="120" w:beforeLines="50" w:line="400" w:lineRule="exact"/>
        <w:ind w:firstLine="310" w:firstLineChars="147"/>
        <w:jc w:val="left"/>
        <w:rPr>
          <w:rFonts w:ascii="宋体" w:hAnsi="宋体" w:cs="宋体"/>
          <w:b/>
          <w:szCs w:val="21"/>
          <w:highlight w:val="none"/>
        </w:rPr>
      </w:pPr>
      <w:r>
        <w:rPr>
          <w:rFonts w:hint="eastAsia" w:ascii="宋体" w:hAnsi="宋体" w:cs="宋体"/>
          <w:b/>
          <w:szCs w:val="21"/>
          <w:highlight w:val="none"/>
        </w:rPr>
        <w:t>（七）投标文件的包装、递交、修改和撤回</w:t>
      </w:r>
    </w:p>
    <w:p>
      <w:pPr>
        <w:snapToGrid w:val="0"/>
        <w:spacing w:line="400" w:lineRule="exact"/>
        <w:ind w:firstLine="420"/>
        <w:jc w:val="left"/>
        <w:rPr>
          <w:highlight w:val="none"/>
        </w:rPr>
      </w:pPr>
      <w:r>
        <w:rPr>
          <w:rFonts w:hint="eastAsia" w:ascii="宋体" w:hAnsi="宋体" w:cs="宋体"/>
          <w:szCs w:val="21"/>
          <w:highlight w:val="none"/>
        </w:rPr>
        <w:t>1.投标人应按报价文件、</w:t>
      </w:r>
      <w:r>
        <w:rPr>
          <w:rFonts w:hint="eastAsia" w:ascii="宋体" w:hAnsi="宋体" w:cs="宋体"/>
          <w:szCs w:val="21"/>
          <w:highlight w:val="none"/>
          <w:lang w:eastAsia="zh-CN"/>
        </w:rPr>
        <w:t>资格文件</w:t>
      </w:r>
      <w:r>
        <w:rPr>
          <w:rFonts w:hint="eastAsia" w:ascii="宋体" w:hAnsi="宋体" w:cs="宋体"/>
          <w:szCs w:val="21"/>
          <w:highlight w:val="none"/>
        </w:rPr>
        <w:t>、</w:t>
      </w:r>
      <w:r>
        <w:rPr>
          <w:rFonts w:ascii="宋体" w:hAnsi="宋体" w:cs="宋体"/>
          <w:spacing w:val="-3"/>
          <w:highlight w:val="none"/>
        </w:rPr>
        <w:t>商</w:t>
      </w:r>
      <w:r>
        <w:rPr>
          <w:rFonts w:ascii="宋体" w:hAnsi="宋体" w:cs="宋体"/>
          <w:spacing w:val="-1"/>
          <w:highlight w:val="none"/>
        </w:rPr>
        <w:t>务</w:t>
      </w:r>
      <w:r>
        <w:rPr>
          <w:rFonts w:ascii="宋体" w:hAnsi="宋体" w:cs="宋体"/>
          <w:spacing w:val="-3"/>
          <w:highlight w:val="none"/>
        </w:rPr>
        <w:t>文</w:t>
      </w:r>
      <w:r>
        <w:rPr>
          <w:rFonts w:ascii="宋体" w:hAnsi="宋体" w:cs="宋体"/>
          <w:spacing w:val="-1"/>
          <w:highlight w:val="none"/>
        </w:rPr>
        <w:t>件</w:t>
      </w:r>
      <w:r>
        <w:rPr>
          <w:rFonts w:hint="eastAsia" w:ascii="宋体" w:hAnsi="宋体" w:cs="宋体"/>
          <w:spacing w:val="-1"/>
          <w:highlight w:val="none"/>
        </w:rPr>
        <w:t>装订一册</w:t>
      </w:r>
      <w:r>
        <w:rPr>
          <w:rFonts w:hint="eastAsia" w:ascii="宋体" w:hAnsi="宋体" w:cs="宋体"/>
          <w:szCs w:val="21"/>
          <w:highlight w:val="none"/>
        </w:rPr>
        <w:t>，</w:t>
      </w:r>
      <w:r>
        <w:rPr>
          <w:rFonts w:ascii="宋体" w:hAnsi="宋体" w:cs="宋体"/>
          <w:spacing w:val="-2"/>
          <w:highlight w:val="none"/>
        </w:rPr>
        <w:t>技</w:t>
      </w:r>
      <w:r>
        <w:rPr>
          <w:rFonts w:ascii="宋体" w:hAnsi="宋体" w:cs="宋体"/>
          <w:highlight w:val="none"/>
        </w:rPr>
        <w:t>术</w:t>
      </w:r>
      <w:r>
        <w:rPr>
          <w:rFonts w:ascii="宋体" w:hAnsi="宋体" w:cs="宋体"/>
          <w:spacing w:val="-2"/>
          <w:highlight w:val="none"/>
        </w:rPr>
        <w:t>文</w:t>
      </w:r>
      <w:r>
        <w:rPr>
          <w:rFonts w:ascii="宋体" w:hAnsi="宋体" w:cs="宋体"/>
          <w:highlight w:val="none"/>
        </w:rPr>
        <w:t>件</w:t>
      </w:r>
      <w:r>
        <w:rPr>
          <w:rFonts w:hint="eastAsia" w:ascii="宋体" w:hAnsi="宋体" w:cs="宋体"/>
          <w:highlight w:val="none"/>
        </w:rPr>
        <w:t>装订一册，</w:t>
      </w:r>
      <w:r>
        <w:rPr>
          <w:rFonts w:hint="eastAsia" w:ascii="宋体" w:hAnsi="宋体" w:cs="宋体"/>
          <w:szCs w:val="21"/>
          <w:highlight w:val="none"/>
        </w:rPr>
        <w:t>其中《开标一览表》（格式见附件）应单独用小信封密封,再与其他投标文件一起包封，最后提交时应为一个密封袋。</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投标文件的包装封面上应注明：投标人名称、投标人地址、投标文件名称（报价文件、</w:t>
      </w:r>
      <w:r>
        <w:rPr>
          <w:rFonts w:hint="eastAsia" w:ascii="宋体" w:hAnsi="宋体" w:cs="宋体"/>
          <w:szCs w:val="21"/>
          <w:highlight w:val="none"/>
          <w:lang w:eastAsia="zh-CN"/>
        </w:rPr>
        <w:t>资格文件</w:t>
      </w:r>
      <w:r>
        <w:rPr>
          <w:rFonts w:hint="eastAsia" w:ascii="宋体" w:hAnsi="宋体" w:cs="宋体"/>
          <w:szCs w:val="21"/>
          <w:highlight w:val="none"/>
        </w:rPr>
        <w:t>、</w:t>
      </w:r>
      <w:r>
        <w:rPr>
          <w:rFonts w:ascii="宋体" w:hAnsi="宋体" w:cs="宋体"/>
          <w:spacing w:val="-3"/>
          <w:highlight w:val="none"/>
        </w:rPr>
        <w:t>商</w:t>
      </w:r>
      <w:r>
        <w:rPr>
          <w:rFonts w:ascii="宋体" w:hAnsi="宋体" w:cs="宋体"/>
          <w:spacing w:val="-1"/>
          <w:highlight w:val="none"/>
        </w:rPr>
        <w:t>务</w:t>
      </w:r>
      <w:r>
        <w:rPr>
          <w:rFonts w:ascii="宋体" w:hAnsi="宋体" w:cs="宋体"/>
          <w:spacing w:val="-3"/>
          <w:highlight w:val="none"/>
        </w:rPr>
        <w:t>文</w:t>
      </w:r>
      <w:r>
        <w:rPr>
          <w:rFonts w:ascii="宋体" w:hAnsi="宋体" w:cs="宋体"/>
          <w:spacing w:val="-1"/>
          <w:highlight w:val="none"/>
        </w:rPr>
        <w:t>件</w:t>
      </w:r>
      <w:r>
        <w:rPr>
          <w:rFonts w:hint="eastAsia" w:ascii="宋体" w:hAnsi="宋体" w:cs="宋体"/>
          <w:szCs w:val="21"/>
          <w:highlight w:val="none"/>
        </w:rPr>
        <w:t>、</w:t>
      </w:r>
      <w:r>
        <w:rPr>
          <w:rFonts w:ascii="宋体" w:hAnsi="宋体" w:cs="宋体"/>
          <w:spacing w:val="-2"/>
          <w:highlight w:val="none"/>
        </w:rPr>
        <w:t>技</w:t>
      </w:r>
      <w:r>
        <w:rPr>
          <w:rFonts w:ascii="宋体" w:hAnsi="宋体" w:cs="宋体"/>
          <w:highlight w:val="none"/>
        </w:rPr>
        <w:t>术</w:t>
      </w:r>
      <w:r>
        <w:rPr>
          <w:rFonts w:ascii="宋体" w:hAnsi="宋体" w:cs="宋体"/>
          <w:spacing w:val="-2"/>
          <w:highlight w:val="none"/>
        </w:rPr>
        <w:t>文</w:t>
      </w:r>
      <w:r>
        <w:rPr>
          <w:rFonts w:ascii="宋体" w:hAnsi="宋体" w:cs="宋体"/>
          <w:highlight w:val="none"/>
        </w:rPr>
        <w:t>件</w:t>
      </w:r>
      <w:r>
        <w:rPr>
          <w:rFonts w:ascii="宋体" w:hAnsi="宋体" w:cs="宋体"/>
          <w:spacing w:val="-11"/>
          <w:highlight w:val="none"/>
        </w:rPr>
        <w:t>、</w:t>
      </w:r>
      <w:r>
        <w:rPr>
          <w:rFonts w:hint="eastAsia" w:ascii="宋体" w:hAnsi="宋体" w:cs="宋体"/>
          <w:szCs w:val="21"/>
          <w:highlight w:val="none"/>
        </w:rPr>
        <w:t>开标一览表等）、投标项目名称、项目编号及“开标时启封”字样，并加盖投标人公章。</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2.逾期送达或投标文件的包装未按要求密封、盖章、标记的将予以拒收或作无效投标文件处理，由此造成的风险由投标人承担。</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3.投标人在投标截止时间之前，可以对已提交的投标文件进行修改或撤回，并书面通知招标采购单位；投标时间截止后，投标人不得撤回、修改投标文件。修改后重新递交的投标文件应当按本招标文件的要求签署、盖章和密封。</w:t>
      </w:r>
    </w:p>
    <w:p>
      <w:pPr>
        <w:snapToGrid w:val="0"/>
        <w:spacing w:before="120" w:beforeLines="50" w:line="400" w:lineRule="exact"/>
        <w:ind w:firstLine="413" w:firstLineChars="196"/>
        <w:outlineLvl w:val="2"/>
        <w:rPr>
          <w:rFonts w:ascii="宋体" w:hAnsi="宋体" w:cs="宋体"/>
          <w:b/>
          <w:szCs w:val="21"/>
          <w:highlight w:val="none"/>
        </w:rPr>
      </w:pPr>
      <w:bookmarkStart w:id="108" w:name="_Toc430110146"/>
      <w:bookmarkStart w:id="109" w:name="_Toc254970543"/>
      <w:bookmarkStart w:id="110" w:name="_Toc254970684"/>
      <w:r>
        <w:rPr>
          <w:rFonts w:hint="eastAsia" w:ascii="宋体" w:hAnsi="宋体" w:cs="宋体"/>
          <w:b/>
          <w:szCs w:val="21"/>
          <w:highlight w:val="none"/>
        </w:rPr>
        <w:t>（八）投标无效的情形</w:t>
      </w:r>
      <w:bookmarkEnd w:id="108"/>
      <w:bookmarkEnd w:id="109"/>
      <w:bookmarkEnd w:id="110"/>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13" w:firstLineChars="196"/>
        <w:rPr>
          <w:rFonts w:ascii="宋体" w:hAnsi="宋体" w:cs="宋体"/>
          <w:b/>
          <w:bCs/>
          <w:szCs w:val="21"/>
          <w:highlight w:val="none"/>
        </w:rPr>
      </w:pPr>
      <w:r>
        <w:rPr>
          <w:rFonts w:hint="eastAsia" w:ascii="宋体" w:hAnsi="宋体" w:cs="宋体"/>
          <w:b/>
          <w:bCs/>
          <w:szCs w:val="21"/>
          <w:highlight w:val="none"/>
        </w:rPr>
        <w:t>1.在符合性审查和资格性审查时，如发现有下列情形之一的，投标文件将被视为无效：</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（1）投标人</w:t>
      </w:r>
      <w:r>
        <w:rPr>
          <w:rFonts w:hint="eastAsia" w:ascii="宋体" w:hAnsi="宋体" w:eastAsia="宋体" w:cs="宋体"/>
          <w:sz w:val="21"/>
          <w:szCs w:val="21"/>
          <w:highlight w:val="none"/>
          <w:lang w:eastAsia="zh-CN"/>
        </w:rPr>
        <w:t>资格文件</w:t>
      </w:r>
      <w:r>
        <w:rPr>
          <w:rFonts w:hint="eastAsia" w:ascii="宋体" w:hAnsi="宋体" w:eastAsia="宋体" w:cs="宋体"/>
          <w:sz w:val="21"/>
          <w:szCs w:val="21"/>
          <w:highlight w:val="none"/>
        </w:rPr>
        <w:t>不全的，或者不符合招标文件标明的资格要求的。</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2）投标人的投标文件无法定代表人(负责人）签字、或由委托代理人签字但未提供法定代表人(负责人）授权委托书，未提供投标声明书或者填写实质性要求项目不齐全的，或未按招标文件规定要求签署、盖章的。</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 xml:space="preserve">（3投标人的投标代表未能出具身份证明或与法定代表人(负责人）授权委托人身份不符的。 </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（4）投标人的投标文件项目不齐全或者内容虚假的。</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（5）投标人的投标文件的实质性内容未使用中文表述、意思表述不明确、前后矛盾或者使用计量单位不符合招标文件要求的（经评标委员会认定并允许其当场更正的笔误除外）。</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（6）投标人的投标有效期、服务时间等商务条款不能满足招标文件要求的。</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（7）投标人未实质性响应招标文件或不符合法律、法规要求或投标文件有招标方不能接受的附加条件的。</w:t>
      </w:r>
    </w:p>
    <w:p>
      <w:pPr>
        <w:pStyle w:val="21"/>
        <w:snapToGrid w:val="0"/>
        <w:spacing w:line="400" w:lineRule="exact"/>
        <w:ind w:firstLine="413" w:firstLineChars="196"/>
        <w:rPr>
          <w:rFonts w:ascii="宋体" w:hAnsi="宋体" w:eastAsia="宋体" w:cs="宋体"/>
          <w:b/>
          <w:bCs/>
          <w:sz w:val="21"/>
          <w:szCs w:val="21"/>
          <w:highlight w:val="none"/>
        </w:rPr>
      </w:pPr>
      <w:r>
        <w:rPr>
          <w:rFonts w:hint="eastAsia" w:ascii="宋体" w:hAnsi="宋体" w:eastAsia="宋体" w:cs="宋体"/>
          <w:b/>
          <w:bCs/>
          <w:sz w:val="21"/>
          <w:szCs w:val="21"/>
          <w:highlight w:val="none"/>
        </w:rPr>
        <w:t>2.在技术评审时，如发现下列情形之一的，投标文件将被视为无效：</w:t>
      </w:r>
    </w:p>
    <w:p>
      <w:pPr>
        <w:pStyle w:val="21"/>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（1）投标人未提供或未如实提供投标服务的内容，或者投标文件标明的响应或偏离与事实不符或虚假投标的。</w:t>
      </w:r>
    </w:p>
    <w:p>
      <w:pPr>
        <w:pStyle w:val="21"/>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（2）投标人的投标文件明显不符合招标文件要求的服务内容、质量标准，或者与招标文件中标“★”的项目需求、发生实质性偏离的。</w:t>
      </w:r>
    </w:p>
    <w:p>
      <w:pPr>
        <w:pStyle w:val="21"/>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（3）明显不符合招标文件要求的规格尺寸、质量标准，或者与招标文件中标“★”的任何一项技术指标、主要功能项目或技术要求发生实质性负偏离的。</w:t>
      </w:r>
    </w:p>
    <w:p>
      <w:pPr>
        <w:pStyle w:val="21"/>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（4）投标人的投标技术方案不明确，存在一个或一个以上备选（替代）投标方案的。</w:t>
      </w:r>
    </w:p>
    <w:p>
      <w:pPr>
        <w:pStyle w:val="21"/>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（5）投标人的投标文件与其他参加本次投标供应商的投标文件（技术文件）的文字表述内容相同连续20行以上或者差错相同2处以上的。</w:t>
      </w:r>
    </w:p>
    <w:p>
      <w:pPr>
        <w:pStyle w:val="21"/>
        <w:snapToGrid w:val="0"/>
        <w:spacing w:line="400" w:lineRule="exact"/>
        <w:ind w:firstLine="413" w:firstLineChars="196"/>
        <w:rPr>
          <w:rFonts w:ascii="宋体" w:hAnsi="宋体" w:eastAsia="宋体" w:cs="宋体"/>
          <w:b/>
          <w:bCs/>
          <w:sz w:val="21"/>
          <w:szCs w:val="21"/>
          <w:highlight w:val="none"/>
        </w:rPr>
      </w:pPr>
      <w:r>
        <w:rPr>
          <w:rFonts w:hint="eastAsia" w:ascii="宋体" w:hAnsi="宋体" w:eastAsia="宋体" w:cs="宋体"/>
          <w:b/>
          <w:bCs/>
          <w:sz w:val="21"/>
          <w:szCs w:val="21"/>
          <w:highlight w:val="none"/>
        </w:rPr>
        <w:t>3.在报价评审时，如发现下列情形之一的，投标文件将被视为无效：</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（1）投标人未采用人民币报价或者未按照招标文件标明的币种报价的；</w:t>
      </w:r>
    </w:p>
    <w:p>
      <w:pPr>
        <w:pStyle w:val="21"/>
        <w:snapToGrid w:val="0"/>
        <w:spacing w:line="400" w:lineRule="exact"/>
        <w:ind w:firstLine="411" w:firstLineChars="196"/>
        <w:rPr>
          <w:rFonts w:ascii="宋体" w:hAnsi="宋体" w:eastAsia="宋体" w:cs="宋体"/>
          <w:sz w:val="21"/>
          <w:szCs w:val="21"/>
          <w:highlight w:val="none"/>
        </w:rPr>
      </w:pPr>
      <w:r>
        <w:rPr>
          <w:rFonts w:hint="eastAsia" w:ascii="宋体" w:hAnsi="宋体" w:eastAsia="宋体" w:cs="宋体"/>
          <w:sz w:val="21"/>
          <w:szCs w:val="21"/>
          <w:highlight w:val="none"/>
        </w:rPr>
        <w:t>（2）投标人的报价超出最高限价，或者超出采购预算金额，采购人不能支付的；</w:t>
      </w:r>
    </w:p>
    <w:p>
      <w:pPr>
        <w:pStyle w:val="21"/>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（3）投标人的投标报价具有选择性，或者开标价格与投标文件承诺的优惠（折扣）价格不一致的。</w:t>
      </w:r>
    </w:p>
    <w:p>
      <w:pPr>
        <w:pStyle w:val="21"/>
        <w:snapToGrid w:val="0"/>
        <w:spacing w:line="400" w:lineRule="exact"/>
        <w:ind w:firstLine="413" w:firstLineChars="196"/>
        <w:rPr>
          <w:rFonts w:ascii="宋体" w:hAnsi="宋体" w:eastAsia="宋体" w:cs="宋体"/>
          <w:b/>
          <w:sz w:val="21"/>
          <w:szCs w:val="21"/>
          <w:highlight w:val="none"/>
        </w:rPr>
      </w:pPr>
      <w:r>
        <w:rPr>
          <w:rFonts w:hint="eastAsia" w:ascii="宋体" w:hAnsi="宋体" w:eastAsia="宋体" w:cs="宋体"/>
          <w:b/>
          <w:sz w:val="21"/>
          <w:szCs w:val="21"/>
          <w:highlight w:val="none"/>
        </w:rPr>
        <w:t>4.被拒绝的投标文件为无效投标。</w:t>
      </w:r>
    </w:p>
    <w:p>
      <w:pPr>
        <w:pStyle w:val="21"/>
        <w:snapToGrid w:val="0"/>
        <w:spacing w:line="400" w:lineRule="exact"/>
        <w:ind w:firstLine="413" w:firstLineChars="196"/>
        <w:outlineLvl w:val="1"/>
        <w:rPr>
          <w:rFonts w:ascii="宋体" w:hAnsi="宋体" w:eastAsia="宋体" w:cs="宋体"/>
          <w:b/>
          <w:snapToGrid w:val="0"/>
          <w:sz w:val="21"/>
          <w:szCs w:val="21"/>
          <w:highlight w:val="none"/>
        </w:rPr>
      </w:pPr>
      <w:bookmarkStart w:id="111" w:name="_Toc254970685"/>
      <w:bookmarkStart w:id="112" w:name="_Toc430110147"/>
      <w:bookmarkStart w:id="113" w:name="_Toc254970544"/>
      <w:r>
        <w:rPr>
          <w:rFonts w:hint="eastAsia" w:ascii="宋体" w:hAnsi="宋体" w:eastAsia="宋体" w:cs="宋体"/>
          <w:b/>
          <w:sz w:val="21"/>
          <w:szCs w:val="21"/>
          <w:highlight w:val="none"/>
        </w:rPr>
        <w:t>四、开标</w:t>
      </w:r>
      <w:bookmarkEnd w:id="111"/>
      <w:bookmarkEnd w:id="112"/>
      <w:bookmarkEnd w:id="113"/>
    </w:p>
    <w:p>
      <w:pPr>
        <w:pStyle w:val="26"/>
        <w:snapToGrid w:val="0"/>
        <w:spacing w:line="400" w:lineRule="exact"/>
        <w:ind w:firstLine="413" w:firstLineChars="196"/>
        <w:rPr>
          <w:rFonts w:hAnsi="宋体" w:cs="宋体"/>
          <w:b/>
          <w:sz w:val="21"/>
          <w:highlight w:val="none"/>
        </w:rPr>
      </w:pPr>
      <w:r>
        <w:rPr>
          <w:rFonts w:hint="eastAsia" w:hAnsi="宋体" w:cs="宋体"/>
          <w:b/>
          <w:sz w:val="21"/>
          <w:highlight w:val="none"/>
        </w:rPr>
        <w:t>（一）开标准备</w:t>
      </w:r>
    </w:p>
    <w:p>
      <w:pPr>
        <w:pStyle w:val="26"/>
        <w:snapToGrid w:val="0"/>
        <w:spacing w:line="400" w:lineRule="exact"/>
        <w:ind w:firstLine="420" w:firstLineChars="200"/>
        <w:rPr>
          <w:rFonts w:hAnsi="宋体" w:cs="宋体"/>
          <w:bCs/>
          <w:sz w:val="21"/>
          <w:highlight w:val="none"/>
        </w:rPr>
      </w:pPr>
      <w:r>
        <w:rPr>
          <w:rFonts w:hint="eastAsia" w:hAnsi="宋体" w:cs="宋体"/>
          <w:bCs/>
          <w:sz w:val="21"/>
          <w:highlight w:val="none"/>
        </w:rPr>
        <w:t>采购代理机构将在规定的时间和地点进行开标，投标人的法定代表人(负责人）或委托代理人必须持证件</w:t>
      </w:r>
      <w:r>
        <w:rPr>
          <w:rFonts w:hint="eastAsia" w:hAnsi="宋体" w:cs="宋体"/>
          <w:b/>
          <w:sz w:val="21"/>
          <w:highlight w:val="none"/>
        </w:rPr>
        <w:t>[法定代表人(负责人）须携带法定代表人(负责人）身份证明书原件（盖公章）、身份证原件出席；委托代理人须携带本人身份证原件、法定代表人(负责人）授权委托书原件（盖公章）出席]</w:t>
      </w:r>
      <w:r>
        <w:rPr>
          <w:rFonts w:hint="eastAsia" w:hAnsi="宋体" w:cs="宋体"/>
          <w:bCs/>
          <w:sz w:val="21"/>
          <w:highlight w:val="none"/>
        </w:rPr>
        <w:t>参加开标会并签到。投标时间截止后，参加投标的投标人不足三家的，应予废标。</w:t>
      </w:r>
    </w:p>
    <w:p>
      <w:pPr>
        <w:pStyle w:val="26"/>
        <w:snapToGrid w:val="0"/>
        <w:spacing w:line="400" w:lineRule="exact"/>
        <w:ind w:firstLine="413" w:firstLineChars="196"/>
        <w:rPr>
          <w:rFonts w:hAnsi="宋体" w:cs="宋体"/>
          <w:b/>
          <w:sz w:val="21"/>
          <w:highlight w:val="none"/>
        </w:rPr>
      </w:pPr>
      <w:r>
        <w:rPr>
          <w:rFonts w:hint="eastAsia" w:hAnsi="宋体" w:cs="宋体"/>
          <w:b/>
          <w:sz w:val="21"/>
          <w:highlight w:val="none"/>
        </w:rPr>
        <w:t>（二） 开标程序：</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1.开标会由采购代理机构主持，主持人宣布开标会议开始；</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 xml:space="preserve">2.主持人介绍参加开标会的人员名单； </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3.主持人宣布评标期间的有关事项，并告知应当回避的情形，提请有关人员回避；</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4.投标人或其当场推荐的代表及监督人员一同检查投标文件密封的完整性并签字确认；</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 xml:space="preserve">5. </w:t>
      </w:r>
      <w:r>
        <w:rPr>
          <w:rFonts w:hint="eastAsia" w:hAnsi="宋体"/>
          <w:highlight w:val="none"/>
        </w:rPr>
        <w:t>经确认无误后，由采购人或者采购代理机构工作人员按随机顺序当众拆封开标记录一览表，宣布投标人名称、投标价格和招标文件规定的需要宣布的其他内容</w:t>
      </w:r>
      <w:r>
        <w:rPr>
          <w:rFonts w:hint="eastAsia" w:ascii="宋体" w:hAnsi="宋体" w:cs="宋体"/>
          <w:szCs w:val="21"/>
          <w:highlight w:val="none"/>
        </w:rPr>
        <w:t>；</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6. 启封《开标一览表》，唱标；</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7.采购代理机构做开标记录，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8.</w:t>
      </w:r>
      <w:r>
        <w:rPr>
          <w:rFonts w:hint="eastAsia" w:hAnsi="宋体"/>
          <w:highlight w:val="none"/>
        </w:rPr>
        <w:t>投标人代表对开标过程和开标记录有疑义，以及认为采购人、采购代理机构相关工作人员有需要回避的情形的，应当场提出询问或者回避申请；</w:t>
      </w:r>
    </w:p>
    <w:p>
      <w:pPr>
        <w:snapToGrid w:val="0"/>
        <w:spacing w:line="400" w:lineRule="exact"/>
        <w:ind w:firstLine="420"/>
        <w:jc w:val="left"/>
        <w:rPr>
          <w:rFonts w:ascii="宋体" w:hAnsi="宋体" w:cs="宋体"/>
          <w:szCs w:val="21"/>
          <w:highlight w:val="none"/>
        </w:rPr>
      </w:pPr>
      <w:r>
        <w:rPr>
          <w:rFonts w:hint="eastAsia" w:ascii="宋体" w:hAnsi="宋体" w:cs="宋体"/>
          <w:szCs w:val="21"/>
          <w:highlight w:val="none"/>
        </w:rPr>
        <w:t>9.开标会议结束。</w:t>
      </w:r>
    </w:p>
    <w:p>
      <w:pPr>
        <w:pStyle w:val="26"/>
        <w:snapToGrid w:val="0"/>
        <w:spacing w:line="400" w:lineRule="exact"/>
        <w:ind w:left="772" w:leftChars="267" w:hanging="211" w:hangingChars="100"/>
        <w:outlineLvl w:val="1"/>
        <w:rPr>
          <w:rFonts w:hAnsi="宋体" w:cs="宋体"/>
          <w:b/>
          <w:sz w:val="21"/>
          <w:highlight w:val="none"/>
        </w:rPr>
      </w:pPr>
      <w:bookmarkStart w:id="114" w:name="_Toc430110148"/>
      <w:bookmarkStart w:id="115" w:name="_Toc254970545"/>
      <w:bookmarkStart w:id="116" w:name="_Toc254970686"/>
      <w:r>
        <w:rPr>
          <w:rFonts w:hint="eastAsia" w:hAnsi="宋体" w:cs="宋体"/>
          <w:b/>
          <w:sz w:val="21"/>
          <w:highlight w:val="none"/>
        </w:rPr>
        <w:t>五、评标</w:t>
      </w:r>
      <w:bookmarkEnd w:id="114"/>
      <w:bookmarkEnd w:id="115"/>
      <w:bookmarkEnd w:id="116"/>
    </w:p>
    <w:p>
      <w:pPr>
        <w:pStyle w:val="26"/>
        <w:snapToGrid w:val="0"/>
        <w:spacing w:line="400" w:lineRule="exact"/>
        <w:ind w:left="690" w:leftChars="228" w:hanging="211" w:hangingChars="100"/>
        <w:rPr>
          <w:rFonts w:hAnsi="宋体" w:cs="宋体"/>
          <w:b/>
          <w:sz w:val="21"/>
          <w:highlight w:val="none"/>
        </w:rPr>
      </w:pPr>
      <w:r>
        <w:rPr>
          <w:rFonts w:hint="eastAsia" w:hAnsi="宋体" w:cs="宋体"/>
          <w:b/>
          <w:sz w:val="21"/>
          <w:highlight w:val="none"/>
        </w:rPr>
        <w:t>（一）组建评标委员会</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本项目评标委员会由采购人代表1人和采购评审专家4人共5人组成。</w:t>
      </w:r>
    </w:p>
    <w:p>
      <w:pPr>
        <w:pStyle w:val="26"/>
        <w:snapToGrid w:val="0"/>
        <w:spacing w:line="400" w:lineRule="exact"/>
        <w:ind w:left="690" w:leftChars="228" w:hanging="211" w:hangingChars="100"/>
        <w:rPr>
          <w:rFonts w:hAnsi="宋体" w:cs="宋体"/>
          <w:b/>
          <w:sz w:val="21"/>
          <w:highlight w:val="none"/>
        </w:rPr>
      </w:pPr>
      <w:r>
        <w:rPr>
          <w:rFonts w:hint="eastAsia" w:hAnsi="宋体" w:cs="宋体"/>
          <w:b/>
          <w:sz w:val="21"/>
          <w:highlight w:val="none"/>
        </w:rPr>
        <w:t>（二）评标的方式</w:t>
      </w:r>
    </w:p>
    <w:p>
      <w:pPr>
        <w:pStyle w:val="26"/>
        <w:snapToGrid w:val="0"/>
        <w:spacing w:line="400" w:lineRule="exact"/>
        <w:ind w:left="689" w:leftChars="228" w:hanging="210" w:hangingChars="100"/>
        <w:rPr>
          <w:rFonts w:hAnsi="宋体" w:cs="宋体"/>
          <w:sz w:val="21"/>
          <w:highlight w:val="none"/>
        </w:rPr>
      </w:pPr>
      <w:r>
        <w:rPr>
          <w:rFonts w:hint="eastAsia" w:hAnsi="宋体" w:cs="宋体"/>
          <w:sz w:val="21"/>
          <w:highlight w:val="none"/>
        </w:rPr>
        <w:t>本项目采用不公开方式评标，评标的依据为招标文件和投标文件。</w:t>
      </w:r>
    </w:p>
    <w:p>
      <w:pPr>
        <w:pStyle w:val="26"/>
        <w:snapToGrid w:val="0"/>
        <w:spacing w:line="400" w:lineRule="exact"/>
        <w:ind w:left="690" w:leftChars="228" w:hanging="211" w:hangingChars="100"/>
        <w:rPr>
          <w:rFonts w:hAnsi="宋体" w:cs="宋体"/>
          <w:b/>
          <w:sz w:val="21"/>
          <w:highlight w:val="none"/>
        </w:rPr>
      </w:pPr>
      <w:r>
        <w:rPr>
          <w:rFonts w:hint="eastAsia" w:hAnsi="宋体" w:cs="宋体"/>
          <w:b/>
          <w:sz w:val="21"/>
          <w:highlight w:val="none"/>
        </w:rPr>
        <w:t>（三）</w:t>
      </w:r>
      <w:r>
        <w:rPr>
          <w:rFonts w:hint="eastAsia" w:hAnsi="宋体" w:cs="宋体"/>
          <w:b/>
          <w:bCs/>
          <w:sz w:val="21"/>
          <w:highlight w:val="none"/>
        </w:rPr>
        <w:t>评标程序</w:t>
      </w:r>
    </w:p>
    <w:p>
      <w:pPr>
        <w:snapToGrid w:val="0"/>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1.资格审查</w:t>
      </w:r>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采购人代表对投标人的资格文件进行审查，资格文件不符合要求的，资格审查不通过，不进入详细评审。</w:t>
      </w:r>
    </w:p>
    <w:p>
      <w:pPr>
        <w:snapToGrid w:val="0"/>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2.实质审查与比较</w:t>
      </w:r>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（1）评标委员会审查投标文件的实质性内容是否符合招标文件的实质性要求。</w:t>
      </w:r>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（2）评标委员会将根据投标人的投标文件进行审查、核对，如有疑问，将对投标人进行询标，投标人要向评标委员会澄清有关问题，并最终以书面形式进行答复。</w:t>
      </w:r>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投标人代表未到场或者拒绝澄清或者澄清的内容改变了投标文件的实质性内容的，评标委员会有权视该投标文件无效。</w:t>
      </w:r>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w:t>
      </w:r>
      <w:r>
        <w:rPr>
          <w:rFonts w:hint="eastAsia" w:ascii="宋体" w:hAnsi="宋体"/>
          <w:szCs w:val="21"/>
          <w:highlight w:val="none"/>
        </w:rPr>
        <w:t>评标委员会按照招标文件中规定的评标方法和标准，对符合性审查合格的投标文件进行商务和技术评估，综合比较与评价。</w:t>
      </w:r>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（4）投标人的技术得分为所有评委的有效评分的算术平均数，并指定专人进行计算复核。</w:t>
      </w:r>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（5）采购代理机构工作人员协助评标委员会根据本项目的评分标准计算各投标人的商务报价得分。</w:t>
      </w:r>
    </w:p>
    <w:p>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（6）评标委员会完成评标后，评委对各部分得分汇总，计算出本项目最终得分、性价比、评标价等。评标委员会按评标原则推荐中标候选人同时编写评标报告。</w:t>
      </w:r>
    </w:p>
    <w:p>
      <w:pPr>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（四）澄清问题的形式</w:t>
      </w:r>
    </w:p>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对投标文件中含义不明确、同类问题表述不一致或者有明显文字和计算错误的内容，评标委员会</w:t>
      </w:r>
      <w:r>
        <w:rPr>
          <w:rFonts w:hint="eastAsia" w:ascii="宋体" w:hAnsi="宋体"/>
          <w:szCs w:val="21"/>
          <w:highlight w:val="none"/>
        </w:rPr>
        <w:t>应当以书面形式要求</w:t>
      </w:r>
      <w:r>
        <w:rPr>
          <w:rFonts w:hint="eastAsia" w:ascii="宋体" w:hAnsi="宋体" w:cs="宋体"/>
          <w:szCs w:val="21"/>
          <w:highlight w:val="none"/>
        </w:rPr>
        <w:t>投标人作出必要的澄清、</w:t>
      </w:r>
      <w:r>
        <w:rPr>
          <w:rFonts w:hint="eastAsia" w:ascii="宋体" w:hAnsi="宋体"/>
          <w:szCs w:val="21"/>
          <w:highlight w:val="none"/>
        </w:rPr>
        <w:t>说明或者补正</w:t>
      </w:r>
      <w:r>
        <w:rPr>
          <w:rFonts w:hint="eastAsia" w:ascii="宋体" w:hAnsi="宋体" w:cs="宋体"/>
          <w:szCs w:val="21"/>
          <w:highlight w:val="none"/>
        </w:rPr>
        <w:t>。</w:t>
      </w:r>
    </w:p>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投标人的澄清、说明或者补正应当采用书面形式，</w:t>
      </w:r>
      <w:r>
        <w:rPr>
          <w:rFonts w:hint="eastAsia" w:ascii="宋体" w:hAnsi="宋体"/>
          <w:szCs w:val="21"/>
          <w:highlight w:val="none"/>
        </w:rPr>
        <w:t>并加盖公章，或者由法定代表人</w:t>
      </w:r>
      <w:r>
        <w:rPr>
          <w:rFonts w:hint="eastAsia" w:ascii="宋体" w:hAnsi="宋体" w:cs="宋体"/>
          <w:bCs/>
          <w:szCs w:val="21"/>
          <w:highlight w:val="none"/>
        </w:rPr>
        <w:t>(负责人）</w:t>
      </w:r>
      <w:r>
        <w:rPr>
          <w:rFonts w:hint="eastAsia" w:ascii="宋体" w:hAnsi="宋体"/>
          <w:szCs w:val="21"/>
          <w:highlight w:val="none"/>
        </w:rPr>
        <w:t>或其授权的代表签字。投标人的澄清、说明或者补正不得超出投标文件的范围或者改变投标文件的实质性内容。</w:t>
      </w:r>
    </w:p>
    <w:p>
      <w:pPr>
        <w:pStyle w:val="26"/>
        <w:snapToGrid w:val="0"/>
        <w:spacing w:line="400" w:lineRule="exact"/>
        <w:ind w:left="690" w:leftChars="228" w:hanging="211" w:hangingChars="100"/>
        <w:rPr>
          <w:rFonts w:hAnsi="宋体" w:cs="宋体"/>
          <w:b/>
          <w:sz w:val="21"/>
          <w:highlight w:val="none"/>
        </w:rPr>
      </w:pPr>
      <w:r>
        <w:rPr>
          <w:rFonts w:hint="eastAsia" w:hAnsi="宋体" w:cs="宋体"/>
          <w:b/>
          <w:sz w:val="21"/>
          <w:highlight w:val="none"/>
        </w:rPr>
        <w:t>（五）错误修正</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投标文件如果出现计算或表达上的错误，修正错误的原则如下：</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1.开标一览表总价与投标报价明细表汇总数不一致的，以开标一览表为准；</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2.投标文件的大写金额和小写金额不一致的，以大写金额为准；</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3.总价金额与按单价汇总金额不一致的，以单价金额计算结果为准；</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4.单价金额小数点有明显错误的，应以总价为准并修改单价；</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5.对不同文字文本的投标文件的解释发生异议的，以中文文本为准。</w:t>
      </w:r>
    </w:p>
    <w:p>
      <w:pPr>
        <w:pStyle w:val="26"/>
        <w:snapToGrid w:val="0"/>
        <w:spacing w:line="400" w:lineRule="exact"/>
        <w:ind w:firstLine="422" w:firstLineChars="200"/>
        <w:rPr>
          <w:rFonts w:hAnsi="宋体" w:cs="宋体"/>
          <w:b/>
          <w:bCs/>
          <w:sz w:val="21"/>
          <w:highlight w:val="none"/>
        </w:rPr>
      </w:pPr>
      <w:r>
        <w:rPr>
          <w:rFonts w:hint="eastAsia" w:hAnsi="宋体" w:cs="宋体"/>
          <w:b/>
          <w:bCs/>
          <w:sz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6"/>
        <w:tabs>
          <w:tab w:val="left" w:pos="630"/>
        </w:tabs>
        <w:snapToGrid w:val="0"/>
        <w:spacing w:line="400" w:lineRule="exact"/>
        <w:ind w:firstLine="413" w:firstLineChars="196"/>
        <w:rPr>
          <w:rFonts w:hAnsi="宋体" w:cs="宋体"/>
          <w:b/>
          <w:sz w:val="21"/>
          <w:highlight w:val="none"/>
        </w:rPr>
      </w:pPr>
      <w:r>
        <w:rPr>
          <w:rFonts w:hint="eastAsia" w:hAnsi="宋体" w:cs="宋体"/>
          <w:b/>
          <w:sz w:val="21"/>
          <w:highlight w:val="none"/>
        </w:rPr>
        <w:t>（六）评标原则和评标办法</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1. 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投标人或者对招标文件作出实质响应的投标人不足三家时，采购代理机构将按政府采购相关规定作相应处理。</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2.评标办法。本项目评标办法采用</w:t>
      </w:r>
      <w:r>
        <w:rPr>
          <w:rFonts w:hint="eastAsia" w:hAnsi="宋体" w:cs="宋体"/>
          <w:b/>
          <w:sz w:val="21"/>
          <w:highlight w:val="none"/>
          <w:u w:val="single"/>
        </w:rPr>
        <w:t>综合评分法</w:t>
      </w:r>
      <w:r>
        <w:rPr>
          <w:rFonts w:hint="eastAsia" w:hAnsi="宋体" w:cs="宋体"/>
          <w:sz w:val="21"/>
          <w:highlight w:val="none"/>
        </w:rPr>
        <w:t>，具体评标内容及评分标准等详见《第四章：评标办法及评分标准》。</w:t>
      </w:r>
    </w:p>
    <w:p>
      <w:pPr>
        <w:pStyle w:val="26"/>
        <w:snapToGrid w:val="0"/>
        <w:spacing w:line="400" w:lineRule="exact"/>
        <w:ind w:firstLine="413" w:firstLineChars="196"/>
        <w:rPr>
          <w:rFonts w:hAnsi="宋体" w:cs="宋体"/>
          <w:b/>
          <w:sz w:val="21"/>
          <w:highlight w:val="none"/>
        </w:rPr>
      </w:pPr>
      <w:r>
        <w:rPr>
          <w:rFonts w:hint="eastAsia" w:hAnsi="宋体" w:cs="宋体"/>
          <w:b/>
          <w:sz w:val="21"/>
          <w:highlight w:val="none"/>
        </w:rPr>
        <w:t>（七）评标过程的监控</w:t>
      </w:r>
    </w:p>
    <w:p>
      <w:pPr>
        <w:pStyle w:val="26"/>
        <w:snapToGrid w:val="0"/>
        <w:spacing w:line="400" w:lineRule="exact"/>
        <w:ind w:firstLine="420" w:firstLineChars="200"/>
        <w:rPr>
          <w:rFonts w:hAnsi="宋体" w:cs="宋体"/>
          <w:sz w:val="21"/>
          <w:highlight w:val="none"/>
        </w:rPr>
      </w:pPr>
      <w:r>
        <w:rPr>
          <w:rFonts w:hint="eastAsia" w:hAnsi="宋体" w:cs="宋体"/>
          <w:sz w:val="21"/>
          <w:highlight w:val="none"/>
        </w:rPr>
        <w:t>本项目评标过程实行全程录音、录像监控，投标人在评标过程中所进行的试图影响评标结果的不公正活动，可能导致其投标被拒绝。</w:t>
      </w:r>
    </w:p>
    <w:p>
      <w:pPr>
        <w:pStyle w:val="26"/>
        <w:snapToGrid w:val="0"/>
        <w:spacing w:line="400" w:lineRule="exact"/>
        <w:ind w:firstLine="413" w:firstLineChars="196"/>
        <w:outlineLvl w:val="1"/>
        <w:rPr>
          <w:rFonts w:hAnsi="宋体" w:cs="宋体"/>
          <w:b/>
          <w:sz w:val="21"/>
          <w:highlight w:val="none"/>
        </w:rPr>
      </w:pPr>
      <w:bookmarkStart w:id="117" w:name="_Toc254970687"/>
      <w:bookmarkStart w:id="118" w:name="_Toc254970546"/>
      <w:bookmarkStart w:id="119" w:name="_Toc430110149"/>
      <w:r>
        <w:rPr>
          <w:rFonts w:hint="eastAsia" w:hAnsi="宋体" w:cs="宋体"/>
          <w:b/>
          <w:sz w:val="21"/>
          <w:highlight w:val="none"/>
        </w:rPr>
        <w:t>六、评标结果</w:t>
      </w:r>
      <w:bookmarkEnd w:id="117"/>
      <w:bookmarkEnd w:id="118"/>
      <w:bookmarkEnd w:id="119"/>
    </w:p>
    <w:p>
      <w:pPr>
        <w:pStyle w:val="26"/>
        <w:spacing w:line="400" w:lineRule="exact"/>
        <w:ind w:firstLine="420"/>
        <w:rPr>
          <w:rFonts w:hAnsi="宋体" w:cs="宋体"/>
          <w:bCs/>
          <w:sz w:val="21"/>
          <w:highlight w:val="none"/>
        </w:rPr>
      </w:pPr>
      <w:r>
        <w:rPr>
          <w:rFonts w:hint="eastAsia" w:hAnsi="宋体" w:cs="宋体"/>
          <w:bCs/>
          <w:sz w:val="21"/>
          <w:highlight w:val="none"/>
        </w:rPr>
        <w:t>（一）采购代理机构应当在评标结束后2个工作日内将评标报告送采购人，采购人应当自收到评标报告之日起5个工作日内，在评标报告确定的中标候选人名单中按顺序确定中标人。采购人也可以事先授权评标委员会直接确定中标人。</w:t>
      </w:r>
    </w:p>
    <w:p>
      <w:pPr>
        <w:pStyle w:val="26"/>
        <w:spacing w:line="400" w:lineRule="exact"/>
        <w:ind w:firstLine="420"/>
        <w:rPr>
          <w:rFonts w:hAnsi="宋体" w:cs="宋体"/>
          <w:bCs/>
          <w:sz w:val="21"/>
          <w:highlight w:val="none"/>
        </w:rPr>
      </w:pPr>
      <w:r>
        <w:rPr>
          <w:rFonts w:hint="eastAsia" w:hAnsi="宋体" w:cs="宋体"/>
          <w:bCs/>
          <w:sz w:val="21"/>
          <w:highlight w:val="none"/>
        </w:rPr>
        <w:t>（二）中标人确定后，采购代理机构在中国政府采购网（www.ccgp.gov.cn）、广西壮族自治区政府采购网（www.zfcg.gxzf.gov.cn）、广西防城港政府采购网站（</w:t>
      </w:r>
      <w:r>
        <w:rPr>
          <w:highlight w:val="none"/>
        </w:rPr>
        <w:fldChar w:fldCharType="begin"/>
      </w:r>
      <w:r>
        <w:rPr>
          <w:highlight w:val="none"/>
        </w:rPr>
        <w:instrText xml:space="preserve"> HYPERLINK "http://zfcg.fcgs.gov.cn/" </w:instrText>
      </w:r>
      <w:r>
        <w:rPr>
          <w:highlight w:val="none"/>
        </w:rPr>
        <w:fldChar w:fldCharType="separate"/>
      </w:r>
      <w:r>
        <w:rPr>
          <w:rFonts w:hint="eastAsia" w:hAnsi="宋体" w:cs="宋体"/>
          <w:bCs/>
          <w:sz w:val="21"/>
          <w:highlight w:val="none"/>
        </w:rPr>
        <w:t>zfcg.fcgs.gov.cn</w:t>
      </w:r>
      <w:r>
        <w:rPr>
          <w:rFonts w:hint="eastAsia" w:hAnsi="宋体" w:cs="宋体"/>
          <w:bCs/>
          <w:sz w:val="21"/>
          <w:highlight w:val="none"/>
        </w:rPr>
        <w:fldChar w:fldCharType="end"/>
      </w:r>
      <w:r>
        <w:rPr>
          <w:rFonts w:hint="eastAsia" w:hAnsi="宋体" w:cs="宋体"/>
          <w:bCs/>
          <w:sz w:val="21"/>
          <w:highlight w:val="none"/>
        </w:rPr>
        <w:t>）、防城港市公共资源交易中心网（www.fcgggzy.cn）发布中标公告。</w:t>
      </w:r>
    </w:p>
    <w:p>
      <w:pPr>
        <w:pStyle w:val="26"/>
        <w:spacing w:line="400" w:lineRule="exact"/>
        <w:ind w:firstLine="420"/>
        <w:rPr>
          <w:rFonts w:hAnsi="宋体" w:cs="宋体"/>
          <w:bCs/>
          <w:sz w:val="21"/>
          <w:highlight w:val="none"/>
        </w:rPr>
      </w:pPr>
      <w:r>
        <w:rPr>
          <w:rFonts w:hint="eastAsia" w:hAnsi="宋体" w:cs="宋体"/>
          <w:bCs/>
          <w:sz w:val="21"/>
          <w:highlight w:val="none"/>
        </w:rPr>
        <w:t>（三）在发布中标公告的同时，采购代理机构向中标人发出中标通知书。</w:t>
      </w:r>
    </w:p>
    <w:p>
      <w:pPr>
        <w:pStyle w:val="26"/>
        <w:spacing w:line="400" w:lineRule="exact"/>
        <w:ind w:firstLine="420"/>
        <w:rPr>
          <w:rFonts w:hAnsi="宋体" w:cs="宋体"/>
          <w:bCs/>
          <w:sz w:val="21"/>
          <w:highlight w:val="none"/>
        </w:rPr>
      </w:pPr>
      <w:r>
        <w:rPr>
          <w:rFonts w:hint="eastAsia" w:hAnsi="宋体" w:cs="宋体"/>
          <w:bCs/>
          <w:sz w:val="21"/>
          <w:highlight w:val="none"/>
        </w:rPr>
        <w:t>（四）投标人认为招标过程和中标结果使自己的权益受到损害的，可以在知道或者应知其权益受到损害之日起七个工作日内，以书面形式向采购代理机构提出质疑，并及时索要书面回执。</w:t>
      </w:r>
    </w:p>
    <w:p>
      <w:pPr>
        <w:pStyle w:val="26"/>
        <w:spacing w:line="400" w:lineRule="exact"/>
        <w:ind w:firstLine="420"/>
        <w:rPr>
          <w:rFonts w:hAnsi="宋体" w:cs="宋体"/>
          <w:bCs/>
          <w:sz w:val="21"/>
          <w:highlight w:val="none"/>
        </w:rPr>
      </w:pPr>
      <w:r>
        <w:rPr>
          <w:rFonts w:hint="eastAsia" w:hAnsi="宋体" w:cs="宋体"/>
          <w:bCs/>
          <w:sz w:val="21"/>
          <w:highlight w:val="none"/>
        </w:rPr>
        <w:t>（五）采购代理机构应当按照有关规定就采购人委托授权范围内的事项在收到投标人的书面质疑后七个工作日内做出答复，但答复的内容不得涉及商业秘密。</w:t>
      </w:r>
    </w:p>
    <w:p>
      <w:pPr>
        <w:pStyle w:val="26"/>
        <w:snapToGrid w:val="0"/>
        <w:spacing w:line="360" w:lineRule="exact"/>
        <w:ind w:firstLine="411" w:firstLineChars="196"/>
        <w:rPr>
          <w:rFonts w:hAnsi="宋体" w:cs="宋体"/>
          <w:bCs/>
          <w:sz w:val="21"/>
          <w:highlight w:val="none"/>
        </w:rPr>
      </w:pPr>
      <w:r>
        <w:rPr>
          <w:rFonts w:hint="eastAsia" w:hAnsi="宋体" w:cs="宋体"/>
          <w:bCs/>
          <w:sz w:val="21"/>
          <w:highlight w:val="none"/>
        </w:rPr>
        <w:t>（六）</w:t>
      </w:r>
      <w:r>
        <w:rPr>
          <w:rFonts w:hint="eastAsia" w:hAnsi="宋体"/>
          <w:sz w:val="21"/>
          <w:highlight w:val="none"/>
        </w:rPr>
        <w:t>采购代理机构以书面形式告知未通过资格审查的投标人未通过的原因，同时告知其他未中标人本人的评审得分与排序。</w:t>
      </w:r>
    </w:p>
    <w:p>
      <w:pPr>
        <w:pStyle w:val="26"/>
        <w:spacing w:line="400" w:lineRule="exact"/>
        <w:ind w:firstLine="420"/>
        <w:rPr>
          <w:rFonts w:hAnsi="宋体" w:cs="宋体"/>
          <w:bCs/>
          <w:sz w:val="21"/>
          <w:highlight w:val="none"/>
        </w:rPr>
      </w:pPr>
      <w:r>
        <w:rPr>
          <w:rFonts w:hint="eastAsia" w:hAnsi="宋体" w:cs="宋体"/>
          <w:bCs/>
          <w:sz w:val="21"/>
          <w:highlight w:val="none"/>
        </w:rPr>
        <w:t>（七）采购代理机构无义务向未中标的供应商解释未中标原因和退还投标文件。</w:t>
      </w:r>
    </w:p>
    <w:p>
      <w:pPr>
        <w:pStyle w:val="26"/>
        <w:spacing w:line="400" w:lineRule="exact"/>
        <w:ind w:firstLine="538" w:firstLineChars="255"/>
        <w:rPr>
          <w:rFonts w:hAnsi="宋体" w:cs="宋体"/>
          <w:b/>
          <w:sz w:val="21"/>
          <w:highlight w:val="none"/>
        </w:rPr>
      </w:pPr>
      <w:r>
        <w:rPr>
          <w:rFonts w:hint="eastAsia" w:hAnsi="宋体" w:cs="宋体"/>
          <w:b/>
          <w:sz w:val="21"/>
          <w:highlight w:val="none"/>
        </w:rPr>
        <w:t>七 、签订合同</w:t>
      </w:r>
    </w:p>
    <w:p>
      <w:pPr>
        <w:pStyle w:val="26"/>
        <w:spacing w:line="400" w:lineRule="exact"/>
        <w:ind w:firstLine="358" w:firstLineChars="170"/>
        <w:rPr>
          <w:rFonts w:hAnsi="宋体" w:cs="宋体"/>
          <w:b/>
          <w:sz w:val="21"/>
          <w:highlight w:val="none"/>
        </w:rPr>
      </w:pPr>
      <w:r>
        <w:rPr>
          <w:rFonts w:hint="eastAsia" w:hAnsi="宋体" w:cs="宋体"/>
          <w:b/>
          <w:sz w:val="21"/>
          <w:highlight w:val="none"/>
        </w:rPr>
        <w:t>（一）合同授予标准</w:t>
      </w:r>
    </w:p>
    <w:p>
      <w:pPr>
        <w:pStyle w:val="26"/>
        <w:spacing w:line="400" w:lineRule="exact"/>
        <w:ind w:firstLine="420"/>
        <w:rPr>
          <w:rFonts w:hAnsi="宋体" w:cs="宋体"/>
          <w:sz w:val="21"/>
          <w:highlight w:val="none"/>
        </w:rPr>
      </w:pPr>
      <w:r>
        <w:rPr>
          <w:rFonts w:hint="eastAsia" w:hAnsi="宋体" w:cs="宋体"/>
          <w:sz w:val="21"/>
          <w:highlight w:val="none"/>
        </w:rPr>
        <w:t>合同将授予被确定实质上响应招标文件要求，具备履行合同能力，综合评分排名第一的投标人。</w:t>
      </w:r>
    </w:p>
    <w:p>
      <w:pPr>
        <w:pStyle w:val="26"/>
        <w:spacing w:line="400" w:lineRule="exact"/>
        <w:ind w:firstLine="358" w:firstLineChars="170"/>
        <w:rPr>
          <w:rFonts w:hAnsi="宋体" w:cs="宋体"/>
          <w:sz w:val="21"/>
          <w:highlight w:val="none"/>
        </w:rPr>
      </w:pPr>
      <w:r>
        <w:rPr>
          <w:rFonts w:hint="eastAsia" w:hAnsi="宋体" w:cs="宋体"/>
          <w:b/>
          <w:sz w:val="21"/>
          <w:highlight w:val="none"/>
        </w:rPr>
        <w:t>（二）签订合同</w:t>
      </w:r>
    </w:p>
    <w:p>
      <w:pPr>
        <w:pStyle w:val="26"/>
        <w:spacing w:line="400" w:lineRule="exact"/>
        <w:ind w:firstLine="420" w:firstLineChars="200"/>
        <w:outlineLvl w:val="0"/>
        <w:rPr>
          <w:rFonts w:hAnsi="宋体" w:cs="宋体"/>
          <w:sz w:val="21"/>
          <w:highlight w:val="none"/>
        </w:rPr>
      </w:pPr>
      <w:bookmarkStart w:id="120" w:name="_Toc430110271"/>
      <w:bookmarkStart w:id="121" w:name="_Toc430109953"/>
      <w:bookmarkStart w:id="122" w:name="_Toc430110150"/>
      <w:r>
        <w:rPr>
          <w:rFonts w:hint="eastAsia" w:hAnsi="宋体" w:cs="宋体"/>
          <w:sz w:val="21"/>
          <w:highlight w:val="none"/>
        </w:rPr>
        <w:t>（1）投标人接到中标通知书后，应按中标通知书规定的时间、地点与采购人签订合同。</w:t>
      </w:r>
      <w:bookmarkEnd w:id="120"/>
      <w:bookmarkEnd w:id="121"/>
      <w:bookmarkEnd w:id="122"/>
    </w:p>
    <w:p>
      <w:pPr>
        <w:pStyle w:val="26"/>
        <w:spacing w:line="400" w:lineRule="exact"/>
        <w:ind w:firstLine="420" w:firstLineChars="200"/>
        <w:outlineLvl w:val="0"/>
        <w:rPr>
          <w:rFonts w:hAnsi="宋体" w:cs="宋体"/>
          <w:sz w:val="21"/>
          <w:highlight w:val="none"/>
        </w:rPr>
      </w:pPr>
      <w:bookmarkStart w:id="123" w:name="_Toc430109954"/>
      <w:bookmarkStart w:id="124" w:name="_Toc430110272"/>
      <w:bookmarkStart w:id="125" w:name="_Toc430110151"/>
      <w:r>
        <w:rPr>
          <w:rFonts w:hint="eastAsia" w:hAnsi="宋体" w:cs="宋体"/>
          <w:sz w:val="21"/>
          <w:highlight w:val="none"/>
        </w:rPr>
        <w:t>（2）如中标人不按中标通知书的规定签订合同，则按中标人违约处理，采购代理机构将没收中标人投标的全部投标保证金并上缴同级财政国库。</w:t>
      </w:r>
      <w:bookmarkEnd w:id="123"/>
      <w:bookmarkEnd w:id="124"/>
      <w:bookmarkEnd w:id="125"/>
    </w:p>
    <w:p>
      <w:pPr>
        <w:pStyle w:val="26"/>
        <w:spacing w:line="400" w:lineRule="exact"/>
        <w:ind w:firstLine="420" w:firstLineChars="200"/>
        <w:outlineLvl w:val="0"/>
        <w:rPr>
          <w:rFonts w:hAnsi="宋体" w:cs="宋体"/>
          <w:sz w:val="21"/>
          <w:highlight w:val="none"/>
        </w:rPr>
      </w:pPr>
      <w:bookmarkStart w:id="126" w:name="_Toc430109955"/>
      <w:bookmarkStart w:id="127" w:name="_Toc430110152"/>
      <w:bookmarkStart w:id="128" w:name="_Toc430110273"/>
      <w:r>
        <w:rPr>
          <w:rFonts w:hint="eastAsia" w:hAnsi="宋体" w:cs="宋体"/>
          <w:sz w:val="21"/>
          <w:highlight w:val="none"/>
        </w:rPr>
        <w:t>（3）中标人因不可抗力或者自身原因不能履行采购合同的，采购人可以与中标人之后排名第一的中标候选人签订采购合同，也可以重新开展政府采购活动。</w:t>
      </w:r>
      <w:bookmarkEnd w:id="126"/>
      <w:bookmarkEnd w:id="127"/>
      <w:bookmarkEnd w:id="128"/>
    </w:p>
    <w:p>
      <w:pPr>
        <w:pStyle w:val="26"/>
        <w:spacing w:line="400" w:lineRule="exact"/>
        <w:ind w:firstLine="420" w:firstLineChars="200"/>
        <w:outlineLvl w:val="0"/>
        <w:rPr>
          <w:rFonts w:hAnsi="宋体" w:cs="宋体"/>
          <w:sz w:val="21"/>
          <w:highlight w:val="none"/>
        </w:rPr>
      </w:pPr>
      <w:bookmarkStart w:id="129" w:name="_Toc430110153"/>
      <w:bookmarkStart w:id="130" w:name="_Toc430109956"/>
      <w:bookmarkStart w:id="131" w:name="_Toc430110274"/>
      <w:r>
        <w:rPr>
          <w:rFonts w:hint="eastAsia" w:hAnsi="宋体" w:cs="宋体"/>
          <w:sz w:val="21"/>
          <w:highlight w:val="none"/>
        </w:rPr>
        <w:t>（4）由于中标人放弃中标或未按规定签订合同，造成本项目的合同中标价提高（指采购人选择第二中标候选人或重新采购导致中标金额高于违约中标人的中标价），所超出违约中标人的中标价部分由违约中标人承担赔偿责任，并将赔偿金额上缴同级财政国库。若中标人拒绝交纳赔偿金，除按相关法规追收赔偿金外，列入不良行为记录名单，在一至三年内禁止其参加政府采购活动。</w:t>
      </w:r>
      <w:bookmarkEnd w:id="129"/>
      <w:bookmarkEnd w:id="130"/>
      <w:bookmarkEnd w:id="131"/>
    </w:p>
    <w:p>
      <w:pPr>
        <w:pStyle w:val="26"/>
        <w:spacing w:line="400" w:lineRule="exact"/>
        <w:ind w:firstLine="420" w:firstLineChars="200"/>
        <w:outlineLvl w:val="0"/>
        <w:rPr>
          <w:rFonts w:hAnsi="宋体" w:cs="宋体"/>
          <w:sz w:val="21"/>
          <w:highlight w:val="none"/>
        </w:rPr>
      </w:pPr>
      <w:bookmarkStart w:id="132" w:name="_Toc430110154"/>
      <w:bookmarkStart w:id="133" w:name="_Toc430110275"/>
      <w:bookmarkStart w:id="134" w:name="_Toc430109957"/>
      <w:r>
        <w:rPr>
          <w:rFonts w:hint="eastAsia" w:hAnsi="宋体" w:cs="宋体"/>
          <w:sz w:val="21"/>
          <w:highlight w:val="none"/>
        </w:rPr>
        <w:t>（5）采购合同签订必须按照《中华人民共和国政府采购法》、《政府采购法实施条例》和《中华人民共和国合同法》相关规定执行，且签订的合同必须与本招标文件中的合同书格式(包括内容和结构)相一致，不能改变主要条款，否则由此造成的后果由采购人负责。</w:t>
      </w:r>
      <w:bookmarkEnd w:id="132"/>
      <w:bookmarkEnd w:id="133"/>
      <w:bookmarkEnd w:id="134"/>
    </w:p>
    <w:p>
      <w:pPr>
        <w:pStyle w:val="26"/>
        <w:spacing w:line="400" w:lineRule="exact"/>
        <w:ind w:firstLine="420" w:firstLineChars="200"/>
        <w:outlineLvl w:val="0"/>
        <w:rPr>
          <w:rFonts w:hint="eastAsia" w:hAnsi="宋体" w:cs="宋体"/>
          <w:sz w:val="21"/>
          <w:highlight w:val="none"/>
        </w:rPr>
      </w:pPr>
      <w:bookmarkStart w:id="135" w:name="_Toc430110276"/>
      <w:bookmarkStart w:id="136" w:name="_Toc430109958"/>
      <w:bookmarkStart w:id="137" w:name="_Toc430110155"/>
      <w:r>
        <w:rPr>
          <w:rFonts w:hint="eastAsia" w:hAnsi="宋体" w:cs="宋体"/>
          <w:sz w:val="21"/>
          <w:highlight w:val="none"/>
        </w:rPr>
        <w:t>（6）中标人在签订合同后，必须严格履行合同，否则视为违约，采购人将有充分理由解除合同，其履约保证金将被没收。</w:t>
      </w:r>
      <w:bookmarkEnd w:id="135"/>
      <w:bookmarkEnd w:id="136"/>
      <w:bookmarkEnd w:id="137"/>
    </w:p>
    <w:p>
      <w:pPr>
        <w:pStyle w:val="26"/>
        <w:spacing w:line="400" w:lineRule="exact"/>
        <w:ind w:firstLine="420" w:firstLineChars="200"/>
        <w:outlineLvl w:val="0"/>
        <w:rPr>
          <w:rFonts w:hint="eastAsia" w:hAnsi="宋体" w:cs="宋体"/>
          <w:sz w:val="21"/>
          <w:highlight w:val="none"/>
        </w:rPr>
      </w:pPr>
      <w:r>
        <w:rPr>
          <w:rFonts w:hint="eastAsia" w:hAnsi="宋体" w:cs="宋体"/>
          <w:sz w:val="21"/>
          <w:highlight w:val="none"/>
          <w:lang w:eastAsia="zh-CN"/>
        </w:rPr>
        <w:t>（</w:t>
      </w:r>
      <w:r>
        <w:rPr>
          <w:rFonts w:hint="eastAsia" w:hAnsi="宋体" w:cs="宋体"/>
          <w:sz w:val="21"/>
          <w:highlight w:val="none"/>
          <w:lang w:val="en-US" w:eastAsia="zh-CN"/>
        </w:rPr>
        <w:t>7</w:t>
      </w:r>
      <w:r>
        <w:rPr>
          <w:rFonts w:hint="eastAsia" w:hAnsi="宋体" w:cs="宋体"/>
          <w:sz w:val="21"/>
          <w:highlight w:val="none"/>
          <w:lang w:eastAsia="zh-CN"/>
        </w:rPr>
        <w:t>）采购人自政府采购合同签订之日起</w:t>
      </w:r>
      <w:r>
        <w:rPr>
          <w:rFonts w:hint="eastAsia" w:hAnsi="宋体" w:cs="宋体"/>
          <w:sz w:val="21"/>
          <w:highlight w:val="none"/>
          <w:lang w:val="en-US" w:eastAsia="zh-CN"/>
        </w:rPr>
        <w:t>2个工作日内，将政府采购合同在省级以上人民政府财政部门指定的媒体上发布合同备案公告。</w:t>
      </w:r>
    </w:p>
    <w:p>
      <w:pPr>
        <w:pStyle w:val="26"/>
        <w:spacing w:line="440" w:lineRule="exact"/>
        <w:ind w:firstLine="358" w:firstLineChars="170"/>
        <w:rPr>
          <w:rFonts w:hAnsi="宋体" w:cs="宋体"/>
          <w:b/>
          <w:sz w:val="21"/>
          <w:highlight w:val="none"/>
        </w:rPr>
      </w:pPr>
      <w:bookmarkStart w:id="138" w:name="_Toc304819842"/>
      <w:r>
        <w:rPr>
          <w:rFonts w:hint="eastAsia" w:hAnsi="宋体" w:cs="宋体"/>
          <w:b/>
          <w:sz w:val="21"/>
          <w:highlight w:val="none"/>
        </w:rPr>
        <w:t>八、履约保证金</w:t>
      </w:r>
      <w:bookmarkEnd w:id="138"/>
      <w:r>
        <w:rPr>
          <w:rFonts w:hint="eastAsia" w:hAnsi="宋体" w:cs="宋体"/>
          <w:b/>
          <w:sz w:val="21"/>
          <w:highlight w:val="none"/>
        </w:rPr>
        <w:t>（无）</w:t>
      </w:r>
    </w:p>
    <w:p>
      <w:pPr>
        <w:pStyle w:val="26"/>
        <w:spacing w:line="440" w:lineRule="exact"/>
        <w:ind w:firstLine="411" w:firstLineChars="196"/>
        <w:rPr>
          <w:rFonts w:hAnsi="宋体" w:cs="宋体"/>
          <w:sz w:val="21"/>
          <w:highlight w:val="none"/>
        </w:rPr>
      </w:pPr>
      <w:r>
        <w:rPr>
          <w:rFonts w:hint="eastAsia" w:hAnsi="宋体" w:cs="宋体"/>
          <w:sz w:val="21"/>
          <w:highlight w:val="none"/>
        </w:rPr>
        <w:t>1．在收到中标通知书后，中标人须在签订合同前向采购人提交履约保证金，履约保证金金额为中标价款的</w:t>
      </w:r>
      <w:r>
        <w:rPr>
          <w:rFonts w:hAnsi="宋体" w:cs="宋体"/>
          <w:sz w:val="21"/>
          <w:highlight w:val="none"/>
          <w:u w:val="single"/>
        </w:rPr>
        <w:t>0</w:t>
      </w:r>
      <w:r>
        <w:rPr>
          <w:rFonts w:hint="eastAsia" w:hAnsi="宋体" w:cs="宋体"/>
          <w:sz w:val="21"/>
          <w:highlight w:val="none"/>
        </w:rPr>
        <w:t>%，否则采购人将取消其中标资格。</w:t>
      </w:r>
    </w:p>
    <w:p>
      <w:pPr>
        <w:pStyle w:val="26"/>
        <w:spacing w:line="440" w:lineRule="exact"/>
        <w:ind w:firstLine="411" w:firstLineChars="196"/>
        <w:rPr>
          <w:rFonts w:hAnsi="宋体" w:cs="宋体"/>
          <w:sz w:val="21"/>
          <w:highlight w:val="none"/>
        </w:rPr>
      </w:pPr>
      <w:r>
        <w:rPr>
          <w:rFonts w:hint="eastAsia" w:hAnsi="宋体" w:cs="宋体"/>
          <w:sz w:val="21"/>
          <w:highlight w:val="none"/>
        </w:rPr>
        <w:t>2．签订合同后，如中标人不按双方签订的合同规定履约，则没收其全部履约保证金，履约保证金不足以赔偿损失的，按实际损失赔偿。</w:t>
      </w:r>
    </w:p>
    <w:p>
      <w:pPr>
        <w:pStyle w:val="26"/>
        <w:spacing w:line="440" w:lineRule="exact"/>
        <w:ind w:firstLine="411" w:firstLineChars="196"/>
        <w:rPr>
          <w:rFonts w:hAnsi="宋体" w:cs="宋体"/>
          <w:sz w:val="21"/>
          <w:highlight w:val="none"/>
        </w:rPr>
      </w:pPr>
      <w:r>
        <w:rPr>
          <w:rFonts w:hint="eastAsia" w:hAnsi="宋体" w:cs="宋体"/>
          <w:sz w:val="21"/>
          <w:highlight w:val="none"/>
        </w:rPr>
        <w:t>3．履约保证金将于项目实施完毕后在采购人接到中标人提交的书面申请退付材料（详见附表二）后15个工作日内以银行转账方式如数退还（不计利息）。</w:t>
      </w:r>
    </w:p>
    <w:p>
      <w:pPr>
        <w:pStyle w:val="26"/>
        <w:spacing w:line="440" w:lineRule="exact"/>
        <w:ind w:firstLine="411" w:firstLineChars="196"/>
        <w:rPr>
          <w:rFonts w:hAnsi="宋体" w:cs="宋体"/>
          <w:sz w:val="21"/>
          <w:highlight w:val="none"/>
        </w:rPr>
      </w:pPr>
      <w:r>
        <w:rPr>
          <w:rFonts w:hint="eastAsia" w:hAnsi="宋体" w:cs="宋体"/>
          <w:sz w:val="21"/>
          <w:highlight w:val="none"/>
        </w:rPr>
        <w:t>4．在履约保证金退还日期前，若中标人的开户名称、开户银行、帐号有变动的，请以书面形式通知采购人，否则由此产生的后果由中标人自负。</w:t>
      </w:r>
    </w:p>
    <w:p>
      <w:pPr>
        <w:pStyle w:val="5"/>
        <w:spacing w:line="340" w:lineRule="exact"/>
        <w:ind w:firstLine="316" w:firstLineChars="150"/>
        <w:rPr>
          <w:rFonts w:ascii="宋体" w:hAnsi="宋体" w:cs="宋体"/>
          <w:sz w:val="21"/>
          <w:szCs w:val="21"/>
          <w:highlight w:val="none"/>
        </w:rPr>
      </w:pPr>
      <w:bookmarkStart w:id="139" w:name="_Toc430110156"/>
      <w:r>
        <w:rPr>
          <w:rFonts w:hint="eastAsia" w:ascii="宋体" w:hAnsi="宋体" w:cs="宋体"/>
          <w:sz w:val="21"/>
          <w:szCs w:val="21"/>
          <w:highlight w:val="none"/>
        </w:rPr>
        <w:t>九、纪律和监督</w:t>
      </w:r>
      <w:bookmarkEnd w:id="139"/>
    </w:p>
    <w:p>
      <w:pPr>
        <w:pStyle w:val="26"/>
        <w:spacing w:line="440" w:lineRule="exact"/>
        <w:ind w:firstLine="382" w:firstLineChars="181"/>
        <w:rPr>
          <w:rFonts w:hAnsi="宋体" w:cs="宋体"/>
          <w:b/>
          <w:sz w:val="21"/>
          <w:highlight w:val="none"/>
        </w:rPr>
      </w:pPr>
      <w:r>
        <w:rPr>
          <w:rFonts w:hint="eastAsia" w:hAnsi="宋体" w:cs="宋体"/>
          <w:b/>
          <w:sz w:val="21"/>
          <w:highlight w:val="none"/>
        </w:rPr>
        <w:t>1. 对采购人的纪律要求</w:t>
      </w:r>
    </w:p>
    <w:p>
      <w:pPr>
        <w:pStyle w:val="26"/>
        <w:spacing w:line="440" w:lineRule="exact"/>
        <w:ind w:firstLine="380" w:firstLineChars="181"/>
        <w:rPr>
          <w:rFonts w:hAnsi="宋体" w:cs="宋体"/>
          <w:sz w:val="21"/>
          <w:highlight w:val="none"/>
        </w:rPr>
      </w:pPr>
      <w:r>
        <w:rPr>
          <w:rFonts w:hint="eastAsia" w:hAnsi="宋体" w:cs="宋体"/>
          <w:sz w:val="21"/>
          <w:highlight w:val="none"/>
        </w:rPr>
        <w:t>采购人不得泄漏招标投标活动中应当保密的情况和资料，不得与投标人串通损害国家利益、社会公共利益或者他人合法权益。</w:t>
      </w:r>
    </w:p>
    <w:p>
      <w:pPr>
        <w:pStyle w:val="26"/>
        <w:spacing w:line="440" w:lineRule="exact"/>
        <w:ind w:firstLine="382" w:firstLineChars="181"/>
        <w:rPr>
          <w:rFonts w:hAnsi="宋体" w:cs="宋体"/>
          <w:b/>
          <w:sz w:val="21"/>
          <w:highlight w:val="none"/>
        </w:rPr>
      </w:pPr>
      <w:r>
        <w:rPr>
          <w:rFonts w:hint="eastAsia" w:hAnsi="宋体" w:cs="宋体"/>
          <w:b/>
          <w:sz w:val="21"/>
          <w:highlight w:val="none"/>
        </w:rPr>
        <w:t>2. 对投标人的纪律要求</w:t>
      </w:r>
    </w:p>
    <w:p>
      <w:pPr>
        <w:pStyle w:val="26"/>
        <w:spacing w:line="440" w:lineRule="exact"/>
        <w:ind w:firstLine="380" w:firstLineChars="181"/>
        <w:rPr>
          <w:rFonts w:hAnsi="宋体" w:cs="宋体"/>
          <w:sz w:val="21"/>
          <w:highlight w:val="none"/>
        </w:rPr>
      </w:pPr>
      <w:r>
        <w:rPr>
          <w:rFonts w:hint="eastAsia" w:hAnsi="宋体" w:cs="宋体"/>
          <w:sz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26"/>
        <w:spacing w:line="440" w:lineRule="exact"/>
        <w:ind w:firstLine="382" w:firstLineChars="181"/>
        <w:rPr>
          <w:rFonts w:hAnsi="宋体" w:cs="宋体"/>
          <w:b/>
          <w:sz w:val="21"/>
          <w:highlight w:val="none"/>
        </w:rPr>
      </w:pPr>
      <w:r>
        <w:rPr>
          <w:rFonts w:hint="eastAsia" w:hAnsi="宋体" w:cs="宋体"/>
          <w:b/>
          <w:sz w:val="21"/>
          <w:highlight w:val="none"/>
        </w:rPr>
        <w:t>3. 对评标委员会成员的纪律要求</w:t>
      </w:r>
    </w:p>
    <w:p>
      <w:pPr>
        <w:pStyle w:val="26"/>
        <w:spacing w:line="440" w:lineRule="exact"/>
        <w:ind w:firstLine="380" w:firstLineChars="181"/>
        <w:rPr>
          <w:rFonts w:hAnsi="宋体" w:cs="宋体"/>
          <w:sz w:val="21"/>
          <w:highlight w:val="none"/>
        </w:rPr>
      </w:pPr>
      <w:r>
        <w:rPr>
          <w:rFonts w:hint="eastAsia" w:hAnsi="宋体" w:cs="宋体"/>
          <w:sz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七章“评标办法”没有规定的评审因素和标准进行评标。</w:t>
      </w:r>
    </w:p>
    <w:p>
      <w:pPr>
        <w:pStyle w:val="26"/>
        <w:spacing w:line="440" w:lineRule="exact"/>
        <w:ind w:firstLine="382" w:firstLineChars="181"/>
        <w:rPr>
          <w:rFonts w:hAnsi="宋体" w:cs="宋体"/>
          <w:b/>
          <w:sz w:val="21"/>
          <w:highlight w:val="none"/>
        </w:rPr>
      </w:pPr>
      <w:r>
        <w:rPr>
          <w:rFonts w:hint="eastAsia" w:hAnsi="宋体" w:cs="宋体"/>
          <w:b/>
          <w:sz w:val="21"/>
          <w:highlight w:val="none"/>
        </w:rPr>
        <w:t>4. 对与评标活动有关的工作人员的纪律要求</w:t>
      </w:r>
    </w:p>
    <w:p>
      <w:pPr>
        <w:pStyle w:val="26"/>
        <w:spacing w:line="440" w:lineRule="exact"/>
        <w:ind w:firstLine="380" w:firstLineChars="181"/>
        <w:rPr>
          <w:rFonts w:hAnsi="宋体" w:cs="宋体"/>
          <w:sz w:val="21"/>
          <w:highlight w:val="none"/>
        </w:rPr>
      </w:pPr>
      <w:r>
        <w:rPr>
          <w:rFonts w:hint="eastAsia" w:hAnsi="宋体" w:cs="宋体"/>
          <w:sz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6"/>
        <w:spacing w:line="400" w:lineRule="exact"/>
        <w:ind w:firstLine="462" w:firstLineChars="219"/>
        <w:rPr>
          <w:rFonts w:hAnsi="宋体" w:cs="宋体"/>
          <w:b/>
          <w:sz w:val="21"/>
          <w:highlight w:val="none"/>
        </w:rPr>
      </w:pPr>
      <w:r>
        <w:rPr>
          <w:rFonts w:hint="eastAsia" w:hAnsi="宋体" w:cs="宋体"/>
          <w:b/>
          <w:sz w:val="21"/>
          <w:highlight w:val="none"/>
        </w:rPr>
        <w:t>十、其他事项</w:t>
      </w:r>
    </w:p>
    <w:p>
      <w:pPr>
        <w:pStyle w:val="26"/>
        <w:spacing w:line="400" w:lineRule="exact"/>
        <w:ind w:firstLine="413" w:firstLineChars="196"/>
        <w:rPr>
          <w:rFonts w:hAnsi="宋体" w:cs="宋体"/>
          <w:b/>
          <w:sz w:val="21"/>
          <w:highlight w:val="none"/>
        </w:rPr>
      </w:pPr>
      <w:r>
        <w:rPr>
          <w:rFonts w:hint="eastAsia" w:hAnsi="宋体" w:cs="宋体"/>
          <w:b/>
          <w:sz w:val="21"/>
          <w:highlight w:val="none"/>
        </w:rPr>
        <w:t>中标服务费</w:t>
      </w:r>
    </w:p>
    <w:p>
      <w:pPr>
        <w:pStyle w:val="26"/>
        <w:spacing w:line="400" w:lineRule="exact"/>
        <w:ind w:firstLine="420" w:firstLineChars="200"/>
        <w:rPr>
          <w:rFonts w:hAnsi="宋体" w:cs="宋体"/>
          <w:highlight w:val="none"/>
        </w:rPr>
      </w:pPr>
      <w:r>
        <w:rPr>
          <w:rFonts w:hint="eastAsia" w:hAnsi="宋体" w:cs="宋体"/>
          <w:sz w:val="21"/>
          <w:highlight w:val="none"/>
        </w:rPr>
        <w:t>（1）本项目代理服务费按国家发展计划委员会《招标代理服务收费管理暂行办法》（计价格[2002]1980号）文规定的收费标准收取，领取中标通知书前，中标人应向采购代理机构一次付清中标服务费。</w:t>
      </w:r>
      <w:bookmarkStart w:id="140" w:name="_Toc254970689"/>
      <w:bookmarkStart w:id="141" w:name="_Toc254970548"/>
    </w:p>
    <w:p>
      <w:pPr>
        <w:pStyle w:val="26"/>
        <w:snapToGrid w:val="0"/>
        <w:spacing w:line="360" w:lineRule="exact"/>
        <w:ind w:firstLine="411" w:firstLineChars="196"/>
        <w:rPr>
          <w:rFonts w:hAnsi="宋体"/>
          <w:sz w:val="21"/>
          <w:highlight w:val="none"/>
        </w:rPr>
      </w:pPr>
      <w:r>
        <w:rPr>
          <w:rFonts w:hint="eastAsia" w:hAnsi="宋体"/>
          <w:sz w:val="21"/>
          <w:highlight w:val="none"/>
        </w:rPr>
        <w:t>（2）代理服务收费标准</w:t>
      </w:r>
    </w:p>
    <w:tbl>
      <w:tblPr>
        <w:tblStyle w:val="49"/>
        <w:tblW w:w="10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1977"/>
        <w:gridCol w:w="2253"/>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653" w:type="dxa"/>
          </w:tcPr>
          <w:p>
            <w:pPr>
              <w:pStyle w:val="26"/>
              <w:snapToGrid w:val="0"/>
              <w:spacing w:line="360" w:lineRule="exact"/>
              <w:ind w:firstLine="1592" w:firstLineChars="796"/>
              <w:rPr>
                <w:rFonts w:hAnsi="宋体"/>
                <w:highlight w:val="none"/>
              </w:rPr>
            </w:pPr>
            <w:r>
              <w:rPr>
                <w:rFonts w:hAnsi="宋体"/>
                <w:highlight w:val="none"/>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29210</wp:posOffset>
                      </wp:positionV>
                      <wp:extent cx="1595755" cy="920115"/>
                      <wp:effectExtent l="13970" t="10160" r="9525" b="12700"/>
                      <wp:wrapNone/>
                      <wp:docPr id="7" name="Line 21"/>
                      <wp:cNvGraphicFramePr/>
                      <a:graphic xmlns:a="http://schemas.openxmlformats.org/drawingml/2006/main">
                        <a:graphicData uri="http://schemas.microsoft.com/office/word/2010/wordprocessingShape">
                          <wps:wsp>
                            <wps:cNvCnPr>
                              <a:cxnSpLocks noChangeShapeType="1"/>
                            </wps:cNvCnPr>
                            <wps:spPr bwMode="auto">
                              <a:xfrm>
                                <a:off x="0" y="0"/>
                                <a:ext cx="1595755" cy="920115"/>
                              </a:xfrm>
                              <a:prstGeom prst="line">
                                <a:avLst/>
                              </a:prstGeom>
                              <a:noFill/>
                              <a:ln w="9525">
                                <a:solidFill>
                                  <a:srgbClr val="000000"/>
                                </a:solidFill>
                                <a:round/>
                              </a:ln>
                            </wps:spPr>
                            <wps:bodyPr/>
                          </wps:wsp>
                        </a:graphicData>
                      </a:graphic>
                    </wp:anchor>
                  </w:drawing>
                </mc:Choice>
                <mc:Fallback>
                  <w:pict>
                    <v:line id="Line 21" o:spid="_x0000_s1026" o:spt="20" style="position:absolute;left:0pt;margin-left:27.35pt;margin-top:2.3pt;height:72.45pt;width:125.65pt;z-index:251659264;mso-width-relative:page;mso-height-relative:page;" filled="f" stroked="t" coordsize="21600,21600" o:gfxdata="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Y9WF3XAAAACAEAAA8AAAAAAAAAAQAgAAAAIgAAAGRy&#10;cy9kb3ducmV2LnhtbFBLAQIUABQAAAAIAIdO4kA7g/yAzQEAAKUDAAAOAAAAAAAAAAEAIAAAACYB&#10;AABkcnMvZTJvRG9jLnhtbFBLBQYAAAAABgAGAFkBAABlBQAAAAA=&#10;">
                      <v:fill on="f" focussize="0,0"/>
                      <v:stroke color="#000000" joinstyle="round"/>
                      <v:imagedata o:title=""/>
                      <o:lock v:ext="edit" aspectratio="f"/>
                    </v:line>
                  </w:pict>
                </mc:Fallback>
              </mc:AlternateContent>
            </w:r>
            <w:r>
              <w:rPr>
                <w:rFonts w:hAnsi="宋体"/>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9525" t="12700" r="8890" b="6350"/>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5HTftUAAAAJAQAADwAAAAAAAAABACAAAAAiAAAAZHJzL2Rvd25yZXYu&#10;eG1sUEsBAhQAFAAAAAgAh07iQKEXiCLFAQAAmwMAAA4AAAAAAAAAAQAgAAAAJAEAAGRycy9lMm9E&#10;b2MueG1sUEsFBgAAAAAGAAYAWQEAAFsFAAAAAA==&#10;">
                      <v:fill on="f" focussize="0,0"/>
                      <v:stroke color="#000000" joinstyle="round"/>
                      <v:imagedata o:title=""/>
                      <o:lock v:ext="edit" aspectratio="f"/>
                    </v:line>
                  </w:pict>
                </mc:Fallback>
              </mc:AlternateContent>
            </w:r>
            <w:r>
              <w:rPr>
                <w:rFonts w:hint="eastAsia" w:hAnsi="宋体"/>
                <w:highlight w:val="none"/>
              </w:rPr>
              <w:t>服</w:t>
            </w:r>
          </w:p>
          <w:p>
            <w:pPr>
              <w:pStyle w:val="26"/>
              <w:snapToGrid w:val="0"/>
              <w:spacing w:line="360" w:lineRule="exact"/>
              <w:ind w:firstLine="492" w:firstLineChars="246"/>
              <w:rPr>
                <w:rFonts w:hAnsi="宋体"/>
                <w:highlight w:val="none"/>
              </w:rPr>
            </w:pPr>
            <w:r>
              <w:rPr>
                <w:rFonts w:hint="eastAsia" w:hAnsi="宋体"/>
                <w:highlight w:val="none"/>
              </w:rPr>
              <w:t>费　　　　　   务</w:t>
            </w:r>
          </w:p>
          <w:p>
            <w:pPr>
              <w:pStyle w:val="26"/>
              <w:snapToGrid w:val="0"/>
              <w:spacing w:line="360" w:lineRule="exact"/>
              <w:ind w:firstLine="992" w:firstLineChars="496"/>
              <w:rPr>
                <w:rFonts w:hAnsi="宋体"/>
                <w:highlight w:val="none"/>
              </w:rPr>
            </w:pPr>
            <w:r>
              <w:rPr>
                <w:rFonts w:hAnsi="宋体"/>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1943100" cy="594360"/>
                      <wp:effectExtent l="9525" t="9525" r="9525" b="5715"/>
                      <wp:wrapNone/>
                      <wp:docPr id="5" name="Line 22"/>
                      <wp:cNvGraphicFramePr/>
                      <a:graphic xmlns:a="http://schemas.openxmlformats.org/drawingml/2006/main">
                        <a:graphicData uri="http://schemas.microsoft.com/office/word/2010/wordprocessingShape">
                          <wps:wsp>
                            <wps:cNvCnPr>
                              <a:cxnSpLocks noChangeShapeType="1"/>
                            </wps:cNvCnPr>
                            <wps:spPr bwMode="auto">
                              <a:xfrm>
                                <a:off x="0" y="0"/>
                                <a:ext cx="1943100" cy="594360"/>
                              </a:xfrm>
                              <a:prstGeom prst="line">
                                <a:avLst/>
                              </a:prstGeom>
                              <a:noFill/>
                              <a:ln w="9525">
                                <a:solidFill>
                                  <a:srgbClr val="000000"/>
                                </a:solidFill>
                                <a:round/>
                              </a:ln>
                            </wps:spPr>
                            <wps:bodyPr/>
                          </wps:wsp>
                        </a:graphicData>
                      </a:graphic>
                    </wp:anchor>
                  </w:drawing>
                </mc:Choice>
                <mc:Fallback>
                  <w:pict>
                    <v:line id="Line 22" o:spid="_x0000_s1026" o:spt="20" style="position:absolute;left:0pt;margin-left:0pt;margin-top:0.75pt;height:46.8pt;width:153pt;z-index:251660288;mso-width-relative:page;mso-height-relative:page;" filled="f" stroked="t" coordsize="21600,21600" o:gfxdata="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tMTndQAAAAFAQAADwAAAAAAAAABACAAAAAiAAAAZHJz&#10;L2Rvd25yZXYueG1sUEsBAhQAFAAAAAgAh07iQLCku+7PAQAApQMAAA4AAAAAAAAAAQAgAAAAIwEA&#10;AGRycy9lMm9Eb2MueG1sUEsFBgAAAAAGAAYAWQEAAGQFAAAAAA==&#10;">
                      <v:fill on="f" focussize="0,0"/>
                      <v:stroke color="#000000" joinstyle="round"/>
                      <v:imagedata o:title=""/>
                      <o:lock v:ext="edit" aspectratio="f"/>
                    </v:line>
                  </w:pict>
                </mc:Fallback>
              </mc:AlternateContent>
            </w:r>
            <w:r>
              <w:rPr>
                <w:rFonts w:hint="eastAsia" w:hAnsi="宋体"/>
                <w:highlight w:val="none"/>
              </w:rPr>
              <w:t>率           类</w:t>
            </w:r>
          </w:p>
          <w:p>
            <w:pPr>
              <w:pStyle w:val="26"/>
              <w:snapToGrid w:val="0"/>
              <w:spacing w:line="360" w:lineRule="exact"/>
              <w:ind w:firstLine="1592" w:firstLineChars="796"/>
              <w:rPr>
                <w:rFonts w:hAnsi="宋体"/>
                <w:highlight w:val="none"/>
              </w:rPr>
            </w:pPr>
            <w:r>
              <w:rPr>
                <w:rFonts w:hint="eastAsia" w:hAnsi="宋体"/>
                <w:highlight w:val="none"/>
              </w:rPr>
              <w:t>型        型</w:t>
            </w:r>
          </w:p>
          <w:p>
            <w:pPr>
              <w:pStyle w:val="26"/>
              <w:snapToGrid w:val="0"/>
              <w:spacing w:line="360" w:lineRule="exact"/>
              <w:rPr>
                <w:rFonts w:hAnsi="宋体"/>
                <w:highlight w:val="none"/>
              </w:rPr>
            </w:pPr>
            <w:r>
              <w:rPr>
                <w:rFonts w:hint="eastAsia" w:hAnsi="宋体"/>
                <w:highlight w:val="none"/>
              </w:rPr>
              <w:t>中标金额（万元）</w:t>
            </w:r>
          </w:p>
        </w:tc>
        <w:tc>
          <w:tcPr>
            <w:tcW w:w="1977" w:type="dxa"/>
            <w:vAlign w:val="center"/>
          </w:tcPr>
          <w:p>
            <w:pPr>
              <w:pStyle w:val="26"/>
              <w:snapToGrid w:val="0"/>
              <w:spacing w:line="360" w:lineRule="exact"/>
              <w:ind w:firstLine="392" w:firstLineChars="196"/>
              <w:rPr>
                <w:rFonts w:hAnsi="宋体"/>
                <w:highlight w:val="none"/>
              </w:rPr>
            </w:pPr>
            <w:r>
              <w:rPr>
                <w:rFonts w:hint="eastAsia" w:hAnsi="宋体"/>
                <w:highlight w:val="none"/>
              </w:rPr>
              <w:t>货物招标</w:t>
            </w:r>
          </w:p>
        </w:tc>
        <w:tc>
          <w:tcPr>
            <w:tcW w:w="2253" w:type="dxa"/>
            <w:vAlign w:val="center"/>
          </w:tcPr>
          <w:p>
            <w:pPr>
              <w:pStyle w:val="26"/>
              <w:snapToGrid w:val="0"/>
              <w:spacing w:line="360" w:lineRule="exact"/>
              <w:ind w:firstLine="392" w:firstLineChars="196"/>
              <w:rPr>
                <w:rFonts w:hAnsi="宋体"/>
                <w:highlight w:val="none"/>
              </w:rPr>
            </w:pPr>
            <w:r>
              <w:rPr>
                <w:rFonts w:hint="eastAsia" w:hAnsi="宋体"/>
                <w:highlight w:val="none"/>
              </w:rPr>
              <w:t>服务招标</w:t>
            </w:r>
          </w:p>
        </w:tc>
        <w:tc>
          <w:tcPr>
            <w:tcW w:w="2203" w:type="dxa"/>
            <w:vAlign w:val="center"/>
          </w:tcPr>
          <w:p>
            <w:pPr>
              <w:pStyle w:val="26"/>
              <w:snapToGrid w:val="0"/>
              <w:spacing w:line="360" w:lineRule="exact"/>
              <w:ind w:firstLine="392" w:firstLineChars="196"/>
              <w:rPr>
                <w:rFonts w:hAnsi="宋体"/>
                <w:highlight w:val="none"/>
              </w:rPr>
            </w:pPr>
            <w:r>
              <w:rPr>
                <w:rFonts w:hint="eastAsia" w:hAnsi="宋体"/>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3" w:type="dxa"/>
            <w:vAlign w:val="center"/>
          </w:tcPr>
          <w:p>
            <w:pPr>
              <w:pStyle w:val="26"/>
              <w:snapToGrid w:val="0"/>
              <w:spacing w:line="360" w:lineRule="exact"/>
              <w:ind w:firstLine="392" w:firstLineChars="196"/>
              <w:rPr>
                <w:rFonts w:hAnsi="宋体"/>
                <w:highlight w:val="none"/>
              </w:rPr>
            </w:pPr>
            <w:r>
              <w:rPr>
                <w:rFonts w:hint="eastAsia" w:hAnsi="宋体"/>
                <w:highlight w:val="none"/>
              </w:rPr>
              <w:t>100以下</w:t>
            </w:r>
          </w:p>
        </w:tc>
        <w:tc>
          <w:tcPr>
            <w:tcW w:w="1977" w:type="dxa"/>
            <w:vAlign w:val="center"/>
          </w:tcPr>
          <w:p>
            <w:pPr>
              <w:pStyle w:val="26"/>
              <w:snapToGrid w:val="0"/>
              <w:spacing w:line="360" w:lineRule="exact"/>
              <w:ind w:firstLine="392" w:firstLineChars="196"/>
              <w:rPr>
                <w:rFonts w:hAnsi="宋体"/>
                <w:highlight w:val="none"/>
              </w:rPr>
            </w:pPr>
            <w:r>
              <w:rPr>
                <w:rFonts w:hint="eastAsia" w:hAnsi="宋体"/>
                <w:highlight w:val="none"/>
              </w:rPr>
              <w:t>1.5%</w:t>
            </w:r>
          </w:p>
        </w:tc>
        <w:tc>
          <w:tcPr>
            <w:tcW w:w="2253" w:type="dxa"/>
            <w:vAlign w:val="center"/>
          </w:tcPr>
          <w:p>
            <w:pPr>
              <w:pStyle w:val="26"/>
              <w:snapToGrid w:val="0"/>
              <w:spacing w:line="360" w:lineRule="exact"/>
              <w:ind w:firstLine="392" w:firstLineChars="196"/>
              <w:rPr>
                <w:rFonts w:hAnsi="宋体"/>
                <w:highlight w:val="none"/>
              </w:rPr>
            </w:pPr>
            <w:r>
              <w:rPr>
                <w:rFonts w:hint="eastAsia" w:hAnsi="宋体"/>
                <w:highlight w:val="none"/>
              </w:rPr>
              <w:t>1.5%</w:t>
            </w:r>
          </w:p>
        </w:tc>
        <w:tc>
          <w:tcPr>
            <w:tcW w:w="2203" w:type="dxa"/>
            <w:vAlign w:val="center"/>
          </w:tcPr>
          <w:p>
            <w:pPr>
              <w:pStyle w:val="26"/>
              <w:snapToGrid w:val="0"/>
              <w:spacing w:line="360" w:lineRule="exact"/>
              <w:ind w:firstLine="392" w:firstLineChars="196"/>
              <w:rPr>
                <w:rFonts w:hAnsi="宋体"/>
                <w:highlight w:val="none"/>
              </w:rPr>
            </w:pPr>
            <w:r>
              <w:rPr>
                <w:rFonts w:hint="eastAsia" w:hAnsi="宋体"/>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3" w:type="dxa"/>
            <w:vAlign w:val="center"/>
          </w:tcPr>
          <w:p>
            <w:pPr>
              <w:pStyle w:val="26"/>
              <w:snapToGrid w:val="0"/>
              <w:spacing w:line="360" w:lineRule="exact"/>
              <w:ind w:firstLine="392" w:firstLineChars="196"/>
              <w:rPr>
                <w:rFonts w:hAnsi="宋体"/>
                <w:highlight w:val="none"/>
              </w:rPr>
            </w:pPr>
            <w:r>
              <w:rPr>
                <w:rFonts w:hint="eastAsia" w:hAnsi="宋体"/>
                <w:highlight w:val="none"/>
              </w:rPr>
              <w:t>100-500</w:t>
            </w:r>
          </w:p>
        </w:tc>
        <w:tc>
          <w:tcPr>
            <w:tcW w:w="1977" w:type="dxa"/>
            <w:vAlign w:val="center"/>
          </w:tcPr>
          <w:p>
            <w:pPr>
              <w:pStyle w:val="26"/>
              <w:snapToGrid w:val="0"/>
              <w:spacing w:line="360" w:lineRule="exact"/>
              <w:ind w:firstLine="392" w:firstLineChars="196"/>
              <w:rPr>
                <w:rFonts w:hAnsi="宋体"/>
                <w:highlight w:val="none"/>
              </w:rPr>
            </w:pPr>
            <w:r>
              <w:rPr>
                <w:rFonts w:hint="eastAsia" w:hAnsi="宋体"/>
                <w:highlight w:val="none"/>
              </w:rPr>
              <w:t>1.1%</w:t>
            </w:r>
          </w:p>
        </w:tc>
        <w:tc>
          <w:tcPr>
            <w:tcW w:w="2253" w:type="dxa"/>
            <w:vAlign w:val="center"/>
          </w:tcPr>
          <w:p>
            <w:pPr>
              <w:pStyle w:val="26"/>
              <w:snapToGrid w:val="0"/>
              <w:spacing w:line="360" w:lineRule="exact"/>
              <w:ind w:firstLine="392" w:firstLineChars="196"/>
              <w:rPr>
                <w:rFonts w:hAnsi="宋体"/>
                <w:highlight w:val="none"/>
              </w:rPr>
            </w:pPr>
            <w:r>
              <w:rPr>
                <w:rFonts w:hint="eastAsia" w:hAnsi="宋体"/>
                <w:highlight w:val="none"/>
              </w:rPr>
              <w:t>0.8%</w:t>
            </w:r>
          </w:p>
        </w:tc>
        <w:tc>
          <w:tcPr>
            <w:tcW w:w="2203" w:type="dxa"/>
            <w:vAlign w:val="center"/>
          </w:tcPr>
          <w:p>
            <w:pPr>
              <w:pStyle w:val="26"/>
              <w:snapToGrid w:val="0"/>
              <w:spacing w:line="360" w:lineRule="exact"/>
              <w:ind w:firstLine="392" w:firstLineChars="196"/>
              <w:rPr>
                <w:rFonts w:hAnsi="宋体"/>
                <w:highlight w:val="none"/>
              </w:rPr>
            </w:pPr>
            <w:r>
              <w:rPr>
                <w:rFonts w:hint="eastAsia" w:hAnsi="宋体"/>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3" w:type="dxa"/>
            <w:vAlign w:val="center"/>
          </w:tcPr>
          <w:p>
            <w:pPr>
              <w:pStyle w:val="26"/>
              <w:snapToGrid w:val="0"/>
              <w:spacing w:line="360" w:lineRule="exact"/>
              <w:ind w:firstLine="392" w:firstLineChars="196"/>
              <w:rPr>
                <w:rFonts w:hAnsi="宋体"/>
                <w:highlight w:val="none"/>
              </w:rPr>
            </w:pPr>
            <w:r>
              <w:rPr>
                <w:rFonts w:hint="eastAsia" w:hAnsi="宋体"/>
                <w:highlight w:val="none"/>
              </w:rPr>
              <w:t>500-1000</w:t>
            </w:r>
          </w:p>
        </w:tc>
        <w:tc>
          <w:tcPr>
            <w:tcW w:w="1977" w:type="dxa"/>
            <w:vAlign w:val="center"/>
          </w:tcPr>
          <w:p>
            <w:pPr>
              <w:pStyle w:val="26"/>
              <w:snapToGrid w:val="0"/>
              <w:spacing w:line="360" w:lineRule="exact"/>
              <w:ind w:firstLine="392" w:firstLineChars="196"/>
              <w:rPr>
                <w:rFonts w:hAnsi="宋体"/>
                <w:highlight w:val="none"/>
              </w:rPr>
            </w:pPr>
            <w:r>
              <w:rPr>
                <w:rFonts w:hint="eastAsia" w:hAnsi="宋体"/>
                <w:highlight w:val="none"/>
              </w:rPr>
              <w:t>0.8%</w:t>
            </w:r>
          </w:p>
        </w:tc>
        <w:tc>
          <w:tcPr>
            <w:tcW w:w="2253" w:type="dxa"/>
            <w:vAlign w:val="center"/>
          </w:tcPr>
          <w:p>
            <w:pPr>
              <w:pStyle w:val="26"/>
              <w:snapToGrid w:val="0"/>
              <w:spacing w:line="360" w:lineRule="exact"/>
              <w:ind w:firstLine="392" w:firstLineChars="196"/>
              <w:rPr>
                <w:rFonts w:hAnsi="宋体"/>
                <w:highlight w:val="none"/>
              </w:rPr>
            </w:pPr>
            <w:r>
              <w:rPr>
                <w:rFonts w:hint="eastAsia" w:hAnsi="宋体"/>
                <w:highlight w:val="none"/>
              </w:rPr>
              <w:t>0.45%</w:t>
            </w:r>
          </w:p>
        </w:tc>
        <w:tc>
          <w:tcPr>
            <w:tcW w:w="2203" w:type="dxa"/>
            <w:vAlign w:val="center"/>
          </w:tcPr>
          <w:p>
            <w:pPr>
              <w:pStyle w:val="26"/>
              <w:snapToGrid w:val="0"/>
              <w:spacing w:line="360" w:lineRule="exact"/>
              <w:ind w:firstLine="392" w:firstLineChars="196"/>
              <w:rPr>
                <w:rFonts w:hAnsi="宋体"/>
                <w:highlight w:val="none"/>
              </w:rPr>
            </w:pPr>
            <w:r>
              <w:rPr>
                <w:rFonts w:hint="eastAsia" w:hAnsi="宋体"/>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3" w:type="dxa"/>
            <w:vAlign w:val="center"/>
          </w:tcPr>
          <w:p>
            <w:pPr>
              <w:pStyle w:val="26"/>
              <w:snapToGrid w:val="0"/>
              <w:spacing w:line="360" w:lineRule="exact"/>
              <w:ind w:firstLine="392" w:firstLineChars="196"/>
              <w:rPr>
                <w:rFonts w:hAnsi="宋体"/>
                <w:highlight w:val="none"/>
              </w:rPr>
            </w:pPr>
            <w:r>
              <w:rPr>
                <w:rFonts w:hint="eastAsia" w:hAnsi="宋体"/>
                <w:highlight w:val="none"/>
              </w:rPr>
              <w:t>1000-5000</w:t>
            </w:r>
          </w:p>
        </w:tc>
        <w:tc>
          <w:tcPr>
            <w:tcW w:w="1977" w:type="dxa"/>
            <w:vAlign w:val="center"/>
          </w:tcPr>
          <w:p>
            <w:pPr>
              <w:pStyle w:val="26"/>
              <w:snapToGrid w:val="0"/>
              <w:spacing w:line="360" w:lineRule="exact"/>
              <w:ind w:firstLine="392" w:firstLineChars="196"/>
              <w:rPr>
                <w:rFonts w:hAnsi="宋体"/>
                <w:highlight w:val="none"/>
              </w:rPr>
            </w:pPr>
            <w:r>
              <w:rPr>
                <w:rFonts w:hint="eastAsia" w:hAnsi="宋体"/>
                <w:highlight w:val="none"/>
              </w:rPr>
              <w:t>0.5%</w:t>
            </w:r>
          </w:p>
        </w:tc>
        <w:tc>
          <w:tcPr>
            <w:tcW w:w="2253" w:type="dxa"/>
            <w:vAlign w:val="center"/>
          </w:tcPr>
          <w:p>
            <w:pPr>
              <w:pStyle w:val="26"/>
              <w:snapToGrid w:val="0"/>
              <w:spacing w:line="360" w:lineRule="exact"/>
              <w:ind w:firstLine="392" w:firstLineChars="196"/>
              <w:rPr>
                <w:rFonts w:hAnsi="宋体"/>
                <w:highlight w:val="none"/>
              </w:rPr>
            </w:pPr>
            <w:r>
              <w:rPr>
                <w:rFonts w:hint="eastAsia" w:hAnsi="宋体"/>
                <w:highlight w:val="none"/>
              </w:rPr>
              <w:t>0.25%</w:t>
            </w:r>
          </w:p>
        </w:tc>
        <w:tc>
          <w:tcPr>
            <w:tcW w:w="2203" w:type="dxa"/>
            <w:vAlign w:val="center"/>
          </w:tcPr>
          <w:p>
            <w:pPr>
              <w:pStyle w:val="26"/>
              <w:snapToGrid w:val="0"/>
              <w:spacing w:line="360" w:lineRule="exact"/>
              <w:ind w:firstLine="392" w:firstLineChars="196"/>
              <w:rPr>
                <w:rFonts w:hAnsi="宋体"/>
                <w:highlight w:val="none"/>
              </w:rPr>
            </w:pPr>
            <w:r>
              <w:rPr>
                <w:rFonts w:hint="eastAsia" w:hAnsi="宋体"/>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3" w:type="dxa"/>
            <w:vAlign w:val="center"/>
          </w:tcPr>
          <w:p>
            <w:pPr>
              <w:pStyle w:val="26"/>
              <w:snapToGrid w:val="0"/>
              <w:spacing w:line="360" w:lineRule="exact"/>
              <w:ind w:firstLine="392" w:firstLineChars="196"/>
              <w:rPr>
                <w:rFonts w:hAnsi="宋体"/>
                <w:highlight w:val="none"/>
              </w:rPr>
            </w:pPr>
            <w:r>
              <w:rPr>
                <w:rFonts w:hint="eastAsia" w:hAnsi="宋体"/>
                <w:highlight w:val="none"/>
              </w:rPr>
              <w:t>5000-10000</w:t>
            </w:r>
          </w:p>
        </w:tc>
        <w:tc>
          <w:tcPr>
            <w:tcW w:w="1977" w:type="dxa"/>
            <w:vAlign w:val="center"/>
          </w:tcPr>
          <w:p>
            <w:pPr>
              <w:pStyle w:val="26"/>
              <w:snapToGrid w:val="0"/>
              <w:spacing w:line="360" w:lineRule="exact"/>
              <w:ind w:firstLine="392" w:firstLineChars="196"/>
              <w:rPr>
                <w:rFonts w:hAnsi="宋体"/>
                <w:highlight w:val="none"/>
              </w:rPr>
            </w:pPr>
            <w:r>
              <w:rPr>
                <w:rFonts w:hint="eastAsia" w:hAnsi="宋体"/>
                <w:highlight w:val="none"/>
              </w:rPr>
              <w:t>0.25%</w:t>
            </w:r>
          </w:p>
        </w:tc>
        <w:tc>
          <w:tcPr>
            <w:tcW w:w="2253" w:type="dxa"/>
            <w:vAlign w:val="center"/>
          </w:tcPr>
          <w:p>
            <w:pPr>
              <w:pStyle w:val="26"/>
              <w:snapToGrid w:val="0"/>
              <w:spacing w:line="360" w:lineRule="exact"/>
              <w:ind w:firstLine="392" w:firstLineChars="196"/>
              <w:rPr>
                <w:rFonts w:hAnsi="宋体"/>
                <w:highlight w:val="none"/>
              </w:rPr>
            </w:pPr>
            <w:r>
              <w:rPr>
                <w:rFonts w:hint="eastAsia" w:hAnsi="宋体"/>
                <w:highlight w:val="none"/>
              </w:rPr>
              <w:t>0.1%</w:t>
            </w:r>
          </w:p>
        </w:tc>
        <w:tc>
          <w:tcPr>
            <w:tcW w:w="2203" w:type="dxa"/>
            <w:vAlign w:val="center"/>
          </w:tcPr>
          <w:p>
            <w:pPr>
              <w:pStyle w:val="26"/>
              <w:snapToGrid w:val="0"/>
              <w:spacing w:line="360" w:lineRule="exact"/>
              <w:ind w:firstLine="392" w:firstLineChars="196"/>
              <w:rPr>
                <w:rFonts w:hAnsi="宋体"/>
                <w:highlight w:val="none"/>
              </w:rPr>
            </w:pPr>
            <w:r>
              <w:rPr>
                <w:rFonts w:hint="eastAsia" w:hAnsi="宋体"/>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3" w:type="dxa"/>
            <w:vAlign w:val="center"/>
          </w:tcPr>
          <w:p>
            <w:pPr>
              <w:pStyle w:val="26"/>
              <w:snapToGrid w:val="0"/>
              <w:spacing w:line="360" w:lineRule="exact"/>
              <w:ind w:firstLine="392" w:firstLineChars="196"/>
              <w:rPr>
                <w:rFonts w:hAnsi="宋体"/>
                <w:highlight w:val="none"/>
              </w:rPr>
            </w:pPr>
            <w:r>
              <w:rPr>
                <w:rFonts w:hint="eastAsia" w:hAnsi="宋体"/>
                <w:highlight w:val="none"/>
              </w:rPr>
              <w:t>10000-100000</w:t>
            </w:r>
          </w:p>
        </w:tc>
        <w:tc>
          <w:tcPr>
            <w:tcW w:w="1977" w:type="dxa"/>
            <w:vAlign w:val="center"/>
          </w:tcPr>
          <w:p>
            <w:pPr>
              <w:pStyle w:val="26"/>
              <w:snapToGrid w:val="0"/>
              <w:spacing w:line="360" w:lineRule="exact"/>
              <w:ind w:firstLine="392" w:firstLineChars="196"/>
              <w:rPr>
                <w:rFonts w:hAnsi="宋体"/>
                <w:highlight w:val="none"/>
              </w:rPr>
            </w:pPr>
            <w:r>
              <w:rPr>
                <w:rFonts w:hint="eastAsia" w:hAnsi="宋体"/>
                <w:highlight w:val="none"/>
              </w:rPr>
              <w:t>0.05%</w:t>
            </w:r>
          </w:p>
        </w:tc>
        <w:tc>
          <w:tcPr>
            <w:tcW w:w="2253" w:type="dxa"/>
            <w:vAlign w:val="center"/>
          </w:tcPr>
          <w:p>
            <w:pPr>
              <w:pStyle w:val="26"/>
              <w:snapToGrid w:val="0"/>
              <w:spacing w:line="360" w:lineRule="exact"/>
              <w:ind w:firstLine="392" w:firstLineChars="196"/>
              <w:rPr>
                <w:rFonts w:hAnsi="宋体"/>
                <w:highlight w:val="none"/>
              </w:rPr>
            </w:pPr>
            <w:r>
              <w:rPr>
                <w:rFonts w:hint="eastAsia" w:hAnsi="宋体"/>
                <w:highlight w:val="none"/>
              </w:rPr>
              <w:t>0.05%</w:t>
            </w:r>
          </w:p>
        </w:tc>
        <w:tc>
          <w:tcPr>
            <w:tcW w:w="2203" w:type="dxa"/>
            <w:vAlign w:val="center"/>
          </w:tcPr>
          <w:p>
            <w:pPr>
              <w:pStyle w:val="26"/>
              <w:snapToGrid w:val="0"/>
              <w:spacing w:line="360" w:lineRule="exact"/>
              <w:ind w:firstLine="392" w:firstLineChars="196"/>
              <w:rPr>
                <w:rFonts w:hAnsi="宋体"/>
                <w:highlight w:val="none"/>
              </w:rPr>
            </w:pPr>
            <w:r>
              <w:rPr>
                <w:rFonts w:hint="eastAsia" w:hAnsi="宋体"/>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3" w:type="dxa"/>
            <w:vAlign w:val="center"/>
          </w:tcPr>
          <w:p>
            <w:pPr>
              <w:pStyle w:val="26"/>
              <w:snapToGrid w:val="0"/>
              <w:spacing w:line="360" w:lineRule="exact"/>
              <w:ind w:firstLine="392" w:firstLineChars="196"/>
              <w:rPr>
                <w:rFonts w:hAnsi="宋体"/>
                <w:highlight w:val="none"/>
              </w:rPr>
            </w:pPr>
            <w:r>
              <w:rPr>
                <w:rFonts w:hint="eastAsia" w:hAnsi="宋体"/>
                <w:highlight w:val="none"/>
              </w:rPr>
              <w:t>1000000以上</w:t>
            </w:r>
          </w:p>
        </w:tc>
        <w:tc>
          <w:tcPr>
            <w:tcW w:w="1977" w:type="dxa"/>
            <w:vAlign w:val="center"/>
          </w:tcPr>
          <w:p>
            <w:pPr>
              <w:pStyle w:val="26"/>
              <w:snapToGrid w:val="0"/>
              <w:spacing w:line="360" w:lineRule="exact"/>
              <w:ind w:firstLine="392" w:firstLineChars="196"/>
              <w:rPr>
                <w:rFonts w:hAnsi="宋体"/>
                <w:highlight w:val="none"/>
              </w:rPr>
            </w:pPr>
            <w:r>
              <w:rPr>
                <w:rFonts w:hint="eastAsia" w:hAnsi="宋体"/>
                <w:highlight w:val="none"/>
              </w:rPr>
              <w:t>0.01%</w:t>
            </w:r>
          </w:p>
        </w:tc>
        <w:tc>
          <w:tcPr>
            <w:tcW w:w="2253" w:type="dxa"/>
            <w:vAlign w:val="center"/>
          </w:tcPr>
          <w:p>
            <w:pPr>
              <w:pStyle w:val="26"/>
              <w:snapToGrid w:val="0"/>
              <w:spacing w:line="360" w:lineRule="exact"/>
              <w:ind w:firstLine="392" w:firstLineChars="196"/>
              <w:rPr>
                <w:rFonts w:hAnsi="宋体"/>
                <w:highlight w:val="none"/>
              </w:rPr>
            </w:pPr>
            <w:r>
              <w:rPr>
                <w:rFonts w:hint="eastAsia" w:hAnsi="宋体"/>
                <w:highlight w:val="none"/>
              </w:rPr>
              <w:t>0.01%</w:t>
            </w:r>
          </w:p>
        </w:tc>
        <w:tc>
          <w:tcPr>
            <w:tcW w:w="2203" w:type="dxa"/>
            <w:vAlign w:val="center"/>
          </w:tcPr>
          <w:p>
            <w:pPr>
              <w:pStyle w:val="26"/>
              <w:snapToGrid w:val="0"/>
              <w:spacing w:line="360" w:lineRule="exact"/>
              <w:ind w:firstLine="392" w:firstLineChars="196"/>
              <w:rPr>
                <w:rFonts w:hAnsi="宋体"/>
                <w:highlight w:val="none"/>
              </w:rPr>
            </w:pPr>
            <w:r>
              <w:rPr>
                <w:rFonts w:hint="eastAsia" w:hAnsi="宋体"/>
                <w:highlight w:val="none"/>
              </w:rPr>
              <w:t>0.01%</w:t>
            </w:r>
          </w:p>
        </w:tc>
      </w:tr>
    </w:tbl>
    <w:p>
      <w:pPr>
        <w:pStyle w:val="26"/>
        <w:snapToGrid w:val="0"/>
        <w:spacing w:line="360" w:lineRule="exact"/>
        <w:ind w:firstLine="392" w:firstLineChars="196"/>
        <w:rPr>
          <w:rFonts w:hAnsi="宋体"/>
          <w:highlight w:val="none"/>
        </w:rPr>
      </w:pPr>
      <w:r>
        <w:rPr>
          <w:rFonts w:hint="eastAsia" w:hAnsi="宋体"/>
          <w:highlight w:val="none"/>
        </w:rPr>
        <w:t>注：招标代理服务费收费按差额定率累进法计算。</w:t>
      </w:r>
    </w:p>
    <w:p>
      <w:pPr>
        <w:widowControl/>
        <w:spacing w:line="360" w:lineRule="exact"/>
        <w:outlineLvl w:val="0"/>
        <w:rPr>
          <w:rFonts w:ascii="宋体" w:hAnsi="宋体" w:cs="Courier New"/>
          <w:b/>
          <w:sz w:val="28"/>
          <w:szCs w:val="28"/>
          <w:highlight w:val="none"/>
        </w:rPr>
      </w:pPr>
    </w:p>
    <w:p>
      <w:pPr>
        <w:widowControl/>
        <w:shd w:val="clear" w:color="auto" w:fill="FFFFFF"/>
        <w:spacing w:line="480" w:lineRule="atLeast"/>
        <w:jc w:val="left"/>
        <w:rPr>
          <w:rFonts w:hAnsi="宋体"/>
          <w:highlight w:val="none"/>
        </w:rPr>
      </w:pPr>
    </w:p>
    <w:p>
      <w:pPr>
        <w:widowControl/>
        <w:shd w:val="clear" w:color="auto" w:fill="FFFFFF"/>
        <w:spacing w:line="480" w:lineRule="atLeast"/>
        <w:jc w:val="left"/>
        <w:rPr>
          <w:rFonts w:hAnsi="宋体"/>
          <w:highlight w:val="none"/>
        </w:rPr>
      </w:pPr>
    </w:p>
    <w:p>
      <w:pPr>
        <w:widowControl/>
        <w:shd w:val="clear" w:color="auto" w:fill="FFFFFF"/>
        <w:spacing w:line="480" w:lineRule="atLeast"/>
        <w:jc w:val="left"/>
        <w:rPr>
          <w:rFonts w:hAnsi="宋体"/>
          <w:highlight w:val="none"/>
        </w:rPr>
      </w:pPr>
      <w:r>
        <w:rPr>
          <w:rFonts w:hint="eastAsia" w:hAnsi="宋体"/>
          <w:highlight w:val="none"/>
        </w:rPr>
        <w:t>附件1：</w:t>
      </w:r>
    </w:p>
    <w:p>
      <w:pPr>
        <w:widowControl/>
        <w:shd w:val="clear" w:color="auto" w:fill="FFFFFF"/>
        <w:spacing w:line="480" w:lineRule="atLeast"/>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广西壮族自治区政府采购项目</w:t>
      </w:r>
      <w:r>
        <w:rPr>
          <w:rFonts w:hint="eastAsia" w:ascii="宋体" w:hAnsi="宋体" w:cs="宋体"/>
          <w:b/>
          <w:color w:val="000000"/>
          <w:kern w:val="0"/>
          <w:szCs w:val="21"/>
          <w:highlight w:val="none"/>
        </w:rPr>
        <w:t>合同验收书（格式）</w:t>
      </w:r>
    </w:p>
    <w:p>
      <w:pPr>
        <w:widowControl/>
        <w:shd w:val="clear" w:color="auto" w:fill="FFFFFF"/>
        <w:snapToGrid w:val="0"/>
        <w:spacing w:line="320" w:lineRule="atLeast"/>
        <w:ind w:firstLine="480"/>
        <w:jc w:val="left"/>
        <w:rPr>
          <w:rFonts w:ascii="宋体" w:hAnsi="宋体" w:cs="宋体"/>
          <w:color w:val="000000"/>
          <w:kern w:val="0"/>
          <w:szCs w:val="21"/>
          <w:highlight w:val="none"/>
        </w:rPr>
      </w:pPr>
      <w:r>
        <w:rPr>
          <w:rFonts w:hint="eastAsia" w:ascii="宋体" w:hAnsi="宋体" w:cs="宋体"/>
          <w:color w:val="000000"/>
          <w:kern w:val="0"/>
          <w:szCs w:val="21"/>
          <w:highlight w:val="none"/>
        </w:rPr>
        <w:t>根据政府采购项目（</w:t>
      </w:r>
      <w:r>
        <w:rPr>
          <w:rFonts w:hint="eastAsia" w:ascii="宋体" w:hAnsi="宋体" w:cs="宋体"/>
          <w:color w:val="000000"/>
          <w:kern w:val="0"/>
          <w:szCs w:val="21"/>
          <w:highlight w:val="none"/>
          <w:u w:val="single"/>
        </w:rPr>
        <w:t>采购合同编号：</w:t>
      </w:r>
      <w:r>
        <w:rPr>
          <w:rFonts w:hint="eastAsia" w:ascii="宋体" w:hAnsi="宋体" w:cs="宋体"/>
          <w:color w:val="000000"/>
          <w:kern w:val="0"/>
          <w:szCs w:val="21"/>
          <w:highlight w:val="none"/>
          <w:u w:val="single"/>
        </w:rPr>
        <w:softHyphen/>
      </w:r>
      <w:r>
        <w:rPr>
          <w:rFonts w:hint="eastAsia" w:ascii="宋体" w:hAnsi="宋体" w:cs="宋体"/>
          <w:color w:val="000000"/>
          <w:kern w:val="0"/>
          <w:szCs w:val="21"/>
          <w:highlight w:val="none"/>
          <w:u w:val="single"/>
        </w:rPr>
        <w:t>   </w:t>
      </w:r>
      <w:r>
        <w:rPr>
          <w:rFonts w:hint="eastAsia" w:ascii="宋体" w:hAnsi="宋体" w:cs="宋体"/>
          <w:color w:val="000000"/>
          <w:kern w:val="0"/>
          <w:szCs w:val="21"/>
          <w:highlight w:val="none"/>
        </w:rPr>
        <w:t>）的约定，我单位对（</w:t>
      </w:r>
      <w:r>
        <w:rPr>
          <w:rFonts w:hint="eastAsia" w:ascii="宋体" w:hAnsi="宋体" w:cs="宋体"/>
          <w:color w:val="000000"/>
          <w:kern w:val="0"/>
          <w:szCs w:val="21"/>
          <w:highlight w:val="none"/>
          <w:u w:val="single"/>
        </w:rPr>
        <w:t> 项目名称  </w:t>
      </w:r>
      <w:r>
        <w:rPr>
          <w:rFonts w:hint="eastAsia" w:ascii="宋体" w:hAnsi="宋体" w:cs="仿宋"/>
          <w:color w:val="000000"/>
          <w:kern w:val="0"/>
          <w:szCs w:val="21"/>
          <w:highlight w:val="none"/>
          <w:u w:val="single"/>
        </w:rPr>
        <w:t xml:space="preserve"> </w:t>
      </w:r>
      <w:r>
        <w:rPr>
          <w:rFonts w:hint="eastAsia" w:ascii="宋体" w:hAnsi="宋体" w:cs="宋体"/>
          <w:color w:val="000000"/>
          <w:kern w:val="0"/>
          <w:szCs w:val="21"/>
          <w:highlight w:val="none"/>
        </w:rPr>
        <w:t>）政府采购项目中标（或成交）供应商（</w:t>
      </w:r>
      <w:r>
        <w:rPr>
          <w:rFonts w:hint="eastAsia" w:ascii="宋体" w:hAnsi="宋体" w:cs="宋体"/>
          <w:color w:val="000000"/>
          <w:kern w:val="0"/>
          <w:szCs w:val="21"/>
          <w:highlight w:val="none"/>
          <w:u w:val="single"/>
        </w:rPr>
        <w:t>           </w:t>
      </w:r>
      <w:r>
        <w:rPr>
          <w:rFonts w:hint="eastAsia" w:ascii="宋体" w:hAnsi="宋体" w:cs="仿宋"/>
          <w:color w:val="000000"/>
          <w:kern w:val="0"/>
          <w:szCs w:val="21"/>
          <w:highlight w:val="none"/>
          <w:u w:val="single"/>
        </w:rPr>
        <w:t xml:space="preserve"> </w:t>
      </w:r>
      <w:r>
        <w:rPr>
          <w:rFonts w:hint="eastAsia" w:ascii="宋体" w:hAnsi="宋体" w:cs="宋体"/>
          <w:color w:val="000000"/>
          <w:kern w:val="0"/>
          <w:szCs w:val="21"/>
          <w:highlight w:val="none"/>
          <w:u w:val="single"/>
        </w:rPr>
        <w:t>公司名称             </w:t>
      </w:r>
      <w:r>
        <w:rPr>
          <w:rFonts w:hint="eastAsia" w:ascii="宋体" w:hAnsi="宋体" w:cs="仿宋"/>
          <w:color w:val="000000"/>
          <w:kern w:val="0"/>
          <w:szCs w:val="21"/>
          <w:highlight w:val="none"/>
          <w:u w:val="single"/>
        </w:rPr>
        <w:t xml:space="preserve"> </w:t>
      </w:r>
      <w:r>
        <w:rPr>
          <w:rFonts w:hint="eastAsia" w:ascii="宋体" w:hAnsi="宋体" w:cs="宋体"/>
          <w:color w:val="000000"/>
          <w:kern w:val="0"/>
          <w:szCs w:val="21"/>
          <w:highlight w:val="none"/>
        </w:rPr>
        <w:t>）提供的货物（或工程、服务）进行了验收，验收情况如下：</w:t>
      </w:r>
    </w:p>
    <w:tbl>
      <w:tblPr>
        <w:tblStyle w:val="49"/>
        <w:tblW w:w="9457" w:type="dxa"/>
        <w:jc w:val="center"/>
        <w:tblLayout w:type="fixed"/>
        <w:tblCellMar>
          <w:top w:w="0" w:type="dxa"/>
          <w:left w:w="0" w:type="dxa"/>
          <w:bottom w:w="0" w:type="dxa"/>
          <w:right w:w="0" w:type="dxa"/>
        </w:tblCellMar>
      </w:tblPr>
      <w:tblGrid>
        <w:gridCol w:w="1037"/>
        <w:gridCol w:w="2163"/>
        <w:gridCol w:w="891"/>
        <w:gridCol w:w="2648"/>
        <w:gridCol w:w="219"/>
        <w:gridCol w:w="843"/>
        <w:gridCol w:w="1656"/>
      </w:tblGrid>
      <w:tr>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333333"/>
                <w:kern w:val="0"/>
                <w:szCs w:val="21"/>
                <w:highlight w:val="none"/>
              </w:rPr>
            </w:pPr>
            <w:r>
              <w:rPr>
                <w:rFonts w:hint="eastAsia" w:ascii="宋体" w:hAnsi="宋体" w:cs="宋体"/>
                <w:color w:val="333333"/>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333333"/>
                <w:kern w:val="0"/>
                <w:szCs w:val="21"/>
                <w:highlight w:val="none"/>
              </w:rPr>
            </w:pPr>
            <w:r>
              <w:rPr>
                <w:rFonts w:hint="eastAsia" w:ascii="宋体" w:hAnsi="宋体" w:cs="宋体"/>
                <w:color w:val="333333"/>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333333"/>
                <w:kern w:val="0"/>
                <w:szCs w:val="21"/>
                <w:highlight w:val="none"/>
              </w:rPr>
            </w:pPr>
            <w:r>
              <w:rPr>
                <w:rFonts w:hint="eastAsia" w:ascii="宋体" w:hAnsi="宋体" w:cs="宋体"/>
                <w:color w:val="333333"/>
                <w:kern w:val="0"/>
                <w:szCs w:val="21"/>
                <w:highlight w:val="none"/>
              </w:rPr>
              <w:t>序号</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333333"/>
                <w:kern w:val="0"/>
                <w:szCs w:val="21"/>
                <w:highlight w:val="none"/>
              </w:rPr>
            </w:pPr>
            <w:r>
              <w:rPr>
                <w:rFonts w:hint="eastAsia" w:ascii="宋体" w:hAnsi="宋体" w:cs="宋体"/>
                <w:color w:val="333333"/>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333333"/>
                <w:kern w:val="0"/>
                <w:szCs w:val="21"/>
                <w:highlight w:val="none"/>
              </w:rPr>
            </w:pPr>
            <w:r>
              <w:rPr>
                <w:rFonts w:hint="eastAsia" w:ascii="宋体" w:hAnsi="宋体" w:cs="宋体"/>
                <w:color w:val="333333"/>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333333"/>
                <w:kern w:val="0"/>
                <w:szCs w:val="21"/>
                <w:highlight w:val="none"/>
              </w:rPr>
            </w:pPr>
            <w:r>
              <w:rPr>
                <w:rFonts w:hint="eastAsia" w:ascii="宋体" w:hAnsi="宋体" w:cs="宋体"/>
                <w:color w:val="333333"/>
                <w:kern w:val="0"/>
                <w:szCs w:val="21"/>
                <w:highlight w:val="none"/>
              </w:rPr>
              <w:t>数量</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333333"/>
                <w:kern w:val="0"/>
                <w:szCs w:val="21"/>
                <w:highlight w:val="none"/>
              </w:rPr>
            </w:pPr>
            <w:r>
              <w:rPr>
                <w:rFonts w:hint="eastAsia" w:ascii="宋体" w:hAnsi="宋体" w:cs="宋体"/>
                <w:color w:val="333333"/>
                <w:kern w:val="0"/>
                <w:szCs w:val="21"/>
                <w:highlight w:val="none"/>
              </w:rPr>
              <w:t>金 额</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r>
      <w:tr>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333333"/>
                <w:kern w:val="0"/>
                <w:szCs w:val="21"/>
                <w:highlight w:val="none"/>
              </w:rPr>
            </w:pPr>
            <w:r>
              <w:rPr>
                <w:rFonts w:hint="eastAsia" w:ascii="宋体" w:hAnsi="宋体" w:cs="宋体"/>
                <w:color w:val="333333"/>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r>
      <w:tr>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333333"/>
                <w:kern w:val="0"/>
                <w:szCs w:val="21"/>
                <w:highlight w:val="none"/>
              </w:rPr>
            </w:pPr>
            <w:r>
              <w:rPr>
                <w:rFonts w:hint="eastAsia" w:ascii="宋体" w:hAnsi="宋体" w:cs="宋体"/>
                <w:color w:val="333333"/>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333333"/>
                <w:kern w:val="0"/>
                <w:szCs w:val="21"/>
                <w:highlight w:val="none"/>
              </w:rPr>
            </w:pPr>
            <w:r>
              <w:rPr>
                <w:rFonts w:hint="eastAsia" w:ascii="宋体" w:hAnsi="宋体" w:cs="宋体"/>
                <w:color w:val="333333"/>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333333"/>
                <w:kern w:val="0"/>
                <w:szCs w:val="21"/>
                <w:highlight w:val="none"/>
              </w:rPr>
            </w:pPr>
            <w:r>
              <w:rPr>
                <w:rFonts w:hint="eastAsia" w:ascii="宋体" w:hAnsi="宋体" w:cs="宋体"/>
                <w:color w:val="333333"/>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r>
      <w:tr>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r>
      <w:tr>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 验收结论性意见：</w:t>
            </w:r>
          </w:p>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 </w:t>
            </w:r>
          </w:p>
        </w:tc>
      </w:tr>
      <w:tr>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333333"/>
                <w:kern w:val="0"/>
                <w:szCs w:val="21"/>
                <w:highlight w:val="none"/>
              </w:rPr>
            </w:pP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333333"/>
                <w:kern w:val="0"/>
                <w:szCs w:val="21"/>
                <w:highlight w:val="none"/>
              </w:rPr>
            </w:pPr>
            <w:r>
              <w:rPr>
                <w:rFonts w:hint="eastAsia" w:ascii="宋体" w:hAnsi="宋体" w:cs="宋体"/>
                <w:color w:val="333333"/>
                <w:kern w:val="0"/>
                <w:szCs w:val="21"/>
                <w:highlight w:val="none"/>
              </w:rPr>
              <w:t>有异议的意见和说明理由：</w:t>
            </w:r>
          </w:p>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                                      签字：</w:t>
            </w:r>
          </w:p>
        </w:tc>
      </w:tr>
      <w:tr>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333333"/>
                <w:kern w:val="0"/>
                <w:szCs w:val="21"/>
                <w:highlight w:val="none"/>
              </w:rPr>
            </w:pPr>
            <w:r>
              <w:rPr>
                <w:rFonts w:hint="eastAsia" w:ascii="宋体" w:hAnsi="宋体" w:cs="宋体"/>
                <w:color w:val="333333"/>
                <w:kern w:val="0"/>
                <w:szCs w:val="21"/>
                <w:highlight w:val="none"/>
              </w:rPr>
              <w:t>或受邀机构的意见（盖章）：</w:t>
            </w:r>
          </w:p>
        </w:tc>
      </w:tr>
      <w:tr>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采购人或受托机构的意见（盖章）：</w:t>
            </w:r>
          </w:p>
          <w:p>
            <w:pPr>
              <w:widowControl/>
              <w:spacing w:before="100" w:beforeAutospacing="1" w:after="100" w:afterAutospacing="1" w:line="320" w:lineRule="atLeast"/>
              <w:jc w:val="left"/>
              <w:rPr>
                <w:rFonts w:ascii="宋体" w:hAnsi="宋体" w:cs="宋体"/>
                <w:color w:val="333333"/>
                <w:kern w:val="0"/>
                <w:szCs w:val="21"/>
                <w:highlight w:val="none"/>
              </w:rPr>
            </w:pPr>
            <w:r>
              <w:rPr>
                <w:rFonts w:hint="eastAsia" w:ascii="宋体" w:hAnsi="宋体" w:cs="宋体"/>
                <w:color w:val="333333"/>
                <w:kern w:val="0"/>
                <w:szCs w:val="21"/>
                <w:highlight w:val="none"/>
              </w:rPr>
              <w:t>联系电话：             年   月   日</w:t>
            </w:r>
          </w:p>
        </w:tc>
      </w:tr>
    </w:tbl>
    <w:p>
      <w:pPr>
        <w:pStyle w:val="26"/>
        <w:snapToGrid w:val="0"/>
        <w:rPr>
          <w:rFonts w:hAnsi="宋体"/>
          <w:highlight w:val="none"/>
        </w:rPr>
      </w:pPr>
    </w:p>
    <w:p>
      <w:pPr>
        <w:pStyle w:val="2"/>
        <w:rPr>
          <w:rFonts w:ascii="宋体" w:hAnsi="宋体" w:cs="宋体"/>
          <w:highlight w:val="none"/>
        </w:rPr>
      </w:pPr>
    </w:p>
    <w:bookmarkEnd w:id="0"/>
    <w:bookmarkEnd w:id="1"/>
    <w:bookmarkEnd w:id="140"/>
    <w:bookmarkEnd w:id="141"/>
    <w:p>
      <w:pPr>
        <w:pStyle w:val="7"/>
        <w:rPr>
          <w:rFonts w:ascii="宋体" w:hAnsi="宋体" w:eastAsia="宋体" w:cs="宋体"/>
          <w:b/>
          <w:bCs/>
          <w:highlight w:val="none"/>
        </w:rPr>
      </w:pPr>
      <w:r>
        <w:rPr>
          <w:rFonts w:hint="eastAsia" w:ascii="宋体" w:hAnsi="宋体" w:eastAsia="宋体" w:cs="宋体"/>
          <w:b/>
          <w:bCs/>
          <w:sz w:val="36"/>
          <w:szCs w:val="36"/>
          <w:highlight w:val="none"/>
        </w:rPr>
        <w:t>第四章  评标办法及评分标准</w:t>
      </w:r>
    </w:p>
    <w:p>
      <w:pPr>
        <w:pStyle w:val="6"/>
        <w:spacing w:line="400" w:lineRule="exact"/>
        <w:ind w:firstLine="422"/>
        <w:rPr>
          <w:rFonts w:ascii="宋体" w:hAnsi="宋体" w:cs="宋体"/>
          <w:b/>
          <w:bCs/>
          <w:highlight w:val="none"/>
        </w:rPr>
      </w:pPr>
      <w:r>
        <w:rPr>
          <w:rFonts w:hint="eastAsia" w:ascii="宋体" w:hAnsi="宋体" w:cs="宋体"/>
          <w:b/>
          <w:bCs/>
          <w:highlight w:val="none"/>
        </w:rPr>
        <w:t>一、评标原则</w:t>
      </w:r>
    </w:p>
    <w:p>
      <w:pPr>
        <w:pStyle w:val="6"/>
        <w:spacing w:line="400" w:lineRule="exact"/>
        <w:ind w:firstLine="420"/>
        <w:rPr>
          <w:rFonts w:ascii="宋体" w:hAnsi="宋体" w:cs="宋体"/>
          <w:highlight w:val="none"/>
        </w:rPr>
      </w:pPr>
      <w:r>
        <w:rPr>
          <w:rFonts w:hint="eastAsia" w:ascii="宋体" w:hAnsi="宋体" w:cs="宋体"/>
          <w:highlight w:val="none"/>
        </w:rPr>
        <w:t>（一）评委构成：本项目的评标委员会由 1 名采购人代表和 4 名有关技术、经济等方面的专家组成，成员人数应当为五人单数。</w:t>
      </w:r>
    </w:p>
    <w:p>
      <w:pPr>
        <w:pStyle w:val="6"/>
        <w:spacing w:line="400" w:lineRule="exact"/>
        <w:ind w:firstLine="420"/>
        <w:rPr>
          <w:rFonts w:ascii="宋体" w:hAnsi="宋体" w:cs="宋体"/>
          <w:highlight w:val="none"/>
        </w:rPr>
      </w:pPr>
      <w:r>
        <w:rPr>
          <w:rFonts w:hint="eastAsia" w:ascii="宋体" w:hAnsi="宋体" w:cs="宋体"/>
          <w:highlight w:val="none"/>
        </w:rPr>
        <w:t>（二）评标依据：评委将以招标文件为评标依据，对投标人的资格审查文件、商务/技术文件、报价文件等三部分内容按百分制打分。（评标时，对于带有主观因素的评分，由各评委独立进行评价、打分，不允许讨论）</w:t>
      </w:r>
    </w:p>
    <w:p>
      <w:pPr>
        <w:pStyle w:val="6"/>
        <w:spacing w:line="400" w:lineRule="exact"/>
        <w:ind w:firstLine="420"/>
        <w:rPr>
          <w:rFonts w:ascii="宋体" w:hAnsi="宋体" w:cs="宋体"/>
          <w:highlight w:val="none"/>
        </w:rPr>
      </w:pPr>
      <w:r>
        <w:rPr>
          <w:rFonts w:hint="eastAsia" w:ascii="宋体" w:hAnsi="宋体" w:cs="宋体"/>
          <w:highlight w:val="none"/>
        </w:rPr>
        <w:t>（三）评标方式：以封闭方式进行。</w:t>
      </w:r>
    </w:p>
    <w:p>
      <w:pPr>
        <w:pStyle w:val="6"/>
        <w:spacing w:line="400" w:lineRule="exact"/>
        <w:ind w:firstLine="420"/>
        <w:rPr>
          <w:rFonts w:ascii="宋体" w:hAnsi="宋体" w:cs="宋体"/>
          <w:highlight w:val="none"/>
        </w:rPr>
      </w:pPr>
      <w:r>
        <w:rPr>
          <w:rFonts w:hint="eastAsia" w:ascii="宋体" w:hAnsi="宋体" w:cs="宋体"/>
          <w:highlight w:val="none"/>
        </w:rPr>
        <w:t>（四）在评标过程中，如评标委员会认为投标人的最后投标报价明显低于其他通过符合性审查投标人的最后投标报价，有可能影响合同服务质量或不能诚信履约的，可以要求其在规定的期限内提供书面文件予以说明，并提供相关证明资料，否则，评标委员会可以认定该投标人以低于成本报价投标，报价严重不平衡、不合理，其投标作无效投标处理。</w:t>
      </w:r>
    </w:p>
    <w:p>
      <w:pPr>
        <w:pStyle w:val="6"/>
        <w:spacing w:line="400" w:lineRule="exact"/>
        <w:ind w:firstLine="420"/>
        <w:rPr>
          <w:rFonts w:ascii="宋体" w:hAnsi="宋体" w:cs="宋体"/>
          <w:highlight w:val="none"/>
        </w:rPr>
      </w:pPr>
      <w:r>
        <w:rPr>
          <w:rFonts w:hint="eastAsia" w:ascii="宋体" w:hAnsi="宋体" w:cs="宋体"/>
          <w:highlight w:val="none"/>
        </w:rPr>
        <w:t>（五）评标价为投标人的投标报价进行政策性扣除后的价格，评标价只是作为评标时使用。最终中标人的中标金额＝投标报价。</w:t>
      </w:r>
    </w:p>
    <w:p>
      <w:pPr>
        <w:pStyle w:val="6"/>
        <w:spacing w:line="400" w:lineRule="exact"/>
        <w:ind w:firstLine="420"/>
        <w:rPr>
          <w:rFonts w:ascii="宋体" w:hAnsi="宋体" w:cs="宋体"/>
          <w:highlight w:val="none"/>
        </w:rPr>
      </w:pPr>
      <w:r>
        <w:rPr>
          <w:rFonts w:hint="eastAsia" w:ascii="宋体" w:hAnsi="宋体" w:cs="宋体"/>
          <w:highlight w:val="none"/>
        </w:rPr>
        <w:t>（六）按照《政府采购促进中小企业发展管理办法》（财库[2020]46号）规定，对小型和微型企业产品的价格给予10%的扣除。（以投标文件提供的符合规定的有关证明材料为准）</w:t>
      </w:r>
    </w:p>
    <w:p>
      <w:pPr>
        <w:pStyle w:val="6"/>
        <w:spacing w:line="400" w:lineRule="exact"/>
        <w:ind w:firstLine="420"/>
        <w:rPr>
          <w:rFonts w:ascii="宋体" w:hAnsi="宋体" w:cs="宋体"/>
          <w:highlight w:val="none"/>
        </w:rPr>
      </w:pPr>
      <w:r>
        <w:rPr>
          <w:rFonts w:hint="eastAsia" w:ascii="宋体" w:hAnsi="宋体" w:cs="宋体"/>
          <w:highlight w:val="none"/>
        </w:rPr>
        <w:t>（七）按照《财政部、司法部关于政府采购支持监狱企业发展有关问题的通知》（财库〔2014〕68号）的规定，监狱企业视同小型、微型企业，享受预留份额、评审中价格扣除等促进中小企业发展的政府采购政策。</w:t>
      </w:r>
    </w:p>
    <w:p>
      <w:pPr>
        <w:pStyle w:val="6"/>
        <w:spacing w:line="400" w:lineRule="exact"/>
        <w:ind w:firstLine="422"/>
        <w:rPr>
          <w:rFonts w:ascii="宋体" w:hAnsi="宋体" w:cs="宋体"/>
          <w:b/>
          <w:bCs/>
          <w:highlight w:val="none"/>
        </w:rPr>
      </w:pPr>
      <w:r>
        <w:rPr>
          <w:rFonts w:hint="eastAsia" w:ascii="宋体" w:hAnsi="宋体" w:cs="宋体"/>
          <w:b/>
          <w:bCs/>
          <w:highlight w:val="none"/>
        </w:rPr>
        <w:t>二、 评定方法：</w:t>
      </w:r>
    </w:p>
    <w:p>
      <w:pPr>
        <w:pStyle w:val="6"/>
        <w:spacing w:line="400" w:lineRule="exact"/>
        <w:ind w:firstLine="420"/>
        <w:rPr>
          <w:rFonts w:ascii="宋体" w:hAnsi="宋体" w:cs="宋体"/>
          <w:highlight w:val="none"/>
        </w:rPr>
      </w:pPr>
      <w:r>
        <w:rPr>
          <w:rFonts w:hint="eastAsia" w:ascii="宋体" w:hAnsi="宋体" w:cs="宋体"/>
          <w:highlight w:val="none"/>
        </w:rPr>
        <w:t>（一）采用百分制综合评分法。</w:t>
      </w:r>
    </w:p>
    <w:p>
      <w:pPr>
        <w:pStyle w:val="6"/>
        <w:spacing w:line="400" w:lineRule="exact"/>
        <w:ind w:firstLine="420"/>
        <w:rPr>
          <w:rFonts w:ascii="宋体" w:hAnsi="宋体" w:cs="宋体"/>
          <w:highlight w:val="none"/>
        </w:rPr>
      </w:pPr>
      <w:r>
        <w:rPr>
          <w:rFonts w:hint="eastAsia" w:ascii="宋体" w:hAnsi="宋体" w:cs="宋体"/>
          <w:highlight w:val="none"/>
        </w:rPr>
        <w:t>（二）计分办法(按四舍五入取至百分位)</w:t>
      </w:r>
    </w:p>
    <w:p>
      <w:pPr>
        <w:pStyle w:val="6"/>
        <w:spacing w:line="400" w:lineRule="exact"/>
        <w:ind w:firstLine="420"/>
        <w:rPr>
          <w:rFonts w:ascii="宋体" w:hAnsi="宋体" w:cs="宋体"/>
          <w:highlight w:val="none"/>
        </w:rPr>
      </w:pPr>
    </w:p>
    <w:tbl>
      <w:tblPr>
        <w:tblStyle w:val="49"/>
        <w:tblW w:w="9962" w:type="dxa"/>
        <w:tblInd w:w="0" w:type="dxa"/>
        <w:tblLayout w:type="fixed"/>
        <w:tblCellMar>
          <w:top w:w="0" w:type="dxa"/>
          <w:left w:w="108" w:type="dxa"/>
          <w:bottom w:w="0" w:type="dxa"/>
          <w:right w:w="108" w:type="dxa"/>
        </w:tblCellMar>
      </w:tblPr>
      <w:tblGrid>
        <w:gridCol w:w="658"/>
        <w:gridCol w:w="2259"/>
        <w:gridCol w:w="6192"/>
        <w:gridCol w:w="853"/>
      </w:tblGrid>
      <w:tr>
        <w:tblPrEx>
          <w:tblCellMar>
            <w:top w:w="0" w:type="dxa"/>
            <w:left w:w="108" w:type="dxa"/>
            <w:bottom w:w="0" w:type="dxa"/>
            <w:right w:w="108" w:type="dxa"/>
          </w:tblCellMar>
        </w:tblPrEx>
        <w:trPr>
          <w:trHeight w:val="285" w:hRule="atLeast"/>
        </w:trPr>
        <w:tc>
          <w:tcPr>
            <w:tcW w:w="658"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bookmarkStart w:id="142" w:name="_Hlk79603426"/>
            <w:r>
              <w:rPr>
                <w:rFonts w:hint="eastAsia" w:ascii="宋体" w:hAnsi="宋体" w:cs="宋体"/>
                <w:b/>
                <w:bCs/>
                <w:sz w:val="22"/>
                <w:highlight w:val="none"/>
              </w:rPr>
              <w:t>序号</w:t>
            </w:r>
          </w:p>
        </w:tc>
        <w:tc>
          <w:tcPr>
            <w:tcW w:w="2259"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具体内容</w:t>
            </w:r>
          </w:p>
        </w:tc>
        <w:tc>
          <w:tcPr>
            <w:tcW w:w="6192" w:type="dxa"/>
            <w:tcBorders>
              <w:top w:val="single" w:color="auto" w:sz="4" w:space="0"/>
              <w:left w:val="single" w:color="auto" w:sz="6" w:space="0"/>
              <w:bottom w:val="single" w:color="auto" w:sz="6" w:space="0"/>
              <w:right w:val="single" w:color="auto" w:sz="6" w:space="0"/>
            </w:tcBorders>
            <w:shd w:val="clear" w:color="auto" w:fill="auto"/>
          </w:tcPr>
          <w:p>
            <w:pPr>
              <w:widowControl/>
              <w:jc w:val="center"/>
              <w:rPr>
                <w:rFonts w:ascii="宋体" w:hAnsi="宋体" w:cs="宋体"/>
                <w:b/>
                <w:bCs/>
                <w:sz w:val="22"/>
                <w:highlight w:val="none"/>
              </w:rPr>
            </w:pPr>
            <w:r>
              <w:rPr>
                <w:rFonts w:hint="eastAsia" w:ascii="宋体" w:hAnsi="宋体" w:cs="宋体"/>
                <w:b/>
                <w:bCs/>
                <w:sz w:val="22"/>
                <w:highlight w:val="none"/>
              </w:rPr>
              <w:t>评定因素</w:t>
            </w:r>
          </w:p>
        </w:tc>
        <w:tc>
          <w:tcPr>
            <w:tcW w:w="853"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分值</w:t>
            </w:r>
          </w:p>
        </w:tc>
      </w:tr>
      <w:tr>
        <w:tblPrEx>
          <w:tblCellMar>
            <w:top w:w="0" w:type="dxa"/>
            <w:left w:w="108" w:type="dxa"/>
            <w:bottom w:w="0" w:type="dxa"/>
            <w:right w:w="108" w:type="dxa"/>
          </w:tblCellMar>
        </w:tblPrEx>
        <w:trPr>
          <w:trHeight w:val="841"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1</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价格分（</w:t>
            </w:r>
            <w:r>
              <w:rPr>
                <w:rFonts w:ascii="宋体" w:hAnsi="宋体" w:cs="宋体"/>
                <w:b/>
                <w:bCs/>
                <w:sz w:val="22"/>
                <w:highlight w:val="none"/>
              </w:rPr>
              <w:t>10</w:t>
            </w:r>
            <w:r>
              <w:rPr>
                <w:rFonts w:hint="eastAsia" w:ascii="宋体" w:hAnsi="宋体" w:cs="宋体"/>
                <w:b/>
                <w:bCs/>
                <w:sz w:val="22"/>
                <w:highlight w:val="none"/>
              </w:rPr>
              <w:t>分）</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88" w:lineRule="auto"/>
              <w:jc w:val="left"/>
              <w:rPr>
                <w:rFonts w:ascii="宋体" w:hAnsi="宋体" w:cs="宋体"/>
                <w:sz w:val="21"/>
                <w:szCs w:val="21"/>
                <w:highlight w:val="none"/>
              </w:rPr>
            </w:pPr>
            <w:r>
              <w:rPr>
                <w:rFonts w:hint="eastAsia" w:ascii="宋体" w:hAnsi="宋体" w:cs="宋体"/>
                <w:sz w:val="21"/>
                <w:szCs w:val="21"/>
                <w:highlight w:val="none"/>
              </w:rPr>
              <w:t xml:space="preserve">（1）价格分满分10分。 </w:t>
            </w:r>
            <w:r>
              <w:rPr>
                <w:rFonts w:hint="eastAsia" w:ascii="宋体" w:hAnsi="宋体" w:cs="宋体"/>
                <w:sz w:val="21"/>
                <w:szCs w:val="21"/>
                <w:highlight w:val="none"/>
              </w:rPr>
              <w:br w:type="textWrapping"/>
            </w:r>
            <w:r>
              <w:rPr>
                <w:rFonts w:hint="eastAsia" w:ascii="宋体" w:hAnsi="宋体" w:cs="宋体"/>
                <w:sz w:val="21"/>
                <w:szCs w:val="21"/>
                <w:highlight w:val="none"/>
              </w:rPr>
              <w:t xml:space="preserve">（2）按照《政府采购促进中小企业发展管理办法》（财库[2020]46号）规定，投标单位认定为小型和微型企业的，并提供本企业制造的货物，由本企业承担工程、提供服务，或者提供其他小型、微型企业制造的货物的（不包括使用大型企业注册商标的货物），对投标价给予10%的扣除，扣除后的价格为评标报价，即评标报价=投标价×（1-10%）； </w:t>
            </w:r>
            <w:r>
              <w:rPr>
                <w:rFonts w:hint="eastAsia" w:ascii="宋体" w:hAnsi="宋体" w:cs="宋体"/>
                <w:sz w:val="21"/>
                <w:szCs w:val="21"/>
                <w:highlight w:val="none"/>
              </w:rPr>
              <w:br w:type="textWrapping"/>
            </w:r>
            <w:r>
              <w:rPr>
                <w:rFonts w:hint="eastAsia" w:ascii="宋体" w:hAnsi="宋体" w:cs="宋体"/>
                <w:sz w:val="21"/>
                <w:szCs w:val="21"/>
                <w:highlight w:val="none"/>
              </w:rPr>
              <w:t xml:space="preserve">按《关于政府采购支持监狱企业发展有关问题的通知》(财库[2014]68 号)认定为监狱企业的，在政府采购活动中，监狱企业视同小型、微型企业。监狱企业参加政府采购活动时，应当提供本通知规定的《监狱企业单位声明函》，并对声明的真实性负责； </w:t>
            </w:r>
            <w:r>
              <w:rPr>
                <w:rFonts w:hint="eastAsia" w:ascii="宋体" w:hAnsi="宋体" w:cs="宋体"/>
                <w:sz w:val="21"/>
                <w:szCs w:val="21"/>
                <w:highlight w:val="none"/>
              </w:rPr>
              <w:br w:type="textWrapping"/>
            </w:r>
            <w:r>
              <w:rPr>
                <w:rFonts w:hint="eastAsia" w:ascii="宋体" w:hAnsi="宋体" w:cs="宋体"/>
                <w:sz w:val="21"/>
                <w:szCs w:val="21"/>
                <w:highlight w:val="none"/>
              </w:rPr>
              <w:t xml:space="preserve">按《关于促进残疾人就业政府采购政策的通知》(财库〔2017〕141 号)认定为残疾人福利性单位的，在政府采购活动中，残疾人福利性单位视同小型、微型企业。符合条件的残疾人福利性单位在参加政府采购活动时，应当提供本通知规定的《残疾人福利性单位声明函》，并对声明的真实性负责。 </w:t>
            </w:r>
            <w:r>
              <w:rPr>
                <w:rFonts w:hint="eastAsia" w:ascii="宋体" w:hAnsi="宋体" w:cs="宋体"/>
                <w:sz w:val="21"/>
                <w:szCs w:val="21"/>
                <w:highlight w:val="none"/>
              </w:rPr>
              <w:br w:type="textWrapping"/>
            </w:r>
            <w:r>
              <w:rPr>
                <w:rFonts w:hint="eastAsia" w:ascii="宋体" w:hAnsi="宋体" w:cs="宋体"/>
                <w:sz w:val="21"/>
                <w:szCs w:val="21"/>
                <w:highlight w:val="none"/>
              </w:rPr>
              <w:t xml:space="preserve">除上述情况外，评标报价=投标价。 </w:t>
            </w:r>
            <w:r>
              <w:rPr>
                <w:rFonts w:hint="eastAsia" w:ascii="宋体" w:hAnsi="宋体" w:cs="宋体"/>
                <w:sz w:val="21"/>
                <w:szCs w:val="21"/>
                <w:highlight w:val="none"/>
              </w:rPr>
              <w:br w:type="textWrapping"/>
            </w:r>
            <w:r>
              <w:rPr>
                <w:rFonts w:hint="eastAsia" w:ascii="宋体" w:hAnsi="宋体" w:cs="宋体"/>
                <w:sz w:val="21"/>
                <w:szCs w:val="21"/>
                <w:highlight w:val="none"/>
              </w:rPr>
              <w:t>（3）某投标人价格分 =（投标人最低评标报价÷某投标人评标报价）×10 分。</w:t>
            </w:r>
            <w:r>
              <w:rPr>
                <w:rFonts w:hint="eastAsia" w:ascii="宋体" w:hAnsi="宋体" w:cs="宋体"/>
                <w:sz w:val="21"/>
                <w:szCs w:val="21"/>
                <w:highlight w:val="none"/>
              </w:rPr>
              <w:br w:type="textWrapping"/>
            </w:r>
            <w:r>
              <w:rPr>
                <w:rFonts w:hint="eastAsia" w:ascii="宋体" w:hAnsi="宋体" w:cs="宋体"/>
                <w:sz w:val="21"/>
                <w:szCs w:val="21"/>
                <w:highlight w:val="none"/>
              </w:rPr>
              <w:t xml:space="preserve">评标委员会认为投标人的报价明显低于其他通过符合性审查投标人的报价，有可能影响产品质量或者不能诚信履约的，应当要求其在评标现场合理的时间内提供书面说明，必要时有权要求投标人提供经第三方审计的价格审计证明材料，来证明其投标报价的合理性；投标人不能证明其报价合理性的，评标委员会应当将其作为无效投标处理。                   </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sz w:val="22"/>
                <w:highlight w:val="none"/>
              </w:rPr>
            </w:pPr>
            <w:r>
              <w:rPr>
                <w:rFonts w:ascii="宋体" w:hAnsi="宋体"/>
                <w:b/>
                <w:szCs w:val="21"/>
                <w:highlight w:val="none"/>
              </w:rPr>
              <w:t>10</w:t>
            </w:r>
            <w:r>
              <w:rPr>
                <w:rFonts w:hint="eastAsia" w:ascii="宋体" w:hAnsi="宋体"/>
                <w:b/>
                <w:szCs w:val="21"/>
                <w:highlight w:val="none"/>
              </w:rPr>
              <w:t>分</w:t>
            </w:r>
          </w:p>
        </w:tc>
      </w:tr>
      <w:tr>
        <w:tblPrEx>
          <w:tblCellMar>
            <w:top w:w="0" w:type="dxa"/>
            <w:left w:w="108" w:type="dxa"/>
            <w:bottom w:w="0" w:type="dxa"/>
            <w:right w:w="108" w:type="dxa"/>
          </w:tblCellMar>
        </w:tblPrEx>
        <w:trPr>
          <w:trHeight w:val="285"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2</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技术分（</w:t>
            </w:r>
            <w:r>
              <w:rPr>
                <w:rFonts w:ascii="宋体" w:hAnsi="宋体"/>
                <w:b/>
                <w:szCs w:val="21"/>
                <w:highlight w:val="none"/>
              </w:rPr>
              <w:t>55</w:t>
            </w:r>
            <w:r>
              <w:rPr>
                <w:rFonts w:hint="eastAsia" w:ascii="宋体" w:hAnsi="宋体" w:cs="宋体"/>
                <w:b/>
                <w:bCs/>
                <w:sz w:val="22"/>
                <w:highlight w:val="none"/>
              </w:rPr>
              <w:t>分）</w:t>
            </w:r>
          </w:p>
        </w:tc>
        <w:tc>
          <w:tcPr>
            <w:tcW w:w="7045"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b/>
                <w:bCs/>
                <w:sz w:val="21"/>
                <w:szCs w:val="21"/>
                <w:highlight w:val="none"/>
              </w:rPr>
            </w:pPr>
            <w:r>
              <w:rPr>
                <w:rFonts w:hint="eastAsia" w:ascii="宋体" w:hAnsi="宋体" w:cs="宋体"/>
                <w:b/>
                <w:bCs/>
                <w:sz w:val="21"/>
                <w:szCs w:val="21"/>
                <w:highlight w:val="none"/>
              </w:rPr>
              <w:t>评定因素</w:t>
            </w:r>
          </w:p>
        </w:tc>
      </w:tr>
      <w:tr>
        <w:tblPrEx>
          <w:tblCellMar>
            <w:top w:w="0" w:type="dxa"/>
            <w:left w:w="108" w:type="dxa"/>
            <w:bottom w:w="0" w:type="dxa"/>
            <w:right w:w="108" w:type="dxa"/>
          </w:tblCellMar>
        </w:tblPrEx>
        <w:trPr>
          <w:trHeight w:val="2898"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2.1</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b/>
                <w:szCs w:val="21"/>
                <w:highlight w:val="none"/>
              </w:rPr>
              <w:t>项目理解与总体分析</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ascii="宋体" w:hAnsi="宋体" w:cs="宋体"/>
                <w:sz w:val="21"/>
                <w:szCs w:val="21"/>
                <w:highlight w:val="none"/>
              </w:rPr>
            </w:pPr>
            <w:r>
              <w:rPr>
                <w:rFonts w:hint="eastAsia" w:ascii="宋体" w:hAnsi="宋体" w:cs="宋体"/>
                <w:sz w:val="21"/>
                <w:szCs w:val="21"/>
                <w:highlight w:val="none"/>
              </w:rPr>
              <w:t>由评委在打分前根据招标文件对比各投标文件的项目理解、总体分析等内容，并在相应的档次内独立打分。</w:t>
            </w:r>
          </w:p>
          <w:p>
            <w:pPr>
              <w:pStyle w:val="2"/>
              <w:rPr>
                <w:sz w:val="21"/>
                <w:szCs w:val="21"/>
                <w:highlight w:val="none"/>
              </w:rPr>
            </w:pPr>
            <w:r>
              <w:rPr>
                <w:rFonts w:hint="eastAsia" w:ascii="宋体" w:hAnsi="宋体" w:cs="宋体"/>
                <w:sz w:val="21"/>
                <w:szCs w:val="21"/>
                <w:highlight w:val="none"/>
              </w:rPr>
              <w:t>优</w:t>
            </w:r>
            <w:r>
              <w:rPr>
                <w:rFonts w:hint="eastAsia"/>
                <w:sz w:val="21"/>
                <w:szCs w:val="21"/>
                <w:highlight w:val="none"/>
              </w:rPr>
              <w:t>（10.1～15.0）：对本项目的理解程度、对项目编制工作内容的重点难点分析，把握准确，分析较为详细透彻、合理，有说服力。</w:t>
            </w:r>
          </w:p>
          <w:p>
            <w:pPr>
              <w:pStyle w:val="2"/>
              <w:rPr>
                <w:sz w:val="21"/>
                <w:szCs w:val="21"/>
                <w:highlight w:val="none"/>
              </w:rPr>
            </w:pPr>
            <w:r>
              <w:rPr>
                <w:rFonts w:hint="eastAsia"/>
                <w:sz w:val="21"/>
                <w:szCs w:val="21"/>
                <w:highlight w:val="none"/>
              </w:rPr>
              <w:t>良（5.1～10.0）：对本项目的理解程度、对项目编制工作内容的重点难点分析，把握基本准确，分析基本透彻合理。</w:t>
            </w:r>
          </w:p>
          <w:p>
            <w:pPr>
              <w:pStyle w:val="2"/>
              <w:rPr>
                <w:sz w:val="21"/>
                <w:szCs w:val="21"/>
                <w:highlight w:val="none"/>
              </w:rPr>
            </w:pPr>
            <w:r>
              <w:rPr>
                <w:rFonts w:hint="eastAsia"/>
                <w:sz w:val="21"/>
                <w:szCs w:val="21"/>
                <w:highlight w:val="none"/>
              </w:rPr>
              <w:t>一般（0～5.0）：对本项目的理解程度、对项目编制工作内容的重点难点分析理解模糊，分析不全面、不合理，无说服力。</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sz w:val="22"/>
                <w:highlight w:val="none"/>
              </w:rPr>
            </w:pPr>
            <w:r>
              <w:rPr>
                <w:rFonts w:ascii="宋体" w:hAnsi="宋体"/>
                <w:b/>
                <w:szCs w:val="21"/>
                <w:highlight w:val="none"/>
              </w:rPr>
              <w:t>15</w:t>
            </w:r>
            <w:r>
              <w:rPr>
                <w:rFonts w:hint="eastAsia" w:ascii="宋体" w:hAnsi="宋体"/>
                <w:b/>
                <w:szCs w:val="21"/>
                <w:highlight w:val="none"/>
              </w:rPr>
              <w:t>分</w:t>
            </w:r>
          </w:p>
        </w:tc>
      </w:tr>
      <w:tr>
        <w:tblPrEx>
          <w:tblCellMar>
            <w:top w:w="0" w:type="dxa"/>
            <w:left w:w="108" w:type="dxa"/>
            <w:bottom w:w="0" w:type="dxa"/>
            <w:right w:w="108" w:type="dxa"/>
          </w:tblCellMar>
        </w:tblPrEx>
        <w:trPr>
          <w:trHeight w:val="1699"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2.2</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b/>
                <w:szCs w:val="21"/>
                <w:highlight w:val="none"/>
              </w:rPr>
            </w:pPr>
            <w:r>
              <w:rPr>
                <w:rFonts w:hint="eastAsia" w:ascii="宋体" w:hAnsi="宋体"/>
                <w:b/>
                <w:szCs w:val="21"/>
                <w:highlight w:val="none"/>
              </w:rPr>
              <w:t>初步规划方案</w:t>
            </w:r>
          </w:p>
          <w:p>
            <w:pPr>
              <w:widowControl/>
              <w:jc w:val="center"/>
              <w:rPr>
                <w:rFonts w:ascii="宋体" w:hAnsi="宋体" w:cs="宋体"/>
                <w:sz w:val="22"/>
                <w:highlight w:val="none"/>
              </w:rPr>
            </w:pP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ascii="宋体" w:hAnsi="宋体" w:cs="宋体"/>
                <w:sz w:val="21"/>
                <w:szCs w:val="21"/>
                <w:highlight w:val="none"/>
              </w:rPr>
            </w:pPr>
            <w:r>
              <w:rPr>
                <w:rFonts w:hint="eastAsia" w:ascii="宋体" w:hAnsi="宋体" w:cs="宋体"/>
                <w:sz w:val="21"/>
                <w:szCs w:val="21"/>
                <w:highlight w:val="none"/>
              </w:rPr>
              <w:t>由评委在打分前根据招标文件对比各投标文件的初步规划方案（区域背景分析、相关规划及基地分析、发展策略与定位、用地布局规划、产业发展、公共设施规划、综合交通规划、市政工程规划、生态环境与绿地系统规划）等内容，并在相应的档次内独立打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优（20.1～25.0）：对项目背景了解深刻，对拟开展的设计方案思路清晰，提出的初步方案具有建设性，体现科学性、先进性、全面性，完全符合项目实际要求。</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良（10.1～20.0）：对项目背景有一定了解，对拟开展的设计方案思路基本合理，提出的初步方案具有一定的建设性，符合项目实际要求。</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一般（0～10.0）：背景了解不清楚，设计方案的思路不合理，内容不全面，初步方案可行性差，不符合项目实际要求。</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sz w:val="22"/>
                <w:highlight w:val="none"/>
              </w:rPr>
            </w:pPr>
            <w:r>
              <w:rPr>
                <w:rFonts w:ascii="宋体" w:hAnsi="宋体"/>
                <w:b/>
                <w:szCs w:val="21"/>
                <w:highlight w:val="none"/>
              </w:rPr>
              <w:t>25</w:t>
            </w:r>
            <w:r>
              <w:rPr>
                <w:rFonts w:hint="eastAsia" w:ascii="宋体" w:hAnsi="宋体"/>
                <w:b/>
                <w:szCs w:val="21"/>
                <w:highlight w:val="none"/>
              </w:rPr>
              <w:t>分</w:t>
            </w:r>
          </w:p>
        </w:tc>
      </w:tr>
      <w:tr>
        <w:tblPrEx>
          <w:tblCellMar>
            <w:top w:w="0" w:type="dxa"/>
            <w:left w:w="108" w:type="dxa"/>
            <w:bottom w:w="0" w:type="dxa"/>
            <w:right w:w="108" w:type="dxa"/>
          </w:tblCellMar>
        </w:tblPrEx>
        <w:trPr>
          <w:trHeight w:val="1602"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2.3</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b/>
                <w:szCs w:val="21"/>
                <w:highlight w:val="none"/>
              </w:rPr>
              <w:t>进度计划及其保证措施</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ascii="宋体" w:hAnsi="宋体" w:cs="宋体"/>
                <w:sz w:val="21"/>
                <w:szCs w:val="21"/>
                <w:highlight w:val="none"/>
              </w:rPr>
            </w:pPr>
            <w:r>
              <w:rPr>
                <w:rFonts w:hint="eastAsia" w:ascii="宋体" w:hAnsi="宋体" w:cs="宋体"/>
                <w:sz w:val="21"/>
                <w:szCs w:val="21"/>
                <w:highlight w:val="none"/>
              </w:rPr>
              <w:t>由评委对投标人的进度计划及其保证措施进行评价并由评委独立打分。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优（6.1～10.0）：进度计划安排科学合理，进度计划的各项保证措施详尽周密，完全符合本项目实际要求。</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良（3.1～6.0）：进度计划安排基本合理，进度计划的各项保证措施基本得当，符合本项目实际要求。</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一般（0～3.0）：进度计划安排一般，进度计划的各项保证措施有待完善，不符合本项目实际要求。</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sz w:val="22"/>
                <w:highlight w:val="none"/>
              </w:rPr>
            </w:pPr>
            <w:r>
              <w:rPr>
                <w:rFonts w:ascii="宋体" w:hAnsi="宋体"/>
                <w:b/>
                <w:szCs w:val="21"/>
                <w:highlight w:val="none"/>
              </w:rPr>
              <w:t>10</w:t>
            </w:r>
            <w:r>
              <w:rPr>
                <w:rFonts w:hint="eastAsia" w:ascii="宋体" w:hAnsi="宋体"/>
                <w:b/>
                <w:szCs w:val="21"/>
                <w:highlight w:val="none"/>
              </w:rPr>
              <w:t>分</w:t>
            </w:r>
          </w:p>
        </w:tc>
      </w:tr>
      <w:tr>
        <w:tblPrEx>
          <w:tblCellMar>
            <w:top w:w="0" w:type="dxa"/>
            <w:left w:w="108" w:type="dxa"/>
            <w:bottom w:w="0" w:type="dxa"/>
            <w:right w:w="108" w:type="dxa"/>
          </w:tblCellMar>
        </w:tblPrEx>
        <w:trPr>
          <w:trHeight w:val="1602"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2</w:t>
            </w:r>
            <w:r>
              <w:rPr>
                <w:rFonts w:ascii="宋体" w:hAnsi="宋体" w:cs="宋体"/>
                <w:sz w:val="22"/>
                <w:highlight w:val="none"/>
              </w:rPr>
              <w:t>.4</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b/>
                <w:szCs w:val="21"/>
                <w:highlight w:val="none"/>
              </w:rPr>
            </w:pPr>
            <w:r>
              <w:rPr>
                <w:rFonts w:hint="eastAsia" w:ascii="宋体" w:hAnsi="宋体"/>
                <w:b/>
                <w:szCs w:val="21"/>
                <w:highlight w:val="none"/>
              </w:rPr>
              <w:t>质量保障措施</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ascii="宋体" w:hAnsi="宋体" w:cs="宋体"/>
                <w:sz w:val="21"/>
                <w:szCs w:val="21"/>
                <w:highlight w:val="none"/>
              </w:rPr>
            </w:pPr>
            <w:r>
              <w:rPr>
                <w:rFonts w:hint="eastAsia" w:ascii="宋体" w:hAnsi="宋体" w:cs="宋体"/>
                <w:sz w:val="21"/>
                <w:szCs w:val="21"/>
                <w:highlight w:val="none"/>
              </w:rPr>
              <w:t>由评委对投标人的质量保障措施进行评价并由评委独立打分。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优（3.1～5.0）：提供的服务承诺及保证措施内容充实，表述清晰，后续服务安排及措施方案合理，可行性强的；</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良（1.1～3.0）：提供的服务承诺及保证措施内容较充实，表述一般，后续服务安排及措施方案合理，基本可行的；</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一般（0～1.0）：提供的服务承诺及保证措施内容不充实，表述不够清晰，后续服务安排及措施方案不够合理，可行性不强的。</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b/>
                <w:szCs w:val="21"/>
                <w:highlight w:val="none"/>
              </w:rPr>
            </w:pPr>
            <w:r>
              <w:rPr>
                <w:rFonts w:ascii="宋体" w:hAnsi="宋体"/>
                <w:b/>
                <w:szCs w:val="21"/>
                <w:highlight w:val="none"/>
              </w:rPr>
              <w:t>5</w:t>
            </w:r>
            <w:r>
              <w:rPr>
                <w:rFonts w:hint="eastAsia" w:ascii="宋体" w:hAnsi="宋体"/>
                <w:b/>
                <w:szCs w:val="21"/>
                <w:highlight w:val="none"/>
              </w:rPr>
              <w:t>分</w:t>
            </w:r>
          </w:p>
        </w:tc>
      </w:tr>
      <w:tr>
        <w:tblPrEx>
          <w:tblCellMar>
            <w:top w:w="0" w:type="dxa"/>
            <w:left w:w="108" w:type="dxa"/>
            <w:bottom w:w="0" w:type="dxa"/>
            <w:right w:w="108" w:type="dxa"/>
          </w:tblCellMar>
        </w:tblPrEx>
        <w:trPr>
          <w:trHeight w:val="66" w:hRule="atLeast"/>
        </w:trPr>
        <w:tc>
          <w:tcPr>
            <w:tcW w:w="658"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3</w:t>
            </w:r>
          </w:p>
        </w:tc>
        <w:tc>
          <w:tcPr>
            <w:tcW w:w="225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b/>
                <w:szCs w:val="21"/>
                <w:highlight w:val="none"/>
              </w:rPr>
            </w:pPr>
            <w:r>
              <w:rPr>
                <w:rFonts w:hint="eastAsia" w:ascii="宋体" w:hAnsi="宋体"/>
                <w:b/>
                <w:szCs w:val="21"/>
                <w:highlight w:val="none"/>
              </w:rPr>
              <w:t>商务分（满分35）</w:t>
            </w:r>
          </w:p>
        </w:tc>
        <w:tc>
          <w:tcPr>
            <w:tcW w:w="7045" w:type="dxa"/>
            <w:gridSpan w:val="2"/>
            <w:tcBorders>
              <w:top w:val="single" w:color="auto" w:sz="6" w:space="0"/>
              <w:left w:val="single" w:color="auto" w:sz="6" w:space="0"/>
              <w:bottom w:val="single" w:color="auto" w:sz="6" w:space="0"/>
              <w:right w:val="single" w:color="auto" w:sz="4" w:space="0"/>
            </w:tcBorders>
            <w:shd w:val="clear" w:color="auto" w:fill="auto"/>
          </w:tcPr>
          <w:p>
            <w:pPr>
              <w:widowControl/>
              <w:jc w:val="center"/>
              <w:rPr>
                <w:rFonts w:ascii="宋体" w:hAnsi="宋体"/>
                <w:b/>
                <w:sz w:val="21"/>
                <w:szCs w:val="21"/>
                <w:highlight w:val="none"/>
              </w:rPr>
            </w:pPr>
            <w:r>
              <w:rPr>
                <w:rFonts w:hint="eastAsia" w:ascii="宋体" w:hAnsi="宋体" w:cs="宋体"/>
                <w:b/>
                <w:bCs/>
                <w:sz w:val="21"/>
                <w:szCs w:val="21"/>
                <w:highlight w:val="none"/>
              </w:rPr>
              <w:t>评定因素</w:t>
            </w:r>
          </w:p>
        </w:tc>
      </w:tr>
      <w:tr>
        <w:tblPrEx>
          <w:tblCellMar>
            <w:top w:w="0" w:type="dxa"/>
            <w:left w:w="108" w:type="dxa"/>
            <w:bottom w:w="0" w:type="dxa"/>
            <w:right w:w="108" w:type="dxa"/>
          </w:tblCellMar>
        </w:tblPrEx>
        <w:trPr>
          <w:trHeight w:val="346" w:hRule="atLeast"/>
        </w:trPr>
        <w:tc>
          <w:tcPr>
            <w:tcW w:w="658" w:type="dxa"/>
            <w:tcBorders>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3</w:t>
            </w:r>
            <w:r>
              <w:rPr>
                <w:rFonts w:ascii="宋体" w:hAnsi="宋体" w:cs="宋体"/>
                <w:sz w:val="22"/>
                <w:highlight w:val="none"/>
              </w:rPr>
              <w:t>.1</w:t>
            </w:r>
          </w:p>
        </w:tc>
        <w:tc>
          <w:tcPr>
            <w:tcW w:w="2259" w:type="dxa"/>
            <w:tcBorders>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类似项目业绩</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ascii="宋体" w:hAnsi="宋体" w:cs="宋体"/>
                <w:sz w:val="21"/>
                <w:szCs w:val="21"/>
                <w:highlight w:val="none"/>
              </w:rPr>
            </w:pPr>
            <w:r>
              <w:rPr>
                <w:rFonts w:hint="eastAsia" w:ascii="宋体" w:hAnsi="宋体" w:cs="宋体"/>
                <w:sz w:val="21"/>
                <w:szCs w:val="21"/>
                <w:highlight w:val="none"/>
              </w:rPr>
              <w:t>2018年1月1日至投标截止日承接过</w:t>
            </w:r>
            <w:r>
              <w:rPr>
                <w:rFonts w:hint="eastAsia" w:ascii="宋体" w:hAnsi="宋体" w:cs="宋体"/>
                <w:sz w:val="21"/>
                <w:szCs w:val="21"/>
                <w:highlight w:val="none"/>
                <w:lang w:eastAsia="zh-CN"/>
              </w:rPr>
              <w:t>类似</w:t>
            </w:r>
            <w:r>
              <w:rPr>
                <w:rFonts w:hint="eastAsia" w:ascii="宋体" w:hAnsi="宋体" w:cs="宋体"/>
                <w:sz w:val="21"/>
                <w:szCs w:val="21"/>
                <w:highlight w:val="none"/>
              </w:rPr>
              <w:t>控制性详细规划项目编制项目的每个得1分。（需提供合同或中标通知书复印件）</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sz w:val="22"/>
                <w:highlight w:val="none"/>
              </w:rPr>
            </w:pPr>
            <w:r>
              <w:rPr>
                <w:rFonts w:ascii="宋体" w:hAnsi="宋体"/>
                <w:b/>
                <w:szCs w:val="21"/>
                <w:highlight w:val="none"/>
              </w:rPr>
              <w:t>5</w:t>
            </w:r>
            <w:r>
              <w:rPr>
                <w:rFonts w:hint="eastAsia" w:ascii="宋体" w:hAnsi="宋体"/>
                <w:b/>
                <w:szCs w:val="21"/>
                <w:highlight w:val="none"/>
              </w:rPr>
              <w:t>分</w:t>
            </w:r>
          </w:p>
        </w:tc>
      </w:tr>
      <w:tr>
        <w:tblPrEx>
          <w:tblCellMar>
            <w:top w:w="0" w:type="dxa"/>
            <w:left w:w="108" w:type="dxa"/>
            <w:bottom w:w="0" w:type="dxa"/>
            <w:right w:w="108" w:type="dxa"/>
          </w:tblCellMar>
        </w:tblPrEx>
        <w:trPr>
          <w:trHeight w:val="90" w:hRule="atLeast"/>
        </w:trPr>
        <w:tc>
          <w:tcPr>
            <w:tcW w:w="658" w:type="dxa"/>
            <w:tcBorders>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3</w:t>
            </w:r>
            <w:r>
              <w:rPr>
                <w:rFonts w:ascii="宋体" w:hAnsi="宋体" w:cs="宋体"/>
                <w:sz w:val="22"/>
                <w:highlight w:val="none"/>
              </w:rPr>
              <w:t>.2</w:t>
            </w:r>
          </w:p>
        </w:tc>
        <w:tc>
          <w:tcPr>
            <w:tcW w:w="2259" w:type="dxa"/>
            <w:tcBorders>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项目负责人</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项目负责人同时具备城乡规划专业高级职称和注册城乡规划师得4分。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【备注：提供投标人2021年1-</w:t>
            </w:r>
            <w:r>
              <w:rPr>
                <w:rFonts w:ascii="宋体" w:hAnsi="宋体" w:cs="宋体"/>
                <w:sz w:val="21"/>
                <w:szCs w:val="21"/>
                <w:highlight w:val="none"/>
              </w:rPr>
              <w:t>8</w:t>
            </w:r>
            <w:r>
              <w:rPr>
                <w:rFonts w:hint="eastAsia" w:ascii="宋体" w:hAnsi="宋体" w:cs="宋体"/>
                <w:sz w:val="21"/>
                <w:szCs w:val="21"/>
                <w:highlight w:val="none"/>
              </w:rPr>
              <w:t>月任意连续3个月为其依法缴纳社会保险的有效证明材料，须附上相关人员职称证书复印件并加盖供应商公章，未提供证明材料的本项不得分】</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cs="宋体"/>
                <w:sz w:val="22"/>
                <w:highlight w:val="none"/>
              </w:rPr>
            </w:pPr>
            <w:r>
              <w:rPr>
                <w:rFonts w:ascii="宋体" w:hAnsi="宋体"/>
                <w:b/>
                <w:szCs w:val="21"/>
                <w:highlight w:val="none"/>
              </w:rPr>
              <w:t>4</w:t>
            </w:r>
            <w:r>
              <w:rPr>
                <w:rFonts w:hint="eastAsia" w:ascii="宋体" w:hAnsi="宋体"/>
                <w:b/>
                <w:szCs w:val="21"/>
                <w:highlight w:val="none"/>
              </w:rPr>
              <w:t>分</w:t>
            </w:r>
          </w:p>
        </w:tc>
      </w:tr>
      <w:tr>
        <w:tblPrEx>
          <w:tblCellMar>
            <w:top w:w="0" w:type="dxa"/>
            <w:left w:w="108" w:type="dxa"/>
            <w:bottom w:w="0" w:type="dxa"/>
            <w:right w:w="108" w:type="dxa"/>
          </w:tblCellMar>
        </w:tblPrEx>
        <w:trPr>
          <w:trHeight w:val="90" w:hRule="atLeast"/>
        </w:trPr>
        <w:tc>
          <w:tcPr>
            <w:tcW w:w="658" w:type="dxa"/>
            <w:tcBorders>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3</w:t>
            </w:r>
            <w:r>
              <w:rPr>
                <w:rFonts w:ascii="宋体" w:hAnsi="宋体" w:cs="宋体"/>
                <w:sz w:val="22"/>
                <w:highlight w:val="none"/>
              </w:rPr>
              <w:t>.3</w:t>
            </w:r>
          </w:p>
        </w:tc>
        <w:tc>
          <w:tcPr>
            <w:tcW w:w="2259" w:type="dxa"/>
            <w:tcBorders>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实施人员配备</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ascii="宋体" w:hAnsi="宋体" w:cs="宋体"/>
                <w:sz w:val="21"/>
                <w:szCs w:val="21"/>
                <w:highlight w:val="none"/>
              </w:rPr>
            </w:pPr>
            <w:r>
              <w:rPr>
                <w:rFonts w:hint="eastAsia" w:ascii="宋体" w:hAnsi="宋体" w:cs="宋体"/>
                <w:sz w:val="21"/>
                <w:szCs w:val="21"/>
                <w:highlight w:val="none"/>
              </w:rPr>
              <w:t>（1）项目组成员中（项目负责人除外），具备城市规划专业高级职称或注册城乡规划师资格的每人得1分，满分5分；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（2）项目组成员具有工程师及以上技术职称的（建筑设计、道路交通、市政、生态景观、经济）每具备一个专业得1分（同一人具有多专业职称只计一项目，同一专业不重复计分 ），最多得3分。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（3）根据项目组成员的专业、职称、数量是否满足项目实施要求的，人员设置合理的得5分；基本满足的得3分；欠合理的不得分。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注：（1）须附上相关人员职称证书复印件并加盖供应商公章，否则不得分。（2）提供2021年1-</w:t>
            </w:r>
            <w:r>
              <w:rPr>
                <w:rFonts w:ascii="宋体" w:hAnsi="宋体" w:cs="宋体"/>
                <w:sz w:val="21"/>
                <w:szCs w:val="21"/>
                <w:highlight w:val="none"/>
              </w:rPr>
              <w:t>8</w:t>
            </w:r>
            <w:r>
              <w:rPr>
                <w:rFonts w:hint="eastAsia" w:ascii="宋体" w:hAnsi="宋体" w:cs="宋体"/>
                <w:sz w:val="21"/>
                <w:szCs w:val="21"/>
                <w:highlight w:val="none"/>
              </w:rPr>
              <w:t>月任意连续3个月为其依法缴纳社会保险的有效证明材料。</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b/>
                <w:szCs w:val="21"/>
                <w:highlight w:val="none"/>
              </w:rPr>
            </w:pPr>
            <w:r>
              <w:rPr>
                <w:rFonts w:hint="eastAsia" w:ascii="宋体" w:hAnsi="宋体" w:cs="宋体"/>
                <w:b/>
                <w:bCs/>
                <w:sz w:val="22"/>
                <w:highlight w:val="none"/>
              </w:rPr>
              <w:t>13分</w:t>
            </w:r>
          </w:p>
        </w:tc>
      </w:tr>
      <w:tr>
        <w:tblPrEx>
          <w:tblCellMar>
            <w:top w:w="0" w:type="dxa"/>
            <w:left w:w="108" w:type="dxa"/>
            <w:bottom w:w="0" w:type="dxa"/>
            <w:right w:w="108" w:type="dxa"/>
          </w:tblCellMar>
        </w:tblPrEx>
        <w:trPr>
          <w:trHeight w:val="90" w:hRule="atLeast"/>
        </w:trPr>
        <w:tc>
          <w:tcPr>
            <w:tcW w:w="658" w:type="dxa"/>
            <w:tcBorders>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3</w:t>
            </w:r>
            <w:r>
              <w:rPr>
                <w:rFonts w:ascii="宋体" w:hAnsi="宋体" w:cs="宋体"/>
                <w:sz w:val="22"/>
                <w:highlight w:val="none"/>
              </w:rPr>
              <w:t>.4</w:t>
            </w:r>
          </w:p>
        </w:tc>
        <w:tc>
          <w:tcPr>
            <w:tcW w:w="2259" w:type="dxa"/>
            <w:tcBorders>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获奖情况</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ascii="宋体" w:hAnsi="宋体" w:cs="宋体"/>
                <w:sz w:val="21"/>
                <w:szCs w:val="21"/>
                <w:highlight w:val="none"/>
              </w:rPr>
            </w:pPr>
            <w:r>
              <w:rPr>
                <w:rFonts w:hint="eastAsia" w:ascii="宋体" w:hAnsi="宋体" w:cs="宋体"/>
                <w:sz w:val="21"/>
                <w:szCs w:val="21"/>
                <w:highlight w:val="none"/>
              </w:rPr>
              <w:t>投标人2018年以来控制性详细规划类似项目获得过全国优秀城乡规划设计三等奖或以上的，每项得1.5分，最多得6分；获得过省级（自治区级）及以上优秀城乡规划设计三等或以上的，每项得1分，最多得4分。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【备注：同一项目同类型的奖项，以最高奖项计分，不重复计分。】</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b/>
                <w:bCs/>
                <w:szCs w:val="21"/>
                <w:highlight w:val="none"/>
              </w:rPr>
            </w:pPr>
            <w:r>
              <w:rPr>
                <w:rFonts w:hint="eastAsia" w:ascii="宋体" w:hAnsi="宋体" w:cs="宋体"/>
                <w:b/>
                <w:bCs/>
                <w:sz w:val="22"/>
                <w:highlight w:val="none"/>
              </w:rPr>
              <w:t>10 分</w:t>
            </w:r>
          </w:p>
        </w:tc>
      </w:tr>
      <w:tr>
        <w:tblPrEx>
          <w:tblCellMar>
            <w:top w:w="0" w:type="dxa"/>
            <w:left w:w="108" w:type="dxa"/>
            <w:bottom w:w="0" w:type="dxa"/>
            <w:right w:w="108" w:type="dxa"/>
          </w:tblCellMar>
        </w:tblPrEx>
        <w:trPr>
          <w:trHeight w:val="90" w:hRule="atLeast"/>
        </w:trPr>
        <w:tc>
          <w:tcPr>
            <w:tcW w:w="658" w:type="dxa"/>
            <w:tcBorders>
              <w:left w:val="single" w:color="auto" w:sz="4" w:space="0"/>
              <w:bottom w:val="single" w:color="auto" w:sz="6" w:space="0"/>
              <w:right w:val="single" w:color="auto" w:sz="6" w:space="0"/>
            </w:tcBorders>
            <w:shd w:val="clear" w:color="auto" w:fill="auto"/>
            <w:vAlign w:val="center"/>
          </w:tcPr>
          <w:p>
            <w:pPr>
              <w:widowControl/>
              <w:jc w:val="center"/>
              <w:rPr>
                <w:rFonts w:ascii="宋体" w:hAnsi="宋体" w:cs="宋体"/>
                <w:sz w:val="22"/>
                <w:highlight w:val="none"/>
              </w:rPr>
            </w:pPr>
            <w:r>
              <w:rPr>
                <w:rFonts w:hint="eastAsia" w:ascii="宋体" w:hAnsi="宋体" w:cs="宋体"/>
                <w:sz w:val="22"/>
                <w:highlight w:val="none"/>
              </w:rPr>
              <w:t>3</w:t>
            </w:r>
            <w:r>
              <w:rPr>
                <w:rFonts w:ascii="宋体" w:hAnsi="宋体" w:cs="宋体"/>
                <w:sz w:val="22"/>
                <w:highlight w:val="none"/>
              </w:rPr>
              <w:t>.5</w:t>
            </w:r>
          </w:p>
        </w:tc>
        <w:tc>
          <w:tcPr>
            <w:tcW w:w="2259" w:type="dxa"/>
            <w:tcBorders>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b/>
                <w:bCs/>
                <w:sz w:val="22"/>
                <w:highlight w:val="none"/>
              </w:rPr>
            </w:pPr>
            <w:r>
              <w:rPr>
                <w:rFonts w:hint="eastAsia" w:ascii="宋体" w:hAnsi="宋体" w:cs="宋体"/>
                <w:b/>
                <w:bCs/>
                <w:sz w:val="22"/>
                <w:highlight w:val="none"/>
              </w:rPr>
              <w:t>企业信誉情况</w:t>
            </w:r>
          </w:p>
        </w:tc>
        <w:tc>
          <w:tcPr>
            <w:tcW w:w="6192" w:type="dxa"/>
            <w:tcBorders>
              <w:top w:val="single" w:color="auto" w:sz="6" w:space="0"/>
              <w:left w:val="single" w:color="auto" w:sz="6" w:space="0"/>
              <w:bottom w:val="single" w:color="auto" w:sz="6" w:space="0"/>
              <w:right w:val="single" w:color="auto" w:sz="6" w:space="0"/>
            </w:tcBorders>
            <w:shd w:val="clear" w:color="auto" w:fill="auto"/>
          </w:tcPr>
          <w:p>
            <w:pPr>
              <w:widowControl/>
              <w:spacing w:line="264" w:lineRule="auto"/>
              <w:rPr>
                <w:rFonts w:ascii="宋体" w:hAnsi="宋体" w:cs="宋体"/>
                <w:sz w:val="21"/>
                <w:szCs w:val="21"/>
                <w:highlight w:val="none"/>
              </w:rPr>
            </w:pPr>
            <w:r>
              <w:rPr>
                <w:rFonts w:hint="eastAsia" w:ascii="宋体" w:hAnsi="宋体" w:cs="宋体"/>
                <w:sz w:val="21"/>
                <w:szCs w:val="21"/>
                <w:highlight w:val="none"/>
              </w:rPr>
              <w:t>（1）投标人为高新技术企业的，得2分；</w:t>
            </w:r>
          </w:p>
          <w:p>
            <w:pPr>
              <w:widowControl/>
              <w:spacing w:line="264" w:lineRule="auto"/>
              <w:rPr>
                <w:rFonts w:ascii="宋体" w:hAnsi="宋体" w:cs="宋体"/>
                <w:sz w:val="21"/>
                <w:szCs w:val="21"/>
                <w:highlight w:val="none"/>
              </w:rPr>
            </w:pPr>
            <w:r>
              <w:rPr>
                <w:rFonts w:hint="eastAsia" w:ascii="宋体" w:hAnsi="宋体" w:cs="宋体"/>
                <w:sz w:val="21"/>
                <w:szCs w:val="21"/>
                <w:highlight w:val="none"/>
              </w:rPr>
              <w:t>（2）投标人具有质量管理体系认证证书的，得1分。</w:t>
            </w:r>
          </w:p>
        </w:tc>
        <w:tc>
          <w:tcPr>
            <w:tcW w:w="853"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宋体" w:hAnsi="宋体"/>
                <w:b/>
                <w:bCs/>
                <w:szCs w:val="21"/>
                <w:highlight w:val="none"/>
              </w:rPr>
            </w:pPr>
            <w:r>
              <w:rPr>
                <w:rFonts w:hint="eastAsia" w:ascii="宋体" w:hAnsi="宋体" w:cs="宋体"/>
                <w:b/>
                <w:bCs/>
                <w:sz w:val="22"/>
                <w:highlight w:val="none"/>
              </w:rPr>
              <w:t>3 分</w:t>
            </w:r>
          </w:p>
        </w:tc>
      </w:tr>
      <w:tr>
        <w:tblPrEx>
          <w:tblCellMar>
            <w:top w:w="0" w:type="dxa"/>
            <w:left w:w="108" w:type="dxa"/>
            <w:bottom w:w="0" w:type="dxa"/>
            <w:right w:w="108" w:type="dxa"/>
          </w:tblCellMar>
        </w:tblPrEx>
        <w:trPr>
          <w:trHeight w:val="285" w:hRule="atLeast"/>
        </w:trPr>
        <w:tc>
          <w:tcPr>
            <w:tcW w:w="9109" w:type="dxa"/>
            <w:gridSpan w:val="3"/>
            <w:tcBorders>
              <w:top w:val="single" w:color="auto" w:sz="6" w:space="0"/>
              <w:left w:val="single" w:color="auto" w:sz="4" w:space="0"/>
              <w:bottom w:val="single" w:color="auto" w:sz="4" w:space="0"/>
              <w:right w:val="single" w:color="auto" w:sz="6" w:space="0"/>
            </w:tcBorders>
            <w:shd w:val="clear" w:color="auto" w:fill="auto"/>
          </w:tcPr>
          <w:p>
            <w:pPr>
              <w:widowControl/>
              <w:jc w:val="left"/>
              <w:rPr>
                <w:rFonts w:ascii="宋体" w:hAnsi="宋体" w:cs="宋体"/>
                <w:sz w:val="22"/>
                <w:highlight w:val="none"/>
              </w:rPr>
            </w:pPr>
            <w:r>
              <w:rPr>
                <w:rFonts w:hint="eastAsia" w:ascii="宋体" w:hAnsi="宋体" w:cs="宋体"/>
                <w:b/>
                <w:bCs/>
                <w:sz w:val="22"/>
                <w:highlight w:val="none"/>
              </w:rPr>
              <w:t>总得分=1+2+3</w:t>
            </w:r>
          </w:p>
        </w:tc>
        <w:tc>
          <w:tcPr>
            <w:tcW w:w="853" w:type="dxa"/>
            <w:tcBorders>
              <w:top w:val="single" w:color="auto" w:sz="6" w:space="0"/>
              <w:left w:val="single" w:color="auto" w:sz="6" w:space="0"/>
              <w:bottom w:val="single" w:color="auto" w:sz="4" w:space="0"/>
              <w:right w:val="single" w:color="auto" w:sz="4" w:space="0"/>
            </w:tcBorders>
            <w:shd w:val="clear" w:color="auto" w:fill="auto"/>
          </w:tcPr>
          <w:p>
            <w:pPr>
              <w:widowControl/>
              <w:jc w:val="center"/>
              <w:rPr>
                <w:rFonts w:ascii="宋体" w:hAnsi="宋体" w:cs="宋体"/>
                <w:sz w:val="22"/>
                <w:highlight w:val="none"/>
              </w:rPr>
            </w:pPr>
            <w:r>
              <w:rPr>
                <w:rFonts w:hint="eastAsia" w:ascii="宋体" w:hAnsi="宋体" w:cs="宋体"/>
                <w:b/>
                <w:bCs/>
                <w:sz w:val="22"/>
                <w:highlight w:val="none"/>
              </w:rPr>
              <w:t>100分</w:t>
            </w:r>
          </w:p>
        </w:tc>
      </w:tr>
      <w:bookmarkEnd w:id="142"/>
    </w:tbl>
    <w:p>
      <w:pPr>
        <w:rPr>
          <w:rFonts w:ascii="宋体" w:hAnsi="宋体" w:cs="宋体"/>
          <w:b/>
          <w:bCs/>
          <w:highlight w:val="none"/>
        </w:rPr>
      </w:pPr>
    </w:p>
    <w:p>
      <w:pPr>
        <w:spacing w:line="360" w:lineRule="auto"/>
        <w:rPr>
          <w:rFonts w:ascii="宋体" w:hAnsi="宋体" w:cs="宋体"/>
          <w:b/>
          <w:bCs/>
          <w:highlight w:val="none"/>
        </w:rPr>
      </w:pPr>
      <w:r>
        <w:rPr>
          <w:rFonts w:hint="eastAsia" w:ascii="宋体" w:hAnsi="宋体" w:cs="宋体"/>
          <w:b/>
          <w:bCs/>
          <w:highlight w:val="none"/>
        </w:rPr>
        <w:t>三、中标候选人推荐原则</w:t>
      </w:r>
    </w:p>
    <w:p>
      <w:pPr>
        <w:spacing w:line="360" w:lineRule="auto"/>
        <w:ind w:firstLine="420" w:firstLineChars="200"/>
        <w:rPr>
          <w:rFonts w:ascii="宋体" w:hAnsi="宋体" w:cs="宋体"/>
          <w:b/>
          <w:bCs/>
          <w:highlight w:val="none"/>
        </w:rPr>
      </w:pPr>
      <w:r>
        <w:rPr>
          <w:rFonts w:hint="eastAsia" w:ascii="宋体" w:hAnsi="宋体" w:cs="宋体"/>
          <w:highlight w:val="none"/>
        </w:rPr>
        <w:t>评标委员会将根据得分由高到低排列次序（得分相同时，以投标报价由低到高顺序排列；得分且投标报价相同的并列，按技术指标优劣顺序排列）并推荐中标候选人。采购人应当确定评审委员会推荐排名第一的中标候选人为中标人。排名第一的中标候选人放弃中标、因不可抗力或者自身原因提出不能履行合同，或者招标文件规定应当提交质量保证金而在规定的期限内未能提交的，采购人可以确定排名第二的中标候选人为中标人。排名第二的中标候选人因前款规定的同样原因不能签订合同的，采购人、采购代理机构可以确定排名第三的中标候选人为中标人，其余以此类推，采购人也可以决定重新采购。对采购过程、中标结果提出的质疑，合格供应商符合法定数量时，可以从合格的中标候选人中另行确定中标供应商的，应当依法另行确定中标、成交供应商；否则应当重新开展采购活动。</w:t>
      </w:r>
    </w:p>
    <w:p>
      <w:pPr>
        <w:spacing w:line="360" w:lineRule="auto"/>
        <w:rPr>
          <w:rFonts w:ascii="宋体" w:hAnsi="宋体" w:cs="宋体"/>
          <w:b/>
          <w:bCs/>
          <w:highlight w:val="none"/>
        </w:rPr>
      </w:pPr>
      <w:r>
        <w:rPr>
          <w:rFonts w:ascii="宋体" w:hAnsi="宋体" w:cs="宋体"/>
          <w:b/>
          <w:bCs/>
          <w:highlight w:val="none"/>
        </w:rPr>
        <w:t>四、其他</w:t>
      </w:r>
    </w:p>
    <w:p>
      <w:pPr>
        <w:spacing w:line="360" w:lineRule="auto"/>
        <w:ind w:firstLine="420" w:firstLineChars="200"/>
        <w:rPr>
          <w:rFonts w:ascii="宋体" w:hAnsi="宋体" w:cs="宋体"/>
          <w:highlight w:val="none"/>
        </w:rPr>
      </w:pPr>
      <w:r>
        <w:rPr>
          <w:rFonts w:ascii="宋体" w:hAnsi="宋体" w:cs="宋体"/>
          <w:highlight w:val="none"/>
        </w:rPr>
        <w:t>1.评标委员会应按招标文件公布的评标方法和标准进行评标，不得擅自更改招标文件的评标方法和标准。</w:t>
      </w:r>
    </w:p>
    <w:p>
      <w:pPr>
        <w:spacing w:line="360" w:lineRule="auto"/>
        <w:ind w:firstLine="420" w:firstLineChars="200"/>
        <w:rPr>
          <w:rFonts w:ascii="宋体" w:hAnsi="宋体" w:cs="宋体"/>
          <w:highlight w:val="none"/>
        </w:rPr>
      </w:pPr>
      <w:r>
        <w:rPr>
          <w:rFonts w:ascii="宋体" w:hAnsi="宋体" w:cs="宋体"/>
          <w:highlight w:val="none"/>
        </w:rPr>
        <w:t>2.在评审过程中，评标委员会任何人不得对某个投标供应商发表任何倾向性意见，不得向其他专家评委</w:t>
      </w:r>
    </w:p>
    <w:p>
      <w:pPr>
        <w:spacing w:line="360" w:lineRule="auto"/>
        <w:rPr>
          <w:rFonts w:ascii="宋体" w:hAnsi="宋体" w:cs="宋体"/>
          <w:highlight w:val="none"/>
        </w:rPr>
      </w:pPr>
      <w:r>
        <w:rPr>
          <w:rFonts w:ascii="宋体" w:hAnsi="宋体" w:cs="宋体"/>
          <w:highlight w:val="none"/>
        </w:rPr>
        <w:t>明示或者暗示自己的评审意见。</w:t>
      </w:r>
    </w:p>
    <w:p>
      <w:pPr>
        <w:spacing w:line="360" w:lineRule="auto"/>
        <w:ind w:firstLine="420" w:firstLineChars="200"/>
        <w:rPr>
          <w:rFonts w:ascii="宋体" w:hAnsi="宋体" w:cs="宋体"/>
          <w:highlight w:val="none"/>
        </w:rPr>
      </w:pPr>
      <w:r>
        <w:rPr>
          <w:rFonts w:ascii="宋体" w:hAnsi="宋体" w:cs="宋体"/>
          <w:highlight w:val="none"/>
        </w:rPr>
        <w:t>3.采购代理机构或现场监督人员发现评标委员会有明显的违规倾向或歧视现象，或不按规定的评标方法</w:t>
      </w:r>
    </w:p>
    <w:p>
      <w:pPr>
        <w:spacing w:line="360" w:lineRule="auto"/>
        <w:rPr>
          <w:rFonts w:ascii="宋体" w:hAnsi="宋体" w:cs="宋体"/>
          <w:b/>
          <w:bCs/>
          <w:highlight w:val="none"/>
        </w:rPr>
      </w:pPr>
      <w:r>
        <w:rPr>
          <w:rFonts w:ascii="宋体" w:hAnsi="宋体" w:cs="宋体"/>
          <w:highlight w:val="none"/>
        </w:rPr>
        <w:t>和标准进行，或其他不正常行为的，应当及时制止和纠正。如制止无效，应及时向同级政府采购监督管理部门报告，由政府采购监督管理部门依照法律、法规章规作出处理。</w:t>
      </w:r>
    </w:p>
    <w:p>
      <w:pPr>
        <w:spacing w:line="360" w:lineRule="auto"/>
        <w:rPr>
          <w:rFonts w:ascii="宋体" w:hAnsi="宋体" w:cs="宋体"/>
          <w:b/>
          <w:bCs/>
          <w:highlight w:val="none"/>
        </w:rPr>
      </w:pPr>
    </w:p>
    <w:p>
      <w:pPr>
        <w:pStyle w:val="2"/>
        <w:spacing w:line="360" w:lineRule="auto"/>
        <w:rPr>
          <w:highlight w:val="none"/>
        </w:rPr>
      </w:pPr>
    </w:p>
    <w:p>
      <w:pPr>
        <w:pStyle w:val="2"/>
        <w:spacing w:line="360" w:lineRule="auto"/>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ascii="宋体" w:hAnsi="宋体" w:cs="宋体"/>
          <w:highlight w:val="none"/>
        </w:rPr>
      </w:pPr>
    </w:p>
    <w:p>
      <w:pPr>
        <w:pStyle w:val="7"/>
        <w:rPr>
          <w:rFonts w:ascii="宋体" w:hAnsi="宋体" w:eastAsia="宋体" w:cs="宋体"/>
          <w:b/>
          <w:bCs/>
          <w:highlight w:val="none"/>
        </w:rPr>
      </w:pPr>
      <w:r>
        <w:rPr>
          <w:rFonts w:hint="eastAsia" w:ascii="宋体" w:hAnsi="宋体" w:eastAsia="宋体" w:cs="宋体"/>
          <w:b/>
          <w:bCs/>
          <w:sz w:val="36"/>
          <w:szCs w:val="36"/>
          <w:highlight w:val="none"/>
        </w:rPr>
        <w:t>第五章  政府采购合同及主要条款格式</w:t>
      </w:r>
    </w:p>
    <w:p>
      <w:pPr>
        <w:rPr>
          <w:rFonts w:ascii="宋体" w:hAnsi="宋体" w:cs="宋体"/>
          <w:highlight w:val="none"/>
        </w:rPr>
      </w:pPr>
    </w:p>
    <w:p>
      <w:pPr>
        <w:pStyle w:val="26"/>
        <w:spacing w:line="400" w:lineRule="exact"/>
        <w:jc w:val="center"/>
        <w:rPr>
          <w:rFonts w:hAnsi="宋体" w:cs="宋体"/>
          <w:highlight w:val="none"/>
        </w:rPr>
      </w:pPr>
      <w:r>
        <w:rPr>
          <w:rFonts w:hint="eastAsia" w:hAnsi="宋体" w:cs="宋体"/>
          <w:b/>
          <w:sz w:val="32"/>
          <w:szCs w:val="32"/>
          <w:highlight w:val="none"/>
        </w:rPr>
        <w:t xml:space="preserve"> 合同主要条款及格式</w:t>
      </w:r>
    </w:p>
    <w:p>
      <w:pPr>
        <w:snapToGrid w:val="0"/>
        <w:spacing w:line="400" w:lineRule="exact"/>
        <w:jc w:val="center"/>
        <w:rPr>
          <w:rFonts w:ascii="宋体" w:hAnsi="宋体" w:cs="宋体"/>
          <w:sz w:val="24"/>
          <w:szCs w:val="21"/>
          <w:highlight w:val="none"/>
        </w:rPr>
      </w:pPr>
      <w:r>
        <w:rPr>
          <w:rFonts w:hint="eastAsia" w:ascii="宋体" w:hAnsi="宋体" w:cs="宋体"/>
          <w:sz w:val="24"/>
          <w:szCs w:val="21"/>
          <w:highlight w:val="none"/>
        </w:rPr>
        <w:t>（参考格式，以实际签订合同为准）</w:t>
      </w:r>
    </w:p>
    <w:p>
      <w:pPr>
        <w:rPr>
          <w:rFonts w:ascii="宋体" w:hAnsi="宋体" w:cs="宋体"/>
          <w:b/>
          <w:bCs/>
          <w:sz w:val="24"/>
          <w:highlight w:val="none"/>
        </w:rPr>
      </w:pPr>
    </w:p>
    <w:p>
      <w:pPr>
        <w:spacing w:before="10"/>
        <w:rPr>
          <w:rFonts w:ascii="宋体" w:hAnsi="宋体" w:cs="宋体"/>
          <w:b/>
          <w:bCs/>
          <w:sz w:val="31"/>
          <w:szCs w:val="31"/>
          <w:highlight w:val="none"/>
        </w:rPr>
      </w:pPr>
    </w:p>
    <w:p>
      <w:pPr>
        <w:pStyle w:val="7"/>
        <w:spacing w:line="240" w:lineRule="auto"/>
        <w:rPr>
          <w:rFonts w:ascii="宋体" w:hAnsi="宋体" w:eastAsia="宋体" w:cs="宋体"/>
          <w:highlight w:val="none"/>
        </w:rPr>
      </w:pPr>
      <w:r>
        <w:rPr>
          <w:rFonts w:hint="eastAsia" w:ascii="宋体" w:hAnsi="宋体" w:eastAsia="宋体" w:cs="宋体"/>
          <w:highlight w:val="none"/>
          <w:u w:val="single"/>
        </w:rPr>
        <w:t xml:space="preserve"> 防城港市西湾新城控制性详细规划 </w:t>
      </w:r>
      <w:r>
        <w:rPr>
          <w:rFonts w:hint="eastAsia" w:ascii="宋体" w:hAnsi="宋体" w:eastAsia="宋体" w:cs="宋体"/>
          <w:highlight w:val="none"/>
        </w:rPr>
        <w:t>采购合同（服务类）</w:t>
      </w:r>
    </w:p>
    <w:p>
      <w:pPr>
        <w:rPr>
          <w:rFonts w:ascii="宋体" w:hAnsi="宋体" w:cs="宋体"/>
          <w:b/>
          <w:bCs/>
          <w:sz w:val="24"/>
          <w:highlight w:val="none"/>
        </w:rPr>
      </w:pPr>
    </w:p>
    <w:p>
      <w:pPr>
        <w:rPr>
          <w:rFonts w:ascii="宋体" w:hAnsi="宋体" w:cs="宋体"/>
          <w:b/>
          <w:bCs/>
          <w:sz w:val="24"/>
          <w:highlight w:val="none"/>
        </w:rPr>
      </w:pPr>
    </w:p>
    <w:p>
      <w:pPr>
        <w:rPr>
          <w:rFonts w:ascii="宋体" w:hAnsi="宋体" w:cs="宋体"/>
          <w:b/>
          <w:bCs/>
          <w:sz w:val="24"/>
          <w:highlight w:val="none"/>
        </w:rPr>
      </w:pPr>
    </w:p>
    <w:p>
      <w:pPr>
        <w:spacing w:before="6"/>
        <w:rPr>
          <w:rFonts w:ascii="宋体" w:hAnsi="宋体" w:cs="宋体"/>
          <w:b/>
          <w:bCs/>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2"/>
        <w:rPr>
          <w:rFonts w:ascii="宋体" w:hAnsi="宋体" w:cs="宋体"/>
          <w:b/>
          <w:sz w:val="20"/>
          <w:szCs w:val="20"/>
          <w:highlight w:val="none"/>
        </w:rPr>
      </w:pPr>
    </w:p>
    <w:p>
      <w:pPr>
        <w:pStyle w:val="7"/>
        <w:tabs>
          <w:tab w:val="left" w:pos="7153"/>
        </w:tabs>
        <w:spacing w:before="172" w:line="240" w:lineRule="auto"/>
        <w:ind w:left="1552"/>
        <w:jc w:val="left"/>
        <w:rPr>
          <w:rFonts w:ascii="宋体" w:hAnsi="宋体" w:eastAsia="宋体" w:cs="宋体"/>
          <w:highlight w:val="none"/>
        </w:rPr>
      </w:pPr>
    </w:p>
    <w:p>
      <w:pPr>
        <w:jc w:val="left"/>
        <w:rPr>
          <w:rFonts w:ascii="宋体" w:hAnsi="宋体" w:cs="宋体"/>
          <w:highlight w:val="none"/>
        </w:rPr>
        <w:sectPr>
          <w:footerReference r:id="rId7" w:type="default"/>
          <w:pgSz w:w="11910" w:h="16840"/>
          <w:pgMar w:top="1480" w:right="1020" w:bottom="1160" w:left="1020" w:header="852" w:footer="978" w:gutter="0"/>
          <w:pgNumType w:start="1"/>
          <w:cols w:space="720" w:num="1"/>
        </w:sectPr>
      </w:pPr>
    </w:p>
    <w:p>
      <w:pPr>
        <w:keepNext/>
        <w:keepLines/>
        <w:spacing w:before="260" w:after="260" w:line="520" w:lineRule="exact"/>
        <w:jc w:val="center"/>
        <w:outlineLvl w:val="1"/>
        <w:rPr>
          <w:rFonts w:ascii="Arial" w:hAnsi="Arial" w:eastAsia="黑体"/>
          <w:b/>
          <w:bCs/>
          <w:color w:val="000000" w:themeColor="text1"/>
          <w:kern w:val="0"/>
          <w:sz w:val="32"/>
          <w:szCs w:val="32"/>
          <w:highlight w:val="none"/>
          <w14:textFill>
            <w14:solidFill>
              <w14:schemeClr w14:val="tx1"/>
            </w14:solidFill>
          </w14:textFill>
        </w:rPr>
      </w:pPr>
      <w:r>
        <w:rPr>
          <w:rFonts w:hint="eastAsia" w:ascii="Arial" w:hAnsi="Arial" w:eastAsia="黑体"/>
          <w:b/>
          <w:bCs/>
          <w:color w:val="000000" w:themeColor="text1"/>
          <w:kern w:val="0"/>
          <w:sz w:val="32"/>
          <w:szCs w:val="32"/>
          <w:highlight w:val="none"/>
          <w14:textFill>
            <w14:solidFill>
              <w14:schemeClr w14:val="tx1"/>
            </w14:solidFill>
          </w14:textFill>
        </w:rPr>
        <w:t>合同文本</w:t>
      </w:r>
    </w:p>
    <w:p>
      <w:pPr>
        <w:jc w:val="center"/>
        <w:rPr>
          <w:rFonts w:ascii="黑体" w:hAnsi="黑体" w:eastAsia="黑体"/>
          <w:b/>
          <w:color w:val="000000" w:themeColor="text1"/>
          <w:sz w:val="72"/>
          <w:highlight w:val="none"/>
          <w14:textFill>
            <w14:solidFill>
              <w14:schemeClr w14:val="tx1"/>
            </w14:solidFill>
          </w14:textFill>
        </w:rPr>
      </w:pPr>
    </w:p>
    <w:p>
      <w:pPr>
        <w:jc w:val="center"/>
        <w:rPr>
          <w:rFonts w:ascii="黑体" w:hAnsi="黑体" w:eastAsia="黑体"/>
          <w:b/>
          <w:color w:val="000000" w:themeColor="text1"/>
          <w:sz w:val="72"/>
          <w:highlight w:val="none"/>
          <w14:textFill>
            <w14:solidFill>
              <w14:schemeClr w14:val="tx1"/>
            </w14:solidFill>
          </w14:textFill>
        </w:rPr>
      </w:pPr>
    </w:p>
    <w:p>
      <w:pPr>
        <w:jc w:val="center"/>
        <w:rPr>
          <w:rFonts w:ascii="黑体" w:hAnsi="黑体" w:eastAsia="黑体"/>
          <w:b/>
          <w:color w:val="000000" w:themeColor="text1"/>
          <w:sz w:val="72"/>
          <w:highlight w:val="none"/>
          <w14:textFill>
            <w14:solidFill>
              <w14:schemeClr w14:val="tx1"/>
            </w14:solidFill>
          </w14:textFill>
        </w:rPr>
      </w:pPr>
    </w:p>
    <w:p>
      <w:pPr>
        <w:jc w:val="center"/>
        <w:rPr>
          <w:rFonts w:ascii="黑体" w:hAnsi="黑体" w:eastAsia="黑体"/>
          <w:b/>
          <w:color w:val="000000" w:themeColor="text1"/>
          <w:sz w:val="72"/>
          <w:highlight w:val="none"/>
          <w14:textFill>
            <w14:solidFill>
              <w14:schemeClr w14:val="tx1"/>
            </w14:solidFill>
          </w14:textFill>
        </w:rPr>
      </w:pPr>
    </w:p>
    <w:p>
      <w:pPr>
        <w:jc w:val="center"/>
        <w:rPr>
          <w:rFonts w:ascii="黑体" w:hAnsi="黑体" w:eastAsia="黑体"/>
          <w:b/>
          <w:color w:val="000000" w:themeColor="text1"/>
          <w:sz w:val="72"/>
          <w:highlight w:val="none"/>
          <w14:textFill>
            <w14:solidFill>
              <w14:schemeClr w14:val="tx1"/>
            </w14:solidFill>
          </w14:textFill>
        </w:rPr>
      </w:pPr>
      <w:r>
        <w:rPr>
          <w:rFonts w:hint="eastAsia" w:ascii="黑体" w:hAnsi="黑体" w:eastAsia="黑体"/>
          <w:b/>
          <w:color w:val="000000" w:themeColor="text1"/>
          <w:sz w:val="72"/>
          <w:highlight w:val="none"/>
          <w14:textFill>
            <w14:solidFill>
              <w14:schemeClr w14:val="tx1"/>
            </w14:solidFill>
          </w14:textFill>
        </w:rPr>
        <w:t>规 划 设 计 合 同</w:t>
      </w:r>
    </w:p>
    <w:p>
      <w:pPr>
        <w:jc w:val="center"/>
        <w:rPr>
          <w:b/>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p>
    <w:p>
      <w:pPr>
        <w:rPr>
          <w:rFonts w:ascii="黑体" w:hAnsi="黑体" w:eastAsia="黑体"/>
          <w:color w:val="000000" w:themeColor="text1"/>
          <w:sz w:val="30"/>
          <w:highlight w:val="none"/>
          <w:u w:val="singl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 xml:space="preserve">项 目 名 称： </w:t>
      </w:r>
      <w:r>
        <w:rPr>
          <w:rFonts w:hint="eastAsia" w:ascii="黑体" w:hAnsi="黑体" w:eastAsia="黑体"/>
          <w:color w:val="000000" w:themeColor="text1"/>
          <w:sz w:val="30"/>
          <w:highlight w:val="none"/>
          <w:u w:val="single"/>
          <w14:textFill>
            <w14:solidFill>
              <w14:schemeClr w14:val="tx1"/>
            </w14:solidFill>
          </w14:textFill>
        </w:rPr>
        <w:t xml:space="preserve">                                        </w:t>
      </w:r>
    </w:p>
    <w:p>
      <w:pPr>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 xml:space="preserve">             </w:t>
      </w:r>
    </w:p>
    <w:p>
      <w:pPr>
        <w:rPr>
          <w:rFonts w:ascii="黑体" w:hAnsi="黑体" w:eastAsia="黑体"/>
          <w:color w:val="000000" w:themeColor="text1"/>
          <w:sz w:val="30"/>
          <w:highlight w:val="none"/>
          <w14:textFill>
            <w14:solidFill>
              <w14:schemeClr w14:val="tx1"/>
            </w14:solidFill>
          </w14:textFill>
        </w:rPr>
      </w:pPr>
    </w:p>
    <w:p>
      <w:pPr>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 xml:space="preserve">委托方（甲方）：  </w:t>
      </w:r>
      <w:r>
        <w:rPr>
          <w:rFonts w:hint="eastAsia" w:ascii="黑体" w:hAnsi="黑体" w:eastAsia="黑体"/>
          <w:color w:val="000000" w:themeColor="text1"/>
          <w:sz w:val="30"/>
          <w:highlight w:val="none"/>
          <w:u w:val="single"/>
          <w14:textFill>
            <w14:solidFill>
              <w14:schemeClr w14:val="tx1"/>
            </w14:solidFill>
          </w14:textFill>
        </w:rPr>
        <w:t xml:space="preserve">                                     </w:t>
      </w:r>
    </w:p>
    <w:p>
      <w:pPr>
        <w:ind w:firstLine="300" w:firstLineChars="100"/>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 xml:space="preserve">  </w:t>
      </w:r>
    </w:p>
    <w:p>
      <w:pPr>
        <w:ind w:firstLine="1800" w:firstLineChars="600"/>
        <w:rPr>
          <w:rFonts w:ascii="黑体" w:hAnsi="黑体" w:eastAsia="黑体"/>
          <w:color w:val="000000" w:themeColor="text1"/>
          <w:sz w:val="30"/>
          <w:highlight w:val="none"/>
          <w14:textFill>
            <w14:solidFill>
              <w14:schemeClr w14:val="tx1"/>
            </w14:solidFill>
          </w14:textFill>
        </w:rPr>
      </w:pPr>
    </w:p>
    <w:p>
      <w:pPr>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 xml:space="preserve">设计方（乙方）：  </w:t>
      </w:r>
      <w:r>
        <w:rPr>
          <w:rFonts w:hint="eastAsia" w:ascii="黑体" w:hAnsi="黑体" w:eastAsia="黑体"/>
          <w:color w:val="000000" w:themeColor="text1"/>
          <w:sz w:val="30"/>
          <w:highlight w:val="none"/>
          <w:u w:val="single"/>
          <w14:textFill>
            <w14:solidFill>
              <w14:schemeClr w14:val="tx1"/>
            </w14:solidFill>
          </w14:textFill>
        </w:rPr>
        <w:t xml:space="preserve">                                     </w:t>
      </w:r>
    </w:p>
    <w:p>
      <w:pPr>
        <w:rPr>
          <w:rFonts w:ascii="黑体" w:hAnsi="黑体" w:eastAsia="黑体"/>
          <w:color w:val="000000" w:themeColor="text1"/>
          <w:sz w:val="30"/>
          <w:highlight w:val="none"/>
          <w14:textFill>
            <w14:solidFill>
              <w14:schemeClr w14:val="tx1"/>
            </w14:solidFill>
          </w14:textFill>
        </w:rPr>
      </w:pPr>
    </w:p>
    <w:p>
      <w:pPr>
        <w:rPr>
          <w:rFonts w:ascii="黑体" w:hAnsi="黑体" w:eastAsia="黑体"/>
          <w:color w:val="000000" w:themeColor="text1"/>
          <w:sz w:val="30"/>
          <w:highlight w:val="none"/>
          <w14:textFill>
            <w14:solidFill>
              <w14:schemeClr w14:val="tx1"/>
            </w14:solidFill>
          </w14:textFill>
        </w:rPr>
      </w:pPr>
    </w:p>
    <w:p>
      <w:pPr>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 xml:space="preserve">设计方（丙方）（如有）：  </w:t>
      </w:r>
      <w:r>
        <w:rPr>
          <w:rFonts w:hint="eastAsia" w:ascii="黑体" w:hAnsi="黑体" w:eastAsia="黑体"/>
          <w:color w:val="000000" w:themeColor="text1"/>
          <w:sz w:val="30"/>
          <w:highlight w:val="none"/>
          <w:u w:val="single"/>
          <w14:textFill>
            <w14:solidFill>
              <w14:schemeClr w14:val="tx1"/>
            </w14:solidFill>
          </w14:textFill>
        </w:rPr>
        <w:t xml:space="preserve">                              </w:t>
      </w:r>
    </w:p>
    <w:p>
      <w:pPr>
        <w:rPr>
          <w:rFonts w:ascii="黑体" w:hAnsi="黑体" w:eastAsia="黑体"/>
          <w:color w:val="000000" w:themeColor="text1"/>
          <w:sz w:val="30"/>
          <w:highlight w:val="none"/>
          <w14:textFill>
            <w14:solidFill>
              <w14:schemeClr w14:val="tx1"/>
            </w14:solidFill>
          </w14:textFill>
        </w:rPr>
      </w:pPr>
    </w:p>
    <w:p>
      <w:pPr>
        <w:rPr>
          <w:rFonts w:ascii="黑体" w:hAnsi="黑体" w:eastAsia="黑体"/>
          <w:color w:val="000000" w:themeColor="text1"/>
          <w:sz w:val="30"/>
          <w:highlight w:val="none"/>
          <w14:textFill>
            <w14:solidFill>
              <w14:schemeClr w14:val="tx1"/>
            </w14:solidFill>
          </w14:textFill>
        </w:rPr>
      </w:pPr>
    </w:p>
    <w:p>
      <w:pPr>
        <w:rPr>
          <w:rFonts w:ascii="黑体" w:hAnsi="黑体" w:eastAsia="黑体"/>
          <w:color w:val="000000" w:themeColor="text1"/>
          <w:sz w:val="30"/>
          <w:highlight w:val="none"/>
          <w:u w:val="singl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签 订 日 期：</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 xml:space="preserve">   签 订 地 点：</w:t>
      </w:r>
      <w:r>
        <w:rPr>
          <w:rFonts w:hint="eastAsia" w:ascii="黑体" w:hAnsi="黑体" w:eastAsia="黑体"/>
          <w:color w:val="000000" w:themeColor="text1"/>
          <w:sz w:val="30"/>
          <w:highlight w:val="none"/>
          <w:u w:val="single"/>
          <w14:textFill>
            <w14:solidFill>
              <w14:schemeClr w14:val="tx1"/>
            </w14:solidFill>
          </w14:textFill>
        </w:rPr>
        <w:t xml:space="preserve">            </w:t>
      </w:r>
    </w:p>
    <w:p>
      <w:pPr>
        <w:rPr>
          <w:rFonts w:ascii="楷体" w:hAnsi="楷体" w:eastAsia="楷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 xml:space="preserve">     </w:t>
      </w:r>
    </w:p>
    <w:p>
      <w:pPr>
        <w:rPr>
          <w:rFonts w:ascii="黑体" w:hAnsi="黑体" w:eastAsia="黑体"/>
          <w:color w:val="000000" w:themeColor="text1"/>
          <w:sz w:val="30"/>
          <w:highlight w:val="none"/>
          <w14:textFill>
            <w14:solidFill>
              <w14:schemeClr w14:val="tx1"/>
            </w14:solidFill>
          </w14:textFill>
        </w:rPr>
      </w:pPr>
    </w:p>
    <w:p>
      <w:pPr>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起 止 期 限：</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年</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月  至</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年</w:t>
      </w:r>
      <w:r>
        <w:rPr>
          <w:rFonts w:hint="eastAsia" w:ascii="黑体" w:hAnsi="黑体" w:eastAsia="黑体"/>
          <w:color w:val="000000" w:themeColor="text1"/>
          <w:sz w:val="30"/>
          <w:highlight w:val="none"/>
          <w:u w:val="single"/>
          <w14:textFill>
            <w14:solidFill>
              <w14:schemeClr w14:val="tx1"/>
            </w14:solidFill>
          </w14:textFill>
        </w:rPr>
        <w:t xml:space="preserve">      </w:t>
      </w:r>
      <w:r>
        <w:rPr>
          <w:rFonts w:hint="eastAsia" w:ascii="黑体" w:hAnsi="黑体" w:eastAsia="黑体"/>
          <w:color w:val="000000" w:themeColor="text1"/>
          <w:sz w:val="30"/>
          <w:highlight w:val="none"/>
          <w14:textFill>
            <w14:solidFill>
              <w14:schemeClr w14:val="tx1"/>
            </w14:solidFill>
          </w14:textFill>
        </w:rPr>
        <w:t xml:space="preserve">月  </w:t>
      </w:r>
    </w:p>
    <w:p>
      <w:pPr>
        <w:ind w:firstLine="567" w:firstLineChars="189"/>
        <w:rPr>
          <w:rFonts w:ascii="宋体" w:hAnsi="宋体"/>
          <w:color w:val="000000" w:themeColor="text1"/>
          <w:sz w:val="24"/>
          <w:highlight w:val="none"/>
          <w14:textFill>
            <w14:solidFill>
              <w14:schemeClr w14:val="tx1"/>
            </w14:solidFill>
          </w14:textFill>
        </w:rPr>
      </w:pPr>
      <w:r>
        <w:rPr>
          <w:rFonts w:ascii="黑体" w:hAnsi="黑体" w:eastAsia="黑体"/>
          <w:color w:val="000000" w:themeColor="text1"/>
          <w:sz w:val="30"/>
          <w:highlight w:val="none"/>
          <w14:textFill>
            <w14:solidFill>
              <w14:schemeClr w14:val="tx1"/>
            </w14:solidFill>
          </w14:textFill>
        </w:rPr>
        <w:br w:type="page"/>
      </w:r>
      <w:r>
        <w:rPr>
          <w:rFonts w:hint="eastAsia" w:ascii="宋体" w:hAnsi="宋体"/>
          <w:color w:val="000000" w:themeColor="text1"/>
          <w:sz w:val="24"/>
          <w:highlight w:val="none"/>
          <w14:textFill>
            <w14:solidFill>
              <w14:schemeClr w14:val="tx1"/>
            </w14:solidFill>
          </w14:textFill>
        </w:rPr>
        <w:t>为明确三方的权利、义务，经协商一致，依照《中华人民共和国民法典》，并遵循诚实、诚信、公平和自愿原则订立本合同。</w:t>
      </w:r>
    </w:p>
    <w:p>
      <w:pPr>
        <w:spacing w:line="288" w:lineRule="auto"/>
        <w:ind w:firstLine="480" w:firstLineChars="200"/>
        <w:rPr>
          <w:rFonts w:ascii="宋体" w:hAnsi="宋体"/>
          <w:color w:val="000000" w:themeColor="text1"/>
          <w:sz w:val="24"/>
          <w:highlight w:val="none"/>
          <w14:textFill>
            <w14:solidFill>
              <w14:schemeClr w14:val="tx1"/>
            </w14:solidFill>
          </w14:textFill>
        </w:rPr>
      </w:pPr>
    </w:p>
    <w:p>
      <w:pPr>
        <w:spacing w:line="288"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一、规划设计内容、形式及要求</w:t>
      </w: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设计项目地点: </w:t>
      </w:r>
    </w:p>
    <w:p>
      <w:pPr>
        <w:spacing w:line="288"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省/自治区        市        县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88" w:lineRule="auto"/>
        <w:ind w:firstLine="480" w:firstLineChars="200"/>
        <w:rPr>
          <w:rFonts w:ascii="宋体" w:hAnsi="宋体"/>
          <w:color w:val="000000" w:themeColor="text1"/>
          <w:sz w:val="24"/>
          <w:highlight w:val="none"/>
          <w:u w:val="single"/>
          <w14:textFill>
            <w14:solidFill>
              <w14:schemeClr w14:val="tx1"/>
            </w14:solidFill>
          </w14:textFill>
        </w:rPr>
      </w:pP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设计项目范围与规模：</w:t>
      </w:r>
    </w:p>
    <w:p>
      <w:pPr>
        <w:spacing w:line="288" w:lineRule="auto"/>
        <w:ind w:firstLine="480" w:firstLineChars="200"/>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 xml:space="preserve">规划范围：                                   </w:t>
      </w:r>
      <w:r>
        <w:rPr>
          <w:rFonts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u w:val="single"/>
          <w14:textFill>
            <w14:solidFill>
              <w14:schemeClr w14:val="tx1"/>
            </w14:solidFill>
          </w14:textFill>
        </w:rPr>
        <w:t xml:space="preserve">          </w:t>
      </w:r>
    </w:p>
    <w:p>
      <w:pPr>
        <w:spacing w:line="288" w:lineRule="auto"/>
        <w:ind w:firstLine="480" w:firstLineChars="200"/>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 xml:space="preserve">项目规模：                                                 </w:t>
      </w:r>
    </w:p>
    <w:p>
      <w:pPr>
        <w:spacing w:line="288" w:lineRule="auto"/>
        <w:ind w:firstLine="320" w:firstLineChars="200"/>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 xml:space="preserve">    </w:t>
      </w:r>
    </w:p>
    <w:p>
      <w:pPr>
        <w:spacing w:line="288" w:lineRule="auto"/>
        <w:ind w:firstLine="320" w:firstLineChars="200"/>
        <w:rPr>
          <w:rFonts w:ascii="宋体" w:hAnsi="宋体"/>
          <w:color w:val="000000" w:themeColor="text1"/>
          <w:sz w:val="16"/>
          <w:szCs w:val="16"/>
          <w:highlight w:val="none"/>
          <w14:textFill>
            <w14:solidFill>
              <w14:schemeClr w14:val="tx1"/>
            </w14:solidFill>
          </w14:textFill>
        </w:rPr>
      </w:pP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成果内容：</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 xml:space="preserve"> 3.1  区域背景分析。主要包括规划背景、区域分析和政策分析等。</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3.2 相关规划及基地分析。落实上位规划及相关规划对规划区的发展意图及建设的要求，深入调查梳理现状用地、道路、设施和建筑等，整合土地资源，提高规划科学性、合理性和可操作性。</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3.3 发展策略与定位。发展策略主要包括产业策略、生态策略、交通策略等。明确发展定位和功能定位，合理确定各项容量指标，包括建设用地规模、人口容量、建设容量等。</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3.4 用地布局规划。合理安排居住用地、公共设施用地、交通和市政设施用地、公共绿地、村庄用地及其他各项建设用地布局。同时，对各地块的使用性质等用地功能提出控制要求，确定各地块容积率、建筑高度、建筑密度、绿地率等用地指标。</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3.5 公共设施规划。落实各项公共服务设施及商业服务设施的用地规模、范围及具体控制要求。</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3.6 综合交通规划。主要包括对外交通、道路系统、道路横断面设计、公共交通系统、慢行交通系统、水上交通系统、静态交通系统</w:t>
      </w:r>
      <w:r>
        <w:rPr>
          <w:rFonts w:hint="eastAsia" w:ascii="楷体" w:hAnsi="楷体" w:eastAsia="楷体"/>
          <w:color w:val="000000" w:themeColor="text1"/>
          <w:sz w:val="24"/>
          <w:highlight w:val="none"/>
          <w:u w:val="single"/>
          <w:lang w:eastAsia="zh-CN"/>
          <w14:textFill>
            <w14:solidFill>
              <w14:schemeClr w14:val="tx1"/>
            </w14:solidFill>
          </w14:textFill>
        </w:rPr>
        <w:t>、道路竖向</w:t>
      </w:r>
      <w:r>
        <w:rPr>
          <w:rFonts w:hint="eastAsia" w:ascii="楷体" w:hAnsi="楷体" w:eastAsia="楷体"/>
          <w:color w:val="000000" w:themeColor="text1"/>
          <w:sz w:val="24"/>
          <w:highlight w:val="none"/>
          <w:u w:val="single"/>
          <w14:textFill>
            <w14:solidFill>
              <w14:schemeClr w14:val="tx1"/>
            </w14:solidFill>
          </w14:textFill>
        </w:rPr>
        <w:t>等。</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3.7市政工程规划。主要包括给水工程规划、排水工程规划、电力电信规划、燃气工程规划、环卫工程规划等方面，合理配置规划区内的市政管线，确定市政管线走向、管径</w:t>
      </w:r>
      <w:r>
        <w:rPr>
          <w:rFonts w:hint="eastAsia" w:ascii="楷体" w:hAnsi="楷体" w:eastAsia="楷体"/>
          <w:color w:val="000000" w:themeColor="text1"/>
          <w:sz w:val="24"/>
          <w:highlight w:val="none"/>
          <w:u w:val="single"/>
          <w:lang w:eastAsia="zh-CN"/>
          <w14:textFill>
            <w14:solidFill>
              <w14:schemeClr w14:val="tx1"/>
            </w14:solidFill>
          </w14:textFill>
        </w:rPr>
        <w:t>及竖向标高</w:t>
      </w:r>
      <w:r>
        <w:rPr>
          <w:rFonts w:hint="eastAsia" w:ascii="楷体" w:hAnsi="楷体" w:eastAsia="楷体"/>
          <w:color w:val="000000" w:themeColor="text1"/>
          <w:sz w:val="24"/>
          <w:highlight w:val="none"/>
          <w:u w:val="single"/>
          <w14:textFill>
            <w14:solidFill>
              <w14:schemeClr w14:val="tx1"/>
            </w14:solidFill>
          </w14:textFill>
        </w:rPr>
        <w:t>。</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3.8生态环境与绿地系统规划。结合城市道路、河流、湖泊、广场等公共开放空间，构建城市绿地系统，打造舒适宜人的城市公共空间。</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u w:val="single"/>
          <w14:textFill>
            <w14:solidFill>
              <w14:schemeClr w14:val="tx1"/>
            </w14:solidFill>
          </w14:textFill>
        </w:rPr>
        <w:t xml:space="preserve">3.9规划管理。包括指标体系构建、规划管控、城市设计引导、近期建设及实施保障等。                                                      </w:t>
      </w:r>
      <w:r>
        <w:rPr>
          <w:rFonts w:ascii="楷体" w:hAnsi="楷体" w:eastAsia="楷体"/>
          <w:color w:val="000000" w:themeColor="text1"/>
          <w:sz w:val="24"/>
          <w:highlight w:val="none"/>
          <w:u w:val="single"/>
          <w14:textFill>
            <w14:solidFill>
              <w14:schemeClr w14:val="tx1"/>
            </w14:solidFill>
          </w14:textFill>
        </w:rPr>
        <w:t xml:space="preserve">   </w:t>
      </w:r>
    </w:p>
    <w:p>
      <w:pPr>
        <w:spacing w:line="288" w:lineRule="auto"/>
        <w:ind w:firstLine="480" w:firstLineChars="200"/>
        <w:jc w:val="left"/>
        <w:rPr>
          <w:rFonts w:ascii="楷体" w:hAnsi="楷体" w:eastAsia="楷体"/>
          <w:color w:val="000000" w:themeColor="text1"/>
          <w:sz w:val="24"/>
          <w:highlight w:val="none"/>
          <w:u w:val="single"/>
          <w14:textFill>
            <w14:solidFill>
              <w14:schemeClr w14:val="tx1"/>
            </w14:solidFill>
          </w14:textFill>
        </w:rPr>
      </w:pP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成果形式：</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最终成果为纸质成果 10 套，电子成果 2 套。</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纸质成果包括文本、图纸、说明书和分图图则。</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电子成果包括以上文件的电子档案，格式要求：Doc、</w:t>
      </w:r>
      <w:r>
        <w:rPr>
          <w:rFonts w:hint="eastAsia" w:ascii="宋体" w:hAnsi="宋体"/>
          <w:bCs/>
          <w:color w:val="000000" w:themeColor="text1"/>
          <w:sz w:val="24"/>
          <w:highlight w:val="none"/>
          <w:lang w:val="en-US" w:eastAsia="zh-CN"/>
          <w14:textFill>
            <w14:solidFill>
              <w14:schemeClr w14:val="tx1"/>
            </w14:solidFill>
          </w14:textFill>
        </w:rPr>
        <w:t>pdf、</w:t>
      </w:r>
      <w:r>
        <w:rPr>
          <w:rFonts w:hint="eastAsia" w:ascii="宋体" w:hAnsi="宋体"/>
          <w:bCs/>
          <w:color w:val="000000" w:themeColor="text1"/>
          <w:sz w:val="24"/>
          <w:highlight w:val="none"/>
          <w14:textFill>
            <w14:solidFill>
              <w14:schemeClr w14:val="tx1"/>
            </w14:solidFill>
          </w14:textFill>
        </w:rPr>
        <w:t>jpg、dwg等。</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p>
    <w:p>
      <w:pPr>
        <w:spacing w:line="288" w:lineRule="auto"/>
        <w:ind w:firstLine="560" w:firstLineChars="200"/>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二、进度安排与验收</w:t>
      </w: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设计进度安排</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第一阶段：踏勘阶段，合同生效后</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14:textFill>
            <w14:solidFill>
              <w14:schemeClr w14:val="tx1"/>
            </w14:solidFill>
          </w14:textFill>
        </w:rPr>
        <w:t>个工作日内，进行现场初步踏勘，本阶段共计</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15</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工作日，甲方应保证乙、丙方顺利进场踏勘；</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第二阶段：完成规划设计初步方案，提交委托方研讨及征询意见。本阶段共计</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 xml:space="preserve">30 </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工作日；</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第三阶段：根据委托方书面修改意见，进行修改完善，形成送审成果，提交委托方报送相应主管部门进行审查，审查形式为委托方联系组织召开的评审会或技术审查。本阶段共计</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30</w:t>
      </w:r>
      <w:r>
        <w:rPr>
          <w:rFonts w:hint="eastAsia" w:ascii="宋体" w:hAnsi="宋体"/>
          <w:bCs/>
          <w:color w:val="000000" w:themeColor="text1"/>
          <w:sz w:val="24"/>
          <w:highlight w:val="none"/>
          <w14:textFill>
            <w14:solidFill>
              <w14:schemeClr w14:val="tx1"/>
            </w14:solidFill>
          </w14:textFill>
        </w:rPr>
        <w:t>工作日；</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第四阶段：根据书面审查意见，修改完善，提交最终成果。本阶段共计</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15</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工作日；</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以上时间安排不包括方案讨论、评审会议及等待甲方回复意见的时间。</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每一阶段工作都应自委托方书面意见送达后方能进行，并自送达之日起计算工作进度。如设计方遇到不可控因素造成工作延迟，则其后的设计进度由双方协商确定安排。</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成果验收</w:t>
      </w:r>
    </w:p>
    <w:p>
      <w:pPr>
        <w:spacing w:line="288" w:lineRule="auto"/>
        <w:ind w:firstLine="484" w:firstLineChars="202"/>
        <w:rPr>
          <w:rFonts w:ascii="宋体" w:hAnsi="宋体"/>
          <w:bCs/>
          <w:color w:val="000000" w:themeColor="text1"/>
          <w:sz w:val="16"/>
          <w:szCs w:val="16"/>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委托方负责按照前述时间节点的规定联系组织召开评审会或组织相应的技术审查，评审会或者相应技术审查阶段即为成果验收阶段。</w:t>
      </w:r>
    </w:p>
    <w:p>
      <w:pPr>
        <w:spacing w:line="288"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设计方根据第三阶段评审会意见或相应技术审查意见进行调整、修改完善后提交最终成果，即视为履行完本合同中设计方的全部义务。</w:t>
      </w:r>
    </w:p>
    <w:p>
      <w:pPr>
        <w:spacing w:line="288" w:lineRule="auto"/>
        <w:ind w:firstLine="480" w:firstLineChars="200"/>
        <w:rPr>
          <w:rFonts w:ascii="宋体" w:hAnsi="宋体"/>
          <w:bCs/>
          <w:color w:val="000000" w:themeColor="text1"/>
          <w:sz w:val="24"/>
          <w:highlight w:val="none"/>
          <w14:textFill>
            <w14:solidFill>
              <w14:schemeClr w14:val="tx1"/>
            </w14:solidFill>
          </w14:textFill>
        </w:rPr>
      </w:pPr>
    </w:p>
    <w:p>
      <w:pPr>
        <w:spacing w:line="288" w:lineRule="auto"/>
        <w:ind w:firstLine="560" w:firstLineChars="200"/>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三、设计经费与支付进程</w:t>
      </w: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设计经费</w:t>
      </w:r>
    </w:p>
    <w:p>
      <w:pPr>
        <w:spacing w:line="288" w:lineRule="auto"/>
        <w:ind w:firstLine="484" w:firstLineChars="202"/>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设计费总额人民币（大写）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其中乙方</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 xml:space="preserve">，丙方（如有）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bCs/>
          <w:color w:val="000000" w:themeColor="text1"/>
          <w:sz w:val="24"/>
          <w:szCs w:val="24"/>
          <w:highlight w:val="none"/>
          <w:lang w:eastAsia="zh-CN"/>
          <w14:textFill>
            <w14:solidFill>
              <w14:schemeClr w14:val="tx1"/>
            </w14:solidFill>
          </w14:textFill>
        </w:rPr>
        <w:t>（包含技术工作费、人工费、编制费、材料费、出图费、差旅费、管理费、设备、劳务、邮寄费、利润及税金、管理政策性规定费用及专家评审会费用。）</w:t>
      </w: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支付进程：</w:t>
      </w:r>
    </w:p>
    <w:p>
      <w:pPr>
        <w:spacing w:line="288" w:lineRule="auto"/>
        <w:ind w:firstLine="484" w:firstLineChars="202"/>
        <w:jc w:val="left"/>
        <w:rPr>
          <w:rFonts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第一次支付设计费总额30％，合同签订后待财政资金下达后</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ascii="宋体" w:hAnsi="宋体"/>
          <w:bCs/>
          <w:color w:val="000000" w:themeColor="text1"/>
          <w:sz w:val="24"/>
          <w:szCs w:val="24"/>
          <w:highlight w:val="none"/>
          <w:u w:val="single"/>
          <w14:textFill>
            <w14:solidFill>
              <w14:schemeClr w14:val="tx1"/>
            </w14:solidFill>
          </w14:textFill>
        </w:rPr>
        <w:t xml:space="preserve">5 </w:t>
      </w:r>
      <w:r>
        <w:rPr>
          <w:rFonts w:hint="eastAsia" w:ascii="宋体" w:hAnsi="宋体"/>
          <w:bCs/>
          <w:color w:val="000000" w:themeColor="text1"/>
          <w:sz w:val="24"/>
          <w:szCs w:val="24"/>
          <w:highlight w:val="none"/>
          <w:u w:val="single"/>
          <w14:textFill>
            <w14:solidFill>
              <w14:schemeClr w14:val="tx1"/>
            </w14:solidFill>
          </w14:textFill>
        </w:rPr>
        <w:t xml:space="preserve"> 个</w:t>
      </w:r>
      <w:r>
        <w:rPr>
          <w:rFonts w:hint="eastAsia" w:ascii="宋体" w:hAnsi="宋体"/>
          <w:bCs/>
          <w:color w:val="000000" w:themeColor="text1"/>
          <w:sz w:val="24"/>
          <w:szCs w:val="24"/>
          <w:highlight w:val="none"/>
          <w14:textFill>
            <w14:solidFill>
              <w14:schemeClr w14:val="tx1"/>
            </w14:solidFill>
          </w14:textFill>
        </w:rPr>
        <w:t>工作日内甲方支付给乙方人民币（大写）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 xml:space="preserve"> ，支付给丙方（如有）人民币（大写）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288" w:lineRule="auto"/>
        <w:ind w:firstLine="484" w:firstLineChars="202"/>
        <w:jc w:val="left"/>
        <w:rPr>
          <w:rFonts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第二次支付设计费总额</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ascii="宋体" w:hAnsi="宋体"/>
          <w:bCs/>
          <w:color w:val="000000" w:themeColor="text1"/>
          <w:sz w:val="24"/>
          <w:szCs w:val="24"/>
          <w:highlight w:val="none"/>
          <w:u w:val="single"/>
          <w14:textFill>
            <w14:solidFill>
              <w14:schemeClr w14:val="tx1"/>
            </w14:solidFill>
          </w14:textFill>
        </w:rPr>
        <w:t xml:space="preserve">40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％。乙、丙方（如有）完成第二阶段工作，由委托方联系组织召开的评审会或技术审查，待财政资金下达后</w:t>
      </w:r>
      <w:r>
        <w:rPr>
          <w:rFonts w:hint="eastAsia" w:ascii="宋体" w:hAnsi="宋体"/>
          <w:bCs/>
          <w:color w:val="000000" w:themeColor="text1"/>
          <w:sz w:val="24"/>
          <w:szCs w:val="24"/>
          <w:highlight w:val="none"/>
          <w:u w:val="single"/>
          <w14:textFill>
            <w14:solidFill>
              <w14:schemeClr w14:val="tx1"/>
            </w14:solidFill>
          </w14:textFill>
        </w:rPr>
        <w:t xml:space="preserve"> 5个</w:t>
      </w:r>
      <w:r>
        <w:rPr>
          <w:rFonts w:hint="eastAsia" w:ascii="宋体" w:hAnsi="宋体"/>
          <w:bCs/>
          <w:color w:val="000000" w:themeColor="text1"/>
          <w:sz w:val="24"/>
          <w:szCs w:val="24"/>
          <w:highlight w:val="none"/>
          <w14:textFill>
            <w14:solidFill>
              <w14:schemeClr w14:val="tx1"/>
            </w14:solidFill>
          </w14:textFill>
        </w:rPr>
        <w:t>工作日内，甲方支付给乙方人民币（大写）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支付给丙方（如有）人民币（大写）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288" w:lineRule="auto"/>
        <w:ind w:firstLine="484" w:firstLineChars="202"/>
        <w:jc w:val="left"/>
        <w:rPr>
          <w:rFonts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第三次支付设计费总额</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ascii="宋体" w:hAnsi="宋体"/>
          <w:bCs/>
          <w:color w:val="000000" w:themeColor="text1"/>
          <w:sz w:val="24"/>
          <w:szCs w:val="24"/>
          <w:highlight w:val="none"/>
          <w:u w:val="single"/>
          <w14:textFill>
            <w14:solidFill>
              <w14:schemeClr w14:val="tx1"/>
            </w14:solidFill>
          </w14:textFill>
        </w:rPr>
        <w:t>30</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％。乙、丙方（如有）根据书面审查意见，修改完善，取得委托方认可，待财政资金下达后</w:t>
      </w:r>
      <w:r>
        <w:rPr>
          <w:rFonts w:hint="eastAsia" w:ascii="宋体" w:hAnsi="宋体"/>
          <w:bCs/>
          <w:color w:val="000000" w:themeColor="text1"/>
          <w:sz w:val="24"/>
          <w:szCs w:val="24"/>
          <w:highlight w:val="none"/>
          <w:u w:val="single"/>
          <w14:textFill>
            <w14:solidFill>
              <w14:schemeClr w14:val="tx1"/>
            </w14:solidFill>
          </w14:textFill>
        </w:rPr>
        <w:t xml:space="preserve"> 5个</w:t>
      </w:r>
      <w:r>
        <w:rPr>
          <w:rFonts w:hint="eastAsia" w:ascii="宋体" w:hAnsi="宋体"/>
          <w:bCs/>
          <w:color w:val="000000" w:themeColor="text1"/>
          <w:sz w:val="24"/>
          <w:szCs w:val="24"/>
          <w:highlight w:val="none"/>
          <w14:textFill>
            <w14:solidFill>
              <w14:schemeClr w14:val="tx1"/>
            </w14:solidFill>
          </w14:textFill>
        </w:rPr>
        <w:t>工作日内，甲方支付给乙方人民币（大写）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支付给丙方（如有）人民币（大写）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w:t>
      </w:r>
    </w:p>
    <w:p>
      <w:pPr>
        <w:spacing w:line="288" w:lineRule="auto"/>
        <w:ind w:firstLine="484" w:firstLineChars="202"/>
        <w:jc w:val="left"/>
        <w:rPr>
          <w:rFonts w:ascii="宋体" w:hAnsi="宋体"/>
          <w:bCs/>
          <w:color w:val="000000" w:themeColor="text1"/>
          <w:sz w:val="24"/>
          <w:highlight w:val="none"/>
          <w:u w:val="single"/>
          <w14:textFill>
            <w14:solidFill>
              <w14:schemeClr w14:val="tx1"/>
            </w14:solidFill>
          </w14:textFill>
        </w:rPr>
      </w:pPr>
    </w:p>
    <w:p>
      <w:pPr>
        <w:spacing w:line="288" w:lineRule="auto"/>
        <w:ind w:firstLine="560" w:firstLineChars="200"/>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四、</w:t>
      </w:r>
      <w:r>
        <w:rPr>
          <w:rFonts w:hint="eastAsia" w:ascii="黑体" w:hAnsi="黑体" w:eastAsia="黑体"/>
          <w:bCs/>
          <w:color w:val="000000" w:themeColor="text1"/>
          <w:sz w:val="28"/>
          <w:szCs w:val="28"/>
          <w:highlight w:val="none"/>
          <w:lang w:eastAsia="zh-CN"/>
          <w14:textFill>
            <w14:solidFill>
              <w14:schemeClr w14:val="tx1"/>
            </w14:solidFill>
          </w14:textFill>
        </w:rPr>
        <w:t>双</w:t>
      </w:r>
      <w:r>
        <w:rPr>
          <w:rFonts w:hint="eastAsia" w:ascii="黑体" w:hAnsi="黑体" w:eastAsia="黑体"/>
          <w:bCs/>
          <w:color w:val="000000" w:themeColor="text1"/>
          <w:sz w:val="28"/>
          <w:szCs w:val="28"/>
          <w:highlight w:val="none"/>
          <w14:textFill>
            <w14:solidFill>
              <w14:schemeClr w14:val="tx1"/>
            </w14:solidFill>
          </w14:textFill>
        </w:rPr>
        <w:t>方</w:t>
      </w:r>
      <w:r>
        <w:rPr>
          <w:rFonts w:hint="eastAsia" w:ascii="黑体" w:hAnsi="黑体" w:eastAsia="黑体"/>
          <w:bCs/>
          <w:color w:val="000000" w:themeColor="text1"/>
          <w:sz w:val="28"/>
          <w:szCs w:val="28"/>
          <w:highlight w:val="none"/>
          <w:lang w:eastAsia="zh-CN"/>
          <w14:textFill>
            <w14:solidFill>
              <w14:schemeClr w14:val="tx1"/>
            </w14:solidFill>
          </w14:textFill>
        </w:rPr>
        <w:t>（三方，如有）</w:t>
      </w:r>
      <w:r>
        <w:rPr>
          <w:rFonts w:hint="eastAsia" w:ascii="黑体" w:hAnsi="黑体" w:eastAsia="黑体"/>
          <w:bCs/>
          <w:color w:val="000000" w:themeColor="text1"/>
          <w:sz w:val="28"/>
          <w:szCs w:val="28"/>
          <w:highlight w:val="none"/>
          <w14:textFill>
            <w14:solidFill>
              <w14:schemeClr w14:val="tx1"/>
            </w14:solidFill>
          </w14:textFill>
        </w:rPr>
        <w:t>责任与协作事项</w:t>
      </w: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甲方责任。</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（一）甲方必须在合同签订后</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个工作日内提供基础资料及设计要求，若提交时间超过约定期限，乙方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bCs/>
          <w:color w:val="000000" w:themeColor="text1"/>
          <w:sz w:val="24"/>
          <w:highlight w:val="none"/>
          <w14:textFill>
            <w14:solidFill>
              <w14:schemeClr w14:val="tx1"/>
            </w14:solidFill>
          </w14:textFill>
        </w:rPr>
        <w:t>可相应分别延迟提交各阶段规划设计成果。甲方需对提供的基础资料负责，并做好现场服务工作。</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（二）甲方应协助乙方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bCs/>
          <w:color w:val="000000" w:themeColor="text1"/>
          <w:sz w:val="24"/>
          <w:highlight w:val="none"/>
          <w14:textFill>
            <w14:solidFill>
              <w14:schemeClr w14:val="tx1"/>
            </w14:solidFill>
          </w14:textFill>
        </w:rPr>
        <w:t>方征询有关方面的意见，并在规划设计过程中做好有关部门的协调工作。</w:t>
      </w:r>
      <w:r>
        <w:rPr>
          <w:rFonts w:hint="eastAsia" w:ascii="宋体" w:hAnsi="宋体"/>
          <w:color w:val="000000" w:themeColor="text1"/>
          <w:sz w:val="24"/>
          <w:highlight w:val="none"/>
          <w14:textFill>
            <w14:solidFill>
              <w14:schemeClr w14:val="tx1"/>
            </w14:solidFill>
          </w14:textFill>
        </w:rPr>
        <w:t>负责组织规划方案评审、报批，并承担有关费用。</w:t>
      </w:r>
      <w:r>
        <w:rPr>
          <w:rFonts w:hint="eastAsia" w:ascii="宋体" w:hAnsi="宋体"/>
          <w:bCs/>
          <w:color w:val="000000" w:themeColor="text1"/>
          <w:sz w:val="24"/>
          <w:highlight w:val="none"/>
          <w14:textFill>
            <w14:solidFill>
              <w14:schemeClr w14:val="tx1"/>
            </w14:solidFill>
          </w14:textFill>
        </w:rPr>
        <w:t>在每阶段汇报讨论后应按合同要求及时出具书面意见。</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（三）甲方应根据合同规定如期支付规划设计费。</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（四）甲方变更设计范围、内容和深度（变更量超过15％）或因提交的资料错误或提交的资料作较大修改以致造成乙方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bCs/>
          <w:color w:val="000000" w:themeColor="text1"/>
          <w:sz w:val="24"/>
          <w:highlight w:val="none"/>
          <w14:textFill>
            <w14:solidFill>
              <w14:schemeClr w14:val="tx1"/>
            </w14:solidFill>
          </w14:textFill>
        </w:rPr>
        <w:t>要返工时，双方</w:t>
      </w:r>
      <w:r>
        <w:rPr>
          <w:rFonts w:hint="eastAsia" w:ascii="宋体" w:hAnsi="宋体"/>
          <w:bCs/>
          <w:color w:val="000000" w:themeColor="text1"/>
          <w:sz w:val="24"/>
          <w:highlight w:val="none"/>
          <w:lang w:eastAsia="zh-CN"/>
          <w14:textFill>
            <w14:solidFill>
              <w14:schemeClr w14:val="tx1"/>
            </w14:solidFill>
          </w14:textFill>
        </w:rPr>
        <w:t>（三方，如有）</w:t>
      </w:r>
      <w:r>
        <w:rPr>
          <w:rFonts w:hint="eastAsia" w:ascii="宋体" w:hAnsi="宋体"/>
          <w:bCs/>
          <w:color w:val="000000" w:themeColor="text1"/>
          <w:sz w:val="24"/>
          <w:highlight w:val="none"/>
          <w14:textFill>
            <w14:solidFill>
              <w14:schemeClr w14:val="tx1"/>
            </w14:solidFill>
          </w14:textFill>
        </w:rPr>
        <w:t>需另行协商签订补充协议，调整原合同中有关条款，增付返工及新增规划设计内容的费用。如协商不成，甲方应按乙方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bCs/>
          <w:color w:val="000000" w:themeColor="text1"/>
          <w:sz w:val="24"/>
          <w:highlight w:val="none"/>
          <w14:textFill>
            <w14:solidFill>
              <w14:schemeClr w14:val="tx1"/>
            </w14:solidFill>
          </w14:textFill>
        </w:rPr>
        <w:t>已完成的设计内容支付相应的设计费用。</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乙方</w:t>
      </w:r>
      <w:r>
        <w:rPr>
          <w:rFonts w:hint="eastAsia" w:ascii="宋体" w:hAnsi="宋体"/>
          <w:b/>
          <w:color w:val="000000" w:themeColor="text1"/>
          <w:sz w:val="24"/>
          <w:highlight w:val="none"/>
          <w:lang w:eastAsia="zh-CN"/>
          <w14:textFill>
            <w14:solidFill>
              <w14:schemeClr w14:val="tx1"/>
            </w14:solidFill>
          </w14:textFill>
        </w:rPr>
        <w:t>（丙方，如有）</w:t>
      </w:r>
      <w:r>
        <w:rPr>
          <w:rFonts w:hint="eastAsia" w:ascii="宋体" w:hAnsi="宋体"/>
          <w:b/>
          <w:color w:val="000000" w:themeColor="text1"/>
          <w:sz w:val="24"/>
          <w:highlight w:val="none"/>
          <w14:textFill>
            <w14:solidFill>
              <w14:schemeClr w14:val="tx1"/>
            </w14:solidFill>
          </w14:textFill>
        </w:rPr>
        <w:t>责任。</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bCs/>
          <w:color w:val="000000" w:themeColor="text1"/>
          <w:sz w:val="24"/>
          <w:highlight w:val="none"/>
          <w14:textFill>
            <w14:solidFill>
              <w14:schemeClr w14:val="tx1"/>
            </w14:solidFill>
          </w14:textFill>
        </w:rPr>
        <w:t>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color w:val="000000" w:themeColor="text1"/>
          <w:sz w:val="24"/>
          <w:highlight w:val="none"/>
          <w14:textFill>
            <w14:solidFill>
              <w14:schemeClr w14:val="tx1"/>
            </w14:solidFill>
          </w14:textFill>
        </w:rPr>
        <w:t>应按国家和地方有关法律、技术规范标准，以及合同约定的工作内容进行规划设计。</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w:t>
      </w:r>
      <w:r>
        <w:rPr>
          <w:rFonts w:hint="eastAsia" w:ascii="宋体" w:hAnsi="宋体"/>
          <w:bCs/>
          <w:color w:val="000000" w:themeColor="text1"/>
          <w:sz w:val="24"/>
          <w:highlight w:val="none"/>
          <w14:textFill>
            <w14:solidFill>
              <w14:schemeClr w14:val="tx1"/>
            </w14:solidFill>
          </w14:textFill>
        </w:rPr>
        <w:t>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color w:val="000000" w:themeColor="text1"/>
          <w:sz w:val="24"/>
          <w:highlight w:val="none"/>
          <w14:textFill>
            <w14:solidFill>
              <w14:schemeClr w14:val="tx1"/>
            </w14:solidFill>
          </w14:textFill>
        </w:rPr>
        <w:t>应按合同规定向有关部门的汇报，负责提供所需的汇报资料。应按合同规定的进度、提交质量合格的规划设计成果，并对其负责。</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w:t>
      </w:r>
      <w:r>
        <w:rPr>
          <w:rFonts w:hint="eastAsia" w:ascii="宋体" w:hAnsi="宋体"/>
          <w:bCs/>
          <w:color w:val="000000" w:themeColor="text1"/>
          <w:sz w:val="24"/>
          <w:highlight w:val="none"/>
          <w14:textFill>
            <w14:solidFill>
              <w14:schemeClr w14:val="tx1"/>
            </w14:solidFill>
          </w14:textFill>
        </w:rPr>
        <w:t>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color w:val="000000" w:themeColor="text1"/>
          <w:sz w:val="24"/>
          <w:highlight w:val="none"/>
          <w14:textFill>
            <w14:solidFill>
              <w14:schemeClr w14:val="tx1"/>
            </w14:solidFill>
          </w14:textFill>
        </w:rPr>
        <w:t>对委托方所提供的涉密资料承担保密义务。乙</w:t>
      </w:r>
      <w:r>
        <w:rPr>
          <w:rFonts w:hint="eastAsia" w:ascii="宋体" w:hAnsi="宋体"/>
          <w:bCs/>
          <w:color w:val="000000" w:themeColor="text1"/>
          <w:sz w:val="24"/>
          <w:highlight w:val="none"/>
          <w14:textFill>
            <w14:solidFill>
              <w14:schemeClr w14:val="tx1"/>
            </w14:solidFill>
          </w14:textFill>
        </w:rPr>
        <w:t>、丙</w:t>
      </w:r>
      <w:r>
        <w:rPr>
          <w:rFonts w:hint="eastAsia" w:ascii="宋体" w:hAnsi="宋体"/>
          <w:color w:val="000000" w:themeColor="text1"/>
          <w:sz w:val="24"/>
          <w:highlight w:val="none"/>
          <w14:textFill>
            <w14:solidFill>
              <w14:schemeClr w14:val="tx1"/>
            </w14:solidFill>
          </w14:textFill>
        </w:rPr>
        <w:t>方按本合同规定编制的规划设计方案及各种成果资料，不得向其他单位提供和转让。</w:t>
      </w:r>
      <w:r>
        <w:rPr>
          <w:rFonts w:hint="eastAsia" w:ascii="宋体" w:hAnsi="宋体"/>
          <w:bCs/>
          <w:color w:val="000000" w:themeColor="text1"/>
          <w:sz w:val="24"/>
          <w:highlight w:val="none"/>
          <w14:textFill>
            <w14:solidFill>
              <w14:schemeClr w14:val="tx1"/>
            </w14:solidFill>
          </w14:textFill>
        </w:rPr>
        <w:t>（法律另有规定的除外）</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w:t>
      </w:r>
      <w:r>
        <w:rPr>
          <w:rFonts w:hint="eastAsia" w:ascii="宋体" w:hAnsi="宋体"/>
          <w:bCs/>
          <w:color w:val="000000" w:themeColor="text1"/>
          <w:sz w:val="24"/>
          <w:highlight w:val="none"/>
          <w14:textFill>
            <w14:solidFill>
              <w14:schemeClr w14:val="tx1"/>
            </w14:solidFill>
          </w14:textFill>
        </w:rPr>
        <w:t>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color w:val="000000" w:themeColor="text1"/>
          <w:sz w:val="24"/>
          <w:highlight w:val="none"/>
          <w14:textFill>
            <w14:solidFill>
              <w14:schemeClr w14:val="tx1"/>
            </w14:solidFill>
          </w14:textFill>
        </w:rPr>
        <w:t>对规划设计成果中的遗漏、差错应负责进行修改或补充，同时要根据甲方按政府部门审批过程中提出的修改意见和专家评审意见拟定的修改意见书进行修改（修改仅仅针对本合同规定的规划设计内容范围内的内容）。如超出本合同规定的规划设计内容，三方需另行协商签订补充协议，就超出范围的修改内容的完成时间、新增费用等作出规定。</w:t>
      </w:r>
    </w:p>
    <w:p>
      <w:pPr>
        <w:spacing w:line="288" w:lineRule="auto"/>
        <w:ind w:firstLine="480" w:firstLineChars="200"/>
        <w:rPr>
          <w:rFonts w:ascii="宋体" w:hAnsi="宋体"/>
          <w:color w:val="000000" w:themeColor="text1"/>
          <w:sz w:val="24"/>
          <w:highlight w:val="none"/>
          <w14:textFill>
            <w14:solidFill>
              <w14:schemeClr w14:val="tx1"/>
            </w14:solidFill>
          </w14:textFill>
        </w:rPr>
      </w:pP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乙、丙方协作事项（如有）。</w:t>
      </w:r>
    </w:p>
    <w:p>
      <w:pPr>
        <w:numPr>
          <w:ilvl w:val="0"/>
          <w:numId w:val="12"/>
        </w:num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乙、丙方分别对所承接的设计任务承担技术责任。合作部分的技术责任由乙方承担。</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（二）规划成果的知识产权在未移交甲方前为乙、丙双方所有，署名权为乙、丙双方所共有，一方参与评优等活动必须征得另一方的同意。</w:t>
      </w:r>
    </w:p>
    <w:p>
      <w:pPr>
        <w:spacing w:line="288" w:lineRule="auto"/>
        <w:ind w:firstLine="484" w:firstLineChars="202"/>
        <w:rPr>
          <w:rFonts w:ascii="宋体" w:hAnsi="宋体"/>
          <w:bCs/>
          <w:color w:val="000000" w:themeColor="text1"/>
          <w:sz w:val="24"/>
          <w:highlight w:val="none"/>
          <w14:textFill>
            <w14:solidFill>
              <w14:schemeClr w14:val="tx1"/>
            </w14:solidFill>
          </w14:textFill>
        </w:rPr>
      </w:pPr>
    </w:p>
    <w:p>
      <w:pPr>
        <w:spacing w:line="288" w:lineRule="auto"/>
        <w:ind w:firstLine="560" w:firstLineChars="200"/>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五、违约及争议解决方式</w:t>
      </w: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违约责任。</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（一）在合同生效七个工作日以后，三方要求终止或解除合同，三方应协商处理，并就终止或解除合同达成一致。</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（二）甲方应按本合同规定的时间和金额向</w:t>
      </w:r>
      <w:r>
        <w:rPr>
          <w:rFonts w:hint="eastAsia" w:ascii="宋体" w:hAnsi="宋体"/>
          <w:bCs/>
          <w:color w:val="000000" w:themeColor="text1"/>
          <w:sz w:val="24"/>
          <w:highlight w:val="none"/>
          <w14:textFill>
            <w14:solidFill>
              <w14:schemeClr w14:val="tx1"/>
            </w14:solidFill>
          </w14:textFill>
        </w:rPr>
        <w:t>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color w:val="000000" w:themeColor="text1"/>
          <w:sz w:val="24"/>
          <w:highlight w:val="none"/>
          <w14:textFill>
            <w14:solidFill>
              <w14:schemeClr w14:val="tx1"/>
            </w14:solidFill>
          </w14:textFill>
        </w:rPr>
        <w:t>支付设计费。因甲方原因,造成项目延期或中止,甲方应出具书面说明,责任由甲方承担，并与</w:t>
      </w:r>
      <w:r>
        <w:rPr>
          <w:rFonts w:hint="eastAsia" w:ascii="宋体" w:hAnsi="宋体"/>
          <w:bCs/>
          <w:color w:val="000000" w:themeColor="text1"/>
          <w:sz w:val="24"/>
          <w:highlight w:val="none"/>
          <w14:textFill>
            <w14:solidFill>
              <w14:schemeClr w14:val="tx1"/>
            </w14:solidFill>
          </w14:textFill>
        </w:rPr>
        <w:t>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color w:val="000000" w:themeColor="text1"/>
          <w:sz w:val="24"/>
          <w:highlight w:val="none"/>
          <w14:textFill>
            <w14:solidFill>
              <w14:schemeClr w14:val="tx1"/>
            </w14:solidFill>
          </w14:textFill>
        </w:rPr>
        <w:t>协商处理办法。</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w:t>
      </w:r>
      <w:r>
        <w:rPr>
          <w:rFonts w:hint="eastAsia" w:ascii="宋体" w:hAnsi="宋体"/>
          <w:bCs/>
          <w:color w:val="000000" w:themeColor="text1"/>
          <w:sz w:val="24"/>
          <w:highlight w:val="none"/>
          <w14:textFill>
            <w14:solidFill>
              <w14:schemeClr w14:val="tx1"/>
            </w14:solidFill>
          </w14:textFill>
        </w:rPr>
        <w:t>乙方</w:t>
      </w:r>
      <w:r>
        <w:rPr>
          <w:rFonts w:hint="eastAsia" w:ascii="宋体" w:hAnsi="宋体"/>
          <w:bCs/>
          <w:color w:val="000000" w:themeColor="text1"/>
          <w:sz w:val="24"/>
          <w:highlight w:val="none"/>
          <w:lang w:eastAsia="zh-CN"/>
          <w14:textFill>
            <w14:solidFill>
              <w14:schemeClr w14:val="tx1"/>
            </w14:solidFill>
          </w14:textFill>
        </w:rPr>
        <w:t>、丙方（如有）</w:t>
      </w:r>
      <w:r>
        <w:rPr>
          <w:rFonts w:hint="eastAsia" w:ascii="宋体" w:hAnsi="宋体"/>
          <w:color w:val="000000" w:themeColor="text1"/>
          <w:sz w:val="24"/>
          <w:highlight w:val="none"/>
          <w14:textFill>
            <w14:solidFill>
              <w14:schemeClr w14:val="tx1"/>
            </w14:solidFill>
          </w14:textFill>
        </w:rPr>
        <w:t>应按本合同约定的时间提交合格的设计图纸、文件。因乙或丙方</w:t>
      </w:r>
      <w:r>
        <w:rPr>
          <w:rFonts w:hint="eastAsia" w:ascii="宋体" w:hAnsi="宋体"/>
          <w:color w:val="000000" w:themeColor="text1"/>
          <w:sz w:val="24"/>
          <w:highlight w:val="none"/>
          <w:lang w:eastAsia="zh-CN"/>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原因,造成项目延期或中止,应出具书面说明,承担责任，并与另两方协商处理办法。</w:t>
      </w:r>
    </w:p>
    <w:p>
      <w:pPr>
        <w:spacing w:line="288" w:lineRule="auto"/>
        <w:ind w:firstLine="480" w:firstLineChars="200"/>
        <w:rPr>
          <w:rFonts w:ascii="宋体" w:hAnsi="宋体"/>
          <w:color w:val="000000" w:themeColor="text1"/>
          <w:sz w:val="24"/>
          <w:highlight w:val="none"/>
          <w14:textFill>
            <w14:solidFill>
              <w14:schemeClr w14:val="tx1"/>
            </w14:solidFill>
          </w14:textFill>
        </w:rPr>
      </w:pP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争议解决方式。</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本合同产生的争议，由</w:t>
      </w:r>
      <w:r>
        <w:rPr>
          <w:rFonts w:hint="eastAsia" w:ascii="宋体" w:hAnsi="宋体"/>
          <w:color w:val="000000" w:themeColor="text1"/>
          <w:sz w:val="24"/>
          <w:highlight w:val="none"/>
          <w:lang w:eastAsia="zh-CN"/>
          <w14:textFill>
            <w14:solidFill>
              <w14:schemeClr w14:val="tx1"/>
            </w14:solidFill>
          </w14:textFill>
        </w:rPr>
        <w:t>双方（三方，如有）</w:t>
      </w:r>
      <w:r>
        <w:rPr>
          <w:rFonts w:hint="eastAsia" w:ascii="宋体" w:hAnsi="宋体"/>
          <w:color w:val="000000" w:themeColor="text1"/>
          <w:sz w:val="24"/>
          <w:highlight w:val="none"/>
          <w14:textFill>
            <w14:solidFill>
              <w14:schemeClr w14:val="tx1"/>
            </w14:solidFill>
          </w14:textFill>
        </w:rPr>
        <w:t>协商解决；协商不成的，</w:t>
      </w:r>
      <w:r>
        <w:rPr>
          <w:rFonts w:hint="eastAsia" w:ascii="宋体" w:hAnsi="宋体"/>
          <w:color w:val="000000" w:themeColor="text1"/>
          <w:sz w:val="24"/>
          <w:highlight w:val="none"/>
          <w:lang w:eastAsia="zh-CN"/>
          <w14:textFill>
            <w14:solidFill>
              <w14:schemeClr w14:val="tx1"/>
            </w14:solidFill>
          </w14:textFill>
        </w:rPr>
        <w:t>双方（三方、如有）</w:t>
      </w:r>
      <w:r>
        <w:rPr>
          <w:rFonts w:hint="eastAsia" w:ascii="宋体" w:hAnsi="宋体"/>
          <w:color w:val="000000" w:themeColor="text1"/>
          <w:sz w:val="24"/>
          <w:highlight w:val="none"/>
          <w14:textFill>
            <w14:solidFill>
              <w14:schemeClr w14:val="tx1"/>
            </w14:solidFill>
          </w14:textFill>
        </w:rPr>
        <w:t>同意将争议提交原告所在地法院审理。</w:t>
      </w:r>
    </w:p>
    <w:p>
      <w:pPr>
        <w:spacing w:line="288" w:lineRule="auto"/>
        <w:ind w:firstLine="480" w:firstLineChars="200"/>
        <w:rPr>
          <w:rFonts w:ascii="宋体" w:hAnsi="宋体"/>
          <w:color w:val="000000" w:themeColor="text1"/>
          <w:sz w:val="24"/>
          <w:highlight w:val="none"/>
          <w14:textFill>
            <w14:solidFill>
              <w14:schemeClr w14:val="tx1"/>
            </w14:solidFill>
          </w14:textFill>
        </w:rPr>
      </w:pPr>
    </w:p>
    <w:p>
      <w:pPr>
        <w:numPr>
          <w:ilvl w:val="0"/>
          <w:numId w:val="11"/>
        </w:numPr>
        <w:spacing w:line="288"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其他。</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（一）本合同由甲、乙、丙</w:t>
      </w:r>
      <w:r>
        <w:rPr>
          <w:rFonts w:hint="eastAsia" w:ascii="宋体" w:hAnsi="宋体"/>
          <w:color w:val="000000" w:themeColor="text1"/>
          <w:sz w:val="24"/>
          <w:highlight w:val="none"/>
          <w:lang w:eastAsia="zh-CN"/>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方签字、盖章，且甲方支付第一笔设计费后生效。</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（二）在合同约定期内因各种原因未能如期履行完毕，</w:t>
      </w:r>
      <w:r>
        <w:rPr>
          <w:rFonts w:hint="eastAsia" w:ascii="宋体" w:hAnsi="宋体"/>
          <w:color w:val="000000" w:themeColor="text1"/>
          <w:sz w:val="24"/>
          <w:highlight w:val="none"/>
          <w:lang w:eastAsia="zh-CN"/>
          <w14:textFill>
            <w14:solidFill>
              <w14:schemeClr w14:val="tx1"/>
            </w14:solidFill>
          </w14:textFill>
        </w:rPr>
        <w:t>双方（三方、如有）</w:t>
      </w:r>
      <w:r>
        <w:rPr>
          <w:rFonts w:hint="eastAsia" w:ascii="宋体" w:hAnsi="宋体"/>
          <w:color w:val="000000" w:themeColor="text1"/>
          <w:sz w:val="24"/>
          <w:highlight w:val="none"/>
          <w14:textFill>
            <w14:solidFill>
              <w14:schemeClr w14:val="tx1"/>
            </w14:solidFill>
          </w14:textFill>
        </w:rPr>
        <w:t>应友好协商另行约定合同有效期限。</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（三）本合同未尽事宜，</w:t>
      </w:r>
      <w:r>
        <w:rPr>
          <w:rFonts w:hint="eastAsia" w:ascii="宋体" w:hAnsi="宋体"/>
          <w:color w:val="000000" w:themeColor="text1"/>
          <w:sz w:val="24"/>
          <w:highlight w:val="none"/>
          <w:lang w:eastAsia="zh-CN"/>
          <w14:textFill>
            <w14:solidFill>
              <w14:schemeClr w14:val="tx1"/>
            </w14:solidFill>
          </w14:textFill>
        </w:rPr>
        <w:t>双方（三方、如有）</w:t>
      </w:r>
      <w:r>
        <w:rPr>
          <w:rFonts w:hint="eastAsia" w:ascii="宋体" w:hAnsi="宋体"/>
          <w:color w:val="000000" w:themeColor="text1"/>
          <w:sz w:val="24"/>
          <w:highlight w:val="none"/>
          <w14:textFill>
            <w14:solidFill>
              <w14:schemeClr w14:val="tx1"/>
            </w14:solidFill>
          </w14:textFill>
        </w:rPr>
        <w:t>可签订补充合同。对本合同的修改与变更，必须经</w:t>
      </w:r>
      <w:r>
        <w:rPr>
          <w:rFonts w:hint="eastAsia" w:ascii="宋体" w:hAnsi="宋体"/>
          <w:color w:val="000000" w:themeColor="text1"/>
          <w:sz w:val="24"/>
          <w:highlight w:val="none"/>
          <w:lang w:eastAsia="zh-CN"/>
          <w14:textFill>
            <w14:solidFill>
              <w14:schemeClr w14:val="tx1"/>
            </w14:solidFill>
          </w14:textFill>
        </w:rPr>
        <w:t>双方（三方、如有）</w:t>
      </w:r>
      <w:r>
        <w:rPr>
          <w:rFonts w:hint="eastAsia" w:ascii="宋体" w:hAnsi="宋体"/>
          <w:color w:val="000000" w:themeColor="text1"/>
          <w:sz w:val="24"/>
          <w:highlight w:val="none"/>
          <w14:textFill>
            <w14:solidFill>
              <w14:schemeClr w14:val="tx1"/>
            </w14:solidFill>
          </w14:textFill>
        </w:rPr>
        <w:t>签署书面协议方可生效。</w:t>
      </w:r>
    </w:p>
    <w:p>
      <w:pPr>
        <w:spacing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（四）本合同一式</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份，甲方、乙方、丙</w:t>
      </w:r>
      <w:r>
        <w:rPr>
          <w:rFonts w:hint="eastAsia" w:ascii="宋体" w:hAnsi="宋体"/>
          <w:color w:val="000000" w:themeColor="text1"/>
          <w:sz w:val="24"/>
          <w:highlight w:val="none"/>
          <w:lang w:eastAsia="zh-CN"/>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方各</w:t>
      </w:r>
      <w:r>
        <w:rPr>
          <w:rFonts w:hint="eastAsia" w:ascii="宋体" w:hAnsi="宋体"/>
          <w:color w:val="000000" w:themeColor="text1"/>
          <w:sz w:val="24"/>
          <w:highlight w:val="none"/>
          <w:u w:val="single"/>
          <w14:textFill>
            <w14:solidFill>
              <w14:schemeClr w14:val="tx1"/>
            </w14:solidFill>
          </w14:textFill>
        </w:rPr>
        <w:t xml:space="preserve"> 肆 </w:t>
      </w:r>
      <w:r>
        <w:rPr>
          <w:rFonts w:hint="eastAsia" w:ascii="宋体" w:hAnsi="宋体"/>
          <w:color w:val="000000" w:themeColor="text1"/>
          <w:sz w:val="24"/>
          <w:highlight w:val="none"/>
          <w14:textFill>
            <w14:solidFill>
              <w14:schemeClr w14:val="tx1"/>
            </w14:solidFill>
          </w14:textFill>
        </w:rPr>
        <w:t>份，采购代理机构和采购监督部门各</w:t>
      </w:r>
      <w:r>
        <w:rPr>
          <w:rFonts w:hint="eastAsia" w:ascii="宋体" w:hAnsi="宋体"/>
          <w:color w:val="000000" w:themeColor="text1"/>
          <w:sz w:val="24"/>
          <w:highlight w:val="none"/>
          <w:u w:val="single"/>
          <w14:textFill>
            <w14:solidFill>
              <w14:schemeClr w14:val="tx1"/>
            </w14:solidFill>
          </w14:textFill>
        </w:rPr>
        <w:t xml:space="preserve"> 壹 </w:t>
      </w:r>
      <w:r>
        <w:rPr>
          <w:rFonts w:hint="eastAsia" w:ascii="宋体" w:hAnsi="宋体"/>
          <w:color w:val="000000" w:themeColor="text1"/>
          <w:sz w:val="24"/>
          <w:highlight w:val="none"/>
          <w14:textFill>
            <w14:solidFill>
              <w14:schemeClr w14:val="tx1"/>
            </w14:solidFill>
          </w14:textFill>
        </w:rPr>
        <w:t>份。</w:t>
      </w:r>
    </w:p>
    <w:p>
      <w:pPr>
        <w:spacing w:line="288" w:lineRule="auto"/>
        <w:rPr>
          <w:rFonts w:ascii="宋体" w:hAnsi="宋体"/>
          <w:color w:val="000000" w:themeColor="text1"/>
          <w:sz w:val="24"/>
          <w:highlight w:val="none"/>
          <w:shd w:val="pct10" w:color="auto" w:fill="FFFFFF"/>
          <w14:textFill>
            <w14:solidFill>
              <w14:schemeClr w14:val="tx1"/>
            </w14:solidFill>
          </w14:textFill>
        </w:rPr>
      </w:pPr>
    </w:p>
    <w:tbl>
      <w:tblPr>
        <w:tblStyle w:val="49"/>
        <w:tblpPr w:leftFromText="180" w:rightFromText="180" w:vertAnchor="text" w:horzAnchor="margin" w:tblpY="2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甲方：（章）</w:t>
            </w:r>
          </w:p>
          <w:p>
            <w:pPr>
              <w:snapToGrid w:val="0"/>
              <w:spacing w:line="360" w:lineRule="auto"/>
              <w:rPr>
                <w:rFonts w:ascii="宋体" w:hAnsi="宋体" w:cs="宋体"/>
                <w:color w:val="000000" w:themeColor="text1"/>
                <w:szCs w:val="21"/>
                <w:highlight w:val="none"/>
                <w14:textFill>
                  <w14:solidFill>
                    <w14:schemeClr w14:val="tx1"/>
                  </w14:solidFill>
                </w14:textFill>
              </w:rPr>
            </w:pPr>
          </w:p>
          <w:p>
            <w:pPr>
              <w:snapToGrid w:val="0"/>
              <w:spacing w:line="360" w:lineRule="auto"/>
              <w:rPr>
                <w:rFonts w:ascii="宋体" w:hAnsi="宋体" w:cs="宋体"/>
                <w:color w:val="000000" w:themeColor="text1"/>
                <w:szCs w:val="21"/>
                <w:highlight w:val="none"/>
                <w14:textFill>
                  <w14:solidFill>
                    <w14:schemeClr w14:val="tx1"/>
                  </w14:solidFill>
                </w14:textFill>
              </w:rPr>
            </w:pPr>
          </w:p>
          <w:p>
            <w:pPr>
              <w:snapToGrid w:val="0"/>
              <w:spacing w:line="360" w:lineRule="auto"/>
              <w:ind w:firstLine="945" w:firstLineChars="450"/>
              <w:jc w:val="right"/>
              <w:rPr>
                <w:rFonts w:ascii="宋体" w:hAnsi="宋体" w:cs="宋体"/>
                <w:color w:val="000000" w:themeColor="text1"/>
                <w:szCs w:val="21"/>
                <w:highlight w:val="none"/>
                <w14:textFill>
                  <w14:solidFill>
                    <w14:schemeClr w14:val="tx1"/>
                  </w14:solidFill>
                </w14:textFill>
              </w:rPr>
            </w:pPr>
          </w:p>
          <w:p>
            <w:pPr>
              <w:snapToGrid w:val="0"/>
              <w:spacing w:line="360" w:lineRule="auto"/>
              <w:ind w:firstLine="945" w:firstLineChars="45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乙方：（章）       </w:t>
            </w:r>
          </w:p>
          <w:p>
            <w:pPr>
              <w:snapToGrid w:val="0"/>
              <w:spacing w:line="360" w:lineRule="auto"/>
              <w:rPr>
                <w:rFonts w:ascii="宋体" w:hAnsi="宋体" w:cs="宋体"/>
                <w:color w:val="000000" w:themeColor="text1"/>
                <w:szCs w:val="21"/>
                <w:highlight w:val="none"/>
                <w14:textFill>
                  <w14:solidFill>
                    <w14:schemeClr w14:val="tx1"/>
                  </w14:solidFill>
                </w14:textFill>
              </w:rPr>
            </w:pP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jc w:val="right"/>
              <w:rPr>
                <w:rFonts w:ascii="宋体" w:hAnsi="宋体" w:cs="宋体"/>
                <w:color w:val="000000" w:themeColor="text1"/>
                <w:szCs w:val="21"/>
                <w:highlight w:val="none"/>
                <w14:textFill>
                  <w14:solidFill>
                    <w14:schemeClr w14:val="tx1"/>
                  </w14:solidFill>
                </w14:textFill>
              </w:rPr>
            </w:pPr>
          </w:p>
          <w:p>
            <w:pPr>
              <w:snapToGrid w:val="0"/>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r>
              <w:rPr>
                <w:rFonts w:ascii="宋体" w:hAnsi="宋体" w:cs="宋体"/>
                <w:color w:val="000000" w:themeColor="text1"/>
                <w:szCs w:val="21"/>
                <w:highlight w:val="none"/>
                <w14:textFill>
                  <w14:solidFill>
                    <w14:schemeClr w14:val="tx1"/>
                  </w14:solidFill>
                </w14:textFill>
              </w:rPr>
              <w:t xml:space="preserve"> </w:t>
            </w:r>
          </w:p>
        </w:tc>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w:t>
            </w:r>
          </w:p>
        </w:tc>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4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r>
    </w:tbl>
    <w:p>
      <w:pPr>
        <w:spacing w:line="288" w:lineRule="auto"/>
        <w:rPr>
          <w:rFonts w:ascii="宋体" w:hAnsi="宋体"/>
          <w:color w:val="000000" w:themeColor="text1"/>
          <w:sz w:val="24"/>
          <w:highlight w:val="none"/>
          <w:shd w:val="pct10" w:color="auto" w:fill="FFFFFF"/>
          <w14:textFill>
            <w14:solidFill>
              <w14:schemeClr w14:val="tx1"/>
            </w14:solidFill>
          </w14:textFill>
        </w:rPr>
      </w:pPr>
    </w:p>
    <w:tbl>
      <w:tblPr>
        <w:tblStyle w:val="49"/>
        <w:tblpPr w:leftFromText="180" w:rightFromText="180" w:vertAnchor="text" w:horzAnchor="margin" w:tblpY="214"/>
        <w:tblW w:w="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丙方：（章）       </w:t>
            </w:r>
          </w:p>
          <w:p>
            <w:pPr>
              <w:snapToGrid w:val="0"/>
              <w:spacing w:line="360" w:lineRule="auto"/>
              <w:rPr>
                <w:rFonts w:ascii="宋体" w:hAnsi="宋体" w:cs="宋体"/>
                <w:color w:val="000000" w:themeColor="text1"/>
                <w:szCs w:val="21"/>
                <w:highlight w:val="none"/>
                <w14:textFill>
                  <w14:solidFill>
                    <w14:schemeClr w14:val="tx1"/>
                  </w14:solidFill>
                </w14:textFill>
              </w:rPr>
            </w:pP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jc w:val="right"/>
              <w:rPr>
                <w:rFonts w:ascii="宋体" w:hAnsi="宋体" w:cs="宋体"/>
                <w:color w:val="000000" w:themeColor="text1"/>
                <w:szCs w:val="21"/>
                <w:highlight w:val="none"/>
                <w14:textFill>
                  <w14:solidFill>
                    <w14:schemeClr w14:val="tx1"/>
                  </w14:solidFill>
                </w14:textFill>
              </w:rPr>
            </w:pPr>
          </w:p>
          <w:p>
            <w:pPr>
              <w:snapToGrid w:val="0"/>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r>
    </w:tbl>
    <w:p>
      <w:pPr>
        <w:pStyle w:val="26"/>
        <w:spacing w:line="500" w:lineRule="exact"/>
        <w:ind w:firstLine="420"/>
        <w:rPr>
          <w:rFonts w:hAnsi="宋体"/>
          <w:color w:val="000000" w:themeColor="text1"/>
          <w:sz w:val="21"/>
          <w:highlight w:val="none"/>
          <w14:textFill>
            <w14:solidFill>
              <w14:schemeClr w14:val="tx1"/>
            </w14:solidFill>
          </w14:textFill>
        </w:rPr>
      </w:pPr>
      <w:r>
        <w:rPr>
          <w:rFonts w:hAnsi="宋体"/>
          <w:b/>
          <w:color w:val="000000" w:themeColor="text1"/>
          <w:kern w:val="2"/>
          <w:sz w:val="21"/>
          <w:highlight w:val="none"/>
          <w14:textFill>
            <w14:solidFill>
              <w14:schemeClr w14:val="tx1"/>
            </w14:solidFill>
          </w14:textFill>
        </w:rPr>
        <w:br w:type="page"/>
      </w:r>
    </w:p>
    <w:p>
      <w:pPr>
        <w:pStyle w:val="2"/>
        <w:rPr>
          <w:rFonts w:ascii="宋体" w:hAnsi="宋体" w:cs="宋体"/>
          <w:color w:val="000000" w:themeColor="text1"/>
          <w:sz w:val="28"/>
          <w:szCs w:val="28"/>
          <w:highlight w:val="none"/>
          <w14:textFill>
            <w14:solidFill>
              <w14:schemeClr w14:val="tx1"/>
            </w14:solidFill>
          </w14:textFill>
        </w:rPr>
      </w:pPr>
    </w:p>
    <w:p>
      <w:pPr>
        <w:pStyle w:val="10"/>
        <w:ind w:firstLine="0"/>
        <w:rPr>
          <w:rFonts w:ascii="宋体" w:hAnsi="宋体" w:cs="宋体"/>
          <w:color w:val="000000" w:themeColor="text1"/>
          <w:highlight w:val="none"/>
          <w14:textFill>
            <w14:solidFill>
              <w14:schemeClr w14:val="tx1"/>
            </w14:solidFill>
          </w14:textFill>
        </w:rPr>
      </w:pPr>
    </w:p>
    <w:p>
      <w:pPr>
        <w:pStyle w:val="10"/>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第六章　投标文件格式</w:t>
      </w:r>
    </w:p>
    <w:p>
      <w:pPr>
        <w:jc w:val="center"/>
        <w:rPr>
          <w:rFonts w:ascii="宋体" w:hAnsi="宋体" w:cs="宋体"/>
          <w:color w:val="000000" w:themeColor="text1"/>
          <w:szCs w:val="21"/>
          <w:highlight w:val="none"/>
          <w14:textFill>
            <w14:solidFill>
              <w14:schemeClr w14:val="tx1"/>
            </w14:solidFill>
          </w14:textFill>
        </w:rPr>
      </w:pPr>
    </w:p>
    <w:p>
      <w:pPr>
        <w:pStyle w:val="26"/>
        <w:spacing w:line="380" w:lineRule="exact"/>
        <w:ind w:firstLine="420"/>
        <w:jc w:val="center"/>
        <w:rPr>
          <w:rFonts w:hAnsi="宋体" w:cs="宋体"/>
          <w:b/>
          <w:color w:val="000000" w:themeColor="text1"/>
          <w:highlight w:val="none"/>
          <w14:textFill>
            <w14:solidFill>
              <w14:schemeClr w14:val="tx1"/>
            </w14:solidFill>
          </w14:textFill>
        </w:rPr>
      </w:pPr>
    </w:p>
    <w:p>
      <w:pPr>
        <w:snapToGrid w:val="0"/>
        <w:spacing w:before="120" w:beforeLines="50" w:after="50" w:line="440" w:lineRule="exact"/>
        <w:jc w:val="left"/>
        <w:outlineLvl w:val="1"/>
        <w:rPr>
          <w:rFonts w:ascii="宋体" w:hAnsi="宋体" w:cs="宋体"/>
          <w:b/>
          <w:bCs/>
          <w:color w:val="000000" w:themeColor="text1"/>
          <w:szCs w:val="21"/>
          <w:highlight w:val="none"/>
          <w14:textFill>
            <w14:solidFill>
              <w14:schemeClr w14:val="tx1"/>
            </w14:solidFill>
          </w14:textFill>
        </w:rPr>
      </w:pPr>
      <w:bookmarkStart w:id="143" w:name="_Toc254970697"/>
      <w:bookmarkStart w:id="144" w:name="_Toc430110180"/>
      <w:bookmarkStart w:id="145" w:name="_Toc254970556"/>
      <w:r>
        <w:rPr>
          <w:rFonts w:hint="eastAsia" w:ascii="宋体" w:hAnsi="宋体" w:cs="宋体"/>
          <w:b/>
          <w:bCs/>
          <w:color w:val="000000" w:themeColor="text1"/>
          <w:szCs w:val="21"/>
          <w:highlight w:val="none"/>
          <w14:textFill>
            <w14:solidFill>
              <w14:schemeClr w14:val="tx1"/>
            </w14:solidFill>
          </w14:textFill>
        </w:rPr>
        <w:t>一、投标文件外层包装封面格式</w:t>
      </w:r>
      <w:bookmarkEnd w:id="143"/>
      <w:bookmarkEnd w:id="144"/>
      <w:bookmarkEnd w:id="145"/>
    </w:p>
    <w:p>
      <w:pPr>
        <w:snapToGrid w:val="0"/>
        <w:spacing w:before="120" w:beforeLines="50" w:after="50"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1.所有投标文件的外包装封面格式：</w:t>
      </w:r>
    </w:p>
    <w:p>
      <w:pPr>
        <w:snapToGrid w:val="0"/>
        <w:spacing w:before="120" w:beforeLines="50" w:after="50" w:line="440" w:lineRule="exact"/>
        <w:rPr>
          <w:rFonts w:ascii="宋体" w:hAnsi="宋体" w:cs="宋体"/>
          <w:color w:val="000000" w:themeColor="text1"/>
          <w:szCs w:val="21"/>
          <w:highlight w:val="none"/>
          <w14:textFill>
            <w14:solidFill>
              <w14:schemeClr w14:val="tx1"/>
            </w14:solidFill>
          </w14:textFill>
        </w:rPr>
      </w:pPr>
    </w:p>
    <w:p>
      <w:pPr>
        <w:snapToGrid w:val="0"/>
        <w:spacing w:before="120" w:beforeLines="50" w:after="50" w:line="440" w:lineRule="exact"/>
        <w:rPr>
          <w:rFonts w:ascii="宋体" w:hAnsi="宋体" w:cs="宋体"/>
          <w:color w:val="000000" w:themeColor="text1"/>
          <w:szCs w:val="21"/>
          <w:highlight w:val="none"/>
          <w14:textFill>
            <w14:solidFill>
              <w14:schemeClr w14:val="tx1"/>
            </w14:solidFill>
          </w14:textFill>
        </w:rPr>
      </w:pPr>
    </w:p>
    <w:p>
      <w:pPr>
        <w:snapToGrid w:val="0"/>
        <w:spacing w:before="120" w:beforeLines="50" w:after="50" w:line="440" w:lineRule="exact"/>
        <w:jc w:val="center"/>
        <w:rPr>
          <w:rFonts w:ascii="宋体" w:hAnsi="宋体" w:cs="宋体"/>
          <w:bCs/>
          <w:color w:val="000000" w:themeColor="text1"/>
          <w:szCs w:val="21"/>
          <w:highlight w:val="none"/>
          <w14:textFill>
            <w14:solidFill>
              <w14:schemeClr w14:val="tx1"/>
            </w14:solidFill>
          </w14:textFill>
        </w:rPr>
      </w:pPr>
    </w:p>
    <w:p>
      <w:pPr>
        <w:snapToGrid w:val="0"/>
        <w:spacing w:before="120" w:beforeLines="50" w:after="50" w:line="4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 标 文 件</w:t>
      </w:r>
    </w:p>
    <w:p>
      <w:pPr>
        <w:snapToGrid w:val="0"/>
        <w:spacing w:before="120" w:beforeLines="50" w:after="50" w:line="440" w:lineRule="exact"/>
        <w:rPr>
          <w:rFonts w:ascii="宋体" w:hAnsi="宋体" w:cs="宋体"/>
          <w:bCs/>
          <w:color w:val="000000" w:themeColor="text1"/>
          <w:szCs w:val="21"/>
          <w:highlight w:val="none"/>
          <w14:textFill>
            <w14:solidFill>
              <w14:schemeClr w14:val="tx1"/>
            </w14:solidFill>
          </w14:textFill>
        </w:rPr>
      </w:pPr>
    </w:p>
    <w:p>
      <w:pPr>
        <w:snapToGrid w:val="0"/>
        <w:spacing w:before="120" w:beforeLines="50" w:after="50" w:line="440" w:lineRule="exact"/>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项目名称： </w:t>
      </w:r>
    </w:p>
    <w:p>
      <w:pPr>
        <w:snapToGrid w:val="0"/>
        <w:spacing w:before="120" w:beforeLines="50" w:after="50" w:line="440" w:lineRule="exact"/>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项目编号： </w:t>
      </w:r>
    </w:p>
    <w:p>
      <w:pPr>
        <w:pStyle w:val="10"/>
        <w:snapToGrid w:val="0"/>
        <w:spacing w:before="50" w:after="50" w:line="440" w:lineRule="exact"/>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投标文件名称：报价文件、</w:t>
      </w:r>
      <w:r>
        <w:rPr>
          <w:rFonts w:hint="eastAsia" w:ascii="宋体" w:hAnsi="宋体" w:cs="宋体"/>
          <w:bCs/>
          <w:color w:val="000000" w:themeColor="text1"/>
          <w:szCs w:val="21"/>
          <w:highlight w:val="none"/>
          <w:lang w:eastAsia="zh-CN"/>
          <w14:textFill>
            <w14:solidFill>
              <w14:schemeClr w14:val="tx1"/>
            </w14:solidFill>
          </w14:textFill>
        </w:rPr>
        <w:t>资格文件</w:t>
      </w:r>
      <w:r>
        <w:rPr>
          <w:rFonts w:hint="eastAsia" w:ascii="宋体" w:hAnsi="宋体" w:cs="宋体"/>
          <w:bCs/>
          <w:color w:val="000000" w:themeColor="text1"/>
          <w:szCs w:val="21"/>
          <w:highlight w:val="none"/>
          <w14:textFill>
            <w14:solidFill>
              <w14:schemeClr w14:val="tx1"/>
            </w14:solidFill>
          </w14:textFill>
        </w:rPr>
        <w:t>、商务文件、技术文件、开标一览表</w:t>
      </w:r>
    </w:p>
    <w:p>
      <w:pPr>
        <w:pStyle w:val="10"/>
        <w:snapToGrid w:val="0"/>
        <w:spacing w:before="50" w:after="50" w:line="440" w:lineRule="exact"/>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投标人名称：</w:t>
      </w:r>
    </w:p>
    <w:p>
      <w:pPr>
        <w:pStyle w:val="10"/>
        <w:snapToGrid w:val="0"/>
        <w:spacing w:before="50" w:after="50" w:line="440" w:lineRule="exact"/>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投标人地址：</w:t>
      </w:r>
    </w:p>
    <w:p>
      <w:pPr>
        <w:pStyle w:val="10"/>
        <w:snapToGrid w:val="0"/>
        <w:spacing w:before="50" w:after="50" w:line="440" w:lineRule="exact"/>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投标截止时间前不得启封</w:t>
      </w:r>
    </w:p>
    <w:p>
      <w:pPr>
        <w:pStyle w:val="10"/>
        <w:snapToGrid w:val="0"/>
        <w:spacing w:before="50" w:after="50" w:line="440" w:lineRule="exact"/>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开标时启封</w:t>
      </w:r>
    </w:p>
    <w:p>
      <w:pPr>
        <w:snapToGrid w:val="0"/>
        <w:spacing w:before="120" w:beforeLines="50" w:after="50" w:line="440" w:lineRule="exact"/>
        <w:ind w:firstLine="3570" w:firstLineChars="1700"/>
        <w:rPr>
          <w:rFonts w:ascii="宋体" w:hAnsi="宋体" w:cs="宋体"/>
          <w:bCs/>
          <w:color w:val="000000" w:themeColor="text1"/>
          <w:szCs w:val="21"/>
          <w:highlight w:val="none"/>
          <w14:textFill>
            <w14:solidFill>
              <w14:schemeClr w14:val="tx1"/>
            </w14:solidFill>
          </w14:textFill>
        </w:rPr>
      </w:pPr>
    </w:p>
    <w:p>
      <w:pPr>
        <w:snapToGrid w:val="0"/>
        <w:spacing w:before="120" w:beforeLines="50" w:after="50" w:line="440" w:lineRule="exact"/>
        <w:ind w:firstLine="645"/>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                        年   月   日</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120" w:beforeLines="50" w:after="50" w:line="360" w:lineRule="auto"/>
        <w:outlineLvl w:val="1"/>
        <w:rPr>
          <w:rFonts w:ascii="宋体" w:hAnsi="宋体"/>
          <w:b/>
          <w:bCs/>
          <w:color w:val="000000" w:themeColor="text1"/>
          <w:szCs w:val="21"/>
          <w:highlight w:val="none"/>
          <w14:textFill>
            <w14:solidFill>
              <w14:schemeClr w14:val="tx1"/>
            </w14:solidFill>
          </w14:textFill>
        </w:rPr>
      </w:pPr>
      <w:bookmarkStart w:id="146" w:name="_Toc19686836"/>
      <w:bookmarkStart w:id="147" w:name="_Toc254970557"/>
      <w:bookmarkStart w:id="148" w:name="_Toc254970698"/>
      <w:bookmarkStart w:id="149" w:name="_Toc430110181"/>
      <w:r>
        <w:rPr>
          <w:rFonts w:hint="eastAsia" w:ascii="宋体" w:hAnsi="宋体"/>
          <w:b/>
          <w:bCs/>
          <w:color w:val="000000" w:themeColor="text1"/>
          <w:szCs w:val="21"/>
          <w:highlight w:val="none"/>
          <w14:textFill>
            <w14:solidFill>
              <w14:schemeClr w14:val="tx1"/>
            </w14:solidFill>
          </w14:textFill>
        </w:rPr>
        <w:t>二、</w:t>
      </w:r>
      <w:bookmarkEnd w:id="146"/>
      <w:r>
        <w:rPr>
          <w:rFonts w:hint="eastAsia" w:ascii="宋体" w:hAnsi="宋体"/>
          <w:b/>
          <w:bCs/>
          <w:color w:val="000000" w:themeColor="text1"/>
          <w:szCs w:val="21"/>
          <w:highlight w:val="none"/>
          <w14:textFill>
            <w14:solidFill>
              <w14:schemeClr w14:val="tx1"/>
            </w14:solidFill>
          </w14:textFill>
        </w:rPr>
        <w:t>报价文件、</w:t>
      </w:r>
      <w:r>
        <w:rPr>
          <w:rFonts w:hint="eastAsia" w:ascii="宋体" w:hAnsi="宋体"/>
          <w:b/>
          <w:bCs/>
          <w:color w:val="000000" w:themeColor="text1"/>
          <w:szCs w:val="21"/>
          <w:highlight w:val="none"/>
          <w:lang w:eastAsia="zh-CN"/>
          <w14:textFill>
            <w14:solidFill>
              <w14:schemeClr w14:val="tx1"/>
            </w14:solidFill>
          </w14:textFill>
        </w:rPr>
        <w:t>资格文件</w:t>
      </w:r>
      <w:r>
        <w:rPr>
          <w:rFonts w:hint="eastAsia" w:ascii="宋体" w:hAnsi="宋体"/>
          <w:b/>
          <w:bCs/>
          <w:color w:val="000000" w:themeColor="text1"/>
          <w:szCs w:val="21"/>
          <w:highlight w:val="none"/>
          <w14:textFill>
            <w14:solidFill>
              <w14:schemeClr w14:val="tx1"/>
            </w14:solidFill>
          </w14:textFill>
        </w:rPr>
        <w:t>、商务文件格式</w:t>
      </w:r>
    </w:p>
    <w:p>
      <w:pPr>
        <w:snapToGrid w:val="0"/>
        <w:spacing w:before="120" w:beforeLines="50" w:after="50" w:line="360" w:lineRule="auto"/>
        <w:outlineLvl w:val="1"/>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1</w:t>
      </w:r>
      <w:r>
        <w:rPr>
          <w:rFonts w:ascii="宋体" w:hAnsi="宋体"/>
          <w:b/>
          <w:bCs/>
          <w:color w:val="000000" w:themeColor="text1"/>
          <w:sz w:val="28"/>
          <w:szCs w:val="28"/>
          <w:highlight w:val="none"/>
          <w14:textFill>
            <w14:solidFill>
              <w14:schemeClr w14:val="tx1"/>
            </w14:solidFill>
          </w14:textFill>
        </w:rPr>
        <w:t xml:space="preserve">. </w:t>
      </w:r>
      <w:r>
        <w:rPr>
          <w:rFonts w:hint="eastAsia" w:ascii="宋体" w:hAnsi="宋体"/>
          <w:b/>
          <w:bCs/>
          <w:color w:val="000000" w:themeColor="text1"/>
          <w:sz w:val="28"/>
          <w:szCs w:val="28"/>
          <w:highlight w:val="none"/>
          <w14:textFill>
            <w14:solidFill>
              <w14:schemeClr w14:val="tx1"/>
            </w14:solidFill>
          </w14:textFill>
        </w:rPr>
        <w:t>报价文件、</w:t>
      </w:r>
      <w:r>
        <w:rPr>
          <w:rFonts w:hint="eastAsia" w:ascii="宋体" w:hAnsi="宋体"/>
          <w:b/>
          <w:bCs/>
          <w:color w:val="000000" w:themeColor="text1"/>
          <w:sz w:val="28"/>
          <w:szCs w:val="28"/>
          <w:highlight w:val="none"/>
          <w:lang w:eastAsia="zh-CN"/>
          <w14:textFill>
            <w14:solidFill>
              <w14:schemeClr w14:val="tx1"/>
            </w14:solidFill>
          </w14:textFill>
        </w:rPr>
        <w:t>资格文件</w:t>
      </w:r>
      <w:r>
        <w:rPr>
          <w:rFonts w:hint="eastAsia" w:ascii="宋体" w:hAnsi="宋体"/>
          <w:b/>
          <w:bCs/>
          <w:color w:val="000000" w:themeColor="text1"/>
          <w:sz w:val="28"/>
          <w:szCs w:val="28"/>
          <w:highlight w:val="none"/>
          <w14:textFill>
            <w14:solidFill>
              <w14:schemeClr w14:val="tx1"/>
            </w14:solidFill>
          </w14:textFill>
        </w:rPr>
        <w:t xml:space="preserve">、商务文件封面格式： </w:t>
      </w:r>
    </w:p>
    <w:p>
      <w:pPr>
        <w:snapToGrid w:val="0"/>
        <w:spacing w:before="120" w:beforeLines="50" w:after="50" w:line="400" w:lineRule="exact"/>
        <w:jc w:val="righ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正本/副本</w:t>
      </w:r>
    </w:p>
    <w:p>
      <w:pPr>
        <w:snapToGrid w:val="0"/>
        <w:spacing w:before="120" w:beforeLines="50" w:after="50" w:line="400" w:lineRule="exact"/>
        <w:jc w:val="center"/>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报价文件、</w:t>
      </w:r>
      <w:r>
        <w:rPr>
          <w:rFonts w:hint="eastAsia" w:ascii="宋体" w:hAnsi="宋体"/>
          <w:b/>
          <w:bCs/>
          <w:color w:val="000000" w:themeColor="text1"/>
          <w:szCs w:val="21"/>
          <w:highlight w:val="none"/>
          <w:lang w:eastAsia="zh-CN"/>
          <w14:textFill>
            <w14:solidFill>
              <w14:schemeClr w14:val="tx1"/>
            </w14:solidFill>
          </w14:textFill>
        </w:rPr>
        <w:t>资格文件</w:t>
      </w:r>
      <w:r>
        <w:rPr>
          <w:rFonts w:hint="eastAsia" w:ascii="宋体" w:hAnsi="宋体"/>
          <w:b/>
          <w:bCs/>
          <w:color w:val="000000" w:themeColor="text1"/>
          <w:szCs w:val="21"/>
          <w:highlight w:val="none"/>
          <w14:textFill>
            <w14:solidFill>
              <w14:schemeClr w14:val="tx1"/>
            </w14:solidFill>
          </w14:textFill>
        </w:rPr>
        <w:t>、商务文件</w:t>
      </w:r>
    </w:p>
    <w:p>
      <w:pPr>
        <w:snapToGrid w:val="0"/>
        <w:spacing w:before="120" w:beforeLines="50" w:after="50" w:line="400" w:lineRule="exac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ind w:firstLine="315" w:firstLineChars="1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项目名称： </w:t>
      </w:r>
    </w:p>
    <w:p>
      <w:pPr>
        <w:snapToGrid w:val="0"/>
        <w:spacing w:before="120" w:beforeLines="50" w:after="50" w:line="400" w:lineRule="exact"/>
        <w:ind w:firstLine="315" w:firstLineChars="150"/>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ind w:firstLine="315" w:firstLineChars="1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项目编号： </w:t>
      </w:r>
    </w:p>
    <w:p>
      <w:pPr>
        <w:snapToGrid w:val="0"/>
        <w:spacing w:before="120" w:beforeLines="50" w:after="50" w:line="400" w:lineRule="exact"/>
        <w:ind w:firstLine="315" w:firstLineChars="150"/>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ind w:firstLine="315" w:firstLineChars="1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p>
    <w:p>
      <w:pPr>
        <w:snapToGrid w:val="0"/>
        <w:spacing w:before="120" w:beforeLines="50" w:after="50" w:line="400" w:lineRule="exact"/>
        <w:ind w:firstLine="315" w:firstLineChars="150"/>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ind w:firstLine="315" w:firstLineChars="1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投标人地址：</w:t>
      </w:r>
    </w:p>
    <w:p>
      <w:pPr>
        <w:pStyle w:val="10"/>
        <w:snapToGrid w:val="0"/>
        <w:spacing w:before="50" w:after="50" w:line="400" w:lineRule="exact"/>
        <w:ind w:firstLine="840" w:firstLineChars="400"/>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年  月  日</w:t>
      </w:r>
    </w:p>
    <w:p>
      <w:pPr>
        <w:snapToGrid w:val="0"/>
        <w:spacing w:before="120" w:beforeLines="50" w:after="50"/>
        <w:rPr>
          <w:rFonts w:ascii="宋体" w:hAnsi="宋体"/>
          <w:b/>
          <w:color w:val="000000" w:themeColor="text1"/>
          <w:sz w:val="24"/>
          <w:highlight w:val="none"/>
          <w14:textFill>
            <w14:solidFill>
              <w14:schemeClr w14:val="tx1"/>
            </w14:solidFill>
          </w14:textFill>
        </w:rPr>
      </w:pPr>
    </w:p>
    <w:p>
      <w:pPr>
        <w:snapToGrid w:val="0"/>
        <w:spacing w:before="120" w:beforeLines="50" w:after="50" w:line="360" w:lineRule="auto"/>
        <w:jc w:val="left"/>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p>
    <w:p>
      <w:pPr>
        <w:snapToGrid w:val="0"/>
        <w:spacing w:before="120" w:beforeLines="50" w:after="50" w:line="360" w:lineRule="auto"/>
        <w:outlineLvl w:val="1"/>
        <w:rPr>
          <w:rFonts w:ascii="宋体" w:hAnsi="宋体"/>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t>2</w:t>
      </w:r>
      <w:r>
        <w:rPr>
          <w:rFonts w:hint="eastAsia" w:ascii="宋体" w:hAnsi="宋体"/>
          <w:b/>
          <w:bCs/>
          <w:color w:val="000000" w:themeColor="text1"/>
          <w:sz w:val="28"/>
          <w:szCs w:val="28"/>
          <w:highlight w:val="none"/>
          <w14:textFill>
            <w14:solidFill>
              <w14:schemeClr w14:val="tx1"/>
            </w14:solidFill>
          </w14:textFill>
        </w:rPr>
        <w:t>、报价文件格式</w:t>
      </w:r>
    </w:p>
    <w:p>
      <w:pPr>
        <w:snapToGrid w:val="0"/>
        <w:spacing w:before="120" w:beforeLines="50" w:after="50" w:line="360" w:lineRule="auto"/>
        <w:jc w:val="left"/>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2.1</w:t>
      </w:r>
      <w:r>
        <w:rPr>
          <w:rFonts w:hint="eastAsia" w:ascii="宋体" w:hAnsi="宋体"/>
          <w:b/>
          <w:bCs/>
          <w:color w:val="000000" w:themeColor="text1"/>
          <w:szCs w:val="21"/>
          <w:highlight w:val="none"/>
          <w14:textFill>
            <w14:solidFill>
              <w14:schemeClr w14:val="tx1"/>
            </w14:solidFill>
          </w14:textFill>
        </w:rPr>
        <w:t>报价文件目录</w:t>
      </w:r>
    </w:p>
    <w:p>
      <w:pPr>
        <w:snapToGrid w:val="0"/>
        <w:spacing w:before="120" w:beforeLines="50" w:after="50"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根据招标文件规定及投标人提供的材料自行编写目录。</w:t>
      </w:r>
    </w:p>
    <w:p>
      <w:pPr>
        <w:snapToGrid w:val="0"/>
        <w:spacing w:before="120" w:beforeLines="50" w:after="50"/>
        <w:rPr>
          <w:rFonts w:ascii="宋体" w:hAnsi="宋体"/>
          <w:b/>
          <w:color w:val="000000" w:themeColor="text1"/>
          <w:sz w:val="24"/>
          <w:highlight w:val="none"/>
          <w14:textFill>
            <w14:solidFill>
              <w14:schemeClr w14:val="tx1"/>
            </w14:solidFill>
          </w14:textFill>
        </w:rPr>
      </w:pPr>
    </w:p>
    <w:p>
      <w:pPr>
        <w:snapToGrid w:val="0"/>
        <w:spacing w:before="120" w:beforeLines="50" w:after="50"/>
        <w:rPr>
          <w:rFonts w:ascii="宋体" w:hAnsi="宋体"/>
          <w:b/>
          <w:color w:val="000000" w:themeColor="text1"/>
          <w:sz w:val="24"/>
          <w:highlight w:val="none"/>
          <w14:textFill>
            <w14:solidFill>
              <w14:schemeClr w14:val="tx1"/>
            </w14:solidFill>
          </w14:textFill>
        </w:rPr>
      </w:pPr>
    </w:p>
    <w:p>
      <w:pPr>
        <w:snapToGrid w:val="0"/>
        <w:spacing w:before="120" w:beforeLines="50" w:after="50" w:line="400" w:lineRule="exact"/>
        <w:rPr>
          <w:rFonts w:ascii="宋体" w:hAnsi="宋体" w:cs="宋体"/>
          <w:b/>
          <w:color w:val="000000" w:themeColor="text1"/>
          <w:szCs w:val="21"/>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ascii="宋体" w:hAnsi="宋体" w:cs="宋体"/>
          <w:b/>
          <w:color w:val="000000" w:themeColor="text1"/>
          <w:szCs w:val="21"/>
          <w:highlight w:val="none"/>
          <w14:textFill>
            <w14:solidFill>
              <w14:schemeClr w14:val="tx1"/>
            </w14:solidFill>
          </w14:textFill>
        </w:rPr>
        <w:t>2.2</w:t>
      </w:r>
      <w:r>
        <w:rPr>
          <w:rFonts w:hint="eastAsia" w:ascii="宋体" w:hAnsi="宋体" w:cs="宋体"/>
          <w:b/>
          <w:color w:val="000000" w:themeColor="text1"/>
          <w:szCs w:val="21"/>
          <w:highlight w:val="none"/>
          <w14:textFill>
            <w14:solidFill>
              <w14:schemeClr w14:val="tx1"/>
            </w14:solidFill>
          </w14:textFill>
        </w:rPr>
        <w:t>.投标函格式：</w:t>
      </w:r>
    </w:p>
    <w:p>
      <w:pPr>
        <w:snapToGrid w:val="0"/>
        <w:spacing w:before="120" w:beforeLines="50" w:after="50" w:line="46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 标 函</w:t>
      </w:r>
    </w:p>
    <w:p>
      <w:pPr>
        <w:snapToGrid w:val="0"/>
        <w:spacing w:before="120" w:beforeLines="50" w:after="50" w:line="460" w:lineRule="exact"/>
        <w:jc w:val="center"/>
        <w:rPr>
          <w:rFonts w:ascii="宋体" w:hAnsi="宋体" w:cs="宋体"/>
          <w:b/>
          <w:color w:val="000000" w:themeColor="text1"/>
          <w:szCs w:val="21"/>
          <w:highlight w:val="none"/>
          <w14:textFill>
            <w14:solidFill>
              <w14:schemeClr w14:val="tx1"/>
            </w14:solidFill>
          </w14:textFill>
        </w:rPr>
      </w:pPr>
    </w:p>
    <w:p>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（招标采购单位名称）：</w:t>
      </w:r>
    </w:p>
    <w:p>
      <w:pPr>
        <w:snapToGrid w:val="0"/>
        <w:spacing w:line="460" w:lineRule="exact"/>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根据贵方为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项目的招标公告（项目编号：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），签字代表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（全名）经正式授权并代表投标人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（投标人名称）提交报价文件、</w:t>
      </w:r>
      <w:r>
        <w:rPr>
          <w:rFonts w:hint="eastAsia" w:ascii="宋体" w:hAnsi="宋体" w:cs="宋体"/>
          <w:color w:val="000000" w:themeColor="text1"/>
          <w:szCs w:val="21"/>
          <w:highlight w:val="none"/>
          <w:lang w:eastAsia="zh-CN"/>
          <w14:textFill>
            <w14:solidFill>
              <w14:schemeClr w14:val="tx1"/>
            </w14:solidFill>
          </w14:textFill>
        </w:rPr>
        <w:t>资格文件</w:t>
      </w:r>
      <w:r>
        <w:rPr>
          <w:rFonts w:hint="eastAsia" w:ascii="宋体" w:hAnsi="宋体" w:cs="宋体"/>
          <w:color w:val="000000" w:themeColor="text1"/>
          <w:szCs w:val="21"/>
          <w:highlight w:val="none"/>
          <w14:textFill>
            <w14:solidFill>
              <w14:schemeClr w14:val="tx1"/>
            </w14:solidFill>
          </w14:textFill>
        </w:rPr>
        <w:t>、商务文件、技术文件，正本各一份、副本各四份。</w:t>
      </w:r>
    </w:p>
    <w:p>
      <w:pPr>
        <w:snapToGrid w:val="0"/>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据此函，签字代表宣布同意如下：</w:t>
      </w:r>
    </w:p>
    <w:p>
      <w:pPr>
        <w:snapToGrid w:val="0"/>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3.本投标有效期自开标日起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w:t>
      </w:r>
    </w:p>
    <w:p>
      <w:pPr>
        <w:snapToGrid w:val="0"/>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5.投标人同意按照贵方要求提供与投标有关的一切数据或资料。</w:t>
      </w:r>
    </w:p>
    <w:p>
      <w:pPr>
        <w:snapToGrid w:val="0"/>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6.与本投标有关的一切正式往来信函请寄：</w:t>
      </w:r>
    </w:p>
    <w:p>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邮编：</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投标人代表姓名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职务：</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投标人名称(公章)：</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银行帐号：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法定代表人(负责人）或授权代表（签字或盖章）：</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widowControl/>
        <w:jc w:val="left"/>
        <w:rPr>
          <w:rFonts w:ascii="宋体" w:hAnsi="宋体" w:cs="宋体"/>
          <w:color w:val="000000" w:themeColor="text1"/>
          <w:kern w:val="0"/>
          <w:sz w:val="20"/>
          <w:szCs w:val="21"/>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p>
    <w:p>
      <w:pPr>
        <w:snapToGrid w:val="0"/>
        <w:spacing w:before="120" w:beforeLines="50" w:after="50" w:line="400" w:lineRule="exac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2.3</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投标报价表</w:t>
      </w:r>
      <w:r>
        <w:rPr>
          <w:rFonts w:hint="eastAsia" w:ascii="宋体" w:hAnsi="宋体" w:cs="宋体"/>
          <w:b/>
          <w:color w:val="000000" w:themeColor="text1"/>
          <w:szCs w:val="21"/>
          <w:highlight w:val="none"/>
          <w14:textFill>
            <w14:solidFill>
              <w14:schemeClr w14:val="tx1"/>
            </w14:solidFill>
          </w14:textFill>
        </w:rPr>
        <w:t>格式</w:t>
      </w:r>
    </w:p>
    <w:p>
      <w:pPr>
        <w:spacing w:before="199"/>
        <w:ind w:left="963" w:right="979"/>
        <w:jc w:val="center"/>
        <w:rPr>
          <w:rFonts w:ascii="宋体" w:hAnsi="宋体" w:cs="宋体"/>
          <w:b/>
          <w:color w:val="000000" w:themeColor="text1"/>
          <w:sz w:val="28"/>
          <w:highlight w:val="none"/>
          <w14:textFill>
            <w14:solidFill>
              <w14:schemeClr w14:val="tx1"/>
            </w14:solidFill>
          </w14:textFill>
        </w:rPr>
      </w:pPr>
    </w:p>
    <w:p>
      <w:pPr>
        <w:spacing w:before="199"/>
        <w:ind w:left="963" w:right="979"/>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投标报价表（格式）</w:t>
      </w:r>
    </w:p>
    <w:p>
      <w:pPr>
        <w:spacing w:before="79" w:after="15"/>
        <w:ind w:left="6231" w:right="979"/>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金额单位：人民币（元）</w:t>
      </w:r>
    </w:p>
    <w:tbl>
      <w:tblPr>
        <w:tblStyle w:val="49"/>
        <w:tblW w:w="8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984"/>
        <w:gridCol w:w="1102"/>
        <w:gridCol w:w="1460"/>
        <w:gridCol w:w="1550"/>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678" w:type="dxa"/>
            <w:tcBorders>
              <w:right w:val="single" w:color="000000" w:sz="6" w:space="0"/>
            </w:tcBorders>
            <w:vAlign w:val="center"/>
          </w:tcPr>
          <w:p>
            <w:pPr>
              <w:pStyle w:val="104"/>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984"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c>
          <w:tcPr>
            <w:tcW w:w="1102"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r>
              <w:rPr>
                <w:rFonts w:hint="eastAsia" w:cs="Courier New"/>
                <w:color w:val="000000" w:themeColor="text1"/>
                <w:highlight w:val="none"/>
                <w14:textFill>
                  <w14:solidFill>
                    <w14:schemeClr w14:val="tx1"/>
                  </w14:solidFill>
                </w14:textFill>
              </w:rPr>
              <w:t>数量</w:t>
            </w:r>
            <w:r>
              <w:rPr>
                <w:rFonts w:hint="eastAsia" w:cs="Courier New"/>
                <w:color w:val="000000" w:themeColor="text1"/>
                <w:spacing w:val="-20"/>
                <w:highlight w:val="none"/>
                <w14:textFill>
                  <w14:solidFill>
                    <w14:schemeClr w14:val="tx1"/>
                  </w14:solidFill>
                </w14:textFill>
              </w:rPr>
              <w:t>①</w:t>
            </w:r>
          </w:p>
        </w:tc>
        <w:tc>
          <w:tcPr>
            <w:tcW w:w="1460"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r>
              <w:rPr>
                <w:rFonts w:hint="eastAsia" w:cs="Courier New"/>
                <w:color w:val="000000" w:themeColor="text1"/>
                <w:highlight w:val="none"/>
                <w14:textFill>
                  <w14:solidFill>
                    <w14:schemeClr w14:val="tx1"/>
                  </w14:solidFill>
                </w14:textFill>
              </w:rPr>
              <w:t>单价（元）②</w:t>
            </w:r>
          </w:p>
        </w:tc>
        <w:tc>
          <w:tcPr>
            <w:tcW w:w="1550" w:type="dxa"/>
            <w:tcBorders>
              <w:left w:val="single" w:color="000000" w:sz="6" w:space="0"/>
            </w:tcBorders>
            <w:vAlign w:val="center"/>
          </w:tcPr>
          <w:p>
            <w:pPr>
              <w:pStyle w:val="26"/>
              <w:spacing w:line="460" w:lineRule="exact"/>
              <w:jc w:val="center"/>
              <w:rPr>
                <w:rFonts w:hAnsi="宋体" w:cs="Courier New"/>
                <w:color w:val="000000" w:themeColor="text1"/>
                <w:kern w:val="2"/>
                <w:sz w:val="21"/>
                <w:highlight w:val="none"/>
                <w14:textFill>
                  <w14:solidFill>
                    <w14:schemeClr w14:val="tx1"/>
                  </w14:solidFill>
                </w14:textFill>
              </w:rPr>
            </w:pPr>
            <w:r>
              <w:rPr>
                <w:rFonts w:hint="eastAsia" w:hAnsi="宋体" w:cs="Courier New"/>
                <w:color w:val="000000" w:themeColor="text1"/>
                <w:kern w:val="2"/>
                <w:sz w:val="21"/>
                <w:highlight w:val="none"/>
                <w14:textFill>
                  <w14:solidFill>
                    <w14:schemeClr w14:val="tx1"/>
                  </w14:solidFill>
                </w14:textFill>
              </w:rPr>
              <w:t>单项合价</w:t>
            </w:r>
          </w:p>
          <w:p>
            <w:pPr>
              <w:pStyle w:val="104"/>
              <w:jc w:val="center"/>
              <w:rPr>
                <w:color w:val="000000" w:themeColor="text1"/>
                <w:sz w:val="24"/>
                <w:highlight w:val="none"/>
                <w14:textFill>
                  <w14:solidFill>
                    <w14:schemeClr w14:val="tx1"/>
                  </w14:solidFill>
                </w14:textFill>
              </w:rPr>
            </w:pPr>
            <w:r>
              <w:rPr>
                <w:rFonts w:hint="eastAsia" w:cs="Courier New"/>
                <w:color w:val="000000" w:themeColor="text1"/>
                <w:highlight w:val="none"/>
                <w14:textFill>
                  <w14:solidFill>
                    <w14:schemeClr w14:val="tx1"/>
                  </w14:solidFill>
                </w14:textFill>
              </w:rPr>
              <w:t>③</w:t>
            </w:r>
            <w:r>
              <w:rPr>
                <w:rFonts w:cs="Courier New"/>
                <w:color w:val="000000" w:themeColor="text1"/>
                <w:highlight w:val="none"/>
                <w14:textFill>
                  <w14:solidFill>
                    <w14:schemeClr w14:val="tx1"/>
                  </w14:solidFill>
                </w14:textFill>
              </w:rPr>
              <w:t>=</w:t>
            </w:r>
            <w:r>
              <w:rPr>
                <w:rFonts w:hint="eastAsia" w:cs="Courier New"/>
                <w:color w:val="000000" w:themeColor="text1"/>
                <w:highlight w:val="none"/>
                <w14:textFill>
                  <w14:solidFill>
                    <w14:schemeClr w14:val="tx1"/>
                  </w14:solidFill>
                </w14:textFill>
              </w:rPr>
              <w:t>①×②</w:t>
            </w:r>
          </w:p>
        </w:tc>
        <w:tc>
          <w:tcPr>
            <w:tcW w:w="1548" w:type="dxa"/>
            <w:tcBorders>
              <w:left w:val="single" w:color="000000" w:sz="6" w:space="0"/>
            </w:tcBorders>
            <w:vAlign w:val="center"/>
          </w:tcPr>
          <w:p>
            <w:pPr>
              <w:pStyle w:val="104"/>
              <w:jc w:val="center"/>
              <w:rPr>
                <w:rFonts w:cs="Courier New"/>
                <w:color w:val="000000" w:themeColor="text1"/>
                <w:highlight w:val="none"/>
                <w14:textFill>
                  <w14:solidFill>
                    <w14:schemeClr w14:val="tx1"/>
                  </w14:solidFill>
                </w14:textFill>
              </w:rPr>
            </w:pPr>
            <w:r>
              <w:rPr>
                <w:rFonts w:hint="eastAsia" w:cs="Courier New"/>
                <w:color w:val="000000" w:themeColor="text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678" w:type="dxa"/>
            <w:tcBorders>
              <w:right w:val="single" w:color="000000" w:sz="6" w:space="0"/>
            </w:tcBorders>
            <w:vAlign w:val="center"/>
          </w:tcPr>
          <w:p>
            <w:pPr>
              <w:pStyle w:val="104"/>
              <w:jc w:val="center"/>
              <w:rPr>
                <w:color w:val="000000" w:themeColor="text1"/>
                <w:sz w:val="24"/>
                <w:highlight w:val="none"/>
                <w:lang w:val="en-US"/>
                <w14:textFill>
                  <w14:solidFill>
                    <w14:schemeClr w14:val="tx1"/>
                  </w14:solidFill>
                </w14:textFill>
              </w:rPr>
            </w:pPr>
            <w:r>
              <w:rPr>
                <w:rFonts w:hint="eastAsia"/>
                <w:color w:val="000000" w:themeColor="text1"/>
                <w:sz w:val="24"/>
                <w:highlight w:val="none"/>
                <w:lang w:val="en-US"/>
                <w14:textFill>
                  <w14:solidFill>
                    <w14:schemeClr w14:val="tx1"/>
                  </w14:solidFill>
                </w14:textFill>
              </w:rPr>
              <w:t>1</w:t>
            </w:r>
          </w:p>
        </w:tc>
        <w:tc>
          <w:tcPr>
            <w:tcW w:w="1984"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p>
        </w:tc>
        <w:tc>
          <w:tcPr>
            <w:tcW w:w="1102" w:type="dxa"/>
            <w:tcBorders>
              <w:left w:val="single" w:color="000000" w:sz="6" w:space="0"/>
            </w:tcBorders>
            <w:vAlign w:val="center"/>
          </w:tcPr>
          <w:p>
            <w:pPr>
              <w:pStyle w:val="104"/>
              <w:jc w:val="center"/>
              <w:rPr>
                <w:color w:val="000000" w:themeColor="text1"/>
                <w:sz w:val="24"/>
                <w:highlight w:val="none"/>
                <w:lang w:val="en-US"/>
                <w14:textFill>
                  <w14:solidFill>
                    <w14:schemeClr w14:val="tx1"/>
                  </w14:solidFill>
                </w14:textFill>
              </w:rPr>
            </w:pPr>
            <w:r>
              <w:rPr>
                <w:rFonts w:hint="eastAsia"/>
                <w:color w:val="000000" w:themeColor="text1"/>
                <w:sz w:val="24"/>
                <w:highlight w:val="none"/>
                <w:lang w:val="en-US"/>
                <w14:textFill>
                  <w14:solidFill>
                    <w14:schemeClr w14:val="tx1"/>
                  </w14:solidFill>
                </w14:textFill>
              </w:rPr>
              <w:t>1项</w:t>
            </w:r>
          </w:p>
        </w:tc>
        <w:tc>
          <w:tcPr>
            <w:tcW w:w="1460"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p>
        </w:tc>
        <w:tc>
          <w:tcPr>
            <w:tcW w:w="1550"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p>
        </w:tc>
        <w:tc>
          <w:tcPr>
            <w:tcW w:w="1548"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322" w:type="dxa"/>
            <w:gridSpan w:val="6"/>
            <w:vAlign w:val="center"/>
          </w:tcPr>
          <w:p>
            <w:pPr>
              <w:pStyle w:val="26"/>
              <w:spacing w:line="460" w:lineRule="exact"/>
              <w:ind w:firstLine="198" w:firstLineChars="100"/>
              <w:jc w:val="left"/>
              <w:rPr>
                <w:rFonts w:hAnsi="宋体" w:cs="Courier New"/>
                <w:color w:val="000000" w:themeColor="text1"/>
                <w:spacing w:val="-6"/>
                <w:kern w:val="2"/>
                <w:sz w:val="21"/>
                <w:highlight w:val="none"/>
                <w14:textFill>
                  <w14:solidFill>
                    <w14:schemeClr w14:val="tx1"/>
                  </w14:solidFill>
                </w14:textFill>
              </w:rPr>
            </w:pPr>
            <w:r>
              <w:rPr>
                <w:rFonts w:hint="eastAsia" w:hAnsi="宋体" w:cs="Courier New"/>
                <w:color w:val="000000" w:themeColor="text1"/>
                <w:spacing w:val="-6"/>
                <w:kern w:val="2"/>
                <w:sz w:val="21"/>
                <w:highlight w:val="none"/>
                <w14:textFill>
                  <w14:solidFill>
                    <w14:schemeClr w14:val="tx1"/>
                  </w14:solidFill>
                </w14:textFill>
              </w:rPr>
              <w:t>总报价（人民币大写）：</w:t>
            </w:r>
            <w:r>
              <w:rPr>
                <w:rFonts w:hint="eastAsia" w:hAnsi="宋体" w:cs="Courier New"/>
                <w:color w:val="000000" w:themeColor="text1"/>
                <w:spacing w:val="-6"/>
                <w:kern w:val="2"/>
                <w:sz w:val="21"/>
                <w:highlight w:val="none"/>
                <w:u w:val="single"/>
                <w14:textFill>
                  <w14:solidFill>
                    <w14:schemeClr w14:val="tx1"/>
                  </w14:solidFill>
                </w14:textFill>
              </w:rPr>
              <w:t xml:space="preserve">                             </w:t>
            </w:r>
            <w:r>
              <w:rPr>
                <w:rFonts w:hint="eastAsia" w:hAnsi="宋体" w:cs="Courier New"/>
                <w:color w:val="000000" w:themeColor="text1"/>
                <w:spacing w:val="-6"/>
                <w:kern w:val="2"/>
                <w:sz w:val="21"/>
                <w:highlight w:val="none"/>
                <w14:textFill>
                  <w14:solidFill>
                    <w14:schemeClr w14:val="tx1"/>
                  </w14:solidFill>
                </w14:textFill>
              </w:rPr>
              <w:t>（¥</w:t>
            </w:r>
            <w:r>
              <w:rPr>
                <w:rFonts w:hint="eastAsia" w:hAnsi="宋体" w:cs="Courier New"/>
                <w:color w:val="000000" w:themeColor="text1"/>
                <w:spacing w:val="-6"/>
                <w:kern w:val="2"/>
                <w:sz w:val="21"/>
                <w:highlight w:val="none"/>
                <w:u w:val="single"/>
                <w14:textFill>
                  <w14:solidFill>
                    <w14:schemeClr w14:val="tx1"/>
                  </w14:solidFill>
                </w14:textFill>
              </w:rPr>
              <w:t xml:space="preserve">                 </w:t>
            </w:r>
            <w:r>
              <w:rPr>
                <w:rFonts w:hint="eastAsia" w:hAnsi="宋体" w:cs="Courier New"/>
                <w:color w:val="000000" w:themeColor="text1"/>
                <w:spacing w:val="-6"/>
                <w:kern w:val="2"/>
                <w:sz w:val="21"/>
                <w:highlight w:val="none"/>
                <w14:textFill>
                  <w14:solidFill>
                    <w14:schemeClr w14:val="tx1"/>
                  </w14:solidFill>
                </w14:textFill>
              </w:rPr>
              <w:t>元）。</w:t>
            </w:r>
          </w:p>
          <w:p>
            <w:pPr>
              <w:rPr>
                <w:color w:val="000000" w:themeColor="text1"/>
                <w:highlight w:val="none"/>
                <w14:textFill>
                  <w14:solidFill>
                    <w14:schemeClr w14:val="tx1"/>
                  </w14:solidFill>
                </w14:textFill>
              </w:rPr>
            </w:pPr>
          </w:p>
          <w:p>
            <w:pPr>
              <w:pStyle w:val="104"/>
              <w:ind w:firstLine="198" w:firstLineChars="100"/>
              <w:jc w:val="left"/>
              <w:rPr>
                <w:color w:val="000000" w:themeColor="text1"/>
                <w:sz w:val="24"/>
                <w:highlight w:val="none"/>
                <w14:textFill>
                  <w14:solidFill>
                    <w14:schemeClr w14:val="tx1"/>
                  </w14:solidFill>
                </w14:textFill>
              </w:rPr>
            </w:pPr>
            <w:r>
              <w:rPr>
                <w:rFonts w:hint="eastAsia" w:cs="Courier New"/>
                <w:color w:val="000000" w:themeColor="text1"/>
                <w:spacing w:val="-6"/>
                <w:highlight w:val="none"/>
                <w14:textFill>
                  <w14:solidFill>
                    <w14:schemeClr w14:val="tx1"/>
                  </w14:solidFill>
                </w14:textFill>
              </w:rPr>
              <w:t xml:space="preserve">服务期：  </w:t>
            </w:r>
            <w:r>
              <w:rPr>
                <w:rFonts w:hint="eastAsia" w:cs="Courier New"/>
                <w:color w:val="000000" w:themeColor="text1"/>
                <w:spacing w:val="-6"/>
                <w:highlight w:val="none"/>
                <w:lang w:val="en-US"/>
                <w14:textFill>
                  <w14:solidFill>
                    <w14:schemeClr w14:val="tx1"/>
                  </w14:solidFill>
                </w14:textFill>
              </w:rPr>
              <w:t xml:space="preserve">                          </w:t>
            </w:r>
            <w:r>
              <w:rPr>
                <w:rFonts w:hint="eastAsia" w:cs="Courier New"/>
                <w:color w:val="000000" w:themeColor="text1"/>
                <w:spacing w:val="-6"/>
                <w:highlight w:val="none"/>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5" w:hRule="atLeast"/>
        </w:trPr>
        <w:tc>
          <w:tcPr>
            <w:tcW w:w="8322" w:type="dxa"/>
            <w:gridSpan w:val="6"/>
            <w:vAlign w:val="center"/>
          </w:tcPr>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投标报价必须含以下部分，包括：</w:t>
            </w:r>
          </w:p>
          <w:p>
            <w:pPr>
              <w:spacing w:line="460" w:lineRule="exact"/>
              <w:ind w:firstLine="205" w:firstLineChars="9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（1）服务的价格：投标人按总价包干，投标报价是履行合同的最终价格； </w:t>
            </w:r>
          </w:p>
          <w:p>
            <w:pPr>
              <w:spacing w:line="460" w:lineRule="exact"/>
              <w:ind w:firstLine="205" w:firstLineChars="9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（2）必要的保险费用和各项增值税金； </w:t>
            </w:r>
          </w:p>
          <w:p>
            <w:pPr>
              <w:spacing w:line="460" w:lineRule="exact"/>
              <w:ind w:firstLine="205" w:firstLineChars="9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（3）投标人依据招标人提供的招标资料和现场实地勘察情况，根据自身经验，在确保质量和满足相关要求的前提下报价。</w:t>
            </w:r>
          </w:p>
          <w:p>
            <w:pPr>
              <w:spacing w:line="460" w:lineRule="exact"/>
              <w:ind w:firstLine="205" w:firstLineChars="98"/>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报价中包含但不限于成果文件及相应提供技术交底等相关资料、设备、劳务、管理、材料、运输费、报告编制费以及评审至合格通过的评审费用、对本项目所产生的所有开支、风险、责任、利润、税金、本项目的采购代理服务费、政策性文件规定及合同包含的应有风险、责任等各项应有费用。</w:t>
            </w:r>
          </w:p>
        </w:tc>
      </w:tr>
    </w:tbl>
    <w:p>
      <w:pPr>
        <w:spacing w:before="79"/>
        <w:ind w:left="2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注：“投标报价明细表”中所有内容与“开标一览表”中相对应内容不一致的，以开标</w:t>
      </w:r>
    </w:p>
    <w:p>
      <w:pPr>
        <w:spacing w:before="91"/>
        <w:ind w:left="2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一览表为准。</w:t>
      </w:r>
    </w:p>
    <w:p>
      <w:pPr>
        <w:pStyle w:val="20"/>
        <w:rPr>
          <w:rFonts w:ascii="宋体" w:hAnsi="宋体" w:cs="宋体"/>
          <w:b/>
          <w:color w:val="000000" w:themeColor="text1"/>
          <w:highlight w:val="none"/>
          <w14:textFill>
            <w14:solidFill>
              <w14:schemeClr w14:val="tx1"/>
            </w14:solidFill>
          </w14:textFill>
        </w:rPr>
      </w:pPr>
    </w:p>
    <w:p>
      <w:pPr>
        <w:tabs>
          <w:tab w:val="left" w:pos="5223"/>
        </w:tabs>
        <w:spacing w:before="187"/>
        <w:ind w:left="247"/>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法定代表人(负责人）或委托代理人签字：</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w:t>
      </w:r>
    </w:p>
    <w:p>
      <w:pPr>
        <w:pStyle w:val="20"/>
        <w:rPr>
          <w:rFonts w:ascii="宋体" w:hAnsi="宋体" w:cs="宋体"/>
          <w:color w:val="000000" w:themeColor="text1"/>
          <w:sz w:val="21"/>
          <w:szCs w:val="21"/>
          <w:highlight w:val="none"/>
          <w14:textFill>
            <w14:solidFill>
              <w14:schemeClr w14:val="tx1"/>
            </w14:solidFill>
          </w14:textFill>
        </w:rPr>
      </w:pPr>
    </w:p>
    <w:p>
      <w:pPr>
        <w:tabs>
          <w:tab w:val="left" w:pos="5223"/>
        </w:tabs>
        <w:spacing w:before="74"/>
        <w:ind w:left="247"/>
        <w:jc w:val="left"/>
        <w:rPr>
          <w:rFonts w:ascii="宋体" w:hAnsi="宋体" w:cs="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投标人(公章)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p>
    <w:p>
      <w:pPr>
        <w:pStyle w:val="2"/>
        <w:rPr>
          <w:color w:val="000000" w:themeColor="text1"/>
          <w:sz w:val="21"/>
          <w:szCs w:val="21"/>
          <w:highlight w:val="none"/>
          <w14:textFill>
            <w14:solidFill>
              <w14:schemeClr w14:val="tx1"/>
            </w14:solidFill>
          </w14:textFill>
        </w:rPr>
      </w:pPr>
    </w:p>
    <w:p>
      <w:pPr>
        <w:pStyle w:val="2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14:textFill>
            <w14:solidFill>
              <w14:schemeClr w14:val="tx1"/>
            </w14:solidFill>
          </w14:textFill>
        </w:rPr>
        <w:tab/>
      </w:r>
      <w:r>
        <w:rPr>
          <w:rFonts w:hint="eastAsia" w:ascii="宋体" w:hAnsi="宋体" w:cs="宋体"/>
          <w:color w:val="000000" w:themeColor="text1"/>
          <w:sz w:val="21"/>
          <w:szCs w:val="21"/>
          <w:highlight w:val="none"/>
          <w14:textFill>
            <w14:solidFill>
              <w14:schemeClr w14:val="tx1"/>
            </w14:solidFill>
          </w14:textFill>
        </w:rPr>
        <w:t xml:space="preserve">月 </w:t>
      </w:r>
      <w:r>
        <w:rPr>
          <w:rFonts w:hint="eastAsia" w:ascii="宋体" w:hAnsi="宋体" w:cs="宋体"/>
          <w:color w:val="000000" w:themeColor="text1"/>
          <w:sz w:val="21"/>
          <w:szCs w:val="21"/>
          <w:highlight w:val="none"/>
          <w14:textFill>
            <w14:solidFill>
              <w14:schemeClr w14:val="tx1"/>
            </w14:solidFill>
          </w14:textFill>
        </w:rPr>
        <w:tab/>
      </w:r>
      <w:r>
        <w:rPr>
          <w:rFonts w:hint="eastAsia" w:ascii="宋体" w:hAnsi="宋体" w:cs="宋体"/>
          <w:color w:val="000000" w:themeColor="text1"/>
          <w:sz w:val="21"/>
          <w:szCs w:val="21"/>
          <w:highlight w:val="none"/>
          <w14:textFill>
            <w14:solidFill>
              <w14:schemeClr w14:val="tx1"/>
            </w14:solidFill>
          </w14:textFill>
        </w:rPr>
        <w:t>日</w:t>
      </w:r>
    </w:p>
    <w:p>
      <w:pPr>
        <w:pStyle w:val="26"/>
        <w:snapToGrid w:val="0"/>
        <w:spacing w:before="295" w:after="295" w:line="400" w:lineRule="exact"/>
        <w:rPr>
          <w:rFonts w:hAnsi="宋体" w:cs="宋体"/>
          <w:color w:val="000000" w:themeColor="text1"/>
          <w:highlight w:val="none"/>
          <w14:textFill>
            <w14:solidFill>
              <w14:schemeClr w14:val="tx1"/>
            </w14:solidFill>
          </w14:textFill>
        </w:rPr>
      </w:pPr>
    </w:p>
    <w:p>
      <w:pPr>
        <w:snapToGrid w:val="0"/>
        <w:spacing w:before="50" w:after="50"/>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br w:type="page"/>
      </w:r>
      <w:r>
        <w:rPr>
          <w:rFonts w:ascii="宋体" w:hAnsi="宋体" w:cs="宋体"/>
          <w:b/>
          <w:color w:val="000000" w:themeColor="text1"/>
          <w:szCs w:val="21"/>
          <w:highlight w:val="none"/>
          <w14:textFill>
            <w14:solidFill>
              <w14:schemeClr w14:val="tx1"/>
            </w14:solidFill>
          </w14:textFill>
        </w:rPr>
        <w:t>2.4</w:t>
      </w:r>
      <w:r>
        <w:rPr>
          <w:rFonts w:hint="eastAsia" w:ascii="宋体" w:hAnsi="宋体" w:cs="宋体"/>
          <w:b/>
          <w:color w:val="000000" w:themeColor="text1"/>
          <w:szCs w:val="21"/>
          <w:highlight w:val="none"/>
          <w14:textFill>
            <w14:solidFill>
              <w14:schemeClr w14:val="tx1"/>
            </w14:solidFill>
          </w14:textFill>
        </w:rPr>
        <w:t>.开标一览表信封封面格式：</w:t>
      </w:r>
    </w:p>
    <w:p>
      <w:pPr>
        <w:snapToGrid w:val="0"/>
        <w:spacing w:before="50" w:after="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招标编号： </w:t>
      </w:r>
    </w:p>
    <w:p>
      <w:pPr>
        <w:snapToGrid w:val="0"/>
        <w:spacing w:before="50" w:after="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投标人名称：</w:t>
      </w:r>
    </w:p>
    <w:p>
      <w:pPr>
        <w:snapToGrid w:val="0"/>
        <w:spacing w:before="50" w:after="50"/>
        <w:rPr>
          <w:rFonts w:ascii="宋体" w:hAnsi="宋体" w:cs="宋体"/>
          <w:b/>
          <w:color w:val="000000" w:themeColor="text1"/>
          <w:szCs w:val="21"/>
          <w:highlight w:val="none"/>
          <w14:textFill>
            <w14:solidFill>
              <w14:schemeClr w14:val="tx1"/>
            </w14:solidFill>
          </w14:textFill>
        </w:rPr>
      </w:pPr>
    </w:p>
    <w:p>
      <w:pPr>
        <w:snapToGrid w:val="0"/>
        <w:spacing w:before="50" w:after="5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2.5</w:t>
      </w:r>
      <w:r>
        <w:rPr>
          <w:rFonts w:hint="eastAsia" w:ascii="宋体" w:hAnsi="宋体" w:cs="宋体"/>
          <w:b/>
          <w:color w:val="000000" w:themeColor="text1"/>
          <w:szCs w:val="21"/>
          <w:highlight w:val="none"/>
          <w14:textFill>
            <w14:solidFill>
              <w14:schemeClr w14:val="tx1"/>
            </w14:solidFill>
          </w14:textFill>
        </w:rPr>
        <w:t xml:space="preserve">.开标一览表 </w:t>
      </w:r>
    </w:p>
    <w:p>
      <w:pPr>
        <w:snapToGrid w:val="0"/>
        <w:spacing w:before="50" w:after="50" w:line="320" w:lineRule="exact"/>
        <w:rPr>
          <w:rFonts w:ascii="宋体" w:hAnsi="宋体" w:cs="宋体"/>
          <w:color w:val="000000" w:themeColor="text1"/>
          <w:szCs w:val="21"/>
          <w:highlight w:val="none"/>
          <w14:textFill>
            <w14:solidFill>
              <w14:schemeClr w14:val="tx1"/>
            </w14:solidFill>
          </w14:textFill>
        </w:rPr>
      </w:pPr>
    </w:p>
    <w:p>
      <w:pPr>
        <w:ind w:left="248"/>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开标一览表（格式）</w:t>
      </w:r>
    </w:p>
    <w:p>
      <w:pPr>
        <w:pStyle w:val="20"/>
        <w:tabs>
          <w:tab w:val="left" w:pos="4304"/>
        </w:tabs>
        <w:spacing w:before="112"/>
        <w:ind w:left="36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项</w:t>
      </w:r>
      <w:r>
        <w:rPr>
          <w:rFonts w:hint="eastAsia" w:ascii="宋体" w:hAnsi="宋体" w:cs="宋体"/>
          <w:color w:val="000000" w:themeColor="text1"/>
          <w:highlight w:val="none"/>
          <w14:textFill>
            <w14:solidFill>
              <w14:schemeClr w14:val="tx1"/>
            </w14:solidFill>
          </w14:textFill>
        </w:rPr>
        <w:t>目</w:t>
      </w:r>
      <w:r>
        <w:rPr>
          <w:rFonts w:hint="eastAsia" w:ascii="宋体" w:hAnsi="宋体" w:cs="宋体"/>
          <w:color w:val="000000" w:themeColor="text1"/>
          <w:spacing w:val="-3"/>
          <w:highlight w:val="none"/>
          <w14:textFill>
            <w14:solidFill>
              <w14:schemeClr w14:val="tx1"/>
            </w14:solidFill>
          </w14:textFill>
        </w:rPr>
        <w:t>名</w:t>
      </w:r>
      <w:r>
        <w:rPr>
          <w:rFonts w:hint="eastAsia" w:ascii="宋体" w:hAnsi="宋体" w:cs="宋体"/>
          <w:color w:val="000000" w:themeColor="text1"/>
          <w:highlight w:val="none"/>
          <w14:textFill>
            <w14:solidFill>
              <w14:schemeClr w14:val="tx1"/>
            </w14:solidFill>
          </w14:textFill>
        </w:rPr>
        <w:t>称</w:t>
      </w:r>
      <w:r>
        <w:rPr>
          <w:rFonts w:hint="eastAsia" w:ascii="宋体" w:hAnsi="宋体" w:cs="宋体"/>
          <w:color w:val="000000" w:themeColor="text1"/>
          <w:spacing w:val="-3"/>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ab/>
      </w:r>
    </w:p>
    <w:p>
      <w:pPr>
        <w:pStyle w:val="20"/>
        <w:tabs>
          <w:tab w:val="left" w:pos="4287"/>
          <w:tab w:val="left" w:pos="7286"/>
        </w:tabs>
        <w:spacing w:before="130" w:after="22"/>
        <w:ind w:left="35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r>
        <w:rPr>
          <w:rFonts w:hint="eastAsia" w:ascii="宋体" w:hAnsi="宋体" w:cs="宋体"/>
          <w:color w:val="000000" w:themeColor="text1"/>
          <w:spacing w:val="-3"/>
          <w:highlight w:val="none"/>
          <w14:textFill>
            <w14:solidFill>
              <w14:schemeClr w14:val="tx1"/>
            </w14:solidFill>
          </w14:textFill>
        </w:rPr>
        <w:t>编</w:t>
      </w:r>
      <w:r>
        <w:rPr>
          <w:rFonts w:hint="eastAsia" w:ascii="宋体" w:hAnsi="宋体" w:cs="宋体"/>
          <w:color w:val="000000" w:themeColor="text1"/>
          <w:highlight w:val="none"/>
          <w14:textFill>
            <w14:solidFill>
              <w14:schemeClr w14:val="tx1"/>
            </w14:solidFill>
          </w14:textFill>
        </w:rPr>
        <w:t>号</w:t>
      </w:r>
      <w:r>
        <w:rPr>
          <w:rFonts w:hint="eastAsia" w:ascii="宋体" w:hAnsi="宋体" w:cs="宋体"/>
          <w:color w:val="000000" w:themeColor="text1"/>
          <w:spacing w:val="-3"/>
          <w:highlight w:val="none"/>
          <w14:textFill>
            <w14:solidFill>
              <w14:schemeClr w14:val="tx1"/>
            </w14:solidFill>
          </w14:textFill>
        </w:rPr>
        <w:t>：</w:t>
      </w:r>
      <w:r>
        <w:rPr>
          <w:rFonts w:hint="eastAsia" w:ascii="宋体" w:hAnsi="宋体" w:cs="宋体"/>
          <w:color w:val="000000" w:themeColor="text1"/>
          <w:spacing w:val="-3"/>
          <w:highlight w:val="none"/>
          <w:u w:val="single"/>
          <w14:textFill>
            <w14:solidFill>
              <w14:schemeClr w14:val="tx1"/>
            </w14:solidFill>
          </w14:textFill>
        </w:rPr>
        <w:t xml:space="preserve"> </w:t>
      </w:r>
      <w:r>
        <w:rPr>
          <w:rFonts w:hint="eastAsia" w:ascii="宋体" w:hAnsi="宋体" w:cs="宋体"/>
          <w:color w:val="000000" w:themeColor="text1"/>
          <w:spacing w:val="-3"/>
          <w:highlight w:val="none"/>
          <w:u w:val="single"/>
          <w14:textFill>
            <w14:solidFill>
              <w14:schemeClr w14:val="tx1"/>
            </w14:solidFill>
          </w14:textFill>
        </w:rPr>
        <w:tab/>
      </w:r>
      <w:r>
        <w:rPr>
          <w:rFonts w:hint="eastAsia" w:ascii="宋体" w:hAnsi="宋体" w:cs="宋体"/>
          <w:color w:val="000000" w:themeColor="text1"/>
          <w:spacing w:val="-3"/>
          <w:highlight w:val="none"/>
          <w14:textFill>
            <w14:solidFill>
              <w14:schemeClr w14:val="tx1"/>
            </w14:solidFill>
          </w14:textFill>
        </w:rPr>
        <w:tab/>
      </w:r>
      <w:r>
        <w:rPr>
          <w:rFonts w:hint="eastAsia" w:ascii="宋体" w:hAnsi="宋体" w:cs="宋体"/>
          <w:color w:val="000000" w:themeColor="text1"/>
          <w:spacing w:val="-3"/>
          <w:highlight w:val="none"/>
          <w14:textFill>
            <w14:solidFill>
              <w14:schemeClr w14:val="tx1"/>
            </w14:solidFill>
          </w14:textFill>
        </w:rPr>
        <w:t>单</w:t>
      </w:r>
      <w:r>
        <w:rPr>
          <w:rFonts w:hint="eastAsia" w:ascii="宋体" w:hAnsi="宋体" w:cs="宋体"/>
          <w:color w:val="000000" w:themeColor="text1"/>
          <w:highlight w:val="none"/>
          <w14:textFill>
            <w14:solidFill>
              <w14:schemeClr w14:val="tx1"/>
            </w14:solidFill>
          </w14:textFill>
        </w:rPr>
        <w:t>位：元</w:t>
      </w:r>
    </w:p>
    <w:tbl>
      <w:tblPr>
        <w:tblStyle w:val="49"/>
        <w:tblW w:w="8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984"/>
        <w:gridCol w:w="1102"/>
        <w:gridCol w:w="1460"/>
        <w:gridCol w:w="1550"/>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78" w:type="dxa"/>
            <w:tcBorders>
              <w:right w:val="single" w:color="000000" w:sz="6" w:space="0"/>
            </w:tcBorders>
            <w:vAlign w:val="center"/>
          </w:tcPr>
          <w:p>
            <w:pPr>
              <w:pStyle w:val="104"/>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984"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c>
          <w:tcPr>
            <w:tcW w:w="1102"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r>
              <w:rPr>
                <w:rFonts w:hint="eastAsia" w:cs="Courier New"/>
                <w:color w:val="000000" w:themeColor="text1"/>
                <w:highlight w:val="none"/>
                <w14:textFill>
                  <w14:solidFill>
                    <w14:schemeClr w14:val="tx1"/>
                  </w14:solidFill>
                </w14:textFill>
              </w:rPr>
              <w:t>数量</w:t>
            </w:r>
            <w:r>
              <w:rPr>
                <w:rFonts w:hint="eastAsia" w:cs="Courier New"/>
                <w:color w:val="000000" w:themeColor="text1"/>
                <w:spacing w:val="-20"/>
                <w:highlight w:val="none"/>
                <w14:textFill>
                  <w14:solidFill>
                    <w14:schemeClr w14:val="tx1"/>
                  </w14:solidFill>
                </w14:textFill>
              </w:rPr>
              <w:t>①</w:t>
            </w:r>
          </w:p>
        </w:tc>
        <w:tc>
          <w:tcPr>
            <w:tcW w:w="1460"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r>
              <w:rPr>
                <w:rFonts w:hint="eastAsia" w:cs="Courier New"/>
                <w:color w:val="000000" w:themeColor="text1"/>
                <w:highlight w:val="none"/>
                <w14:textFill>
                  <w14:solidFill>
                    <w14:schemeClr w14:val="tx1"/>
                  </w14:solidFill>
                </w14:textFill>
              </w:rPr>
              <w:t>单价（元）②</w:t>
            </w:r>
          </w:p>
        </w:tc>
        <w:tc>
          <w:tcPr>
            <w:tcW w:w="1550" w:type="dxa"/>
            <w:tcBorders>
              <w:left w:val="single" w:color="000000" w:sz="6" w:space="0"/>
            </w:tcBorders>
            <w:vAlign w:val="center"/>
          </w:tcPr>
          <w:p>
            <w:pPr>
              <w:pStyle w:val="26"/>
              <w:spacing w:line="460" w:lineRule="exact"/>
              <w:jc w:val="center"/>
              <w:rPr>
                <w:rFonts w:hAnsi="宋体" w:cs="Courier New"/>
                <w:color w:val="000000" w:themeColor="text1"/>
                <w:kern w:val="2"/>
                <w:sz w:val="21"/>
                <w:highlight w:val="none"/>
                <w14:textFill>
                  <w14:solidFill>
                    <w14:schemeClr w14:val="tx1"/>
                  </w14:solidFill>
                </w14:textFill>
              </w:rPr>
            </w:pPr>
            <w:r>
              <w:rPr>
                <w:rFonts w:hint="eastAsia" w:hAnsi="宋体" w:cs="Courier New"/>
                <w:color w:val="000000" w:themeColor="text1"/>
                <w:kern w:val="2"/>
                <w:sz w:val="21"/>
                <w:highlight w:val="none"/>
                <w14:textFill>
                  <w14:solidFill>
                    <w14:schemeClr w14:val="tx1"/>
                  </w14:solidFill>
                </w14:textFill>
              </w:rPr>
              <w:t>单项合价</w:t>
            </w:r>
          </w:p>
          <w:p>
            <w:pPr>
              <w:pStyle w:val="104"/>
              <w:jc w:val="center"/>
              <w:rPr>
                <w:color w:val="000000" w:themeColor="text1"/>
                <w:sz w:val="24"/>
                <w:highlight w:val="none"/>
                <w14:textFill>
                  <w14:solidFill>
                    <w14:schemeClr w14:val="tx1"/>
                  </w14:solidFill>
                </w14:textFill>
              </w:rPr>
            </w:pPr>
            <w:r>
              <w:rPr>
                <w:rFonts w:hint="eastAsia" w:cs="Courier New"/>
                <w:color w:val="000000" w:themeColor="text1"/>
                <w:highlight w:val="none"/>
                <w14:textFill>
                  <w14:solidFill>
                    <w14:schemeClr w14:val="tx1"/>
                  </w14:solidFill>
                </w14:textFill>
              </w:rPr>
              <w:t>③</w:t>
            </w:r>
            <w:r>
              <w:rPr>
                <w:rFonts w:cs="Courier New"/>
                <w:color w:val="000000" w:themeColor="text1"/>
                <w:highlight w:val="none"/>
                <w14:textFill>
                  <w14:solidFill>
                    <w14:schemeClr w14:val="tx1"/>
                  </w14:solidFill>
                </w14:textFill>
              </w:rPr>
              <w:t>=</w:t>
            </w:r>
            <w:r>
              <w:rPr>
                <w:rFonts w:hint="eastAsia" w:cs="Courier New"/>
                <w:color w:val="000000" w:themeColor="text1"/>
                <w:highlight w:val="none"/>
                <w14:textFill>
                  <w14:solidFill>
                    <w14:schemeClr w14:val="tx1"/>
                  </w14:solidFill>
                </w14:textFill>
              </w:rPr>
              <w:t>①×②</w:t>
            </w:r>
          </w:p>
        </w:tc>
        <w:tc>
          <w:tcPr>
            <w:tcW w:w="1548" w:type="dxa"/>
            <w:tcBorders>
              <w:left w:val="single" w:color="000000" w:sz="6" w:space="0"/>
            </w:tcBorders>
            <w:vAlign w:val="center"/>
          </w:tcPr>
          <w:p>
            <w:pPr>
              <w:pStyle w:val="104"/>
              <w:jc w:val="center"/>
              <w:rPr>
                <w:rFonts w:cs="Courier New"/>
                <w:color w:val="000000" w:themeColor="text1"/>
                <w:highlight w:val="none"/>
                <w14:textFill>
                  <w14:solidFill>
                    <w14:schemeClr w14:val="tx1"/>
                  </w14:solidFill>
                </w14:textFill>
              </w:rPr>
            </w:pPr>
            <w:r>
              <w:rPr>
                <w:rFonts w:hint="eastAsia" w:cs="Courier New"/>
                <w:color w:val="000000" w:themeColor="text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78" w:type="dxa"/>
            <w:tcBorders>
              <w:right w:val="single" w:color="000000" w:sz="6" w:space="0"/>
            </w:tcBorders>
            <w:vAlign w:val="center"/>
          </w:tcPr>
          <w:p>
            <w:pPr>
              <w:pStyle w:val="104"/>
              <w:jc w:val="center"/>
              <w:rPr>
                <w:color w:val="000000" w:themeColor="text1"/>
                <w:sz w:val="24"/>
                <w:highlight w:val="none"/>
                <w:lang w:val="en-US"/>
                <w14:textFill>
                  <w14:solidFill>
                    <w14:schemeClr w14:val="tx1"/>
                  </w14:solidFill>
                </w14:textFill>
              </w:rPr>
            </w:pPr>
            <w:r>
              <w:rPr>
                <w:rFonts w:hint="eastAsia"/>
                <w:color w:val="000000" w:themeColor="text1"/>
                <w:sz w:val="24"/>
                <w:highlight w:val="none"/>
                <w:lang w:val="en-US"/>
                <w14:textFill>
                  <w14:solidFill>
                    <w14:schemeClr w14:val="tx1"/>
                  </w14:solidFill>
                </w14:textFill>
              </w:rPr>
              <w:t>1</w:t>
            </w:r>
          </w:p>
        </w:tc>
        <w:tc>
          <w:tcPr>
            <w:tcW w:w="1984"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p>
        </w:tc>
        <w:tc>
          <w:tcPr>
            <w:tcW w:w="1102" w:type="dxa"/>
            <w:tcBorders>
              <w:left w:val="single" w:color="000000" w:sz="6" w:space="0"/>
            </w:tcBorders>
            <w:vAlign w:val="center"/>
          </w:tcPr>
          <w:p>
            <w:pPr>
              <w:pStyle w:val="104"/>
              <w:jc w:val="center"/>
              <w:rPr>
                <w:color w:val="000000" w:themeColor="text1"/>
                <w:sz w:val="24"/>
                <w:highlight w:val="none"/>
                <w:lang w:val="en-US"/>
                <w14:textFill>
                  <w14:solidFill>
                    <w14:schemeClr w14:val="tx1"/>
                  </w14:solidFill>
                </w14:textFill>
              </w:rPr>
            </w:pPr>
            <w:r>
              <w:rPr>
                <w:rFonts w:hint="eastAsia"/>
                <w:color w:val="000000" w:themeColor="text1"/>
                <w:sz w:val="24"/>
                <w:highlight w:val="none"/>
                <w:lang w:val="en-US"/>
                <w14:textFill>
                  <w14:solidFill>
                    <w14:schemeClr w14:val="tx1"/>
                  </w14:solidFill>
                </w14:textFill>
              </w:rPr>
              <w:t>1项</w:t>
            </w:r>
          </w:p>
        </w:tc>
        <w:tc>
          <w:tcPr>
            <w:tcW w:w="1460"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p>
        </w:tc>
        <w:tc>
          <w:tcPr>
            <w:tcW w:w="1550"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p>
        </w:tc>
        <w:tc>
          <w:tcPr>
            <w:tcW w:w="1548" w:type="dxa"/>
            <w:tcBorders>
              <w:left w:val="single" w:color="000000" w:sz="6" w:space="0"/>
            </w:tcBorders>
            <w:vAlign w:val="center"/>
          </w:tcPr>
          <w:p>
            <w:pPr>
              <w:pStyle w:val="104"/>
              <w:jc w:val="center"/>
              <w:rPr>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322" w:type="dxa"/>
            <w:gridSpan w:val="6"/>
            <w:vAlign w:val="center"/>
          </w:tcPr>
          <w:p>
            <w:pPr>
              <w:pStyle w:val="26"/>
              <w:spacing w:line="460" w:lineRule="exact"/>
              <w:ind w:firstLine="198" w:firstLineChars="100"/>
              <w:jc w:val="left"/>
              <w:rPr>
                <w:rFonts w:hAnsi="宋体" w:cs="Courier New"/>
                <w:color w:val="000000" w:themeColor="text1"/>
                <w:spacing w:val="-6"/>
                <w:kern w:val="2"/>
                <w:sz w:val="21"/>
                <w:highlight w:val="none"/>
                <w14:textFill>
                  <w14:solidFill>
                    <w14:schemeClr w14:val="tx1"/>
                  </w14:solidFill>
                </w14:textFill>
              </w:rPr>
            </w:pPr>
            <w:r>
              <w:rPr>
                <w:rFonts w:hint="eastAsia" w:hAnsi="宋体" w:cs="Courier New"/>
                <w:color w:val="000000" w:themeColor="text1"/>
                <w:spacing w:val="-6"/>
                <w:kern w:val="2"/>
                <w:sz w:val="21"/>
                <w:highlight w:val="none"/>
                <w14:textFill>
                  <w14:solidFill>
                    <w14:schemeClr w14:val="tx1"/>
                  </w14:solidFill>
                </w14:textFill>
              </w:rPr>
              <w:t>总报价（人民币大写）：</w:t>
            </w:r>
            <w:r>
              <w:rPr>
                <w:rFonts w:hint="eastAsia" w:hAnsi="宋体" w:cs="Courier New"/>
                <w:color w:val="000000" w:themeColor="text1"/>
                <w:spacing w:val="-6"/>
                <w:kern w:val="2"/>
                <w:sz w:val="21"/>
                <w:highlight w:val="none"/>
                <w:u w:val="single"/>
                <w14:textFill>
                  <w14:solidFill>
                    <w14:schemeClr w14:val="tx1"/>
                  </w14:solidFill>
                </w14:textFill>
              </w:rPr>
              <w:t xml:space="preserve">                             </w:t>
            </w:r>
            <w:r>
              <w:rPr>
                <w:rFonts w:hint="eastAsia" w:hAnsi="宋体" w:cs="Courier New"/>
                <w:color w:val="000000" w:themeColor="text1"/>
                <w:spacing w:val="-6"/>
                <w:kern w:val="2"/>
                <w:sz w:val="21"/>
                <w:highlight w:val="none"/>
                <w14:textFill>
                  <w14:solidFill>
                    <w14:schemeClr w14:val="tx1"/>
                  </w14:solidFill>
                </w14:textFill>
              </w:rPr>
              <w:t>（¥</w:t>
            </w:r>
            <w:r>
              <w:rPr>
                <w:rFonts w:hint="eastAsia" w:hAnsi="宋体" w:cs="Courier New"/>
                <w:color w:val="000000" w:themeColor="text1"/>
                <w:spacing w:val="-6"/>
                <w:kern w:val="2"/>
                <w:sz w:val="21"/>
                <w:highlight w:val="none"/>
                <w:u w:val="single"/>
                <w14:textFill>
                  <w14:solidFill>
                    <w14:schemeClr w14:val="tx1"/>
                  </w14:solidFill>
                </w14:textFill>
              </w:rPr>
              <w:t xml:space="preserve">                 </w:t>
            </w:r>
            <w:r>
              <w:rPr>
                <w:rFonts w:hint="eastAsia" w:hAnsi="宋体" w:cs="Courier New"/>
                <w:color w:val="000000" w:themeColor="text1"/>
                <w:spacing w:val="-6"/>
                <w:kern w:val="2"/>
                <w:sz w:val="21"/>
                <w:highlight w:val="none"/>
                <w14:textFill>
                  <w14:solidFill>
                    <w14:schemeClr w14:val="tx1"/>
                  </w14:solidFill>
                </w14:textFill>
              </w:rPr>
              <w:t>元）。</w:t>
            </w:r>
          </w:p>
          <w:p>
            <w:pPr>
              <w:rPr>
                <w:color w:val="000000" w:themeColor="text1"/>
                <w:highlight w:val="none"/>
                <w14:textFill>
                  <w14:solidFill>
                    <w14:schemeClr w14:val="tx1"/>
                  </w14:solidFill>
                </w14:textFill>
              </w:rPr>
            </w:pPr>
          </w:p>
          <w:p>
            <w:pPr>
              <w:pStyle w:val="104"/>
              <w:ind w:firstLine="198" w:firstLineChars="100"/>
              <w:jc w:val="left"/>
              <w:rPr>
                <w:color w:val="000000" w:themeColor="text1"/>
                <w:sz w:val="24"/>
                <w:highlight w:val="none"/>
                <w14:textFill>
                  <w14:solidFill>
                    <w14:schemeClr w14:val="tx1"/>
                  </w14:solidFill>
                </w14:textFill>
              </w:rPr>
            </w:pPr>
            <w:r>
              <w:rPr>
                <w:rFonts w:hint="eastAsia" w:cs="Courier New"/>
                <w:color w:val="000000" w:themeColor="text1"/>
                <w:spacing w:val="-6"/>
                <w:highlight w:val="none"/>
                <w14:textFill>
                  <w14:solidFill>
                    <w14:schemeClr w14:val="tx1"/>
                  </w14:solidFill>
                </w14:textFill>
              </w:rPr>
              <w:t xml:space="preserve">服务期：  </w:t>
            </w:r>
            <w:r>
              <w:rPr>
                <w:rFonts w:hint="eastAsia" w:cs="Courier New"/>
                <w:color w:val="000000" w:themeColor="text1"/>
                <w:spacing w:val="-6"/>
                <w:highlight w:val="none"/>
                <w:lang w:val="en-US"/>
                <w14:textFill>
                  <w14:solidFill>
                    <w14:schemeClr w14:val="tx1"/>
                  </w14:solidFill>
                </w14:textFill>
              </w:rPr>
              <w:t xml:space="preserve">                          </w:t>
            </w:r>
            <w:r>
              <w:rPr>
                <w:rFonts w:hint="eastAsia" w:cs="Courier New"/>
                <w:color w:val="000000" w:themeColor="text1"/>
                <w:spacing w:val="-6"/>
                <w:highlight w:val="none"/>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5" w:hRule="atLeast"/>
        </w:trPr>
        <w:tc>
          <w:tcPr>
            <w:tcW w:w="8322" w:type="dxa"/>
            <w:gridSpan w:val="6"/>
            <w:vAlign w:val="center"/>
          </w:tcPr>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投标报价必须含以下部分，包括：</w:t>
            </w:r>
          </w:p>
          <w:p>
            <w:pPr>
              <w:spacing w:line="460" w:lineRule="exact"/>
              <w:ind w:firstLine="205" w:firstLineChars="9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（1）服务的价格：投标人按总价包干，投标报价是履行合同的最终价格； </w:t>
            </w:r>
          </w:p>
          <w:p>
            <w:pPr>
              <w:spacing w:line="460" w:lineRule="exact"/>
              <w:ind w:firstLine="205" w:firstLineChars="9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（2）必要的保险费用和各项增值税金； </w:t>
            </w:r>
          </w:p>
          <w:p>
            <w:pPr>
              <w:spacing w:line="460" w:lineRule="exact"/>
              <w:ind w:firstLine="205" w:firstLineChars="9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（3）投标人依据招标人提供的招标资料和现场实地勘察情况，根据自身经验，在确保质量和满足相关要求的前提下报价。</w:t>
            </w:r>
          </w:p>
          <w:p>
            <w:pPr>
              <w:spacing w:line="460" w:lineRule="exact"/>
              <w:ind w:firstLine="205" w:firstLineChars="98"/>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报价中包含但不限于成果文件及相应提供技术交底等相关资料、设备、劳务、管理、材料、运输费、报告编制费以及评审至合格通过的评审费用、对本项目所产生的所有开支、风险、责任、利润、税金、本项目的采购代理服务费、政策性文件规定及合同包含的应有风险、责任等各项应有费用。</w:t>
            </w:r>
          </w:p>
        </w:tc>
      </w:tr>
    </w:tbl>
    <w:p>
      <w:pPr>
        <w:spacing w:before="132"/>
        <w:ind w:left="6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b/>
          <w:color w:val="000000" w:themeColor="text1"/>
          <w:szCs w:val="21"/>
          <w:highlight w:val="none"/>
          <w14:textFill>
            <w14:solidFill>
              <w14:schemeClr w14:val="tx1"/>
            </w14:solidFill>
          </w14:textFill>
        </w:rPr>
        <w:t>▲1、报价一经涂改，应在涂改处加盖单位公章或者由法定代表人(负责人）或授权委托人签字或盖章，否则其投标作无效标处理。</w:t>
      </w:r>
    </w:p>
    <w:p>
      <w:pPr>
        <w:numPr>
          <w:ilvl w:val="0"/>
          <w:numId w:val="13"/>
        </w:numPr>
        <w:spacing w:before="132"/>
        <w:ind w:left="67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“开标一览表”应单独用小信封密封,再与其他投标文件一起包封，最后提交时应为一个密封袋。</w:t>
      </w:r>
    </w:p>
    <w:p>
      <w:pPr>
        <w:pStyle w:val="20"/>
        <w:rPr>
          <w:rFonts w:ascii="宋体" w:hAnsi="宋体" w:cs="宋体"/>
          <w:b/>
          <w:color w:val="000000" w:themeColor="text1"/>
          <w:sz w:val="20"/>
          <w:highlight w:val="none"/>
          <w14:textFill>
            <w14:solidFill>
              <w14:schemeClr w14:val="tx1"/>
            </w14:solidFill>
          </w14:textFill>
        </w:rPr>
      </w:pPr>
    </w:p>
    <w:p>
      <w:pPr>
        <w:pStyle w:val="20"/>
        <w:tabs>
          <w:tab w:val="left" w:pos="4602"/>
        </w:tabs>
        <w:spacing w:before="162"/>
        <w:ind w:left="24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1"/>
          <w:sz w:val="21"/>
          <w:szCs w:val="21"/>
          <w:highlight w:val="none"/>
          <w14:textFill>
            <w14:solidFill>
              <w14:schemeClr w14:val="tx1"/>
            </w14:solidFill>
          </w14:textFill>
        </w:rPr>
        <w:t>法定代表人(负责人）</w:t>
      </w:r>
      <w:r>
        <w:rPr>
          <w:rFonts w:hint="eastAsia" w:ascii="宋体" w:hAnsi="宋体" w:cs="宋体"/>
          <w:color w:val="000000" w:themeColor="text1"/>
          <w:sz w:val="21"/>
          <w:szCs w:val="21"/>
          <w:highlight w:val="none"/>
          <w14:textFill>
            <w14:solidFill>
              <w14:schemeClr w14:val="tx1"/>
            </w14:solidFill>
          </w14:textFill>
        </w:rPr>
        <w:t>或</w:t>
      </w:r>
      <w:r>
        <w:rPr>
          <w:rFonts w:hint="eastAsia" w:ascii="宋体" w:hAnsi="宋体" w:cs="宋体"/>
          <w:color w:val="000000" w:themeColor="text1"/>
          <w:spacing w:val="-3"/>
          <w:sz w:val="21"/>
          <w:szCs w:val="21"/>
          <w:highlight w:val="none"/>
          <w14:textFill>
            <w14:solidFill>
              <w14:schemeClr w14:val="tx1"/>
            </w14:solidFill>
          </w14:textFill>
        </w:rPr>
        <w:t>委</w:t>
      </w:r>
      <w:r>
        <w:rPr>
          <w:rFonts w:hint="eastAsia" w:ascii="宋体" w:hAnsi="宋体" w:cs="宋体"/>
          <w:color w:val="000000" w:themeColor="text1"/>
          <w:sz w:val="21"/>
          <w:szCs w:val="21"/>
          <w:highlight w:val="none"/>
          <w14:textFill>
            <w14:solidFill>
              <w14:schemeClr w14:val="tx1"/>
            </w14:solidFill>
          </w14:textFill>
        </w:rPr>
        <w:t>托</w:t>
      </w:r>
      <w:r>
        <w:rPr>
          <w:rFonts w:hint="eastAsia" w:ascii="宋体" w:hAnsi="宋体" w:cs="宋体"/>
          <w:color w:val="000000" w:themeColor="text1"/>
          <w:spacing w:val="-3"/>
          <w:sz w:val="21"/>
          <w:szCs w:val="21"/>
          <w:highlight w:val="none"/>
          <w14:textFill>
            <w14:solidFill>
              <w14:schemeClr w14:val="tx1"/>
            </w14:solidFill>
          </w14:textFill>
        </w:rPr>
        <w:t>代</w:t>
      </w:r>
      <w:r>
        <w:rPr>
          <w:rFonts w:hint="eastAsia" w:ascii="宋体" w:hAnsi="宋体" w:cs="宋体"/>
          <w:color w:val="000000" w:themeColor="text1"/>
          <w:sz w:val="21"/>
          <w:szCs w:val="21"/>
          <w:highlight w:val="none"/>
          <w14:textFill>
            <w14:solidFill>
              <w14:schemeClr w14:val="tx1"/>
            </w14:solidFill>
          </w14:textFill>
        </w:rPr>
        <w:t>理</w:t>
      </w:r>
      <w:r>
        <w:rPr>
          <w:rFonts w:hint="eastAsia" w:ascii="宋体" w:hAnsi="宋体" w:cs="宋体"/>
          <w:color w:val="000000" w:themeColor="text1"/>
          <w:spacing w:val="-3"/>
          <w:sz w:val="21"/>
          <w:szCs w:val="21"/>
          <w:highlight w:val="none"/>
          <w14:textFill>
            <w14:solidFill>
              <w14:schemeClr w14:val="tx1"/>
            </w14:solidFill>
          </w14:textFill>
        </w:rPr>
        <w:t>人</w:t>
      </w:r>
      <w:r>
        <w:rPr>
          <w:rFonts w:hint="eastAsia" w:ascii="宋体" w:hAnsi="宋体" w:cs="宋体"/>
          <w:color w:val="000000" w:themeColor="text1"/>
          <w:sz w:val="21"/>
          <w:szCs w:val="21"/>
          <w:highlight w:val="none"/>
          <w14:textFill>
            <w14:solidFill>
              <w14:schemeClr w14:val="tx1"/>
            </w14:solidFill>
          </w14:textFill>
        </w:rPr>
        <w:t>签字：</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ab/>
      </w:r>
    </w:p>
    <w:p>
      <w:pPr>
        <w:pStyle w:val="20"/>
        <w:tabs>
          <w:tab w:val="left" w:pos="4602"/>
        </w:tabs>
        <w:spacing w:before="78"/>
        <w:ind w:left="24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w:t>
      </w:r>
      <w:r>
        <w:rPr>
          <w:rFonts w:hint="eastAsia" w:ascii="宋体" w:hAnsi="宋体" w:cs="宋体"/>
          <w:color w:val="000000" w:themeColor="text1"/>
          <w:spacing w:val="-3"/>
          <w:sz w:val="21"/>
          <w:szCs w:val="21"/>
          <w:highlight w:val="none"/>
          <w14:textFill>
            <w14:solidFill>
              <w14:schemeClr w14:val="tx1"/>
            </w14:solidFill>
          </w14:textFill>
        </w:rPr>
        <w:t>人</w:t>
      </w:r>
      <w:r>
        <w:rPr>
          <w:rFonts w:hint="eastAsia" w:ascii="宋体" w:hAnsi="宋体" w:cs="宋体"/>
          <w:color w:val="000000" w:themeColor="text1"/>
          <w:sz w:val="21"/>
          <w:szCs w:val="21"/>
          <w:highlight w:val="none"/>
          <w14:textFill>
            <w14:solidFill>
              <w14:schemeClr w14:val="tx1"/>
            </w14:solidFill>
          </w14:textFill>
        </w:rPr>
        <w:t>公</w:t>
      </w:r>
      <w:r>
        <w:rPr>
          <w:rFonts w:hint="eastAsia" w:ascii="宋体" w:hAnsi="宋体" w:cs="宋体"/>
          <w:color w:val="000000" w:themeColor="text1"/>
          <w:spacing w:val="-3"/>
          <w:sz w:val="21"/>
          <w:szCs w:val="21"/>
          <w:highlight w:val="none"/>
          <w14:textFill>
            <w14:solidFill>
              <w14:schemeClr w14:val="tx1"/>
            </w14:solidFill>
          </w14:textFill>
        </w:rPr>
        <w:t>章</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ab/>
      </w:r>
    </w:p>
    <w:p>
      <w:pPr>
        <w:pStyle w:val="20"/>
        <w:tabs>
          <w:tab w:val="left" w:pos="879"/>
          <w:tab w:val="left" w:pos="1404"/>
        </w:tabs>
        <w:ind w:left="247"/>
        <w:rPr>
          <w:rFonts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14:textFill>
            <w14:solidFill>
              <w14:schemeClr w14:val="tx1"/>
            </w14:solidFill>
          </w14:textFill>
        </w:rPr>
        <w:tab/>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14:textFill>
            <w14:solidFill>
              <w14:schemeClr w14:val="tx1"/>
            </w14:solidFill>
          </w14:textFill>
        </w:rPr>
        <w:tab/>
      </w:r>
      <w:r>
        <w:rPr>
          <w:rFonts w:hint="eastAsia" w:ascii="宋体" w:hAnsi="宋体" w:cs="宋体"/>
          <w:color w:val="000000" w:themeColor="text1"/>
          <w:sz w:val="21"/>
          <w:szCs w:val="21"/>
          <w:highlight w:val="none"/>
          <w14:textFill>
            <w14:solidFill>
              <w14:schemeClr w14:val="tx1"/>
            </w14:solidFill>
          </w14:textFill>
        </w:rPr>
        <w:t>日</w:t>
      </w:r>
    </w:p>
    <w:p>
      <w:pPr>
        <w:snapToGrid w:val="0"/>
        <w:spacing w:before="120" w:beforeLines="50" w:after="50" w:line="360" w:lineRule="auto"/>
        <w:outlineLvl w:val="1"/>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bookmarkStart w:id="150" w:name="_Toc19686837"/>
      <w:r>
        <w:rPr>
          <w:rFonts w:hint="eastAsia" w:ascii="宋体" w:hAnsi="宋体"/>
          <w:b/>
          <w:bCs/>
          <w:color w:val="000000" w:themeColor="text1"/>
          <w:sz w:val="28"/>
          <w:szCs w:val="28"/>
          <w:highlight w:val="none"/>
          <w14:textFill>
            <w14:solidFill>
              <w14:schemeClr w14:val="tx1"/>
            </w14:solidFill>
          </w14:textFill>
        </w:rPr>
        <w:t>3、</w:t>
      </w:r>
      <w:r>
        <w:rPr>
          <w:rFonts w:hint="eastAsia" w:ascii="宋体" w:hAnsi="宋体"/>
          <w:b/>
          <w:bCs/>
          <w:color w:val="000000" w:themeColor="text1"/>
          <w:sz w:val="28"/>
          <w:szCs w:val="28"/>
          <w:highlight w:val="none"/>
          <w:lang w:eastAsia="zh-CN"/>
          <w14:textFill>
            <w14:solidFill>
              <w14:schemeClr w14:val="tx1"/>
            </w14:solidFill>
          </w14:textFill>
        </w:rPr>
        <w:t>资格文件</w:t>
      </w:r>
      <w:r>
        <w:rPr>
          <w:rFonts w:hint="eastAsia" w:ascii="宋体" w:hAnsi="宋体"/>
          <w:b/>
          <w:bCs/>
          <w:color w:val="000000" w:themeColor="text1"/>
          <w:sz w:val="28"/>
          <w:szCs w:val="28"/>
          <w:highlight w:val="none"/>
          <w14:textFill>
            <w14:solidFill>
              <w14:schemeClr w14:val="tx1"/>
            </w14:solidFill>
          </w14:textFill>
        </w:rPr>
        <w:t>格式</w:t>
      </w:r>
      <w:bookmarkEnd w:id="150"/>
    </w:p>
    <w:p>
      <w:pPr>
        <w:snapToGrid w:val="0"/>
        <w:spacing w:before="120" w:beforeLines="50" w:after="50" w:line="360" w:lineRule="auto"/>
        <w:rPr>
          <w:rFonts w:ascii="宋体" w:hAnsi="宋体"/>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3.1.</w:t>
      </w:r>
      <w:r>
        <w:rPr>
          <w:rFonts w:hint="eastAsia" w:ascii="宋体" w:hAnsi="宋体"/>
          <w:b/>
          <w:bCs/>
          <w:color w:val="000000" w:themeColor="text1"/>
          <w:szCs w:val="21"/>
          <w:highlight w:val="none"/>
          <w:lang w:eastAsia="zh-CN"/>
          <w14:textFill>
            <w14:solidFill>
              <w14:schemeClr w14:val="tx1"/>
            </w14:solidFill>
          </w14:textFill>
        </w:rPr>
        <w:t>资格文件</w:t>
      </w:r>
      <w:r>
        <w:rPr>
          <w:rFonts w:hint="eastAsia" w:ascii="宋体" w:hAnsi="宋体"/>
          <w:b/>
          <w:bCs/>
          <w:color w:val="000000" w:themeColor="text1"/>
          <w:szCs w:val="21"/>
          <w:highlight w:val="none"/>
          <w14:textFill>
            <w14:solidFill>
              <w14:schemeClr w14:val="tx1"/>
            </w14:solidFill>
          </w14:textFill>
        </w:rPr>
        <w:t>目录</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根据招标文件规定及投标人提供的材料自行编写目录。</w:t>
      </w:r>
    </w:p>
    <w:p>
      <w:pPr>
        <w:snapToGrid w:val="0"/>
        <w:spacing w:before="50" w:after="120" w:afterLines="50"/>
        <w:jc w:val="left"/>
        <w:rPr>
          <w:rFonts w:ascii="宋体" w:hAnsi="宋体"/>
          <w:color w:val="000000" w:themeColor="text1"/>
          <w:sz w:val="24"/>
          <w:highlight w:val="none"/>
          <w14:textFill>
            <w14:solidFill>
              <w14:schemeClr w14:val="tx1"/>
            </w14:solidFill>
          </w14:textFill>
        </w:rPr>
      </w:pPr>
    </w:p>
    <w:p>
      <w:pPr>
        <w:snapToGrid w:val="0"/>
        <w:spacing w:before="50" w:after="120" w:afterLines="50"/>
        <w:jc w:val="left"/>
        <w:rPr>
          <w:rFonts w:ascii="宋体" w:hAnsi="宋体"/>
          <w:color w:val="000000" w:themeColor="text1"/>
          <w:sz w:val="24"/>
          <w:highlight w:val="none"/>
          <w14:textFill>
            <w14:solidFill>
              <w14:schemeClr w14:val="tx1"/>
            </w14:solidFill>
          </w14:textFill>
        </w:rPr>
      </w:pPr>
    </w:p>
    <w:p>
      <w:pPr>
        <w:snapToGrid w:val="0"/>
        <w:spacing w:before="120" w:beforeLines="50" w:after="5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ascii="宋体" w:hAnsi="宋体"/>
          <w:b/>
          <w:color w:val="000000" w:themeColor="text1"/>
          <w:szCs w:val="21"/>
          <w:highlight w:val="none"/>
          <w14:textFill>
            <w14:solidFill>
              <w14:schemeClr w14:val="tx1"/>
            </w14:solidFill>
          </w14:textFill>
        </w:rPr>
        <w:t>3.2</w:t>
      </w:r>
      <w:r>
        <w:rPr>
          <w:rFonts w:hint="eastAsia" w:ascii="宋体" w:hAnsi="宋体"/>
          <w:b/>
          <w:color w:val="000000" w:themeColor="text1"/>
          <w:szCs w:val="21"/>
          <w:highlight w:val="none"/>
          <w14:textFill>
            <w14:solidFill>
              <w14:schemeClr w14:val="tx1"/>
            </w14:solidFill>
          </w14:textFill>
        </w:rPr>
        <w:t>投标声明书</w:t>
      </w:r>
    </w:p>
    <w:p>
      <w:pPr>
        <w:snapToGrid w:val="0"/>
        <w:spacing w:before="50" w:after="120" w:afterLines="50"/>
        <w:jc w:val="left"/>
        <w:rPr>
          <w:rFonts w:ascii="宋体" w:hAnsi="宋体"/>
          <w:color w:val="000000" w:themeColor="text1"/>
          <w:highlight w:val="none"/>
          <w14:textFill>
            <w14:solidFill>
              <w14:schemeClr w14:val="tx1"/>
            </w14:solidFill>
          </w14:textFill>
        </w:rPr>
      </w:pPr>
    </w:p>
    <w:p>
      <w:pPr>
        <w:snapToGrid w:val="0"/>
        <w:spacing w:before="50" w:after="120" w:afterLines="50" w:line="400" w:lineRule="exact"/>
        <w:jc w:val="center"/>
        <w:rPr>
          <w:rFonts w:ascii="宋体" w:hAnsi="宋体" w:cs="宋体"/>
          <w:b/>
          <w:color w:val="000000" w:themeColor="text1"/>
          <w:szCs w:val="21"/>
          <w:highlight w:val="none"/>
          <w14:textFill>
            <w14:solidFill>
              <w14:schemeClr w14:val="tx1"/>
            </w14:solidFill>
          </w14:textFill>
        </w:rPr>
      </w:pPr>
      <w:bookmarkStart w:id="151" w:name="_Toc19686838"/>
      <w:r>
        <w:rPr>
          <w:rFonts w:hint="eastAsia" w:ascii="宋体" w:hAnsi="宋体" w:cs="宋体"/>
          <w:b/>
          <w:color w:val="000000" w:themeColor="text1"/>
          <w:szCs w:val="21"/>
          <w:highlight w:val="none"/>
          <w14:textFill>
            <w14:solidFill>
              <w14:schemeClr w14:val="tx1"/>
            </w14:solidFill>
          </w14:textFill>
        </w:rPr>
        <w:t>投标声明书</w:t>
      </w:r>
    </w:p>
    <w:p>
      <w:pPr>
        <w:snapToGrid w:val="0"/>
        <w:spacing w:before="120" w:beforeLines="50" w:after="50" w:line="360" w:lineRule="exact"/>
        <w:jc w:val="center"/>
        <w:rPr>
          <w:rFonts w:ascii="宋体" w:hAnsi="宋体" w:cs="宋体"/>
          <w:color w:val="000000" w:themeColor="text1"/>
          <w:szCs w:val="21"/>
          <w:highlight w:val="none"/>
          <w14:textFill>
            <w14:solidFill>
              <w14:schemeClr w14:val="tx1"/>
            </w14:solidFill>
          </w14:textFill>
        </w:rPr>
      </w:pPr>
    </w:p>
    <w:p>
      <w:pPr>
        <w:snapToGrid w:val="0"/>
        <w:spacing w:before="120" w:beforeLines="50" w:after="50"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（招标采购单位名称）：</w:t>
      </w:r>
    </w:p>
    <w:p>
      <w:pPr>
        <w:snapToGrid w:val="0"/>
        <w:spacing w:before="120" w:beforeLines="50" w:after="50" w:line="36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（投标人名称）系中华人民共和国合法企业，经营地址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napToGrid w:val="0"/>
        <w:spacing w:before="120" w:beforeLines="50" w:after="50" w:line="360" w:lineRule="exact"/>
        <w:ind w:firstLine="64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投标人名称）的法定代表人(负责人），我方愿意参加贵方组织的_____ 项目的投标，为便于贵方公正、择优地确定中标人及其投标产品和服务，我方就本次投标有关事项郑重声明如下：</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1.我方向贵方提交的所有投标文件、资料都是准确的和真实的。</w:t>
      </w:r>
    </w:p>
    <w:p>
      <w:pPr>
        <w:snapToGrid w:val="0"/>
        <w:spacing w:before="120" w:beforeLines="50"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before="120" w:beforeLines="50"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3.我方诚意提请贵方关注：近期有关该服务产品的服务内容方面的重大决策和事项有：</w:t>
      </w:r>
    </w:p>
    <w:p>
      <w:pPr>
        <w:snapToGrid w:val="0"/>
        <w:spacing w:before="120" w:beforeLines="50" w:line="36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w:t>
      </w:r>
    </w:p>
    <w:p>
      <w:pPr>
        <w:snapToGrid w:val="0"/>
        <w:spacing w:before="120" w:beforeLines="50"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w:t>
      </w:r>
    </w:p>
    <w:p>
      <w:pPr>
        <w:pStyle w:val="21"/>
        <w:snapToGrid w:val="0"/>
        <w:spacing w:line="360" w:lineRule="exact"/>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4.我方及由本人担任法定代表人(负责人）的其他机构最近三年内被通报或者被处罚的违法行为有：</w:t>
      </w:r>
    </w:p>
    <w:p>
      <w:pPr>
        <w:snapToGrid w:val="0"/>
        <w:spacing w:before="120" w:beforeLines="50" w:line="36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w:t>
      </w:r>
    </w:p>
    <w:p>
      <w:pPr>
        <w:snapToGrid w:val="0"/>
        <w:spacing w:before="120" w:beforeLines="50" w:line="36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5.以上事项如有虚假或隐瞒，我方愿意承担一切后果，并不再寻求任何旨在减轻或免除法律责任的辩解。</w:t>
      </w:r>
    </w:p>
    <w:p>
      <w:pPr>
        <w:pStyle w:val="23"/>
        <w:tabs>
          <w:tab w:val="left" w:pos="939"/>
        </w:tabs>
        <w:snapToGrid w:val="0"/>
        <w:spacing w:line="360" w:lineRule="exact"/>
        <w:ind w:left="716" w:leftChars="150" w:hanging="401" w:hangingChars="191"/>
        <w:rPr>
          <w:rFonts w:ascii="宋体" w:hAnsi="宋体" w:cs="宋体"/>
          <w:color w:val="000000" w:themeColor="text1"/>
          <w:sz w:val="21"/>
          <w:szCs w:val="21"/>
          <w:highlight w:val="none"/>
          <w14:textFill>
            <w14:solidFill>
              <w14:schemeClr w14:val="tx1"/>
            </w14:solidFill>
          </w14:textFill>
        </w:rPr>
      </w:pPr>
    </w:p>
    <w:p>
      <w:pPr>
        <w:pStyle w:val="114"/>
        <w:snapToGrid w:val="0"/>
        <w:spacing w:before="120" w:beforeLines="50" w:line="360" w:lineRule="exact"/>
        <w:ind w:firstLine="200"/>
        <w:rPr>
          <w:rFonts w:ascii="宋体" w:hAnsi="宋体" w:cs="宋体"/>
          <w:color w:val="000000" w:themeColor="text1"/>
          <w:sz w:val="21"/>
          <w:szCs w:val="21"/>
          <w:highlight w:val="none"/>
          <w14:textFill>
            <w14:solidFill>
              <w14:schemeClr w14:val="tx1"/>
            </w14:solidFill>
          </w14:textFill>
        </w:rPr>
      </w:pPr>
    </w:p>
    <w:p>
      <w:pPr>
        <w:snapToGrid w:val="0"/>
        <w:spacing w:before="120" w:beforeLines="50" w:line="360" w:lineRule="exact"/>
        <w:ind w:firstLine="3509" w:firstLineChars="1671"/>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法定代表人(负责人）签字：</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before="120" w:beforeLines="50" w:after="50" w:line="360" w:lineRule="exact"/>
        <w:ind w:firstLine="3570" w:firstLineChars="17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投标人公章：</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before="120" w:beforeLines="50" w:after="50" w:line="36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pPr>
        <w:snapToGrid w:val="0"/>
        <w:spacing w:before="50" w:after="120" w:afterLines="50" w:line="440" w:lineRule="exact"/>
        <w:jc w:val="left"/>
        <w:rPr>
          <w:rFonts w:ascii="宋体" w:hAnsi="宋体" w:cs="宋体"/>
          <w:b/>
          <w:color w:val="000000" w:themeColor="text1"/>
          <w:szCs w:val="21"/>
          <w:highlight w:val="none"/>
          <w14:textFill>
            <w14:solidFill>
              <w14:schemeClr w14:val="tx1"/>
            </w14:solidFill>
          </w14:textFill>
        </w:rPr>
      </w:pPr>
    </w:p>
    <w:p>
      <w:pPr>
        <w:snapToGrid w:val="0"/>
        <w:spacing w:before="50" w:after="120" w:afterLines="50" w:line="440" w:lineRule="exact"/>
        <w:jc w:val="left"/>
        <w:rPr>
          <w:rFonts w:ascii="宋体" w:hAnsi="宋体" w:cs="宋体"/>
          <w:b/>
          <w:color w:val="000000" w:themeColor="text1"/>
          <w:szCs w:val="21"/>
          <w:highlight w:val="none"/>
          <w14:textFill>
            <w14:solidFill>
              <w14:schemeClr w14:val="tx1"/>
            </w14:solidFill>
          </w14:textFill>
        </w:rPr>
      </w:pPr>
    </w:p>
    <w:p>
      <w:pPr>
        <w:snapToGrid w:val="0"/>
        <w:spacing w:before="50" w:after="120" w:afterLines="50" w:line="440" w:lineRule="exact"/>
        <w:jc w:val="left"/>
        <w:rPr>
          <w:rFonts w:ascii="宋体" w:hAnsi="宋体" w:cs="宋体"/>
          <w:b/>
          <w:color w:val="000000" w:themeColor="text1"/>
          <w:szCs w:val="21"/>
          <w:highlight w:val="none"/>
          <w14:textFill>
            <w14:solidFill>
              <w14:schemeClr w14:val="tx1"/>
            </w14:solidFill>
          </w14:textFill>
        </w:rPr>
      </w:pPr>
    </w:p>
    <w:p>
      <w:pPr>
        <w:widowControl/>
        <w:jc w:val="left"/>
        <w:rPr>
          <w:bCs/>
          <w:color w:val="000000" w:themeColor="text1"/>
          <w:spacing w:val="10"/>
          <w:kern w:val="0"/>
          <w:sz w:val="24"/>
          <w:highlight w:val="none"/>
          <w14:textFill>
            <w14:solidFill>
              <w14:schemeClr w14:val="tx1"/>
            </w14:solidFill>
          </w14:textFill>
        </w:rPr>
      </w:pPr>
    </w:p>
    <w:p>
      <w:pPr>
        <w:snapToGrid w:val="0"/>
        <w:spacing w:before="50" w:after="120" w:afterLines="50" w:line="440" w:lineRule="exact"/>
        <w:rPr>
          <w:rFonts w:ascii="宋体" w:hAnsi="宋体" w:cs="宋体"/>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3</w:t>
      </w:r>
      <w:r>
        <w:rPr>
          <w:rFonts w:ascii="宋体" w:hAnsi="宋体" w:cs="宋体"/>
          <w:b/>
          <w:color w:val="000000" w:themeColor="text1"/>
          <w:szCs w:val="21"/>
          <w:highlight w:val="none"/>
          <w14:textFill>
            <w14:solidFill>
              <w14:schemeClr w14:val="tx1"/>
            </w14:solidFill>
          </w14:textFill>
        </w:rPr>
        <w:t>.3</w:t>
      </w:r>
      <w:bookmarkStart w:id="152" w:name="_Hlk79604757"/>
      <w:r>
        <w:rPr>
          <w:rFonts w:hint="eastAsia" w:ascii="宋体" w:hAnsi="宋体" w:cs="宋体"/>
          <w:b/>
          <w:color w:val="000000" w:themeColor="text1"/>
          <w:szCs w:val="21"/>
          <w:highlight w:val="none"/>
          <w14:textFill>
            <w14:solidFill>
              <w14:schemeClr w14:val="tx1"/>
            </w14:solidFill>
          </w14:textFill>
        </w:rPr>
        <w:t>法定代表人身份证明；</w:t>
      </w:r>
      <w:bookmarkEnd w:id="152"/>
    </w:p>
    <w:p>
      <w:pPr>
        <w:spacing w:before="240" w:beforeLines="100" w:after="120" w:afterLines="50"/>
        <w:ind w:left="540"/>
        <w:jc w:val="center"/>
        <w:rPr>
          <w:rFonts w:ascii="宋体" w:hAnsi="Courier New"/>
          <w:b/>
          <w:color w:val="000000" w:themeColor="text1"/>
          <w:szCs w:val="21"/>
          <w:highlight w:val="none"/>
          <w14:textFill>
            <w14:solidFill>
              <w14:schemeClr w14:val="tx1"/>
            </w14:solidFill>
          </w14:textFill>
        </w:rPr>
      </w:pPr>
    </w:p>
    <w:p>
      <w:pPr>
        <w:spacing w:before="240" w:beforeLines="100" w:after="120" w:afterLines="50"/>
        <w:ind w:left="540"/>
        <w:jc w:val="center"/>
        <w:rPr>
          <w:rFonts w:ascii="黑体" w:hAnsi="宋体" w:eastAsia="黑体"/>
          <w:color w:val="000000" w:themeColor="text1"/>
          <w:szCs w:val="21"/>
          <w:highlight w:val="none"/>
          <w14:textFill>
            <w14:solidFill>
              <w14:schemeClr w14:val="tx1"/>
            </w14:solidFill>
          </w14:textFill>
        </w:rPr>
      </w:pPr>
      <w:r>
        <w:rPr>
          <w:rFonts w:hint="eastAsia" w:ascii="宋体" w:hAnsi="Courier New"/>
          <w:b/>
          <w:color w:val="000000" w:themeColor="text1"/>
          <w:szCs w:val="21"/>
          <w:highlight w:val="none"/>
          <w14:textFill>
            <w14:solidFill>
              <w14:schemeClr w14:val="tx1"/>
            </w14:solidFill>
          </w14:textFill>
        </w:rPr>
        <w:t>法定代表人身份证明</w:t>
      </w:r>
    </w:p>
    <w:p>
      <w:pPr>
        <w:spacing w:line="50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 标 人：</w:t>
      </w:r>
      <w:r>
        <w:rPr>
          <w:rFonts w:hint="eastAsia" w:ascii="宋体" w:hAnsi="宋体"/>
          <w:color w:val="000000" w:themeColor="text1"/>
          <w:szCs w:val="21"/>
          <w:highlight w:val="none"/>
          <w:u w:val="single"/>
          <w14:textFill>
            <w14:solidFill>
              <w14:schemeClr w14:val="tx1"/>
            </w14:solidFill>
          </w14:textFill>
        </w:rPr>
        <w:t xml:space="preserve">                                                        </w:t>
      </w:r>
    </w:p>
    <w:p>
      <w:pPr>
        <w:spacing w:line="50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pPr>
        <w:spacing w:line="50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    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性      别：</w:t>
      </w:r>
      <w:r>
        <w:rPr>
          <w:rFonts w:hint="eastAsia" w:ascii="宋体" w:hAnsi="宋体"/>
          <w:color w:val="000000" w:themeColor="text1"/>
          <w:szCs w:val="21"/>
          <w:highlight w:val="none"/>
          <w:u w:val="single"/>
          <w14:textFill>
            <w14:solidFill>
              <w14:schemeClr w14:val="tx1"/>
            </w14:solidFill>
          </w14:textFill>
        </w:rPr>
        <w:t xml:space="preserve">                </w:t>
      </w:r>
    </w:p>
    <w:p>
      <w:pPr>
        <w:spacing w:line="500" w:lineRule="exact"/>
        <w:ind w:left="54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职      务：</w:t>
      </w:r>
      <w:r>
        <w:rPr>
          <w:rFonts w:hint="eastAsia" w:ascii="宋体" w:hAnsi="宋体"/>
          <w:color w:val="000000" w:themeColor="text1"/>
          <w:szCs w:val="21"/>
          <w:highlight w:val="none"/>
          <w:u w:val="single"/>
          <w14:textFill>
            <w14:solidFill>
              <w14:schemeClr w14:val="tx1"/>
            </w14:solidFill>
          </w14:textFill>
        </w:rPr>
        <w:t xml:space="preserve">                </w:t>
      </w:r>
    </w:p>
    <w:p>
      <w:pPr>
        <w:spacing w:line="50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w:t>
      </w:r>
      <w:r>
        <w:rPr>
          <w:rFonts w:hint="eastAsia"/>
          <w:color w:val="000000" w:themeColor="text1"/>
          <w:szCs w:val="21"/>
          <w:highlight w:val="none"/>
          <w14:textFill>
            <w14:solidFill>
              <w14:schemeClr w14:val="tx1"/>
            </w14:solidFill>
          </w14:textFill>
        </w:rPr>
        <w:t>号码：</w:t>
      </w:r>
      <w:r>
        <w:rPr>
          <w:rFonts w:hint="eastAsia"/>
          <w:color w:val="000000" w:themeColor="text1"/>
          <w:szCs w:val="21"/>
          <w:highlight w:val="none"/>
          <w:u w:val="single"/>
          <w14:textFill>
            <w14:solidFill>
              <w14:schemeClr w14:val="tx1"/>
            </w14:solidFill>
          </w14:textFill>
        </w:rPr>
        <w:t xml:space="preserve">                                 </w:t>
      </w:r>
    </w:p>
    <w:p>
      <w:pPr>
        <w:spacing w:line="50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系</w:t>
      </w:r>
      <w:r>
        <w:rPr>
          <w:rFonts w:hint="eastAsia" w:ascii="宋体" w:hAnsi="宋体"/>
          <w:color w:val="000000" w:themeColor="text1"/>
          <w:szCs w:val="21"/>
          <w:highlight w:val="none"/>
          <w:u w:val="single"/>
          <w14:textFill>
            <w14:solidFill>
              <w14:schemeClr w14:val="tx1"/>
            </w14:solidFill>
          </w14:textFill>
        </w:rPr>
        <w:t xml:space="preserve">            （投标人名称）              </w:t>
      </w:r>
      <w:r>
        <w:rPr>
          <w:rFonts w:hint="eastAsia" w:ascii="宋体" w:hAnsi="宋体"/>
          <w:color w:val="000000" w:themeColor="text1"/>
          <w:szCs w:val="21"/>
          <w:highlight w:val="none"/>
          <w14:textFill>
            <w14:solidFill>
              <w14:schemeClr w14:val="tx1"/>
            </w14:solidFill>
          </w14:textFill>
        </w:rPr>
        <w:t>的法定代表人。</w:t>
      </w:r>
    </w:p>
    <w:p>
      <w:pPr>
        <w:spacing w:line="50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特此证明。</w:t>
      </w:r>
    </w:p>
    <w:p>
      <w:pPr>
        <w:spacing w:line="500" w:lineRule="exact"/>
        <w:ind w:left="540"/>
        <w:rPr>
          <w:rFonts w:ascii="宋体" w:hAnsi="宋体"/>
          <w:color w:val="000000" w:themeColor="text1"/>
          <w:szCs w:val="21"/>
          <w:highlight w:val="none"/>
          <w14:textFill>
            <w14:solidFill>
              <w14:schemeClr w14:val="tx1"/>
            </w14:solidFill>
          </w14:textFill>
        </w:rPr>
      </w:pPr>
    </w:p>
    <w:p>
      <w:pPr>
        <w:spacing w:line="500" w:lineRule="exact"/>
        <w:ind w:left="540"/>
        <w:rPr>
          <w:rFonts w:ascii="宋体" w:hAnsi="宋体"/>
          <w:color w:val="000000" w:themeColor="text1"/>
          <w:szCs w:val="21"/>
          <w:highlight w:val="none"/>
          <w14:textFill>
            <w14:solidFill>
              <w14:schemeClr w14:val="tx1"/>
            </w14:solidFill>
          </w14:textFill>
        </w:rPr>
      </w:pPr>
    </w:p>
    <w:p>
      <w:pPr>
        <w:spacing w:line="500" w:lineRule="exact"/>
        <w:ind w:left="54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附件：法定代表人有效身份证正反面复印件</w:t>
      </w:r>
    </w:p>
    <w:p>
      <w:pPr>
        <w:spacing w:line="500" w:lineRule="exact"/>
        <w:ind w:left="540"/>
        <w:rPr>
          <w:rFonts w:ascii="宋体" w:hAnsi="宋体"/>
          <w:color w:val="000000" w:themeColor="text1"/>
          <w:szCs w:val="21"/>
          <w:highlight w:val="none"/>
          <w14:textFill>
            <w14:solidFill>
              <w14:schemeClr w14:val="tx1"/>
            </w14:solidFill>
          </w14:textFill>
        </w:rPr>
      </w:pPr>
    </w:p>
    <w:p>
      <w:pPr>
        <w:spacing w:line="500" w:lineRule="exact"/>
        <w:ind w:left="54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投标人名称（公章）</w:t>
      </w:r>
    </w:p>
    <w:p>
      <w:pPr>
        <w:spacing w:line="500" w:lineRule="exact"/>
        <w:ind w:left="540"/>
        <w:jc w:val="right"/>
        <w:rPr>
          <w:rFonts w:ascii="宋体" w:hAnsi="宋体"/>
          <w:color w:val="000000" w:themeColor="text1"/>
          <w:szCs w:val="21"/>
          <w:highlight w:val="none"/>
          <w14:textFill>
            <w14:solidFill>
              <w14:schemeClr w14:val="tx1"/>
            </w14:solidFill>
          </w14:textFill>
        </w:rPr>
      </w:pPr>
    </w:p>
    <w:p>
      <w:pPr>
        <w:snapToGrid w:val="0"/>
        <w:spacing w:before="120" w:beforeLines="50" w:after="50"/>
        <w:ind w:left="54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napToGrid w:val="0"/>
        <w:spacing w:before="120" w:beforeLines="50" w:after="50"/>
        <w:jc w:val="center"/>
        <w:rPr>
          <w:rFonts w:ascii="宋体" w:hAnsi="宋体"/>
          <w:b/>
          <w:color w:val="000000" w:themeColor="text1"/>
          <w:szCs w:val="21"/>
          <w:highlight w:val="none"/>
          <w14:textFill>
            <w14:solidFill>
              <w14:schemeClr w14:val="tx1"/>
            </w14:solidFill>
          </w14:textFill>
        </w:rPr>
      </w:pPr>
    </w:p>
    <w:p>
      <w:pPr>
        <w:snapToGrid w:val="0"/>
        <w:spacing w:before="120" w:beforeLines="50" w:after="50"/>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注：自然人投标的无需提供</w:t>
      </w:r>
    </w:p>
    <w:p>
      <w:pPr>
        <w:pStyle w:val="2"/>
        <w:rPr>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snapToGrid w:val="0"/>
        <w:spacing w:before="120" w:beforeLines="50" w:after="50" w:line="440" w:lineRule="exact"/>
        <w:jc w:val="center"/>
        <w:rPr>
          <w:rFonts w:ascii="宋体" w:hAnsi="宋体" w:cs="宋体"/>
          <w:color w:val="000000" w:themeColor="text1"/>
          <w:szCs w:val="21"/>
          <w:highlight w:val="none"/>
          <w14:textFill>
            <w14:solidFill>
              <w14:schemeClr w14:val="tx1"/>
            </w14:solidFill>
          </w14:textFill>
        </w:rPr>
      </w:pPr>
    </w:p>
    <w:p>
      <w:pPr>
        <w:snapToGrid w:val="0"/>
        <w:spacing w:before="120" w:beforeLines="50" w:after="5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3.4</w:t>
      </w:r>
      <w:r>
        <w:rPr>
          <w:rFonts w:hint="eastAsia" w:ascii="宋体" w:hAnsi="宋体"/>
          <w:b/>
          <w:color w:val="000000" w:themeColor="text1"/>
          <w:szCs w:val="21"/>
          <w:highlight w:val="none"/>
          <w14:textFill>
            <w14:solidFill>
              <w14:schemeClr w14:val="tx1"/>
            </w14:solidFill>
          </w14:textFill>
        </w:rPr>
        <w:t>授权委托书格式</w:t>
      </w:r>
    </w:p>
    <w:p>
      <w:pPr>
        <w:snapToGrid w:val="0"/>
        <w:spacing w:before="120" w:beforeLines="50" w:after="50"/>
        <w:jc w:val="center"/>
        <w:rPr>
          <w:rFonts w:ascii="宋体" w:hAnsi="宋体"/>
          <w:b/>
          <w:color w:val="000000" w:themeColor="text1"/>
          <w:sz w:val="44"/>
          <w:szCs w:val="44"/>
          <w:highlight w:val="none"/>
          <w14:textFill>
            <w14:solidFill>
              <w14:schemeClr w14:val="tx1"/>
            </w14:solidFill>
          </w14:textFill>
        </w:rPr>
      </w:pPr>
    </w:p>
    <w:p>
      <w:pPr>
        <w:snapToGrid w:val="0"/>
        <w:spacing w:before="120" w:beforeLines="50" w:after="5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授权委托书</w:t>
      </w:r>
    </w:p>
    <w:p>
      <w:pPr>
        <w:snapToGrid w:val="0"/>
        <w:spacing w:before="120" w:beforeLines="50" w:after="5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（非联合体投标格式）</w:t>
      </w:r>
    </w:p>
    <w:p>
      <w:pPr>
        <w:snapToGrid w:val="0"/>
        <w:spacing w:before="120" w:beforeLines="50" w:after="5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（如有委托时）</w:t>
      </w:r>
    </w:p>
    <w:p>
      <w:pPr>
        <w:snapToGrid w:val="0"/>
        <w:spacing w:before="120" w:beforeLines="50" w:after="50"/>
        <w:jc w:val="center"/>
        <w:rPr>
          <w:rFonts w:ascii="宋体" w:hAnsi="宋体"/>
          <w:b/>
          <w:color w:val="000000" w:themeColor="text1"/>
          <w:szCs w:val="21"/>
          <w:highlight w:val="none"/>
          <w14:textFill>
            <w14:solidFill>
              <w14:schemeClr w14:val="tx1"/>
            </w14:solidFill>
          </w14:textFill>
        </w:rPr>
      </w:pPr>
    </w:p>
    <w:p>
      <w:pPr>
        <w:spacing w:line="360" w:lineRule="auto"/>
        <w:contextualSpacing/>
        <w:rPr>
          <w:rFonts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采购人名称</w:t>
      </w:r>
      <w:r>
        <w:rPr>
          <w:rFonts w:hint="eastAsia" w:ascii="宋体" w:hAnsi="宋体"/>
          <w:color w:val="000000" w:themeColor="text1"/>
          <w:szCs w:val="21"/>
          <w:highlight w:val="none"/>
          <w14:textFill>
            <w14:solidFill>
              <w14:schemeClr w14:val="tx1"/>
            </w14:solidFill>
          </w14:textFill>
        </w:rPr>
        <w:t>：</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（姓名）系</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（投标人名称）的</w:t>
      </w:r>
      <w:r>
        <w:rPr>
          <w:rFonts w:hint="eastAsia" w:ascii="宋体" w:hAnsi="宋体" w:cs="仿宋_GB2312"/>
          <w:color w:val="000000" w:themeColor="text1"/>
          <w:szCs w:val="21"/>
          <w:highlight w:val="none"/>
          <w14:textFill>
            <w14:solidFill>
              <w14:schemeClr w14:val="tx1"/>
            </w14:solidFill>
          </w14:textFill>
        </w:rPr>
        <w:t>（</w:t>
      </w:r>
      <w:r>
        <w:rPr>
          <w:rFonts w:hint="eastAsia" w:ascii="宋体" w:hAnsi="宋体" w:cs="仿宋_GB2312"/>
          <w:color w:val="000000" w:themeColor="text1"/>
          <w:szCs w:val="21"/>
          <w:highlight w:val="none"/>
          <w:u w:val="single"/>
          <w14:textFill>
            <w14:solidFill>
              <w14:schemeClr w14:val="tx1"/>
            </w14:solidFill>
          </w14:textFill>
        </w:rPr>
        <w:t>□法定代表人/□负责人/□自然人本人</w:t>
      </w:r>
      <w:r>
        <w:rPr>
          <w:rFonts w:hint="eastAsia" w:ascii="宋体" w:hAnsi="宋体" w:cs="仿宋_GB231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，现授权委托</w:t>
      </w:r>
      <w:r>
        <w:rPr>
          <w:rFonts w:hint="eastAsia" w:ascii="宋体" w:hAnsi="宋体"/>
          <w:color w:val="000000" w:themeColor="text1"/>
          <w:szCs w:val="21"/>
          <w:highlight w:val="none"/>
          <w:u w:val="single"/>
          <w14:textFill>
            <w14:solidFill>
              <w14:schemeClr w14:val="tx1"/>
            </w14:solidFill>
          </w14:textFill>
        </w:rPr>
        <w:t xml:space="preserve">              （姓名）</w:t>
      </w:r>
      <w:r>
        <w:rPr>
          <w:rFonts w:hint="eastAsia" w:ascii="宋体" w:hAnsi="宋体"/>
          <w:color w:val="000000" w:themeColor="text1"/>
          <w:szCs w:val="21"/>
          <w:highlight w:val="none"/>
          <w14:textFill>
            <w14:solidFill>
              <w14:schemeClr w14:val="tx1"/>
            </w14:solidFill>
          </w14:textFill>
        </w:rPr>
        <w:t>以我方的名义参加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项目的投标活动，并代表我方全权办理针对上述项目的所有采购程序和环节的具体事务和签署相关文件。</w:t>
      </w:r>
    </w:p>
    <w:p>
      <w:pPr>
        <w:spacing w:line="360" w:lineRule="auto"/>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我方对委托代理人的签字事项负全部责任。</w:t>
      </w:r>
    </w:p>
    <w:p>
      <w:pPr>
        <w:spacing w:line="360" w:lineRule="auto"/>
        <w:ind w:firstLine="48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委托代理人无转委托权，特此委托。</w:t>
      </w:r>
    </w:p>
    <w:p>
      <w:pPr>
        <w:spacing w:line="360" w:lineRule="auto"/>
        <w:ind w:firstLine="48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附：法定代表人身份证明及委托代理人有效身份证正反面复印件</w:t>
      </w:r>
    </w:p>
    <w:p>
      <w:pPr>
        <w:spacing w:line="360" w:lineRule="auto"/>
        <w:contextualSpacing/>
        <w:rPr>
          <w:rFonts w:ascii="宋体" w:hAnsi="宋体"/>
          <w:color w:val="000000" w:themeColor="text1"/>
          <w:szCs w:val="21"/>
          <w:highlight w:val="none"/>
          <w14:textFill>
            <w14:solidFill>
              <w14:schemeClr w14:val="tx1"/>
            </w14:solidFill>
          </w14:textFill>
        </w:rPr>
      </w:pPr>
    </w:p>
    <w:p>
      <w:pPr>
        <w:spacing w:line="360" w:lineRule="auto"/>
        <w:contextualSpacing/>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法定代表人（签字或盖章）：</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委托代理人身份证号码：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360" w:lineRule="auto"/>
        <w:contextualSpacing/>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投标人（盖公章）：</w:t>
      </w:r>
    </w:p>
    <w:p>
      <w:pPr>
        <w:spacing w:line="360" w:lineRule="auto"/>
        <w:contextualSpacing/>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年    月    日</w:t>
      </w:r>
    </w:p>
    <w:p>
      <w:pPr>
        <w:spacing w:line="360" w:lineRule="auto"/>
        <w:contextualSpacing/>
        <w:jc w:val="center"/>
        <w:rPr>
          <w:rFonts w:ascii="宋体" w:hAnsi="宋体"/>
          <w:color w:val="000000" w:themeColor="text1"/>
          <w:szCs w:val="21"/>
          <w:highlight w:val="none"/>
          <w14:textFill>
            <w14:solidFill>
              <w14:schemeClr w14:val="tx1"/>
            </w14:solidFill>
          </w14:textFill>
        </w:rPr>
      </w:pPr>
    </w:p>
    <w:p>
      <w:pPr>
        <w:spacing w:line="360" w:lineRule="auto"/>
        <w:contextualSpacing/>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注：1. 法定代表人必须在授权委托书上亲笔签字或盖章，委托代理人必须在授权委托书上亲笔签字，</w:t>
      </w:r>
      <w:r>
        <w:rPr>
          <w:rFonts w:hint="eastAsia" w:ascii="宋体" w:hAnsi="宋体" w:cs="仿宋_GB2312"/>
          <w:b/>
          <w:bCs/>
          <w:color w:val="000000" w:themeColor="text1"/>
          <w:szCs w:val="21"/>
          <w:highlight w:val="none"/>
          <w14:textFill>
            <w14:solidFill>
              <w14:schemeClr w14:val="tx1"/>
            </w14:solidFill>
          </w14:textFill>
        </w:rPr>
        <w:t>否则作无效投标处理</w:t>
      </w:r>
      <w:r>
        <w:rPr>
          <w:rFonts w:hint="eastAsia" w:ascii="宋体" w:hAnsi="宋体" w:cs="仿宋_GB2312"/>
          <w:color w:val="000000" w:themeColor="text1"/>
          <w:szCs w:val="21"/>
          <w:highlight w:val="none"/>
          <w14:textFill>
            <w14:solidFill>
              <w14:schemeClr w14:val="tx1"/>
            </w14:solidFill>
          </w14:textFill>
        </w:rPr>
        <w:t>；</w:t>
      </w:r>
    </w:p>
    <w:p>
      <w:pPr>
        <w:spacing w:line="360" w:lineRule="auto"/>
        <w:ind w:firstLine="420" w:firstLineChars="200"/>
        <w:contextualSpacing/>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20" w:firstLineChars="200"/>
        <w:contextualSpacing/>
        <w:jc w:val="left"/>
        <w:rPr>
          <w:rFonts w:ascii="宋体" w:hAnsi="宋体"/>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3.</w:t>
      </w:r>
      <w:r>
        <w:rPr>
          <w:rFonts w:hint="eastAsia" w:ascii="宋体" w:hAnsi="宋体" w:cs="仿宋_GB2312"/>
          <w:color w:val="000000" w:themeColor="text1"/>
          <w:szCs w:val="21"/>
          <w:highlight w:val="none"/>
          <w14:textFill>
            <w14:solidFill>
              <w14:schemeClr w14:val="tx1"/>
            </w14:solidFill>
          </w14:textFill>
        </w:rPr>
        <w:t>法人、其他组织投标时“我方”是指“我单位”，自然人投标时“我方”是指“本人”。</w:t>
      </w:r>
    </w:p>
    <w:p>
      <w:pPr>
        <w:snapToGrid w:val="0"/>
        <w:spacing w:before="120" w:beforeLines="50" w:after="50"/>
        <w:ind w:firstLine="495" w:firstLineChars="236"/>
        <w:jc w:val="center"/>
        <w:rPr>
          <w:rFonts w:ascii="宋体" w:hAns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Cs w:val="21"/>
          <w:highlight w:val="none"/>
          <w14:textFill>
            <w14:solidFill>
              <w14:schemeClr w14:val="tx1"/>
            </w14:solidFill>
          </w14:textFill>
        </w:rPr>
        <w:t>授权委托书</w:t>
      </w:r>
    </w:p>
    <w:p>
      <w:pPr>
        <w:snapToGrid w:val="0"/>
        <w:spacing w:before="120" w:beforeLines="50" w:after="50"/>
        <w:ind w:firstLine="498" w:firstLineChars="236"/>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（联合体投标格式）</w:t>
      </w:r>
    </w:p>
    <w:p>
      <w:pPr>
        <w:snapToGrid w:val="0"/>
        <w:spacing w:before="120" w:beforeLines="50" w:after="50"/>
        <w:ind w:firstLine="498" w:firstLineChars="236"/>
        <w:jc w:val="center"/>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（如有委托时）</w:t>
      </w:r>
    </w:p>
    <w:p>
      <w:pPr>
        <w:spacing w:line="360" w:lineRule="auto"/>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采购人名称</w:t>
      </w:r>
      <w:r>
        <w:rPr>
          <w:rFonts w:hint="eastAsia" w:ascii="宋体" w:hAnsi="宋体"/>
          <w:color w:val="000000" w:themeColor="text1"/>
          <w:szCs w:val="21"/>
          <w:highlight w:val="none"/>
          <w14:textFill>
            <w14:solidFill>
              <w14:schemeClr w14:val="tx1"/>
            </w14:solidFill>
          </w14:textFill>
        </w:rPr>
        <w:t>：</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根据 </w:t>
      </w:r>
      <w:r>
        <w:rPr>
          <w:rFonts w:hint="eastAsia" w:ascii="宋体" w:hAnsi="宋体"/>
          <w:color w:val="000000" w:themeColor="text1"/>
          <w:szCs w:val="21"/>
          <w:highlight w:val="none"/>
          <w:u w:val="single"/>
          <w14:textFill>
            <w14:solidFill>
              <w14:schemeClr w14:val="tx1"/>
            </w14:solidFill>
          </w14:textFill>
        </w:rPr>
        <w:t xml:space="preserve"> （牵头人名称）</w:t>
      </w:r>
      <w:r>
        <w:rPr>
          <w:rFonts w:hint="eastAsia" w:ascii="宋体" w:hAnsi="宋体"/>
          <w:color w:val="000000" w:themeColor="text1"/>
          <w:szCs w:val="21"/>
          <w:highlight w:val="none"/>
          <w14:textFill>
            <w14:solidFill>
              <w14:schemeClr w14:val="tx1"/>
            </w14:solidFill>
          </w14:textFill>
        </w:rPr>
        <w:t>与</w:t>
      </w:r>
      <w:r>
        <w:rPr>
          <w:rFonts w:hint="eastAsia" w:ascii="宋体" w:hAnsi="宋体"/>
          <w:color w:val="000000" w:themeColor="text1"/>
          <w:szCs w:val="21"/>
          <w:highlight w:val="none"/>
          <w:u w:val="single"/>
          <w14:textFill>
            <w14:solidFill>
              <w14:schemeClr w14:val="tx1"/>
            </w14:solidFill>
          </w14:textFill>
        </w:rPr>
        <w:t>（联合体其他成员名称）</w:t>
      </w:r>
      <w:r>
        <w:rPr>
          <w:rFonts w:hint="eastAsia" w:ascii="宋体" w:hAnsi="宋体"/>
          <w:color w:val="000000" w:themeColor="text1"/>
          <w:szCs w:val="21"/>
          <w:highlight w:val="none"/>
          <w14:textFill>
            <w14:solidFill>
              <w14:schemeClr w14:val="tx1"/>
            </w14:solidFill>
          </w14:textFill>
        </w:rPr>
        <w:t>签订的《联合体投标协议书》的内容，</w:t>
      </w:r>
      <w:r>
        <w:rPr>
          <w:rFonts w:hint="eastAsia" w:ascii="宋体" w:hAnsi="宋体"/>
          <w:color w:val="000000" w:themeColor="text1"/>
          <w:szCs w:val="21"/>
          <w:highlight w:val="none"/>
          <w:u w:val="single"/>
          <w14:textFill>
            <w14:solidFill>
              <w14:schemeClr w14:val="tx1"/>
            </w14:solidFill>
          </w14:textFill>
        </w:rPr>
        <w:t>（牵头人名称）</w:t>
      </w:r>
      <w:r>
        <w:rPr>
          <w:rFonts w:hint="eastAsia" w:ascii="宋体" w:hAnsi="宋体"/>
          <w:color w:val="000000" w:themeColor="text1"/>
          <w:szCs w:val="21"/>
          <w:highlight w:val="none"/>
          <w14:textFill>
            <w14:solidFill>
              <w14:schemeClr w14:val="tx1"/>
            </w14:solidFill>
          </w14:textFill>
        </w:rPr>
        <w:t>的法定代表人</w:t>
      </w:r>
      <w:r>
        <w:rPr>
          <w:rFonts w:hint="eastAsia" w:ascii="宋体" w:hAnsi="宋体"/>
          <w:color w:val="000000" w:themeColor="text1"/>
          <w:szCs w:val="21"/>
          <w:highlight w:val="none"/>
          <w:u w:val="single"/>
          <w14:textFill>
            <w14:solidFill>
              <w14:schemeClr w14:val="tx1"/>
            </w14:solidFill>
          </w14:textFill>
        </w:rPr>
        <w:t>（姓名）</w:t>
      </w:r>
      <w:r>
        <w:rPr>
          <w:rFonts w:hint="eastAsia" w:ascii="宋体" w:hAnsi="宋体"/>
          <w:color w:val="000000" w:themeColor="text1"/>
          <w:szCs w:val="21"/>
          <w:highlight w:val="none"/>
          <w14:textFill>
            <w14:solidFill>
              <w14:schemeClr w14:val="tx1"/>
            </w14:solidFill>
          </w14:textFill>
        </w:rPr>
        <w:t>现授权委托</w:t>
      </w:r>
      <w:r>
        <w:rPr>
          <w:rFonts w:hint="eastAsia" w:ascii="宋体" w:hAnsi="宋体"/>
          <w:color w:val="000000" w:themeColor="text1"/>
          <w:szCs w:val="21"/>
          <w:highlight w:val="none"/>
          <w:u w:val="single"/>
          <w14:textFill>
            <w14:solidFill>
              <w14:schemeClr w14:val="tx1"/>
            </w14:solidFill>
          </w14:textFill>
        </w:rPr>
        <w:t xml:space="preserve">              （姓名）</w:t>
      </w:r>
      <w:r>
        <w:rPr>
          <w:rFonts w:hint="eastAsia" w:ascii="宋体" w:hAnsi="宋体"/>
          <w:color w:val="000000" w:themeColor="text1"/>
          <w:szCs w:val="21"/>
          <w:highlight w:val="none"/>
          <w14:textFill>
            <w14:solidFill>
              <w14:schemeClr w14:val="tx1"/>
            </w14:solidFill>
          </w14:textFill>
        </w:rPr>
        <w:t>以我方的名义参加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项目的投标活动，并代表我方全权办理针对上述项目的所有采购程序和环节的具体事务和签署相关文件。</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我方对委托代理人的签字事项负全部责任。</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委托代理人无转委托权，特此委托。</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附：牵头人法定代表人身份证明及委托代理人有效身份证正反面复印件</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牵头人法定代表人（签字或盖章）：</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牵头人（盖公章）：</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被授权人（签字）：</w:t>
      </w:r>
    </w:p>
    <w:p>
      <w:pPr>
        <w:spacing w:line="360" w:lineRule="auto"/>
        <w:ind w:firstLine="495" w:firstLineChars="236"/>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pPr>
        <w:spacing w:line="360" w:lineRule="auto"/>
        <w:ind w:firstLine="495" w:firstLineChars="236"/>
        <w:contextualSpacing/>
        <w:rPr>
          <w:rFonts w:ascii="宋体" w:hAnsi="宋体" w:cs="仿宋_GB2312"/>
          <w:color w:val="000000" w:themeColor="text1"/>
          <w:szCs w:val="21"/>
          <w:highlight w:val="none"/>
          <w14:textFill>
            <w14:solidFill>
              <w14:schemeClr w14:val="tx1"/>
            </w14:solidFill>
          </w14:textFill>
        </w:rPr>
      </w:pPr>
    </w:p>
    <w:p>
      <w:pPr>
        <w:spacing w:line="360" w:lineRule="auto"/>
        <w:contextualSpacing/>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注：1. 法定代表人必须在授权委托书上亲笔签字或盖章，委托代理人必须在授权委托书上亲笔签字，</w:t>
      </w:r>
      <w:r>
        <w:rPr>
          <w:rFonts w:hint="eastAsia" w:ascii="宋体" w:hAnsi="宋体" w:cs="仿宋_GB2312"/>
          <w:b/>
          <w:bCs/>
          <w:color w:val="000000" w:themeColor="text1"/>
          <w:szCs w:val="21"/>
          <w:highlight w:val="none"/>
          <w14:textFill>
            <w14:solidFill>
              <w14:schemeClr w14:val="tx1"/>
            </w14:solidFill>
          </w14:textFill>
        </w:rPr>
        <w:t>否则作无效投标处理</w:t>
      </w:r>
      <w:r>
        <w:rPr>
          <w:rFonts w:hint="eastAsia" w:ascii="宋体" w:hAnsi="宋体" w:cs="仿宋_GB2312"/>
          <w:color w:val="000000" w:themeColor="text1"/>
          <w:szCs w:val="21"/>
          <w:highlight w:val="none"/>
          <w14:textFill>
            <w14:solidFill>
              <w14:schemeClr w14:val="tx1"/>
            </w14:solidFill>
          </w14:textFill>
        </w:rPr>
        <w:t>；</w:t>
      </w:r>
    </w:p>
    <w:p>
      <w:pPr>
        <w:spacing w:line="360" w:lineRule="auto"/>
        <w:ind w:firstLine="420" w:firstLineChars="200"/>
        <w:contextualSpacing/>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2.本授权委托书应由联合体牵头人的法定代表人按上述规定签字。</w:t>
      </w:r>
    </w:p>
    <w:p>
      <w:pPr>
        <w:spacing w:line="360" w:lineRule="auto"/>
        <w:ind w:firstLine="420" w:firstLineChars="200"/>
        <w:contextualSpacing/>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w:t>
      </w:r>
      <w:r>
        <w:rPr>
          <w:rFonts w:ascii="宋体" w:hAnsi="宋体" w:cs="仿宋_GB2312"/>
          <w:color w:val="000000" w:themeColor="text1"/>
          <w:szCs w:val="21"/>
          <w:highlight w:val="none"/>
          <w14:textFill>
            <w14:solidFill>
              <w14:schemeClr w14:val="tx1"/>
            </w14:solidFill>
          </w14:textFill>
        </w:rPr>
        <w:t>.</w:t>
      </w:r>
      <w:r>
        <w:rPr>
          <w:rFonts w:hint="eastAsia" w:ascii="宋体" w:hAnsi="宋体" w:cs="仿宋_GB2312"/>
          <w:color w:val="000000" w:themeColor="text1"/>
          <w:szCs w:val="21"/>
          <w:highlight w:val="none"/>
          <w14:textFill>
            <w14:solidFill>
              <w14:schemeClr w14:val="tx1"/>
            </w14:solidFill>
          </w14:textFill>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20" w:firstLineChars="200"/>
        <w:contextualSpacing/>
        <w:jc w:val="left"/>
        <w:rPr>
          <w:rFonts w:ascii="宋体" w:hAnsi="宋体"/>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4.</w:t>
      </w:r>
      <w:r>
        <w:rPr>
          <w:rFonts w:hint="eastAsia" w:ascii="宋体" w:hAnsi="宋体" w:cs="仿宋_GB2312"/>
          <w:color w:val="000000" w:themeColor="text1"/>
          <w:szCs w:val="21"/>
          <w:highlight w:val="none"/>
          <w14:textFill>
            <w14:solidFill>
              <w14:schemeClr w14:val="tx1"/>
            </w14:solidFill>
          </w14:textFill>
        </w:rPr>
        <w:t>法人、其他组织投标时“我方”是指“我单位”，自然人投标时“我方”是指“本人”。</w:t>
      </w:r>
    </w:p>
    <w:p>
      <w:pPr>
        <w:widowControl/>
        <w:jc w:val="left"/>
        <w:rPr>
          <w:bCs/>
          <w:color w:val="000000" w:themeColor="text1"/>
          <w:spacing w:val="10"/>
          <w:kern w:val="0"/>
          <w:sz w:val="24"/>
          <w:highlight w:val="none"/>
          <w14:textFill>
            <w14:solidFill>
              <w14:schemeClr w14:val="tx1"/>
            </w14:solidFill>
          </w14:textFill>
        </w:rPr>
      </w:pP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53" w:name="_Hlk79604762"/>
      <w:r>
        <w:rPr>
          <w:rFonts w:hint="eastAsia" w:ascii="宋体" w:hAnsi="宋体" w:cs="宋体"/>
          <w:b/>
          <w:bCs/>
          <w:color w:val="000000" w:themeColor="text1"/>
          <w:szCs w:val="21"/>
          <w:highlight w:val="none"/>
          <w14:textFill>
            <w14:solidFill>
              <w14:schemeClr w14:val="tx1"/>
            </w14:solidFill>
          </w14:textFill>
        </w:rPr>
        <w:t>3</w:t>
      </w:r>
      <w:r>
        <w:rPr>
          <w:rFonts w:ascii="宋体" w:hAnsi="宋体" w:cs="宋体"/>
          <w:b/>
          <w:bCs/>
          <w:color w:val="000000" w:themeColor="text1"/>
          <w:szCs w:val="21"/>
          <w:highlight w:val="none"/>
          <w14:textFill>
            <w14:solidFill>
              <w14:schemeClr w14:val="tx1"/>
            </w14:solidFill>
          </w14:textFill>
        </w:rPr>
        <w:t xml:space="preserve">.5 </w:t>
      </w:r>
      <w:r>
        <w:rPr>
          <w:rFonts w:hint="eastAsia" w:ascii="宋体" w:hAnsi="宋体" w:cs="宋体"/>
          <w:b/>
          <w:bCs/>
          <w:color w:val="000000" w:themeColor="text1"/>
          <w:szCs w:val="21"/>
          <w:highlight w:val="none"/>
          <w14:textFill>
            <w14:solidFill>
              <w14:schemeClr w14:val="tx1"/>
            </w14:solidFill>
          </w14:textFill>
        </w:rPr>
        <w:t xml:space="preserve">企业营业执照副本或事业单位法人证书副本复印件； </w:t>
      </w: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3.6</w:t>
      </w:r>
      <w:r>
        <w:rPr>
          <w:rFonts w:hint="eastAsia" w:ascii="宋体" w:hAnsi="宋体" w:cs="宋体"/>
          <w:b/>
          <w:bCs/>
          <w:color w:val="000000" w:themeColor="text1"/>
          <w:szCs w:val="21"/>
          <w:highlight w:val="none"/>
          <w14:textFill>
            <w14:solidFill>
              <w14:schemeClr w14:val="tx1"/>
            </w14:solidFill>
          </w14:textFill>
        </w:rPr>
        <w:t>依法缴纳税收的相关材料</w:t>
      </w: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r>
        <w:rPr>
          <w:rFonts w:ascii="宋体" w:hAnsi="宋体" w:cs="宋体"/>
          <w:b/>
          <w:bCs/>
          <w:color w:val="000000" w:themeColor="text1"/>
          <w:szCs w:val="21"/>
          <w:highlight w:val="none"/>
          <w14:textFill>
            <w14:solidFill>
              <w14:schemeClr w14:val="tx1"/>
            </w14:solidFill>
          </w14:textFill>
        </w:rPr>
        <w:t>.7</w:t>
      </w:r>
      <w:r>
        <w:rPr>
          <w:rFonts w:hint="eastAsia" w:ascii="宋体" w:hAnsi="宋体" w:cs="宋体"/>
          <w:b/>
          <w:bCs/>
          <w:color w:val="000000" w:themeColor="text1"/>
          <w:szCs w:val="21"/>
          <w:highlight w:val="none"/>
          <w14:textFill>
            <w14:solidFill>
              <w14:schemeClr w14:val="tx1"/>
            </w14:solidFill>
          </w14:textFill>
        </w:rPr>
        <w:t>依法缴纳社会保障资金的相关材料</w:t>
      </w: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r>
        <w:rPr>
          <w:rFonts w:ascii="宋体" w:hAnsi="宋体" w:cs="宋体"/>
          <w:b/>
          <w:bCs/>
          <w:color w:val="000000" w:themeColor="text1"/>
          <w:szCs w:val="21"/>
          <w:highlight w:val="none"/>
          <w14:textFill>
            <w14:solidFill>
              <w14:schemeClr w14:val="tx1"/>
            </w14:solidFill>
          </w14:textFill>
        </w:rPr>
        <w:t>.8</w:t>
      </w:r>
      <w:r>
        <w:rPr>
          <w:rFonts w:hint="eastAsia" w:ascii="宋体" w:hAnsi="宋体" w:cs="宋体"/>
          <w:b/>
          <w:bCs/>
          <w:color w:val="000000" w:themeColor="text1"/>
          <w:szCs w:val="21"/>
          <w:highlight w:val="none"/>
          <w14:textFill>
            <w14:solidFill>
              <w14:schemeClr w14:val="tx1"/>
            </w14:solidFill>
          </w14:textFill>
        </w:rPr>
        <w:t>财务状况材料</w:t>
      </w: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p>
    <w:p>
      <w:pPr>
        <w:pStyle w:val="2"/>
        <w:rPr>
          <w:rFonts w:ascii="宋体" w:hAnsi="宋体" w:cs="宋体"/>
          <w:b/>
          <w:color w:val="000000" w:themeColor="text1"/>
          <w:spacing w:val="0"/>
          <w:kern w:val="2"/>
          <w:sz w:val="21"/>
          <w:szCs w:val="21"/>
          <w:highlight w:val="none"/>
          <w14:textFill>
            <w14:solidFill>
              <w14:schemeClr w14:val="tx1"/>
            </w14:solidFill>
          </w14:textFill>
        </w:rPr>
      </w:pPr>
      <w:r>
        <w:rPr>
          <w:rFonts w:hint="eastAsia" w:ascii="宋体" w:hAnsi="宋体" w:cs="宋体"/>
          <w:b/>
          <w:color w:val="000000" w:themeColor="text1"/>
          <w:spacing w:val="0"/>
          <w:kern w:val="2"/>
          <w:sz w:val="21"/>
          <w:szCs w:val="21"/>
          <w:highlight w:val="none"/>
          <w14:textFill>
            <w14:solidFill>
              <w14:schemeClr w14:val="tx1"/>
            </w14:solidFill>
          </w14:textFill>
        </w:rPr>
        <w:t>3</w:t>
      </w:r>
      <w:r>
        <w:rPr>
          <w:rFonts w:ascii="宋体" w:hAnsi="宋体" w:cs="宋体"/>
          <w:b/>
          <w:color w:val="000000" w:themeColor="text1"/>
          <w:spacing w:val="0"/>
          <w:kern w:val="2"/>
          <w:sz w:val="21"/>
          <w:szCs w:val="21"/>
          <w:highlight w:val="none"/>
          <w14:textFill>
            <w14:solidFill>
              <w14:schemeClr w14:val="tx1"/>
            </w14:solidFill>
          </w14:textFill>
        </w:rPr>
        <w:t>.9</w:t>
      </w:r>
      <w:r>
        <w:rPr>
          <w:rFonts w:hint="eastAsia" w:ascii="宋体" w:hAnsi="宋体" w:cs="宋体"/>
          <w:b/>
          <w:color w:val="000000" w:themeColor="text1"/>
          <w:spacing w:val="0"/>
          <w:kern w:val="2"/>
          <w:sz w:val="21"/>
          <w:szCs w:val="21"/>
          <w:highlight w:val="none"/>
          <w14:textFill>
            <w14:solidFill>
              <w14:schemeClr w14:val="tx1"/>
            </w14:solidFill>
          </w14:textFill>
        </w:rPr>
        <w:t>（采购人或采购代理机构根据招标公告对应的特定资格要求及特定条件设置投标人提供的资格证明材料）</w:t>
      </w:r>
    </w:p>
    <w:p>
      <w:pPr>
        <w:pStyle w:val="2"/>
        <w:rPr>
          <w:rFonts w:ascii="宋体" w:hAnsi="宋体" w:cs="宋体"/>
          <w:b/>
          <w:color w:val="000000" w:themeColor="text1"/>
          <w:spacing w:val="0"/>
          <w:kern w:val="2"/>
          <w:sz w:val="21"/>
          <w:szCs w:val="21"/>
          <w:highlight w:val="none"/>
          <w14:textFill>
            <w14:solidFill>
              <w14:schemeClr w14:val="tx1"/>
            </w14:solidFill>
          </w14:textFill>
        </w:rPr>
      </w:pPr>
    </w:p>
    <w:p>
      <w:pPr>
        <w:pStyle w:val="2"/>
        <w:rPr>
          <w:rFonts w:ascii="宋体" w:hAnsi="宋体" w:cs="宋体"/>
          <w:b/>
          <w:color w:val="000000" w:themeColor="text1"/>
          <w:spacing w:val="0"/>
          <w:kern w:val="2"/>
          <w:sz w:val="21"/>
          <w:szCs w:val="21"/>
          <w:highlight w:val="none"/>
          <w14:textFill>
            <w14:solidFill>
              <w14:schemeClr w14:val="tx1"/>
            </w14:solidFill>
          </w14:textFill>
        </w:rPr>
      </w:pPr>
      <w:r>
        <w:rPr>
          <w:rFonts w:hint="eastAsia" w:ascii="宋体" w:hAnsi="宋体" w:cs="宋体"/>
          <w:b/>
          <w:color w:val="000000" w:themeColor="text1"/>
          <w:spacing w:val="0"/>
          <w:kern w:val="2"/>
          <w:sz w:val="21"/>
          <w:szCs w:val="21"/>
          <w:highlight w:val="none"/>
          <w14:textFill>
            <w14:solidFill>
              <w14:schemeClr w14:val="tx1"/>
            </w14:solidFill>
          </w14:textFill>
        </w:rPr>
        <w:t>3</w:t>
      </w:r>
      <w:r>
        <w:rPr>
          <w:rFonts w:ascii="宋体" w:hAnsi="宋体" w:cs="宋体"/>
          <w:b/>
          <w:color w:val="000000" w:themeColor="text1"/>
          <w:spacing w:val="0"/>
          <w:kern w:val="2"/>
          <w:sz w:val="21"/>
          <w:szCs w:val="21"/>
          <w:highlight w:val="none"/>
          <w14:textFill>
            <w14:solidFill>
              <w14:schemeClr w14:val="tx1"/>
            </w14:solidFill>
          </w14:textFill>
        </w:rPr>
        <w:t>.10</w:t>
      </w:r>
      <w:r>
        <w:rPr>
          <w:rFonts w:hint="eastAsia" w:ascii="宋体" w:hAnsi="宋体" w:cs="宋体"/>
          <w:b/>
          <w:color w:val="000000" w:themeColor="text1"/>
          <w:spacing w:val="0"/>
          <w:kern w:val="2"/>
          <w:sz w:val="21"/>
          <w:szCs w:val="21"/>
          <w:highlight w:val="none"/>
          <w14:textFill>
            <w14:solidFill>
              <w14:schemeClr w14:val="tx1"/>
            </w14:solidFill>
          </w14:textFill>
        </w:rPr>
        <w:t>除招标文件规定必须提供以外，投标人认为需要提供的其他证明材料</w:t>
      </w:r>
    </w:p>
    <w:bookmarkEnd w:id="153"/>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line="400" w:lineRule="exact"/>
        <w:jc w:val="left"/>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br w:type="page"/>
      </w:r>
    </w:p>
    <w:p>
      <w:pPr>
        <w:snapToGrid w:val="0"/>
        <w:spacing w:before="120" w:beforeLines="50" w:after="50" w:line="360" w:lineRule="auto"/>
        <w:outlineLvl w:val="1"/>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4、商务文件格式</w:t>
      </w:r>
      <w:bookmarkEnd w:id="151"/>
    </w:p>
    <w:p>
      <w:pPr>
        <w:snapToGrid w:val="0"/>
        <w:spacing w:line="360" w:lineRule="auto"/>
        <w:jc w:val="left"/>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4.1</w:t>
      </w:r>
      <w:r>
        <w:rPr>
          <w:rFonts w:hint="eastAsia" w:ascii="宋体" w:hAnsi="宋体"/>
          <w:b/>
          <w:bCs/>
          <w:color w:val="000000" w:themeColor="text1"/>
          <w:szCs w:val="21"/>
          <w:highlight w:val="none"/>
          <w14:textFill>
            <w14:solidFill>
              <w14:schemeClr w14:val="tx1"/>
            </w14:solidFill>
          </w14:textFill>
        </w:rPr>
        <w:t>商务文件目录</w:t>
      </w:r>
    </w:p>
    <w:p>
      <w:pPr>
        <w:snapToGrid w:val="0"/>
        <w:spacing w:before="50" w:after="120" w:afterLines="50" w:line="360" w:lineRule="auto"/>
        <w:jc w:val="left"/>
        <w:rPr>
          <w:rFonts w:ascii="微软雅黑" w:hAnsi="微软雅黑" w:eastAsia="微软雅黑"/>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根据招标文件规定及投标人提供的材料自行编写目录。</w:t>
      </w:r>
    </w:p>
    <w:p>
      <w:pPr>
        <w:snapToGrid w:val="0"/>
        <w:spacing w:before="50" w:after="120" w:afterLines="50"/>
        <w:jc w:val="left"/>
        <w:rPr>
          <w:rFonts w:ascii="宋体" w:hAnsi="宋体"/>
          <w:color w:val="000000" w:themeColor="text1"/>
          <w:highlight w:val="none"/>
          <w14:textFill>
            <w14:solidFill>
              <w14:schemeClr w14:val="tx1"/>
            </w14:solidFill>
          </w14:textFill>
        </w:rPr>
      </w:pPr>
    </w:p>
    <w:p>
      <w:pPr>
        <w:snapToGrid w:val="0"/>
        <w:spacing w:before="120" w:beforeLines="50" w:after="5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ascii="宋体" w:hAnsi="宋体"/>
          <w:b/>
          <w:color w:val="000000" w:themeColor="text1"/>
          <w:szCs w:val="21"/>
          <w:highlight w:val="none"/>
          <w14:textFill>
            <w14:solidFill>
              <w14:schemeClr w14:val="tx1"/>
            </w14:solidFill>
          </w14:textFill>
        </w:rPr>
        <w:t>4.2</w:t>
      </w:r>
      <w:r>
        <w:rPr>
          <w:rFonts w:hint="eastAsia" w:ascii="宋体" w:hAnsi="宋体"/>
          <w:b/>
          <w:color w:val="000000" w:themeColor="text1"/>
          <w:szCs w:val="21"/>
          <w:highlight w:val="none"/>
          <w14:textFill>
            <w14:solidFill>
              <w14:schemeClr w14:val="tx1"/>
            </w14:solidFill>
          </w14:textFill>
        </w:rPr>
        <w:t>.投标人参加本项目无围标串标行为的承诺</w:t>
      </w:r>
    </w:p>
    <w:p>
      <w:pPr>
        <w:snapToGrid w:val="0"/>
        <w:spacing w:before="120" w:beforeLines="50" w:after="50"/>
        <w:jc w:val="left"/>
        <w:rPr>
          <w:rFonts w:ascii="宋体" w:hAnsi="宋体"/>
          <w:b/>
          <w:color w:val="000000" w:themeColor="text1"/>
          <w:szCs w:val="21"/>
          <w:highlight w:val="none"/>
          <w14:textFill>
            <w14:solidFill>
              <w14:schemeClr w14:val="tx1"/>
            </w14:solidFill>
          </w14:textFill>
        </w:rPr>
      </w:pPr>
    </w:p>
    <w:p>
      <w:pPr>
        <w:snapToGrid w:val="0"/>
        <w:spacing w:before="120" w:beforeLines="50" w:after="50"/>
        <w:ind w:left="42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投标人参加本项目无围标串标行为的承诺函</w:t>
      </w:r>
    </w:p>
    <w:p>
      <w:pPr>
        <w:snapToGrid w:val="0"/>
        <w:spacing w:before="120" w:beforeLines="50" w:after="50"/>
        <w:rPr>
          <w:rFonts w:ascii="宋体" w:hAnsi="宋体"/>
          <w:b/>
          <w:color w:val="000000" w:themeColor="text1"/>
          <w:szCs w:val="21"/>
          <w:highlight w:val="none"/>
          <w14:textFill>
            <w14:solidFill>
              <w14:schemeClr w14:val="tx1"/>
            </w14:solidFill>
          </w14:textFill>
        </w:rPr>
      </w:pPr>
    </w:p>
    <w:p>
      <w:pPr>
        <w:spacing w:line="360" w:lineRule="auto"/>
        <w:contextualSpacing/>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一、我方承诺无下列相互串通投标的情形：</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1.不同投标人的投标文件由同一单位或者个人编制； </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2.不同投标人委托同一单位或者个人办理投标事宜；</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3.不同的投标人的投标文件载明的项目管理员为同一个人；</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4.不同投标人的投标文件异常一致或者投标报价呈规律性差异；</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5.不同投标人的投标文件相互混装；</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6.不同投标人的投标保证金从同一单位或者个人账户转出。</w:t>
      </w:r>
    </w:p>
    <w:p>
      <w:pPr>
        <w:spacing w:line="360" w:lineRule="auto"/>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二、我方承诺无下列恶意串通的情形：</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1.投标人直接或者间接从采购人或者采购代理机构处获得其他投标人的相关信息并修改其投标文件或者投标文件；</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2.投标人按照采购人或者采购代理机构的授意撤换、修改投标文件或者投标文件；</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3.投标人之间协商报价、技术方案等投标文件或者投标文件的实质性内容；</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4.属于同一集团、协会、商会等组织成员的投标人按照该组织要求协同参加政府采购活动；</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6.投标人之间商定部分投标人放弃参加政府采购活动或者放弃中标；</w:t>
      </w:r>
    </w:p>
    <w:p>
      <w:pPr>
        <w:spacing w:line="360" w:lineRule="auto"/>
        <w:ind w:firstLine="411" w:firstLineChars="196"/>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7.投标人与采购人或者采购代理机构之间、投标人相互之间，为谋求特定投标人中标或者排斥其他投标人的其他串通行为。</w:t>
      </w:r>
    </w:p>
    <w:p>
      <w:pPr>
        <w:spacing w:line="360" w:lineRule="auto"/>
        <w:ind w:firstLine="413" w:firstLineChars="196"/>
        <w:contextualSpacing/>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以上情形一经核查属实，我方愿意承担一切后果，并不再寻求任何旨在减轻或者免除法律责任的辩解。</w:t>
      </w:r>
    </w:p>
    <w:p>
      <w:pPr>
        <w:pStyle w:val="26"/>
        <w:spacing w:line="360" w:lineRule="auto"/>
        <w:ind w:firstLine="5985" w:firstLineChars="2850"/>
        <w:contextualSpacing/>
        <w:rPr>
          <w:rFonts w:hAnsi="宋体"/>
          <w:color w:val="000000" w:themeColor="text1"/>
          <w:sz w:val="21"/>
          <w:highlight w:val="none"/>
          <w14:textFill>
            <w14:solidFill>
              <w14:schemeClr w14:val="tx1"/>
            </w14:solidFill>
          </w14:textFill>
        </w:rPr>
      </w:pPr>
    </w:p>
    <w:p>
      <w:pPr>
        <w:pStyle w:val="26"/>
        <w:spacing w:line="360" w:lineRule="auto"/>
        <w:contextualSpacing/>
        <w:jc w:val="center"/>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投标人名称（公章）</w:t>
      </w:r>
    </w:p>
    <w:p>
      <w:pPr>
        <w:pStyle w:val="26"/>
        <w:spacing w:line="360" w:lineRule="auto"/>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年</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月</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日</w:t>
      </w:r>
    </w:p>
    <w:p>
      <w:pPr>
        <w:snapToGrid w:val="0"/>
        <w:spacing w:before="120" w:beforeLines="50" w:after="50"/>
        <w:ind w:firstLine="472" w:firstLineChars="196"/>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p>
    <w:p>
      <w:pPr>
        <w:snapToGrid w:val="0"/>
        <w:spacing w:before="120" w:beforeLines="50" w:after="5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 xml:space="preserve"> 投标人业绩证明材料</w:t>
      </w:r>
    </w:p>
    <w:p>
      <w:pPr>
        <w:pStyle w:val="36"/>
        <w:snapToGrid w:val="0"/>
        <w:ind w:left="420" w:hanging="420"/>
        <w:jc w:val="left"/>
        <w:rPr>
          <w:rFonts w:ascii="宋体" w:hAnsi="宋体"/>
          <w:color w:val="000000" w:themeColor="text1"/>
          <w:szCs w:val="21"/>
          <w:highlight w:val="none"/>
          <w14:textFill>
            <w14:solidFill>
              <w14:schemeClr w14:val="tx1"/>
            </w14:solidFill>
          </w14:textFill>
        </w:rPr>
      </w:pPr>
    </w:p>
    <w:p>
      <w:pPr>
        <w:pStyle w:val="36"/>
        <w:snapToGrid w:val="0"/>
        <w:ind w:left="420" w:hanging="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投标人业绩情况一览表格式： </w:t>
      </w:r>
    </w:p>
    <w:tbl>
      <w:tblPr>
        <w:tblStyle w:val="49"/>
        <w:tblW w:w="8528" w:type="dxa"/>
        <w:tblInd w:w="0" w:type="dxa"/>
        <w:tblLayout w:type="fixed"/>
        <w:tblCellMar>
          <w:top w:w="0" w:type="dxa"/>
          <w:left w:w="108" w:type="dxa"/>
          <w:bottom w:w="0" w:type="dxa"/>
          <w:right w:w="108" w:type="dxa"/>
        </w:tblCellMar>
      </w:tblPr>
      <w:tblGrid>
        <w:gridCol w:w="943"/>
        <w:gridCol w:w="2002"/>
        <w:gridCol w:w="1202"/>
        <w:gridCol w:w="1603"/>
        <w:gridCol w:w="1068"/>
        <w:gridCol w:w="1710"/>
      </w:tblGrid>
      <w:tr>
        <w:tblPrEx>
          <w:tblCellMar>
            <w:top w:w="0" w:type="dxa"/>
            <w:left w:w="108" w:type="dxa"/>
            <w:bottom w:w="0" w:type="dxa"/>
            <w:right w:w="108" w:type="dxa"/>
          </w:tblCellMar>
        </w:tblPrEx>
        <w:trPr>
          <w:trHeight w:val="653" w:hRule="exact"/>
        </w:trPr>
        <w:tc>
          <w:tcPr>
            <w:tcW w:w="94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s="宋体"/>
                <w:color w:val="000000" w:themeColor="text1"/>
                <w:spacing w:val="-7"/>
                <w:szCs w:val="21"/>
                <w:highlight w:val="none"/>
                <w14:textFill>
                  <w14:solidFill>
                    <w14:schemeClr w14:val="tx1"/>
                  </w14:solidFill>
                </w14:textFill>
              </w:rPr>
            </w:pPr>
            <w:r>
              <w:rPr>
                <w:rFonts w:hint="eastAsia" w:ascii="宋体" w:hAnsi="宋体" w:cs="宋体"/>
                <w:color w:val="000000" w:themeColor="text1"/>
                <w:spacing w:val="-7"/>
                <w:szCs w:val="21"/>
                <w:highlight w:val="none"/>
                <w14:textFill>
                  <w14:solidFill>
                    <w14:schemeClr w14:val="tx1"/>
                  </w14:solidFill>
                </w14:textFill>
              </w:rPr>
              <w:t>序号</w:t>
            </w:r>
          </w:p>
        </w:tc>
        <w:tc>
          <w:tcPr>
            <w:tcW w:w="20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项目名称</w:t>
            </w:r>
          </w:p>
        </w:tc>
        <w:tc>
          <w:tcPr>
            <w:tcW w:w="12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项目</w:t>
            </w:r>
            <w:r>
              <w:rPr>
                <w:rFonts w:hint="eastAsia" w:ascii="宋体" w:hAnsi="宋体" w:cs="宋体"/>
                <w:color w:val="000000" w:themeColor="text1"/>
                <w:spacing w:val="-7"/>
                <w:szCs w:val="21"/>
                <w:highlight w:val="none"/>
                <w14:textFill>
                  <w14:solidFill>
                    <w14:schemeClr w14:val="tx1"/>
                  </w14:solidFill>
                </w14:textFill>
              </w:rPr>
              <w:t>规模</w:t>
            </w:r>
          </w:p>
        </w:tc>
        <w:tc>
          <w:tcPr>
            <w:tcW w:w="160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7"/>
                <w:szCs w:val="21"/>
                <w:highlight w:val="none"/>
                <w14:textFill>
                  <w14:solidFill>
                    <w14:schemeClr w14:val="tx1"/>
                  </w14:solidFill>
                </w14:textFill>
              </w:rPr>
              <w:t>委托方</w:t>
            </w:r>
            <w:r>
              <w:rPr>
                <w:rFonts w:ascii="宋体" w:hAnsi="宋体" w:cs="宋体"/>
                <w:color w:val="000000" w:themeColor="text1"/>
                <w:spacing w:val="-7"/>
                <w:szCs w:val="21"/>
                <w:highlight w:val="none"/>
                <w14:textFill>
                  <w14:solidFill>
                    <w14:schemeClr w14:val="tx1"/>
                  </w14:solidFill>
                </w14:textFill>
              </w:rPr>
              <w:t>名称</w:t>
            </w:r>
          </w:p>
        </w:tc>
        <w:tc>
          <w:tcPr>
            <w:tcW w:w="1068"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合同额</w:t>
            </w: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p>
        </w:tc>
      </w:tr>
      <w:tr>
        <w:tblPrEx>
          <w:tblCellMar>
            <w:top w:w="0" w:type="dxa"/>
            <w:left w:w="108" w:type="dxa"/>
            <w:bottom w:w="0" w:type="dxa"/>
            <w:right w:w="108" w:type="dxa"/>
          </w:tblCellMar>
        </w:tblPrEx>
        <w:trPr>
          <w:trHeight w:val="656" w:hRule="exact"/>
        </w:trPr>
        <w:tc>
          <w:tcPr>
            <w:tcW w:w="94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2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068"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53" w:hRule="exact"/>
        </w:trPr>
        <w:tc>
          <w:tcPr>
            <w:tcW w:w="94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2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068"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54" w:hRule="exact"/>
        </w:trPr>
        <w:tc>
          <w:tcPr>
            <w:tcW w:w="94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2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068"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53" w:hRule="exact"/>
        </w:trPr>
        <w:tc>
          <w:tcPr>
            <w:tcW w:w="94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2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068"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310" w:hRule="exact"/>
        </w:trPr>
        <w:tc>
          <w:tcPr>
            <w:tcW w:w="943" w:type="dxa"/>
            <w:tcBorders>
              <w:top w:val="single" w:color="000000" w:sz="6" w:space="0"/>
              <w:left w:val="single" w:color="000000" w:sz="6" w:space="0"/>
              <w:bottom w:val="single" w:color="000000" w:sz="6" w:space="0"/>
              <w:right w:val="single" w:color="000000" w:sz="6" w:space="0"/>
            </w:tcBorders>
            <w:vAlign w:val="center"/>
          </w:tcPr>
          <w:p>
            <w:pPr>
              <w:spacing w:line="1707" w:lineRule="exact"/>
              <w:jc w:val="left"/>
              <w:rPr>
                <w:rFonts w:ascii="宋体" w:hAnsi="宋体"/>
                <w:color w:val="000000" w:themeColor="text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1707" w:lineRule="exact"/>
              <w:jc w:val="left"/>
              <w:rPr>
                <w:rFonts w:ascii="宋体" w:hAnsi="宋体"/>
                <w:color w:val="000000" w:themeColor="text1"/>
                <w:szCs w:val="21"/>
                <w:highlight w:val="none"/>
                <w14:textFill>
                  <w14:solidFill>
                    <w14:schemeClr w14:val="tx1"/>
                  </w14:solidFill>
                </w14:textFill>
              </w:rPr>
            </w:pPr>
          </w:p>
        </w:tc>
        <w:tc>
          <w:tcPr>
            <w:tcW w:w="12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1707" w:lineRule="exact"/>
              <w:jc w:val="left"/>
              <w:rPr>
                <w:rFonts w:ascii="宋体" w:hAnsi="宋体"/>
                <w:color w:val="000000" w:themeColor="text1"/>
                <w:szCs w:val="21"/>
                <w:highlight w:val="none"/>
                <w14:textFill>
                  <w14:solidFill>
                    <w14:schemeClr w14:val="tx1"/>
                  </w14:solidFill>
                </w14:textFill>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pacing w:line="1707" w:lineRule="exact"/>
              <w:jc w:val="left"/>
              <w:rPr>
                <w:rFonts w:ascii="宋体" w:hAnsi="宋体"/>
                <w:color w:val="000000" w:themeColor="text1"/>
                <w:szCs w:val="21"/>
                <w:highlight w:val="none"/>
                <w14:textFill>
                  <w14:solidFill>
                    <w14:schemeClr w14:val="tx1"/>
                  </w14:solidFill>
                </w14:textFill>
              </w:rPr>
            </w:pPr>
          </w:p>
        </w:tc>
        <w:tc>
          <w:tcPr>
            <w:tcW w:w="1068" w:type="dxa"/>
            <w:tcBorders>
              <w:top w:val="single" w:color="000000" w:sz="6" w:space="0"/>
              <w:left w:val="single" w:color="000000" w:sz="6" w:space="0"/>
              <w:bottom w:val="single" w:color="000000" w:sz="6" w:space="0"/>
              <w:right w:val="single" w:color="000000" w:sz="6" w:space="0"/>
            </w:tcBorders>
            <w:vAlign w:val="center"/>
          </w:tcPr>
          <w:p>
            <w:pPr>
              <w:spacing w:line="1707" w:lineRule="exact"/>
              <w:jc w:val="left"/>
              <w:rPr>
                <w:rFonts w:ascii="宋体" w:hAnsi="宋体"/>
                <w:color w:val="000000" w:themeColor="text1"/>
                <w:szCs w:val="21"/>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1707" w:lineRule="exact"/>
              <w:jc w:val="lef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68" w:hRule="exact"/>
        </w:trPr>
        <w:tc>
          <w:tcPr>
            <w:tcW w:w="94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s="宋体"/>
                <w:color w:val="000000" w:themeColor="text1"/>
                <w:spacing w:val="-2"/>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20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068"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503" w:lineRule="exact"/>
              <w:jc w:val="left"/>
              <w:rPr>
                <w:rFonts w:ascii="宋体" w:hAnsi="宋体"/>
                <w:color w:val="000000" w:themeColor="text1"/>
                <w:szCs w:val="21"/>
                <w:highlight w:val="none"/>
                <w14:textFill>
                  <w14:solidFill>
                    <w14:schemeClr w14:val="tx1"/>
                  </w14:solidFill>
                </w14:textFill>
              </w:rPr>
            </w:pPr>
          </w:p>
        </w:tc>
      </w:tr>
    </w:tbl>
    <w:p>
      <w:pPr>
        <w:pStyle w:val="16"/>
        <w:spacing w:before="0" w:after="0" w:line="360" w:lineRule="auto"/>
        <w:ind w:left="900" w:hanging="480"/>
        <w:contextualSpacing/>
        <w:jc w:val="left"/>
        <w:rPr>
          <w:rFonts w:ascii="宋体" w:hAnsi="宋体" w:eastAsia="宋体"/>
          <w:color w:val="000000" w:themeColor="text1"/>
          <w:sz w:val="21"/>
          <w:szCs w:val="21"/>
          <w:highlight w:val="none"/>
          <w14:textFill>
            <w14:solidFill>
              <w14:schemeClr w14:val="tx1"/>
            </w14:solidFill>
          </w14:textFill>
        </w:rPr>
      </w:pPr>
    </w:p>
    <w:p>
      <w:pPr>
        <w:pStyle w:val="16"/>
        <w:spacing w:before="0" w:after="0" w:line="360" w:lineRule="auto"/>
        <w:ind w:left="900" w:hanging="480"/>
        <w:contextualSpacing/>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注：投标人根据评标标准具体要求附业绩证明材料。</w:t>
      </w:r>
    </w:p>
    <w:p>
      <w:pPr>
        <w:snapToGrid w:val="0"/>
        <w:spacing w:before="50"/>
        <w:ind w:firstLine="480" w:firstLineChars="200"/>
        <w:jc w:val="left"/>
        <w:rPr>
          <w:rFonts w:ascii="宋体" w:hAnsi="宋体"/>
          <w:color w:val="000000" w:themeColor="text1"/>
          <w:sz w:val="24"/>
          <w:szCs w:val="20"/>
          <w:highlight w:val="none"/>
          <w14:textFill>
            <w14:solidFill>
              <w14:schemeClr w14:val="tx1"/>
            </w14:solidFill>
          </w14:textFill>
        </w:rPr>
      </w:pPr>
    </w:p>
    <w:p>
      <w:pPr>
        <w:snapToGrid w:val="0"/>
        <w:spacing w:before="50"/>
        <w:jc w:val="left"/>
        <w:rPr>
          <w:rFonts w:ascii="宋体" w:hAnsi="宋体"/>
          <w:color w:val="000000" w:themeColor="text1"/>
          <w:sz w:val="24"/>
          <w:highlight w:val="none"/>
          <w14:textFill>
            <w14:solidFill>
              <w14:schemeClr w14:val="tx1"/>
            </w14:solidFill>
          </w14:textFill>
        </w:rPr>
      </w:pPr>
    </w:p>
    <w:p>
      <w:pPr>
        <w:snapToGrid w:val="0"/>
        <w:spacing w:before="50"/>
        <w:jc w:val="left"/>
        <w:rPr>
          <w:rFonts w:ascii="宋体" w:hAnsi="宋体"/>
          <w:color w:val="000000" w:themeColor="text1"/>
          <w:sz w:val="24"/>
          <w:highlight w:val="none"/>
          <w14:textFill>
            <w14:solidFill>
              <w14:schemeClr w14:val="tx1"/>
            </w14:solidFill>
          </w14:textFill>
        </w:rPr>
      </w:pPr>
    </w:p>
    <w:p>
      <w:pPr>
        <w:snapToGrid w:val="0"/>
        <w:spacing w:before="50"/>
        <w:jc w:val="left"/>
        <w:rPr>
          <w:rFonts w:ascii="宋体" w:hAnsi="宋体"/>
          <w:color w:val="000000" w:themeColor="text1"/>
          <w:sz w:val="24"/>
          <w:highlight w:val="none"/>
          <w14:textFill>
            <w14:solidFill>
              <w14:schemeClr w14:val="tx1"/>
            </w14:solidFill>
          </w14:textFill>
        </w:rPr>
      </w:pPr>
    </w:p>
    <w:p>
      <w:pPr>
        <w:snapToGrid w:val="0"/>
        <w:spacing w:before="50"/>
        <w:jc w:val="left"/>
        <w:rPr>
          <w:rFonts w:ascii="宋体" w:hAnsi="宋体"/>
          <w:color w:val="000000" w:themeColor="text1"/>
          <w:sz w:val="24"/>
          <w:highlight w:val="none"/>
          <w14:textFill>
            <w14:solidFill>
              <w14:schemeClr w14:val="tx1"/>
            </w14:solidFill>
          </w14:textFill>
        </w:rPr>
      </w:pPr>
    </w:p>
    <w:p>
      <w:pPr>
        <w:snapToGrid w:val="0"/>
        <w:spacing w:before="50"/>
        <w:jc w:val="left"/>
        <w:rPr>
          <w:rFonts w:ascii="宋体" w:hAnsi="宋体"/>
          <w:color w:val="000000" w:themeColor="text1"/>
          <w:sz w:val="24"/>
          <w:highlight w:val="none"/>
          <w14:textFill>
            <w14:solidFill>
              <w14:schemeClr w14:val="tx1"/>
            </w14:solidFill>
          </w14:textFill>
        </w:rPr>
      </w:pPr>
    </w:p>
    <w:p>
      <w:pPr>
        <w:snapToGrid w:val="0"/>
        <w:spacing w:before="50"/>
        <w:jc w:val="left"/>
        <w:rPr>
          <w:rFonts w:ascii="宋体" w:hAnsi="宋体"/>
          <w:color w:val="000000" w:themeColor="text1"/>
          <w:sz w:val="24"/>
          <w:highlight w:val="none"/>
          <w14:textFill>
            <w14:solidFill>
              <w14:schemeClr w14:val="tx1"/>
            </w14:solidFill>
          </w14:textFill>
        </w:rPr>
      </w:pPr>
    </w:p>
    <w:p>
      <w:pPr>
        <w:snapToGrid w:val="0"/>
        <w:spacing w:before="50"/>
        <w:jc w:val="left"/>
        <w:rPr>
          <w:rFonts w:ascii="宋体" w:hAnsi="宋体"/>
          <w:color w:val="000000" w:themeColor="text1"/>
          <w:sz w:val="24"/>
          <w:highlight w:val="none"/>
          <w14:textFill>
            <w14:solidFill>
              <w14:schemeClr w14:val="tx1"/>
            </w14:solidFill>
          </w14:textFill>
        </w:rPr>
      </w:pPr>
    </w:p>
    <w:p>
      <w:pPr>
        <w:snapToGrid w:val="0"/>
        <w:spacing w:before="50"/>
        <w:jc w:val="left"/>
        <w:rPr>
          <w:rFonts w:ascii="宋体" w:hAnsi="宋体"/>
          <w:color w:val="000000" w:themeColor="text1"/>
          <w:sz w:val="24"/>
          <w:highlight w:val="none"/>
          <w14:textFill>
            <w14:solidFill>
              <w14:schemeClr w14:val="tx1"/>
            </w14:solidFill>
          </w14:textFill>
        </w:rPr>
      </w:pPr>
    </w:p>
    <w:p>
      <w:pPr>
        <w:snapToGrid w:val="0"/>
        <w:spacing w:before="50"/>
        <w:jc w:val="left"/>
        <w:rPr>
          <w:rFonts w:ascii="宋体" w:hAnsi="宋体"/>
          <w:b/>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val="en-US" w:eastAsia="zh-CN"/>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 投标人项目负责人简历</w:t>
      </w:r>
    </w:p>
    <w:tbl>
      <w:tblPr>
        <w:tblStyle w:val="49"/>
        <w:tblpPr w:leftFromText="180" w:rightFromText="180" w:vertAnchor="page" w:horzAnchor="margin" w:tblpY="2326"/>
        <w:tblW w:w="8328" w:type="dxa"/>
        <w:tblInd w:w="0" w:type="dxa"/>
        <w:tblLayout w:type="fixed"/>
        <w:tblCellMar>
          <w:top w:w="0" w:type="dxa"/>
          <w:left w:w="108" w:type="dxa"/>
          <w:bottom w:w="0" w:type="dxa"/>
          <w:right w:w="108" w:type="dxa"/>
        </w:tblCellMar>
      </w:tblPr>
      <w:tblGrid>
        <w:gridCol w:w="1934"/>
        <w:gridCol w:w="8"/>
        <w:gridCol w:w="1279"/>
        <w:gridCol w:w="632"/>
        <w:gridCol w:w="1187"/>
        <w:gridCol w:w="1170"/>
        <w:gridCol w:w="325"/>
        <w:gridCol w:w="1793"/>
      </w:tblGrid>
      <w:tr>
        <w:trPr>
          <w:trHeight w:val="890" w:hRule="exact"/>
        </w:trPr>
        <w:tc>
          <w:tcPr>
            <w:tcW w:w="1942" w:type="dxa"/>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608" w:lineRule="exact"/>
              <w:jc w:val="center"/>
              <w:rPr>
                <w:rFonts w:ascii="宋体" w:hAnsi="宋体"/>
                <w:color w:val="000000" w:themeColor="text1"/>
                <w:szCs w:val="21"/>
                <w:highlight w:val="none"/>
                <w14:textFill>
                  <w14:solidFill>
                    <w14:schemeClr w14:val="tx1"/>
                  </w14:solidFill>
                </w14:textFill>
              </w:rPr>
            </w:pPr>
            <w:bookmarkStart w:id="154" w:name="_Hlk76657841"/>
            <w:r>
              <w:rPr>
                <w:rFonts w:ascii="宋体" w:hAnsi="宋体" w:cs="宋体"/>
                <w:color w:val="000000" w:themeColor="text1"/>
                <w:spacing w:val="-2"/>
                <w:szCs w:val="21"/>
                <w:highlight w:val="none"/>
                <w14:textFill>
                  <w14:solidFill>
                    <w14:schemeClr w14:val="tx1"/>
                  </w14:solidFill>
                </w14:textFill>
              </w:rPr>
              <w:t>姓</w:t>
            </w:r>
            <w:r>
              <w:rPr>
                <w:rFonts w:ascii="宋体" w:hAnsi="宋体" w:cs="Calibri"/>
                <w:color w:val="000000" w:themeColor="text1"/>
                <w:szCs w:val="21"/>
                <w:highlight w:val="none"/>
                <w14:textFill>
                  <w14:solidFill>
                    <w14:schemeClr w14:val="tx1"/>
                  </w14:solidFill>
                </w14:textFill>
              </w:rPr>
              <w:t>     </w:t>
            </w:r>
            <w:r>
              <w:rPr>
                <w:rFonts w:ascii="宋体" w:hAnsi="宋体" w:cs="宋体"/>
                <w:color w:val="000000" w:themeColor="text1"/>
                <w:spacing w:val="-2"/>
                <w:szCs w:val="21"/>
                <w:highlight w:val="none"/>
                <w14:textFill>
                  <w14:solidFill>
                    <w14:schemeClr w14:val="tx1"/>
                  </w14:solidFill>
                </w14:textFill>
              </w:rPr>
              <w:t>名</w:t>
            </w:r>
          </w:p>
        </w:tc>
        <w:tc>
          <w:tcPr>
            <w:tcW w:w="127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608" w:lineRule="exact"/>
              <w:jc w:val="center"/>
              <w:rPr>
                <w:rFonts w:ascii="宋体" w:hAnsi="宋体"/>
                <w:color w:val="000000" w:themeColor="text1"/>
                <w:szCs w:val="21"/>
                <w:highlight w:val="none"/>
                <w14:textFill>
                  <w14:solidFill>
                    <w14:schemeClr w14:val="tx1"/>
                  </w14:solidFill>
                </w14:textFill>
              </w:rPr>
            </w:pPr>
          </w:p>
        </w:tc>
        <w:tc>
          <w:tcPr>
            <w:tcW w:w="6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608" w:lineRule="exact"/>
              <w:jc w:val="center"/>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年龄</w:t>
            </w:r>
          </w:p>
        </w:tc>
        <w:tc>
          <w:tcPr>
            <w:tcW w:w="1187"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608" w:lineRule="exact"/>
              <w:jc w:val="center"/>
              <w:rPr>
                <w:rFonts w:ascii="宋体" w:hAnsi="宋体"/>
                <w:color w:val="000000" w:themeColor="text1"/>
                <w:szCs w:val="21"/>
                <w:highlight w:val="none"/>
                <w14:textFill>
                  <w14:solidFill>
                    <w14:schemeClr w14:val="tx1"/>
                  </w14:solidFill>
                </w14:textFill>
              </w:rPr>
            </w:pPr>
          </w:p>
        </w:tc>
        <w:tc>
          <w:tcPr>
            <w:tcW w:w="1495" w:type="dxa"/>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90" w:lineRule="exact"/>
              <w:jc w:val="center"/>
              <w:rPr>
                <w:rFonts w:ascii="宋体" w:hAnsi="宋体" w:cs="宋体"/>
                <w:color w:val="000000" w:themeColor="text1"/>
                <w:spacing w:val="-7"/>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执业资格证书名称</w:t>
            </w:r>
          </w:p>
        </w:tc>
        <w:tc>
          <w:tcPr>
            <w:tcW w:w="17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39"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98" w:hRule="exact"/>
        </w:trPr>
        <w:tc>
          <w:tcPr>
            <w:tcW w:w="1942" w:type="dxa"/>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12" w:lineRule="exact"/>
              <w:jc w:val="center"/>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职</w:t>
            </w:r>
            <w:r>
              <w:rPr>
                <w:rFonts w:ascii="宋体" w:hAnsi="宋体" w:cs="Calibri"/>
                <w:color w:val="000000" w:themeColor="text1"/>
                <w:szCs w:val="21"/>
                <w:highlight w:val="none"/>
                <w14:textFill>
                  <w14:solidFill>
                    <w14:schemeClr w14:val="tx1"/>
                  </w14:solidFill>
                </w14:textFill>
              </w:rPr>
              <w:t>     </w:t>
            </w:r>
            <w:r>
              <w:rPr>
                <w:rFonts w:ascii="宋体" w:hAnsi="宋体" w:cs="宋体"/>
                <w:color w:val="000000" w:themeColor="text1"/>
                <w:spacing w:val="-2"/>
                <w:szCs w:val="21"/>
                <w:highlight w:val="none"/>
                <w14:textFill>
                  <w14:solidFill>
                    <w14:schemeClr w14:val="tx1"/>
                  </w14:solidFill>
                </w14:textFill>
              </w:rPr>
              <w:t>称</w:t>
            </w:r>
          </w:p>
        </w:tc>
        <w:tc>
          <w:tcPr>
            <w:tcW w:w="127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12" w:lineRule="exact"/>
              <w:jc w:val="center"/>
              <w:rPr>
                <w:rFonts w:ascii="宋体" w:hAnsi="宋体"/>
                <w:color w:val="000000" w:themeColor="text1"/>
                <w:szCs w:val="21"/>
                <w:highlight w:val="none"/>
                <w14:textFill>
                  <w14:solidFill>
                    <w14:schemeClr w14:val="tx1"/>
                  </w14:solidFill>
                </w14:textFill>
              </w:rPr>
            </w:pPr>
          </w:p>
        </w:tc>
        <w:tc>
          <w:tcPr>
            <w:tcW w:w="6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12" w:lineRule="exact"/>
              <w:jc w:val="center"/>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学历</w:t>
            </w:r>
          </w:p>
        </w:tc>
        <w:tc>
          <w:tcPr>
            <w:tcW w:w="1187"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12" w:lineRule="exact"/>
              <w:jc w:val="center"/>
              <w:rPr>
                <w:rFonts w:ascii="宋体" w:hAnsi="宋体"/>
                <w:color w:val="000000" w:themeColor="text1"/>
                <w:szCs w:val="21"/>
                <w:highlight w:val="none"/>
                <w14:textFill>
                  <w14:solidFill>
                    <w14:schemeClr w14:val="tx1"/>
                  </w14:solidFill>
                </w14:textFill>
              </w:rPr>
            </w:pPr>
          </w:p>
        </w:tc>
        <w:tc>
          <w:tcPr>
            <w:tcW w:w="1495" w:type="dxa"/>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512" w:lineRule="exact"/>
              <w:jc w:val="center"/>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工作年限</w:t>
            </w:r>
          </w:p>
        </w:tc>
        <w:tc>
          <w:tcPr>
            <w:tcW w:w="179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12"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701" w:hRule="exact"/>
        </w:trPr>
        <w:tc>
          <w:tcPr>
            <w:tcW w:w="1942"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15" w:lineRule="exact"/>
              <w:ind w:left="173"/>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拟在本项目任职</w:t>
            </w:r>
          </w:p>
        </w:tc>
        <w:tc>
          <w:tcPr>
            <w:tcW w:w="6386" w:type="dxa"/>
            <w:gridSpan w:val="6"/>
            <w:tcBorders>
              <w:top w:val="single" w:color="000000" w:sz="6" w:space="0"/>
              <w:left w:val="single" w:color="000000" w:sz="6" w:space="0"/>
              <w:bottom w:val="single" w:color="000000" w:sz="6" w:space="0"/>
              <w:right w:val="single" w:color="000000" w:sz="6" w:space="0"/>
            </w:tcBorders>
            <w:tcMar>
              <w:left w:w="0" w:type="dxa"/>
              <w:right w:w="0" w:type="dxa"/>
            </w:tcMar>
          </w:tcPr>
          <w:p>
            <w:pPr>
              <w:spacing w:line="515"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94" w:hRule="exact"/>
        </w:trPr>
        <w:tc>
          <w:tcPr>
            <w:tcW w:w="8328"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510" w:lineRule="exact"/>
              <w:ind w:left="108"/>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主要工作经历</w:t>
            </w:r>
          </w:p>
        </w:tc>
      </w:tr>
      <w:tr>
        <w:tblPrEx>
          <w:tblCellMar>
            <w:top w:w="0" w:type="dxa"/>
            <w:left w:w="108" w:type="dxa"/>
            <w:bottom w:w="0" w:type="dxa"/>
            <w:right w:w="108" w:type="dxa"/>
          </w:tblCellMar>
        </w:tblPrEx>
        <w:trPr>
          <w:trHeight w:val="718" w:hRule="exact"/>
        </w:trPr>
        <w:tc>
          <w:tcPr>
            <w:tcW w:w="193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ind w:left="456"/>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时</w:t>
            </w:r>
            <w:r>
              <w:rPr>
                <w:rFonts w:ascii="宋体" w:hAnsi="宋体" w:cs="Calibri"/>
                <w:color w:val="000000" w:themeColor="text1"/>
                <w:szCs w:val="21"/>
                <w:highlight w:val="none"/>
                <w14:textFill>
                  <w14:solidFill>
                    <w14:schemeClr w14:val="tx1"/>
                  </w14:solidFill>
                </w14:textFill>
              </w:rPr>
              <w:t>     </w:t>
            </w:r>
            <w:r>
              <w:rPr>
                <w:rFonts w:ascii="宋体" w:hAnsi="宋体" w:cs="宋体"/>
                <w:color w:val="000000" w:themeColor="text1"/>
                <w:spacing w:val="-2"/>
                <w:szCs w:val="21"/>
                <w:highlight w:val="none"/>
                <w14:textFill>
                  <w14:solidFill>
                    <w14:schemeClr w14:val="tx1"/>
                  </w14:solidFill>
                </w14:textFill>
              </w:rPr>
              <w:t>间</w:t>
            </w:r>
          </w:p>
        </w:tc>
        <w:tc>
          <w:tcPr>
            <w:tcW w:w="3106"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ind w:left="869"/>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参加过的类似项目</w:t>
            </w:r>
          </w:p>
        </w:tc>
        <w:tc>
          <w:tcPr>
            <w:tcW w:w="1170"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ind w:left="209"/>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担任职务</w:t>
            </w:r>
          </w:p>
        </w:tc>
        <w:tc>
          <w:tcPr>
            <w:tcW w:w="211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ind w:left="307"/>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7"/>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701" w:hRule="exact"/>
        </w:trPr>
        <w:tc>
          <w:tcPr>
            <w:tcW w:w="193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3106"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1170"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211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98" w:hRule="exact"/>
        </w:trPr>
        <w:tc>
          <w:tcPr>
            <w:tcW w:w="193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3106"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1170"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211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701" w:hRule="exact"/>
        </w:trPr>
        <w:tc>
          <w:tcPr>
            <w:tcW w:w="193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3106"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1170"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211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701" w:hRule="exact"/>
        </w:trPr>
        <w:tc>
          <w:tcPr>
            <w:tcW w:w="193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3106"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1170"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211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99" w:hRule="exact"/>
        </w:trPr>
        <w:tc>
          <w:tcPr>
            <w:tcW w:w="193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3106"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1170"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211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701" w:hRule="exact"/>
        </w:trPr>
        <w:tc>
          <w:tcPr>
            <w:tcW w:w="193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3106"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1170"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211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701" w:hRule="exact"/>
        </w:trPr>
        <w:tc>
          <w:tcPr>
            <w:tcW w:w="193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3106" w:type="dxa"/>
            <w:gridSpan w:val="4"/>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1170"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c>
          <w:tcPr>
            <w:tcW w:w="211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522" w:lineRule="exact"/>
              <w:rPr>
                <w:rFonts w:ascii="宋体" w:hAnsi="宋体"/>
                <w:color w:val="000000" w:themeColor="text1"/>
                <w:szCs w:val="21"/>
                <w:highlight w:val="none"/>
                <w14:textFill>
                  <w14:solidFill>
                    <w14:schemeClr w14:val="tx1"/>
                  </w14:solidFill>
                </w14:textFill>
              </w:rPr>
            </w:pPr>
          </w:p>
        </w:tc>
      </w:tr>
      <w:bookmarkEnd w:id="154"/>
    </w:tbl>
    <w:p>
      <w:pPr>
        <w:snapToGrid w:val="0"/>
        <w:spacing w:before="120" w:beforeLines="50"/>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lang w:val="en-US" w:eastAsia="zh-CN"/>
          <w14:textFill>
            <w14:solidFill>
              <w14:schemeClr w14:val="tx1"/>
            </w14:solidFill>
          </w14:textFill>
        </w:rPr>
        <w:t>5</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实施人员配备</w:t>
      </w:r>
    </w:p>
    <w:p>
      <w:pPr>
        <w:snapToGrid w:val="0"/>
        <w:spacing w:before="120" w:beforeLines="50"/>
        <w:rPr>
          <w:rFonts w:ascii="宋体" w:hAnsi="宋体"/>
          <w:color w:val="000000" w:themeColor="text1"/>
          <w:sz w:val="24"/>
          <w:szCs w:val="20"/>
          <w:highlight w:val="none"/>
          <w14:textFill>
            <w14:solidFill>
              <w14:schemeClr w14:val="tx1"/>
            </w14:solidFill>
          </w14:textFill>
        </w:rPr>
      </w:pPr>
    </w:p>
    <w:tbl>
      <w:tblPr>
        <w:tblStyle w:val="49"/>
        <w:tblpPr w:leftFromText="180" w:rightFromText="180" w:vertAnchor="page" w:horzAnchor="margin" w:tblpY="2491"/>
        <w:tblW w:w="8328" w:type="dxa"/>
        <w:tblInd w:w="0" w:type="dxa"/>
        <w:tblLayout w:type="fixed"/>
        <w:tblCellMar>
          <w:top w:w="0" w:type="dxa"/>
          <w:left w:w="108" w:type="dxa"/>
          <w:bottom w:w="0" w:type="dxa"/>
          <w:right w:w="108" w:type="dxa"/>
        </w:tblCellMar>
      </w:tblPr>
      <w:tblGrid>
        <w:gridCol w:w="848"/>
        <w:gridCol w:w="1324"/>
        <w:gridCol w:w="1029"/>
        <w:gridCol w:w="929"/>
        <w:gridCol w:w="883"/>
        <w:gridCol w:w="2140"/>
        <w:gridCol w:w="1175"/>
      </w:tblGrid>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r>
              <w:rPr>
                <w:rFonts w:ascii="宋体" w:hAnsi="宋体" w:cs="宋体"/>
                <w:color w:val="000000" w:themeColor="text1"/>
                <w:spacing w:val="-2"/>
                <w:highlight w:val="none"/>
                <w14:textFill>
                  <w14:solidFill>
                    <w14:schemeClr w14:val="tx1"/>
                  </w14:solidFill>
                </w14:textFill>
              </w:rPr>
              <w:t>序号</w:t>
            </w: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r>
              <w:rPr>
                <w:rFonts w:ascii="宋体" w:hAnsi="宋体" w:cs="宋体"/>
                <w:color w:val="000000" w:themeColor="text1"/>
                <w:spacing w:val="-7"/>
                <w:highlight w:val="none"/>
                <w14:textFill>
                  <w14:solidFill>
                    <w14:schemeClr w14:val="tx1"/>
                  </w14:solidFill>
                </w14:textFill>
              </w:rPr>
              <w:t>本项目任职</w:t>
            </w: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r>
              <w:rPr>
                <w:rFonts w:ascii="宋体" w:hAnsi="宋体" w:cs="宋体"/>
                <w:color w:val="000000" w:themeColor="text1"/>
                <w:spacing w:val="-2"/>
                <w:highlight w:val="none"/>
                <w14:textFill>
                  <w14:solidFill>
                    <w14:schemeClr w14:val="tx1"/>
                  </w14:solidFill>
                </w14:textFill>
              </w:rPr>
              <w:t>姓名</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r>
              <w:rPr>
                <w:rFonts w:ascii="宋体" w:hAnsi="宋体" w:cs="宋体"/>
                <w:color w:val="000000" w:themeColor="text1"/>
                <w:spacing w:val="-2"/>
                <w:highlight w:val="none"/>
                <w14:textFill>
                  <w14:solidFill>
                    <w14:schemeClr w14:val="tx1"/>
                  </w14:solidFill>
                </w14:textFill>
              </w:rPr>
              <w:t>职称</w:t>
            </w: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r>
              <w:rPr>
                <w:rFonts w:ascii="宋体" w:hAnsi="宋体" w:cs="宋体"/>
                <w:color w:val="000000" w:themeColor="text1"/>
                <w:spacing w:val="-2"/>
                <w:highlight w:val="none"/>
                <w14:textFill>
                  <w14:solidFill>
                    <w14:schemeClr w14:val="tx1"/>
                  </w14:solidFill>
                </w14:textFill>
              </w:rPr>
              <w:t>专业</w:t>
            </w: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r>
              <w:rPr>
                <w:rFonts w:ascii="宋体" w:hAnsi="宋体" w:cs="宋体"/>
                <w:color w:val="000000" w:themeColor="text1"/>
                <w:spacing w:val="-7"/>
                <w:highlight w:val="none"/>
                <w14:textFill>
                  <w14:solidFill>
                    <w14:schemeClr w14:val="tx1"/>
                  </w14:solidFill>
                </w14:textFill>
              </w:rPr>
              <w:t>执业或职业资格</w:t>
            </w: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r>
              <w:rPr>
                <w:rFonts w:ascii="宋体" w:hAnsi="宋体" w:cs="宋体"/>
                <w:color w:val="000000" w:themeColor="text1"/>
                <w:spacing w:val="-2"/>
                <w:highlight w:val="none"/>
                <w14:textFill>
                  <w14:solidFill>
                    <w14:schemeClr w14:val="tx1"/>
                  </w14:solidFill>
                </w14:textFill>
              </w:rPr>
              <w:t>备注</w:t>
            </w: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51"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84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10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883"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c>
          <w:tcPr>
            <w:tcW w:w="2140" w:type="dxa"/>
            <w:tcBorders>
              <w:top w:val="single" w:color="000000" w:sz="6" w:space="0"/>
              <w:left w:val="single" w:color="000000" w:sz="6" w:space="0"/>
              <w:bottom w:val="single" w:color="000000" w:sz="6" w:space="0"/>
              <w:right w:val="single" w:color="000000" w:sz="6" w:space="0"/>
            </w:tcBorders>
          </w:tcPr>
          <w:p>
            <w:pPr>
              <w:spacing w:line="387" w:lineRule="exact"/>
              <w:rPr>
                <w:color w:val="000000" w:themeColor="text1"/>
                <w:highlight w:val="none"/>
                <w14:textFill>
                  <w14:solidFill>
                    <w14:schemeClr w14:val="tx1"/>
                  </w14:solidFill>
                </w14:textFill>
              </w:rPr>
            </w:pPr>
          </w:p>
        </w:tc>
        <w:tc>
          <w:tcPr>
            <w:tcW w:w="117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rPr>
                <w:color w:val="000000" w:themeColor="text1"/>
                <w:highlight w:val="none"/>
                <w14:textFill>
                  <w14:solidFill>
                    <w14:schemeClr w14:val="tx1"/>
                  </w14:solidFill>
                </w14:textFill>
              </w:rPr>
            </w:pPr>
          </w:p>
        </w:tc>
      </w:tr>
    </w:tbl>
    <w:p>
      <w:pPr>
        <w:snapToGrid w:val="0"/>
        <w:spacing w:before="120" w:beforeLines="50" w:after="5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val="en-US" w:eastAsia="zh-CN"/>
          <w14:textFill>
            <w14:solidFill>
              <w14:schemeClr w14:val="tx1"/>
            </w14:solidFill>
          </w14:textFill>
        </w:rPr>
        <w:t>6</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获奖情况</w:t>
      </w:r>
    </w:p>
    <w:p>
      <w:pPr>
        <w:snapToGrid w:val="0"/>
        <w:spacing w:before="120" w:beforeLines="50"/>
        <w:rPr>
          <w:rFonts w:ascii="宋体" w:hAnsi="宋体"/>
          <w:color w:val="000000" w:themeColor="text1"/>
          <w:szCs w:val="21"/>
          <w:highlight w:val="none"/>
          <w14:textFill>
            <w14:solidFill>
              <w14:schemeClr w14:val="tx1"/>
            </w14:solidFill>
          </w14:textFill>
        </w:rPr>
      </w:pP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35"/>
        <w:gridCol w:w="1690"/>
        <w:gridCol w:w="1670"/>
        <w:gridCol w:w="1337"/>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95" w:type="dxa"/>
            <w:vAlign w:val="center"/>
          </w:tcPr>
          <w:p>
            <w:pPr>
              <w:spacing w:after="100" w:afterAutospacing="1" w:line="380" w:lineRule="exact"/>
              <w:ind w:right="8" w:rightChars="4"/>
              <w:jc w:val="center"/>
              <w:rPr>
                <w:color w:val="000000" w:themeColor="text1"/>
                <w:szCs w:val="21"/>
                <w:highlight w:val="none"/>
                <w14:textFill>
                  <w14:solidFill>
                    <w14:schemeClr w14:val="tx1"/>
                  </w14:solidFill>
                </w14:textFill>
              </w:rPr>
            </w:pPr>
            <w:bookmarkStart w:id="155" w:name="_Hlk76658062"/>
            <w:r>
              <w:rPr>
                <w:rFonts w:hAnsi="宋体"/>
                <w:color w:val="000000" w:themeColor="text1"/>
                <w:szCs w:val="21"/>
                <w:highlight w:val="none"/>
                <w14:textFill>
                  <w14:solidFill>
                    <w14:schemeClr w14:val="tx1"/>
                  </w14:solidFill>
                </w14:textFill>
              </w:rPr>
              <w:t>序号</w:t>
            </w:r>
          </w:p>
        </w:tc>
        <w:tc>
          <w:tcPr>
            <w:tcW w:w="2035" w:type="dxa"/>
            <w:vAlign w:val="center"/>
          </w:tcPr>
          <w:p>
            <w:pPr>
              <w:spacing w:after="100" w:afterAutospacing="1" w:line="380" w:lineRule="exact"/>
              <w:ind w:right="-82" w:rightChars="-39"/>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项目名称</w:t>
            </w:r>
          </w:p>
        </w:tc>
        <w:tc>
          <w:tcPr>
            <w:tcW w:w="1690" w:type="dxa"/>
            <w:vAlign w:val="center"/>
          </w:tcPr>
          <w:p>
            <w:pPr>
              <w:spacing w:after="100" w:afterAutospacing="1" w:line="380" w:lineRule="exact"/>
              <w:ind w:right="-78" w:rightChars="-37"/>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奖项名称</w:t>
            </w:r>
          </w:p>
        </w:tc>
        <w:tc>
          <w:tcPr>
            <w:tcW w:w="1670" w:type="dxa"/>
            <w:vAlign w:val="center"/>
          </w:tcPr>
          <w:p>
            <w:pPr>
              <w:spacing w:after="100" w:afterAutospacing="1" w:line="380" w:lineRule="exact"/>
              <w:ind w:right="-8" w:rightChars="-4"/>
              <w:jc w:val="cente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奖项等级</w:t>
            </w:r>
          </w:p>
        </w:tc>
        <w:tc>
          <w:tcPr>
            <w:tcW w:w="1337" w:type="dxa"/>
            <w:vAlign w:val="center"/>
          </w:tcPr>
          <w:p>
            <w:pPr>
              <w:spacing w:after="100" w:afterAutospacing="1" w:line="380" w:lineRule="exact"/>
              <w:ind w:right="59" w:rightChars="28"/>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获奖时间</w:t>
            </w:r>
          </w:p>
        </w:tc>
        <w:tc>
          <w:tcPr>
            <w:tcW w:w="1001" w:type="dxa"/>
            <w:vAlign w:val="center"/>
          </w:tcPr>
          <w:p>
            <w:pPr>
              <w:tabs>
                <w:tab w:val="left" w:pos="1284"/>
              </w:tabs>
              <w:spacing w:after="100" w:afterAutospacing="1" w:line="380" w:lineRule="exact"/>
              <w:ind w:right="101" w:rightChars="48"/>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203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9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7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337"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001"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9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203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9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7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337"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001"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9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203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9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7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337"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001"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9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203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9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7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337"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001"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5" w:type="dxa"/>
            <w:vAlign w:val="center"/>
          </w:tcPr>
          <w:p>
            <w:pPr>
              <w:spacing w:after="100" w:afterAutospacing="1"/>
              <w:rPr>
                <w:color w:val="000000" w:themeColor="text1"/>
                <w:szCs w:val="21"/>
                <w:highlight w:val="none"/>
                <w14:textFill>
                  <w14:solidFill>
                    <w14:schemeClr w14:val="tx1"/>
                  </w14:solidFill>
                </w14:textFill>
              </w:rPr>
            </w:pPr>
          </w:p>
        </w:tc>
        <w:tc>
          <w:tcPr>
            <w:tcW w:w="2035" w:type="dxa"/>
            <w:vAlign w:val="center"/>
          </w:tcPr>
          <w:p>
            <w:pPr>
              <w:spacing w:after="100" w:afterAutospacing="1"/>
              <w:rPr>
                <w:color w:val="000000" w:themeColor="text1"/>
                <w:szCs w:val="21"/>
                <w:highlight w:val="none"/>
                <w14:textFill>
                  <w14:solidFill>
                    <w14:schemeClr w14:val="tx1"/>
                  </w14:solidFill>
                </w14:textFill>
              </w:rPr>
            </w:pPr>
          </w:p>
        </w:tc>
        <w:tc>
          <w:tcPr>
            <w:tcW w:w="1690" w:type="dxa"/>
            <w:vAlign w:val="center"/>
          </w:tcPr>
          <w:p>
            <w:pPr>
              <w:spacing w:after="100" w:afterAutospacing="1"/>
              <w:rPr>
                <w:color w:val="000000" w:themeColor="text1"/>
                <w:szCs w:val="21"/>
                <w:highlight w:val="none"/>
                <w14:textFill>
                  <w14:solidFill>
                    <w14:schemeClr w14:val="tx1"/>
                  </w14:solidFill>
                </w14:textFill>
              </w:rPr>
            </w:pPr>
          </w:p>
        </w:tc>
        <w:tc>
          <w:tcPr>
            <w:tcW w:w="1670" w:type="dxa"/>
            <w:vAlign w:val="center"/>
          </w:tcPr>
          <w:p>
            <w:pPr>
              <w:spacing w:after="100" w:afterAutospacing="1"/>
              <w:rPr>
                <w:color w:val="000000" w:themeColor="text1"/>
                <w:szCs w:val="21"/>
                <w:highlight w:val="none"/>
                <w14:textFill>
                  <w14:solidFill>
                    <w14:schemeClr w14:val="tx1"/>
                  </w14:solidFill>
                </w14:textFill>
              </w:rPr>
            </w:pPr>
          </w:p>
        </w:tc>
        <w:tc>
          <w:tcPr>
            <w:tcW w:w="1337" w:type="dxa"/>
            <w:vAlign w:val="center"/>
          </w:tcPr>
          <w:p>
            <w:pPr>
              <w:spacing w:after="100" w:afterAutospacing="1"/>
              <w:rPr>
                <w:color w:val="000000" w:themeColor="text1"/>
                <w:szCs w:val="21"/>
                <w:highlight w:val="none"/>
                <w14:textFill>
                  <w14:solidFill>
                    <w14:schemeClr w14:val="tx1"/>
                  </w14:solidFill>
                </w14:textFill>
              </w:rPr>
            </w:pPr>
          </w:p>
        </w:tc>
        <w:tc>
          <w:tcPr>
            <w:tcW w:w="1001" w:type="dxa"/>
            <w:vAlign w:val="center"/>
          </w:tcPr>
          <w:p>
            <w:pPr>
              <w:spacing w:after="100" w:afterAutospacing="1"/>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5" w:type="dxa"/>
            <w:vAlign w:val="center"/>
          </w:tcPr>
          <w:p>
            <w:pPr>
              <w:spacing w:after="100" w:afterAutospacing="1"/>
              <w:rPr>
                <w:color w:val="000000" w:themeColor="text1"/>
                <w:szCs w:val="21"/>
                <w:highlight w:val="none"/>
                <w14:textFill>
                  <w14:solidFill>
                    <w14:schemeClr w14:val="tx1"/>
                  </w14:solidFill>
                </w14:textFill>
              </w:rPr>
            </w:pPr>
          </w:p>
        </w:tc>
        <w:tc>
          <w:tcPr>
            <w:tcW w:w="2035" w:type="dxa"/>
            <w:vAlign w:val="center"/>
          </w:tcPr>
          <w:p>
            <w:pPr>
              <w:spacing w:after="100" w:afterAutospacing="1"/>
              <w:rPr>
                <w:color w:val="000000" w:themeColor="text1"/>
                <w:szCs w:val="21"/>
                <w:highlight w:val="none"/>
                <w14:textFill>
                  <w14:solidFill>
                    <w14:schemeClr w14:val="tx1"/>
                  </w14:solidFill>
                </w14:textFill>
              </w:rPr>
            </w:pPr>
          </w:p>
        </w:tc>
        <w:tc>
          <w:tcPr>
            <w:tcW w:w="1690" w:type="dxa"/>
            <w:vAlign w:val="center"/>
          </w:tcPr>
          <w:p>
            <w:pPr>
              <w:spacing w:after="100" w:afterAutospacing="1"/>
              <w:rPr>
                <w:color w:val="000000" w:themeColor="text1"/>
                <w:szCs w:val="21"/>
                <w:highlight w:val="none"/>
                <w14:textFill>
                  <w14:solidFill>
                    <w14:schemeClr w14:val="tx1"/>
                  </w14:solidFill>
                </w14:textFill>
              </w:rPr>
            </w:pPr>
          </w:p>
        </w:tc>
        <w:tc>
          <w:tcPr>
            <w:tcW w:w="1670" w:type="dxa"/>
            <w:vAlign w:val="center"/>
          </w:tcPr>
          <w:p>
            <w:pPr>
              <w:spacing w:after="100" w:afterAutospacing="1"/>
              <w:rPr>
                <w:color w:val="000000" w:themeColor="text1"/>
                <w:szCs w:val="21"/>
                <w:highlight w:val="none"/>
                <w14:textFill>
                  <w14:solidFill>
                    <w14:schemeClr w14:val="tx1"/>
                  </w14:solidFill>
                </w14:textFill>
              </w:rPr>
            </w:pPr>
          </w:p>
        </w:tc>
        <w:tc>
          <w:tcPr>
            <w:tcW w:w="1337" w:type="dxa"/>
            <w:vAlign w:val="center"/>
          </w:tcPr>
          <w:p>
            <w:pPr>
              <w:spacing w:after="100" w:afterAutospacing="1"/>
              <w:rPr>
                <w:color w:val="000000" w:themeColor="text1"/>
                <w:szCs w:val="21"/>
                <w:highlight w:val="none"/>
                <w14:textFill>
                  <w14:solidFill>
                    <w14:schemeClr w14:val="tx1"/>
                  </w14:solidFill>
                </w14:textFill>
              </w:rPr>
            </w:pPr>
          </w:p>
        </w:tc>
        <w:tc>
          <w:tcPr>
            <w:tcW w:w="1001" w:type="dxa"/>
            <w:vAlign w:val="center"/>
          </w:tcPr>
          <w:p>
            <w:pPr>
              <w:spacing w:after="100" w:afterAutospacing="1"/>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203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9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7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337"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001"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203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9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7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337"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001"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203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9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7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337"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001"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2035"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9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670"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337"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c>
          <w:tcPr>
            <w:tcW w:w="1001" w:type="dxa"/>
            <w:vAlign w:val="center"/>
          </w:tcPr>
          <w:p>
            <w:pPr>
              <w:spacing w:after="100" w:afterAutospacing="1" w:line="380" w:lineRule="exact"/>
              <w:ind w:right="399" w:rightChars="190"/>
              <w:rPr>
                <w:color w:val="000000" w:themeColor="text1"/>
                <w:szCs w:val="21"/>
                <w:highlight w:val="none"/>
                <w14:textFill>
                  <w14:solidFill>
                    <w14:schemeClr w14:val="tx1"/>
                  </w14:solidFill>
                </w14:textFill>
              </w:rPr>
            </w:pPr>
          </w:p>
        </w:tc>
      </w:tr>
    </w:tbl>
    <w:p>
      <w:pPr>
        <w:ind w:right="399" w:rightChars="190"/>
        <w:rPr>
          <w:color w:val="000000" w:themeColor="text1"/>
          <w:szCs w:val="21"/>
          <w:highlight w:val="none"/>
          <w14:textFill>
            <w14:solidFill>
              <w14:schemeClr w14:val="tx1"/>
            </w14:solidFill>
          </w14:textFill>
        </w:rPr>
      </w:pPr>
      <w:r>
        <w:rPr>
          <w:rFonts w:eastAsia="楷体_GB2312"/>
          <w:color w:val="000000" w:themeColor="text1"/>
          <w:szCs w:val="21"/>
          <w:highlight w:val="none"/>
          <w14:textFill>
            <w14:solidFill>
              <w14:schemeClr w14:val="tx1"/>
            </w14:solidFill>
          </w14:textFill>
        </w:rPr>
        <w:t>备注：</w:t>
      </w:r>
      <w:r>
        <w:rPr>
          <w:rFonts w:hint="eastAsia" w:eastAsia="楷体_GB2312"/>
          <w:color w:val="000000" w:themeColor="text1"/>
          <w:szCs w:val="21"/>
          <w:highlight w:val="none"/>
          <w14:textFill>
            <w14:solidFill>
              <w14:schemeClr w14:val="tx1"/>
            </w14:solidFill>
          </w14:textFill>
        </w:rPr>
        <w:t>附获奖证明材料复印件加盖单位公章，所有奖项均以颁奖日期为准。</w:t>
      </w:r>
    </w:p>
    <w:bookmarkEnd w:id="155"/>
    <w:p>
      <w:pPr>
        <w:snapToGrid w:val="0"/>
        <w:spacing w:before="120" w:beforeLines="50"/>
        <w:rPr>
          <w:rFonts w:ascii="宋体" w:hAnsi="宋体"/>
          <w:color w:val="000000" w:themeColor="text1"/>
          <w:szCs w:val="21"/>
          <w:highlight w:val="none"/>
          <w14:textFill>
            <w14:solidFill>
              <w14:schemeClr w14:val="tx1"/>
            </w14:solidFill>
          </w14:textFill>
        </w:rPr>
      </w:pPr>
    </w:p>
    <w:p>
      <w:pPr>
        <w:snapToGrid w:val="0"/>
        <w:spacing w:before="120" w:beforeLines="50"/>
        <w:rPr>
          <w:rFonts w:ascii="宋体" w:hAnsi="宋体"/>
          <w:b/>
          <w:color w:val="000000" w:themeColor="text1"/>
          <w:szCs w:val="21"/>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val="en-US" w:eastAsia="zh-CN"/>
          <w14:textFill>
            <w14:solidFill>
              <w14:schemeClr w14:val="tx1"/>
            </w14:solidFill>
          </w14:textFill>
        </w:rPr>
        <w:t>7</w:t>
      </w:r>
      <w:r>
        <w:rPr>
          <w:rFonts w:hint="eastAsia" w:ascii="宋体" w:hAnsi="宋体"/>
          <w:b/>
          <w:color w:val="000000" w:themeColor="text1"/>
          <w:szCs w:val="21"/>
          <w:highlight w:val="none"/>
          <w14:textFill>
            <w14:solidFill>
              <w14:schemeClr w14:val="tx1"/>
            </w14:solidFill>
          </w14:textFill>
        </w:rPr>
        <w:t>企业信誉情况</w:t>
      </w:r>
    </w:p>
    <w:p>
      <w:pPr>
        <w:snapToGrid w:val="0"/>
        <w:spacing w:before="120" w:beforeLine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格式自拟</w:t>
      </w:r>
    </w:p>
    <w:p>
      <w:pPr>
        <w:snapToGrid w:val="0"/>
        <w:spacing w:before="120" w:beforeLines="50"/>
        <w:rPr>
          <w:rFonts w:ascii="宋体" w:hAnsi="宋体"/>
          <w:color w:val="000000" w:themeColor="text1"/>
          <w:szCs w:val="21"/>
          <w:highlight w:val="none"/>
          <w14:textFill>
            <w14:solidFill>
              <w14:schemeClr w14:val="tx1"/>
            </w14:solidFill>
          </w14:textFill>
        </w:rPr>
      </w:pPr>
    </w:p>
    <w:p>
      <w:pPr>
        <w:snapToGrid w:val="0"/>
        <w:spacing w:before="120" w:beforeLines="50"/>
        <w:rPr>
          <w:rFonts w:ascii="宋体" w:hAnsi="宋体"/>
          <w:color w:val="000000" w:themeColor="text1"/>
          <w:szCs w:val="21"/>
          <w:highlight w:val="none"/>
          <w14:textFill>
            <w14:solidFill>
              <w14:schemeClr w14:val="tx1"/>
            </w14:solidFill>
          </w14:textFill>
        </w:rPr>
      </w:pPr>
    </w:p>
    <w:p>
      <w:pPr>
        <w:snapToGrid w:val="0"/>
        <w:spacing w:before="120" w:beforeLines="50"/>
        <w:rPr>
          <w:rFonts w:ascii="宋体" w:hAnsi="宋体"/>
          <w:color w:val="000000" w:themeColor="text1"/>
          <w:szCs w:val="21"/>
          <w:highlight w:val="none"/>
          <w14:textFill>
            <w14:solidFill>
              <w14:schemeClr w14:val="tx1"/>
            </w14:solidFill>
          </w14:textFill>
        </w:rPr>
      </w:pPr>
    </w:p>
    <w:p>
      <w:pPr>
        <w:snapToGrid w:val="0"/>
        <w:spacing w:before="120" w:beforeLines="50"/>
        <w:rPr>
          <w:rFonts w:ascii="宋体" w:hAnsi="宋体"/>
          <w:color w:val="000000" w:themeColor="text1"/>
          <w:szCs w:val="21"/>
          <w:highlight w:val="none"/>
          <w14:textFill>
            <w14:solidFill>
              <w14:schemeClr w14:val="tx1"/>
            </w14:solidFill>
          </w14:textFill>
        </w:rPr>
      </w:pPr>
    </w:p>
    <w:p>
      <w:pPr>
        <w:snapToGrid w:val="0"/>
        <w:spacing w:before="120" w:beforeLines="50"/>
        <w:rPr>
          <w:rFonts w:ascii="宋体" w:hAnsi="宋体"/>
          <w:color w:val="000000" w:themeColor="text1"/>
          <w:szCs w:val="21"/>
          <w:highlight w:val="none"/>
          <w14:textFill>
            <w14:solidFill>
              <w14:schemeClr w14:val="tx1"/>
            </w14:solidFill>
          </w14:textFill>
        </w:rPr>
      </w:pPr>
    </w:p>
    <w:p>
      <w:pPr>
        <w:snapToGrid w:val="0"/>
        <w:spacing w:before="120" w:beforeLines="50" w:after="5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val="en-US" w:eastAsia="zh-CN"/>
          <w14:textFill>
            <w14:solidFill>
              <w14:schemeClr w14:val="tx1"/>
            </w14:solidFill>
          </w14:textFill>
        </w:rPr>
        <w:t>8</w:t>
      </w:r>
      <w:r>
        <w:rPr>
          <w:rFonts w:hint="eastAsia" w:ascii="宋体" w:hAnsi="宋体"/>
          <w:b/>
          <w:color w:val="000000" w:themeColor="text1"/>
          <w:szCs w:val="21"/>
          <w:highlight w:val="none"/>
          <w14:textFill>
            <w14:solidFill>
              <w14:schemeClr w14:val="tx1"/>
            </w14:solidFill>
          </w14:textFill>
        </w:rPr>
        <w:t>其他需要说明的情况</w:t>
      </w:r>
    </w:p>
    <w:p>
      <w:pPr>
        <w:snapToGrid w:val="0"/>
        <w:spacing w:before="120" w:beforeLine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格式自拟</w:t>
      </w:r>
    </w:p>
    <w:p>
      <w:pPr>
        <w:pStyle w:val="2"/>
        <w:rPr>
          <w:color w:val="000000" w:themeColor="text1"/>
          <w:highlight w:val="none"/>
          <w14:textFill>
            <w14:solidFill>
              <w14:schemeClr w14:val="tx1"/>
            </w14:solidFill>
          </w14:textFill>
        </w:rPr>
        <w:sectPr>
          <w:headerReference r:id="rId8" w:type="default"/>
          <w:footerReference r:id="rId9" w:type="default"/>
          <w:pgSz w:w="11906" w:h="16838"/>
          <w:pgMar w:top="1440" w:right="1797" w:bottom="1440" w:left="1797" w:header="851" w:footer="992" w:gutter="0"/>
          <w:cols w:space="720" w:num="1"/>
          <w:docGrid w:linePitch="312" w:charSpace="0"/>
        </w:sectPr>
      </w:pPr>
    </w:p>
    <w:p>
      <w:pPr>
        <w:snapToGrid w:val="0"/>
        <w:spacing w:before="120" w:beforeLines="50" w:after="50"/>
        <w:outlineLvl w:val="1"/>
        <w:rPr>
          <w:rFonts w:ascii="宋体" w:hAnsi="宋体"/>
          <w:b/>
          <w:color w:val="000000" w:themeColor="text1"/>
          <w:sz w:val="28"/>
          <w:szCs w:val="28"/>
          <w:highlight w:val="none"/>
          <w14:textFill>
            <w14:solidFill>
              <w14:schemeClr w14:val="tx1"/>
            </w14:solidFill>
          </w14:textFill>
        </w:rPr>
      </w:pPr>
      <w:bookmarkStart w:id="156" w:name="_Toc19686839"/>
      <w:r>
        <w:rPr>
          <w:rFonts w:hint="eastAsia" w:ascii="宋体" w:hAnsi="宋体"/>
          <w:b/>
          <w:color w:val="000000" w:themeColor="text1"/>
          <w:sz w:val="28"/>
          <w:szCs w:val="28"/>
          <w:highlight w:val="none"/>
          <w14:textFill>
            <w14:solidFill>
              <w14:schemeClr w14:val="tx1"/>
            </w14:solidFill>
          </w14:textFill>
        </w:rPr>
        <w:t>三、技术文件格式</w:t>
      </w:r>
      <w:bookmarkEnd w:id="156"/>
    </w:p>
    <w:p>
      <w:pPr>
        <w:snapToGrid w:val="0"/>
        <w:spacing w:before="120" w:beforeLines="50" w:after="50"/>
        <w:outlineLvl w:val="1"/>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 xml:space="preserve">1. </w:t>
      </w:r>
      <w:r>
        <w:rPr>
          <w:rFonts w:hint="eastAsia" w:ascii="宋体" w:hAnsi="宋体"/>
          <w:b/>
          <w:color w:val="000000" w:themeColor="text1"/>
          <w:sz w:val="28"/>
          <w:szCs w:val="28"/>
          <w:highlight w:val="none"/>
          <w14:textFill>
            <w14:solidFill>
              <w14:schemeClr w14:val="tx1"/>
            </w14:solidFill>
          </w14:textFill>
        </w:rPr>
        <w:t>技术文件封面格式</w:t>
      </w:r>
    </w:p>
    <w:p>
      <w:pPr>
        <w:snapToGrid w:val="0"/>
        <w:spacing w:before="120" w:beforeLines="50" w:after="50" w:line="400" w:lineRule="exact"/>
        <w:jc w:val="righ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正本/副本</w:t>
      </w:r>
    </w:p>
    <w:p>
      <w:pPr>
        <w:snapToGrid w:val="0"/>
        <w:spacing w:before="120" w:beforeLines="50" w:after="50" w:line="400" w:lineRule="exact"/>
        <w:jc w:val="center"/>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技术文件</w:t>
      </w:r>
    </w:p>
    <w:p>
      <w:pPr>
        <w:snapToGrid w:val="0"/>
        <w:spacing w:before="120" w:beforeLines="50" w:after="50" w:line="400" w:lineRule="exac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jc w:val="lef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ind w:firstLine="315" w:firstLineChars="15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pPr>
        <w:snapToGrid w:val="0"/>
        <w:spacing w:before="120" w:beforeLines="50" w:after="50" w:line="400" w:lineRule="exact"/>
        <w:ind w:firstLine="315" w:firstLineChars="150"/>
        <w:jc w:val="lef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ind w:firstLine="315" w:firstLineChars="15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pPr>
        <w:snapToGrid w:val="0"/>
        <w:spacing w:before="120" w:beforeLines="50" w:after="50" w:line="400" w:lineRule="exact"/>
        <w:ind w:firstLine="315" w:firstLineChars="150"/>
        <w:jc w:val="lef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ind w:firstLine="315" w:firstLineChars="15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p>
    <w:p>
      <w:pPr>
        <w:snapToGrid w:val="0"/>
        <w:spacing w:before="120" w:beforeLines="50" w:after="50" w:line="400" w:lineRule="exact"/>
        <w:ind w:firstLine="315" w:firstLineChars="150"/>
        <w:jc w:val="lef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ind w:firstLine="315" w:firstLineChars="15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投标人地址：</w:t>
      </w:r>
    </w:p>
    <w:p>
      <w:pPr>
        <w:pStyle w:val="10"/>
        <w:snapToGrid w:val="0"/>
        <w:spacing w:before="50" w:after="50" w:line="400" w:lineRule="exact"/>
        <w:ind w:firstLine="840" w:firstLineChars="400"/>
        <w:jc w:val="left"/>
        <w:rPr>
          <w:rFonts w:ascii="宋体" w:hAnsi="宋体"/>
          <w:bCs/>
          <w:color w:val="000000" w:themeColor="text1"/>
          <w:szCs w:val="21"/>
          <w:highlight w:val="none"/>
          <w14:textFill>
            <w14:solidFill>
              <w14:schemeClr w14:val="tx1"/>
            </w14:solidFill>
          </w14:textFill>
        </w:rPr>
      </w:pPr>
    </w:p>
    <w:p>
      <w:pPr>
        <w:snapToGrid w:val="0"/>
        <w:spacing w:before="120" w:beforeLines="50" w:after="50" w:line="400" w:lineRule="exact"/>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snapToGrid w:val="0"/>
        <w:spacing w:before="120" w:beforeLines="50" w:after="50"/>
        <w:rPr>
          <w:rFonts w:ascii="宋体" w:hAnsi="宋体"/>
          <w:b/>
          <w:color w:val="000000" w:themeColor="text1"/>
          <w:sz w:val="24"/>
          <w:highlight w:val="none"/>
          <w14:textFill>
            <w14:solidFill>
              <w14:schemeClr w14:val="tx1"/>
            </w14:solidFill>
          </w14:textFill>
        </w:rPr>
      </w:pPr>
    </w:p>
    <w:p>
      <w:pPr>
        <w:snapToGrid w:val="0"/>
        <w:spacing w:before="120" w:beforeLines="50" w:after="50" w:line="360" w:lineRule="auto"/>
        <w:jc w:val="left"/>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ascii="宋体" w:hAnsi="宋体"/>
          <w:b/>
          <w:bCs/>
          <w:color w:val="000000" w:themeColor="text1"/>
          <w:sz w:val="24"/>
          <w:highlight w:val="none"/>
          <w14:textFill>
            <w14:solidFill>
              <w14:schemeClr w14:val="tx1"/>
            </w14:solidFill>
          </w14:textFill>
        </w:rPr>
        <w:t>1.1</w:t>
      </w:r>
      <w:r>
        <w:rPr>
          <w:rFonts w:hint="eastAsia" w:ascii="宋体" w:hAnsi="宋体"/>
          <w:b/>
          <w:bCs/>
          <w:color w:val="000000" w:themeColor="text1"/>
          <w:sz w:val="24"/>
          <w:highlight w:val="none"/>
          <w14:textFill>
            <w14:solidFill>
              <w14:schemeClr w14:val="tx1"/>
            </w14:solidFill>
          </w14:textFill>
        </w:rPr>
        <w:t>. 技术文件目录</w:t>
      </w:r>
    </w:p>
    <w:p>
      <w:pPr>
        <w:snapToGrid w:val="0"/>
        <w:spacing w:before="50" w:after="120" w:afterLines="50" w:line="280" w:lineRule="exact"/>
        <w:ind w:left="283" w:leftChars="135"/>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根据招标文件规定及投标人提供的材料自行编写目录。</w:t>
      </w:r>
    </w:p>
    <w:p>
      <w:pPr>
        <w:pStyle w:val="2"/>
        <w:rPr>
          <w:color w:val="000000" w:themeColor="text1"/>
          <w:highlight w:val="none"/>
          <w14:textFill>
            <w14:solidFill>
              <w14:schemeClr w14:val="tx1"/>
            </w14:solidFill>
          </w14:textFill>
        </w:rPr>
      </w:pPr>
    </w:p>
    <w:p>
      <w:pPr>
        <w:snapToGrid w:val="0"/>
        <w:spacing w:before="120" w:beforeLines="50" w:after="50" w:line="360" w:lineRule="auto"/>
        <w:jc w:val="left"/>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1.2</w:t>
      </w:r>
      <w:r>
        <w:rPr>
          <w:rFonts w:hint="eastAsia" w:ascii="宋体" w:hAnsi="宋体"/>
          <w:b/>
          <w:bCs/>
          <w:color w:val="000000" w:themeColor="text1"/>
          <w:sz w:val="24"/>
          <w:highlight w:val="none"/>
          <w14:textFill>
            <w14:solidFill>
              <w14:schemeClr w14:val="tx1"/>
            </w14:solidFill>
          </w14:textFill>
        </w:rPr>
        <w:t>. 技术文件</w:t>
      </w:r>
    </w:p>
    <w:p>
      <w:pPr>
        <w:snapToGrid w:val="0"/>
        <w:spacing w:before="50" w:after="120" w:afterLines="50" w:line="280" w:lineRule="exact"/>
        <w:ind w:left="283" w:leftChars="135"/>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格式自拟。</w:t>
      </w:r>
    </w:p>
    <w:p>
      <w:pPr>
        <w:snapToGrid w:val="0"/>
        <w:spacing w:before="120" w:beforeLines="50" w:after="50"/>
        <w:jc w:val="left"/>
        <w:rPr>
          <w:rFonts w:ascii="宋体" w:hAnsi="宋体"/>
          <w:b/>
          <w:color w:val="000000" w:themeColor="text1"/>
          <w:sz w:val="24"/>
          <w:highlight w:val="none"/>
          <w14:textFill>
            <w14:solidFill>
              <w14:schemeClr w14:val="tx1"/>
            </w14:solidFill>
          </w14:textFill>
        </w:rPr>
      </w:pPr>
    </w:p>
    <w:p>
      <w:pPr>
        <w:snapToGrid w:val="0"/>
        <w:spacing w:before="120" w:beforeLines="50" w:after="50"/>
        <w:ind w:left="142"/>
        <w:jc w:val="left"/>
        <w:rPr>
          <w:rFonts w:ascii="宋体" w:hAnsi="宋体"/>
          <w:b/>
          <w:bCs/>
          <w:color w:val="000000" w:themeColor="text1"/>
          <w:sz w:val="28"/>
          <w:szCs w:val="28"/>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bookmarkStart w:id="157" w:name="_Toc19686840"/>
    </w:p>
    <w:p>
      <w:pPr>
        <w:snapToGrid w:val="0"/>
        <w:spacing w:before="120" w:beforeLines="50" w:after="50"/>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四、其他文书、文件格式</w:t>
      </w:r>
      <w:bookmarkEnd w:id="157"/>
    </w:p>
    <w:p>
      <w:pPr>
        <w:spacing w:before="120" w:beforeLines="50" w:after="120" w:afterLines="50" w:line="400" w:lineRule="exact"/>
        <w:rPr>
          <w:rFonts w:ascii="宋体" w:hAnsi="宋体"/>
          <w:szCs w:val="21"/>
          <w:highlight w:val="none"/>
        </w:rPr>
      </w:pPr>
    </w:p>
    <w:p>
      <w:pPr>
        <w:snapToGrid w:val="0"/>
        <w:spacing w:before="120" w:beforeLines="50" w:after="50"/>
        <w:jc w:val="left"/>
        <w:rPr>
          <w:rFonts w:ascii="宋体" w:hAnsi="宋体"/>
          <w:b/>
          <w:spacing w:val="20"/>
          <w:szCs w:val="21"/>
          <w:highlight w:val="none"/>
        </w:rPr>
      </w:pPr>
      <w:r>
        <w:rPr>
          <w:rFonts w:ascii="宋体" w:hAnsi="宋体"/>
          <w:b/>
          <w:spacing w:val="20"/>
          <w:szCs w:val="21"/>
          <w:highlight w:val="none"/>
        </w:rPr>
        <w:t>1</w:t>
      </w:r>
      <w:r>
        <w:rPr>
          <w:rFonts w:hint="eastAsia" w:ascii="宋体" w:hAnsi="宋体"/>
          <w:b/>
          <w:spacing w:val="20"/>
          <w:szCs w:val="21"/>
          <w:highlight w:val="none"/>
        </w:rPr>
        <w:t>.联合投标协议书格式</w:t>
      </w:r>
    </w:p>
    <w:p>
      <w:pPr>
        <w:pStyle w:val="10"/>
        <w:overflowPunct w:val="0"/>
        <w:jc w:val="center"/>
        <w:rPr>
          <w:rFonts w:ascii="宋体" w:hAnsi="宋体"/>
          <w:b/>
          <w:bCs/>
          <w:szCs w:val="21"/>
          <w:highlight w:val="none"/>
        </w:rPr>
      </w:pPr>
      <w:r>
        <w:rPr>
          <w:rFonts w:hint="eastAsia" w:ascii="宋体" w:hAnsi="宋体"/>
          <w:b/>
          <w:bCs/>
          <w:szCs w:val="21"/>
          <w:highlight w:val="none"/>
        </w:rPr>
        <w:t>联合体协议书</w:t>
      </w:r>
    </w:p>
    <w:p>
      <w:pPr>
        <w:pStyle w:val="10"/>
        <w:overflowPunct w:val="0"/>
        <w:spacing w:line="360" w:lineRule="auto"/>
        <w:ind w:firstLine="0"/>
        <w:contextualSpacing/>
        <w:rPr>
          <w:rFonts w:ascii="宋体" w:hAnsi="宋体"/>
          <w:szCs w:val="21"/>
          <w:highlight w:val="none"/>
        </w:rPr>
      </w:pPr>
    </w:p>
    <w:p>
      <w:pPr>
        <w:pStyle w:val="10"/>
        <w:overflowPunct w:val="0"/>
        <w:spacing w:line="360" w:lineRule="auto"/>
        <w:contextualSpacing/>
        <w:rPr>
          <w:rFonts w:ascii="宋体" w:hAnsi="宋体"/>
          <w:szCs w:val="21"/>
          <w:highlight w:val="none"/>
        </w:rPr>
      </w:pPr>
      <w:r>
        <w:rPr>
          <w:rFonts w:ascii="宋体" w:hAnsi="宋体"/>
          <w:szCs w:val="21"/>
          <w:highlight w:val="none"/>
          <w:u w:val="single"/>
        </w:rPr>
        <w:t xml:space="preserve"> </w:t>
      </w:r>
      <w:r>
        <w:rPr>
          <w:rFonts w:ascii="宋体" w:hAnsi="宋体"/>
          <w:szCs w:val="21"/>
          <w:highlight w:val="none"/>
          <w:u w:val="single"/>
        </w:rPr>
        <w:tab/>
      </w:r>
      <w:r>
        <w:rPr>
          <w:rFonts w:hint="eastAsia" w:ascii="宋体" w:hAnsi="宋体"/>
          <w:szCs w:val="21"/>
          <w:highlight w:val="none"/>
        </w:rPr>
        <w:t>（所有成员单位名称）自愿组成</w:t>
      </w:r>
      <w:r>
        <w:rPr>
          <w:rFonts w:ascii="宋体" w:hAnsi="宋体"/>
          <w:szCs w:val="21"/>
          <w:highlight w:val="none"/>
          <w:u w:val="single"/>
        </w:rPr>
        <w:t xml:space="preserve"> </w:t>
      </w:r>
      <w:r>
        <w:rPr>
          <w:rFonts w:ascii="宋体" w:hAnsi="宋体"/>
          <w:szCs w:val="21"/>
          <w:highlight w:val="none"/>
          <w:u w:val="single"/>
        </w:rPr>
        <w:tab/>
      </w:r>
      <w:r>
        <w:rPr>
          <w:rFonts w:hint="eastAsia" w:ascii="宋体" w:hAnsi="宋体"/>
          <w:szCs w:val="21"/>
          <w:highlight w:val="none"/>
        </w:rPr>
        <w:t>（联合体名称）联合体，共同参加</w:t>
      </w:r>
      <w:r>
        <w:rPr>
          <w:rFonts w:ascii="宋体" w:hAnsi="宋体"/>
          <w:szCs w:val="21"/>
          <w:highlight w:val="none"/>
          <w:u w:val="single"/>
        </w:rPr>
        <w:t xml:space="preserve"> </w:t>
      </w:r>
      <w:r>
        <w:rPr>
          <w:rFonts w:ascii="宋体" w:hAnsi="宋体"/>
          <w:szCs w:val="21"/>
          <w:highlight w:val="none"/>
          <w:u w:val="single"/>
        </w:rPr>
        <w:tab/>
      </w:r>
      <w:r>
        <w:rPr>
          <w:rFonts w:hint="eastAsia" w:ascii="宋体" w:hAnsi="宋体"/>
          <w:szCs w:val="21"/>
          <w:highlight w:val="none"/>
          <w:u w:val="single"/>
        </w:rPr>
        <w:t>（项</w:t>
      </w:r>
      <w:r>
        <w:rPr>
          <w:rFonts w:hint="eastAsia" w:ascii="宋体" w:hAnsi="宋体"/>
          <w:szCs w:val="21"/>
          <w:highlight w:val="none"/>
        </w:rPr>
        <w:t>目名称）采购招标项目投标。现就联合体投标事宜订立如下协议。</w:t>
      </w:r>
    </w:p>
    <w:p>
      <w:pPr>
        <w:pStyle w:val="10"/>
        <w:overflowPunct w:val="0"/>
        <w:spacing w:line="360" w:lineRule="auto"/>
        <w:contextualSpacing/>
        <w:rPr>
          <w:rFonts w:ascii="宋体" w:hAnsi="宋体"/>
          <w:szCs w:val="21"/>
          <w:highlight w:val="none"/>
        </w:rPr>
      </w:pPr>
    </w:p>
    <w:p>
      <w:pPr>
        <w:pStyle w:val="10"/>
        <w:overflowPunct w:val="0"/>
        <w:spacing w:line="360" w:lineRule="auto"/>
        <w:ind w:firstLine="367" w:firstLineChars="175"/>
        <w:contextualSpacing/>
        <w:rPr>
          <w:rFonts w:ascii="宋体" w:hAnsi="宋体"/>
          <w:szCs w:val="21"/>
          <w:highlight w:val="none"/>
        </w:rPr>
      </w:pPr>
      <w:r>
        <w:rPr>
          <w:rFonts w:ascii="宋体" w:hAnsi="宋体"/>
          <w:szCs w:val="21"/>
          <w:highlight w:val="none"/>
        </w:rPr>
        <w:t xml:space="preserve">1.  </w:t>
      </w:r>
      <w:r>
        <w:rPr>
          <w:rFonts w:ascii="宋体" w:hAnsi="宋体"/>
          <w:szCs w:val="21"/>
          <w:highlight w:val="none"/>
          <w:u w:val="single"/>
        </w:rPr>
        <w:t xml:space="preserve"> </w:t>
      </w:r>
      <w:r>
        <w:rPr>
          <w:rFonts w:ascii="宋体" w:hAnsi="宋体"/>
          <w:szCs w:val="21"/>
          <w:highlight w:val="none"/>
          <w:u w:val="single"/>
        </w:rPr>
        <w:tab/>
      </w:r>
      <w:r>
        <w:rPr>
          <w:rFonts w:hint="eastAsia" w:ascii="宋体" w:hAnsi="宋体"/>
          <w:szCs w:val="21"/>
          <w:highlight w:val="none"/>
        </w:rPr>
        <w:t>（某成员单位名称）为</w:t>
      </w:r>
      <w:r>
        <w:rPr>
          <w:rFonts w:ascii="宋体" w:hAnsi="宋体"/>
          <w:szCs w:val="21"/>
          <w:highlight w:val="none"/>
          <w:u w:val="single"/>
        </w:rPr>
        <w:t xml:space="preserve"> </w:t>
      </w:r>
      <w:r>
        <w:rPr>
          <w:rFonts w:ascii="宋体" w:hAnsi="宋体"/>
          <w:szCs w:val="21"/>
          <w:highlight w:val="none"/>
          <w:u w:val="single"/>
        </w:rPr>
        <w:tab/>
      </w:r>
      <w:r>
        <w:rPr>
          <w:rFonts w:hint="eastAsia" w:ascii="宋体" w:hAnsi="宋体"/>
          <w:szCs w:val="21"/>
          <w:highlight w:val="none"/>
        </w:rPr>
        <w:t>（联合体名称）牵头人。</w:t>
      </w:r>
    </w:p>
    <w:p>
      <w:pPr>
        <w:pStyle w:val="10"/>
        <w:overflowPunct w:val="0"/>
        <w:spacing w:line="360" w:lineRule="auto"/>
        <w:ind w:firstLine="367" w:firstLineChars="175"/>
        <w:contextualSpacing/>
        <w:rPr>
          <w:rFonts w:ascii="宋体" w:hAnsi="宋体"/>
          <w:szCs w:val="21"/>
          <w:highlight w:val="none"/>
        </w:rPr>
      </w:pPr>
      <w:r>
        <w:rPr>
          <w:rFonts w:ascii="宋体" w:hAnsi="宋体"/>
          <w:szCs w:val="21"/>
          <w:highlight w:val="none"/>
        </w:rPr>
        <w:t>2.</w:t>
      </w:r>
      <w:r>
        <w:rPr>
          <w:rFonts w:hint="eastAsia" w:ascii="宋体" w:hAnsi="宋体"/>
          <w:szCs w:val="21"/>
          <w:highlight w:val="none"/>
        </w:rPr>
        <w:t>联合体各成员授权牵头人代表联合体参加投标活动，签署文件及对文件的盖章，提交和接收相关的资料、</w:t>
      </w:r>
      <w:r>
        <w:rPr>
          <w:rFonts w:ascii="宋体" w:hAnsi="宋体"/>
          <w:szCs w:val="21"/>
          <w:highlight w:val="none"/>
        </w:rPr>
        <w:t xml:space="preserve"> </w:t>
      </w:r>
      <w:r>
        <w:rPr>
          <w:rFonts w:hint="eastAsia" w:ascii="宋体" w:hAnsi="宋体"/>
          <w:szCs w:val="21"/>
          <w:highlight w:val="none"/>
        </w:rPr>
        <w:t>信息及指示，进行合同谈判活动，负责合同实施阶段的组织和协调工作，以及处理与本招标项</w:t>
      </w:r>
      <w:r>
        <w:rPr>
          <w:rFonts w:ascii="宋体" w:hAnsi="宋体"/>
          <w:szCs w:val="21"/>
          <w:highlight w:val="none"/>
        </w:rPr>
        <w:t xml:space="preserve"> </w:t>
      </w:r>
      <w:r>
        <w:rPr>
          <w:rFonts w:hint="eastAsia" w:ascii="宋体" w:hAnsi="宋体"/>
          <w:szCs w:val="21"/>
          <w:highlight w:val="none"/>
        </w:rPr>
        <w:t>目有关的一切事宜。</w:t>
      </w:r>
    </w:p>
    <w:p>
      <w:pPr>
        <w:pStyle w:val="10"/>
        <w:overflowPunct w:val="0"/>
        <w:spacing w:line="360" w:lineRule="auto"/>
        <w:ind w:firstLine="367" w:firstLineChars="175"/>
        <w:contextualSpacing/>
        <w:rPr>
          <w:rFonts w:ascii="宋体" w:hAnsi="宋体"/>
          <w:szCs w:val="21"/>
          <w:highlight w:val="none"/>
        </w:rPr>
      </w:pPr>
      <w:r>
        <w:rPr>
          <w:rFonts w:ascii="宋体" w:hAnsi="宋体"/>
          <w:szCs w:val="21"/>
          <w:highlight w:val="none"/>
        </w:rPr>
        <w:t>3.</w:t>
      </w:r>
      <w:r>
        <w:rPr>
          <w:rFonts w:hint="eastAsia" w:ascii="宋体" w:hAnsi="宋体"/>
          <w:szCs w:val="21"/>
          <w:highlight w:val="none"/>
        </w:rPr>
        <w:t>联合体牵头人在本项目中签署和盖章的一切文件和处理的一切事宜，联合体各成员均予以承认。</w:t>
      </w:r>
      <w:r>
        <w:rPr>
          <w:rFonts w:ascii="宋体" w:hAnsi="宋体"/>
          <w:szCs w:val="21"/>
          <w:highlight w:val="none"/>
        </w:rPr>
        <w:t xml:space="preserve"> </w:t>
      </w:r>
      <w:r>
        <w:rPr>
          <w:rFonts w:hint="eastAsia" w:ascii="宋体" w:hAnsi="宋体"/>
          <w:szCs w:val="21"/>
          <w:highlight w:val="none"/>
        </w:rPr>
        <w:t>联合体各成员将严格按照招标文件、投标文件和合同的要求全面履行义务，并向招标人承担连带责任。</w:t>
      </w:r>
    </w:p>
    <w:p>
      <w:pPr>
        <w:pStyle w:val="10"/>
        <w:overflowPunct w:val="0"/>
        <w:spacing w:line="360" w:lineRule="auto"/>
        <w:ind w:firstLine="367" w:firstLineChars="175"/>
        <w:contextualSpacing/>
        <w:rPr>
          <w:rFonts w:ascii="宋体" w:hAnsi="宋体"/>
          <w:szCs w:val="21"/>
          <w:highlight w:val="none"/>
        </w:rPr>
      </w:pPr>
      <w:r>
        <w:rPr>
          <w:rFonts w:ascii="宋体" w:hAnsi="宋体"/>
          <w:szCs w:val="21"/>
          <w:highlight w:val="none"/>
        </w:rPr>
        <w:t>4.</w:t>
      </w:r>
      <w:r>
        <w:rPr>
          <w:rFonts w:hint="eastAsia" w:ascii="宋体" w:hAnsi="宋体"/>
          <w:szCs w:val="21"/>
          <w:highlight w:val="none"/>
        </w:rPr>
        <w:t>联合体各成员单位内部的职责分工如下：</w:t>
      </w:r>
      <w:r>
        <w:rPr>
          <w:rFonts w:ascii="宋体" w:hAnsi="宋体"/>
          <w:szCs w:val="21"/>
          <w:highlight w:val="none"/>
          <w:u w:val="single"/>
        </w:rPr>
        <w:t xml:space="preserve"> </w:t>
      </w:r>
      <w:r>
        <w:rPr>
          <w:rFonts w:ascii="宋体" w:hAnsi="宋体"/>
          <w:szCs w:val="21"/>
          <w:highlight w:val="none"/>
          <w:u w:val="single"/>
        </w:rPr>
        <w:tab/>
      </w:r>
      <w:r>
        <w:rPr>
          <w:rFonts w:hint="eastAsia" w:ascii="宋体" w:hAnsi="宋体"/>
          <w:szCs w:val="21"/>
          <w:highlight w:val="none"/>
        </w:rPr>
        <w:t>。</w:t>
      </w:r>
    </w:p>
    <w:p>
      <w:pPr>
        <w:pStyle w:val="10"/>
        <w:overflowPunct w:val="0"/>
        <w:spacing w:line="360" w:lineRule="auto"/>
        <w:ind w:firstLine="367" w:firstLineChars="175"/>
        <w:contextualSpacing/>
        <w:rPr>
          <w:rFonts w:ascii="宋体" w:hAnsi="宋体"/>
          <w:szCs w:val="21"/>
          <w:highlight w:val="none"/>
        </w:rPr>
      </w:pPr>
      <w:r>
        <w:rPr>
          <w:rFonts w:ascii="宋体" w:hAnsi="宋体"/>
          <w:szCs w:val="21"/>
          <w:highlight w:val="none"/>
        </w:rPr>
        <w:t>5.</w:t>
      </w:r>
      <w:r>
        <w:rPr>
          <w:rFonts w:hint="eastAsia" w:ascii="宋体" w:hAnsi="宋体"/>
          <w:szCs w:val="21"/>
          <w:highlight w:val="none"/>
        </w:rPr>
        <w:t>本协议书自所有成员单位法定代表人或者其委托代理人签字或者盖公章之日起生效，合同履行完毕后自动失效。</w:t>
      </w:r>
    </w:p>
    <w:p>
      <w:pPr>
        <w:pStyle w:val="10"/>
        <w:overflowPunct w:val="0"/>
        <w:spacing w:line="360" w:lineRule="auto"/>
        <w:ind w:firstLine="367" w:firstLineChars="175"/>
        <w:contextualSpacing/>
        <w:rPr>
          <w:rFonts w:ascii="宋体" w:hAnsi="宋体"/>
          <w:szCs w:val="21"/>
          <w:highlight w:val="none"/>
        </w:rPr>
      </w:pPr>
      <w:r>
        <w:rPr>
          <w:rFonts w:ascii="宋体" w:hAnsi="宋体"/>
          <w:szCs w:val="21"/>
          <w:highlight w:val="none"/>
        </w:rPr>
        <w:t>6.</w:t>
      </w:r>
      <w:r>
        <w:rPr>
          <w:rFonts w:hint="eastAsia" w:ascii="宋体" w:hAnsi="宋体"/>
          <w:szCs w:val="21"/>
          <w:highlight w:val="none"/>
        </w:rPr>
        <w:t>本协议书一式</w:t>
      </w:r>
      <w:r>
        <w:rPr>
          <w:rFonts w:ascii="宋体" w:hAnsi="宋体"/>
          <w:szCs w:val="21"/>
          <w:highlight w:val="none"/>
          <w:u w:val="single"/>
        </w:rPr>
        <w:t xml:space="preserve"> </w:t>
      </w:r>
      <w:r>
        <w:rPr>
          <w:rFonts w:ascii="宋体" w:hAnsi="宋体"/>
          <w:szCs w:val="21"/>
          <w:highlight w:val="none"/>
          <w:u w:val="single"/>
        </w:rPr>
        <w:tab/>
      </w:r>
      <w:r>
        <w:rPr>
          <w:rFonts w:hint="eastAsia" w:ascii="宋体" w:hAnsi="宋体"/>
          <w:szCs w:val="21"/>
          <w:highlight w:val="none"/>
        </w:rPr>
        <w:t>份，联合体成员和招标人各执一份。</w:t>
      </w:r>
    </w:p>
    <w:p>
      <w:pPr>
        <w:pStyle w:val="10"/>
        <w:overflowPunct w:val="0"/>
        <w:spacing w:line="360" w:lineRule="auto"/>
        <w:ind w:firstLine="367" w:firstLineChars="175"/>
        <w:contextualSpacing/>
        <w:rPr>
          <w:rFonts w:ascii="宋体" w:hAnsi="宋体"/>
          <w:szCs w:val="21"/>
          <w:highlight w:val="none"/>
        </w:rPr>
      </w:pPr>
      <w:r>
        <w:rPr>
          <w:rFonts w:hint="eastAsia" w:ascii="宋体" w:hAnsi="宋体"/>
          <w:szCs w:val="21"/>
          <w:highlight w:val="none"/>
        </w:rPr>
        <w:t>注：本协议书由法定代表人签字的，应附法定代表人身份证明；由委托代理人签字的，应附授权委托书。</w:t>
      </w:r>
    </w:p>
    <w:p>
      <w:pPr>
        <w:pStyle w:val="10"/>
        <w:overflowPunct w:val="0"/>
        <w:spacing w:line="360" w:lineRule="auto"/>
        <w:ind w:firstLine="367" w:firstLineChars="175"/>
        <w:contextualSpacing/>
        <w:rPr>
          <w:rFonts w:ascii="宋体" w:hAnsi="宋体"/>
          <w:szCs w:val="21"/>
          <w:highlight w:val="none"/>
        </w:rPr>
      </w:pPr>
    </w:p>
    <w:p>
      <w:pPr>
        <w:pStyle w:val="10"/>
        <w:overflowPunct w:val="0"/>
        <w:spacing w:line="360" w:lineRule="auto"/>
        <w:ind w:firstLine="367" w:firstLineChars="175"/>
        <w:contextualSpacing/>
        <w:rPr>
          <w:rFonts w:ascii="宋体" w:hAnsi="宋体"/>
          <w:szCs w:val="21"/>
          <w:highlight w:val="none"/>
        </w:rPr>
      </w:pPr>
      <w:r>
        <w:rPr>
          <w:rFonts w:hint="eastAsia" w:ascii="宋体" w:hAnsi="宋体"/>
          <w:szCs w:val="21"/>
          <w:highlight w:val="none"/>
        </w:rPr>
        <w:t>联合体牵头人名称（盖公章）：</w:t>
      </w:r>
    </w:p>
    <w:p>
      <w:pPr>
        <w:pStyle w:val="10"/>
        <w:overflowPunct w:val="0"/>
        <w:spacing w:line="360" w:lineRule="auto"/>
        <w:ind w:firstLine="367" w:firstLineChars="175"/>
        <w:contextualSpacing/>
        <w:rPr>
          <w:rFonts w:ascii="宋体" w:hAnsi="宋体"/>
          <w:szCs w:val="21"/>
          <w:highlight w:val="none"/>
        </w:rPr>
      </w:pPr>
      <w:r>
        <w:rPr>
          <w:rFonts w:hint="eastAsia" w:ascii="宋体" w:hAnsi="宋体"/>
          <w:szCs w:val="21"/>
          <w:highlight w:val="none"/>
        </w:rPr>
        <w:t>法定代表人或者其委托代理人：</w:t>
      </w:r>
      <w:r>
        <w:rPr>
          <w:rFonts w:ascii="宋体" w:hAnsi="宋体"/>
          <w:szCs w:val="21"/>
          <w:highlight w:val="none"/>
        </w:rPr>
        <w:t xml:space="preserve"> </w:t>
      </w:r>
      <w:r>
        <w:rPr>
          <w:rFonts w:ascii="宋体" w:hAnsi="宋体"/>
          <w:szCs w:val="21"/>
          <w:highlight w:val="none"/>
        </w:rPr>
        <w:tab/>
      </w:r>
      <w:r>
        <w:rPr>
          <w:rFonts w:hint="eastAsia" w:ascii="宋体" w:hAnsi="宋体"/>
          <w:szCs w:val="21"/>
          <w:highlight w:val="none"/>
        </w:rPr>
        <w:t>（签字）</w:t>
      </w:r>
    </w:p>
    <w:p>
      <w:pPr>
        <w:pStyle w:val="10"/>
        <w:overflowPunct w:val="0"/>
        <w:spacing w:line="360" w:lineRule="auto"/>
        <w:ind w:firstLine="0"/>
        <w:contextualSpacing/>
        <w:rPr>
          <w:rFonts w:ascii="宋体" w:hAnsi="宋体"/>
          <w:szCs w:val="21"/>
          <w:highlight w:val="none"/>
        </w:rPr>
      </w:pPr>
    </w:p>
    <w:p>
      <w:pPr>
        <w:pStyle w:val="10"/>
        <w:overflowPunct w:val="0"/>
        <w:spacing w:line="360" w:lineRule="auto"/>
        <w:ind w:firstLine="367" w:firstLineChars="175"/>
        <w:contextualSpacing/>
        <w:rPr>
          <w:rFonts w:ascii="宋体" w:hAnsi="宋体"/>
          <w:szCs w:val="21"/>
          <w:highlight w:val="none"/>
        </w:rPr>
      </w:pPr>
      <w:r>
        <w:rPr>
          <w:rFonts w:hint="eastAsia" w:ascii="宋体" w:hAnsi="宋体"/>
          <w:szCs w:val="21"/>
          <w:highlight w:val="none"/>
        </w:rPr>
        <w:t>联合体成员名称（盖公章）：</w:t>
      </w:r>
    </w:p>
    <w:p>
      <w:pPr>
        <w:pStyle w:val="10"/>
        <w:overflowPunct w:val="0"/>
        <w:spacing w:line="360" w:lineRule="auto"/>
        <w:ind w:firstLine="367" w:firstLineChars="175"/>
        <w:contextualSpacing/>
        <w:rPr>
          <w:rFonts w:ascii="宋体" w:hAnsi="宋体"/>
          <w:szCs w:val="21"/>
          <w:highlight w:val="none"/>
        </w:rPr>
      </w:pPr>
      <w:r>
        <w:rPr>
          <w:rFonts w:hint="eastAsia" w:ascii="宋体" w:hAnsi="宋体"/>
          <w:szCs w:val="21"/>
          <w:highlight w:val="none"/>
        </w:rPr>
        <w:t>法定代表人或者其委托代理人：</w:t>
      </w:r>
      <w:r>
        <w:rPr>
          <w:rFonts w:ascii="宋体" w:hAnsi="宋体"/>
          <w:szCs w:val="21"/>
          <w:highlight w:val="none"/>
        </w:rPr>
        <w:t xml:space="preserve"> </w:t>
      </w:r>
      <w:r>
        <w:rPr>
          <w:rFonts w:ascii="宋体" w:hAnsi="宋体"/>
          <w:szCs w:val="21"/>
          <w:highlight w:val="none"/>
        </w:rPr>
        <w:tab/>
      </w:r>
      <w:r>
        <w:rPr>
          <w:rFonts w:hint="eastAsia" w:ascii="宋体" w:hAnsi="宋体"/>
          <w:szCs w:val="21"/>
          <w:highlight w:val="none"/>
        </w:rPr>
        <w:t>（签字）</w:t>
      </w:r>
    </w:p>
    <w:p>
      <w:pPr>
        <w:pStyle w:val="10"/>
        <w:overflowPunct w:val="0"/>
        <w:spacing w:line="360" w:lineRule="auto"/>
        <w:ind w:firstLine="367" w:firstLineChars="175"/>
        <w:contextualSpacing/>
        <w:rPr>
          <w:rFonts w:ascii="宋体" w:hAnsi="宋体"/>
          <w:szCs w:val="21"/>
          <w:highlight w:val="none"/>
        </w:rPr>
      </w:pPr>
      <w:r>
        <w:rPr>
          <w:rFonts w:ascii="宋体" w:hAnsi="宋体"/>
          <w:szCs w:val="21"/>
          <w:highlight w:val="none"/>
        </w:rPr>
        <w:t>……</w:t>
      </w:r>
    </w:p>
    <w:p>
      <w:pPr>
        <w:pStyle w:val="10"/>
        <w:overflowPunct w:val="0"/>
        <w:spacing w:line="360" w:lineRule="auto"/>
        <w:ind w:firstLine="367" w:firstLineChars="175"/>
        <w:contextualSpacing/>
        <w:jc w:val="right"/>
        <w:rPr>
          <w:rFonts w:ascii="宋体" w:hAnsi="宋体"/>
          <w:szCs w:val="21"/>
          <w:highlight w:val="none"/>
        </w:rPr>
      </w:pPr>
      <w:r>
        <w:rPr>
          <w:rFonts w:ascii="宋体" w:hAnsi="宋体"/>
          <w:szCs w:val="21"/>
          <w:highlight w:val="none"/>
        </w:rPr>
        <w:t xml:space="preserve"> </w:t>
      </w:r>
      <w:r>
        <w:rPr>
          <w:rFonts w:ascii="宋体" w:hAnsi="宋体"/>
          <w:szCs w:val="21"/>
          <w:highlight w:val="none"/>
        </w:rPr>
        <w:tab/>
      </w:r>
      <w:r>
        <w:rPr>
          <w:rFonts w:hint="eastAsia" w:ascii="宋体" w:hAnsi="宋体"/>
          <w:szCs w:val="21"/>
          <w:highlight w:val="none"/>
        </w:rPr>
        <w:t>年</w:t>
      </w:r>
      <w:r>
        <w:rPr>
          <w:rFonts w:ascii="宋体" w:hAnsi="宋体"/>
          <w:szCs w:val="21"/>
          <w:highlight w:val="none"/>
        </w:rPr>
        <w:t xml:space="preserve"> </w:t>
      </w:r>
      <w:r>
        <w:rPr>
          <w:rFonts w:ascii="宋体" w:hAnsi="宋体"/>
          <w:szCs w:val="21"/>
          <w:highlight w:val="none"/>
        </w:rPr>
        <w:tab/>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rPr>
        <w:tab/>
      </w:r>
      <w:r>
        <w:rPr>
          <w:rFonts w:hint="eastAsia" w:ascii="宋体" w:hAnsi="宋体"/>
          <w:szCs w:val="21"/>
          <w:highlight w:val="none"/>
        </w:rPr>
        <w:t>日</w:t>
      </w:r>
    </w:p>
    <w:p>
      <w:pPr>
        <w:spacing w:line="360" w:lineRule="auto"/>
        <w:contextualSpacing/>
        <w:jc w:val="left"/>
        <w:rPr>
          <w:rFonts w:ascii="宋体" w:hAnsi="宋体"/>
          <w:b/>
          <w:sz w:val="24"/>
          <w:highlight w:val="none"/>
        </w:rPr>
      </w:pPr>
      <w:r>
        <w:rPr>
          <w:rFonts w:hint="eastAsia" w:ascii="宋体" w:hAnsi="宋体"/>
          <w:b/>
          <w:sz w:val="24"/>
          <w:highlight w:val="none"/>
        </w:rPr>
        <w:t xml:space="preserve"> </w:t>
      </w:r>
    </w:p>
    <w:p>
      <w:pPr>
        <w:pStyle w:val="2"/>
        <w:rPr>
          <w:highlight w:val="none"/>
        </w:rPr>
      </w:pPr>
      <w:r>
        <w:rPr>
          <w:highlight w:val="none"/>
        </w:rPr>
        <w:br w:type="page"/>
      </w:r>
    </w:p>
    <w:p>
      <w:pPr>
        <w:snapToGrid w:val="0"/>
        <w:spacing w:before="120" w:beforeLines="50" w:after="50"/>
        <w:jc w:val="left"/>
        <w:rPr>
          <w:highlight w:val="none"/>
        </w:rPr>
      </w:pPr>
      <w:r>
        <w:rPr>
          <w:rFonts w:hint="eastAsia" w:ascii="宋体" w:hAnsi="宋体"/>
          <w:b/>
          <w:sz w:val="24"/>
          <w:highlight w:val="none"/>
        </w:rPr>
        <w:t xml:space="preserve"> 2.中小企业声明函格式</w:t>
      </w:r>
    </w:p>
    <w:p>
      <w:pPr>
        <w:rPr>
          <w:highlight w:val="none"/>
        </w:rPr>
      </w:pPr>
    </w:p>
    <w:p>
      <w:pPr>
        <w:spacing w:line="588" w:lineRule="exact"/>
        <w:jc w:val="center"/>
        <w:rPr>
          <w:rFonts w:ascii="宋体" w:hAnsi="宋体" w:cs="宋体"/>
          <w:b/>
          <w:spacing w:val="6"/>
          <w:sz w:val="32"/>
          <w:szCs w:val="32"/>
          <w:highlight w:val="none"/>
        </w:rPr>
      </w:pPr>
    </w:p>
    <w:p>
      <w:pPr>
        <w:spacing w:line="588" w:lineRule="exact"/>
        <w:jc w:val="center"/>
        <w:rPr>
          <w:rFonts w:ascii="宋体" w:hAnsi="宋体" w:cs="宋体"/>
          <w:b/>
          <w:spacing w:val="6"/>
          <w:sz w:val="32"/>
          <w:szCs w:val="32"/>
          <w:highlight w:val="none"/>
        </w:rPr>
      </w:pPr>
      <w:r>
        <w:rPr>
          <w:rFonts w:hint="eastAsia" w:ascii="宋体" w:hAnsi="宋体" w:cs="宋体"/>
          <w:b/>
          <w:spacing w:val="6"/>
          <w:sz w:val="32"/>
          <w:szCs w:val="32"/>
          <w:highlight w:val="none"/>
        </w:rPr>
        <w:t>中小企业声明函</w:t>
      </w:r>
    </w:p>
    <w:p>
      <w:pPr>
        <w:spacing w:line="588" w:lineRule="exact"/>
        <w:rPr>
          <w:rFonts w:ascii="宋体" w:hAnsi="宋体" w:cs="宋体"/>
          <w:b/>
          <w:spacing w:val="6"/>
          <w:sz w:val="30"/>
          <w:szCs w:val="30"/>
          <w:highlight w:val="none"/>
        </w:rPr>
      </w:pPr>
    </w:p>
    <w:p>
      <w:pPr>
        <w:pStyle w:val="2"/>
        <w:rPr>
          <w:highlight w:val="none"/>
        </w:rPr>
      </w:pPr>
    </w:p>
    <w:p>
      <w:pPr>
        <w:spacing w:line="360" w:lineRule="auto"/>
        <w:ind w:firstLine="444"/>
        <w:rPr>
          <w:rFonts w:ascii="宋体" w:hAnsi="宋体" w:cs="宋体"/>
          <w:spacing w:val="6"/>
          <w:highlight w:val="none"/>
        </w:rPr>
      </w:pPr>
      <w:r>
        <w:rPr>
          <w:rFonts w:hint="eastAsia" w:ascii="宋体" w:hAnsi="宋体" w:cs="宋体"/>
          <w:spacing w:val="6"/>
          <w:highlight w:val="none"/>
        </w:rPr>
        <w:t>本公司郑重声明，根据《政府采购促进中小企业发展管理办法》（财库[2020]46号）的规定，本公司参加</w:t>
      </w:r>
      <w:r>
        <w:rPr>
          <w:rFonts w:hint="eastAsia" w:ascii="宋体" w:hAnsi="宋体" w:cs="宋体"/>
          <w:spacing w:val="6"/>
          <w:highlight w:val="none"/>
          <w:u w:val="single"/>
        </w:rPr>
        <w:t>（单位名称）</w:t>
      </w:r>
      <w:r>
        <w:rPr>
          <w:rFonts w:hint="eastAsia" w:ascii="宋体" w:hAnsi="宋体" w:cs="宋体"/>
          <w:spacing w:val="6"/>
          <w:highlight w:val="none"/>
        </w:rPr>
        <w:t>的</w:t>
      </w:r>
      <w:r>
        <w:rPr>
          <w:rFonts w:hint="eastAsia" w:ascii="宋体" w:hAnsi="宋体" w:cs="宋体"/>
          <w:spacing w:val="6"/>
          <w:highlight w:val="none"/>
          <w:u w:val="single"/>
        </w:rPr>
        <w:t>（项目名称）</w:t>
      </w:r>
      <w:r>
        <w:rPr>
          <w:rFonts w:hint="eastAsia" w:ascii="宋体" w:hAnsi="宋体" w:cs="宋体"/>
          <w:spacing w:val="6"/>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4"/>
        <w:rPr>
          <w:rFonts w:ascii="宋体" w:hAnsi="宋体" w:cs="宋体"/>
          <w:spacing w:val="6"/>
          <w:highlight w:val="none"/>
        </w:rPr>
      </w:pPr>
      <w:r>
        <w:rPr>
          <w:rFonts w:hint="eastAsia" w:ascii="宋体" w:hAnsi="宋体" w:cs="宋体"/>
          <w:spacing w:val="6"/>
          <w:highlight w:val="none"/>
        </w:rPr>
        <w:t>1.</w:t>
      </w:r>
      <w:r>
        <w:rPr>
          <w:rFonts w:hint="eastAsia" w:ascii="宋体" w:hAnsi="宋体" w:cs="宋体"/>
          <w:spacing w:val="6"/>
          <w:highlight w:val="none"/>
          <w:u w:val="single"/>
        </w:rPr>
        <w:t>（标的名称）</w:t>
      </w:r>
      <w:r>
        <w:rPr>
          <w:rFonts w:hint="eastAsia" w:ascii="宋体" w:hAnsi="宋体" w:cs="宋体"/>
          <w:spacing w:val="6"/>
          <w:highlight w:val="none"/>
        </w:rPr>
        <w:t>，属于</w:t>
      </w:r>
      <w:r>
        <w:rPr>
          <w:rFonts w:hint="eastAsia" w:ascii="宋体" w:hAnsi="宋体" w:cs="宋体"/>
          <w:spacing w:val="6"/>
          <w:highlight w:val="none"/>
          <w:u w:val="single"/>
        </w:rPr>
        <w:t>（采购文件中明确的所属行业）</w:t>
      </w:r>
      <w:r>
        <w:rPr>
          <w:rFonts w:hint="eastAsia" w:ascii="宋体" w:hAnsi="宋体" w:cs="宋体"/>
          <w:spacing w:val="6"/>
          <w:highlight w:val="none"/>
        </w:rPr>
        <w:t>；承建（承接）企业为</w:t>
      </w:r>
      <w:r>
        <w:rPr>
          <w:rFonts w:hint="eastAsia" w:ascii="宋体" w:hAnsi="宋体" w:cs="宋体"/>
          <w:spacing w:val="6"/>
          <w:highlight w:val="none"/>
          <w:u w:val="single"/>
        </w:rPr>
        <w:t>（企业名称）</w:t>
      </w:r>
      <w:r>
        <w:rPr>
          <w:rFonts w:hint="eastAsia" w:ascii="宋体" w:hAnsi="宋体" w:cs="宋体"/>
          <w:spacing w:val="6"/>
          <w:highlight w:val="none"/>
        </w:rPr>
        <w:t>，从业人员</w:t>
      </w:r>
      <w:r>
        <w:rPr>
          <w:rFonts w:hint="eastAsia" w:ascii="宋体" w:hAnsi="宋体" w:cs="宋体"/>
          <w:spacing w:val="6"/>
          <w:highlight w:val="none"/>
          <w:u w:val="single"/>
        </w:rPr>
        <w:t xml:space="preserve">  </w:t>
      </w:r>
      <w:r>
        <w:rPr>
          <w:rFonts w:hint="eastAsia" w:ascii="宋体" w:hAnsi="宋体" w:cs="宋体"/>
          <w:spacing w:val="6"/>
          <w:highlight w:val="none"/>
        </w:rPr>
        <w:t>人，营业收入为</w:t>
      </w:r>
      <w:r>
        <w:rPr>
          <w:rFonts w:hint="eastAsia" w:ascii="宋体" w:hAnsi="宋体" w:cs="宋体"/>
          <w:spacing w:val="6"/>
          <w:highlight w:val="none"/>
          <w:u w:val="single"/>
        </w:rPr>
        <w:t xml:space="preserve">  </w:t>
      </w:r>
      <w:r>
        <w:rPr>
          <w:rFonts w:hint="eastAsia" w:ascii="宋体" w:hAnsi="宋体" w:cs="宋体"/>
          <w:spacing w:val="6"/>
          <w:highlight w:val="none"/>
        </w:rPr>
        <w:t>万元，资产总额为</w:t>
      </w:r>
      <w:r>
        <w:rPr>
          <w:rFonts w:hint="eastAsia" w:ascii="宋体" w:hAnsi="宋体" w:cs="宋体"/>
          <w:spacing w:val="6"/>
          <w:highlight w:val="none"/>
          <w:u w:val="single"/>
        </w:rPr>
        <w:t xml:space="preserve">  </w:t>
      </w:r>
      <w:r>
        <w:rPr>
          <w:rFonts w:hint="eastAsia" w:ascii="宋体" w:hAnsi="宋体" w:cs="宋体"/>
          <w:spacing w:val="6"/>
          <w:highlight w:val="none"/>
        </w:rPr>
        <w:t>万元，属于</w:t>
      </w:r>
      <w:r>
        <w:rPr>
          <w:rFonts w:hint="eastAsia" w:ascii="宋体" w:hAnsi="宋体" w:cs="宋体"/>
          <w:spacing w:val="6"/>
          <w:highlight w:val="none"/>
          <w:u w:val="single"/>
        </w:rPr>
        <w:t>（中型企业、小型企业、微型企业）</w:t>
      </w:r>
      <w:r>
        <w:rPr>
          <w:rFonts w:hint="eastAsia" w:ascii="宋体" w:hAnsi="宋体" w:cs="宋体"/>
          <w:spacing w:val="6"/>
          <w:highlight w:val="none"/>
        </w:rPr>
        <w:t>；</w:t>
      </w:r>
    </w:p>
    <w:p>
      <w:pPr>
        <w:spacing w:line="360" w:lineRule="auto"/>
        <w:ind w:firstLine="444"/>
        <w:rPr>
          <w:rFonts w:ascii="宋体" w:hAnsi="宋体" w:cs="宋体"/>
          <w:spacing w:val="6"/>
          <w:highlight w:val="none"/>
        </w:rPr>
      </w:pPr>
      <w:r>
        <w:rPr>
          <w:rFonts w:hint="eastAsia" w:ascii="宋体" w:hAnsi="宋体" w:cs="宋体"/>
          <w:spacing w:val="6"/>
          <w:highlight w:val="none"/>
        </w:rPr>
        <w:t>2.</w:t>
      </w:r>
      <w:r>
        <w:rPr>
          <w:rFonts w:hint="eastAsia" w:ascii="宋体" w:hAnsi="宋体" w:cs="宋体"/>
          <w:spacing w:val="6"/>
          <w:highlight w:val="none"/>
          <w:u w:val="single"/>
        </w:rPr>
        <w:t>（标的名称）</w:t>
      </w:r>
      <w:r>
        <w:rPr>
          <w:rFonts w:hint="eastAsia" w:ascii="宋体" w:hAnsi="宋体" w:cs="宋体"/>
          <w:spacing w:val="6"/>
          <w:highlight w:val="none"/>
        </w:rPr>
        <w:t>，属于</w:t>
      </w:r>
      <w:r>
        <w:rPr>
          <w:rFonts w:hint="eastAsia" w:ascii="宋体" w:hAnsi="宋体" w:cs="宋体"/>
          <w:spacing w:val="6"/>
          <w:highlight w:val="none"/>
          <w:u w:val="single"/>
        </w:rPr>
        <w:t>（采购文件中明确的所属行业）</w:t>
      </w:r>
      <w:r>
        <w:rPr>
          <w:rFonts w:hint="eastAsia" w:ascii="宋体" w:hAnsi="宋体" w:cs="宋体"/>
          <w:spacing w:val="6"/>
          <w:highlight w:val="none"/>
        </w:rPr>
        <w:t>；承建</w:t>
      </w:r>
      <w:r>
        <w:rPr>
          <w:rFonts w:hint="eastAsia" w:ascii="宋体" w:hAnsi="宋体" w:cs="宋体"/>
          <w:spacing w:val="6"/>
          <w:highlight w:val="none"/>
          <w:u w:val="single"/>
        </w:rPr>
        <w:t>（承接）</w:t>
      </w:r>
      <w:r>
        <w:rPr>
          <w:rFonts w:hint="eastAsia" w:ascii="宋体" w:hAnsi="宋体" w:cs="宋体"/>
          <w:spacing w:val="6"/>
          <w:highlight w:val="none"/>
        </w:rPr>
        <w:t>企业为</w:t>
      </w:r>
      <w:r>
        <w:rPr>
          <w:rFonts w:hint="eastAsia" w:ascii="宋体" w:hAnsi="宋体" w:cs="宋体"/>
          <w:spacing w:val="6"/>
          <w:highlight w:val="none"/>
          <w:u w:val="single"/>
        </w:rPr>
        <w:t>（企业名称）</w:t>
      </w:r>
      <w:r>
        <w:rPr>
          <w:rFonts w:hint="eastAsia" w:ascii="宋体" w:hAnsi="宋体" w:cs="宋体"/>
          <w:spacing w:val="6"/>
          <w:highlight w:val="none"/>
        </w:rPr>
        <w:t>，从业人员</w:t>
      </w:r>
      <w:r>
        <w:rPr>
          <w:rFonts w:hint="eastAsia" w:ascii="宋体" w:hAnsi="宋体" w:cs="宋体"/>
          <w:spacing w:val="6"/>
          <w:highlight w:val="none"/>
          <w:u w:val="single"/>
        </w:rPr>
        <w:t xml:space="preserve">  </w:t>
      </w:r>
      <w:r>
        <w:rPr>
          <w:rFonts w:hint="eastAsia" w:ascii="宋体" w:hAnsi="宋体" w:cs="宋体"/>
          <w:spacing w:val="6"/>
          <w:highlight w:val="none"/>
        </w:rPr>
        <w:t>人，营业收入为</w:t>
      </w:r>
      <w:r>
        <w:rPr>
          <w:rFonts w:hint="eastAsia" w:ascii="宋体" w:hAnsi="宋体" w:cs="宋体"/>
          <w:spacing w:val="6"/>
          <w:highlight w:val="none"/>
          <w:u w:val="single"/>
        </w:rPr>
        <w:t xml:space="preserve">  </w:t>
      </w:r>
      <w:r>
        <w:rPr>
          <w:rFonts w:hint="eastAsia" w:ascii="宋体" w:hAnsi="宋体" w:cs="宋体"/>
          <w:spacing w:val="6"/>
          <w:highlight w:val="none"/>
        </w:rPr>
        <w:t>万元，资产总额为</w:t>
      </w:r>
      <w:r>
        <w:rPr>
          <w:rFonts w:hint="eastAsia" w:ascii="宋体" w:hAnsi="宋体" w:cs="宋体"/>
          <w:spacing w:val="6"/>
          <w:highlight w:val="none"/>
          <w:u w:val="single"/>
        </w:rPr>
        <w:t xml:space="preserve">  </w:t>
      </w:r>
      <w:r>
        <w:rPr>
          <w:rFonts w:hint="eastAsia" w:ascii="宋体" w:hAnsi="宋体" w:cs="宋体"/>
          <w:spacing w:val="6"/>
          <w:highlight w:val="none"/>
        </w:rPr>
        <w:t>万元，属于</w:t>
      </w:r>
      <w:r>
        <w:rPr>
          <w:rFonts w:hint="eastAsia" w:ascii="宋体" w:hAnsi="宋体" w:cs="宋体"/>
          <w:spacing w:val="6"/>
          <w:highlight w:val="none"/>
          <w:u w:val="single"/>
        </w:rPr>
        <w:t>（中型企业、 小型企业、微型企业）</w:t>
      </w:r>
      <w:r>
        <w:rPr>
          <w:rFonts w:hint="eastAsia" w:ascii="宋体" w:hAnsi="宋体" w:cs="宋体"/>
          <w:spacing w:val="6"/>
          <w:highlight w:val="none"/>
        </w:rPr>
        <w:t>；</w:t>
      </w:r>
    </w:p>
    <w:p>
      <w:pPr>
        <w:spacing w:line="360" w:lineRule="auto"/>
        <w:ind w:firstLine="444"/>
        <w:rPr>
          <w:rFonts w:ascii="宋体" w:hAnsi="宋体" w:cs="宋体"/>
          <w:spacing w:val="6"/>
          <w:highlight w:val="none"/>
        </w:rPr>
      </w:pPr>
      <w:r>
        <w:rPr>
          <w:rFonts w:hint="eastAsia" w:ascii="宋体" w:hAnsi="宋体" w:cs="宋体"/>
          <w:spacing w:val="6"/>
          <w:highlight w:val="none"/>
        </w:rPr>
        <w:t>……</w:t>
      </w:r>
    </w:p>
    <w:p>
      <w:pPr>
        <w:spacing w:line="360" w:lineRule="auto"/>
        <w:ind w:firstLine="444"/>
        <w:rPr>
          <w:rFonts w:ascii="宋体" w:hAnsi="宋体" w:cs="宋体"/>
          <w:spacing w:val="6"/>
          <w:highlight w:val="none"/>
        </w:rPr>
      </w:pPr>
      <w:r>
        <w:rPr>
          <w:rFonts w:hint="eastAsia" w:ascii="宋体" w:hAnsi="宋体" w:cs="宋体"/>
          <w:spacing w:val="6"/>
          <w:highlight w:val="none"/>
        </w:rPr>
        <w:t>以上企业，不属于大企业的分支机构，不存在控股股东为大企业的情形，也不存在与大企业的负责人为同一人的情形。</w:t>
      </w:r>
    </w:p>
    <w:p>
      <w:pPr>
        <w:spacing w:line="360" w:lineRule="auto"/>
        <w:ind w:firstLine="444"/>
        <w:rPr>
          <w:rFonts w:ascii="宋体" w:hAnsi="宋体" w:cs="宋体"/>
          <w:spacing w:val="6"/>
          <w:highlight w:val="none"/>
        </w:rPr>
      </w:pPr>
      <w:r>
        <w:rPr>
          <w:rFonts w:hint="eastAsia" w:ascii="宋体" w:hAnsi="宋体" w:cs="宋体"/>
          <w:spacing w:val="6"/>
          <w:highlight w:val="none"/>
        </w:rPr>
        <w:t>本企业对上述声明内容的真实性负责。如有虚假，将依法承担相应责任。</w:t>
      </w:r>
    </w:p>
    <w:p>
      <w:pPr>
        <w:spacing w:line="360" w:lineRule="auto"/>
        <w:ind w:firstLine="444"/>
        <w:rPr>
          <w:rFonts w:ascii="宋体" w:hAnsi="宋体" w:cs="宋体"/>
          <w:spacing w:val="6"/>
          <w:highlight w:val="none"/>
        </w:rPr>
      </w:pPr>
    </w:p>
    <w:p>
      <w:pPr>
        <w:spacing w:line="360" w:lineRule="auto"/>
        <w:ind w:firstLine="444"/>
        <w:rPr>
          <w:rFonts w:ascii="宋体" w:hAnsi="宋体" w:cs="宋体"/>
          <w:spacing w:val="6"/>
          <w:highlight w:val="none"/>
        </w:rPr>
      </w:pPr>
      <w:r>
        <w:rPr>
          <w:rFonts w:hint="eastAsia" w:ascii="宋体" w:hAnsi="宋体" w:cs="宋体"/>
          <w:spacing w:val="6"/>
          <w:highlight w:val="none"/>
        </w:rPr>
        <w:t xml:space="preserve">                                          企业名称（盖章）： </w:t>
      </w:r>
    </w:p>
    <w:p>
      <w:pPr>
        <w:spacing w:line="360" w:lineRule="auto"/>
        <w:ind w:firstLine="444"/>
        <w:rPr>
          <w:rFonts w:ascii="宋体" w:hAnsi="宋体" w:cs="宋体"/>
          <w:spacing w:val="6"/>
          <w:highlight w:val="none"/>
        </w:rPr>
      </w:pPr>
      <w:r>
        <w:rPr>
          <w:rFonts w:hint="eastAsia" w:ascii="宋体" w:hAnsi="宋体" w:cs="宋体"/>
          <w:spacing w:val="6"/>
          <w:highlight w:val="none"/>
        </w:rPr>
        <w:t xml:space="preserve">                                          日  期：                </w:t>
      </w:r>
    </w:p>
    <w:p>
      <w:pPr>
        <w:rPr>
          <w:rFonts w:ascii="宋体" w:hAnsi="宋体" w:cs="宋体"/>
          <w:spacing w:val="6"/>
          <w:highlight w:val="none"/>
        </w:rPr>
      </w:pPr>
    </w:p>
    <w:p>
      <w:pPr>
        <w:pStyle w:val="10"/>
        <w:overflowPunct w:val="0"/>
        <w:spacing w:line="400" w:lineRule="exact"/>
        <w:rPr>
          <w:rFonts w:ascii="宋体" w:hAnsi="宋体" w:cs="宋体"/>
          <w:szCs w:val="21"/>
          <w:highlight w:val="none"/>
        </w:rPr>
      </w:pPr>
    </w:p>
    <w:p>
      <w:pPr>
        <w:adjustRightInd w:val="0"/>
        <w:spacing w:line="312" w:lineRule="atLeast"/>
        <w:rPr>
          <w:rFonts w:ascii="宋体" w:hAnsi="宋体" w:cs="宋体"/>
          <w:highlight w:val="none"/>
        </w:rPr>
      </w:pPr>
    </w:p>
    <w:p>
      <w:pPr>
        <w:rPr>
          <w:rFonts w:ascii="宋体" w:hAnsi="宋体" w:cs="宋体"/>
          <w:sz w:val="32"/>
          <w:szCs w:val="32"/>
          <w:highlight w:val="none"/>
        </w:rPr>
      </w:pPr>
    </w:p>
    <w:p>
      <w:pPr>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spacing w:line="200" w:lineRule="exact"/>
        <w:ind w:left="20"/>
        <w:jc w:val="left"/>
        <w:rPr>
          <w:rFonts w:ascii="宋体"/>
          <w:sz w:val="18"/>
          <w:highlight w:val="none"/>
        </w:rPr>
      </w:pPr>
      <w:r>
        <w:rPr>
          <w:rFonts w:hint="eastAsia" w:ascii="宋体"/>
          <w:sz w:val="18"/>
          <w:highlight w:val="none"/>
        </w:rPr>
        <w:t>注：从业人员、营业收入、资产总额填报上一年度数据，无上一年度数据的新成立企业可不填报。</w:t>
      </w:r>
    </w:p>
    <w:p>
      <w:pPr>
        <w:snapToGrid w:val="0"/>
        <w:spacing w:before="120" w:beforeLines="50" w:after="50"/>
        <w:jc w:val="left"/>
        <w:rPr>
          <w:rFonts w:ascii="宋体" w:hAnsi="宋体"/>
          <w:b/>
          <w:sz w:val="24"/>
          <w:highlight w:val="none"/>
        </w:rPr>
      </w:pPr>
      <w:r>
        <w:rPr>
          <w:rFonts w:hint="eastAsia" w:ascii="宋体" w:hAnsi="宋体"/>
          <w:b/>
          <w:sz w:val="24"/>
          <w:highlight w:val="none"/>
        </w:rPr>
        <w:t>3.残疾人福利性单位声明函格式</w:t>
      </w:r>
    </w:p>
    <w:p>
      <w:pPr>
        <w:snapToGrid w:val="0"/>
        <w:spacing w:before="120" w:beforeLines="50" w:after="50"/>
        <w:jc w:val="left"/>
        <w:rPr>
          <w:rFonts w:ascii="宋体" w:hAnsi="宋体"/>
          <w:b/>
          <w:sz w:val="24"/>
          <w:highlight w:val="none"/>
        </w:rPr>
      </w:pPr>
      <w:bookmarkStart w:id="158" w:name="OLE_LINK13"/>
      <w:bookmarkStart w:id="159" w:name="OLE_LINK14"/>
    </w:p>
    <w:bookmarkEnd w:id="158"/>
    <w:bookmarkEnd w:id="159"/>
    <w:p>
      <w:pPr>
        <w:spacing w:line="300" w:lineRule="auto"/>
        <w:jc w:val="center"/>
        <w:rPr>
          <w:rFonts w:ascii="宋体" w:hAnsi="宋体" w:cs="宋体"/>
          <w:b/>
          <w:sz w:val="32"/>
          <w:szCs w:val="32"/>
          <w:highlight w:val="none"/>
        </w:rPr>
      </w:pPr>
      <w:r>
        <w:rPr>
          <w:rFonts w:hint="eastAsia" w:ascii="宋体" w:hAnsi="宋体" w:cs="宋体"/>
          <w:b/>
          <w:sz w:val="32"/>
          <w:szCs w:val="32"/>
          <w:highlight w:val="none"/>
        </w:rPr>
        <w:t>残疾人福利性单位声明函（格式）</w:t>
      </w:r>
    </w:p>
    <w:p>
      <w:pPr>
        <w:pStyle w:val="2"/>
        <w:rPr>
          <w:highlight w:val="none"/>
        </w:rPr>
      </w:pPr>
    </w:p>
    <w:p>
      <w:pPr>
        <w:spacing w:line="588" w:lineRule="exact"/>
        <w:ind w:firstLine="626"/>
        <w:rPr>
          <w:rFonts w:ascii="宋体" w:hAnsi="宋体" w:cs="宋体"/>
          <w:b/>
          <w:spacing w:val="6"/>
          <w:sz w:val="30"/>
          <w:szCs w:val="30"/>
          <w:highlight w:val="none"/>
        </w:rPr>
      </w:pPr>
    </w:p>
    <w:p>
      <w:pPr>
        <w:spacing w:line="360" w:lineRule="auto"/>
        <w:ind w:firstLine="444"/>
        <w:rPr>
          <w:rFonts w:ascii="宋体" w:hAnsi="宋体" w:cs="宋体"/>
          <w:spacing w:val="6"/>
          <w:highlight w:val="none"/>
        </w:rPr>
      </w:pPr>
      <w:r>
        <w:rPr>
          <w:rFonts w:hint="eastAsia" w:ascii="宋体" w:hAnsi="宋体" w:cs="宋体"/>
          <w:spacing w:val="6"/>
          <w:highlight w:val="none"/>
        </w:rPr>
        <w:t>本单位郑重声明，根据《财政部 民政部 中国残疾人联合会关于促进残疾人就业政府采购政策的通知》（财库</w:t>
      </w:r>
      <w:r>
        <w:rPr>
          <w:rFonts w:hint="eastAsia" w:ascii="宋体" w:hAnsi="宋体" w:cs="宋体"/>
          <w:highlight w:val="none"/>
        </w:rPr>
        <w:t>〔2017〕 141</w:t>
      </w:r>
      <w:r>
        <w:rPr>
          <w:rFonts w:hint="eastAsia" w:ascii="宋体" w:hAnsi="宋体" w:cs="宋体"/>
          <w:spacing w:val="6"/>
          <w:highlight w:val="none"/>
        </w:rPr>
        <w:t>号）的规定，本单位为符合条件的残疾人福利性单位，且本单位参加</w:t>
      </w:r>
      <w:r>
        <w:rPr>
          <w:rFonts w:hint="eastAsia" w:ascii="宋体" w:hAnsi="宋体" w:cs="宋体"/>
          <w:spacing w:val="6"/>
          <w:highlight w:val="none"/>
          <w:u w:val="single"/>
        </w:rPr>
        <w:t xml:space="preserve">       </w:t>
      </w:r>
      <w:r>
        <w:rPr>
          <w:rFonts w:hint="eastAsia" w:ascii="宋体" w:hAnsi="宋体" w:cs="宋体"/>
          <w:spacing w:val="6"/>
          <w:highlight w:val="none"/>
        </w:rPr>
        <w:t>单位的</w:t>
      </w:r>
      <w:r>
        <w:rPr>
          <w:rFonts w:hint="eastAsia" w:ascii="宋体" w:hAnsi="宋体" w:cs="宋体"/>
          <w:spacing w:val="6"/>
          <w:highlight w:val="none"/>
          <w:u w:val="single"/>
        </w:rPr>
        <w:t xml:space="preserve">        </w:t>
      </w:r>
      <w:r>
        <w:rPr>
          <w:rFonts w:hint="eastAsia" w:ascii="宋体" w:hAnsi="宋体" w:cs="宋体"/>
          <w:spacing w:val="6"/>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rPr>
          <w:rFonts w:ascii="宋体" w:hAnsi="宋体" w:cs="宋体"/>
          <w:spacing w:val="6"/>
          <w:highlight w:val="none"/>
        </w:rPr>
      </w:pPr>
      <w:r>
        <w:rPr>
          <w:rFonts w:hint="eastAsia" w:ascii="宋体" w:hAnsi="宋体" w:cs="宋体"/>
          <w:spacing w:val="6"/>
          <w:highlight w:val="none"/>
        </w:rPr>
        <w:t>本单位对上述声明的真实性负责。如有虚假，将依法承担相应责任。</w:t>
      </w:r>
    </w:p>
    <w:p>
      <w:pPr>
        <w:spacing w:line="360" w:lineRule="auto"/>
        <w:ind w:firstLine="444"/>
        <w:rPr>
          <w:rFonts w:ascii="宋体" w:hAnsi="宋体" w:cs="宋体"/>
          <w:spacing w:val="6"/>
          <w:highlight w:val="none"/>
        </w:rPr>
      </w:pPr>
    </w:p>
    <w:p>
      <w:pPr>
        <w:spacing w:line="360" w:lineRule="auto"/>
        <w:ind w:firstLine="444"/>
        <w:rPr>
          <w:rFonts w:ascii="宋体" w:hAnsi="宋体" w:cs="宋体"/>
          <w:spacing w:val="6"/>
          <w:highlight w:val="none"/>
        </w:rPr>
      </w:pPr>
    </w:p>
    <w:p>
      <w:pPr>
        <w:snapToGrid w:val="0"/>
        <w:spacing w:before="50" w:after="50"/>
        <w:rPr>
          <w:rFonts w:ascii="宋体" w:hAnsi="宋体" w:cs="宋体"/>
          <w:spacing w:val="20"/>
          <w:highlight w:val="none"/>
          <w:u w:val="single"/>
        </w:rPr>
      </w:pPr>
      <w:r>
        <w:rPr>
          <w:rFonts w:hint="eastAsia" w:ascii="宋体" w:hAnsi="宋体" w:cs="宋体"/>
          <w:highlight w:val="none"/>
        </w:rPr>
        <w:t>法定代表人或授权代理人（签字或签章）</w:t>
      </w:r>
      <w:r>
        <w:rPr>
          <w:rFonts w:hint="eastAsia" w:ascii="宋体" w:hAnsi="宋体" w:cs="宋体"/>
          <w:spacing w:val="20"/>
          <w:highlight w:val="none"/>
        </w:rPr>
        <w:t>：</w:t>
      </w:r>
      <w:r>
        <w:rPr>
          <w:rFonts w:hint="eastAsia" w:ascii="宋体" w:hAnsi="宋体" w:cs="宋体"/>
          <w:spacing w:val="20"/>
          <w:highlight w:val="none"/>
          <w:u w:val="single"/>
        </w:rPr>
        <w:t xml:space="preserve">        </w:t>
      </w:r>
    </w:p>
    <w:p>
      <w:pPr>
        <w:autoSpaceDE w:val="0"/>
        <w:autoSpaceDN w:val="0"/>
        <w:spacing w:line="300" w:lineRule="auto"/>
        <w:ind w:left="480" w:hanging="480"/>
        <w:rPr>
          <w:rFonts w:ascii="宋体" w:hAnsi="宋体" w:cs="宋体"/>
          <w:spacing w:val="20"/>
          <w:highlight w:val="none"/>
        </w:rPr>
      </w:pPr>
    </w:p>
    <w:p>
      <w:pPr>
        <w:tabs>
          <w:tab w:val="left" w:pos="4111"/>
        </w:tabs>
        <w:wordWrap w:val="0"/>
        <w:snapToGrid w:val="0"/>
        <w:spacing w:before="50"/>
        <w:rPr>
          <w:rFonts w:ascii="宋体" w:hAnsi="宋体" w:cs="宋体"/>
          <w:spacing w:val="20"/>
          <w:highlight w:val="none"/>
        </w:rPr>
      </w:pPr>
      <w:r>
        <w:rPr>
          <w:rFonts w:hint="eastAsia" w:ascii="宋体" w:hAnsi="宋体" w:cs="宋体"/>
          <w:spacing w:val="20"/>
          <w:highlight w:val="none"/>
        </w:rPr>
        <w:t>供应商（公章）：</w:t>
      </w:r>
      <w:r>
        <w:rPr>
          <w:rFonts w:hint="eastAsia" w:ascii="宋体" w:hAnsi="宋体" w:cs="宋体"/>
          <w:spacing w:val="20"/>
          <w:highlight w:val="none"/>
          <w:u w:val="single"/>
        </w:rPr>
        <w:t xml:space="preserve">            </w:t>
      </w:r>
      <w:r>
        <w:rPr>
          <w:rFonts w:hint="eastAsia" w:ascii="宋体" w:hAnsi="宋体" w:cs="宋体"/>
          <w:spacing w:val="20"/>
          <w:highlight w:val="none"/>
        </w:rPr>
        <w:t xml:space="preserve">     </w:t>
      </w:r>
    </w:p>
    <w:p>
      <w:pPr>
        <w:tabs>
          <w:tab w:val="left" w:pos="4111"/>
        </w:tabs>
        <w:wordWrap w:val="0"/>
        <w:snapToGrid w:val="0"/>
        <w:spacing w:before="50"/>
        <w:rPr>
          <w:rFonts w:ascii="宋体" w:hAnsi="宋体" w:cs="宋体"/>
          <w:spacing w:val="20"/>
          <w:highlight w:val="none"/>
        </w:rPr>
      </w:pPr>
    </w:p>
    <w:p>
      <w:pPr>
        <w:tabs>
          <w:tab w:val="left" w:pos="4111"/>
        </w:tabs>
        <w:wordWrap w:val="0"/>
        <w:snapToGrid w:val="0"/>
        <w:spacing w:before="50"/>
        <w:rPr>
          <w:rFonts w:ascii="宋体" w:hAnsi="宋体" w:cs="宋体"/>
          <w:highlight w:val="none"/>
        </w:rPr>
      </w:pPr>
      <w:r>
        <w:rPr>
          <w:rFonts w:hint="eastAsia" w:ascii="宋体" w:hAnsi="宋体" w:cs="宋体"/>
          <w:spacing w:val="20"/>
          <w:highlight w:val="none"/>
        </w:rPr>
        <w:t>日 期：</w:t>
      </w:r>
      <w:r>
        <w:rPr>
          <w:rFonts w:hint="eastAsia" w:ascii="宋体" w:hAnsi="宋体" w:cs="宋体"/>
          <w:spacing w:val="20"/>
          <w:highlight w:val="none"/>
          <w:u w:val="single"/>
        </w:rPr>
        <w:t xml:space="preserve">     </w:t>
      </w:r>
    </w:p>
    <w:p>
      <w:pPr>
        <w:rPr>
          <w:rFonts w:ascii="宋体" w:hAnsi="宋体" w:cs="宋体"/>
          <w:szCs w:val="21"/>
          <w:highlight w:val="none"/>
        </w:rPr>
      </w:pPr>
    </w:p>
    <w:p>
      <w:pPr>
        <w:pStyle w:val="26"/>
        <w:spacing w:before="120" w:after="120"/>
        <w:outlineLvl w:val="0"/>
        <w:rPr>
          <w:rFonts w:hAnsi="宋体" w:cs="宋体"/>
          <w:highlight w:val="none"/>
        </w:rPr>
      </w:pPr>
    </w:p>
    <w:p>
      <w:pPr>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widowControl/>
        <w:jc w:val="left"/>
        <w:rPr>
          <w:rFonts w:ascii="宋体" w:hAnsi="宋体" w:cs="宋体"/>
          <w:bCs/>
          <w:spacing w:val="10"/>
          <w:kern w:val="0"/>
          <w:sz w:val="24"/>
          <w:highlight w:val="none"/>
        </w:rPr>
      </w:pPr>
      <w:r>
        <w:rPr>
          <w:rFonts w:ascii="宋体" w:hAnsi="宋体" w:cs="宋体"/>
          <w:highlight w:val="none"/>
        </w:rPr>
        <w:br w:type="page"/>
      </w:r>
    </w:p>
    <w:p>
      <w:pPr>
        <w:pStyle w:val="2"/>
        <w:rPr>
          <w:rFonts w:ascii="宋体" w:hAnsi="宋体" w:cs="宋体"/>
          <w:highlight w:val="none"/>
        </w:rPr>
      </w:pPr>
    </w:p>
    <w:p>
      <w:pPr>
        <w:spacing w:line="360" w:lineRule="auto"/>
        <w:jc w:val="left"/>
        <w:rPr>
          <w:rFonts w:ascii="宋体" w:hAnsi="宋体"/>
          <w:b/>
          <w:bCs/>
          <w:sz w:val="32"/>
          <w:szCs w:val="32"/>
          <w:highlight w:val="none"/>
        </w:rPr>
      </w:pPr>
      <w:r>
        <w:rPr>
          <w:rFonts w:hint="eastAsia" w:ascii="宋体" w:hAnsi="宋体"/>
          <w:b/>
          <w:sz w:val="24"/>
          <w:highlight w:val="none"/>
        </w:rPr>
        <w:t>4.质疑函（格式）</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质疑函（格式）</w:t>
      </w:r>
    </w:p>
    <w:p>
      <w:pPr>
        <w:pStyle w:val="26"/>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一、质疑供应商基本信息：</w:t>
      </w:r>
    </w:p>
    <w:p>
      <w:pPr>
        <w:pStyle w:val="26"/>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质疑供应商：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26"/>
        <w:snapToGrid w:val="0"/>
        <w:spacing w:line="360" w:lineRule="auto"/>
        <w:ind w:firstLine="480" w:firstLineChars="200"/>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26"/>
        <w:snapToGrid w:val="0"/>
        <w:spacing w:line="360" w:lineRule="auto"/>
        <w:ind w:firstLine="480" w:firstLineChars="200"/>
        <w:rPr>
          <w:rFonts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pPr>
        <w:pStyle w:val="26"/>
        <w:snapToGrid w:val="0"/>
        <w:spacing w:line="360" w:lineRule="auto"/>
        <w:ind w:firstLine="480" w:firstLineChars="200"/>
        <w:rPr>
          <w:rFonts w:hAnsi="宋体"/>
          <w:bCs/>
          <w:sz w:val="24"/>
          <w:szCs w:val="24"/>
          <w:highlight w:val="none"/>
        </w:rPr>
      </w:pPr>
      <w:r>
        <w:rPr>
          <w:rFonts w:hint="eastAsia" w:hAnsi="宋体"/>
          <w:bCs/>
          <w:sz w:val="24"/>
          <w:szCs w:val="24"/>
          <w:highlight w:val="none"/>
        </w:rPr>
        <w:t>授权代表：</w:t>
      </w:r>
      <w:r>
        <w:rPr>
          <w:rFonts w:hint="eastAsia" w:hAnsi="宋体"/>
          <w:bCs/>
          <w:sz w:val="24"/>
          <w:szCs w:val="24"/>
          <w:highlight w:val="none"/>
          <w:u w:val="single"/>
        </w:rPr>
        <w:t xml:space="preserve">                      </w:t>
      </w:r>
    </w:p>
    <w:p>
      <w:pPr>
        <w:pStyle w:val="26"/>
        <w:snapToGrid w:val="0"/>
        <w:spacing w:line="360" w:lineRule="auto"/>
        <w:ind w:firstLine="480" w:firstLineChars="200"/>
        <w:rPr>
          <w:rFonts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26"/>
        <w:snapToGrid w:val="0"/>
        <w:spacing w:line="360" w:lineRule="auto"/>
        <w:ind w:firstLine="480" w:firstLineChars="200"/>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26"/>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二、质疑项目基本情况：</w:t>
      </w:r>
    </w:p>
    <w:p>
      <w:pPr>
        <w:pStyle w:val="26"/>
        <w:spacing w:line="360" w:lineRule="auto"/>
        <w:ind w:left="25" w:leftChars="12" w:firstLine="472" w:firstLineChars="197"/>
        <w:rPr>
          <w:rFonts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采购人名称：</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质疑事项：</w:t>
      </w:r>
    </w:p>
    <w:p>
      <w:pPr>
        <w:pStyle w:val="26"/>
        <w:spacing w:line="360" w:lineRule="auto"/>
        <w:ind w:left="25" w:leftChars="12" w:firstLine="352" w:firstLineChars="147"/>
        <w:rPr>
          <w:rFonts w:hAnsi="宋体"/>
          <w:sz w:val="24"/>
          <w:szCs w:val="24"/>
          <w:highlight w:val="none"/>
        </w:rPr>
      </w:pPr>
      <w:r>
        <w:rPr>
          <w:rFonts w:hint="eastAsia" w:hAnsi="宋体"/>
          <w:sz w:val="24"/>
          <w:szCs w:val="24"/>
          <w:highlight w:val="none"/>
        </w:rPr>
        <w:t>□招标文件   招标文件获取日期：</w:t>
      </w:r>
      <w:r>
        <w:rPr>
          <w:rFonts w:hint="eastAsia" w:hAnsi="宋体"/>
          <w:bCs/>
          <w:sz w:val="24"/>
          <w:szCs w:val="24"/>
          <w:highlight w:val="none"/>
          <w:u w:val="single"/>
        </w:rPr>
        <w:t xml:space="preserve">                                   </w:t>
      </w:r>
    </w:p>
    <w:p>
      <w:pPr>
        <w:pStyle w:val="26"/>
        <w:spacing w:line="360" w:lineRule="auto"/>
        <w:ind w:left="25" w:leftChars="12" w:firstLine="352" w:firstLineChars="147"/>
        <w:rPr>
          <w:rFonts w:hAnsi="宋体"/>
          <w:sz w:val="24"/>
          <w:szCs w:val="24"/>
          <w:highlight w:val="none"/>
        </w:rPr>
      </w:pPr>
      <w:r>
        <w:rPr>
          <w:rFonts w:hint="eastAsia" w:hAnsi="宋体"/>
          <w:sz w:val="24"/>
          <w:szCs w:val="24"/>
          <w:highlight w:val="none"/>
        </w:rPr>
        <w:t xml:space="preserve">□采购过程   </w:t>
      </w:r>
    </w:p>
    <w:p>
      <w:pPr>
        <w:pStyle w:val="26"/>
        <w:spacing w:line="360" w:lineRule="auto"/>
        <w:ind w:left="25" w:leftChars="12" w:firstLine="352" w:firstLineChars="147"/>
        <w:rPr>
          <w:rFonts w:hAnsi="宋体"/>
          <w:bCs/>
          <w:sz w:val="24"/>
          <w:szCs w:val="24"/>
          <w:highlight w:val="none"/>
          <w:u w:val="single"/>
        </w:rPr>
      </w:pPr>
      <w:r>
        <w:rPr>
          <w:rFonts w:hint="eastAsia" w:hAnsi="宋体"/>
          <w:sz w:val="24"/>
          <w:szCs w:val="24"/>
          <w:highlight w:val="none"/>
        </w:rPr>
        <w:t xml:space="preserve">□中标结果   </w:t>
      </w:r>
    </w:p>
    <w:p>
      <w:pPr>
        <w:pStyle w:val="26"/>
        <w:spacing w:line="360" w:lineRule="auto"/>
        <w:ind w:left="25" w:leftChars="12" w:firstLine="472" w:firstLineChars="196"/>
        <w:rPr>
          <w:rFonts w:hAnsi="宋体"/>
          <w:b/>
          <w:sz w:val="24"/>
          <w:szCs w:val="24"/>
          <w:highlight w:val="none"/>
        </w:rPr>
      </w:pPr>
      <w:r>
        <w:rPr>
          <w:rFonts w:hint="eastAsia" w:hAnsi="宋体"/>
          <w:b/>
          <w:sz w:val="24"/>
          <w:szCs w:val="24"/>
          <w:highlight w:val="none"/>
        </w:rPr>
        <w:t>三、质疑事项具体内容</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质疑事项1：</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事实依据：</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法律依据：</w:t>
      </w:r>
      <w:r>
        <w:rPr>
          <w:rFonts w:hint="eastAsia" w:hAnsi="宋体"/>
          <w:sz w:val="24"/>
          <w:szCs w:val="24"/>
          <w:highlight w:val="none"/>
          <w:u w:val="single"/>
        </w:rPr>
        <w:t xml:space="preserve">                                                        </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质疑事项2</w:t>
      </w:r>
    </w:p>
    <w:p>
      <w:pPr>
        <w:pStyle w:val="26"/>
        <w:spacing w:line="360" w:lineRule="auto"/>
        <w:ind w:left="25" w:leftChars="12" w:firstLine="472" w:firstLineChars="197"/>
        <w:rPr>
          <w:rFonts w:hAnsi="宋体"/>
          <w:sz w:val="24"/>
          <w:szCs w:val="24"/>
          <w:highlight w:val="none"/>
        </w:rPr>
      </w:pPr>
      <w:r>
        <w:rPr>
          <w:rFonts w:hAnsi="宋体"/>
          <w:sz w:val="24"/>
          <w:szCs w:val="24"/>
          <w:highlight w:val="none"/>
        </w:rPr>
        <w:t>……</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四、与质疑事项相关的质疑请求：</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pPr>
        <w:pStyle w:val="26"/>
        <w:spacing w:line="360" w:lineRule="auto"/>
        <w:ind w:left="25" w:leftChars="12" w:firstLine="352" w:firstLineChars="147"/>
        <w:rPr>
          <w:rFonts w:hAnsi="宋体"/>
          <w:sz w:val="24"/>
          <w:szCs w:val="24"/>
          <w:highlight w:val="none"/>
        </w:rPr>
      </w:pP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签字（签章）：                                       公章：</w:t>
      </w:r>
    </w:p>
    <w:p>
      <w:pPr>
        <w:pStyle w:val="26"/>
        <w:spacing w:line="360" w:lineRule="auto"/>
        <w:ind w:left="25" w:leftChars="12" w:firstLine="352" w:firstLineChars="147"/>
        <w:rPr>
          <w:rFonts w:hAnsi="宋体"/>
          <w:sz w:val="24"/>
          <w:szCs w:val="24"/>
          <w:highlight w:val="none"/>
        </w:rPr>
      </w:pP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日期：</w:t>
      </w:r>
    </w:p>
    <w:p>
      <w:pPr>
        <w:pStyle w:val="26"/>
        <w:snapToGrid w:val="0"/>
        <w:spacing w:line="360" w:lineRule="auto"/>
        <w:rPr>
          <w:rFonts w:hAnsi="宋体"/>
          <w:b/>
          <w:sz w:val="24"/>
          <w:szCs w:val="24"/>
          <w:highlight w:val="none"/>
        </w:rPr>
      </w:pPr>
    </w:p>
    <w:p>
      <w:pPr>
        <w:pStyle w:val="26"/>
        <w:snapToGrid w:val="0"/>
        <w:spacing w:line="360" w:lineRule="auto"/>
        <w:rPr>
          <w:rFonts w:hAnsi="宋体"/>
          <w:b/>
          <w:sz w:val="24"/>
          <w:szCs w:val="24"/>
          <w:highlight w:val="none"/>
        </w:rPr>
      </w:pPr>
      <w:r>
        <w:rPr>
          <w:rFonts w:hint="eastAsia" w:hAnsi="宋体"/>
          <w:b/>
          <w:sz w:val="24"/>
          <w:szCs w:val="24"/>
          <w:highlight w:val="none"/>
        </w:rPr>
        <w:t>说明：</w:t>
      </w:r>
    </w:p>
    <w:p>
      <w:pPr>
        <w:pStyle w:val="26"/>
        <w:spacing w:line="360" w:lineRule="auto"/>
        <w:ind w:left="25" w:leftChars="12" w:firstLine="354" w:firstLineChars="147"/>
        <w:rPr>
          <w:rFonts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pPr>
        <w:pStyle w:val="26"/>
        <w:spacing w:line="360" w:lineRule="auto"/>
        <w:ind w:left="25" w:leftChars="12" w:firstLine="354" w:firstLineChars="147"/>
        <w:rPr>
          <w:rFonts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6"/>
        <w:spacing w:line="360" w:lineRule="auto"/>
        <w:ind w:left="25" w:leftChars="12" w:firstLine="354" w:firstLineChars="147"/>
        <w:rPr>
          <w:rFonts w:hAnsi="宋体"/>
          <w:b/>
          <w:sz w:val="24"/>
          <w:szCs w:val="24"/>
          <w:highlight w:val="none"/>
        </w:rPr>
      </w:pPr>
      <w:r>
        <w:rPr>
          <w:rFonts w:hint="eastAsia" w:hAnsi="宋体"/>
          <w:b/>
          <w:sz w:val="24"/>
          <w:szCs w:val="24"/>
          <w:highlight w:val="none"/>
        </w:rPr>
        <w:t>3.质疑函的质疑事项应具体、明确，并有必要的事实依据和法律依据。</w:t>
      </w:r>
    </w:p>
    <w:p>
      <w:pPr>
        <w:pStyle w:val="26"/>
        <w:spacing w:line="360" w:lineRule="auto"/>
        <w:ind w:left="25" w:leftChars="12" w:firstLine="354" w:firstLineChars="147"/>
        <w:rPr>
          <w:rFonts w:hAnsi="宋体"/>
          <w:b/>
          <w:sz w:val="24"/>
          <w:szCs w:val="24"/>
          <w:highlight w:val="none"/>
        </w:rPr>
      </w:pPr>
      <w:r>
        <w:rPr>
          <w:rFonts w:hint="eastAsia" w:hAnsi="宋体"/>
          <w:b/>
          <w:sz w:val="24"/>
          <w:szCs w:val="24"/>
          <w:highlight w:val="none"/>
        </w:rPr>
        <w:t>4.质疑函的质疑请求应与质疑事项相关。</w:t>
      </w:r>
    </w:p>
    <w:p>
      <w:pPr>
        <w:pStyle w:val="26"/>
        <w:spacing w:line="360" w:lineRule="auto"/>
        <w:ind w:left="25" w:leftChars="12" w:firstLine="354" w:firstLineChars="147"/>
        <w:rPr>
          <w:rFonts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pPr>
        <w:spacing w:line="460" w:lineRule="exact"/>
        <w:rPr>
          <w:rFonts w:eastAsia="隶书"/>
          <w:sz w:val="44"/>
          <w:highlight w:val="none"/>
        </w:rPr>
      </w:pPr>
    </w:p>
    <w:p>
      <w:pPr>
        <w:spacing w:line="360" w:lineRule="auto"/>
        <w:jc w:val="left"/>
        <w:rPr>
          <w:rFonts w:ascii="宋体" w:hAnsi="宋体"/>
          <w:b/>
          <w:sz w:val="24"/>
          <w:highlight w:val="none"/>
        </w:rPr>
      </w:pPr>
      <w:r>
        <w:rPr>
          <w:rFonts w:ascii="宋体" w:hAnsi="宋体"/>
          <w:b/>
          <w:sz w:val="24"/>
          <w:highlight w:val="none"/>
        </w:rPr>
        <w:br w:type="page"/>
      </w:r>
      <w:r>
        <w:rPr>
          <w:rFonts w:hint="eastAsia" w:ascii="宋体" w:hAnsi="宋体"/>
          <w:b/>
          <w:sz w:val="24"/>
          <w:highlight w:val="none"/>
        </w:rPr>
        <w:t>5.投诉书（格式）</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投诉书（格式）</w:t>
      </w:r>
    </w:p>
    <w:p>
      <w:pPr>
        <w:pStyle w:val="26"/>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pPr>
        <w:pStyle w:val="26"/>
        <w:snapToGrid w:val="0"/>
        <w:spacing w:line="360" w:lineRule="auto"/>
        <w:ind w:firstLine="480" w:firstLineChars="200"/>
        <w:jc w:val="left"/>
        <w:rPr>
          <w:rFonts w:hAnsi="宋体"/>
          <w:bCs/>
          <w:sz w:val="24"/>
          <w:szCs w:val="24"/>
          <w:highlight w:val="none"/>
          <w:u w:val="single"/>
        </w:rPr>
      </w:pPr>
      <w:r>
        <w:rPr>
          <w:rFonts w:hint="eastAsia" w:hAnsi="宋体"/>
          <w:bCs/>
          <w:sz w:val="24"/>
          <w:szCs w:val="24"/>
          <w:highlight w:val="none"/>
        </w:rPr>
        <w:t>投标人：</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26"/>
        <w:snapToGrid w:val="0"/>
        <w:spacing w:line="360" w:lineRule="auto"/>
        <w:ind w:firstLine="480" w:firstLineChars="200"/>
        <w:jc w:val="left"/>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26"/>
        <w:snapToGrid w:val="0"/>
        <w:spacing w:line="360" w:lineRule="auto"/>
        <w:ind w:firstLine="480" w:firstLineChars="200"/>
        <w:jc w:val="left"/>
        <w:rPr>
          <w:rFonts w:hAnsi="宋体"/>
          <w:bCs/>
          <w:sz w:val="24"/>
          <w:szCs w:val="24"/>
          <w:highlight w:val="none"/>
          <w:u w:val="single"/>
        </w:rPr>
      </w:pPr>
      <w:r>
        <w:rPr>
          <w:rFonts w:hint="eastAsia" w:hAnsi="宋体"/>
          <w:bCs/>
          <w:sz w:val="24"/>
          <w:szCs w:val="24"/>
          <w:highlight w:val="none"/>
        </w:rPr>
        <w:t>法定代表人/主要负责人：</w:t>
      </w:r>
      <w:r>
        <w:rPr>
          <w:rFonts w:hint="eastAsia" w:hAnsi="宋体"/>
          <w:bCs/>
          <w:sz w:val="24"/>
          <w:szCs w:val="24"/>
          <w:highlight w:val="none"/>
          <w:u w:val="single"/>
        </w:rPr>
        <w:t xml:space="preserve">                                                         </w:t>
      </w:r>
    </w:p>
    <w:p>
      <w:pPr>
        <w:pStyle w:val="26"/>
        <w:snapToGrid w:val="0"/>
        <w:spacing w:line="360" w:lineRule="auto"/>
        <w:ind w:firstLine="480" w:firstLineChars="200"/>
        <w:jc w:val="left"/>
        <w:rPr>
          <w:rFonts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pPr>
        <w:pStyle w:val="26"/>
        <w:snapToGrid w:val="0"/>
        <w:spacing w:line="360" w:lineRule="auto"/>
        <w:ind w:firstLine="480" w:firstLineChars="200"/>
        <w:jc w:val="left"/>
        <w:rPr>
          <w:rFonts w:hAnsi="宋体"/>
          <w:bCs/>
          <w:sz w:val="24"/>
          <w:szCs w:val="24"/>
          <w:highlight w:val="none"/>
          <w:u w:val="single"/>
        </w:rPr>
      </w:pPr>
      <w:r>
        <w:rPr>
          <w:rFonts w:hint="eastAsia" w:hAnsi="宋体"/>
          <w:bCs/>
          <w:sz w:val="24"/>
          <w:szCs w:val="24"/>
          <w:highlight w:val="none"/>
        </w:rPr>
        <w:t>授权代表：</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26"/>
        <w:snapToGrid w:val="0"/>
        <w:spacing w:line="360" w:lineRule="auto"/>
        <w:ind w:firstLine="480" w:firstLineChars="200"/>
        <w:jc w:val="left"/>
        <w:rPr>
          <w:rFonts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p>
    <w:p>
      <w:pPr>
        <w:pStyle w:val="26"/>
        <w:snapToGrid w:val="0"/>
        <w:spacing w:line="360" w:lineRule="auto"/>
        <w:ind w:firstLine="480" w:firstLineChars="200"/>
        <w:jc w:val="left"/>
        <w:rPr>
          <w:rFonts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26"/>
        <w:snapToGrid w:val="0"/>
        <w:spacing w:line="360" w:lineRule="auto"/>
        <w:ind w:firstLine="480" w:firstLineChars="200"/>
        <w:jc w:val="left"/>
        <w:rPr>
          <w:rFonts w:hAnsi="宋体"/>
          <w:bCs/>
          <w:sz w:val="24"/>
          <w:szCs w:val="24"/>
          <w:highlight w:val="none"/>
        </w:rPr>
      </w:pPr>
      <w:r>
        <w:rPr>
          <w:rFonts w:hint="eastAsia" w:hAnsi="宋体"/>
          <w:bCs/>
          <w:sz w:val="24"/>
          <w:szCs w:val="24"/>
          <w:highlight w:val="none"/>
        </w:rPr>
        <w:t>被投诉人1：</w:t>
      </w:r>
    </w:p>
    <w:p>
      <w:pPr>
        <w:pStyle w:val="26"/>
        <w:snapToGrid w:val="0"/>
        <w:spacing w:line="360" w:lineRule="auto"/>
        <w:ind w:firstLine="480" w:firstLineChars="200"/>
        <w:jc w:val="left"/>
        <w:rPr>
          <w:rFonts w:hAnsi="宋体"/>
          <w:bCs/>
          <w:sz w:val="24"/>
          <w:szCs w:val="24"/>
          <w:highlight w:val="none"/>
          <w:u w:val="single"/>
        </w:rPr>
      </w:pPr>
      <w:r>
        <w:rPr>
          <w:rFonts w:hint="eastAsia" w:hAnsi="宋体"/>
          <w:bCs/>
          <w:sz w:val="24"/>
          <w:szCs w:val="24"/>
          <w:highlight w:val="none"/>
        </w:rPr>
        <w:t>地址：</w:t>
      </w:r>
      <w:r>
        <w:rPr>
          <w:rFonts w:hint="eastAsia" w:hAnsi="宋体"/>
          <w:bCs/>
          <w:sz w:val="24"/>
          <w:szCs w:val="24"/>
          <w:highlight w:val="none"/>
          <w:u w:val="single"/>
        </w:rPr>
        <w:t xml:space="preserve">                                                            </w:t>
      </w:r>
    </w:p>
    <w:p>
      <w:pPr>
        <w:pStyle w:val="26"/>
        <w:snapToGrid w:val="0"/>
        <w:spacing w:line="360" w:lineRule="auto"/>
        <w:ind w:firstLine="480" w:firstLineChars="200"/>
        <w:jc w:val="left"/>
        <w:rPr>
          <w:rFonts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26"/>
        <w:snapToGrid w:val="0"/>
        <w:spacing w:line="360" w:lineRule="auto"/>
        <w:ind w:firstLine="480" w:firstLineChars="200"/>
        <w:jc w:val="left"/>
        <w:rPr>
          <w:rFonts w:hAnsi="宋体"/>
          <w:bCs/>
          <w:sz w:val="24"/>
          <w:szCs w:val="24"/>
          <w:highlight w:val="none"/>
          <w:u w:val="singl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26"/>
        <w:snapToGrid w:val="0"/>
        <w:spacing w:line="360" w:lineRule="auto"/>
        <w:ind w:firstLine="480" w:firstLineChars="200"/>
        <w:jc w:val="left"/>
        <w:rPr>
          <w:rFonts w:hAnsi="宋体"/>
          <w:bCs/>
          <w:sz w:val="24"/>
          <w:szCs w:val="24"/>
          <w:highlight w:val="none"/>
        </w:rPr>
      </w:pPr>
      <w:r>
        <w:rPr>
          <w:rFonts w:hint="eastAsia" w:hAnsi="宋体"/>
          <w:bCs/>
          <w:sz w:val="24"/>
          <w:szCs w:val="24"/>
          <w:highlight w:val="none"/>
        </w:rPr>
        <w:t>被投诉人2：</w:t>
      </w:r>
    </w:p>
    <w:p>
      <w:pPr>
        <w:pStyle w:val="26"/>
        <w:snapToGrid w:val="0"/>
        <w:spacing w:line="360" w:lineRule="auto"/>
        <w:ind w:firstLine="480" w:firstLineChars="200"/>
        <w:jc w:val="left"/>
        <w:rPr>
          <w:rFonts w:hAnsi="宋体"/>
          <w:bCs/>
          <w:sz w:val="24"/>
          <w:szCs w:val="24"/>
          <w:highlight w:val="none"/>
        </w:rPr>
      </w:pPr>
      <w:r>
        <w:rPr>
          <w:rFonts w:hAnsi="宋体"/>
          <w:bCs/>
          <w:sz w:val="24"/>
          <w:szCs w:val="24"/>
          <w:highlight w:val="none"/>
        </w:rPr>
        <w:t>……</w:t>
      </w:r>
    </w:p>
    <w:p>
      <w:pPr>
        <w:pStyle w:val="26"/>
        <w:snapToGrid w:val="0"/>
        <w:spacing w:line="360" w:lineRule="auto"/>
        <w:ind w:firstLine="480" w:firstLineChars="200"/>
        <w:jc w:val="left"/>
        <w:rPr>
          <w:rFonts w:hAnsi="宋体"/>
          <w:bCs/>
          <w:sz w:val="24"/>
          <w:szCs w:val="24"/>
          <w:highlight w:val="none"/>
          <w:u w:val="single"/>
        </w:rPr>
      </w:pPr>
      <w:r>
        <w:rPr>
          <w:rFonts w:hint="eastAsia" w:hAnsi="宋体"/>
          <w:bCs/>
          <w:sz w:val="24"/>
          <w:szCs w:val="24"/>
          <w:highlight w:val="none"/>
        </w:rPr>
        <w:t>相关供应商：</w:t>
      </w:r>
      <w:r>
        <w:rPr>
          <w:rFonts w:hint="eastAsia" w:hAnsi="宋体"/>
          <w:bCs/>
          <w:sz w:val="24"/>
          <w:szCs w:val="24"/>
          <w:highlight w:val="none"/>
          <w:u w:val="single"/>
        </w:rPr>
        <w:t xml:space="preserve">                                                                       </w:t>
      </w:r>
    </w:p>
    <w:p>
      <w:pPr>
        <w:pStyle w:val="26"/>
        <w:snapToGrid w:val="0"/>
        <w:spacing w:line="360" w:lineRule="auto"/>
        <w:ind w:firstLine="480" w:firstLineChars="200"/>
        <w:jc w:val="left"/>
        <w:rPr>
          <w:rFonts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p>
    <w:p>
      <w:pPr>
        <w:pStyle w:val="26"/>
        <w:snapToGrid w:val="0"/>
        <w:spacing w:line="360" w:lineRule="auto"/>
        <w:ind w:firstLine="480" w:firstLineChars="200"/>
        <w:jc w:val="left"/>
        <w:rPr>
          <w:rFonts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26"/>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二、投诉项目基本情况：</w:t>
      </w:r>
    </w:p>
    <w:p>
      <w:pPr>
        <w:pStyle w:val="26"/>
        <w:spacing w:line="360" w:lineRule="auto"/>
        <w:ind w:left="25" w:leftChars="12" w:firstLine="472" w:firstLineChars="197"/>
        <w:rPr>
          <w:rFonts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采购人名称：</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代理机构名称：</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bCs/>
          <w:sz w:val="24"/>
          <w:szCs w:val="24"/>
          <w:highlight w:val="none"/>
          <w:u w:val="single"/>
        </w:rPr>
      </w:pPr>
      <w:r>
        <w:rPr>
          <w:rFonts w:hint="eastAsia" w:hAnsi="宋体"/>
          <w:bCs/>
          <w:sz w:val="24"/>
          <w:szCs w:val="24"/>
          <w:highlight w:val="none"/>
        </w:rPr>
        <w:t>招标文件公告：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pPr>
        <w:pStyle w:val="26"/>
        <w:spacing w:line="360" w:lineRule="auto"/>
        <w:ind w:left="25" w:leftChars="12" w:firstLine="472" w:firstLineChars="196"/>
        <w:rPr>
          <w:rFonts w:hAnsi="宋体"/>
          <w:b/>
          <w:sz w:val="24"/>
          <w:szCs w:val="24"/>
          <w:highlight w:val="none"/>
        </w:rPr>
      </w:pPr>
      <w:r>
        <w:rPr>
          <w:rFonts w:hint="eastAsia" w:hAnsi="宋体"/>
          <w:b/>
          <w:sz w:val="24"/>
          <w:szCs w:val="24"/>
          <w:highlight w:val="none"/>
        </w:rPr>
        <w:t>三、质疑基本情况</w:t>
      </w:r>
    </w:p>
    <w:p>
      <w:pPr>
        <w:pStyle w:val="26"/>
        <w:spacing w:line="360" w:lineRule="auto"/>
        <w:ind w:left="25" w:leftChars="12" w:firstLine="480" w:firstLineChars="200"/>
        <w:rPr>
          <w:rFonts w:hAnsi="宋体"/>
          <w:sz w:val="24"/>
          <w:szCs w:val="24"/>
          <w:highlight w:val="none"/>
        </w:rPr>
      </w:pPr>
      <w:r>
        <w:rPr>
          <w:rFonts w:hint="eastAsia" w:hAnsi="宋体"/>
          <w:sz w:val="24"/>
          <w:szCs w:val="24"/>
          <w:highlight w:val="none"/>
        </w:rPr>
        <w:t>投诉人于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日，向</w:t>
      </w:r>
      <w:r>
        <w:rPr>
          <w:rFonts w:hint="eastAsia" w:hAnsi="宋体"/>
          <w:sz w:val="24"/>
          <w:szCs w:val="24"/>
          <w:highlight w:val="none"/>
          <w:u w:val="single"/>
        </w:rPr>
        <w:t xml:space="preserve">                                </w:t>
      </w:r>
      <w:r>
        <w:rPr>
          <w:rFonts w:hint="eastAsia" w:hAnsi="宋体"/>
          <w:sz w:val="24"/>
          <w:szCs w:val="24"/>
          <w:highlight w:val="none"/>
        </w:rPr>
        <w:t>提出质疑，质疑事项为：</w:t>
      </w:r>
    </w:p>
    <w:p>
      <w:pPr>
        <w:pStyle w:val="26"/>
        <w:spacing w:line="360" w:lineRule="auto"/>
        <w:ind w:firstLine="241"/>
        <w:rPr>
          <w:rFonts w:hAnsi="宋体"/>
          <w:bCs/>
          <w:sz w:val="24"/>
          <w:szCs w:val="24"/>
          <w:highlight w:val="none"/>
          <w:u w:val="single"/>
        </w:rPr>
      </w:pP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26"/>
        <w:spacing w:line="360" w:lineRule="auto"/>
        <w:ind w:firstLine="241"/>
        <w:rPr>
          <w:rFonts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pPr>
        <w:pStyle w:val="26"/>
        <w:spacing w:line="360" w:lineRule="auto"/>
        <w:ind w:firstLine="480" w:firstLineChars="200"/>
        <w:rPr>
          <w:rFonts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r>
        <w:rPr>
          <w:rFonts w:hint="eastAsia" w:hAnsi="宋体"/>
          <w:bCs/>
          <w:sz w:val="24"/>
          <w:szCs w:val="24"/>
          <w:highlight w:val="none"/>
        </w:rPr>
        <w:t xml:space="preserve">就质疑事项作出了答复/没有在法定期限内作出答复。                                                                                             </w:t>
      </w:r>
    </w:p>
    <w:p>
      <w:pPr>
        <w:pStyle w:val="26"/>
        <w:spacing w:line="360" w:lineRule="auto"/>
        <w:ind w:left="25" w:leftChars="12" w:firstLine="472" w:firstLineChars="196"/>
        <w:rPr>
          <w:rFonts w:hAnsi="宋体"/>
          <w:b/>
          <w:sz w:val="24"/>
          <w:szCs w:val="24"/>
          <w:highlight w:val="none"/>
        </w:rPr>
      </w:pPr>
      <w:r>
        <w:rPr>
          <w:rFonts w:hint="eastAsia" w:hAnsi="宋体"/>
          <w:b/>
          <w:sz w:val="24"/>
          <w:szCs w:val="24"/>
          <w:highlight w:val="none"/>
        </w:rPr>
        <w:t>四、投诉事项具体内容</w:t>
      </w:r>
    </w:p>
    <w:p>
      <w:pPr>
        <w:pStyle w:val="26"/>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投诉事项1：</w:t>
      </w:r>
      <w:r>
        <w:rPr>
          <w:rFonts w:hint="eastAsia" w:hAnsi="宋体"/>
          <w:bCs/>
          <w:sz w:val="24"/>
          <w:szCs w:val="24"/>
          <w:highlight w:val="none"/>
          <w:u w:val="single"/>
        </w:rPr>
        <w:t xml:space="preserve">                                                                           </w:t>
      </w:r>
    </w:p>
    <w:p>
      <w:pPr>
        <w:pStyle w:val="26"/>
        <w:spacing w:line="360" w:lineRule="auto"/>
        <w:ind w:firstLine="480" w:firstLineChars="200"/>
        <w:rPr>
          <w:rFonts w:hAnsi="宋体"/>
          <w:bCs/>
          <w:sz w:val="24"/>
          <w:szCs w:val="24"/>
          <w:highlight w:val="none"/>
          <w:u w:val="single"/>
        </w:rPr>
      </w:pPr>
      <w:r>
        <w:rPr>
          <w:rFonts w:hint="eastAsia" w:hAnsi="宋体"/>
          <w:bCs/>
          <w:sz w:val="24"/>
          <w:szCs w:val="24"/>
          <w:highlight w:val="none"/>
        </w:rPr>
        <w:t>事实依据：</w:t>
      </w: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sz w:val="24"/>
          <w:szCs w:val="24"/>
          <w:highlight w:val="none"/>
        </w:rPr>
      </w:pPr>
      <w:r>
        <w:rPr>
          <w:rFonts w:hint="eastAsia" w:hAnsi="宋体"/>
          <w:bCs/>
          <w:sz w:val="24"/>
          <w:szCs w:val="24"/>
          <w:highlight w:val="none"/>
          <w:u w:val="single"/>
        </w:rPr>
        <w:t xml:space="preserve">                                                                                        </w:t>
      </w:r>
    </w:p>
    <w:p>
      <w:pPr>
        <w:pStyle w:val="26"/>
        <w:spacing w:line="360" w:lineRule="auto"/>
        <w:ind w:firstLine="480" w:firstLineChars="200"/>
        <w:rPr>
          <w:rFonts w:hAnsi="宋体"/>
          <w:bCs/>
          <w:sz w:val="24"/>
          <w:szCs w:val="24"/>
          <w:highlight w:val="none"/>
          <w:u w:val="single"/>
        </w:rPr>
      </w:pPr>
      <w:r>
        <w:rPr>
          <w:rFonts w:hint="eastAsia" w:hAnsi="宋体"/>
          <w:bCs/>
          <w:sz w:val="24"/>
          <w:szCs w:val="24"/>
          <w:highlight w:val="none"/>
        </w:rPr>
        <w:t>法律依据：</w:t>
      </w: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26"/>
        <w:spacing w:line="360" w:lineRule="auto"/>
        <w:ind w:left="25" w:leftChars="12" w:firstLine="352" w:firstLineChars="147"/>
        <w:rPr>
          <w:rFonts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pPr>
        <w:pStyle w:val="26"/>
        <w:spacing w:line="360" w:lineRule="auto"/>
        <w:ind w:left="25" w:leftChars="12" w:firstLine="472" w:firstLineChars="197"/>
        <w:rPr>
          <w:rFonts w:hAnsi="宋体"/>
          <w:bCs/>
          <w:sz w:val="24"/>
          <w:szCs w:val="24"/>
          <w:highlight w:val="none"/>
        </w:rPr>
      </w:pPr>
      <w:r>
        <w:rPr>
          <w:rFonts w:hint="eastAsia" w:hAnsi="宋体"/>
          <w:sz w:val="24"/>
          <w:szCs w:val="24"/>
          <w:highlight w:val="none"/>
        </w:rPr>
        <w:t xml:space="preserve">投诉事项2  </w:t>
      </w:r>
      <w:r>
        <w:rPr>
          <w:rFonts w:hint="eastAsia" w:hAnsi="宋体"/>
          <w:bCs/>
          <w:sz w:val="24"/>
          <w:szCs w:val="24"/>
          <w:highlight w:val="none"/>
        </w:rPr>
        <w:t xml:space="preserve">   </w:t>
      </w:r>
    </w:p>
    <w:p>
      <w:pPr>
        <w:pStyle w:val="26"/>
        <w:spacing w:line="360" w:lineRule="auto"/>
        <w:ind w:left="25" w:leftChars="12" w:firstLine="472" w:firstLineChars="197"/>
        <w:rPr>
          <w:rFonts w:hAnsi="宋体"/>
          <w:bCs/>
          <w:sz w:val="24"/>
          <w:szCs w:val="24"/>
          <w:highlight w:val="none"/>
        </w:rPr>
      </w:pPr>
      <w:r>
        <w:rPr>
          <w:rFonts w:hAnsi="宋体"/>
          <w:bCs/>
          <w:sz w:val="24"/>
          <w:szCs w:val="24"/>
          <w:highlight w:val="none"/>
        </w:rPr>
        <w:t>……</w:t>
      </w:r>
    </w:p>
    <w:p>
      <w:pPr>
        <w:pStyle w:val="26"/>
        <w:spacing w:line="360" w:lineRule="auto"/>
        <w:ind w:left="25" w:leftChars="12" w:firstLine="472" w:firstLineChars="196"/>
        <w:rPr>
          <w:rFonts w:hAnsi="宋体"/>
          <w:b/>
          <w:sz w:val="24"/>
          <w:szCs w:val="24"/>
          <w:highlight w:val="none"/>
        </w:rPr>
      </w:pPr>
      <w:r>
        <w:rPr>
          <w:rFonts w:hint="eastAsia" w:hAnsi="宋体"/>
          <w:b/>
          <w:sz w:val="24"/>
          <w:szCs w:val="24"/>
          <w:highlight w:val="none"/>
        </w:rPr>
        <w:t>五、与投诉事项相关的投诉请求：</w:t>
      </w: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pPr>
        <w:pStyle w:val="26"/>
        <w:spacing w:line="360" w:lineRule="auto"/>
        <w:ind w:left="25" w:leftChars="12" w:firstLine="352" w:firstLineChars="147"/>
        <w:rPr>
          <w:rFonts w:hAnsi="宋体"/>
          <w:sz w:val="24"/>
          <w:szCs w:val="24"/>
          <w:highlight w:val="none"/>
        </w:rPr>
      </w:pP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签字（签章）：                                       公章：</w:t>
      </w:r>
    </w:p>
    <w:p>
      <w:pPr>
        <w:pStyle w:val="26"/>
        <w:spacing w:line="360" w:lineRule="auto"/>
        <w:ind w:left="25" w:leftChars="12" w:firstLine="352" w:firstLineChars="147"/>
        <w:rPr>
          <w:rFonts w:hAnsi="宋体"/>
          <w:sz w:val="24"/>
          <w:szCs w:val="24"/>
          <w:highlight w:val="none"/>
        </w:rPr>
      </w:pPr>
    </w:p>
    <w:p>
      <w:pPr>
        <w:pStyle w:val="26"/>
        <w:spacing w:line="360" w:lineRule="auto"/>
        <w:ind w:left="25" w:leftChars="12" w:firstLine="472" w:firstLineChars="197"/>
        <w:rPr>
          <w:rFonts w:hAnsi="宋体"/>
          <w:sz w:val="24"/>
          <w:szCs w:val="24"/>
          <w:highlight w:val="none"/>
        </w:rPr>
      </w:pPr>
      <w:r>
        <w:rPr>
          <w:rFonts w:hint="eastAsia" w:hAnsi="宋体"/>
          <w:sz w:val="24"/>
          <w:szCs w:val="24"/>
          <w:highlight w:val="none"/>
        </w:rPr>
        <w:t>日期：</w:t>
      </w:r>
    </w:p>
    <w:p>
      <w:pPr>
        <w:pStyle w:val="26"/>
        <w:spacing w:line="360" w:lineRule="auto"/>
        <w:ind w:left="25" w:leftChars="12" w:firstLine="472" w:firstLineChars="197"/>
        <w:rPr>
          <w:rFonts w:hAnsi="宋体"/>
          <w:b/>
          <w:sz w:val="24"/>
          <w:szCs w:val="24"/>
          <w:highlight w:val="none"/>
        </w:rPr>
      </w:pPr>
      <w:r>
        <w:rPr>
          <w:rFonts w:hint="eastAsia" w:hAnsi="宋体"/>
          <w:bCs/>
          <w:sz w:val="24"/>
          <w:szCs w:val="24"/>
          <w:highlight w:val="none"/>
        </w:rPr>
        <w:t xml:space="preserve">                                                                                </w:t>
      </w:r>
      <w:r>
        <w:rPr>
          <w:rFonts w:hint="eastAsia" w:hAnsi="宋体"/>
          <w:b/>
          <w:sz w:val="24"/>
          <w:szCs w:val="24"/>
          <w:highlight w:val="none"/>
        </w:rPr>
        <w:t>说明：</w:t>
      </w:r>
    </w:p>
    <w:p>
      <w:pPr>
        <w:pStyle w:val="26"/>
        <w:spacing w:line="360" w:lineRule="auto"/>
        <w:ind w:left="25" w:leftChars="12" w:firstLine="354" w:firstLineChars="147"/>
        <w:rPr>
          <w:rFonts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pPr>
        <w:pStyle w:val="26"/>
        <w:spacing w:line="360" w:lineRule="auto"/>
        <w:ind w:left="25" w:leftChars="12" w:firstLine="354" w:firstLineChars="147"/>
        <w:rPr>
          <w:rFonts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6"/>
        <w:spacing w:line="360" w:lineRule="auto"/>
        <w:ind w:left="25" w:leftChars="12" w:firstLine="354" w:firstLineChars="147"/>
        <w:rPr>
          <w:rFonts w:hAnsi="宋体"/>
          <w:b/>
          <w:sz w:val="24"/>
          <w:szCs w:val="24"/>
          <w:highlight w:val="none"/>
        </w:rPr>
      </w:pPr>
      <w:r>
        <w:rPr>
          <w:rFonts w:hint="eastAsia" w:hAnsi="宋体"/>
          <w:b/>
          <w:sz w:val="24"/>
          <w:szCs w:val="24"/>
          <w:highlight w:val="none"/>
        </w:rPr>
        <w:t>3.投诉书应简要列明质疑事项，质疑函、质疑答复等作为附件材料提供。</w:t>
      </w:r>
    </w:p>
    <w:p>
      <w:pPr>
        <w:pStyle w:val="26"/>
        <w:spacing w:line="360" w:lineRule="auto"/>
        <w:ind w:left="25" w:leftChars="12" w:firstLine="354" w:firstLineChars="147"/>
        <w:rPr>
          <w:rFonts w:hAnsi="宋体"/>
          <w:b/>
          <w:sz w:val="24"/>
          <w:szCs w:val="24"/>
          <w:highlight w:val="none"/>
        </w:rPr>
      </w:pPr>
      <w:r>
        <w:rPr>
          <w:rFonts w:hint="eastAsia" w:hAnsi="宋体"/>
          <w:b/>
          <w:sz w:val="24"/>
          <w:szCs w:val="24"/>
          <w:highlight w:val="none"/>
        </w:rPr>
        <w:t>4.投诉书的投诉事项应具体、明确，并有必要的事实依据和法律依据。</w:t>
      </w:r>
    </w:p>
    <w:p>
      <w:pPr>
        <w:pStyle w:val="26"/>
        <w:spacing w:line="360" w:lineRule="auto"/>
        <w:ind w:left="25" w:leftChars="12" w:firstLine="354" w:firstLineChars="147"/>
        <w:rPr>
          <w:rFonts w:hAnsi="宋体"/>
          <w:b/>
          <w:sz w:val="24"/>
          <w:szCs w:val="24"/>
          <w:highlight w:val="none"/>
        </w:rPr>
      </w:pPr>
      <w:r>
        <w:rPr>
          <w:rFonts w:hint="eastAsia" w:hAnsi="宋体"/>
          <w:b/>
          <w:sz w:val="24"/>
          <w:szCs w:val="24"/>
          <w:highlight w:val="none"/>
        </w:rPr>
        <w:t>5.投诉书的投诉请求应与投诉事项相关。</w:t>
      </w:r>
    </w:p>
    <w:p>
      <w:pPr>
        <w:pStyle w:val="26"/>
        <w:spacing w:line="360" w:lineRule="auto"/>
        <w:ind w:left="25" w:leftChars="12" w:firstLine="354" w:firstLineChars="147"/>
        <w:rPr>
          <w:rFonts w:hAnsi="宋体" w:cs="宋体"/>
          <w:b/>
          <w:bCs/>
          <w:highlight w:val="none"/>
        </w:rPr>
      </w:pPr>
      <w:r>
        <w:rPr>
          <w:rFonts w:hint="eastAsia" w:hAnsi="宋体"/>
          <w:b/>
          <w:sz w:val="24"/>
          <w:szCs w:val="24"/>
          <w:highlight w:val="none"/>
        </w:rPr>
        <w:t>6.投诉人为法人或者其他组织的，投诉书应由法定代表人、主要负责人，或者其授权代表签字或者盖章，并加盖公章。</w:t>
      </w:r>
      <w:r>
        <w:rPr>
          <w:rFonts w:hAnsi="宋体" w:cs="宋体"/>
          <w:b/>
          <w:bCs/>
          <w:highlight w:val="none"/>
        </w:rPr>
        <w:br w:type="page"/>
      </w:r>
    </w:p>
    <w:bookmarkEnd w:id="147"/>
    <w:bookmarkEnd w:id="148"/>
    <w:bookmarkEnd w:id="149"/>
    <w:p>
      <w:pPr>
        <w:rPr>
          <w:rFonts w:ascii="宋体" w:hAnsi="宋体" w:cs="宋体"/>
          <w:b/>
          <w:bCs/>
          <w:highlight w:val="none"/>
        </w:rPr>
      </w:pPr>
      <w:r>
        <w:rPr>
          <w:rFonts w:hint="eastAsia" w:ascii="宋体" w:hAnsi="宋体" w:cs="宋体"/>
          <w:b/>
          <w:bCs/>
          <w:highlight w:val="none"/>
        </w:rPr>
        <w:t>附表：</w:t>
      </w:r>
    </w:p>
    <w:p>
      <w:pPr>
        <w:jc w:val="center"/>
        <w:rPr>
          <w:rFonts w:ascii="宋体" w:hAnsi="宋体" w:cs="宋体"/>
          <w:sz w:val="48"/>
          <w:highlight w:val="none"/>
        </w:rPr>
      </w:pPr>
      <w:r>
        <w:rPr>
          <w:rFonts w:hint="eastAsia" w:ascii="宋体" w:hAnsi="宋体" w:cs="宋体"/>
          <w:sz w:val="44"/>
          <w:highlight w:val="none"/>
        </w:rPr>
        <w:t>政府采购项目履约保证金退付意见书</w:t>
      </w:r>
    </w:p>
    <w:tbl>
      <w:tblPr>
        <w:tblStyle w:val="49"/>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供</w:t>
            </w:r>
          </w:p>
          <w:p>
            <w:pPr>
              <w:jc w:val="center"/>
              <w:rPr>
                <w:rFonts w:ascii="宋体" w:hAnsi="宋体" w:cs="宋体"/>
                <w:sz w:val="24"/>
                <w:highlight w:val="none"/>
              </w:rPr>
            </w:pPr>
            <w:r>
              <w:rPr>
                <w:rFonts w:hint="eastAsia" w:ascii="宋体" w:hAnsi="宋体" w:cs="宋体"/>
                <w:sz w:val="24"/>
                <w:highlight w:val="none"/>
              </w:rPr>
              <w:t>应</w:t>
            </w:r>
          </w:p>
          <w:p>
            <w:pPr>
              <w:jc w:val="center"/>
              <w:rPr>
                <w:rFonts w:ascii="宋体" w:hAnsi="宋体" w:cs="宋体"/>
                <w:sz w:val="24"/>
                <w:highlight w:val="none"/>
              </w:rPr>
            </w:pPr>
            <w:r>
              <w:rPr>
                <w:rFonts w:hint="eastAsia" w:ascii="宋体" w:hAnsi="宋体" w:cs="宋体"/>
                <w:sz w:val="24"/>
                <w:highlight w:val="none"/>
              </w:rPr>
              <w:t>商</w:t>
            </w:r>
          </w:p>
          <w:p>
            <w:pPr>
              <w:jc w:val="center"/>
              <w:rPr>
                <w:rFonts w:ascii="宋体" w:hAnsi="宋体" w:cs="宋体"/>
                <w:sz w:val="24"/>
                <w:highlight w:val="none"/>
              </w:rPr>
            </w:pPr>
            <w:r>
              <w:rPr>
                <w:rFonts w:hint="eastAsia" w:ascii="宋体" w:hAnsi="宋体" w:cs="宋体"/>
                <w:sz w:val="24"/>
                <w:highlight w:val="none"/>
              </w:rPr>
              <w:t>申</w:t>
            </w:r>
          </w:p>
          <w:p>
            <w:pPr>
              <w:jc w:val="center"/>
              <w:rPr>
                <w:rFonts w:ascii="宋体" w:hAnsi="宋体" w:cs="宋体"/>
                <w:sz w:val="24"/>
                <w:highlight w:val="none"/>
              </w:rPr>
            </w:pPr>
            <w:r>
              <w:rPr>
                <w:rFonts w:hint="eastAsia" w:ascii="宋体" w:hAnsi="宋体" w:cs="宋体"/>
                <w:sz w:val="24"/>
                <w:highlight w:val="none"/>
              </w:rPr>
              <w:t>请</w:t>
            </w:r>
          </w:p>
        </w:tc>
        <w:tc>
          <w:tcPr>
            <w:tcW w:w="86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86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c>
          <w:tcPr>
            <w:tcW w:w="8640" w:type="dxa"/>
            <w:tcBorders>
              <w:top w:val="single" w:color="auto" w:sz="4" w:space="0"/>
              <w:left w:val="single" w:color="auto" w:sz="4" w:space="0"/>
              <w:bottom w:val="single" w:color="auto" w:sz="4" w:space="0"/>
              <w:right w:val="single" w:color="auto" w:sz="4" w:space="0"/>
            </w:tcBorders>
          </w:tcPr>
          <w:p>
            <w:pPr>
              <w:rPr>
                <w:rFonts w:ascii="宋体" w:hAnsi="宋体" w:cs="宋体"/>
                <w:sz w:val="24"/>
                <w:highlight w:val="none"/>
              </w:rPr>
            </w:pPr>
            <w:r>
              <w:rPr>
                <w:rFonts w:hint="eastAsia" w:ascii="宋体" w:hAnsi="宋体" w:cs="宋体"/>
                <w:sz w:val="24"/>
                <w:highlight w:val="non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该项目已于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日验收并交付使用。根据合同规定，该项目的履约保证金期限于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日已满，请将履约保证金</w:t>
            </w:r>
          </w:p>
          <w:p>
            <w:pPr>
              <w:spacing w:line="400" w:lineRule="exac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（大写）￥</w:t>
            </w:r>
            <w:r>
              <w:rPr>
                <w:rFonts w:hint="eastAsia" w:ascii="宋体" w:hAnsi="宋体" w:cs="宋体"/>
                <w:sz w:val="24"/>
                <w:highlight w:val="none"/>
                <w:u w:val="single"/>
              </w:rPr>
              <w:t xml:space="preserve">          </w:t>
            </w:r>
            <w:r>
              <w:rPr>
                <w:rFonts w:hint="eastAsia" w:ascii="宋体" w:hAnsi="宋体" w:cs="宋体"/>
                <w:sz w:val="24"/>
                <w:highlight w:val="none"/>
              </w:rPr>
              <w:t>（小写）退付到达以下帐户。</w:t>
            </w:r>
          </w:p>
          <w:p>
            <w:pPr>
              <w:spacing w:line="400" w:lineRule="exact"/>
              <w:ind w:firstLine="705"/>
              <w:rPr>
                <w:rFonts w:ascii="宋体" w:hAnsi="宋体" w:cs="宋体"/>
                <w:sz w:val="24"/>
                <w:highlight w:val="none"/>
              </w:rPr>
            </w:pPr>
            <w:r>
              <w:rPr>
                <w:rFonts w:hint="eastAsia" w:ascii="宋体" w:hAnsi="宋体" w:cs="宋体"/>
                <w:sz w:val="24"/>
                <w:highlight w:val="none"/>
              </w:rPr>
              <w:t>单位名称：</w:t>
            </w:r>
          </w:p>
          <w:p>
            <w:pPr>
              <w:spacing w:line="400" w:lineRule="exact"/>
              <w:ind w:firstLine="705"/>
              <w:rPr>
                <w:rFonts w:ascii="宋体" w:hAnsi="宋体" w:cs="宋体"/>
                <w:sz w:val="24"/>
                <w:highlight w:val="none"/>
              </w:rPr>
            </w:pPr>
            <w:r>
              <w:rPr>
                <w:rFonts w:hint="eastAsia" w:ascii="宋体" w:hAnsi="宋体" w:cs="宋体"/>
                <w:sz w:val="24"/>
                <w:highlight w:val="none"/>
              </w:rPr>
              <w:t>开户银行：</w:t>
            </w:r>
          </w:p>
          <w:p>
            <w:pPr>
              <w:spacing w:line="400" w:lineRule="exact"/>
              <w:ind w:firstLine="705"/>
              <w:rPr>
                <w:rFonts w:ascii="宋体" w:hAnsi="宋体" w:cs="宋体"/>
                <w:sz w:val="24"/>
                <w:highlight w:val="none"/>
              </w:rPr>
            </w:pPr>
            <w:r>
              <w:rPr>
                <w:rFonts w:hint="eastAsia" w:ascii="宋体" w:hAnsi="宋体" w:cs="宋体"/>
                <w:sz w:val="24"/>
                <w:highlight w:val="none"/>
              </w:rPr>
              <w:t>帐   号：</w:t>
            </w:r>
          </w:p>
          <w:p>
            <w:pPr>
              <w:spacing w:line="400" w:lineRule="exact"/>
              <w:rPr>
                <w:rFonts w:ascii="宋体" w:hAnsi="宋体" w:cs="宋体"/>
                <w:sz w:val="24"/>
                <w:highlight w:val="none"/>
              </w:rPr>
            </w:pPr>
            <w:r>
              <w:rPr>
                <w:rFonts w:hint="eastAsia" w:ascii="宋体" w:hAnsi="宋体" w:cs="宋体"/>
                <w:sz w:val="24"/>
                <w:highlight w:val="none"/>
              </w:rPr>
              <w:t>联系人及电话：</w:t>
            </w:r>
          </w:p>
          <w:p>
            <w:pPr>
              <w:spacing w:line="400" w:lineRule="exact"/>
              <w:rPr>
                <w:rFonts w:ascii="宋体" w:hAnsi="宋体" w:cs="宋体"/>
                <w:sz w:val="24"/>
                <w:highlight w:val="none"/>
              </w:rPr>
            </w:pPr>
          </w:p>
          <w:p>
            <w:pPr>
              <w:spacing w:line="520" w:lineRule="exact"/>
              <w:jc w:val="center"/>
              <w:rPr>
                <w:rFonts w:ascii="宋体" w:hAnsi="宋体" w:cs="宋体"/>
                <w:sz w:val="24"/>
                <w:highlight w:val="none"/>
              </w:rPr>
            </w:pPr>
            <w:r>
              <w:rPr>
                <w:rFonts w:hint="eastAsia" w:ascii="宋体" w:hAnsi="宋体" w:cs="宋体"/>
                <w:sz w:val="24"/>
                <w:highlight w:val="none"/>
              </w:rPr>
              <w:t xml:space="preserve">                                     供应商签章：</w:t>
            </w:r>
          </w:p>
          <w:p>
            <w:pPr>
              <w:spacing w:line="520" w:lineRule="exact"/>
              <w:jc w:val="center"/>
              <w:rPr>
                <w:rFonts w:ascii="宋体" w:hAnsi="宋体" w:cs="宋体"/>
                <w:sz w:val="24"/>
                <w:highlight w:val="none"/>
              </w:rPr>
            </w:pPr>
            <w:r>
              <w:rPr>
                <w:rFonts w:hint="eastAsia" w:ascii="宋体" w:hAnsi="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采</w:t>
            </w:r>
          </w:p>
          <w:p>
            <w:pPr>
              <w:jc w:val="center"/>
              <w:rPr>
                <w:rFonts w:ascii="宋体" w:hAnsi="宋体" w:cs="宋体"/>
                <w:sz w:val="24"/>
                <w:highlight w:val="none"/>
              </w:rPr>
            </w:pPr>
            <w:r>
              <w:rPr>
                <w:rFonts w:hint="eastAsia" w:ascii="宋体" w:hAnsi="宋体" w:cs="宋体"/>
                <w:sz w:val="24"/>
                <w:highlight w:val="none"/>
              </w:rPr>
              <w:t>购</w:t>
            </w:r>
          </w:p>
          <w:p>
            <w:pPr>
              <w:jc w:val="center"/>
              <w:rPr>
                <w:rFonts w:ascii="宋体" w:hAnsi="宋体" w:cs="宋体"/>
                <w:sz w:val="24"/>
                <w:highlight w:val="none"/>
              </w:rPr>
            </w:pPr>
            <w:r>
              <w:rPr>
                <w:rFonts w:hint="eastAsia" w:ascii="宋体" w:hAnsi="宋体" w:cs="宋体"/>
                <w:sz w:val="24"/>
                <w:highlight w:val="none"/>
              </w:rPr>
              <w:t>单</w:t>
            </w:r>
          </w:p>
          <w:p>
            <w:pPr>
              <w:jc w:val="center"/>
              <w:rPr>
                <w:rFonts w:ascii="宋体" w:hAnsi="宋体" w:cs="宋体"/>
                <w:sz w:val="24"/>
                <w:highlight w:val="none"/>
              </w:rPr>
            </w:pPr>
            <w:r>
              <w:rPr>
                <w:rFonts w:hint="eastAsia" w:ascii="宋体" w:hAnsi="宋体" w:cs="宋体"/>
                <w:sz w:val="24"/>
                <w:highlight w:val="none"/>
              </w:rPr>
              <w:t>位</w:t>
            </w:r>
          </w:p>
          <w:p>
            <w:pPr>
              <w:jc w:val="center"/>
              <w:rPr>
                <w:rFonts w:ascii="宋体" w:hAnsi="宋体" w:cs="宋体"/>
                <w:sz w:val="24"/>
                <w:highlight w:val="none"/>
              </w:rPr>
            </w:pPr>
            <w:r>
              <w:rPr>
                <w:rFonts w:hint="eastAsia" w:ascii="宋体" w:hAnsi="宋体" w:cs="宋体"/>
                <w:sz w:val="24"/>
                <w:highlight w:val="none"/>
              </w:rPr>
              <w:t>意</w:t>
            </w:r>
          </w:p>
          <w:p>
            <w:pPr>
              <w:jc w:val="center"/>
              <w:rPr>
                <w:rFonts w:ascii="宋体" w:hAnsi="宋体" w:cs="宋体"/>
                <w:sz w:val="24"/>
                <w:highlight w:val="none"/>
              </w:rPr>
            </w:pPr>
            <w:r>
              <w:rPr>
                <w:rFonts w:hint="eastAsia" w:ascii="宋体" w:hAnsi="宋体" w:cs="宋体"/>
                <w:sz w:val="24"/>
                <w:highlight w:val="none"/>
              </w:rPr>
              <w:t>见</w:t>
            </w:r>
          </w:p>
        </w:tc>
        <w:tc>
          <w:tcPr>
            <w:tcW w:w="8640" w:type="dxa"/>
            <w:tcBorders>
              <w:top w:val="single" w:color="auto" w:sz="4" w:space="0"/>
              <w:left w:val="single" w:color="auto" w:sz="4" w:space="0"/>
              <w:bottom w:val="single" w:color="auto" w:sz="4" w:space="0"/>
              <w:right w:val="single" w:color="auto" w:sz="4" w:space="0"/>
            </w:tcBorders>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退付意见：是否同意退付履约保证金及退付金额</w:t>
            </w: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spacing w:line="520" w:lineRule="exact"/>
              <w:rPr>
                <w:rFonts w:ascii="宋体" w:hAnsi="宋体" w:cs="宋体"/>
                <w:sz w:val="24"/>
                <w:highlight w:val="none"/>
              </w:rPr>
            </w:pPr>
            <w:r>
              <w:rPr>
                <w:rFonts w:hint="eastAsia" w:ascii="宋体" w:hAnsi="宋体" w:cs="宋体"/>
                <w:sz w:val="24"/>
                <w:highlight w:val="none"/>
              </w:rPr>
              <w:t>联系人及电话：                                 采购单位签章</w:t>
            </w:r>
          </w:p>
          <w:p>
            <w:pPr>
              <w:spacing w:line="520" w:lineRule="exact"/>
              <w:jc w:val="center"/>
              <w:rPr>
                <w:rFonts w:ascii="宋体" w:hAnsi="宋体" w:cs="宋体"/>
                <w:sz w:val="24"/>
                <w:highlight w:val="none"/>
              </w:rPr>
            </w:pPr>
            <w:r>
              <w:rPr>
                <w:rFonts w:hint="eastAsia" w:ascii="宋体" w:hAnsi="宋体" w:cs="宋体"/>
                <w:sz w:val="24"/>
                <w:highlight w:val="none"/>
              </w:rPr>
              <w:t xml:space="preserve">                                        年    月     日</w:t>
            </w:r>
          </w:p>
        </w:tc>
      </w:tr>
    </w:tbl>
    <w:p>
      <w:pPr>
        <w:pStyle w:val="26"/>
        <w:spacing w:line="288" w:lineRule="auto"/>
        <w:ind w:firstLine="361" w:firstLineChars="200"/>
        <w:rPr>
          <w:rFonts w:hAnsi="宋体" w:cs="宋体"/>
          <w:highlight w:val="none"/>
        </w:rPr>
      </w:pPr>
      <w:r>
        <w:rPr>
          <w:rFonts w:hint="eastAsia" w:hAnsi="宋体" w:cs="宋体"/>
          <w:b/>
          <w:bCs/>
          <w:sz w:val="18"/>
          <w:highlight w:val="none"/>
        </w:rPr>
        <w:t>注：中标人凭经审批的退付意见书到采购人处办理履约保证金退付事宜。</w:t>
      </w:r>
    </w:p>
    <w:p>
      <w:pPr>
        <w:pStyle w:val="26"/>
        <w:spacing w:before="120" w:after="120"/>
        <w:outlineLvl w:val="0"/>
        <w:rPr>
          <w:rFonts w:hAnsi="宋体" w:cs="宋体"/>
          <w:sz w:val="24"/>
          <w:szCs w:val="24"/>
          <w:highlight w:val="none"/>
        </w:rPr>
      </w:pPr>
    </w:p>
    <w:p>
      <w:pPr>
        <w:pStyle w:val="26"/>
        <w:spacing w:before="120" w:after="120"/>
        <w:outlineLvl w:val="0"/>
        <w:rPr>
          <w:rFonts w:hAnsi="宋体" w:cs="宋体"/>
          <w:sz w:val="24"/>
          <w:szCs w:val="24"/>
          <w:highlight w:val="none"/>
        </w:rPr>
      </w:pPr>
    </w:p>
    <w:p>
      <w:pPr>
        <w:rPr>
          <w:rFonts w:hAnsi="宋体" w:cs="宋体"/>
          <w:sz w:val="24"/>
          <w:highlight w:val="none"/>
        </w:rPr>
      </w:pPr>
    </w:p>
    <w:p>
      <w:pPr>
        <w:pStyle w:val="2"/>
        <w:rPr>
          <w:highlight w:val="none"/>
        </w:rPr>
      </w:pPr>
    </w:p>
    <w:p>
      <w:pPr>
        <w:jc w:val="center"/>
        <w:rPr>
          <w:rFonts w:ascii="宋体" w:hAnsi="宋体" w:cs="宋体"/>
          <w:b/>
          <w:sz w:val="30"/>
          <w:szCs w:val="30"/>
          <w:highlight w:val="none"/>
        </w:rPr>
      </w:pPr>
      <w:r>
        <w:rPr>
          <w:rFonts w:hint="eastAsia" w:ascii="宋体" w:hAnsi="宋体" w:cs="宋体"/>
          <w:b/>
          <w:sz w:val="30"/>
          <w:szCs w:val="30"/>
          <w:highlight w:val="none"/>
        </w:rPr>
        <w:t>广西壮族自治区政府采购项目合同验收书</w:t>
      </w:r>
    </w:p>
    <w:p>
      <w:pPr>
        <w:pStyle w:val="2"/>
        <w:rPr>
          <w:rFonts w:ascii="宋体" w:hAnsi="宋体" w:cs="宋体"/>
          <w:b/>
          <w:sz w:val="30"/>
          <w:szCs w:val="30"/>
          <w:highlight w:val="none"/>
        </w:rPr>
      </w:pPr>
    </w:p>
    <w:p>
      <w:pPr>
        <w:pStyle w:val="2"/>
        <w:rPr>
          <w:rFonts w:ascii="宋体" w:hAnsi="宋体" w:cs="宋体"/>
          <w:b/>
          <w:sz w:val="30"/>
          <w:szCs w:val="30"/>
          <w:highlight w:val="none"/>
        </w:rPr>
      </w:pPr>
    </w:p>
    <w:p>
      <w:pPr>
        <w:ind w:firstLine="480" w:firstLineChars="200"/>
        <w:rPr>
          <w:rFonts w:ascii="宋体" w:hAnsi="宋体" w:cs="宋体"/>
          <w:sz w:val="24"/>
          <w:highlight w:val="none"/>
        </w:rPr>
      </w:pPr>
      <w:r>
        <w:rPr>
          <w:rFonts w:hint="eastAsia" w:ascii="宋体" w:hAnsi="宋体" w:cs="宋体"/>
          <w:sz w:val="24"/>
          <w:highlight w:val="none"/>
        </w:rPr>
        <w:t>根据政府采购项目（采购合同编号：­  ）的约定，我单位对（项目名称）政府采购项目中标（或成交）供应商（公司名称）提供的货物（或工程、服务）进行了验收，验收情况如下：</w:t>
      </w:r>
    </w:p>
    <w:tbl>
      <w:tblPr>
        <w:tblStyle w:val="49"/>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6"/>
        <w:gridCol w:w="1843"/>
        <w:gridCol w:w="2126"/>
        <w:gridCol w:w="1567"/>
        <w:gridCol w:w="1947"/>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2949" w:type="dxa"/>
            <w:gridSpan w:val="2"/>
            <w:vAlign w:val="center"/>
          </w:tcPr>
          <w:p>
            <w:pPr>
              <w:widowControl/>
              <w:spacing w:line="320" w:lineRule="atLeast"/>
              <w:ind w:firstLine="5"/>
              <w:jc w:val="center"/>
              <w:rPr>
                <w:rFonts w:ascii="宋体" w:hAnsi="宋体" w:cs="宋体"/>
                <w:kern w:val="0"/>
                <w:sz w:val="24"/>
                <w:highlight w:val="none"/>
              </w:rPr>
            </w:pPr>
            <w:r>
              <w:rPr>
                <w:rFonts w:hint="eastAsia" w:ascii="宋体" w:hAnsi="宋体" w:cs="宋体"/>
                <w:kern w:val="0"/>
                <w:sz w:val="24"/>
                <w:highlight w:val="none"/>
              </w:rPr>
              <w:t>验收方式：</w:t>
            </w:r>
          </w:p>
        </w:tc>
        <w:tc>
          <w:tcPr>
            <w:tcW w:w="7286" w:type="dxa"/>
            <w:gridSpan w:val="4"/>
            <w:vAlign w:val="center"/>
          </w:tcPr>
          <w:p>
            <w:pPr>
              <w:widowControl/>
              <w:spacing w:line="320" w:lineRule="atLeast"/>
              <w:ind w:firstLine="480"/>
              <w:jc w:val="center"/>
              <w:rPr>
                <w:rFonts w:ascii="宋体" w:hAnsi="宋体" w:cs="宋体"/>
                <w:kern w:val="0"/>
                <w:sz w:val="24"/>
                <w:highlight w:val="none"/>
              </w:rPr>
            </w:pPr>
            <w:r>
              <w:rPr>
                <w:rFonts w:hint="eastAsia" w:ascii="宋体" w:hAnsi="宋体" w:cs="宋体"/>
                <w:kern w:val="0"/>
                <w:sz w:val="24"/>
                <w:highlight w:val="none"/>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106" w:type="dxa"/>
            <w:vAlign w:val="center"/>
          </w:tcPr>
          <w:p>
            <w:pPr>
              <w:widowControl/>
              <w:spacing w:line="320" w:lineRule="atLeast"/>
              <w:ind w:firstLine="2"/>
              <w:jc w:val="center"/>
              <w:rPr>
                <w:rFonts w:ascii="宋体" w:hAnsi="宋体" w:cs="宋体"/>
                <w:kern w:val="0"/>
                <w:sz w:val="24"/>
                <w:highlight w:val="none"/>
              </w:rPr>
            </w:pPr>
            <w:r>
              <w:rPr>
                <w:rFonts w:hint="eastAsia" w:ascii="宋体" w:hAnsi="宋体" w:cs="宋体"/>
                <w:kern w:val="0"/>
                <w:sz w:val="24"/>
                <w:highlight w:val="none"/>
              </w:rPr>
              <w:t>序号</w:t>
            </w:r>
          </w:p>
        </w:tc>
        <w:tc>
          <w:tcPr>
            <w:tcW w:w="1843" w:type="dxa"/>
            <w:vAlign w:val="center"/>
          </w:tcPr>
          <w:p>
            <w:pPr>
              <w:widowControl/>
              <w:spacing w:line="320" w:lineRule="atLeast"/>
              <w:ind w:firstLine="2"/>
              <w:jc w:val="center"/>
              <w:rPr>
                <w:rFonts w:ascii="宋体" w:hAnsi="宋体" w:cs="宋体"/>
                <w:kern w:val="0"/>
                <w:sz w:val="24"/>
                <w:highlight w:val="none"/>
              </w:rPr>
            </w:pPr>
            <w:r>
              <w:rPr>
                <w:rFonts w:hint="eastAsia" w:ascii="宋体" w:hAnsi="宋体" w:cs="宋体"/>
                <w:kern w:val="0"/>
                <w:sz w:val="24"/>
                <w:highlight w:val="none"/>
              </w:rPr>
              <w:t>名 称</w:t>
            </w:r>
          </w:p>
        </w:tc>
        <w:tc>
          <w:tcPr>
            <w:tcW w:w="3693" w:type="dxa"/>
            <w:gridSpan w:val="2"/>
            <w:vAlign w:val="center"/>
          </w:tcPr>
          <w:p>
            <w:pPr>
              <w:widowControl/>
              <w:spacing w:line="320" w:lineRule="atLeast"/>
              <w:ind w:firstLine="2"/>
              <w:jc w:val="left"/>
              <w:rPr>
                <w:rFonts w:ascii="宋体" w:hAnsi="宋体" w:cs="宋体"/>
                <w:kern w:val="0"/>
                <w:sz w:val="24"/>
                <w:highlight w:val="none"/>
              </w:rPr>
            </w:pPr>
            <w:r>
              <w:rPr>
                <w:rFonts w:hint="eastAsia" w:ascii="宋体" w:hAnsi="宋体" w:cs="宋体"/>
                <w:kern w:val="0"/>
                <w:sz w:val="24"/>
                <w:highlight w:val="none"/>
              </w:rPr>
              <w:t>货物型号规格、标准及配置等（或服务内容、标准）</w:t>
            </w:r>
          </w:p>
        </w:tc>
        <w:tc>
          <w:tcPr>
            <w:tcW w:w="1947" w:type="dxa"/>
            <w:vAlign w:val="center"/>
          </w:tcPr>
          <w:p>
            <w:pPr>
              <w:widowControl/>
              <w:spacing w:line="320" w:lineRule="atLeast"/>
              <w:jc w:val="center"/>
              <w:rPr>
                <w:rFonts w:ascii="宋体" w:hAnsi="宋体" w:cs="宋体"/>
                <w:kern w:val="0"/>
                <w:sz w:val="24"/>
                <w:highlight w:val="none"/>
              </w:rPr>
            </w:pPr>
            <w:r>
              <w:rPr>
                <w:rFonts w:hint="eastAsia" w:ascii="宋体" w:hAnsi="宋体" w:cs="宋体"/>
                <w:kern w:val="0"/>
                <w:sz w:val="24"/>
                <w:highlight w:val="none"/>
              </w:rPr>
              <w:t>数量</w:t>
            </w:r>
          </w:p>
        </w:tc>
        <w:tc>
          <w:tcPr>
            <w:tcW w:w="1646" w:type="dxa"/>
            <w:vAlign w:val="center"/>
          </w:tcPr>
          <w:p>
            <w:pPr>
              <w:widowControl/>
              <w:spacing w:line="320" w:lineRule="atLeast"/>
              <w:ind w:firstLine="2"/>
              <w:jc w:val="center"/>
              <w:rPr>
                <w:rFonts w:ascii="宋体" w:hAnsi="宋体" w:cs="宋体"/>
                <w:kern w:val="0"/>
                <w:sz w:val="24"/>
                <w:highlight w:val="none"/>
              </w:rPr>
            </w:pPr>
            <w:r>
              <w:rPr>
                <w:rFonts w:hint="eastAsia" w:ascii="宋体" w:hAnsi="宋体" w:cs="宋体"/>
                <w:kern w:val="0"/>
                <w:sz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106" w:type="dxa"/>
            <w:vAlign w:val="center"/>
          </w:tcPr>
          <w:p>
            <w:pPr>
              <w:widowControl/>
              <w:spacing w:line="320" w:lineRule="atLeast"/>
              <w:ind w:firstLine="5"/>
              <w:jc w:val="left"/>
              <w:rPr>
                <w:rFonts w:ascii="宋体" w:hAnsi="宋体" w:cs="宋体"/>
                <w:kern w:val="0"/>
                <w:sz w:val="24"/>
                <w:highlight w:val="none"/>
              </w:rPr>
            </w:pPr>
            <w:r>
              <w:rPr>
                <w:rFonts w:hint="eastAsia" w:ascii="宋体" w:hAnsi="宋体" w:cs="宋体"/>
                <w:kern w:val="0"/>
                <w:sz w:val="24"/>
                <w:highlight w:val="none"/>
              </w:rPr>
              <w:t> </w:t>
            </w:r>
          </w:p>
        </w:tc>
        <w:tc>
          <w:tcPr>
            <w:tcW w:w="1843"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3693" w:type="dxa"/>
            <w:gridSpan w:val="2"/>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947"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64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10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843"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3693" w:type="dxa"/>
            <w:gridSpan w:val="2"/>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947"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64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110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843"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3693" w:type="dxa"/>
            <w:gridSpan w:val="2"/>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947"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64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6642" w:type="dxa"/>
            <w:gridSpan w:val="4"/>
            <w:vAlign w:val="center"/>
          </w:tcPr>
          <w:p>
            <w:pPr>
              <w:widowControl/>
              <w:spacing w:line="320" w:lineRule="atLeast"/>
              <w:ind w:firstLine="5"/>
              <w:jc w:val="center"/>
              <w:rPr>
                <w:rFonts w:ascii="宋体" w:hAnsi="宋体" w:cs="宋体"/>
                <w:kern w:val="0"/>
                <w:sz w:val="24"/>
                <w:highlight w:val="none"/>
              </w:rPr>
            </w:pPr>
            <w:r>
              <w:rPr>
                <w:rFonts w:hint="eastAsia" w:ascii="宋体" w:hAnsi="宋体" w:cs="宋体"/>
                <w:kern w:val="0"/>
                <w:sz w:val="24"/>
                <w:highlight w:val="none"/>
              </w:rPr>
              <w:t>合       计</w:t>
            </w:r>
          </w:p>
        </w:tc>
        <w:tc>
          <w:tcPr>
            <w:tcW w:w="1947"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64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10235" w:type="dxa"/>
            <w:gridSpan w:val="6"/>
            <w:vAlign w:val="center"/>
          </w:tcPr>
          <w:p>
            <w:pPr>
              <w:widowControl/>
              <w:spacing w:line="320" w:lineRule="atLeast"/>
              <w:ind w:firstLine="2"/>
              <w:jc w:val="left"/>
              <w:rPr>
                <w:rFonts w:ascii="宋体" w:hAnsi="宋体" w:cs="宋体"/>
                <w:kern w:val="0"/>
                <w:sz w:val="24"/>
                <w:highlight w:val="none"/>
              </w:rPr>
            </w:pPr>
            <w:r>
              <w:rPr>
                <w:rFonts w:hint="eastAsia" w:ascii="宋体" w:hAnsi="宋体" w:cs="宋体"/>
                <w:kern w:val="0"/>
                <w:sz w:val="24"/>
                <w:highlight w:val="none"/>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1106" w:type="dxa"/>
            <w:vAlign w:val="center"/>
          </w:tcPr>
          <w:p>
            <w:pPr>
              <w:widowControl/>
              <w:spacing w:line="320" w:lineRule="atLeast"/>
              <w:ind w:firstLine="2"/>
              <w:jc w:val="left"/>
              <w:rPr>
                <w:rFonts w:ascii="宋体" w:hAnsi="宋体" w:cs="宋体"/>
                <w:kern w:val="0"/>
                <w:sz w:val="24"/>
                <w:highlight w:val="none"/>
              </w:rPr>
            </w:pPr>
            <w:r>
              <w:rPr>
                <w:rFonts w:hint="eastAsia" w:ascii="宋体" w:hAnsi="宋体" w:cs="宋体"/>
                <w:kern w:val="0"/>
                <w:sz w:val="24"/>
                <w:highlight w:val="none"/>
              </w:rPr>
              <w:t>实际供货日期</w:t>
            </w:r>
          </w:p>
        </w:tc>
        <w:tc>
          <w:tcPr>
            <w:tcW w:w="3969" w:type="dxa"/>
            <w:gridSpan w:val="2"/>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3514" w:type="dxa"/>
            <w:gridSpan w:val="2"/>
            <w:vAlign w:val="center"/>
          </w:tcPr>
          <w:p>
            <w:pPr>
              <w:widowControl/>
              <w:spacing w:line="320" w:lineRule="atLeast"/>
              <w:ind w:firstLine="46"/>
              <w:jc w:val="center"/>
              <w:rPr>
                <w:rFonts w:ascii="宋体" w:hAnsi="宋体" w:cs="宋体"/>
                <w:kern w:val="0"/>
                <w:sz w:val="24"/>
                <w:highlight w:val="none"/>
              </w:rPr>
            </w:pPr>
            <w:r>
              <w:rPr>
                <w:rFonts w:hint="eastAsia" w:ascii="宋体" w:hAnsi="宋体" w:cs="宋体"/>
                <w:kern w:val="0"/>
                <w:sz w:val="24"/>
                <w:highlight w:val="none"/>
              </w:rPr>
              <w:t>合同交货验收日期</w:t>
            </w:r>
          </w:p>
        </w:tc>
        <w:tc>
          <w:tcPr>
            <w:tcW w:w="164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10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3969" w:type="dxa"/>
            <w:gridSpan w:val="2"/>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3514" w:type="dxa"/>
            <w:gridSpan w:val="2"/>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c>
          <w:tcPr>
            <w:tcW w:w="1646" w:type="dxa"/>
            <w:vAlign w:val="center"/>
          </w:tcPr>
          <w:p>
            <w:pPr>
              <w:widowControl/>
              <w:spacing w:line="320" w:lineRule="atLeast"/>
              <w:ind w:firstLine="480"/>
              <w:jc w:val="left"/>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7" w:hRule="atLeast"/>
          <w:jc w:val="center"/>
        </w:trPr>
        <w:tc>
          <w:tcPr>
            <w:tcW w:w="1106" w:type="dxa"/>
            <w:tcMar>
              <w:top w:w="0" w:type="dxa"/>
              <w:left w:w="108" w:type="dxa"/>
              <w:bottom w:w="0" w:type="dxa"/>
              <w:right w:w="108" w:type="dxa"/>
            </w:tcMar>
            <w:vAlign w:val="center"/>
          </w:tcPr>
          <w:p>
            <w:pPr>
              <w:widowControl/>
              <w:spacing w:line="320" w:lineRule="atLeast"/>
              <w:jc w:val="left"/>
              <w:rPr>
                <w:rFonts w:ascii="宋体" w:hAnsi="宋体" w:cs="宋体"/>
                <w:kern w:val="0"/>
                <w:sz w:val="24"/>
                <w:highlight w:val="none"/>
              </w:rPr>
            </w:pPr>
            <w:r>
              <w:rPr>
                <w:rFonts w:hint="eastAsia" w:ascii="宋体" w:hAnsi="宋体" w:cs="宋体"/>
                <w:kern w:val="0"/>
                <w:sz w:val="24"/>
                <w:highlight w:val="none"/>
              </w:rPr>
              <w:t>验收具体内容</w:t>
            </w:r>
          </w:p>
        </w:tc>
        <w:tc>
          <w:tcPr>
            <w:tcW w:w="9129" w:type="dxa"/>
            <w:gridSpan w:val="5"/>
            <w:tcMar>
              <w:top w:w="0" w:type="dxa"/>
              <w:left w:w="108" w:type="dxa"/>
              <w:bottom w:w="0" w:type="dxa"/>
              <w:right w:w="108" w:type="dxa"/>
            </w:tcMar>
            <w:vAlign w:val="center"/>
          </w:tcPr>
          <w:p>
            <w:pPr>
              <w:widowControl/>
              <w:spacing w:line="320" w:lineRule="atLeast"/>
              <w:jc w:val="left"/>
              <w:rPr>
                <w:rFonts w:ascii="宋体" w:hAnsi="宋体" w:cs="宋体"/>
                <w:kern w:val="0"/>
                <w:sz w:val="24"/>
                <w:highlight w:val="none"/>
              </w:rPr>
            </w:pPr>
            <w:r>
              <w:rPr>
                <w:rFonts w:hint="eastAsia" w:ascii="宋体" w:hAnsi="宋体" w:cs="宋体"/>
                <w:kern w:val="0"/>
                <w:sz w:val="24"/>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1106" w:type="dxa"/>
            <w:vMerge w:val="restart"/>
            <w:tcMar>
              <w:top w:w="0" w:type="dxa"/>
              <w:left w:w="108" w:type="dxa"/>
              <w:bottom w:w="0" w:type="dxa"/>
              <w:right w:w="108" w:type="dxa"/>
            </w:tcMar>
            <w:vAlign w:val="center"/>
          </w:tcPr>
          <w:p>
            <w:pPr>
              <w:widowControl/>
              <w:spacing w:line="320" w:lineRule="atLeast"/>
              <w:jc w:val="left"/>
              <w:rPr>
                <w:rFonts w:ascii="宋体" w:hAnsi="宋体" w:cs="宋体"/>
                <w:kern w:val="0"/>
                <w:sz w:val="24"/>
                <w:highlight w:val="none"/>
              </w:rPr>
            </w:pPr>
            <w:r>
              <w:rPr>
                <w:rFonts w:hint="eastAsia" w:ascii="宋体" w:hAnsi="宋体" w:cs="宋体"/>
                <w:kern w:val="0"/>
                <w:sz w:val="24"/>
                <w:highlight w:val="none"/>
              </w:rPr>
              <w:t>验收小组意见</w:t>
            </w:r>
          </w:p>
        </w:tc>
        <w:tc>
          <w:tcPr>
            <w:tcW w:w="9129" w:type="dxa"/>
            <w:gridSpan w:val="5"/>
          </w:tcPr>
          <w:p>
            <w:pPr>
              <w:widowControl/>
              <w:spacing w:line="320" w:lineRule="atLeast"/>
              <w:rPr>
                <w:rFonts w:ascii="宋体" w:hAnsi="宋体" w:cs="宋体"/>
                <w:kern w:val="0"/>
                <w:sz w:val="24"/>
                <w:highlight w:val="none"/>
              </w:rPr>
            </w:pPr>
            <w:r>
              <w:rPr>
                <w:rFonts w:hint="eastAsia" w:ascii="宋体" w:hAnsi="宋体" w:cs="宋体"/>
                <w:kern w:val="0"/>
                <w:sz w:val="24"/>
                <w:highlight w:val="none"/>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106" w:type="dxa"/>
            <w:vMerge w:val="continue"/>
            <w:vAlign w:val="center"/>
          </w:tcPr>
          <w:p>
            <w:pPr>
              <w:widowControl/>
              <w:jc w:val="left"/>
              <w:rPr>
                <w:rFonts w:ascii="宋体" w:hAnsi="宋体" w:cs="宋体"/>
                <w:kern w:val="0"/>
                <w:sz w:val="24"/>
                <w:highlight w:val="none"/>
              </w:rPr>
            </w:pPr>
          </w:p>
        </w:tc>
        <w:tc>
          <w:tcPr>
            <w:tcW w:w="9129" w:type="dxa"/>
            <w:gridSpan w:val="5"/>
            <w:vAlign w:val="center"/>
          </w:tcPr>
          <w:p>
            <w:pPr>
              <w:widowControl/>
              <w:spacing w:line="320" w:lineRule="atLeast"/>
              <w:ind w:firstLine="96"/>
              <w:jc w:val="left"/>
              <w:rPr>
                <w:rFonts w:ascii="宋体" w:hAnsi="宋体" w:cs="宋体"/>
                <w:kern w:val="0"/>
                <w:sz w:val="24"/>
                <w:highlight w:val="none"/>
              </w:rPr>
            </w:pPr>
            <w:r>
              <w:rPr>
                <w:rFonts w:hint="eastAsia" w:ascii="宋体" w:hAnsi="宋体" w:cs="宋体"/>
                <w:kern w:val="0"/>
                <w:sz w:val="24"/>
                <w:highlight w:val="none"/>
              </w:rPr>
              <w:t>有异议的意见和说明理由：</w:t>
            </w:r>
          </w:p>
          <w:p>
            <w:pPr>
              <w:widowControl/>
              <w:spacing w:line="320" w:lineRule="atLeast"/>
              <w:jc w:val="left"/>
              <w:rPr>
                <w:rFonts w:ascii="宋体" w:hAnsi="宋体" w:cs="宋体"/>
                <w:kern w:val="0"/>
                <w:sz w:val="24"/>
                <w:highlight w:val="none"/>
              </w:rPr>
            </w:pPr>
            <w:r>
              <w:rPr>
                <w:rFonts w:hint="eastAsia" w:ascii="宋体" w:hAnsi="宋体" w:cs="宋体"/>
                <w:kern w:val="0"/>
                <w:sz w:val="24"/>
                <w:highlight w:val="none"/>
              </w:rPr>
              <w:t>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0235" w:type="dxa"/>
            <w:gridSpan w:val="6"/>
            <w:tcMar>
              <w:top w:w="0" w:type="dxa"/>
              <w:left w:w="108" w:type="dxa"/>
              <w:bottom w:w="0" w:type="dxa"/>
              <w:right w:w="108" w:type="dxa"/>
            </w:tcMar>
            <w:vAlign w:val="center"/>
          </w:tcPr>
          <w:p>
            <w:pPr>
              <w:widowControl/>
              <w:spacing w:line="320" w:lineRule="atLeast"/>
              <w:jc w:val="left"/>
              <w:rPr>
                <w:rFonts w:ascii="宋体" w:hAnsi="宋体" w:cs="宋体"/>
                <w:kern w:val="0"/>
                <w:sz w:val="24"/>
                <w:highlight w:val="none"/>
              </w:rPr>
            </w:pPr>
            <w:r>
              <w:rPr>
                <w:rFonts w:hint="eastAsia" w:ascii="宋体" w:hAnsi="宋体" w:cs="宋体"/>
                <w:kern w:val="0"/>
                <w:sz w:val="24"/>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10235" w:type="dxa"/>
            <w:gridSpan w:val="6"/>
            <w:tcMar>
              <w:top w:w="0" w:type="dxa"/>
              <w:left w:w="108" w:type="dxa"/>
              <w:bottom w:w="0" w:type="dxa"/>
              <w:right w:w="108" w:type="dxa"/>
            </w:tcMar>
            <w:vAlign w:val="center"/>
          </w:tcPr>
          <w:p>
            <w:pPr>
              <w:widowControl/>
              <w:spacing w:line="320" w:lineRule="atLeast"/>
              <w:jc w:val="left"/>
              <w:rPr>
                <w:rFonts w:ascii="宋体" w:hAnsi="宋体" w:cs="宋体"/>
                <w:kern w:val="0"/>
                <w:sz w:val="24"/>
                <w:highlight w:val="none"/>
              </w:rPr>
            </w:pPr>
            <w:r>
              <w:rPr>
                <w:rFonts w:hint="eastAsia" w:ascii="宋体" w:hAnsi="宋体" w:cs="宋体"/>
                <w:kern w:val="0"/>
                <w:sz w:val="24"/>
                <w:highlight w:val="none"/>
              </w:rPr>
              <w:t>监督人员或其他相关人员签字：</w:t>
            </w:r>
          </w:p>
          <w:p>
            <w:pPr>
              <w:widowControl/>
              <w:spacing w:line="320" w:lineRule="atLeast"/>
              <w:ind w:firstLine="74"/>
              <w:jc w:val="left"/>
              <w:rPr>
                <w:rFonts w:ascii="宋体" w:hAnsi="宋体" w:cs="宋体"/>
                <w:kern w:val="0"/>
                <w:sz w:val="24"/>
                <w:highlight w:val="none"/>
              </w:rPr>
            </w:pPr>
            <w:r>
              <w:rPr>
                <w:rFonts w:hint="eastAsia" w:ascii="宋体" w:hAnsi="宋体" w:cs="宋体"/>
                <w:kern w:val="0"/>
                <w:sz w:val="24"/>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2" w:hRule="atLeast"/>
          <w:jc w:val="center"/>
        </w:trPr>
        <w:tc>
          <w:tcPr>
            <w:tcW w:w="5075" w:type="dxa"/>
            <w:gridSpan w:val="3"/>
            <w:tcMar>
              <w:top w:w="0" w:type="dxa"/>
              <w:left w:w="108" w:type="dxa"/>
              <w:bottom w:w="0" w:type="dxa"/>
              <w:right w:w="108" w:type="dxa"/>
            </w:tcMar>
          </w:tcPr>
          <w:p>
            <w:pPr>
              <w:widowControl/>
              <w:spacing w:line="320" w:lineRule="atLeast"/>
              <w:rPr>
                <w:rFonts w:ascii="宋体" w:hAnsi="宋体" w:cs="宋体"/>
                <w:kern w:val="0"/>
                <w:sz w:val="24"/>
                <w:highlight w:val="none"/>
              </w:rPr>
            </w:pPr>
            <w:r>
              <w:rPr>
                <w:rFonts w:hint="eastAsia" w:ascii="宋体" w:hAnsi="宋体" w:cs="宋体"/>
                <w:kern w:val="0"/>
                <w:sz w:val="24"/>
                <w:highlight w:val="none"/>
              </w:rPr>
              <w:t>中标或者成交供应商负责人签字或盖章：</w:t>
            </w:r>
          </w:p>
          <w:p>
            <w:pPr>
              <w:widowControl/>
              <w:spacing w:line="320" w:lineRule="atLeast"/>
              <w:rPr>
                <w:rFonts w:ascii="宋体" w:hAnsi="宋体" w:cs="宋体"/>
                <w:kern w:val="0"/>
                <w:sz w:val="24"/>
                <w:highlight w:val="none"/>
              </w:rPr>
            </w:pPr>
          </w:p>
          <w:p>
            <w:pPr>
              <w:widowControl/>
              <w:spacing w:line="320" w:lineRule="atLeast"/>
              <w:rPr>
                <w:rFonts w:ascii="宋体" w:hAnsi="宋体" w:cs="宋体"/>
                <w:kern w:val="0"/>
                <w:sz w:val="24"/>
                <w:highlight w:val="none"/>
              </w:rPr>
            </w:pPr>
            <w:r>
              <w:rPr>
                <w:rFonts w:hint="eastAsia" w:ascii="宋体" w:hAnsi="宋体" w:cs="宋体"/>
                <w:kern w:val="0"/>
                <w:sz w:val="24"/>
                <w:highlight w:val="none"/>
              </w:rPr>
              <w:t>联系电话：  </w:t>
            </w:r>
          </w:p>
          <w:p>
            <w:pPr>
              <w:widowControl/>
              <w:spacing w:line="320" w:lineRule="atLeast"/>
              <w:rPr>
                <w:rFonts w:ascii="宋体" w:hAnsi="宋体" w:cs="宋体"/>
                <w:kern w:val="0"/>
                <w:sz w:val="24"/>
                <w:highlight w:val="none"/>
              </w:rPr>
            </w:pPr>
          </w:p>
          <w:p>
            <w:pPr>
              <w:widowControl/>
              <w:spacing w:line="320" w:lineRule="atLeast"/>
              <w:jc w:val="right"/>
              <w:rPr>
                <w:rFonts w:ascii="宋体" w:hAnsi="宋体" w:cs="宋体"/>
                <w:kern w:val="0"/>
                <w:sz w:val="24"/>
                <w:highlight w:val="none"/>
              </w:rPr>
            </w:pPr>
            <w:r>
              <w:rPr>
                <w:rFonts w:hint="eastAsia" w:ascii="宋体" w:hAnsi="宋体" w:cs="宋体"/>
                <w:kern w:val="0"/>
                <w:sz w:val="24"/>
                <w:highlight w:val="none"/>
              </w:rPr>
              <w:t> </w:t>
            </w:r>
          </w:p>
          <w:p>
            <w:pPr>
              <w:widowControl/>
              <w:spacing w:line="320" w:lineRule="atLeast"/>
              <w:jc w:val="center"/>
              <w:rPr>
                <w:rFonts w:ascii="宋体" w:hAnsi="宋体" w:cs="宋体"/>
                <w:kern w:val="0"/>
                <w:sz w:val="24"/>
                <w:highlight w:val="none"/>
              </w:rPr>
            </w:pPr>
          </w:p>
          <w:p>
            <w:pPr>
              <w:widowControl/>
              <w:spacing w:line="320" w:lineRule="atLeast"/>
              <w:jc w:val="right"/>
              <w:rPr>
                <w:rFonts w:ascii="宋体" w:hAnsi="宋体" w:cs="宋体"/>
                <w:kern w:val="0"/>
                <w:sz w:val="24"/>
                <w:highlight w:val="none"/>
              </w:rPr>
            </w:pPr>
            <w:r>
              <w:rPr>
                <w:rFonts w:hint="eastAsia" w:ascii="宋体" w:hAnsi="宋体" w:cs="宋体"/>
                <w:kern w:val="0"/>
                <w:sz w:val="24"/>
                <w:highlight w:val="none"/>
              </w:rPr>
              <w:t>年 月 日</w:t>
            </w:r>
          </w:p>
        </w:tc>
        <w:tc>
          <w:tcPr>
            <w:tcW w:w="5160" w:type="dxa"/>
            <w:gridSpan w:val="3"/>
          </w:tcPr>
          <w:p>
            <w:pPr>
              <w:widowControl/>
              <w:spacing w:line="320" w:lineRule="atLeast"/>
              <w:rPr>
                <w:rFonts w:ascii="宋体" w:hAnsi="宋体" w:cs="宋体"/>
                <w:kern w:val="0"/>
                <w:sz w:val="24"/>
                <w:highlight w:val="none"/>
              </w:rPr>
            </w:pPr>
            <w:r>
              <w:rPr>
                <w:rFonts w:hint="eastAsia" w:ascii="宋体" w:hAnsi="宋体" w:cs="宋体"/>
                <w:kern w:val="0"/>
                <w:sz w:val="24"/>
                <w:highlight w:val="none"/>
              </w:rPr>
              <w:t>采购人或受托机构的意见（盖章）：</w:t>
            </w:r>
          </w:p>
          <w:p>
            <w:pPr>
              <w:widowControl/>
              <w:spacing w:line="320" w:lineRule="atLeast"/>
              <w:rPr>
                <w:rFonts w:ascii="宋体" w:hAnsi="宋体" w:cs="宋体"/>
                <w:kern w:val="0"/>
                <w:sz w:val="24"/>
                <w:highlight w:val="none"/>
              </w:rPr>
            </w:pPr>
          </w:p>
          <w:p>
            <w:pPr>
              <w:widowControl/>
              <w:spacing w:line="320" w:lineRule="atLeast"/>
              <w:rPr>
                <w:rFonts w:ascii="宋体" w:hAnsi="宋体" w:cs="宋体"/>
                <w:kern w:val="0"/>
                <w:sz w:val="24"/>
                <w:highlight w:val="none"/>
              </w:rPr>
            </w:pPr>
            <w:r>
              <w:rPr>
                <w:rFonts w:hint="eastAsia" w:ascii="宋体" w:hAnsi="宋体" w:cs="宋体"/>
                <w:kern w:val="0"/>
                <w:sz w:val="24"/>
                <w:highlight w:val="none"/>
              </w:rPr>
              <w:t>联系电话：  </w:t>
            </w:r>
          </w:p>
          <w:p>
            <w:pPr>
              <w:widowControl/>
              <w:spacing w:line="320" w:lineRule="atLeast"/>
              <w:rPr>
                <w:rFonts w:ascii="宋体" w:hAnsi="宋体" w:cs="宋体"/>
                <w:kern w:val="0"/>
                <w:sz w:val="24"/>
                <w:highlight w:val="none"/>
              </w:rPr>
            </w:pPr>
          </w:p>
          <w:p>
            <w:pPr>
              <w:widowControl/>
              <w:spacing w:line="320" w:lineRule="atLeast"/>
              <w:rPr>
                <w:rFonts w:ascii="宋体" w:hAnsi="宋体" w:cs="宋体"/>
                <w:kern w:val="0"/>
                <w:sz w:val="24"/>
                <w:highlight w:val="none"/>
              </w:rPr>
            </w:pPr>
          </w:p>
          <w:p>
            <w:pPr>
              <w:widowControl/>
              <w:spacing w:line="320" w:lineRule="atLeast"/>
              <w:rPr>
                <w:rFonts w:ascii="宋体" w:hAnsi="宋体" w:cs="宋体"/>
                <w:kern w:val="0"/>
                <w:sz w:val="24"/>
                <w:highlight w:val="none"/>
              </w:rPr>
            </w:pPr>
          </w:p>
          <w:p>
            <w:pPr>
              <w:widowControl/>
              <w:wordWrap w:val="0"/>
              <w:spacing w:line="320" w:lineRule="atLeast"/>
              <w:jc w:val="right"/>
              <w:rPr>
                <w:rFonts w:ascii="宋体" w:hAnsi="宋体" w:cs="宋体"/>
                <w:kern w:val="0"/>
                <w:sz w:val="24"/>
                <w:highlight w:val="none"/>
              </w:rPr>
            </w:pPr>
            <w:r>
              <w:rPr>
                <w:rFonts w:hint="eastAsia" w:ascii="宋体" w:hAnsi="宋体" w:cs="宋体"/>
                <w:kern w:val="0"/>
                <w:sz w:val="24"/>
                <w:highlight w:val="none"/>
              </w:rPr>
              <w:t>年  月  日</w:t>
            </w:r>
          </w:p>
        </w:tc>
      </w:tr>
    </w:tbl>
    <w:p>
      <w:pPr>
        <w:tabs>
          <w:tab w:val="left" w:pos="7066"/>
        </w:tabs>
        <w:jc w:val="left"/>
        <w:rPr>
          <w:rFonts w:ascii="宋体" w:hAnsi="宋体" w:cs="宋体"/>
        </w:rPr>
      </w:pPr>
    </w:p>
    <w:sectPr>
      <w:footerReference r:id="rId12" w:type="first"/>
      <w:footerReference r:id="rId10" w:type="default"/>
      <w:footerReference r:id="rId11" w:type="even"/>
      <w:type w:val="nextColumn"/>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54"/>
      </w:rPr>
    </w:pPr>
    <w:r>
      <w:fldChar w:fldCharType="begin"/>
    </w:r>
    <w:r>
      <w:rPr>
        <w:rStyle w:val="54"/>
      </w:rPr>
      <w:instrText xml:space="preserve">PAGE  </w:instrText>
    </w:r>
    <w:r>
      <w:fldChar w:fldCharType="separate"/>
    </w:r>
    <w:r>
      <w:rPr>
        <w:rStyle w:val="54"/>
      </w:rPr>
      <w:t>20</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9931400</wp:posOffset>
              </wp:positionV>
              <wp:extent cx="16637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wps:spPr>
                    <wps:txbx>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1pt;mso-position-horizontal:center;mso-position-horizontal-relative:margin;mso-position-vertical-relative:page;z-index:251663360;mso-width-relative:page;mso-height-relative:page;" filled="f" stroked="f" coordsize="21600,21600" o:gfxdata="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5XLZ9cAAAAJAQAADwAAAAAAAAABACAAAAAiAAAAZHJzL2Rvd25yZXYu&#10;eG1sUEsBAhQAFAAAAAgAh07iQFQJ463DAQAAegMAAA4AAAAAAAAAAQAgAAAAJgEAAGRycy9lMm9E&#10;b2MueG1sUEsFBgAAAAAGAAYAWQEAAFsFAAAAAA==&#10;">
              <v:fill on="f" focussize="0,0"/>
              <v:stroke on="f"/>
              <v:imagedata o:title=""/>
              <o:lock v:ext="edit" aspectratio="f"/>
              <v:textbox inset="0mm,0mm,0mm,0mm">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635" b="4445"/>
              <wp:wrapNone/>
              <wp:docPr id="3"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2"/>
                          </w:pPr>
                          <w:r>
                            <w:fldChar w:fldCharType="begin"/>
                          </w:r>
                          <w:r>
                            <w:instrText xml:space="preserve"> PAGE  \* MERGEFORMAT </w:instrText>
                          </w:r>
                          <w:r>
                            <w:fldChar w:fldCharType="separate"/>
                          </w:r>
                          <w:r>
                            <w:t>74</w:t>
                          </w:r>
                          <w: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BfJleKDQIAAAUEAAAOAAAAAAAAAAEAIAAAAB8B&#10;AABkcnMvZTJvRG9jLnhtbFBLBQYAAAAABgAGAFkBAACeBQ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74</w:t>
                    </w:r>
                    <w:r>
                      <w:fldChar w:fldCharType="end"/>
                    </w:r>
                  </w:p>
                </w:txbxContent>
              </v:textbox>
            </v:shape>
          </w:pict>
        </mc:Fallback>
      </mc:AlternateContent>
    </w:r>
  </w:p>
  <w:p>
    <w:pPr>
      <w:pStyle w:val="32"/>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2"/>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P4e0/v6AQAAAQQAAA4AAAAAAAAAAQAgAAAAHwEAAGRycy9lMm9Eb2MueG1sUEsF&#10;BgAAAAAGAAYAWQEAAIsFA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5276215</wp:posOffset>
              </wp:positionH>
              <wp:positionV relativeFrom="page">
                <wp:posOffset>6657340</wp:posOffset>
              </wp:positionV>
              <wp:extent cx="1416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wps:spPr>
                    <wps:txbx>
                      <w:txbxContent>
                        <w:p>
                          <w:pPr>
                            <w:spacing w:before="12"/>
                            <w:ind w:left="20"/>
                            <w:jc w:val="left"/>
                            <w:rPr>
                              <w:sz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15.45pt;margin-top:524.2pt;height:12pt;width:11.15pt;mso-position-horizontal-relative:page;mso-position-vertical-relative:page;z-index:-251655168;mso-width-relative:page;mso-height-relative:page;" filled="f" stroked="f" coordsize="21600,21600" o:gfxdata="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yKzKNsAAAANAQAADwAAAAAAAAABACAAAAAiAAAAZHJzL2Rvd25y&#10;ZXYueG1sUEsBAhQAFAAAAAgAh07iQPh0yGf7AQAAAwQAAA4AAAAAAAAAAQAgAAAAKgEAAGRycy9l&#10;Mm9Eb2MueG1sUEsFBgAAAAAGAAYAWQEAAJcFAAAAAA==&#10;">
              <v:fill on="f" focussize="0,0"/>
              <v:stroke on="f"/>
              <v:imagedata o:title=""/>
              <o:lock v:ext="edit" aspectratio="f"/>
              <v:textbox inset="0mm,0mm,0mm,0mm">
                <w:txbxContent>
                  <w:p>
                    <w:pPr>
                      <w:spacing w:before="12"/>
                      <w:ind w:left="20"/>
                      <w:jc w:val="left"/>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28</w:t>
    </w:r>
    <w:r>
      <w:fldChar w:fldCharType="end"/>
    </w:r>
  </w:p>
  <w:p>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4"/>
      </w:rPr>
    </w:pPr>
    <w:r>
      <w:fldChar w:fldCharType="begin"/>
    </w:r>
    <w:r>
      <w:rPr>
        <w:rStyle w:val="54"/>
      </w:rPr>
      <w:instrText xml:space="preserve">PAGE  </w:instrText>
    </w:r>
    <w:r>
      <w:fldChar w:fldCharType="separate"/>
    </w:r>
    <w:r>
      <w:rPr>
        <w:rStyle w:val="54"/>
      </w:rPr>
      <w:t>28</w:t>
    </w:r>
    <w:r>
      <w:fldChar w:fldCharType="end"/>
    </w:r>
  </w:p>
  <w:p>
    <w:pPr>
      <w:pStyle w:val="32"/>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54"/>
      </w:rPr>
    </w:pPr>
    <w:r>
      <w:fldChar w:fldCharType="begin"/>
    </w:r>
    <w:r>
      <w:rPr>
        <w:rStyle w:val="54"/>
      </w:rPr>
      <w:instrText xml:space="preserve">PAGE  </w:instrText>
    </w:r>
    <w:r>
      <w:fldChar w:fldCharType="separate"/>
    </w:r>
    <w:r>
      <w:rPr>
        <w:rStyle w:val="54"/>
      </w:rPr>
      <w:t>20</w:t>
    </w:r>
    <w:r>
      <w:fldChar w:fldCharType="end"/>
    </w:r>
  </w:p>
  <w:p>
    <w:pPr>
      <w:pStyle w:val="1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A0069"/>
    <w:multiLevelType w:val="singleLevel"/>
    <w:tmpl w:val="F8AA0069"/>
    <w:lvl w:ilvl="0" w:tentative="0">
      <w:start w:val="4"/>
      <w:numFmt w:val="chineseCounting"/>
      <w:suff w:val="nothing"/>
      <w:lvlText w:val="%1、"/>
      <w:lvlJc w:val="left"/>
      <w:rPr>
        <w:rFonts w:hint="eastAsia"/>
      </w:rPr>
    </w:lvl>
  </w:abstractNum>
  <w:abstractNum w:abstractNumId="1">
    <w:nsid w:val="F8D4F53A"/>
    <w:multiLevelType w:val="singleLevel"/>
    <w:tmpl w:val="F8D4F53A"/>
    <w:lvl w:ilvl="0" w:tentative="0">
      <w:start w:val="2"/>
      <w:numFmt w:val="decimal"/>
      <w:suff w:val="nothing"/>
      <w:lvlText w:val="%1、"/>
      <w:lvlJc w:val="left"/>
    </w:lvl>
  </w:abstractNum>
  <w:abstractNum w:abstractNumId="2">
    <w:nsid w:val="00000009"/>
    <w:multiLevelType w:val="multilevel"/>
    <w:tmpl w:val="00000009"/>
    <w:lvl w:ilvl="0" w:tentative="0">
      <w:start w:val="1"/>
      <w:numFmt w:val="japaneseCounting"/>
      <w:lvlText w:val="第%1条"/>
      <w:lvlJc w:val="left"/>
      <w:pPr>
        <w:ind w:left="980" w:hanging="420"/>
      </w:pPr>
      <w:rPr>
        <w:rFonts w:hint="eastAsia"/>
        <w:u w:val="no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F"/>
    <w:multiLevelType w:val="singleLevel"/>
    <w:tmpl w:val="0000000F"/>
    <w:lvl w:ilvl="0" w:tentative="0">
      <w:start w:val="1"/>
      <w:numFmt w:val="chineseCounting"/>
      <w:suff w:val="nothing"/>
      <w:lvlText w:val="（%1）"/>
      <w:lvlJc w:val="left"/>
    </w:lvl>
  </w:abstractNum>
  <w:abstractNum w:abstractNumId="4">
    <w:nsid w:val="00000015"/>
    <w:multiLevelType w:val="multilevel"/>
    <w:tmpl w:val="00000015"/>
    <w:lvl w:ilvl="0" w:tentative="0">
      <w:start w:val="1"/>
      <w:numFmt w:val="decimal"/>
      <w:suff w:val="space"/>
      <w:lvlText w:val="第%1章"/>
      <w:lvlJc w:val="left"/>
      <w:pPr>
        <w:ind w:left="2977"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decimal"/>
      <w:pStyle w:val="113"/>
      <w:suff w:val="space"/>
      <w:lvlText w:val="%1.%2"/>
      <w:lvlJc w:val="left"/>
      <w:pPr>
        <w:ind w:left="0" w:firstLine="0"/>
      </w:pPr>
      <w:rPr>
        <w:rFonts w:hint="eastAsia" w:ascii="黑体" w:eastAsia="黑体"/>
        <w:b w:val="0"/>
        <w:i w:val="0"/>
      </w:rPr>
    </w:lvl>
    <w:lvl w:ilvl="2" w:tentative="0">
      <w:start w:val="1"/>
      <w:numFmt w:val="decimal"/>
      <w:pStyle w:val="101"/>
      <w:suff w:val="space"/>
      <w:lvlText w:val="%1.%2.%3"/>
      <w:lvlJc w:val="left"/>
      <w:pPr>
        <w:ind w:left="284" w:firstLine="0"/>
      </w:pPr>
      <w:rPr>
        <w:rFonts w:hint="eastAsia" w:ascii="黑体" w:eastAsia="黑体"/>
        <w:b w:val="0"/>
        <w:i w:val="0"/>
      </w:rPr>
    </w:lvl>
    <w:lvl w:ilvl="3" w:tentative="0">
      <w:start w:val="1"/>
      <w:numFmt w:val="decimal"/>
      <w:suff w:val="space"/>
      <w:lvlText w:val="%1.%2.%3.%4"/>
      <w:lvlJc w:val="left"/>
      <w:pPr>
        <w:ind w:left="710" w:firstLine="0"/>
      </w:pPr>
      <w:rPr>
        <w:rFonts w:hint="eastAsia" w:ascii="黑体" w:eastAsia="黑体"/>
        <w:b w:val="0"/>
        <w:i w:val="0"/>
      </w:rPr>
    </w:lvl>
    <w:lvl w:ilvl="4" w:tentative="0">
      <w:start w:val="1"/>
      <w:numFmt w:val="decimal"/>
      <w:suff w:val="space"/>
      <w:lvlText w:val="%1.%2.%3.%4.%5"/>
      <w:lvlJc w:val="left"/>
      <w:pPr>
        <w:ind w:left="1134" w:firstLine="0"/>
      </w:pPr>
      <w:rPr>
        <w:rFonts w:hint="eastAsia" w:ascii="黑体" w:eastAsia="黑体"/>
        <w:b w:val="0"/>
        <w:i w:val="0"/>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1243515D"/>
    <w:multiLevelType w:val="multilevel"/>
    <w:tmpl w:val="1243515D"/>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1062BF"/>
    <w:multiLevelType w:val="singleLevel"/>
    <w:tmpl w:val="181062BF"/>
    <w:lvl w:ilvl="0" w:tentative="0">
      <w:start w:val="3"/>
      <w:numFmt w:val="chineseCounting"/>
      <w:suff w:val="nothing"/>
      <w:lvlText w:val="（%1）"/>
      <w:lvlJc w:val="left"/>
      <w:rPr>
        <w:rFonts w:hint="eastAsia"/>
      </w:rPr>
    </w:lvl>
  </w:abstractNum>
  <w:abstractNum w:abstractNumId="7">
    <w:nsid w:val="23402563"/>
    <w:multiLevelType w:val="singleLevel"/>
    <w:tmpl w:val="23402563"/>
    <w:lvl w:ilvl="0" w:tentative="0">
      <w:start w:val="2"/>
      <w:numFmt w:val="chineseCounting"/>
      <w:suff w:val="space"/>
      <w:lvlText w:val="第%1章"/>
      <w:lvlJc w:val="left"/>
      <w:rPr>
        <w:rFonts w:hint="eastAsia"/>
      </w:rPr>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9">
    <w:nsid w:val="5FED891D"/>
    <w:multiLevelType w:val="singleLevel"/>
    <w:tmpl w:val="5FED891D"/>
    <w:lvl w:ilvl="0" w:tentative="0">
      <w:start w:val="3"/>
      <w:numFmt w:val="decimal"/>
      <w:suff w:val="nothing"/>
      <w:lvlText w:val="%1."/>
      <w:lvlJc w:val="left"/>
    </w:lvl>
  </w:abstractNum>
  <w:abstractNum w:abstractNumId="10">
    <w:nsid w:val="68153940"/>
    <w:multiLevelType w:val="multilevel"/>
    <w:tmpl w:val="68153940"/>
    <w:lvl w:ilvl="0" w:tentative="0">
      <w:start w:val="1"/>
      <w:numFmt w:val="decimal"/>
      <w:lvlText w:val="第%1章"/>
      <w:lvlJc w:val="left"/>
      <w:pPr>
        <w:ind w:left="432" w:hanging="432"/>
      </w:pPr>
      <w:rPr>
        <w:rFonts w:hint="eastAsia" w:eastAsia="Adobe 仿宋 Std R" w:cs="Times New Roman"/>
        <w:b/>
        <w:bCs w:val="0"/>
        <w:i w:val="0"/>
        <w:iCs w:val="0"/>
        <w:caps w:val="0"/>
        <w:smallCaps w:val="0"/>
        <w:strike w:val="0"/>
        <w:dstrike w:val="0"/>
        <w:spacing w:val="0"/>
        <w:position w:val="0"/>
        <w:u w:val="none"/>
        <w:lang w:val="en-US"/>
      </w:rPr>
    </w:lvl>
    <w:lvl w:ilvl="1" w:tentative="0">
      <w:start w:val="1"/>
      <w:numFmt w:val="decimal"/>
      <w:lvlText w:val="%1.%2"/>
      <w:lvlJc w:val="left"/>
      <w:pPr>
        <w:ind w:left="576" w:hanging="576"/>
      </w:pPr>
      <w:rPr>
        <w:rFonts w:hint="eastAsia" w:eastAsia="Adobe 仿宋 Std R"/>
        <w:lang w:val="en-US"/>
      </w:rPr>
    </w:lvl>
    <w:lvl w:ilvl="2" w:tentative="0">
      <w:start w:val="1"/>
      <w:numFmt w:val="decimal"/>
      <w:pStyle w:val="98"/>
      <w:lvlText w:val="%1.%2.%3"/>
      <w:lvlJc w:val="left"/>
      <w:pPr>
        <w:ind w:left="720" w:hanging="720"/>
      </w:pPr>
      <w:rPr>
        <w:rFonts w:hint="eastAsia" w:eastAsia="Adobe 仿宋 Std R"/>
      </w:rPr>
    </w:lvl>
    <w:lvl w:ilvl="3" w:tentative="0">
      <w:start w:val="1"/>
      <w:numFmt w:val="decimal"/>
      <w:pStyle w:val="97"/>
      <w:lvlText w:val="%1.%2.%3.%4"/>
      <w:lvlJc w:val="left"/>
      <w:pPr>
        <w:ind w:left="1006"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eastAsia="Adobe 仿宋 Std R"/>
      </w:rPr>
    </w:lvl>
    <w:lvl w:ilvl="6" w:tentative="0">
      <w:start w:val="1"/>
      <w:numFmt w:val="decimal"/>
      <w:lvlText w:val="%1.%2.%3.%4.%5.%6.%7"/>
      <w:lvlJc w:val="left"/>
      <w:pPr>
        <w:ind w:left="1296" w:hanging="1296"/>
      </w:pPr>
      <w:rPr>
        <w:rFonts w:hint="eastAsia"/>
        <w:lang w:val="en-US"/>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1">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8"/>
  </w:num>
  <w:num w:numId="2">
    <w:abstractNumId w:val="5"/>
  </w:num>
  <w:num w:numId="3">
    <w:abstractNumId w:val="10"/>
  </w:num>
  <w:num w:numId="4">
    <w:abstractNumId w:val="4"/>
  </w:num>
  <w:num w:numId="5">
    <w:abstractNumId w:val="11"/>
    <w:lvlOverride w:ilvl="0">
      <w:startOverride w:val="1"/>
    </w:lvlOverride>
  </w:num>
  <w:num w:numId="6">
    <w:abstractNumId w:val="11"/>
  </w:num>
  <w:num w:numId="7">
    <w:abstractNumId w:val="9"/>
  </w:num>
  <w:num w:numId="8">
    <w:abstractNumId w:val="7"/>
  </w:num>
  <w:num w:numId="9">
    <w:abstractNumId w:val="0"/>
  </w:num>
  <w:num w:numId="10">
    <w:abstractNumId w:val="6"/>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ED"/>
    <w:rsid w:val="00002273"/>
    <w:rsid w:val="00010DBB"/>
    <w:rsid w:val="00016A67"/>
    <w:rsid w:val="00016C07"/>
    <w:rsid w:val="000222B0"/>
    <w:rsid w:val="00027B1F"/>
    <w:rsid w:val="00031888"/>
    <w:rsid w:val="0003388A"/>
    <w:rsid w:val="000425EE"/>
    <w:rsid w:val="000469F9"/>
    <w:rsid w:val="00051021"/>
    <w:rsid w:val="00060295"/>
    <w:rsid w:val="00062823"/>
    <w:rsid w:val="00064ADC"/>
    <w:rsid w:val="0006564D"/>
    <w:rsid w:val="0007110D"/>
    <w:rsid w:val="000748F9"/>
    <w:rsid w:val="00074B44"/>
    <w:rsid w:val="00076CED"/>
    <w:rsid w:val="00081D5F"/>
    <w:rsid w:val="000865B9"/>
    <w:rsid w:val="00086EE8"/>
    <w:rsid w:val="00092E0A"/>
    <w:rsid w:val="00096E65"/>
    <w:rsid w:val="000A20A8"/>
    <w:rsid w:val="000A361F"/>
    <w:rsid w:val="000A74D7"/>
    <w:rsid w:val="000B2204"/>
    <w:rsid w:val="000B3BC0"/>
    <w:rsid w:val="000B4623"/>
    <w:rsid w:val="000C11AE"/>
    <w:rsid w:val="000C12DC"/>
    <w:rsid w:val="000C2F85"/>
    <w:rsid w:val="000C68F5"/>
    <w:rsid w:val="000D0C61"/>
    <w:rsid w:val="000D34AD"/>
    <w:rsid w:val="000E67D2"/>
    <w:rsid w:val="000E68DE"/>
    <w:rsid w:val="000F0776"/>
    <w:rsid w:val="000F4AF5"/>
    <w:rsid w:val="000F652B"/>
    <w:rsid w:val="001051F5"/>
    <w:rsid w:val="00114997"/>
    <w:rsid w:val="0012003C"/>
    <w:rsid w:val="001221D7"/>
    <w:rsid w:val="001230E5"/>
    <w:rsid w:val="001237CC"/>
    <w:rsid w:val="00126EAA"/>
    <w:rsid w:val="00127381"/>
    <w:rsid w:val="001343A2"/>
    <w:rsid w:val="00135C3A"/>
    <w:rsid w:val="00142D44"/>
    <w:rsid w:val="00143201"/>
    <w:rsid w:val="001545F5"/>
    <w:rsid w:val="00156A6E"/>
    <w:rsid w:val="00175CEE"/>
    <w:rsid w:val="00185530"/>
    <w:rsid w:val="00186CA4"/>
    <w:rsid w:val="00191672"/>
    <w:rsid w:val="001922C2"/>
    <w:rsid w:val="001A6532"/>
    <w:rsid w:val="001B13B3"/>
    <w:rsid w:val="001B4E8D"/>
    <w:rsid w:val="001C47C4"/>
    <w:rsid w:val="001C4F59"/>
    <w:rsid w:val="001C71E0"/>
    <w:rsid w:val="001D0D2D"/>
    <w:rsid w:val="001D296F"/>
    <w:rsid w:val="001D2CF3"/>
    <w:rsid w:val="001D42F2"/>
    <w:rsid w:val="001E4061"/>
    <w:rsid w:val="001F26AF"/>
    <w:rsid w:val="0020600E"/>
    <w:rsid w:val="002113E4"/>
    <w:rsid w:val="002124D1"/>
    <w:rsid w:val="00212BFB"/>
    <w:rsid w:val="0021323C"/>
    <w:rsid w:val="00214376"/>
    <w:rsid w:val="002179C1"/>
    <w:rsid w:val="002427F3"/>
    <w:rsid w:val="00244876"/>
    <w:rsid w:val="0025009C"/>
    <w:rsid w:val="00251DC4"/>
    <w:rsid w:val="00252027"/>
    <w:rsid w:val="002537A2"/>
    <w:rsid w:val="002613E7"/>
    <w:rsid w:val="00261BF4"/>
    <w:rsid w:val="00262CA8"/>
    <w:rsid w:val="00265D46"/>
    <w:rsid w:val="002753D6"/>
    <w:rsid w:val="00275AF3"/>
    <w:rsid w:val="00291B73"/>
    <w:rsid w:val="00292AB8"/>
    <w:rsid w:val="00294715"/>
    <w:rsid w:val="002A13A5"/>
    <w:rsid w:val="002A3596"/>
    <w:rsid w:val="002B2AEB"/>
    <w:rsid w:val="002B308C"/>
    <w:rsid w:val="002B7971"/>
    <w:rsid w:val="002C1E16"/>
    <w:rsid w:val="002C2AEF"/>
    <w:rsid w:val="002C6A32"/>
    <w:rsid w:val="002C6CF7"/>
    <w:rsid w:val="002D26F1"/>
    <w:rsid w:val="002D2D35"/>
    <w:rsid w:val="002D4C09"/>
    <w:rsid w:val="002E18DB"/>
    <w:rsid w:val="002E3055"/>
    <w:rsid w:val="002E418E"/>
    <w:rsid w:val="002E6C95"/>
    <w:rsid w:val="002F3BE5"/>
    <w:rsid w:val="002F4391"/>
    <w:rsid w:val="00312E80"/>
    <w:rsid w:val="003210AE"/>
    <w:rsid w:val="00323658"/>
    <w:rsid w:val="003260AD"/>
    <w:rsid w:val="003269BC"/>
    <w:rsid w:val="00333042"/>
    <w:rsid w:val="003359AF"/>
    <w:rsid w:val="00337700"/>
    <w:rsid w:val="00347EEF"/>
    <w:rsid w:val="00351200"/>
    <w:rsid w:val="00352BD2"/>
    <w:rsid w:val="00355575"/>
    <w:rsid w:val="00362D3D"/>
    <w:rsid w:val="00365339"/>
    <w:rsid w:val="00365EDB"/>
    <w:rsid w:val="00377BA3"/>
    <w:rsid w:val="003850FF"/>
    <w:rsid w:val="00392C10"/>
    <w:rsid w:val="003A1D0C"/>
    <w:rsid w:val="003A42C4"/>
    <w:rsid w:val="003A44B8"/>
    <w:rsid w:val="003A48F4"/>
    <w:rsid w:val="003A53FC"/>
    <w:rsid w:val="003B3A40"/>
    <w:rsid w:val="003B4E42"/>
    <w:rsid w:val="003C4430"/>
    <w:rsid w:val="003C539E"/>
    <w:rsid w:val="003C54B7"/>
    <w:rsid w:val="003D1C5C"/>
    <w:rsid w:val="003D2060"/>
    <w:rsid w:val="003E397B"/>
    <w:rsid w:val="003E39C0"/>
    <w:rsid w:val="003E59D8"/>
    <w:rsid w:val="003F287F"/>
    <w:rsid w:val="003F4109"/>
    <w:rsid w:val="00404224"/>
    <w:rsid w:val="00411EAD"/>
    <w:rsid w:val="00413B79"/>
    <w:rsid w:val="004177AA"/>
    <w:rsid w:val="004238DD"/>
    <w:rsid w:val="004251CD"/>
    <w:rsid w:val="00446266"/>
    <w:rsid w:val="00451CC4"/>
    <w:rsid w:val="00455647"/>
    <w:rsid w:val="00456215"/>
    <w:rsid w:val="004579DE"/>
    <w:rsid w:val="00460346"/>
    <w:rsid w:val="00460A91"/>
    <w:rsid w:val="00465C0E"/>
    <w:rsid w:val="00465FF1"/>
    <w:rsid w:val="00466126"/>
    <w:rsid w:val="0047080D"/>
    <w:rsid w:val="00474A22"/>
    <w:rsid w:val="004750D9"/>
    <w:rsid w:val="00485023"/>
    <w:rsid w:val="0048683C"/>
    <w:rsid w:val="00491A32"/>
    <w:rsid w:val="00492449"/>
    <w:rsid w:val="004A0E20"/>
    <w:rsid w:val="004A248F"/>
    <w:rsid w:val="004A4154"/>
    <w:rsid w:val="004A4466"/>
    <w:rsid w:val="004B3EEE"/>
    <w:rsid w:val="004B7146"/>
    <w:rsid w:val="004B7BAE"/>
    <w:rsid w:val="004C5283"/>
    <w:rsid w:val="004C6979"/>
    <w:rsid w:val="004D47A5"/>
    <w:rsid w:val="004D68EC"/>
    <w:rsid w:val="004E25FC"/>
    <w:rsid w:val="004E29E5"/>
    <w:rsid w:val="004E54D9"/>
    <w:rsid w:val="004E6E33"/>
    <w:rsid w:val="00501813"/>
    <w:rsid w:val="00503EC6"/>
    <w:rsid w:val="005042DA"/>
    <w:rsid w:val="00505070"/>
    <w:rsid w:val="005102C5"/>
    <w:rsid w:val="00516507"/>
    <w:rsid w:val="00517475"/>
    <w:rsid w:val="00527B64"/>
    <w:rsid w:val="00527B9B"/>
    <w:rsid w:val="0054040A"/>
    <w:rsid w:val="005404C7"/>
    <w:rsid w:val="00543335"/>
    <w:rsid w:val="00545054"/>
    <w:rsid w:val="0056250D"/>
    <w:rsid w:val="005679B4"/>
    <w:rsid w:val="00571497"/>
    <w:rsid w:val="00582E43"/>
    <w:rsid w:val="00597D54"/>
    <w:rsid w:val="005A5077"/>
    <w:rsid w:val="005B1451"/>
    <w:rsid w:val="005B1E9F"/>
    <w:rsid w:val="005B5AC4"/>
    <w:rsid w:val="005B6CC7"/>
    <w:rsid w:val="005B6DFA"/>
    <w:rsid w:val="005B6E0E"/>
    <w:rsid w:val="005C0432"/>
    <w:rsid w:val="005C1772"/>
    <w:rsid w:val="005C364D"/>
    <w:rsid w:val="005D3346"/>
    <w:rsid w:val="005D470E"/>
    <w:rsid w:val="005D69A9"/>
    <w:rsid w:val="005E3997"/>
    <w:rsid w:val="005E5046"/>
    <w:rsid w:val="005E625C"/>
    <w:rsid w:val="005F7B34"/>
    <w:rsid w:val="006022F3"/>
    <w:rsid w:val="006052D7"/>
    <w:rsid w:val="006116C9"/>
    <w:rsid w:val="00611748"/>
    <w:rsid w:val="00612540"/>
    <w:rsid w:val="00614BEF"/>
    <w:rsid w:val="00615A00"/>
    <w:rsid w:val="00615A04"/>
    <w:rsid w:val="00616CD9"/>
    <w:rsid w:val="0062115D"/>
    <w:rsid w:val="00621B3A"/>
    <w:rsid w:val="006232D3"/>
    <w:rsid w:val="00627D48"/>
    <w:rsid w:val="00631699"/>
    <w:rsid w:val="00631951"/>
    <w:rsid w:val="00632812"/>
    <w:rsid w:val="0065072E"/>
    <w:rsid w:val="00653796"/>
    <w:rsid w:val="00656FF1"/>
    <w:rsid w:val="00661D4B"/>
    <w:rsid w:val="00665038"/>
    <w:rsid w:val="006665D1"/>
    <w:rsid w:val="00675D33"/>
    <w:rsid w:val="00680E89"/>
    <w:rsid w:val="006834AA"/>
    <w:rsid w:val="00685FAE"/>
    <w:rsid w:val="006935C5"/>
    <w:rsid w:val="0069581E"/>
    <w:rsid w:val="00695F2F"/>
    <w:rsid w:val="006A22A6"/>
    <w:rsid w:val="006A36BF"/>
    <w:rsid w:val="006B4275"/>
    <w:rsid w:val="006B532D"/>
    <w:rsid w:val="006B7840"/>
    <w:rsid w:val="006C2228"/>
    <w:rsid w:val="006C3DA1"/>
    <w:rsid w:val="006C66D1"/>
    <w:rsid w:val="006C7B28"/>
    <w:rsid w:val="006D2485"/>
    <w:rsid w:val="006D586F"/>
    <w:rsid w:val="006D79BE"/>
    <w:rsid w:val="006D7E49"/>
    <w:rsid w:val="006E2C32"/>
    <w:rsid w:val="006E41A6"/>
    <w:rsid w:val="006F079E"/>
    <w:rsid w:val="006F0A76"/>
    <w:rsid w:val="006F6398"/>
    <w:rsid w:val="00700A33"/>
    <w:rsid w:val="00701F8E"/>
    <w:rsid w:val="00703A16"/>
    <w:rsid w:val="00705965"/>
    <w:rsid w:val="007141CA"/>
    <w:rsid w:val="0071518F"/>
    <w:rsid w:val="00715682"/>
    <w:rsid w:val="00720282"/>
    <w:rsid w:val="007208C9"/>
    <w:rsid w:val="00724688"/>
    <w:rsid w:val="007260BF"/>
    <w:rsid w:val="00727E62"/>
    <w:rsid w:val="00736E35"/>
    <w:rsid w:val="007432DF"/>
    <w:rsid w:val="0074357E"/>
    <w:rsid w:val="00745455"/>
    <w:rsid w:val="0075377E"/>
    <w:rsid w:val="007537C3"/>
    <w:rsid w:val="00755E02"/>
    <w:rsid w:val="0077620F"/>
    <w:rsid w:val="00781711"/>
    <w:rsid w:val="007818F9"/>
    <w:rsid w:val="007829CB"/>
    <w:rsid w:val="00783ECF"/>
    <w:rsid w:val="007840C8"/>
    <w:rsid w:val="00786521"/>
    <w:rsid w:val="007941D7"/>
    <w:rsid w:val="00795B82"/>
    <w:rsid w:val="007A28A7"/>
    <w:rsid w:val="007C0872"/>
    <w:rsid w:val="007C0A7F"/>
    <w:rsid w:val="007C0EF2"/>
    <w:rsid w:val="007C26FC"/>
    <w:rsid w:val="007C3841"/>
    <w:rsid w:val="007D25BF"/>
    <w:rsid w:val="007D2E95"/>
    <w:rsid w:val="007D52BE"/>
    <w:rsid w:val="007E044E"/>
    <w:rsid w:val="007E42A4"/>
    <w:rsid w:val="007E62CE"/>
    <w:rsid w:val="007F0134"/>
    <w:rsid w:val="007F39EB"/>
    <w:rsid w:val="007F5DC2"/>
    <w:rsid w:val="007F7A5A"/>
    <w:rsid w:val="008015EC"/>
    <w:rsid w:val="008141B0"/>
    <w:rsid w:val="00815380"/>
    <w:rsid w:val="008254F2"/>
    <w:rsid w:val="008267AF"/>
    <w:rsid w:val="00826D1B"/>
    <w:rsid w:val="00830510"/>
    <w:rsid w:val="00832ED6"/>
    <w:rsid w:val="0083513F"/>
    <w:rsid w:val="00835E53"/>
    <w:rsid w:val="00837430"/>
    <w:rsid w:val="0084289F"/>
    <w:rsid w:val="008439AB"/>
    <w:rsid w:val="00850AE0"/>
    <w:rsid w:val="00857250"/>
    <w:rsid w:val="00865F1A"/>
    <w:rsid w:val="00876B99"/>
    <w:rsid w:val="00881950"/>
    <w:rsid w:val="008823D1"/>
    <w:rsid w:val="0088502D"/>
    <w:rsid w:val="00885793"/>
    <w:rsid w:val="00886044"/>
    <w:rsid w:val="008919F0"/>
    <w:rsid w:val="00894147"/>
    <w:rsid w:val="008A4382"/>
    <w:rsid w:val="008B0CC8"/>
    <w:rsid w:val="008B3B10"/>
    <w:rsid w:val="008C2F3D"/>
    <w:rsid w:val="008C3307"/>
    <w:rsid w:val="008C33B1"/>
    <w:rsid w:val="008D09A6"/>
    <w:rsid w:val="008D374F"/>
    <w:rsid w:val="008D5A79"/>
    <w:rsid w:val="008D7F81"/>
    <w:rsid w:val="008F072E"/>
    <w:rsid w:val="008F16AF"/>
    <w:rsid w:val="008F410C"/>
    <w:rsid w:val="00904583"/>
    <w:rsid w:val="00904CE0"/>
    <w:rsid w:val="0091086C"/>
    <w:rsid w:val="0091152C"/>
    <w:rsid w:val="00917469"/>
    <w:rsid w:val="0092077C"/>
    <w:rsid w:val="009268D0"/>
    <w:rsid w:val="0092741A"/>
    <w:rsid w:val="00931A0C"/>
    <w:rsid w:val="00933BD6"/>
    <w:rsid w:val="00935D36"/>
    <w:rsid w:val="0095161D"/>
    <w:rsid w:val="00952189"/>
    <w:rsid w:val="00952787"/>
    <w:rsid w:val="0095648C"/>
    <w:rsid w:val="009578E6"/>
    <w:rsid w:val="00960560"/>
    <w:rsid w:val="00970038"/>
    <w:rsid w:val="0097645B"/>
    <w:rsid w:val="00980F17"/>
    <w:rsid w:val="00981871"/>
    <w:rsid w:val="00981DA6"/>
    <w:rsid w:val="00994AC4"/>
    <w:rsid w:val="00994DDA"/>
    <w:rsid w:val="009958BF"/>
    <w:rsid w:val="009A3DC5"/>
    <w:rsid w:val="009B0AD7"/>
    <w:rsid w:val="009B40E4"/>
    <w:rsid w:val="009B4148"/>
    <w:rsid w:val="009B509C"/>
    <w:rsid w:val="009C21E8"/>
    <w:rsid w:val="009D26F7"/>
    <w:rsid w:val="009D5AB2"/>
    <w:rsid w:val="009E3F22"/>
    <w:rsid w:val="009F01B3"/>
    <w:rsid w:val="009F402A"/>
    <w:rsid w:val="009F5D7A"/>
    <w:rsid w:val="009F5FF4"/>
    <w:rsid w:val="009F62B1"/>
    <w:rsid w:val="00A0043A"/>
    <w:rsid w:val="00A005C2"/>
    <w:rsid w:val="00A0250E"/>
    <w:rsid w:val="00A11086"/>
    <w:rsid w:val="00A113C9"/>
    <w:rsid w:val="00A162A0"/>
    <w:rsid w:val="00A20988"/>
    <w:rsid w:val="00A24CE6"/>
    <w:rsid w:val="00A27B78"/>
    <w:rsid w:val="00A27D3E"/>
    <w:rsid w:val="00A30185"/>
    <w:rsid w:val="00A40C6C"/>
    <w:rsid w:val="00A4147A"/>
    <w:rsid w:val="00A47D09"/>
    <w:rsid w:val="00A528F1"/>
    <w:rsid w:val="00A53090"/>
    <w:rsid w:val="00A606B6"/>
    <w:rsid w:val="00A62149"/>
    <w:rsid w:val="00A6392C"/>
    <w:rsid w:val="00A651D5"/>
    <w:rsid w:val="00A6638A"/>
    <w:rsid w:val="00A70D5C"/>
    <w:rsid w:val="00A725DB"/>
    <w:rsid w:val="00A758B3"/>
    <w:rsid w:val="00A774D3"/>
    <w:rsid w:val="00A86652"/>
    <w:rsid w:val="00A91F27"/>
    <w:rsid w:val="00A93C78"/>
    <w:rsid w:val="00AA5518"/>
    <w:rsid w:val="00AA66F2"/>
    <w:rsid w:val="00AA7B15"/>
    <w:rsid w:val="00AB4157"/>
    <w:rsid w:val="00AB6F6A"/>
    <w:rsid w:val="00AC4160"/>
    <w:rsid w:val="00AC48CC"/>
    <w:rsid w:val="00AD55A7"/>
    <w:rsid w:val="00AD65E1"/>
    <w:rsid w:val="00AE1563"/>
    <w:rsid w:val="00AE170C"/>
    <w:rsid w:val="00AE32D5"/>
    <w:rsid w:val="00AF3468"/>
    <w:rsid w:val="00AF34EF"/>
    <w:rsid w:val="00AF394B"/>
    <w:rsid w:val="00AF6EF3"/>
    <w:rsid w:val="00B02E58"/>
    <w:rsid w:val="00B0785E"/>
    <w:rsid w:val="00B12367"/>
    <w:rsid w:val="00B13109"/>
    <w:rsid w:val="00B147D4"/>
    <w:rsid w:val="00B15751"/>
    <w:rsid w:val="00B166AA"/>
    <w:rsid w:val="00B30F39"/>
    <w:rsid w:val="00B351FF"/>
    <w:rsid w:val="00B35804"/>
    <w:rsid w:val="00B35BE2"/>
    <w:rsid w:val="00B35DB8"/>
    <w:rsid w:val="00B37EF7"/>
    <w:rsid w:val="00B57D47"/>
    <w:rsid w:val="00B60A97"/>
    <w:rsid w:val="00B62560"/>
    <w:rsid w:val="00B71B68"/>
    <w:rsid w:val="00B7382C"/>
    <w:rsid w:val="00B80511"/>
    <w:rsid w:val="00B952B2"/>
    <w:rsid w:val="00BA474E"/>
    <w:rsid w:val="00BA5E01"/>
    <w:rsid w:val="00BA7B05"/>
    <w:rsid w:val="00BB0447"/>
    <w:rsid w:val="00BB0460"/>
    <w:rsid w:val="00BB1DDE"/>
    <w:rsid w:val="00BB5C6D"/>
    <w:rsid w:val="00BC3A5D"/>
    <w:rsid w:val="00BC45AB"/>
    <w:rsid w:val="00BC68C5"/>
    <w:rsid w:val="00BD2FBF"/>
    <w:rsid w:val="00BD311C"/>
    <w:rsid w:val="00BD67B6"/>
    <w:rsid w:val="00BD6FA3"/>
    <w:rsid w:val="00BE0C1C"/>
    <w:rsid w:val="00BE5F79"/>
    <w:rsid w:val="00BE68C7"/>
    <w:rsid w:val="00BF2ACD"/>
    <w:rsid w:val="00BF75F0"/>
    <w:rsid w:val="00C111EE"/>
    <w:rsid w:val="00C130E4"/>
    <w:rsid w:val="00C13E9E"/>
    <w:rsid w:val="00C17706"/>
    <w:rsid w:val="00C249C9"/>
    <w:rsid w:val="00C25DEF"/>
    <w:rsid w:val="00C307A1"/>
    <w:rsid w:val="00C358EF"/>
    <w:rsid w:val="00C35CF0"/>
    <w:rsid w:val="00C4109F"/>
    <w:rsid w:val="00C531D4"/>
    <w:rsid w:val="00C54850"/>
    <w:rsid w:val="00C55ECA"/>
    <w:rsid w:val="00C66A4E"/>
    <w:rsid w:val="00C70FDE"/>
    <w:rsid w:val="00C727B1"/>
    <w:rsid w:val="00C75C70"/>
    <w:rsid w:val="00C771A6"/>
    <w:rsid w:val="00C80387"/>
    <w:rsid w:val="00C820F2"/>
    <w:rsid w:val="00C908D7"/>
    <w:rsid w:val="00C95E6F"/>
    <w:rsid w:val="00C97BC8"/>
    <w:rsid w:val="00CA354F"/>
    <w:rsid w:val="00CA7C83"/>
    <w:rsid w:val="00CB35D4"/>
    <w:rsid w:val="00CC12DF"/>
    <w:rsid w:val="00CC2A3C"/>
    <w:rsid w:val="00CC75F6"/>
    <w:rsid w:val="00CD2B9F"/>
    <w:rsid w:val="00CD4520"/>
    <w:rsid w:val="00CE2F94"/>
    <w:rsid w:val="00CE4EDC"/>
    <w:rsid w:val="00CE645D"/>
    <w:rsid w:val="00CE6B1B"/>
    <w:rsid w:val="00CF000B"/>
    <w:rsid w:val="00D045B0"/>
    <w:rsid w:val="00D054EE"/>
    <w:rsid w:val="00D0766E"/>
    <w:rsid w:val="00D11289"/>
    <w:rsid w:val="00D11A17"/>
    <w:rsid w:val="00D133E5"/>
    <w:rsid w:val="00D15780"/>
    <w:rsid w:val="00D20EDE"/>
    <w:rsid w:val="00D24EBB"/>
    <w:rsid w:val="00D32C1D"/>
    <w:rsid w:val="00D34321"/>
    <w:rsid w:val="00D34CA7"/>
    <w:rsid w:val="00D350C6"/>
    <w:rsid w:val="00D36F3B"/>
    <w:rsid w:val="00D42DF2"/>
    <w:rsid w:val="00D565A9"/>
    <w:rsid w:val="00D625EF"/>
    <w:rsid w:val="00D64862"/>
    <w:rsid w:val="00D6496D"/>
    <w:rsid w:val="00D73BCC"/>
    <w:rsid w:val="00D86783"/>
    <w:rsid w:val="00DA105A"/>
    <w:rsid w:val="00DA1431"/>
    <w:rsid w:val="00DB6F89"/>
    <w:rsid w:val="00DB743B"/>
    <w:rsid w:val="00DC015E"/>
    <w:rsid w:val="00DC301D"/>
    <w:rsid w:val="00DC352E"/>
    <w:rsid w:val="00DC6469"/>
    <w:rsid w:val="00DC7ED6"/>
    <w:rsid w:val="00DD23B1"/>
    <w:rsid w:val="00DD2788"/>
    <w:rsid w:val="00DD5FA8"/>
    <w:rsid w:val="00DD6C0A"/>
    <w:rsid w:val="00DE1800"/>
    <w:rsid w:val="00DE2336"/>
    <w:rsid w:val="00DE2D73"/>
    <w:rsid w:val="00DE5636"/>
    <w:rsid w:val="00DE5DCD"/>
    <w:rsid w:val="00DF5EDD"/>
    <w:rsid w:val="00DF71EA"/>
    <w:rsid w:val="00E00009"/>
    <w:rsid w:val="00E01181"/>
    <w:rsid w:val="00E0388D"/>
    <w:rsid w:val="00E06C60"/>
    <w:rsid w:val="00E07E35"/>
    <w:rsid w:val="00E15551"/>
    <w:rsid w:val="00E15BEA"/>
    <w:rsid w:val="00E2096C"/>
    <w:rsid w:val="00E33E15"/>
    <w:rsid w:val="00E34FDB"/>
    <w:rsid w:val="00E36891"/>
    <w:rsid w:val="00E5196B"/>
    <w:rsid w:val="00E52A23"/>
    <w:rsid w:val="00E831BD"/>
    <w:rsid w:val="00E92A81"/>
    <w:rsid w:val="00EA47B5"/>
    <w:rsid w:val="00EB6CDC"/>
    <w:rsid w:val="00EC7C84"/>
    <w:rsid w:val="00ED0DA7"/>
    <w:rsid w:val="00ED2B9B"/>
    <w:rsid w:val="00ED3DE2"/>
    <w:rsid w:val="00ED6682"/>
    <w:rsid w:val="00EE4DF0"/>
    <w:rsid w:val="00EF77D7"/>
    <w:rsid w:val="00F016BB"/>
    <w:rsid w:val="00F07C49"/>
    <w:rsid w:val="00F170E4"/>
    <w:rsid w:val="00F17591"/>
    <w:rsid w:val="00F2208B"/>
    <w:rsid w:val="00F3078A"/>
    <w:rsid w:val="00F3785F"/>
    <w:rsid w:val="00F37940"/>
    <w:rsid w:val="00F42979"/>
    <w:rsid w:val="00F45C0B"/>
    <w:rsid w:val="00F46035"/>
    <w:rsid w:val="00F50CE9"/>
    <w:rsid w:val="00F51CB5"/>
    <w:rsid w:val="00F5695E"/>
    <w:rsid w:val="00F62DE5"/>
    <w:rsid w:val="00F634CA"/>
    <w:rsid w:val="00F640BD"/>
    <w:rsid w:val="00F669A0"/>
    <w:rsid w:val="00F67E40"/>
    <w:rsid w:val="00F75BDD"/>
    <w:rsid w:val="00F76F63"/>
    <w:rsid w:val="00F87DC0"/>
    <w:rsid w:val="00FA2874"/>
    <w:rsid w:val="00FA5E4A"/>
    <w:rsid w:val="00FB2513"/>
    <w:rsid w:val="00FB49B5"/>
    <w:rsid w:val="00FC1614"/>
    <w:rsid w:val="00FC3D0F"/>
    <w:rsid w:val="00FD3B84"/>
    <w:rsid w:val="00FD4C0A"/>
    <w:rsid w:val="00FE02D5"/>
    <w:rsid w:val="00FE0CBB"/>
    <w:rsid w:val="00FE1F7C"/>
    <w:rsid w:val="00FE5C44"/>
    <w:rsid w:val="00FE67AA"/>
    <w:rsid w:val="00FF3BC2"/>
    <w:rsid w:val="00FF6C37"/>
    <w:rsid w:val="010E21B6"/>
    <w:rsid w:val="0119734C"/>
    <w:rsid w:val="013B42D5"/>
    <w:rsid w:val="013F2A77"/>
    <w:rsid w:val="0174374F"/>
    <w:rsid w:val="019175FE"/>
    <w:rsid w:val="01A137A6"/>
    <w:rsid w:val="01AB65E7"/>
    <w:rsid w:val="01BA5393"/>
    <w:rsid w:val="01BA5421"/>
    <w:rsid w:val="01D323B2"/>
    <w:rsid w:val="01DC219C"/>
    <w:rsid w:val="01EB0C67"/>
    <w:rsid w:val="01F07749"/>
    <w:rsid w:val="01F1153C"/>
    <w:rsid w:val="01F66BD1"/>
    <w:rsid w:val="01FF5158"/>
    <w:rsid w:val="02285DA9"/>
    <w:rsid w:val="022A3FB9"/>
    <w:rsid w:val="022E52FD"/>
    <w:rsid w:val="022F63F6"/>
    <w:rsid w:val="023610BB"/>
    <w:rsid w:val="02403E36"/>
    <w:rsid w:val="02407AC8"/>
    <w:rsid w:val="024130FC"/>
    <w:rsid w:val="02475AA2"/>
    <w:rsid w:val="025F1563"/>
    <w:rsid w:val="02677A30"/>
    <w:rsid w:val="028C5CA9"/>
    <w:rsid w:val="02967B72"/>
    <w:rsid w:val="02AC1A5A"/>
    <w:rsid w:val="02BB58AA"/>
    <w:rsid w:val="02C4534F"/>
    <w:rsid w:val="02D7221A"/>
    <w:rsid w:val="02E352E7"/>
    <w:rsid w:val="02E80ED0"/>
    <w:rsid w:val="02EA1BB4"/>
    <w:rsid w:val="02ED4179"/>
    <w:rsid w:val="02FA6E0A"/>
    <w:rsid w:val="02FF3182"/>
    <w:rsid w:val="032319D6"/>
    <w:rsid w:val="03370CFF"/>
    <w:rsid w:val="03386E72"/>
    <w:rsid w:val="034C4865"/>
    <w:rsid w:val="035A1791"/>
    <w:rsid w:val="0379553E"/>
    <w:rsid w:val="03837148"/>
    <w:rsid w:val="03B052E4"/>
    <w:rsid w:val="03B20BA8"/>
    <w:rsid w:val="03E4527B"/>
    <w:rsid w:val="03EC7681"/>
    <w:rsid w:val="03F04C55"/>
    <w:rsid w:val="03FE37F2"/>
    <w:rsid w:val="0402501E"/>
    <w:rsid w:val="040A7D33"/>
    <w:rsid w:val="040F0BD4"/>
    <w:rsid w:val="043020A5"/>
    <w:rsid w:val="044B1374"/>
    <w:rsid w:val="0469197C"/>
    <w:rsid w:val="046C2F44"/>
    <w:rsid w:val="046E5D6F"/>
    <w:rsid w:val="04862368"/>
    <w:rsid w:val="048E397F"/>
    <w:rsid w:val="04A3032A"/>
    <w:rsid w:val="04A85921"/>
    <w:rsid w:val="04F1464D"/>
    <w:rsid w:val="050A2765"/>
    <w:rsid w:val="050C2C39"/>
    <w:rsid w:val="05110E5B"/>
    <w:rsid w:val="052A3315"/>
    <w:rsid w:val="05301740"/>
    <w:rsid w:val="055951D7"/>
    <w:rsid w:val="05615CB0"/>
    <w:rsid w:val="057B2471"/>
    <w:rsid w:val="05804C93"/>
    <w:rsid w:val="0589060D"/>
    <w:rsid w:val="05951DE0"/>
    <w:rsid w:val="05A20EA2"/>
    <w:rsid w:val="05A960AD"/>
    <w:rsid w:val="05D022FF"/>
    <w:rsid w:val="05DD27A9"/>
    <w:rsid w:val="05E05711"/>
    <w:rsid w:val="05F30E9C"/>
    <w:rsid w:val="05F60EEB"/>
    <w:rsid w:val="060E5C68"/>
    <w:rsid w:val="062B4E2B"/>
    <w:rsid w:val="063D1572"/>
    <w:rsid w:val="06747EB3"/>
    <w:rsid w:val="067F786B"/>
    <w:rsid w:val="068F3C5B"/>
    <w:rsid w:val="06916EA4"/>
    <w:rsid w:val="06A86F22"/>
    <w:rsid w:val="06B07C8E"/>
    <w:rsid w:val="06B55FF7"/>
    <w:rsid w:val="06C14EC2"/>
    <w:rsid w:val="06C30734"/>
    <w:rsid w:val="06CB1D29"/>
    <w:rsid w:val="06CC743A"/>
    <w:rsid w:val="06ED74CF"/>
    <w:rsid w:val="06F3173B"/>
    <w:rsid w:val="070F3EC0"/>
    <w:rsid w:val="071646E1"/>
    <w:rsid w:val="0721601D"/>
    <w:rsid w:val="0759766E"/>
    <w:rsid w:val="07690F4C"/>
    <w:rsid w:val="077656D5"/>
    <w:rsid w:val="077D675D"/>
    <w:rsid w:val="078C44FC"/>
    <w:rsid w:val="07A56879"/>
    <w:rsid w:val="07A611A2"/>
    <w:rsid w:val="07DD7CCB"/>
    <w:rsid w:val="07E9273F"/>
    <w:rsid w:val="07F22B70"/>
    <w:rsid w:val="07F449F8"/>
    <w:rsid w:val="07F83BF0"/>
    <w:rsid w:val="08110968"/>
    <w:rsid w:val="08160D24"/>
    <w:rsid w:val="083C2C09"/>
    <w:rsid w:val="08707C02"/>
    <w:rsid w:val="08B86064"/>
    <w:rsid w:val="08B93680"/>
    <w:rsid w:val="08CD3ADF"/>
    <w:rsid w:val="08CE0D23"/>
    <w:rsid w:val="08D1640D"/>
    <w:rsid w:val="08D449D8"/>
    <w:rsid w:val="08E81211"/>
    <w:rsid w:val="08E94C73"/>
    <w:rsid w:val="08F44C12"/>
    <w:rsid w:val="0902357C"/>
    <w:rsid w:val="09096980"/>
    <w:rsid w:val="09121919"/>
    <w:rsid w:val="092B1333"/>
    <w:rsid w:val="09357BEF"/>
    <w:rsid w:val="093D0F11"/>
    <w:rsid w:val="09444926"/>
    <w:rsid w:val="094A17E2"/>
    <w:rsid w:val="094D4B2C"/>
    <w:rsid w:val="097405F1"/>
    <w:rsid w:val="09784BA0"/>
    <w:rsid w:val="098C6236"/>
    <w:rsid w:val="09BB26AE"/>
    <w:rsid w:val="09BE2B74"/>
    <w:rsid w:val="09BE70AC"/>
    <w:rsid w:val="09C73DC7"/>
    <w:rsid w:val="09CC1695"/>
    <w:rsid w:val="09E837E8"/>
    <w:rsid w:val="09EA793C"/>
    <w:rsid w:val="09EE0418"/>
    <w:rsid w:val="09F1109E"/>
    <w:rsid w:val="0A0D1FF2"/>
    <w:rsid w:val="0A0E682D"/>
    <w:rsid w:val="0A2B51A0"/>
    <w:rsid w:val="0A537CD8"/>
    <w:rsid w:val="0A59082C"/>
    <w:rsid w:val="0A591F2F"/>
    <w:rsid w:val="0A74418C"/>
    <w:rsid w:val="0A751428"/>
    <w:rsid w:val="0A7C1FB9"/>
    <w:rsid w:val="0AE5194E"/>
    <w:rsid w:val="0AF5269B"/>
    <w:rsid w:val="0B017B86"/>
    <w:rsid w:val="0B056923"/>
    <w:rsid w:val="0B3114C6"/>
    <w:rsid w:val="0B3A5433"/>
    <w:rsid w:val="0B5E2BAE"/>
    <w:rsid w:val="0B801325"/>
    <w:rsid w:val="0B884921"/>
    <w:rsid w:val="0B9F08E6"/>
    <w:rsid w:val="0BDC4EBF"/>
    <w:rsid w:val="0BDF41EF"/>
    <w:rsid w:val="0BEF75EC"/>
    <w:rsid w:val="0BF430C0"/>
    <w:rsid w:val="0BFA2CBB"/>
    <w:rsid w:val="0BFE049F"/>
    <w:rsid w:val="0C011728"/>
    <w:rsid w:val="0C2A53EB"/>
    <w:rsid w:val="0C340984"/>
    <w:rsid w:val="0C5F3544"/>
    <w:rsid w:val="0C775EDD"/>
    <w:rsid w:val="0C9879EC"/>
    <w:rsid w:val="0C9C6832"/>
    <w:rsid w:val="0C9E1BD9"/>
    <w:rsid w:val="0CB671FE"/>
    <w:rsid w:val="0D014C1C"/>
    <w:rsid w:val="0D124D60"/>
    <w:rsid w:val="0D1367C7"/>
    <w:rsid w:val="0D241E0E"/>
    <w:rsid w:val="0D2A5597"/>
    <w:rsid w:val="0D3664F1"/>
    <w:rsid w:val="0D48125D"/>
    <w:rsid w:val="0D49128C"/>
    <w:rsid w:val="0D4D2A2D"/>
    <w:rsid w:val="0D556945"/>
    <w:rsid w:val="0D5B79ED"/>
    <w:rsid w:val="0D671F91"/>
    <w:rsid w:val="0D6A535A"/>
    <w:rsid w:val="0D6B4E28"/>
    <w:rsid w:val="0D761D65"/>
    <w:rsid w:val="0D8A722A"/>
    <w:rsid w:val="0DA37263"/>
    <w:rsid w:val="0DAF078D"/>
    <w:rsid w:val="0DD33BAF"/>
    <w:rsid w:val="0DD512A6"/>
    <w:rsid w:val="0E045CB6"/>
    <w:rsid w:val="0E3F6006"/>
    <w:rsid w:val="0E4D3073"/>
    <w:rsid w:val="0E541ACB"/>
    <w:rsid w:val="0E555F9D"/>
    <w:rsid w:val="0E661506"/>
    <w:rsid w:val="0E9324B3"/>
    <w:rsid w:val="0E9C425E"/>
    <w:rsid w:val="0EB5607C"/>
    <w:rsid w:val="0ED462E4"/>
    <w:rsid w:val="0ED84DDB"/>
    <w:rsid w:val="0EFE7875"/>
    <w:rsid w:val="0F23525D"/>
    <w:rsid w:val="0F2F6D7D"/>
    <w:rsid w:val="0F3773EE"/>
    <w:rsid w:val="0F396C0F"/>
    <w:rsid w:val="0F3B3B1D"/>
    <w:rsid w:val="0F4B4D99"/>
    <w:rsid w:val="0F5B730C"/>
    <w:rsid w:val="0F7273D7"/>
    <w:rsid w:val="0F78185F"/>
    <w:rsid w:val="0F8E58AE"/>
    <w:rsid w:val="0F9C64C0"/>
    <w:rsid w:val="0FD5606B"/>
    <w:rsid w:val="0FD60D86"/>
    <w:rsid w:val="0FEA248F"/>
    <w:rsid w:val="0FF06D66"/>
    <w:rsid w:val="101306C8"/>
    <w:rsid w:val="102611A2"/>
    <w:rsid w:val="104D26BB"/>
    <w:rsid w:val="10523969"/>
    <w:rsid w:val="10774B0E"/>
    <w:rsid w:val="10784C83"/>
    <w:rsid w:val="107D24EE"/>
    <w:rsid w:val="10A236C6"/>
    <w:rsid w:val="10A4322F"/>
    <w:rsid w:val="10D020F3"/>
    <w:rsid w:val="10E25D4E"/>
    <w:rsid w:val="10EC45FF"/>
    <w:rsid w:val="10F83E46"/>
    <w:rsid w:val="11027940"/>
    <w:rsid w:val="11035E2E"/>
    <w:rsid w:val="111123DE"/>
    <w:rsid w:val="112336D8"/>
    <w:rsid w:val="112427DB"/>
    <w:rsid w:val="115B5FEB"/>
    <w:rsid w:val="117D5D2A"/>
    <w:rsid w:val="11951883"/>
    <w:rsid w:val="11974E57"/>
    <w:rsid w:val="11A80648"/>
    <w:rsid w:val="11BC6D84"/>
    <w:rsid w:val="11C665E0"/>
    <w:rsid w:val="11DF4742"/>
    <w:rsid w:val="12001BE9"/>
    <w:rsid w:val="12095CE0"/>
    <w:rsid w:val="12115770"/>
    <w:rsid w:val="1220726B"/>
    <w:rsid w:val="122372B1"/>
    <w:rsid w:val="122A1064"/>
    <w:rsid w:val="12361956"/>
    <w:rsid w:val="12395F97"/>
    <w:rsid w:val="12466A15"/>
    <w:rsid w:val="12852D73"/>
    <w:rsid w:val="128D2511"/>
    <w:rsid w:val="12907EB9"/>
    <w:rsid w:val="12C40817"/>
    <w:rsid w:val="12DF1AFA"/>
    <w:rsid w:val="12F926AA"/>
    <w:rsid w:val="135E6659"/>
    <w:rsid w:val="13721F29"/>
    <w:rsid w:val="13767628"/>
    <w:rsid w:val="137908A6"/>
    <w:rsid w:val="13871686"/>
    <w:rsid w:val="138A40B8"/>
    <w:rsid w:val="13990AC3"/>
    <w:rsid w:val="13DA431A"/>
    <w:rsid w:val="13E1027B"/>
    <w:rsid w:val="13EB49A8"/>
    <w:rsid w:val="13FD2951"/>
    <w:rsid w:val="140C7B04"/>
    <w:rsid w:val="14137F75"/>
    <w:rsid w:val="1417640F"/>
    <w:rsid w:val="142E678E"/>
    <w:rsid w:val="14440083"/>
    <w:rsid w:val="14634A09"/>
    <w:rsid w:val="147131BE"/>
    <w:rsid w:val="148C05C0"/>
    <w:rsid w:val="14A84443"/>
    <w:rsid w:val="14B01CDF"/>
    <w:rsid w:val="14B2227F"/>
    <w:rsid w:val="14B44634"/>
    <w:rsid w:val="14C56363"/>
    <w:rsid w:val="14CC229D"/>
    <w:rsid w:val="14CD1891"/>
    <w:rsid w:val="14E731A5"/>
    <w:rsid w:val="151A1DAF"/>
    <w:rsid w:val="151D193E"/>
    <w:rsid w:val="151F3D36"/>
    <w:rsid w:val="153A472A"/>
    <w:rsid w:val="15513483"/>
    <w:rsid w:val="15626A9D"/>
    <w:rsid w:val="15892678"/>
    <w:rsid w:val="158B5E2C"/>
    <w:rsid w:val="15AB6999"/>
    <w:rsid w:val="15B55801"/>
    <w:rsid w:val="15C55A70"/>
    <w:rsid w:val="15C959B5"/>
    <w:rsid w:val="15CB6CF5"/>
    <w:rsid w:val="15DA41F0"/>
    <w:rsid w:val="15E500B0"/>
    <w:rsid w:val="15F75215"/>
    <w:rsid w:val="15FA3272"/>
    <w:rsid w:val="1610673F"/>
    <w:rsid w:val="161F455B"/>
    <w:rsid w:val="164A02E0"/>
    <w:rsid w:val="16652B20"/>
    <w:rsid w:val="16AD69B0"/>
    <w:rsid w:val="16D15E34"/>
    <w:rsid w:val="16D47A52"/>
    <w:rsid w:val="16D84A21"/>
    <w:rsid w:val="16E05E40"/>
    <w:rsid w:val="16E06A80"/>
    <w:rsid w:val="16F04FBA"/>
    <w:rsid w:val="16F46C6F"/>
    <w:rsid w:val="17096BDF"/>
    <w:rsid w:val="17203C5B"/>
    <w:rsid w:val="17403266"/>
    <w:rsid w:val="17457F4F"/>
    <w:rsid w:val="175B1DEF"/>
    <w:rsid w:val="1767596B"/>
    <w:rsid w:val="179870BF"/>
    <w:rsid w:val="179E76DD"/>
    <w:rsid w:val="17AD0DB3"/>
    <w:rsid w:val="17C07EE1"/>
    <w:rsid w:val="17E25F9B"/>
    <w:rsid w:val="17E516BB"/>
    <w:rsid w:val="17F74C09"/>
    <w:rsid w:val="1816729A"/>
    <w:rsid w:val="181E653F"/>
    <w:rsid w:val="18233A4E"/>
    <w:rsid w:val="18272BCB"/>
    <w:rsid w:val="1851228B"/>
    <w:rsid w:val="18627784"/>
    <w:rsid w:val="1878767F"/>
    <w:rsid w:val="18A6107C"/>
    <w:rsid w:val="18B22A29"/>
    <w:rsid w:val="18CE74C7"/>
    <w:rsid w:val="18D9740F"/>
    <w:rsid w:val="18EA1B82"/>
    <w:rsid w:val="19107EE2"/>
    <w:rsid w:val="19200674"/>
    <w:rsid w:val="19260657"/>
    <w:rsid w:val="194E591B"/>
    <w:rsid w:val="195A6EF3"/>
    <w:rsid w:val="19715311"/>
    <w:rsid w:val="19751415"/>
    <w:rsid w:val="199C1D69"/>
    <w:rsid w:val="199E27C6"/>
    <w:rsid w:val="19B76C9B"/>
    <w:rsid w:val="19CF31B2"/>
    <w:rsid w:val="19EE5A7A"/>
    <w:rsid w:val="1A0A31D8"/>
    <w:rsid w:val="1A0A3502"/>
    <w:rsid w:val="1A0B64A9"/>
    <w:rsid w:val="1A241FED"/>
    <w:rsid w:val="1A3C451F"/>
    <w:rsid w:val="1A504A9A"/>
    <w:rsid w:val="1A605508"/>
    <w:rsid w:val="1A6F5CDA"/>
    <w:rsid w:val="1A747C53"/>
    <w:rsid w:val="1A77061E"/>
    <w:rsid w:val="1A891026"/>
    <w:rsid w:val="1A8C08F8"/>
    <w:rsid w:val="1A93611E"/>
    <w:rsid w:val="1A9D7D94"/>
    <w:rsid w:val="1AAB24C4"/>
    <w:rsid w:val="1AAE1B31"/>
    <w:rsid w:val="1ACB76FA"/>
    <w:rsid w:val="1AD777CD"/>
    <w:rsid w:val="1AF06A9C"/>
    <w:rsid w:val="1AFC2F8F"/>
    <w:rsid w:val="1B0A2206"/>
    <w:rsid w:val="1B0B273F"/>
    <w:rsid w:val="1B156113"/>
    <w:rsid w:val="1B3D10C4"/>
    <w:rsid w:val="1B6F7D7E"/>
    <w:rsid w:val="1B7F0CAC"/>
    <w:rsid w:val="1B922D09"/>
    <w:rsid w:val="1BAB7176"/>
    <w:rsid w:val="1BB230E1"/>
    <w:rsid w:val="1BBC5201"/>
    <w:rsid w:val="1BC535F5"/>
    <w:rsid w:val="1BCA27E0"/>
    <w:rsid w:val="1BD6244E"/>
    <w:rsid w:val="1BE32867"/>
    <w:rsid w:val="1BE52171"/>
    <w:rsid w:val="1C017034"/>
    <w:rsid w:val="1C0A0D56"/>
    <w:rsid w:val="1C0C7D3A"/>
    <w:rsid w:val="1C504261"/>
    <w:rsid w:val="1C5F349F"/>
    <w:rsid w:val="1C6D12F7"/>
    <w:rsid w:val="1C7321DF"/>
    <w:rsid w:val="1C947DDD"/>
    <w:rsid w:val="1C955520"/>
    <w:rsid w:val="1C9559C9"/>
    <w:rsid w:val="1CA12CA1"/>
    <w:rsid w:val="1CA83465"/>
    <w:rsid w:val="1CC3797E"/>
    <w:rsid w:val="1CCD5DDD"/>
    <w:rsid w:val="1CCF74FD"/>
    <w:rsid w:val="1D651640"/>
    <w:rsid w:val="1D757AFF"/>
    <w:rsid w:val="1D83195F"/>
    <w:rsid w:val="1D95213E"/>
    <w:rsid w:val="1DAD174D"/>
    <w:rsid w:val="1DAF3CE7"/>
    <w:rsid w:val="1DB56F64"/>
    <w:rsid w:val="1DBB4BE9"/>
    <w:rsid w:val="1DCF6478"/>
    <w:rsid w:val="1DDE2B20"/>
    <w:rsid w:val="1DE21BC7"/>
    <w:rsid w:val="1DED6C15"/>
    <w:rsid w:val="1DEF2B2E"/>
    <w:rsid w:val="1E15571A"/>
    <w:rsid w:val="1E1B07E7"/>
    <w:rsid w:val="1E1E26FF"/>
    <w:rsid w:val="1E292242"/>
    <w:rsid w:val="1E2A4674"/>
    <w:rsid w:val="1E2A6CD9"/>
    <w:rsid w:val="1E2D2AF0"/>
    <w:rsid w:val="1E412A7B"/>
    <w:rsid w:val="1E4F633B"/>
    <w:rsid w:val="1E5063C0"/>
    <w:rsid w:val="1E514B24"/>
    <w:rsid w:val="1E7005FE"/>
    <w:rsid w:val="1E791EB1"/>
    <w:rsid w:val="1E7B764D"/>
    <w:rsid w:val="1E936F1A"/>
    <w:rsid w:val="1E971151"/>
    <w:rsid w:val="1EA12D92"/>
    <w:rsid w:val="1EA621F3"/>
    <w:rsid w:val="1EAF52B4"/>
    <w:rsid w:val="1EB618B9"/>
    <w:rsid w:val="1EC82C62"/>
    <w:rsid w:val="1ED63734"/>
    <w:rsid w:val="1EF86DA4"/>
    <w:rsid w:val="1F135DEF"/>
    <w:rsid w:val="1F193124"/>
    <w:rsid w:val="1F1B6419"/>
    <w:rsid w:val="1F2248EC"/>
    <w:rsid w:val="1F3461C1"/>
    <w:rsid w:val="1F433943"/>
    <w:rsid w:val="1F4507EA"/>
    <w:rsid w:val="1F62180A"/>
    <w:rsid w:val="1F6F1E12"/>
    <w:rsid w:val="1F724230"/>
    <w:rsid w:val="1F7E2ADF"/>
    <w:rsid w:val="1F901E17"/>
    <w:rsid w:val="1F9D6CAB"/>
    <w:rsid w:val="1FAE61F8"/>
    <w:rsid w:val="1FB475AF"/>
    <w:rsid w:val="1FBD0BF8"/>
    <w:rsid w:val="1FCC23A9"/>
    <w:rsid w:val="1FCD3402"/>
    <w:rsid w:val="1FD75A17"/>
    <w:rsid w:val="1FE57A92"/>
    <w:rsid w:val="1FE7617C"/>
    <w:rsid w:val="20273B07"/>
    <w:rsid w:val="203E307E"/>
    <w:rsid w:val="2064298A"/>
    <w:rsid w:val="2069392E"/>
    <w:rsid w:val="206E4DF5"/>
    <w:rsid w:val="207C70DE"/>
    <w:rsid w:val="20824474"/>
    <w:rsid w:val="20C032DA"/>
    <w:rsid w:val="20DE7C82"/>
    <w:rsid w:val="2102515E"/>
    <w:rsid w:val="211814F3"/>
    <w:rsid w:val="21317C3A"/>
    <w:rsid w:val="213266E2"/>
    <w:rsid w:val="21494C50"/>
    <w:rsid w:val="214A1A5A"/>
    <w:rsid w:val="215846A9"/>
    <w:rsid w:val="215B71CB"/>
    <w:rsid w:val="217F2AC9"/>
    <w:rsid w:val="218517C0"/>
    <w:rsid w:val="21986367"/>
    <w:rsid w:val="21CD5C28"/>
    <w:rsid w:val="21D1129F"/>
    <w:rsid w:val="21E960D6"/>
    <w:rsid w:val="21FC6E33"/>
    <w:rsid w:val="22013D2E"/>
    <w:rsid w:val="22100279"/>
    <w:rsid w:val="222815EE"/>
    <w:rsid w:val="22455338"/>
    <w:rsid w:val="224D0231"/>
    <w:rsid w:val="226B53A8"/>
    <w:rsid w:val="22744A86"/>
    <w:rsid w:val="228253BF"/>
    <w:rsid w:val="22BB642C"/>
    <w:rsid w:val="22C2478B"/>
    <w:rsid w:val="22D66429"/>
    <w:rsid w:val="22DB74E4"/>
    <w:rsid w:val="23045D70"/>
    <w:rsid w:val="231828F5"/>
    <w:rsid w:val="231D469B"/>
    <w:rsid w:val="23333A57"/>
    <w:rsid w:val="2336203E"/>
    <w:rsid w:val="233646F8"/>
    <w:rsid w:val="23464C87"/>
    <w:rsid w:val="23560EDD"/>
    <w:rsid w:val="236A3FD1"/>
    <w:rsid w:val="23765C44"/>
    <w:rsid w:val="23AE0BD4"/>
    <w:rsid w:val="23B00DAE"/>
    <w:rsid w:val="23B2388D"/>
    <w:rsid w:val="23BD1370"/>
    <w:rsid w:val="23EA4A18"/>
    <w:rsid w:val="23F70E7C"/>
    <w:rsid w:val="241368B8"/>
    <w:rsid w:val="24142D53"/>
    <w:rsid w:val="241B0747"/>
    <w:rsid w:val="242D09A2"/>
    <w:rsid w:val="243909E8"/>
    <w:rsid w:val="24401D3A"/>
    <w:rsid w:val="244249D4"/>
    <w:rsid w:val="24682D2D"/>
    <w:rsid w:val="246A705B"/>
    <w:rsid w:val="24B165C3"/>
    <w:rsid w:val="24D64441"/>
    <w:rsid w:val="24F85CF1"/>
    <w:rsid w:val="25190615"/>
    <w:rsid w:val="254001AC"/>
    <w:rsid w:val="254126BB"/>
    <w:rsid w:val="25483CD8"/>
    <w:rsid w:val="255E3046"/>
    <w:rsid w:val="258127D4"/>
    <w:rsid w:val="258451D7"/>
    <w:rsid w:val="259119AC"/>
    <w:rsid w:val="2594718E"/>
    <w:rsid w:val="25A3557E"/>
    <w:rsid w:val="25B973C0"/>
    <w:rsid w:val="25C645EE"/>
    <w:rsid w:val="260D72AA"/>
    <w:rsid w:val="261648D2"/>
    <w:rsid w:val="26217C90"/>
    <w:rsid w:val="26324AA2"/>
    <w:rsid w:val="26396DC5"/>
    <w:rsid w:val="26532403"/>
    <w:rsid w:val="267756AA"/>
    <w:rsid w:val="26885F81"/>
    <w:rsid w:val="26944FE1"/>
    <w:rsid w:val="26A077AB"/>
    <w:rsid w:val="26A24C78"/>
    <w:rsid w:val="26B9426A"/>
    <w:rsid w:val="26CB10DF"/>
    <w:rsid w:val="26CF1CA7"/>
    <w:rsid w:val="26F462E7"/>
    <w:rsid w:val="271B0DBC"/>
    <w:rsid w:val="272D735C"/>
    <w:rsid w:val="273504A8"/>
    <w:rsid w:val="274A0775"/>
    <w:rsid w:val="27594687"/>
    <w:rsid w:val="27977174"/>
    <w:rsid w:val="27A52C58"/>
    <w:rsid w:val="27AC5B91"/>
    <w:rsid w:val="27B05BE4"/>
    <w:rsid w:val="27BE4972"/>
    <w:rsid w:val="27BF6217"/>
    <w:rsid w:val="27C32F8C"/>
    <w:rsid w:val="27C338FF"/>
    <w:rsid w:val="27E27542"/>
    <w:rsid w:val="27E75DAA"/>
    <w:rsid w:val="27EB401C"/>
    <w:rsid w:val="27F11B8F"/>
    <w:rsid w:val="27FE1B71"/>
    <w:rsid w:val="28072983"/>
    <w:rsid w:val="28260757"/>
    <w:rsid w:val="282A7049"/>
    <w:rsid w:val="284010C8"/>
    <w:rsid w:val="287003E1"/>
    <w:rsid w:val="28781DFF"/>
    <w:rsid w:val="287D79BC"/>
    <w:rsid w:val="287E12DC"/>
    <w:rsid w:val="2880651A"/>
    <w:rsid w:val="288D0193"/>
    <w:rsid w:val="288D602E"/>
    <w:rsid w:val="28916CDC"/>
    <w:rsid w:val="28A169BD"/>
    <w:rsid w:val="28AC1607"/>
    <w:rsid w:val="28CE7F8C"/>
    <w:rsid w:val="28D878EF"/>
    <w:rsid w:val="28DC5CDF"/>
    <w:rsid w:val="28EA1DCE"/>
    <w:rsid w:val="28ED60FB"/>
    <w:rsid w:val="28EF583B"/>
    <w:rsid w:val="28F54C8F"/>
    <w:rsid w:val="2900619B"/>
    <w:rsid w:val="291839B9"/>
    <w:rsid w:val="292A0CE1"/>
    <w:rsid w:val="297E0D9C"/>
    <w:rsid w:val="299A023B"/>
    <w:rsid w:val="29A75261"/>
    <w:rsid w:val="29B5428D"/>
    <w:rsid w:val="29D5474B"/>
    <w:rsid w:val="29EC0309"/>
    <w:rsid w:val="29F23EFC"/>
    <w:rsid w:val="2A1A5C20"/>
    <w:rsid w:val="2A1B4874"/>
    <w:rsid w:val="2A22370C"/>
    <w:rsid w:val="2A53500D"/>
    <w:rsid w:val="2A574132"/>
    <w:rsid w:val="2A6C7B4D"/>
    <w:rsid w:val="2A7F79B3"/>
    <w:rsid w:val="2A801A32"/>
    <w:rsid w:val="2A8B4B68"/>
    <w:rsid w:val="2A9201F2"/>
    <w:rsid w:val="2AD315AB"/>
    <w:rsid w:val="2AF50DCF"/>
    <w:rsid w:val="2AF61FAE"/>
    <w:rsid w:val="2AFB2DDA"/>
    <w:rsid w:val="2B1718FD"/>
    <w:rsid w:val="2B51254D"/>
    <w:rsid w:val="2B5B4E47"/>
    <w:rsid w:val="2B791237"/>
    <w:rsid w:val="2B912002"/>
    <w:rsid w:val="2B921029"/>
    <w:rsid w:val="2B9944D1"/>
    <w:rsid w:val="2BB332E8"/>
    <w:rsid w:val="2BB36E84"/>
    <w:rsid w:val="2BCB4E97"/>
    <w:rsid w:val="2BCC10DF"/>
    <w:rsid w:val="2BDF0CD7"/>
    <w:rsid w:val="2BDF4DB5"/>
    <w:rsid w:val="2BF25540"/>
    <w:rsid w:val="2C176697"/>
    <w:rsid w:val="2C3D0FDC"/>
    <w:rsid w:val="2C840D78"/>
    <w:rsid w:val="2CAF71B0"/>
    <w:rsid w:val="2CC444DD"/>
    <w:rsid w:val="2CD01397"/>
    <w:rsid w:val="2CD0549F"/>
    <w:rsid w:val="2CDF5566"/>
    <w:rsid w:val="2D13020D"/>
    <w:rsid w:val="2D235AB5"/>
    <w:rsid w:val="2D261EF5"/>
    <w:rsid w:val="2D3A45A7"/>
    <w:rsid w:val="2D417071"/>
    <w:rsid w:val="2D43119F"/>
    <w:rsid w:val="2D5E128C"/>
    <w:rsid w:val="2D76113F"/>
    <w:rsid w:val="2D7D6258"/>
    <w:rsid w:val="2D881E75"/>
    <w:rsid w:val="2D923DC1"/>
    <w:rsid w:val="2DA63829"/>
    <w:rsid w:val="2DAD524F"/>
    <w:rsid w:val="2DDD4757"/>
    <w:rsid w:val="2DE77E60"/>
    <w:rsid w:val="2DEB4343"/>
    <w:rsid w:val="2DF2025B"/>
    <w:rsid w:val="2DFC540B"/>
    <w:rsid w:val="2E0F0AAD"/>
    <w:rsid w:val="2E1057D0"/>
    <w:rsid w:val="2E111B60"/>
    <w:rsid w:val="2E113392"/>
    <w:rsid w:val="2E180140"/>
    <w:rsid w:val="2E277C45"/>
    <w:rsid w:val="2E3E7AA5"/>
    <w:rsid w:val="2E5A19CD"/>
    <w:rsid w:val="2E6236DD"/>
    <w:rsid w:val="2E63550D"/>
    <w:rsid w:val="2E71734B"/>
    <w:rsid w:val="2E7605F7"/>
    <w:rsid w:val="2E7D049D"/>
    <w:rsid w:val="2E836092"/>
    <w:rsid w:val="2E945954"/>
    <w:rsid w:val="2EA37E3E"/>
    <w:rsid w:val="2EAD0F10"/>
    <w:rsid w:val="2EAD6CA6"/>
    <w:rsid w:val="2EC33758"/>
    <w:rsid w:val="2EF936B9"/>
    <w:rsid w:val="2EFD4849"/>
    <w:rsid w:val="2F1444BC"/>
    <w:rsid w:val="2F1B0500"/>
    <w:rsid w:val="2F2230E3"/>
    <w:rsid w:val="2F395F30"/>
    <w:rsid w:val="2F3B0C84"/>
    <w:rsid w:val="2F711EA3"/>
    <w:rsid w:val="2F76515D"/>
    <w:rsid w:val="2F8D0D9A"/>
    <w:rsid w:val="2FA606FF"/>
    <w:rsid w:val="2FB31916"/>
    <w:rsid w:val="2FB95946"/>
    <w:rsid w:val="2FB965D3"/>
    <w:rsid w:val="2FD24018"/>
    <w:rsid w:val="2FE972AE"/>
    <w:rsid w:val="2FF04C73"/>
    <w:rsid w:val="30007859"/>
    <w:rsid w:val="300C7122"/>
    <w:rsid w:val="300E39E6"/>
    <w:rsid w:val="301A3407"/>
    <w:rsid w:val="30272560"/>
    <w:rsid w:val="30501EB4"/>
    <w:rsid w:val="305C0679"/>
    <w:rsid w:val="305E0257"/>
    <w:rsid w:val="30897391"/>
    <w:rsid w:val="30972F88"/>
    <w:rsid w:val="309F45DE"/>
    <w:rsid w:val="30B22A44"/>
    <w:rsid w:val="30C53944"/>
    <w:rsid w:val="30CA1291"/>
    <w:rsid w:val="30D87BC9"/>
    <w:rsid w:val="310C3B6A"/>
    <w:rsid w:val="31116825"/>
    <w:rsid w:val="311509DD"/>
    <w:rsid w:val="31296180"/>
    <w:rsid w:val="31336F3A"/>
    <w:rsid w:val="313B4BE2"/>
    <w:rsid w:val="314A4831"/>
    <w:rsid w:val="318D7453"/>
    <w:rsid w:val="31A96DE5"/>
    <w:rsid w:val="31B2638D"/>
    <w:rsid w:val="31C45CBB"/>
    <w:rsid w:val="31E82DAD"/>
    <w:rsid w:val="320B1E82"/>
    <w:rsid w:val="323148D4"/>
    <w:rsid w:val="32520EB0"/>
    <w:rsid w:val="32561909"/>
    <w:rsid w:val="325746D9"/>
    <w:rsid w:val="32575FDD"/>
    <w:rsid w:val="325D3AFA"/>
    <w:rsid w:val="32822570"/>
    <w:rsid w:val="32965AF6"/>
    <w:rsid w:val="32A0497F"/>
    <w:rsid w:val="32CE62FF"/>
    <w:rsid w:val="32E221AA"/>
    <w:rsid w:val="32EA0CFF"/>
    <w:rsid w:val="32F00B6D"/>
    <w:rsid w:val="32F13C3B"/>
    <w:rsid w:val="32F5053F"/>
    <w:rsid w:val="32FB1172"/>
    <w:rsid w:val="33083851"/>
    <w:rsid w:val="33112BFD"/>
    <w:rsid w:val="33296F9A"/>
    <w:rsid w:val="33437CC6"/>
    <w:rsid w:val="335421AF"/>
    <w:rsid w:val="33623EB4"/>
    <w:rsid w:val="33641B53"/>
    <w:rsid w:val="33645968"/>
    <w:rsid w:val="337E6252"/>
    <w:rsid w:val="339D7536"/>
    <w:rsid w:val="33AB50CF"/>
    <w:rsid w:val="33B3313B"/>
    <w:rsid w:val="33C45A75"/>
    <w:rsid w:val="33C94EBC"/>
    <w:rsid w:val="33DF7E42"/>
    <w:rsid w:val="33E12E22"/>
    <w:rsid w:val="341825D1"/>
    <w:rsid w:val="341C1CD8"/>
    <w:rsid w:val="34201FD5"/>
    <w:rsid w:val="343A595D"/>
    <w:rsid w:val="34523C0D"/>
    <w:rsid w:val="3466299F"/>
    <w:rsid w:val="346A6778"/>
    <w:rsid w:val="348C0B26"/>
    <w:rsid w:val="349278FA"/>
    <w:rsid w:val="34CC0B65"/>
    <w:rsid w:val="34CC68D3"/>
    <w:rsid w:val="34D54EC2"/>
    <w:rsid w:val="34D72360"/>
    <w:rsid w:val="350A6362"/>
    <w:rsid w:val="352A4314"/>
    <w:rsid w:val="35680EBE"/>
    <w:rsid w:val="358E28DB"/>
    <w:rsid w:val="359328A7"/>
    <w:rsid w:val="35973A87"/>
    <w:rsid w:val="35A6118F"/>
    <w:rsid w:val="35AE49A2"/>
    <w:rsid w:val="35C7582E"/>
    <w:rsid w:val="35CF656D"/>
    <w:rsid w:val="35E06BC9"/>
    <w:rsid w:val="35E36A72"/>
    <w:rsid w:val="35E93A58"/>
    <w:rsid w:val="3608455E"/>
    <w:rsid w:val="360E7C68"/>
    <w:rsid w:val="36112222"/>
    <w:rsid w:val="361C7C2A"/>
    <w:rsid w:val="362F788B"/>
    <w:rsid w:val="363A22FC"/>
    <w:rsid w:val="365133AB"/>
    <w:rsid w:val="3654094C"/>
    <w:rsid w:val="366327AC"/>
    <w:rsid w:val="367E0119"/>
    <w:rsid w:val="368257C3"/>
    <w:rsid w:val="368E77E9"/>
    <w:rsid w:val="369E1FF0"/>
    <w:rsid w:val="36A07EF6"/>
    <w:rsid w:val="36A33989"/>
    <w:rsid w:val="36AA4C6D"/>
    <w:rsid w:val="36AF1EEC"/>
    <w:rsid w:val="36AF317A"/>
    <w:rsid w:val="36B96DC5"/>
    <w:rsid w:val="36C4351E"/>
    <w:rsid w:val="36CF3768"/>
    <w:rsid w:val="36ED789D"/>
    <w:rsid w:val="36EE081D"/>
    <w:rsid w:val="36EE330F"/>
    <w:rsid w:val="36F363F3"/>
    <w:rsid w:val="36F94FDD"/>
    <w:rsid w:val="372015CD"/>
    <w:rsid w:val="3720308A"/>
    <w:rsid w:val="372A4EF9"/>
    <w:rsid w:val="372E0E11"/>
    <w:rsid w:val="374A7CDB"/>
    <w:rsid w:val="37667267"/>
    <w:rsid w:val="379A0651"/>
    <w:rsid w:val="37A00C5D"/>
    <w:rsid w:val="37E15076"/>
    <w:rsid w:val="37EB11BA"/>
    <w:rsid w:val="38020BBD"/>
    <w:rsid w:val="380642D5"/>
    <w:rsid w:val="380D3D27"/>
    <w:rsid w:val="381923E5"/>
    <w:rsid w:val="381C58F1"/>
    <w:rsid w:val="382A194F"/>
    <w:rsid w:val="382B33E8"/>
    <w:rsid w:val="382F7093"/>
    <w:rsid w:val="383B6B2C"/>
    <w:rsid w:val="384431FD"/>
    <w:rsid w:val="38BE4B7C"/>
    <w:rsid w:val="38CA4B07"/>
    <w:rsid w:val="38D02B83"/>
    <w:rsid w:val="38DA37C5"/>
    <w:rsid w:val="38F61CD5"/>
    <w:rsid w:val="39261397"/>
    <w:rsid w:val="394A7E6F"/>
    <w:rsid w:val="397D39EC"/>
    <w:rsid w:val="398E6F93"/>
    <w:rsid w:val="39C9691B"/>
    <w:rsid w:val="39CB1DF8"/>
    <w:rsid w:val="39E34F30"/>
    <w:rsid w:val="39F825E6"/>
    <w:rsid w:val="39F96D00"/>
    <w:rsid w:val="3A042BF1"/>
    <w:rsid w:val="3A076CC8"/>
    <w:rsid w:val="3A21505E"/>
    <w:rsid w:val="3A4A791F"/>
    <w:rsid w:val="3A4E6A3E"/>
    <w:rsid w:val="3A51780D"/>
    <w:rsid w:val="3A53798E"/>
    <w:rsid w:val="3A822225"/>
    <w:rsid w:val="3A8D22A6"/>
    <w:rsid w:val="3A9474DC"/>
    <w:rsid w:val="3A951134"/>
    <w:rsid w:val="3AAD7583"/>
    <w:rsid w:val="3AB60C79"/>
    <w:rsid w:val="3ABD4F3B"/>
    <w:rsid w:val="3AEC2870"/>
    <w:rsid w:val="3B04775B"/>
    <w:rsid w:val="3B0820B1"/>
    <w:rsid w:val="3B3A257C"/>
    <w:rsid w:val="3B445159"/>
    <w:rsid w:val="3B5076E7"/>
    <w:rsid w:val="3B540F6E"/>
    <w:rsid w:val="3B5A3EC6"/>
    <w:rsid w:val="3B624AD7"/>
    <w:rsid w:val="3B63079C"/>
    <w:rsid w:val="3B657EE5"/>
    <w:rsid w:val="3B6663E3"/>
    <w:rsid w:val="3B744F12"/>
    <w:rsid w:val="3BB308AF"/>
    <w:rsid w:val="3BB609A2"/>
    <w:rsid w:val="3BBD6C56"/>
    <w:rsid w:val="3BC5247A"/>
    <w:rsid w:val="3BF6437E"/>
    <w:rsid w:val="3C085DDC"/>
    <w:rsid w:val="3C321E5D"/>
    <w:rsid w:val="3C332CB5"/>
    <w:rsid w:val="3C341432"/>
    <w:rsid w:val="3C3E1B1F"/>
    <w:rsid w:val="3C690CC6"/>
    <w:rsid w:val="3C7E0AFB"/>
    <w:rsid w:val="3C8F0E10"/>
    <w:rsid w:val="3C924A8B"/>
    <w:rsid w:val="3C9D4AEB"/>
    <w:rsid w:val="3CA40D37"/>
    <w:rsid w:val="3CC2546E"/>
    <w:rsid w:val="3CDC1DA8"/>
    <w:rsid w:val="3CE31458"/>
    <w:rsid w:val="3D05178D"/>
    <w:rsid w:val="3D073949"/>
    <w:rsid w:val="3D263C6D"/>
    <w:rsid w:val="3D3B668B"/>
    <w:rsid w:val="3D3B7655"/>
    <w:rsid w:val="3D465D9E"/>
    <w:rsid w:val="3D4E0EBA"/>
    <w:rsid w:val="3D573E0A"/>
    <w:rsid w:val="3D790C3F"/>
    <w:rsid w:val="3D8C11A3"/>
    <w:rsid w:val="3D902F61"/>
    <w:rsid w:val="3DAC1538"/>
    <w:rsid w:val="3DBD6C4D"/>
    <w:rsid w:val="3DC304BB"/>
    <w:rsid w:val="3DEE5BCD"/>
    <w:rsid w:val="3DFD0BF5"/>
    <w:rsid w:val="3E0403C0"/>
    <w:rsid w:val="3E077B13"/>
    <w:rsid w:val="3E082C1A"/>
    <w:rsid w:val="3E251E26"/>
    <w:rsid w:val="3E450A27"/>
    <w:rsid w:val="3E4F56FD"/>
    <w:rsid w:val="3E6C2352"/>
    <w:rsid w:val="3E770242"/>
    <w:rsid w:val="3EA5471A"/>
    <w:rsid w:val="3EC951CF"/>
    <w:rsid w:val="3EDD5E61"/>
    <w:rsid w:val="3F0B10C8"/>
    <w:rsid w:val="3F23508B"/>
    <w:rsid w:val="3F3738BB"/>
    <w:rsid w:val="3F4D6C35"/>
    <w:rsid w:val="3F505BD3"/>
    <w:rsid w:val="3F537E8F"/>
    <w:rsid w:val="3F574F57"/>
    <w:rsid w:val="3F7E3435"/>
    <w:rsid w:val="3F885ADA"/>
    <w:rsid w:val="3F9C5609"/>
    <w:rsid w:val="3F9F59FD"/>
    <w:rsid w:val="3FB96953"/>
    <w:rsid w:val="3FE31272"/>
    <w:rsid w:val="3FEC772E"/>
    <w:rsid w:val="3FEF28BD"/>
    <w:rsid w:val="40192931"/>
    <w:rsid w:val="401E3CB3"/>
    <w:rsid w:val="40351FD0"/>
    <w:rsid w:val="405F61DB"/>
    <w:rsid w:val="40636E6C"/>
    <w:rsid w:val="408641E4"/>
    <w:rsid w:val="40865093"/>
    <w:rsid w:val="40A95FF4"/>
    <w:rsid w:val="40C16BD7"/>
    <w:rsid w:val="41116A3F"/>
    <w:rsid w:val="414B1587"/>
    <w:rsid w:val="41522FB7"/>
    <w:rsid w:val="41597C06"/>
    <w:rsid w:val="416266D5"/>
    <w:rsid w:val="41AF0C22"/>
    <w:rsid w:val="41CF7A06"/>
    <w:rsid w:val="41D571CA"/>
    <w:rsid w:val="41DA32F6"/>
    <w:rsid w:val="41DD3CBF"/>
    <w:rsid w:val="41EF467C"/>
    <w:rsid w:val="42392D12"/>
    <w:rsid w:val="423B22D1"/>
    <w:rsid w:val="423D68D9"/>
    <w:rsid w:val="426A2B95"/>
    <w:rsid w:val="427D7596"/>
    <w:rsid w:val="42814119"/>
    <w:rsid w:val="428507D8"/>
    <w:rsid w:val="42A6354C"/>
    <w:rsid w:val="42FB53DD"/>
    <w:rsid w:val="43045DB7"/>
    <w:rsid w:val="43052838"/>
    <w:rsid w:val="431A69B2"/>
    <w:rsid w:val="432F60C5"/>
    <w:rsid w:val="4357024D"/>
    <w:rsid w:val="43673F27"/>
    <w:rsid w:val="43683B90"/>
    <w:rsid w:val="436B4B22"/>
    <w:rsid w:val="437848BA"/>
    <w:rsid w:val="437A13BD"/>
    <w:rsid w:val="437B69B7"/>
    <w:rsid w:val="4380062B"/>
    <w:rsid w:val="43943CF0"/>
    <w:rsid w:val="43954257"/>
    <w:rsid w:val="43A01AFB"/>
    <w:rsid w:val="43A23262"/>
    <w:rsid w:val="43A65DC3"/>
    <w:rsid w:val="43AD59D8"/>
    <w:rsid w:val="43B17578"/>
    <w:rsid w:val="43C02AF7"/>
    <w:rsid w:val="43DB43E8"/>
    <w:rsid w:val="440C22C0"/>
    <w:rsid w:val="440E2172"/>
    <w:rsid w:val="441F7A07"/>
    <w:rsid w:val="442A6D91"/>
    <w:rsid w:val="44395A4F"/>
    <w:rsid w:val="443F5092"/>
    <w:rsid w:val="44482E14"/>
    <w:rsid w:val="44BF1DAF"/>
    <w:rsid w:val="44D81A33"/>
    <w:rsid w:val="44E51E53"/>
    <w:rsid w:val="44E87806"/>
    <w:rsid w:val="44FE6300"/>
    <w:rsid w:val="44FF6CF8"/>
    <w:rsid w:val="454D4D83"/>
    <w:rsid w:val="45667375"/>
    <w:rsid w:val="4590775C"/>
    <w:rsid w:val="45985964"/>
    <w:rsid w:val="459F1DC9"/>
    <w:rsid w:val="45AF5B10"/>
    <w:rsid w:val="45D05760"/>
    <w:rsid w:val="45D81C3F"/>
    <w:rsid w:val="45F13CD2"/>
    <w:rsid w:val="46537901"/>
    <w:rsid w:val="465B04D2"/>
    <w:rsid w:val="466728CB"/>
    <w:rsid w:val="46677FED"/>
    <w:rsid w:val="466818A4"/>
    <w:rsid w:val="466B0ABA"/>
    <w:rsid w:val="466D0A7B"/>
    <w:rsid w:val="468A21EA"/>
    <w:rsid w:val="469D7215"/>
    <w:rsid w:val="46C70BB7"/>
    <w:rsid w:val="46C817EC"/>
    <w:rsid w:val="46F20697"/>
    <w:rsid w:val="472A0D72"/>
    <w:rsid w:val="472F69E7"/>
    <w:rsid w:val="47536DE4"/>
    <w:rsid w:val="475A383F"/>
    <w:rsid w:val="47636BE9"/>
    <w:rsid w:val="4765650E"/>
    <w:rsid w:val="47842613"/>
    <w:rsid w:val="478949B0"/>
    <w:rsid w:val="47D747CC"/>
    <w:rsid w:val="48027FD1"/>
    <w:rsid w:val="480A5D17"/>
    <w:rsid w:val="481C6AD7"/>
    <w:rsid w:val="48404909"/>
    <w:rsid w:val="484D4AC7"/>
    <w:rsid w:val="484F4E94"/>
    <w:rsid w:val="48505351"/>
    <w:rsid w:val="48721DAB"/>
    <w:rsid w:val="4874406A"/>
    <w:rsid w:val="487B44F8"/>
    <w:rsid w:val="4880019E"/>
    <w:rsid w:val="48827865"/>
    <w:rsid w:val="48851FAD"/>
    <w:rsid w:val="48A40FBC"/>
    <w:rsid w:val="48A709C6"/>
    <w:rsid w:val="49054DF7"/>
    <w:rsid w:val="490C3EAD"/>
    <w:rsid w:val="49282375"/>
    <w:rsid w:val="49527740"/>
    <w:rsid w:val="495660C8"/>
    <w:rsid w:val="497C12CD"/>
    <w:rsid w:val="498E7BD7"/>
    <w:rsid w:val="499D04F6"/>
    <w:rsid w:val="49CE2B3D"/>
    <w:rsid w:val="49D36692"/>
    <w:rsid w:val="4A0A0677"/>
    <w:rsid w:val="4A0E198C"/>
    <w:rsid w:val="4A42362C"/>
    <w:rsid w:val="4A500D7C"/>
    <w:rsid w:val="4A5433FD"/>
    <w:rsid w:val="4A6271B1"/>
    <w:rsid w:val="4A744BF1"/>
    <w:rsid w:val="4A963CEA"/>
    <w:rsid w:val="4AAC1E5D"/>
    <w:rsid w:val="4AAE50FA"/>
    <w:rsid w:val="4AAF489B"/>
    <w:rsid w:val="4AB465B9"/>
    <w:rsid w:val="4ABE3614"/>
    <w:rsid w:val="4ADA5A8E"/>
    <w:rsid w:val="4AE94079"/>
    <w:rsid w:val="4AF03F48"/>
    <w:rsid w:val="4B04184C"/>
    <w:rsid w:val="4B08498D"/>
    <w:rsid w:val="4B0A14AE"/>
    <w:rsid w:val="4B0F04D0"/>
    <w:rsid w:val="4B313142"/>
    <w:rsid w:val="4B3B49FF"/>
    <w:rsid w:val="4B4A3FFC"/>
    <w:rsid w:val="4B4B7307"/>
    <w:rsid w:val="4B631501"/>
    <w:rsid w:val="4B69421A"/>
    <w:rsid w:val="4B812784"/>
    <w:rsid w:val="4B84110D"/>
    <w:rsid w:val="4B8D6CE0"/>
    <w:rsid w:val="4BA25F0F"/>
    <w:rsid w:val="4BBE3AA9"/>
    <w:rsid w:val="4BCB4C63"/>
    <w:rsid w:val="4BE142D4"/>
    <w:rsid w:val="4BE1653A"/>
    <w:rsid w:val="4BF640D9"/>
    <w:rsid w:val="4C1E6B6D"/>
    <w:rsid w:val="4C69431A"/>
    <w:rsid w:val="4C8A37CB"/>
    <w:rsid w:val="4CB91D39"/>
    <w:rsid w:val="4CC13F23"/>
    <w:rsid w:val="4CD1538A"/>
    <w:rsid w:val="4CDC0D9A"/>
    <w:rsid w:val="4CFA11D5"/>
    <w:rsid w:val="4D0321F3"/>
    <w:rsid w:val="4D061247"/>
    <w:rsid w:val="4D175E23"/>
    <w:rsid w:val="4D365169"/>
    <w:rsid w:val="4D4704D9"/>
    <w:rsid w:val="4D791D70"/>
    <w:rsid w:val="4D8E276E"/>
    <w:rsid w:val="4D8E4B7F"/>
    <w:rsid w:val="4D9F0A87"/>
    <w:rsid w:val="4DC75A70"/>
    <w:rsid w:val="4DDD585F"/>
    <w:rsid w:val="4E172CD8"/>
    <w:rsid w:val="4E1B0728"/>
    <w:rsid w:val="4E1F44C2"/>
    <w:rsid w:val="4E4865DA"/>
    <w:rsid w:val="4E5369E0"/>
    <w:rsid w:val="4E545779"/>
    <w:rsid w:val="4E5F18B1"/>
    <w:rsid w:val="4E652D4A"/>
    <w:rsid w:val="4E71239B"/>
    <w:rsid w:val="4E8206EF"/>
    <w:rsid w:val="4E8C5D30"/>
    <w:rsid w:val="4E9B1358"/>
    <w:rsid w:val="4EA3257D"/>
    <w:rsid w:val="4EE62A5B"/>
    <w:rsid w:val="4EE82ED4"/>
    <w:rsid w:val="4EE85BF6"/>
    <w:rsid w:val="4EF97051"/>
    <w:rsid w:val="4F030C33"/>
    <w:rsid w:val="4F2C0C52"/>
    <w:rsid w:val="4F3D6F8B"/>
    <w:rsid w:val="4F65660A"/>
    <w:rsid w:val="4F8F229C"/>
    <w:rsid w:val="4F9352F9"/>
    <w:rsid w:val="4FA0380A"/>
    <w:rsid w:val="4FBB4F34"/>
    <w:rsid w:val="4FC74C25"/>
    <w:rsid w:val="4FCB3060"/>
    <w:rsid w:val="4FE901EC"/>
    <w:rsid w:val="4FED2A6F"/>
    <w:rsid w:val="4FF209BF"/>
    <w:rsid w:val="4FFD1FFA"/>
    <w:rsid w:val="50180650"/>
    <w:rsid w:val="501A0947"/>
    <w:rsid w:val="501F72A4"/>
    <w:rsid w:val="502E57CE"/>
    <w:rsid w:val="5032146B"/>
    <w:rsid w:val="50393AF2"/>
    <w:rsid w:val="503B2FCF"/>
    <w:rsid w:val="503C7836"/>
    <w:rsid w:val="506007D3"/>
    <w:rsid w:val="50637A01"/>
    <w:rsid w:val="508D78AB"/>
    <w:rsid w:val="50AD52F8"/>
    <w:rsid w:val="50D335E5"/>
    <w:rsid w:val="50E54B36"/>
    <w:rsid w:val="50EC00EC"/>
    <w:rsid w:val="510E333A"/>
    <w:rsid w:val="512410B6"/>
    <w:rsid w:val="51436929"/>
    <w:rsid w:val="51593F67"/>
    <w:rsid w:val="517501A3"/>
    <w:rsid w:val="51A16A90"/>
    <w:rsid w:val="51B44740"/>
    <w:rsid w:val="51C472AD"/>
    <w:rsid w:val="51C5598C"/>
    <w:rsid w:val="51C82C7D"/>
    <w:rsid w:val="51E60C33"/>
    <w:rsid w:val="51ED5ACC"/>
    <w:rsid w:val="52130523"/>
    <w:rsid w:val="521F6EC0"/>
    <w:rsid w:val="52287A82"/>
    <w:rsid w:val="523048A0"/>
    <w:rsid w:val="523C2A0F"/>
    <w:rsid w:val="523F3A6F"/>
    <w:rsid w:val="52422E4F"/>
    <w:rsid w:val="52445D2E"/>
    <w:rsid w:val="52655D8B"/>
    <w:rsid w:val="527E5F8F"/>
    <w:rsid w:val="528C59B4"/>
    <w:rsid w:val="529821DE"/>
    <w:rsid w:val="52984769"/>
    <w:rsid w:val="52986517"/>
    <w:rsid w:val="52BB52E2"/>
    <w:rsid w:val="52C928F9"/>
    <w:rsid w:val="52D50D98"/>
    <w:rsid w:val="52D6723C"/>
    <w:rsid w:val="52FC4128"/>
    <w:rsid w:val="532E4F4A"/>
    <w:rsid w:val="53442435"/>
    <w:rsid w:val="5346441E"/>
    <w:rsid w:val="53482B20"/>
    <w:rsid w:val="53515C86"/>
    <w:rsid w:val="536C04A5"/>
    <w:rsid w:val="53B47F64"/>
    <w:rsid w:val="53BB2D65"/>
    <w:rsid w:val="53C233F2"/>
    <w:rsid w:val="53CF1EF7"/>
    <w:rsid w:val="53D63480"/>
    <w:rsid w:val="543A4448"/>
    <w:rsid w:val="543B2CAC"/>
    <w:rsid w:val="54414619"/>
    <w:rsid w:val="544B457F"/>
    <w:rsid w:val="54536647"/>
    <w:rsid w:val="54547D30"/>
    <w:rsid w:val="54561FA4"/>
    <w:rsid w:val="547827ED"/>
    <w:rsid w:val="548A0A0B"/>
    <w:rsid w:val="54906235"/>
    <w:rsid w:val="54B542A8"/>
    <w:rsid w:val="54CC5F6E"/>
    <w:rsid w:val="54FF2AEF"/>
    <w:rsid w:val="55031845"/>
    <w:rsid w:val="551669D1"/>
    <w:rsid w:val="551D4A6E"/>
    <w:rsid w:val="55282FF0"/>
    <w:rsid w:val="552F2EEC"/>
    <w:rsid w:val="5532095B"/>
    <w:rsid w:val="553E1175"/>
    <w:rsid w:val="5543442E"/>
    <w:rsid w:val="55675E27"/>
    <w:rsid w:val="558C5D68"/>
    <w:rsid w:val="559F3611"/>
    <w:rsid w:val="55A15290"/>
    <w:rsid w:val="55CB3F86"/>
    <w:rsid w:val="55D20FF5"/>
    <w:rsid w:val="55DE096A"/>
    <w:rsid w:val="55E173D6"/>
    <w:rsid w:val="55F07509"/>
    <w:rsid w:val="55F47978"/>
    <w:rsid w:val="560A271F"/>
    <w:rsid w:val="561002A5"/>
    <w:rsid w:val="5616179E"/>
    <w:rsid w:val="561A07F9"/>
    <w:rsid w:val="562511D6"/>
    <w:rsid w:val="563B55C6"/>
    <w:rsid w:val="56477803"/>
    <w:rsid w:val="564C6C5E"/>
    <w:rsid w:val="564D77BA"/>
    <w:rsid w:val="56696195"/>
    <w:rsid w:val="56743AD9"/>
    <w:rsid w:val="567562C1"/>
    <w:rsid w:val="569A42EA"/>
    <w:rsid w:val="56A20E6E"/>
    <w:rsid w:val="56A81184"/>
    <w:rsid w:val="56B66352"/>
    <w:rsid w:val="56DF27EB"/>
    <w:rsid w:val="56E37F7C"/>
    <w:rsid w:val="56F54095"/>
    <w:rsid w:val="56FD6CCD"/>
    <w:rsid w:val="570006C7"/>
    <w:rsid w:val="57057F2E"/>
    <w:rsid w:val="570D7C24"/>
    <w:rsid w:val="572807DB"/>
    <w:rsid w:val="573A5725"/>
    <w:rsid w:val="57404D35"/>
    <w:rsid w:val="57425354"/>
    <w:rsid w:val="57441858"/>
    <w:rsid w:val="574E3540"/>
    <w:rsid w:val="576E13FC"/>
    <w:rsid w:val="57701DE9"/>
    <w:rsid w:val="578D2906"/>
    <w:rsid w:val="57CF62FD"/>
    <w:rsid w:val="57D3604F"/>
    <w:rsid w:val="57D7084D"/>
    <w:rsid w:val="57D73D05"/>
    <w:rsid w:val="57E65511"/>
    <w:rsid w:val="57F12D3A"/>
    <w:rsid w:val="57F742E8"/>
    <w:rsid w:val="580667D6"/>
    <w:rsid w:val="58136D00"/>
    <w:rsid w:val="5828787B"/>
    <w:rsid w:val="582A39DF"/>
    <w:rsid w:val="582E3BDE"/>
    <w:rsid w:val="583F07B3"/>
    <w:rsid w:val="58400AA3"/>
    <w:rsid w:val="584D0A43"/>
    <w:rsid w:val="58535F60"/>
    <w:rsid w:val="5897184E"/>
    <w:rsid w:val="58A2040C"/>
    <w:rsid w:val="58A549B1"/>
    <w:rsid w:val="58AA5211"/>
    <w:rsid w:val="58BE467A"/>
    <w:rsid w:val="58C07006"/>
    <w:rsid w:val="58DA78D4"/>
    <w:rsid w:val="5905760B"/>
    <w:rsid w:val="59096205"/>
    <w:rsid w:val="590E571D"/>
    <w:rsid w:val="59326F60"/>
    <w:rsid w:val="593D0233"/>
    <w:rsid w:val="593E240D"/>
    <w:rsid w:val="594B6F1D"/>
    <w:rsid w:val="595859E9"/>
    <w:rsid w:val="59663C3B"/>
    <w:rsid w:val="597A2A40"/>
    <w:rsid w:val="597D2C09"/>
    <w:rsid w:val="599577B4"/>
    <w:rsid w:val="59A613DA"/>
    <w:rsid w:val="59E536EC"/>
    <w:rsid w:val="5A2C4F69"/>
    <w:rsid w:val="5A591DBC"/>
    <w:rsid w:val="5A5D2912"/>
    <w:rsid w:val="5A652FA5"/>
    <w:rsid w:val="5A6821E2"/>
    <w:rsid w:val="5A807298"/>
    <w:rsid w:val="5A836451"/>
    <w:rsid w:val="5A9F2583"/>
    <w:rsid w:val="5AA41C82"/>
    <w:rsid w:val="5AC116D1"/>
    <w:rsid w:val="5ADD4D4C"/>
    <w:rsid w:val="5AE2223B"/>
    <w:rsid w:val="5B0F3FE0"/>
    <w:rsid w:val="5B11668A"/>
    <w:rsid w:val="5B205295"/>
    <w:rsid w:val="5B2368B8"/>
    <w:rsid w:val="5B3D237C"/>
    <w:rsid w:val="5B4D69B3"/>
    <w:rsid w:val="5B616E1D"/>
    <w:rsid w:val="5B8A7493"/>
    <w:rsid w:val="5BD946C9"/>
    <w:rsid w:val="5BFE77C3"/>
    <w:rsid w:val="5C07619B"/>
    <w:rsid w:val="5C1C45A1"/>
    <w:rsid w:val="5C1F7F57"/>
    <w:rsid w:val="5C54069A"/>
    <w:rsid w:val="5C5A70A2"/>
    <w:rsid w:val="5C63779D"/>
    <w:rsid w:val="5C726C33"/>
    <w:rsid w:val="5C823E70"/>
    <w:rsid w:val="5C8962CD"/>
    <w:rsid w:val="5C9B07EC"/>
    <w:rsid w:val="5C9F3330"/>
    <w:rsid w:val="5CA15581"/>
    <w:rsid w:val="5CA62DE1"/>
    <w:rsid w:val="5CB95391"/>
    <w:rsid w:val="5CC242D5"/>
    <w:rsid w:val="5CD073F7"/>
    <w:rsid w:val="5CD72290"/>
    <w:rsid w:val="5D2A79FA"/>
    <w:rsid w:val="5D2C0676"/>
    <w:rsid w:val="5D474B81"/>
    <w:rsid w:val="5D49120D"/>
    <w:rsid w:val="5D647289"/>
    <w:rsid w:val="5D6F7454"/>
    <w:rsid w:val="5D9A7AE4"/>
    <w:rsid w:val="5DB85339"/>
    <w:rsid w:val="5DBC044E"/>
    <w:rsid w:val="5DC816A0"/>
    <w:rsid w:val="5DE23B02"/>
    <w:rsid w:val="5E100254"/>
    <w:rsid w:val="5E11731A"/>
    <w:rsid w:val="5E1F6A48"/>
    <w:rsid w:val="5E2117E0"/>
    <w:rsid w:val="5E2F46D0"/>
    <w:rsid w:val="5E3C1A55"/>
    <w:rsid w:val="5E4B13B2"/>
    <w:rsid w:val="5E4F180C"/>
    <w:rsid w:val="5E670C08"/>
    <w:rsid w:val="5E817802"/>
    <w:rsid w:val="5E8C52AE"/>
    <w:rsid w:val="5E997269"/>
    <w:rsid w:val="5EA1723D"/>
    <w:rsid w:val="5EA32DE9"/>
    <w:rsid w:val="5EBB46B2"/>
    <w:rsid w:val="5ED41206"/>
    <w:rsid w:val="5EDA2C3E"/>
    <w:rsid w:val="5EE80C5C"/>
    <w:rsid w:val="5EEE57E6"/>
    <w:rsid w:val="5F2229B3"/>
    <w:rsid w:val="5F3C03F8"/>
    <w:rsid w:val="5F562D88"/>
    <w:rsid w:val="5F994A78"/>
    <w:rsid w:val="5FA8456B"/>
    <w:rsid w:val="5FB54FFF"/>
    <w:rsid w:val="5FB84F32"/>
    <w:rsid w:val="5FB861FE"/>
    <w:rsid w:val="5FC93A6C"/>
    <w:rsid w:val="5FE157CB"/>
    <w:rsid w:val="60253A88"/>
    <w:rsid w:val="6025769B"/>
    <w:rsid w:val="603A7421"/>
    <w:rsid w:val="605243DD"/>
    <w:rsid w:val="60630F79"/>
    <w:rsid w:val="60632208"/>
    <w:rsid w:val="606D7F04"/>
    <w:rsid w:val="607D7E18"/>
    <w:rsid w:val="609473CD"/>
    <w:rsid w:val="60B34A5A"/>
    <w:rsid w:val="60C240A2"/>
    <w:rsid w:val="60C25BFE"/>
    <w:rsid w:val="60DE3549"/>
    <w:rsid w:val="60F13F40"/>
    <w:rsid w:val="61011306"/>
    <w:rsid w:val="6125076B"/>
    <w:rsid w:val="61460D37"/>
    <w:rsid w:val="614A35FA"/>
    <w:rsid w:val="619D28F7"/>
    <w:rsid w:val="61A01E3F"/>
    <w:rsid w:val="61AC7A42"/>
    <w:rsid w:val="61D51697"/>
    <w:rsid w:val="61DA056F"/>
    <w:rsid w:val="61DC6E5D"/>
    <w:rsid w:val="61DE49BE"/>
    <w:rsid w:val="61E6658D"/>
    <w:rsid w:val="61FC22AA"/>
    <w:rsid w:val="6201084A"/>
    <w:rsid w:val="6206738F"/>
    <w:rsid w:val="62611499"/>
    <w:rsid w:val="627929CB"/>
    <w:rsid w:val="627D7311"/>
    <w:rsid w:val="628B73EA"/>
    <w:rsid w:val="62B4576B"/>
    <w:rsid w:val="62E815BB"/>
    <w:rsid w:val="62F871A4"/>
    <w:rsid w:val="62FB58A2"/>
    <w:rsid w:val="630D7D68"/>
    <w:rsid w:val="631844AF"/>
    <w:rsid w:val="63226471"/>
    <w:rsid w:val="63324AD9"/>
    <w:rsid w:val="63351ECA"/>
    <w:rsid w:val="63406C80"/>
    <w:rsid w:val="6354120F"/>
    <w:rsid w:val="63576583"/>
    <w:rsid w:val="635C6052"/>
    <w:rsid w:val="63685A0D"/>
    <w:rsid w:val="6385682A"/>
    <w:rsid w:val="638854A5"/>
    <w:rsid w:val="638A0C8F"/>
    <w:rsid w:val="63D41393"/>
    <w:rsid w:val="63D52C35"/>
    <w:rsid w:val="63D75B72"/>
    <w:rsid w:val="63EE5BED"/>
    <w:rsid w:val="63F72B90"/>
    <w:rsid w:val="6408402A"/>
    <w:rsid w:val="640D27E7"/>
    <w:rsid w:val="642510F4"/>
    <w:rsid w:val="64291D65"/>
    <w:rsid w:val="647A744A"/>
    <w:rsid w:val="64817EE3"/>
    <w:rsid w:val="648755F2"/>
    <w:rsid w:val="64892DC1"/>
    <w:rsid w:val="64955777"/>
    <w:rsid w:val="649731A9"/>
    <w:rsid w:val="64A75AC0"/>
    <w:rsid w:val="64AF53BE"/>
    <w:rsid w:val="64D33E95"/>
    <w:rsid w:val="64E833C1"/>
    <w:rsid w:val="64E95E0C"/>
    <w:rsid w:val="64F622EF"/>
    <w:rsid w:val="650C58B4"/>
    <w:rsid w:val="651A1AB4"/>
    <w:rsid w:val="65440ED1"/>
    <w:rsid w:val="65556320"/>
    <w:rsid w:val="656F314E"/>
    <w:rsid w:val="657054D1"/>
    <w:rsid w:val="65A46D8C"/>
    <w:rsid w:val="65A6113F"/>
    <w:rsid w:val="65A94F64"/>
    <w:rsid w:val="65AD4A1A"/>
    <w:rsid w:val="65AE2A1E"/>
    <w:rsid w:val="65C35349"/>
    <w:rsid w:val="65CD56EA"/>
    <w:rsid w:val="65D93D96"/>
    <w:rsid w:val="65F0671D"/>
    <w:rsid w:val="65F835E1"/>
    <w:rsid w:val="660D5577"/>
    <w:rsid w:val="6636070B"/>
    <w:rsid w:val="663E3E8F"/>
    <w:rsid w:val="6641760C"/>
    <w:rsid w:val="664A4A92"/>
    <w:rsid w:val="664F0A1D"/>
    <w:rsid w:val="666073B0"/>
    <w:rsid w:val="666C485D"/>
    <w:rsid w:val="66871035"/>
    <w:rsid w:val="66B734C7"/>
    <w:rsid w:val="66E828AB"/>
    <w:rsid w:val="66F4155C"/>
    <w:rsid w:val="66F749E6"/>
    <w:rsid w:val="66FC50D8"/>
    <w:rsid w:val="67087779"/>
    <w:rsid w:val="670E402F"/>
    <w:rsid w:val="670F41CD"/>
    <w:rsid w:val="672225AD"/>
    <w:rsid w:val="672C4BFE"/>
    <w:rsid w:val="673942F6"/>
    <w:rsid w:val="67394A04"/>
    <w:rsid w:val="673C17D4"/>
    <w:rsid w:val="677B2BEE"/>
    <w:rsid w:val="67A728B6"/>
    <w:rsid w:val="67AB4C94"/>
    <w:rsid w:val="67B200FB"/>
    <w:rsid w:val="67C94284"/>
    <w:rsid w:val="67D31E23"/>
    <w:rsid w:val="680C210A"/>
    <w:rsid w:val="68203E9B"/>
    <w:rsid w:val="683F742A"/>
    <w:rsid w:val="68502554"/>
    <w:rsid w:val="68510580"/>
    <w:rsid w:val="686D0F44"/>
    <w:rsid w:val="68833C70"/>
    <w:rsid w:val="68971C20"/>
    <w:rsid w:val="68AA0CD2"/>
    <w:rsid w:val="68C37D27"/>
    <w:rsid w:val="68C53EA0"/>
    <w:rsid w:val="68D40049"/>
    <w:rsid w:val="69160F26"/>
    <w:rsid w:val="69361079"/>
    <w:rsid w:val="69633E81"/>
    <w:rsid w:val="6974143A"/>
    <w:rsid w:val="697642AA"/>
    <w:rsid w:val="698F2CCB"/>
    <w:rsid w:val="69AD7413"/>
    <w:rsid w:val="69AF575D"/>
    <w:rsid w:val="69F91AB6"/>
    <w:rsid w:val="6A006934"/>
    <w:rsid w:val="6A03264F"/>
    <w:rsid w:val="6A1E606B"/>
    <w:rsid w:val="6A283E9F"/>
    <w:rsid w:val="6A2C22F6"/>
    <w:rsid w:val="6A2F7233"/>
    <w:rsid w:val="6A36715B"/>
    <w:rsid w:val="6A5E6DCD"/>
    <w:rsid w:val="6A905FD3"/>
    <w:rsid w:val="6AC34CB2"/>
    <w:rsid w:val="6AC82A23"/>
    <w:rsid w:val="6ACD152C"/>
    <w:rsid w:val="6AD046E1"/>
    <w:rsid w:val="6ADF43D8"/>
    <w:rsid w:val="6AF3198B"/>
    <w:rsid w:val="6B1A4C57"/>
    <w:rsid w:val="6B1D0576"/>
    <w:rsid w:val="6B3E028B"/>
    <w:rsid w:val="6B513FE1"/>
    <w:rsid w:val="6B66127C"/>
    <w:rsid w:val="6B6850D8"/>
    <w:rsid w:val="6B6E0C0D"/>
    <w:rsid w:val="6B7919D9"/>
    <w:rsid w:val="6B8C3079"/>
    <w:rsid w:val="6BA91DBF"/>
    <w:rsid w:val="6BB36F32"/>
    <w:rsid w:val="6BDC11E4"/>
    <w:rsid w:val="6BE36BA8"/>
    <w:rsid w:val="6BEF6D40"/>
    <w:rsid w:val="6BFF4BD8"/>
    <w:rsid w:val="6C057634"/>
    <w:rsid w:val="6C0F13A6"/>
    <w:rsid w:val="6C265AE8"/>
    <w:rsid w:val="6C2B0F9C"/>
    <w:rsid w:val="6C3A08E1"/>
    <w:rsid w:val="6C4C12DB"/>
    <w:rsid w:val="6C524416"/>
    <w:rsid w:val="6C7B3B8B"/>
    <w:rsid w:val="6C8430D6"/>
    <w:rsid w:val="6CA649F4"/>
    <w:rsid w:val="6CB3059C"/>
    <w:rsid w:val="6CC77290"/>
    <w:rsid w:val="6CD63826"/>
    <w:rsid w:val="6CDE7E41"/>
    <w:rsid w:val="6CE65C13"/>
    <w:rsid w:val="6CE85BC6"/>
    <w:rsid w:val="6D2A281F"/>
    <w:rsid w:val="6D2D51BB"/>
    <w:rsid w:val="6D305F67"/>
    <w:rsid w:val="6D396DAF"/>
    <w:rsid w:val="6D5939B3"/>
    <w:rsid w:val="6D5B30AE"/>
    <w:rsid w:val="6D5C7B99"/>
    <w:rsid w:val="6D6C33D6"/>
    <w:rsid w:val="6D735228"/>
    <w:rsid w:val="6D885C09"/>
    <w:rsid w:val="6D917ECA"/>
    <w:rsid w:val="6D995286"/>
    <w:rsid w:val="6DB46C81"/>
    <w:rsid w:val="6DEA3A8C"/>
    <w:rsid w:val="6DEB4F79"/>
    <w:rsid w:val="6DF02707"/>
    <w:rsid w:val="6E0637D2"/>
    <w:rsid w:val="6E0C3974"/>
    <w:rsid w:val="6E260420"/>
    <w:rsid w:val="6E622E52"/>
    <w:rsid w:val="6E8721E4"/>
    <w:rsid w:val="6E97634C"/>
    <w:rsid w:val="6EA34C13"/>
    <w:rsid w:val="6EB25489"/>
    <w:rsid w:val="6EB356A9"/>
    <w:rsid w:val="6EB4340D"/>
    <w:rsid w:val="6EBB773A"/>
    <w:rsid w:val="6EBD3642"/>
    <w:rsid w:val="6EC56F21"/>
    <w:rsid w:val="6ECB6CCA"/>
    <w:rsid w:val="6ED72B76"/>
    <w:rsid w:val="6EE07C0D"/>
    <w:rsid w:val="6EF94716"/>
    <w:rsid w:val="6F0304A6"/>
    <w:rsid w:val="6F1719A2"/>
    <w:rsid w:val="6F256229"/>
    <w:rsid w:val="6F4B42A8"/>
    <w:rsid w:val="6F6B52D8"/>
    <w:rsid w:val="6F865934"/>
    <w:rsid w:val="6FAA0DA8"/>
    <w:rsid w:val="6FAE4DBE"/>
    <w:rsid w:val="6FB50796"/>
    <w:rsid w:val="6FB5195B"/>
    <w:rsid w:val="6FC44DB9"/>
    <w:rsid w:val="6FD118E6"/>
    <w:rsid w:val="6FD27464"/>
    <w:rsid w:val="6FD46E98"/>
    <w:rsid w:val="6FDD5E7C"/>
    <w:rsid w:val="6FEC075D"/>
    <w:rsid w:val="6FF53BBF"/>
    <w:rsid w:val="6FFA0DA5"/>
    <w:rsid w:val="700A4320"/>
    <w:rsid w:val="7025384B"/>
    <w:rsid w:val="70330DAC"/>
    <w:rsid w:val="70430BF6"/>
    <w:rsid w:val="704E773D"/>
    <w:rsid w:val="704F5693"/>
    <w:rsid w:val="706A2F0C"/>
    <w:rsid w:val="70706CCA"/>
    <w:rsid w:val="707B787A"/>
    <w:rsid w:val="708C202E"/>
    <w:rsid w:val="709964F3"/>
    <w:rsid w:val="70C20E98"/>
    <w:rsid w:val="70E03F85"/>
    <w:rsid w:val="70E83967"/>
    <w:rsid w:val="70FF6335"/>
    <w:rsid w:val="71016C98"/>
    <w:rsid w:val="711730F7"/>
    <w:rsid w:val="71220727"/>
    <w:rsid w:val="71531F7B"/>
    <w:rsid w:val="7163369F"/>
    <w:rsid w:val="71860DA4"/>
    <w:rsid w:val="71923EAB"/>
    <w:rsid w:val="71AE4A5E"/>
    <w:rsid w:val="71D22EE3"/>
    <w:rsid w:val="71D23344"/>
    <w:rsid w:val="71DB7E82"/>
    <w:rsid w:val="71DE4090"/>
    <w:rsid w:val="72010431"/>
    <w:rsid w:val="720B27C2"/>
    <w:rsid w:val="721A3788"/>
    <w:rsid w:val="72234A6D"/>
    <w:rsid w:val="72481662"/>
    <w:rsid w:val="72532A95"/>
    <w:rsid w:val="726F16B3"/>
    <w:rsid w:val="727C4A0F"/>
    <w:rsid w:val="729D3A7D"/>
    <w:rsid w:val="72A7149E"/>
    <w:rsid w:val="72BD554E"/>
    <w:rsid w:val="72CA7A30"/>
    <w:rsid w:val="72D2791B"/>
    <w:rsid w:val="72D46E5D"/>
    <w:rsid w:val="72DE7247"/>
    <w:rsid w:val="732B643C"/>
    <w:rsid w:val="7343072A"/>
    <w:rsid w:val="7358179D"/>
    <w:rsid w:val="735C57F4"/>
    <w:rsid w:val="735F41FE"/>
    <w:rsid w:val="73603795"/>
    <w:rsid w:val="736E7BA2"/>
    <w:rsid w:val="737D197A"/>
    <w:rsid w:val="73835ED6"/>
    <w:rsid w:val="738D463F"/>
    <w:rsid w:val="73CA351D"/>
    <w:rsid w:val="73CC51BB"/>
    <w:rsid w:val="73D933C0"/>
    <w:rsid w:val="741D0BE5"/>
    <w:rsid w:val="742439BC"/>
    <w:rsid w:val="74265E3C"/>
    <w:rsid w:val="743108E6"/>
    <w:rsid w:val="744D7F1D"/>
    <w:rsid w:val="744D7F8A"/>
    <w:rsid w:val="74507153"/>
    <w:rsid w:val="74537953"/>
    <w:rsid w:val="746963A1"/>
    <w:rsid w:val="74C64EF2"/>
    <w:rsid w:val="74D14CA9"/>
    <w:rsid w:val="74ED4A02"/>
    <w:rsid w:val="750233EA"/>
    <w:rsid w:val="751A0F5D"/>
    <w:rsid w:val="751C3496"/>
    <w:rsid w:val="752B0F92"/>
    <w:rsid w:val="755B3BC0"/>
    <w:rsid w:val="755D5C98"/>
    <w:rsid w:val="756F7C99"/>
    <w:rsid w:val="75707059"/>
    <w:rsid w:val="75741746"/>
    <w:rsid w:val="75890B84"/>
    <w:rsid w:val="75AA1480"/>
    <w:rsid w:val="75AD0221"/>
    <w:rsid w:val="75C31EA5"/>
    <w:rsid w:val="75DE1DCB"/>
    <w:rsid w:val="75FF2065"/>
    <w:rsid w:val="760077E8"/>
    <w:rsid w:val="76044D05"/>
    <w:rsid w:val="760C05E3"/>
    <w:rsid w:val="760C1BCE"/>
    <w:rsid w:val="760F27E1"/>
    <w:rsid w:val="76115990"/>
    <w:rsid w:val="763806EB"/>
    <w:rsid w:val="76432212"/>
    <w:rsid w:val="7694002C"/>
    <w:rsid w:val="769A2255"/>
    <w:rsid w:val="769C1FA2"/>
    <w:rsid w:val="76C8358C"/>
    <w:rsid w:val="76D97866"/>
    <w:rsid w:val="76F37AE4"/>
    <w:rsid w:val="76F61A1C"/>
    <w:rsid w:val="770554F1"/>
    <w:rsid w:val="770C2FAC"/>
    <w:rsid w:val="773563B0"/>
    <w:rsid w:val="775D01C8"/>
    <w:rsid w:val="777951F6"/>
    <w:rsid w:val="77BA0C06"/>
    <w:rsid w:val="77CD6EE6"/>
    <w:rsid w:val="77CE51B5"/>
    <w:rsid w:val="77D51EF3"/>
    <w:rsid w:val="77E660AB"/>
    <w:rsid w:val="77E83BF8"/>
    <w:rsid w:val="77EA7F9C"/>
    <w:rsid w:val="78022CAC"/>
    <w:rsid w:val="780C7BD5"/>
    <w:rsid w:val="780F324D"/>
    <w:rsid w:val="781E10C1"/>
    <w:rsid w:val="782A56EF"/>
    <w:rsid w:val="785A4515"/>
    <w:rsid w:val="785D7277"/>
    <w:rsid w:val="78733B75"/>
    <w:rsid w:val="788D0F47"/>
    <w:rsid w:val="78A27429"/>
    <w:rsid w:val="78B25F0A"/>
    <w:rsid w:val="78C277A8"/>
    <w:rsid w:val="78CA2568"/>
    <w:rsid w:val="78FF308B"/>
    <w:rsid w:val="790876E4"/>
    <w:rsid w:val="790B778E"/>
    <w:rsid w:val="79375D7F"/>
    <w:rsid w:val="79562084"/>
    <w:rsid w:val="79647DA4"/>
    <w:rsid w:val="796A27ED"/>
    <w:rsid w:val="797F382B"/>
    <w:rsid w:val="7980470F"/>
    <w:rsid w:val="798D5D3F"/>
    <w:rsid w:val="799A737A"/>
    <w:rsid w:val="799F4850"/>
    <w:rsid w:val="79A44FE1"/>
    <w:rsid w:val="79B14895"/>
    <w:rsid w:val="79B21ED6"/>
    <w:rsid w:val="79CC447D"/>
    <w:rsid w:val="79D72D21"/>
    <w:rsid w:val="79F36755"/>
    <w:rsid w:val="7A385CA1"/>
    <w:rsid w:val="7A646440"/>
    <w:rsid w:val="7A6D1B42"/>
    <w:rsid w:val="7A7867BC"/>
    <w:rsid w:val="7A7C439A"/>
    <w:rsid w:val="7A866D6F"/>
    <w:rsid w:val="7A885294"/>
    <w:rsid w:val="7A8B6E16"/>
    <w:rsid w:val="7A9A74DB"/>
    <w:rsid w:val="7AB15C2F"/>
    <w:rsid w:val="7ABD6ED6"/>
    <w:rsid w:val="7AE0076C"/>
    <w:rsid w:val="7AE24099"/>
    <w:rsid w:val="7AE6233E"/>
    <w:rsid w:val="7AF14899"/>
    <w:rsid w:val="7AFF2B0B"/>
    <w:rsid w:val="7AFF78F0"/>
    <w:rsid w:val="7B08467A"/>
    <w:rsid w:val="7B0949EF"/>
    <w:rsid w:val="7B106A17"/>
    <w:rsid w:val="7B225000"/>
    <w:rsid w:val="7B5718EB"/>
    <w:rsid w:val="7B6B55EB"/>
    <w:rsid w:val="7B7313DE"/>
    <w:rsid w:val="7B855C90"/>
    <w:rsid w:val="7B9C2A87"/>
    <w:rsid w:val="7B9D4AF2"/>
    <w:rsid w:val="7BB93B9F"/>
    <w:rsid w:val="7BBE1A55"/>
    <w:rsid w:val="7BC73784"/>
    <w:rsid w:val="7BDA36A4"/>
    <w:rsid w:val="7BDA3B02"/>
    <w:rsid w:val="7BFD4C03"/>
    <w:rsid w:val="7C2C5D2D"/>
    <w:rsid w:val="7C3F4062"/>
    <w:rsid w:val="7C3F4296"/>
    <w:rsid w:val="7C45464E"/>
    <w:rsid w:val="7C612E07"/>
    <w:rsid w:val="7C750698"/>
    <w:rsid w:val="7C8F1B9C"/>
    <w:rsid w:val="7C9A35FC"/>
    <w:rsid w:val="7CA02399"/>
    <w:rsid w:val="7CA675AF"/>
    <w:rsid w:val="7CC168D4"/>
    <w:rsid w:val="7CCB5C1A"/>
    <w:rsid w:val="7CD05606"/>
    <w:rsid w:val="7CD1303A"/>
    <w:rsid w:val="7CE12D31"/>
    <w:rsid w:val="7CEE50A0"/>
    <w:rsid w:val="7CF66FA8"/>
    <w:rsid w:val="7CFF18E2"/>
    <w:rsid w:val="7D1B382F"/>
    <w:rsid w:val="7D1C0746"/>
    <w:rsid w:val="7D2444BD"/>
    <w:rsid w:val="7D4E5972"/>
    <w:rsid w:val="7D6E3868"/>
    <w:rsid w:val="7D750F60"/>
    <w:rsid w:val="7D863AC8"/>
    <w:rsid w:val="7D8E63B7"/>
    <w:rsid w:val="7D912AAD"/>
    <w:rsid w:val="7DA72E9C"/>
    <w:rsid w:val="7DB94A9D"/>
    <w:rsid w:val="7DBF189F"/>
    <w:rsid w:val="7DD3741A"/>
    <w:rsid w:val="7DF22B84"/>
    <w:rsid w:val="7DF729C2"/>
    <w:rsid w:val="7DFD4FCB"/>
    <w:rsid w:val="7E0A6EFD"/>
    <w:rsid w:val="7E6252B7"/>
    <w:rsid w:val="7E6279DC"/>
    <w:rsid w:val="7E79119A"/>
    <w:rsid w:val="7E90424C"/>
    <w:rsid w:val="7E9766EB"/>
    <w:rsid w:val="7EAA646C"/>
    <w:rsid w:val="7EBD6085"/>
    <w:rsid w:val="7EC6132B"/>
    <w:rsid w:val="7ECA677A"/>
    <w:rsid w:val="7ED16786"/>
    <w:rsid w:val="7F010478"/>
    <w:rsid w:val="7F251E6C"/>
    <w:rsid w:val="7F254F8C"/>
    <w:rsid w:val="7F2C5764"/>
    <w:rsid w:val="7F2F526A"/>
    <w:rsid w:val="7F57461E"/>
    <w:rsid w:val="7F656708"/>
    <w:rsid w:val="7F76147D"/>
    <w:rsid w:val="7FA33610"/>
    <w:rsid w:val="7FBE1F96"/>
    <w:rsid w:val="7FCA0F7C"/>
    <w:rsid w:val="7FCD57B8"/>
    <w:rsid w:val="7FE775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6"/>
    <w:link w:val="88"/>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91"/>
    <w:qFormat/>
    <w:uiPriority w:val="0"/>
    <w:pPr>
      <w:widowControl/>
      <w:spacing w:before="120" w:after="120" w:line="360" w:lineRule="auto"/>
      <w:jc w:val="center"/>
      <w:outlineLvl w:val="3"/>
    </w:pPr>
    <w:rPr>
      <w:rFonts w:ascii="Arial" w:hAnsi="Arial" w:eastAsia="黑体"/>
      <w:sz w:val="28"/>
      <w:szCs w:val="20"/>
    </w:rPr>
  </w:style>
  <w:style w:type="paragraph" w:styleId="8">
    <w:name w:val="heading 5"/>
    <w:basedOn w:val="1"/>
    <w:next w:val="1"/>
    <w:link w:val="78"/>
    <w:qFormat/>
    <w:uiPriority w:val="0"/>
    <w:pPr>
      <w:keepNext/>
      <w:keepLines/>
      <w:numPr>
        <w:ilvl w:val="4"/>
        <w:numId w:val="1"/>
      </w:numPr>
      <w:spacing w:before="280" w:after="290" w:line="376" w:lineRule="auto"/>
      <w:outlineLvl w:val="4"/>
    </w:pPr>
    <w:rPr>
      <w:b/>
      <w:kern w:val="0"/>
      <w:sz w:val="28"/>
    </w:rPr>
  </w:style>
  <w:style w:type="paragraph" w:styleId="9">
    <w:name w:val="heading 6"/>
    <w:basedOn w:val="1"/>
    <w:next w:val="10"/>
    <w:link w:val="62"/>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11">
    <w:name w:val="heading 7"/>
    <w:basedOn w:val="1"/>
    <w:next w:val="10"/>
    <w:link w:val="70"/>
    <w:qFormat/>
    <w:uiPriority w:val="0"/>
    <w:pPr>
      <w:keepNext/>
      <w:keepLines/>
      <w:numPr>
        <w:ilvl w:val="6"/>
        <w:numId w:val="1"/>
      </w:numPr>
      <w:spacing w:before="240" w:after="64" w:line="320" w:lineRule="auto"/>
      <w:outlineLvl w:val="6"/>
    </w:pPr>
    <w:rPr>
      <w:b/>
      <w:kern w:val="0"/>
      <w:sz w:val="24"/>
    </w:rPr>
  </w:style>
  <w:style w:type="paragraph" w:styleId="12">
    <w:name w:val="heading 8"/>
    <w:basedOn w:val="1"/>
    <w:next w:val="10"/>
    <w:link w:val="89"/>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3">
    <w:name w:val="heading 9"/>
    <w:basedOn w:val="1"/>
    <w:next w:val="10"/>
    <w:link w:val="80"/>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customStyle="1" w:styleId="6">
    <w:name w:val="正文-2字符首行缩进"/>
    <w:basedOn w:val="1"/>
    <w:qFormat/>
    <w:uiPriority w:val="0"/>
    <w:pPr>
      <w:ind w:firstLine="560" w:firstLineChars="200"/>
    </w:pPr>
    <w:rPr>
      <w:rFonts w:hAnsi="等线"/>
    </w:rPr>
  </w:style>
  <w:style w:type="paragraph" w:styleId="10">
    <w:name w:val="Normal Indent"/>
    <w:basedOn w:val="1"/>
    <w:qFormat/>
    <w:uiPriority w:val="0"/>
    <w:pPr>
      <w:ind w:firstLine="420"/>
    </w:pPr>
    <w:rPr>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3"/>
    <w:semiHidden/>
    <w:qFormat/>
    <w:uiPriority w:val="0"/>
    <w:pPr>
      <w:shd w:val="clear" w:color="auto" w:fill="000080"/>
      <w:adjustRightInd w:val="0"/>
      <w:spacing w:line="312" w:lineRule="atLeast"/>
      <w:textAlignment w:val="baseline"/>
    </w:pPr>
    <w:rPr>
      <w:kern w:val="0"/>
      <w:sz w:val="20"/>
      <w:szCs w:val="20"/>
    </w:rPr>
  </w:style>
  <w:style w:type="paragraph" w:styleId="18">
    <w:name w:val="annotation text"/>
    <w:basedOn w:val="1"/>
    <w:link w:val="83"/>
    <w:unhideWhenUsed/>
    <w:qFormat/>
    <w:uiPriority w:val="0"/>
    <w:pPr>
      <w:jc w:val="left"/>
    </w:pPr>
    <w:rPr>
      <w:kern w:val="0"/>
      <w:sz w:val="20"/>
    </w:rPr>
  </w:style>
  <w:style w:type="paragraph" w:styleId="19">
    <w:name w:val="Body Text 3"/>
    <w:basedOn w:val="1"/>
    <w:link w:val="63"/>
    <w:qFormat/>
    <w:uiPriority w:val="0"/>
    <w:pPr>
      <w:spacing w:line="500" w:lineRule="exact"/>
    </w:pPr>
    <w:rPr>
      <w:b/>
      <w:bCs/>
      <w:kern w:val="0"/>
      <w:sz w:val="24"/>
    </w:rPr>
  </w:style>
  <w:style w:type="paragraph" w:styleId="20">
    <w:name w:val="Body Text"/>
    <w:basedOn w:val="1"/>
    <w:link w:val="79"/>
    <w:qFormat/>
    <w:uiPriority w:val="0"/>
    <w:pPr>
      <w:spacing w:line="380" w:lineRule="exact"/>
    </w:pPr>
    <w:rPr>
      <w:kern w:val="0"/>
      <w:sz w:val="24"/>
    </w:rPr>
  </w:style>
  <w:style w:type="paragraph" w:styleId="21">
    <w:name w:val="Body Text Indent"/>
    <w:basedOn w:val="1"/>
    <w:link w:val="84"/>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tabs>
        <w:tab w:val="left" w:pos="1200"/>
        <w:tab w:val="clear" w:pos="360"/>
      </w:tabs>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1"/>
    <w:link w:val="69"/>
    <w:qFormat/>
    <w:uiPriority w:val="0"/>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90"/>
    <w:qFormat/>
    <w:uiPriority w:val="0"/>
    <w:pPr>
      <w:ind w:left="100" w:leftChars="2500"/>
    </w:pPr>
    <w:rPr>
      <w:rFonts w:ascii="宋体" w:hAnsi="Courier New"/>
      <w:kern w:val="0"/>
      <w:sz w:val="20"/>
      <w:szCs w:val="21"/>
    </w:rPr>
  </w:style>
  <w:style w:type="paragraph" w:styleId="29">
    <w:name w:val="Body Text Indent 2"/>
    <w:basedOn w:val="1"/>
    <w:link w:val="87"/>
    <w:qFormat/>
    <w:uiPriority w:val="0"/>
    <w:pPr>
      <w:ind w:firstLine="630"/>
    </w:pPr>
    <w:rPr>
      <w:kern w:val="0"/>
      <w:sz w:val="32"/>
      <w:szCs w:val="20"/>
    </w:rPr>
  </w:style>
  <w:style w:type="paragraph" w:styleId="30">
    <w:name w:val="endnote text"/>
    <w:basedOn w:val="1"/>
    <w:link w:val="151"/>
    <w:unhideWhenUsed/>
    <w:qFormat/>
    <w:uiPriority w:val="99"/>
    <w:pPr>
      <w:snapToGrid w:val="0"/>
      <w:jc w:val="left"/>
    </w:pPr>
  </w:style>
  <w:style w:type="paragraph" w:styleId="31">
    <w:name w:val="Balloon Text"/>
    <w:basedOn w:val="1"/>
    <w:link w:val="72"/>
    <w:semiHidden/>
    <w:qFormat/>
    <w:uiPriority w:val="0"/>
    <w:rPr>
      <w:kern w:val="0"/>
      <w:sz w:val="18"/>
      <w:szCs w:val="18"/>
    </w:rPr>
  </w:style>
  <w:style w:type="paragraph" w:styleId="32">
    <w:name w:val="footer"/>
    <w:basedOn w:val="1"/>
    <w:link w:val="82"/>
    <w:unhideWhenUsed/>
    <w:qFormat/>
    <w:uiPriority w:val="99"/>
    <w:pPr>
      <w:tabs>
        <w:tab w:val="center" w:pos="4153"/>
        <w:tab w:val="right" w:pos="8306"/>
      </w:tabs>
      <w:snapToGrid w:val="0"/>
      <w:jc w:val="left"/>
    </w:pPr>
    <w:rPr>
      <w:kern w:val="0"/>
      <w:sz w:val="18"/>
      <w:szCs w:val="18"/>
    </w:rPr>
  </w:style>
  <w:style w:type="paragraph" w:styleId="33">
    <w:name w:val="header"/>
    <w:basedOn w:val="1"/>
    <w:link w:val="6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unhideWhenUsed/>
    <w:qFormat/>
    <w:uiPriority w:val="0"/>
    <w:pPr>
      <w:ind w:left="200" w:hanging="200" w:hangingChars="200"/>
      <w:contextualSpacing/>
    </w:pPr>
  </w:style>
  <w:style w:type="paragraph" w:styleId="37">
    <w:name w:val="footnote text"/>
    <w:basedOn w:val="1"/>
    <w:link w:val="152"/>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61"/>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68"/>
    <w:qFormat/>
    <w:uiPriority w:val="0"/>
    <w:pPr>
      <w:spacing w:after="120" w:line="480" w:lineRule="auto"/>
    </w:pPr>
    <w:rPr>
      <w:kern w:val="0"/>
      <w:sz w:val="20"/>
    </w:rPr>
  </w:style>
  <w:style w:type="paragraph" w:styleId="43">
    <w:name w:val="HTML Preformatted"/>
    <w:basedOn w:val="1"/>
    <w:link w:val="7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spacing w:before="100" w:beforeAutospacing="1" w:after="100" w:afterAutospacing="1"/>
      <w:jc w:val="left"/>
    </w:pPr>
    <w:rPr>
      <w:kern w:val="0"/>
      <w:sz w:val="24"/>
    </w:rPr>
  </w:style>
  <w:style w:type="paragraph" w:styleId="45">
    <w:name w:val="index 1"/>
    <w:basedOn w:val="1"/>
    <w:next w:val="1"/>
    <w:semiHidden/>
    <w:qFormat/>
    <w:uiPriority w:val="0"/>
    <w:pPr>
      <w:spacing w:line="400" w:lineRule="exact"/>
      <w:ind w:firstLine="420" w:firstLineChars="200"/>
    </w:pPr>
    <w:rPr>
      <w:rFonts w:ascii="宋体" w:hAnsi="Courier New"/>
      <w:b/>
      <w:szCs w:val="20"/>
    </w:rPr>
  </w:style>
  <w:style w:type="paragraph" w:styleId="46">
    <w:name w:val="Title"/>
    <w:basedOn w:val="1"/>
    <w:link w:val="153"/>
    <w:qFormat/>
    <w:uiPriority w:val="10"/>
    <w:pPr>
      <w:spacing w:before="240" w:after="60"/>
      <w:jc w:val="center"/>
      <w:outlineLvl w:val="0"/>
    </w:pPr>
    <w:rPr>
      <w:rFonts w:ascii="Arial" w:hAnsi="Arial" w:cs="Arial"/>
      <w:b/>
      <w:bCs/>
      <w:sz w:val="32"/>
      <w:szCs w:val="32"/>
    </w:rPr>
  </w:style>
  <w:style w:type="paragraph" w:styleId="47">
    <w:name w:val="annotation subject"/>
    <w:basedOn w:val="18"/>
    <w:next w:val="18"/>
    <w:link w:val="66"/>
    <w:qFormat/>
    <w:uiPriority w:val="99"/>
    <w:rPr>
      <w:b/>
      <w:bCs/>
    </w:rPr>
  </w:style>
  <w:style w:type="paragraph" w:styleId="48">
    <w:name w:val="Body Text First Indent"/>
    <w:basedOn w:val="20"/>
    <w:unhideWhenUsed/>
    <w:qFormat/>
    <w:uiPriority w:val="99"/>
    <w:pPr>
      <w:ind w:firstLine="420" w:firstLineChars="1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sz w:val="24"/>
      <w:szCs w:val="24"/>
    </w:rPr>
  </w:style>
  <w:style w:type="character" w:styleId="53">
    <w:name w:val="endnote reference"/>
    <w:unhideWhenUsed/>
    <w:qFormat/>
    <w:uiPriority w:val="99"/>
    <w:rPr>
      <w:vertAlign w:val="superscript"/>
    </w:rPr>
  </w:style>
  <w:style w:type="character" w:styleId="54">
    <w:name w:val="page number"/>
    <w:basedOn w:val="51"/>
    <w:qFormat/>
    <w:uiPriority w:val="0"/>
  </w:style>
  <w:style w:type="character" w:styleId="55">
    <w:name w:val="FollowedHyperlink"/>
    <w:basedOn w:val="51"/>
    <w:unhideWhenUsed/>
    <w:qFormat/>
    <w:uiPriority w:val="0"/>
    <w:rPr>
      <w:color w:val="000000"/>
      <w:u w:val="none"/>
    </w:rPr>
  </w:style>
  <w:style w:type="character" w:styleId="56">
    <w:name w:val="Emphasis"/>
    <w:qFormat/>
    <w:uiPriority w:val="20"/>
    <w:rPr>
      <w:color w:val="CC0000"/>
      <w:sz w:val="24"/>
      <w:szCs w:val="24"/>
    </w:rPr>
  </w:style>
  <w:style w:type="character" w:styleId="57">
    <w:name w:val="Hyperlink"/>
    <w:basedOn w:val="51"/>
    <w:unhideWhenUsed/>
    <w:qFormat/>
    <w:uiPriority w:val="99"/>
    <w:rPr>
      <w:color w:val="000000"/>
      <w:u w:val="none"/>
    </w:rPr>
  </w:style>
  <w:style w:type="character" w:styleId="58">
    <w:name w:val="annotation reference"/>
    <w:unhideWhenUsed/>
    <w:qFormat/>
    <w:uiPriority w:val="99"/>
    <w:rPr>
      <w:sz w:val="21"/>
      <w:szCs w:val="21"/>
    </w:rPr>
  </w:style>
  <w:style w:type="character" w:styleId="59">
    <w:name w:val="HTML Cite"/>
    <w:unhideWhenUsed/>
    <w:qFormat/>
    <w:uiPriority w:val="99"/>
    <w:rPr>
      <w:sz w:val="24"/>
      <w:szCs w:val="24"/>
    </w:rPr>
  </w:style>
  <w:style w:type="character" w:styleId="60">
    <w:name w:val="footnote reference"/>
    <w:unhideWhenUsed/>
    <w:qFormat/>
    <w:uiPriority w:val="99"/>
    <w:rPr>
      <w:vertAlign w:val="superscript"/>
    </w:rPr>
  </w:style>
  <w:style w:type="character" w:customStyle="1" w:styleId="61">
    <w:name w:val="正文文本缩进 3 字符"/>
    <w:link w:val="39"/>
    <w:qFormat/>
    <w:uiPriority w:val="0"/>
    <w:rPr>
      <w:rFonts w:ascii="Times New Roman" w:hAnsi="Times New Roman" w:eastAsia="宋体" w:cs="Times New Roman"/>
      <w:sz w:val="16"/>
      <w:szCs w:val="16"/>
    </w:rPr>
  </w:style>
  <w:style w:type="character" w:customStyle="1" w:styleId="62">
    <w:name w:val="标题 6 字符"/>
    <w:link w:val="9"/>
    <w:qFormat/>
    <w:uiPriority w:val="0"/>
    <w:rPr>
      <w:rFonts w:ascii="Arial" w:hAnsi="Arial" w:eastAsia="黑体" w:cs="Times New Roman"/>
      <w:b/>
      <w:sz w:val="24"/>
      <w:szCs w:val="24"/>
    </w:rPr>
  </w:style>
  <w:style w:type="character" w:customStyle="1" w:styleId="63">
    <w:name w:val="正文文本 3 字符"/>
    <w:link w:val="19"/>
    <w:qFormat/>
    <w:uiPriority w:val="0"/>
    <w:rPr>
      <w:rFonts w:ascii="Times New Roman" w:hAnsi="Times New Roman" w:eastAsia="宋体" w:cs="Times New Roman"/>
      <w:b/>
      <w:bCs/>
      <w:sz w:val="24"/>
      <w:szCs w:val="24"/>
    </w:rPr>
  </w:style>
  <w:style w:type="character" w:customStyle="1" w:styleId="64">
    <w:name w:val="1ji Char"/>
    <w:link w:val="65"/>
    <w:qFormat/>
    <w:uiPriority w:val="0"/>
    <w:rPr>
      <w:rFonts w:ascii="宋体" w:hAnsi="宋体" w:eastAsia="宋体" w:cs="Times New Roman"/>
      <w:b/>
      <w:bCs/>
      <w:kern w:val="44"/>
      <w:sz w:val="36"/>
      <w:szCs w:val="44"/>
    </w:rPr>
  </w:style>
  <w:style w:type="paragraph" w:customStyle="1" w:styleId="65">
    <w:name w:val="1ji"/>
    <w:basedOn w:val="3"/>
    <w:link w:val="64"/>
    <w:qFormat/>
    <w:uiPriority w:val="0"/>
    <w:pPr>
      <w:widowControl/>
      <w:spacing w:before="0" w:after="0" w:line="240" w:lineRule="auto"/>
      <w:jc w:val="center"/>
    </w:pPr>
    <w:rPr>
      <w:rFonts w:ascii="宋体" w:hAnsi="宋体"/>
      <w:sz w:val="36"/>
    </w:rPr>
  </w:style>
  <w:style w:type="character" w:customStyle="1" w:styleId="66">
    <w:name w:val="批注主题 字符"/>
    <w:link w:val="47"/>
    <w:semiHidden/>
    <w:qFormat/>
    <w:uiPriority w:val="99"/>
    <w:rPr>
      <w:rFonts w:ascii="Times New Roman" w:hAnsi="Times New Roman" w:eastAsia="宋体" w:cs="Times New Roman"/>
      <w:b/>
      <w:bCs/>
      <w:szCs w:val="24"/>
    </w:rPr>
  </w:style>
  <w:style w:type="character" w:customStyle="1" w:styleId="67">
    <w:name w:val="页眉 字符"/>
    <w:link w:val="33"/>
    <w:qFormat/>
    <w:uiPriority w:val="99"/>
    <w:rPr>
      <w:sz w:val="18"/>
      <w:szCs w:val="18"/>
    </w:rPr>
  </w:style>
  <w:style w:type="character" w:customStyle="1" w:styleId="68">
    <w:name w:val="正文文本 2 字符"/>
    <w:link w:val="42"/>
    <w:qFormat/>
    <w:uiPriority w:val="0"/>
    <w:rPr>
      <w:rFonts w:ascii="Times New Roman" w:hAnsi="Times New Roman" w:eastAsia="宋体" w:cs="Times New Roman"/>
      <w:szCs w:val="24"/>
    </w:rPr>
  </w:style>
  <w:style w:type="character" w:customStyle="1" w:styleId="69">
    <w:name w:val="纯文本 字符"/>
    <w:link w:val="26"/>
    <w:qFormat/>
    <w:uiPriority w:val="0"/>
    <w:rPr>
      <w:rFonts w:ascii="宋体" w:hAnsi="Courier New" w:eastAsia="宋体" w:cs="Courier New"/>
      <w:szCs w:val="21"/>
    </w:rPr>
  </w:style>
  <w:style w:type="character" w:customStyle="1" w:styleId="70">
    <w:name w:val="标题 7 字符"/>
    <w:link w:val="11"/>
    <w:qFormat/>
    <w:uiPriority w:val="0"/>
    <w:rPr>
      <w:rFonts w:ascii="Times New Roman" w:hAnsi="Times New Roman" w:eastAsia="宋体" w:cs="Times New Roman"/>
      <w:b/>
      <w:sz w:val="24"/>
      <w:szCs w:val="24"/>
    </w:rPr>
  </w:style>
  <w:style w:type="character" w:customStyle="1" w:styleId="71">
    <w:name w:val="HTML 预设格式 字符"/>
    <w:link w:val="43"/>
    <w:qFormat/>
    <w:uiPriority w:val="99"/>
    <w:rPr>
      <w:rFonts w:ascii="黑体" w:hAnsi="Courier New" w:eastAsia="黑体" w:cs="Courier New"/>
      <w:kern w:val="0"/>
      <w:sz w:val="20"/>
      <w:szCs w:val="20"/>
    </w:rPr>
  </w:style>
  <w:style w:type="character" w:customStyle="1" w:styleId="72">
    <w:name w:val="批注框文本 字符"/>
    <w:link w:val="31"/>
    <w:semiHidden/>
    <w:qFormat/>
    <w:uiPriority w:val="0"/>
    <w:rPr>
      <w:rFonts w:ascii="Times New Roman" w:hAnsi="Times New Roman" w:eastAsia="宋体" w:cs="Times New Roman"/>
      <w:sz w:val="18"/>
      <w:szCs w:val="18"/>
    </w:rPr>
  </w:style>
  <w:style w:type="character" w:customStyle="1" w:styleId="73">
    <w:name w:val="文档结构图 字符"/>
    <w:link w:val="17"/>
    <w:semiHidden/>
    <w:qFormat/>
    <w:uiPriority w:val="0"/>
    <w:rPr>
      <w:rFonts w:ascii="Times New Roman" w:hAnsi="Times New Roman" w:eastAsia="宋体" w:cs="Times New Roman"/>
      <w:kern w:val="0"/>
      <w:szCs w:val="20"/>
      <w:shd w:val="clear" w:color="auto" w:fill="000080"/>
    </w:rPr>
  </w:style>
  <w:style w:type="character" w:customStyle="1" w:styleId="74">
    <w:name w:val="标题 1 字符"/>
    <w:link w:val="3"/>
    <w:qFormat/>
    <w:uiPriority w:val="9"/>
    <w:rPr>
      <w:rFonts w:ascii="Times New Roman" w:hAnsi="Times New Roman" w:eastAsia="宋体" w:cs="Times New Roman"/>
      <w:b/>
      <w:bCs/>
      <w:kern w:val="44"/>
      <w:sz w:val="44"/>
      <w:szCs w:val="44"/>
    </w:rPr>
  </w:style>
  <w:style w:type="character" w:customStyle="1" w:styleId="75">
    <w:name w:val="列表段落 字符"/>
    <w:link w:val="76"/>
    <w:qFormat/>
    <w:locked/>
    <w:uiPriority w:val="34"/>
    <w:rPr>
      <w:kern w:val="2"/>
      <w:sz w:val="21"/>
      <w:szCs w:val="24"/>
    </w:rPr>
  </w:style>
  <w:style w:type="paragraph" w:customStyle="1" w:styleId="76">
    <w:name w:val="列出段落1"/>
    <w:basedOn w:val="1"/>
    <w:link w:val="75"/>
    <w:qFormat/>
    <w:uiPriority w:val="34"/>
    <w:pPr>
      <w:ind w:firstLine="420"/>
    </w:p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5 字符"/>
    <w:link w:val="8"/>
    <w:qFormat/>
    <w:uiPriority w:val="0"/>
    <w:rPr>
      <w:rFonts w:ascii="Times New Roman" w:hAnsi="Times New Roman" w:eastAsia="宋体" w:cs="Times New Roman"/>
      <w:b/>
      <w:sz w:val="28"/>
      <w:szCs w:val="24"/>
    </w:rPr>
  </w:style>
  <w:style w:type="character" w:customStyle="1" w:styleId="79">
    <w:name w:val="正文文本 字符"/>
    <w:link w:val="20"/>
    <w:qFormat/>
    <w:uiPriority w:val="0"/>
    <w:rPr>
      <w:rFonts w:ascii="Times New Roman" w:hAnsi="Times New Roman" w:eastAsia="宋体" w:cs="Times New Roman"/>
      <w:sz w:val="24"/>
      <w:szCs w:val="24"/>
    </w:rPr>
  </w:style>
  <w:style w:type="character" w:customStyle="1" w:styleId="80">
    <w:name w:val="标题 9 字符"/>
    <w:link w:val="13"/>
    <w:qFormat/>
    <w:uiPriority w:val="0"/>
    <w:rPr>
      <w:rFonts w:ascii="Arial" w:hAnsi="Arial" w:eastAsia="黑体" w:cs="Times New Roman"/>
      <w:szCs w:val="24"/>
    </w:rPr>
  </w:style>
  <w:style w:type="character" w:customStyle="1" w:styleId="81">
    <w:name w:val="普通文字 Char Char2"/>
    <w:qFormat/>
    <w:uiPriority w:val="0"/>
    <w:rPr>
      <w:rFonts w:ascii="宋体" w:hAnsi="Courier New" w:eastAsia="宋体"/>
      <w:kern w:val="2"/>
      <w:sz w:val="21"/>
      <w:lang w:val="en-US" w:eastAsia="zh-CN" w:bidi="ar-SA"/>
    </w:rPr>
  </w:style>
  <w:style w:type="character" w:customStyle="1" w:styleId="82">
    <w:name w:val="页脚 字符"/>
    <w:link w:val="32"/>
    <w:qFormat/>
    <w:uiPriority w:val="99"/>
    <w:rPr>
      <w:sz w:val="18"/>
      <w:szCs w:val="18"/>
    </w:rPr>
  </w:style>
  <w:style w:type="character" w:customStyle="1" w:styleId="83">
    <w:name w:val="批注文字 字符"/>
    <w:link w:val="18"/>
    <w:qFormat/>
    <w:uiPriority w:val="0"/>
    <w:rPr>
      <w:rFonts w:ascii="Times New Roman" w:hAnsi="Times New Roman" w:eastAsia="宋体" w:cs="Times New Roman"/>
      <w:szCs w:val="24"/>
    </w:rPr>
  </w:style>
  <w:style w:type="character" w:customStyle="1" w:styleId="84">
    <w:name w:val="正文文本缩进 字符"/>
    <w:link w:val="21"/>
    <w:qFormat/>
    <w:uiPriority w:val="0"/>
    <w:rPr>
      <w:rFonts w:ascii="仿宋_GB2312" w:hAnsi="Times New Roman" w:eastAsia="仿宋_GB2312" w:cs="Times New Roman"/>
      <w:sz w:val="32"/>
      <w:szCs w:val="20"/>
    </w:rPr>
  </w:style>
  <w:style w:type="character" w:customStyle="1" w:styleId="85">
    <w:name w:val="样式 正文（缩进） Char"/>
    <w:link w:val="86"/>
    <w:qFormat/>
    <w:uiPriority w:val="0"/>
    <w:rPr>
      <w:rFonts w:ascii="宋体" w:hAnsi="宋体"/>
      <w:szCs w:val="24"/>
    </w:rPr>
  </w:style>
  <w:style w:type="paragraph" w:customStyle="1" w:styleId="86">
    <w:name w:val="样式 正文（缩进）"/>
    <w:basedOn w:val="1"/>
    <w:link w:val="85"/>
    <w:qFormat/>
    <w:uiPriority w:val="0"/>
    <w:pPr>
      <w:ind w:firstLine="480" w:firstLineChars="200"/>
    </w:pPr>
    <w:rPr>
      <w:rFonts w:ascii="宋体" w:hAnsi="宋体"/>
      <w:kern w:val="0"/>
      <w:sz w:val="20"/>
    </w:rPr>
  </w:style>
  <w:style w:type="character" w:customStyle="1" w:styleId="87">
    <w:name w:val="正文文本缩进 2 字符"/>
    <w:link w:val="29"/>
    <w:qFormat/>
    <w:uiPriority w:val="0"/>
    <w:rPr>
      <w:rFonts w:ascii="Times New Roman" w:hAnsi="Times New Roman" w:eastAsia="宋体" w:cs="Times New Roman"/>
      <w:sz w:val="32"/>
      <w:szCs w:val="20"/>
    </w:rPr>
  </w:style>
  <w:style w:type="character" w:customStyle="1" w:styleId="88">
    <w:name w:val="标题 3 字符"/>
    <w:link w:val="5"/>
    <w:qFormat/>
    <w:uiPriority w:val="0"/>
    <w:rPr>
      <w:rFonts w:ascii="Times New Roman" w:hAnsi="Times New Roman" w:eastAsia="宋体" w:cs="Times New Roman"/>
      <w:b/>
      <w:bCs/>
      <w:sz w:val="32"/>
      <w:szCs w:val="32"/>
    </w:rPr>
  </w:style>
  <w:style w:type="character" w:customStyle="1" w:styleId="89">
    <w:name w:val="标题 8 字符"/>
    <w:link w:val="12"/>
    <w:qFormat/>
    <w:uiPriority w:val="0"/>
    <w:rPr>
      <w:rFonts w:ascii="Arial" w:hAnsi="Arial" w:eastAsia="黑体" w:cs="Times New Roman"/>
      <w:sz w:val="24"/>
      <w:szCs w:val="24"/>
    </w:rPr>
  </w:style>
  <w:style w:type="character" w:customStyle="1" w:styleId="90">
    <w:name w:val="日期 字符"/>
    <w:link w:val="28"/>
    <w:qFormat/>
    <w:uiPriority w:val="0"/>
    <w:rPr>
      <w:rFonts w:ascii="宋体" w:hAnsi="Courier New" w:eastAsia="宋体" w:cs="Courier New"/>
      <w:szCs w:val="21"/>
    </w:rPr>
  </w:style>
  <w:style w:type="character" w:customStyle="1" w:styleId="91">
    <w:name w:val="标题 4 字符"/>
    <w:link w:val="7"/>
    <w:qFormat/>
    <w:uiPriority w:val="0"/>
    <w:rPr>
      <w:rFonts w:ascii="Arial" w:hAnsi="Arial" w:eastAsia="黑体" w:cs="Times New Roman"/>
      <w:kern w:val="0"/>
      <w:sz w:val="28"/>
      <w:szCs w:val="20"/>
    </w:rPr>
  </w:style>
  <w:style w:type="paragraph" w:customStyle="1" w:styleId="92">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3">
    <w:name w:val="列出段落11"/>
    <w:basedOn w:val="1"/>
    <w:qFormat/>
    <w:uiPriority w:val="0"/>
    <w:pPr>
      <w:ind w:firstLine="420"/>
    </w:pPr>
    <w:rPr>
      <w:rFonts w:ascii="Calibri" w:hAnsi="Calibri"/>
    </w:rPr>
  </w:style>
  <w:style w:type="paragraph" w:customStyle="1" w:styleId="94">
    <w:name w:val="正文段"/>
    <w:basedOn w:val="1"/>
    <w:qFormat/>
    <w:uiPriority w:val="0"/>
    <w:pPr>
      <w:widowControl/>
      <w:snapToGrid w:val="0"/>
      <w:spacing w:afterLines="50"/>
      <w:ind w:firstLine="200" w:firstLineChars="200"/>
    </w:pPr>
    <w:rPr>
      <w:kern w:val="0"/>
      <w:sz w:val="24"/>
      <w:szCs w:val="20"/>
    </w:rPr>
  </w:style>
  <w:style w:type="paragraph" w:customStyle="1" w:styleId="95">
    <w:name w:val="内：1、"/>
    <w:basedOn w:val="96"/>
    <w:qFormat/>
    <w:uiPriority w:val="0"/>
    <w:pPr>
      <w:ind w:firstLine="562"/>
    </w:pPr>
    <w:rPr>
      <w:b/>
    </w:rPr>
  </w:style>
  <w:style w:type="paragraph" w:customStyle="1" w:styleId="96">
    <w:name w:val="内部正文"/>
    <w:basedOn w:val="1"/>
    <w:qFormat/>
    <w:uiPriority w:val="0"/>
    <w:pPr>
      <w:spacing w:line="580" w:lineRule="exact"/>
      <w:ind w:firstLine="560" w:firstLineChars="200"/>
    </w:pPr>
    <w:rPr>
      <w:rFonts w:ascii="Calibri" w:hAnsi="Arial" w:cs="Arial"/>
      <w:sz w:val="28"/>
      <w:szCs w:val="26"/>
      <w:shd w:val="clear" w:color="auto" w:fill="FFFFFF"/>
    </w:rPr>
  </w:style>
  <w:style w:type="paragraph" w:customStyle="1" w:styleId="97">
    <w:name w:val="L4目录"/>
    <w:basedOn w:val="93"/>
    <w:qFormat/>
    <w:uiPriority w:val="0"/>
    <w:pPr>
      <w:numPr>
        <w:ilvl w:val="3"/>
        <w:numId w:val="3"/>
      </w:numPr>
      <w:outlineLvl w:val="3"/>
    </w:pPr>
    <w:rPr>
      <w:b/>
      <w:sz w:val="30"/>
    </w:rPr>
  </w:style>
  <w:style w:type="paragraph" w:customStyle="1" w:styleId="98">
    <w:name w:val="L3目录"/>
    <w:basedOn w:val="93"/>
    <w:qFormat/>
    <w:uiPriority w:val="0"/>
    <w:pPr>
      <w:numPr>
        <w:ilvl w:val="2"/>
        <w:numId w:val="3"/>
      </w:numPr>
      <w:outlineLvl w:val="2"/>
    </w:pPr>
    <w:rPr>
      <w:b/>
      <w:sz w:val="32"/>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CM7"/>
    <w:basedOn w:val="99"/>
    <w:next w:val="99"/>
    <w:qFormat/>
    <w:uiPriority w:val="99"/>
    <w:pPr>
      <w:spacing w:line="468" w:lineRule="atLeast"/>
    </w:pPr>
    <w:rPr>
      <w:rFonts w:cs="Times New Roman"/>
      <w:color w:val="auto"/>
    </w:rPr>
  </w:style>
  <w:style w:type="paragraph" w:customStyle="1" w:styleId="101">
    <w:name w:val="GP标题3"/>
    <w:basedOn w:val="102"/>
    <w:next w:val="103"/>
    <w:qFormat/>
    <w:uiPriority w:val="0"/>
    <w:pPr>
      <w:numPr>
        <w:ilvl w:val="2"/>
        <w:numId w:val="4"/>
      </w:numPr>
      <w:spacing w:beforeLines="50" w:afterLines="50" w:line="240" w:lineRule="auto"/>
      <w:outlineLvl w:val="2"/>
    </w:pPr>
    <w:rPr>
      <w:rFonts w:hAnsi="华文细黑"/>
      <w:b/>
      <w:color w:val="000000"/>
      <w:sz w:val="28"/>
    </w:rPr>
  </w:style>
  <w:style w:type="paragraph" w:customStyle="1" w:styleId="102">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3">
    <w:name w:val="GP正文(首行缩进)"/>
    <w:basedOn w:val="102"/>
    <w:qFormat/>
    <w:uiPriority w:val="0"/>
    <w:pPr>
      <w:ind w:firstLine="200" w:firstLineChars="200"/>
    </w:pPr>
  </w:style>
  <w:style w:type="paragraph" w:customStyle="1" w:styleId="104">
    <w:name w:val="Table Paragraph"/>
    <w:basedOn w:val="1"/>
    <w:qFormat/>
    <w:uiPriority w:val="1"/>
    <w:rPr>
      <w:rFonts w:ascii="宋体" w:hAnsi="宋体" w:cs="宋体"/>
      <w:lang w:val="zh-CN" w:bidi="zh-CN"/>
    </w:rPr>
  </w:style>
  <w:style w:type="paragraph" w:customStyle="1" w:styleId="105">
    <w:name w:val="1"/>
    <w:basedOn w:val="1"/>
    <w:next w:val="26"/>
    <w:qFormat/>
    <w:uiPriority w:val="0"/>
    <w:rPr>
      <w:rFonts w:ascii="宋体" w:hAnsi="Courier New"/>
      <w:szCs w:val="20"/>
    </w:rPr>
  </w:style>
  <w:style w:type="paragraph" w:customStyle="1" w:styleId="10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07">
    <w:name w:val="列出段落2"/>
    <w:basedOn w:val="1"/>
    <w:qFormat/>
    <w:uiPriority w:val="34"/>
    <w:pPr>
      <w:spacing w:line="360" w:lineRule="auto"/>
      <w:ind w:firstLine="420" w:firstLineChars="200"/>
      <w:jc w:val="left"/>
    </w:pPr>
    <w:rPr>
      <w:rFonts w:eastAsia="仿宋_GB2312"/>
      <w:sz w:val="24"/>
      <w:szCs w:val="21"/>
    </w:rPr>
  </w:style>
  <w:style w:type="paragraph" w:customStyle="1" w:styleId="108">
    <w:name w:val="L6目录1"/>
    <w:basedOn w:val="109"/>
    <w:qFormat/>
    <w:uiPriority w:val="0"/>
    <w:pPr>
      <w:ind w:left="1152" w:hanging="1152"/>
      <w:outlineLvl w:val="5"/>
    </w:pPr>
  </w:style>
  <w:style w:type="paragraph" w:customStyle="1" w:styleId="109">
    <w:name w:val="L5目录"/>
    <w:basedOn w:val="1"/>
    <w:qFormat/>
    <w:uiPriority w:val="0"/>
    <w:pPr>
      <w:spacing w:line="360" w:lineRule="auto"/>
      <w:ind w:left="1008" w:hanging="1008"/>
      <w:outlineLvl w:val="4"/>
    </w:pPr>
    <w:rPr>
      <w:rFonts w:ascii="Calibri" w:hAnsi="Calibri" w:eastAsia="仿宋_GB2312"/>
      <w:b/>
      <w:kern w:val="0"/>
      <w:sz w:val="28"/>
    </w:rPr>
  </w:style>
  <w:style w:type="paragraph" w:customStyle="1" w:styleId="110">
    <w:name w:val="【正文】"/>
    <w:basedOn w:val="1"/>
    <w:qFormat/>
    <w:uiPriority w:val="0"/>
    <w:pPr>
      <w:spacing w:line="360" w:lineRule="auto"/>
    </w:pPr>
    <w:rPr>
      <w:rFonts w:cs="黑体"/>
      <w:sz w:val="24"/>
    </w:rPr>
  </w:style>
  <w:style w:type="paragraph" w:customStyle="1" w:styleId="111">
    <w:name w:val="列表段落1"/>
    <w:basedOn w:val="1"/>
    <w:qFormat/>
    <w:uiPriority w:val="0"/>
    <w:pPr>
      <w:spacing w:before="100" w:beforeAutospacing="1" w:after="100" w:afterAutospacing="1"/>
      <w:ind w:firstLine="420"/>
    </w:pPr>
  </w:style>
  <w:style w:type="paragraph" w:customStyle="1" w:styleId="11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3">
    <w:name w:val="GP标题2"/>
    <w:basedOn w:val="102"/>
    <w:next w:val="1"/>
    <w:qFormat/>
    <w:uiPriority w:val="0"/>
    <w:pPr>
      <w:numPr>
        <w:ilvl w:val="1"/>
        <w:numId w:val="4"/>
      </w:numPr>
      <w:spacing w:beforeLines="50" w:afterLines="50"/>
      <w:outlineLvl w:val="1"/>
    </w:pPr>
    <w:rPr>
      <w:rFonts w:ascii="宋体" w:hAnsi="宋体"/>
      <w:b/>
      <w:sz w:val="28"/>
      <w:szCs w:val="28"/>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_Style 25"/>
    <w:basedOn w:val="1"/>
    <w:next w:val="1"/>
    <w:qFormat/>
    <w:uiPriority w:val="0"/>
    <w:pPr>
      <w:ind w:firstLine="200" w:firstLineChars="200"/>
    </w:pPr>
    <w:rPr>
      <w:rFonts w:ascii="Calibri" w:hAnsi="Calibri"/>
      <w:szCs w:val="22"/>
    </w:rPr>
  </w:style>
  <w:style w:type="paragraph" w:customStyle="1" w:styleId="1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7">
    <w:name w:val="_Style 100"/>
    <w:basedOn w:val="1"/>
    <w:next w:val="76"/>
    <w:link w:val="122"/>
    <w:qFormat/>
    <w:uiPriority w:val="34"/>
    <w:pPr>
      <w:ind w:firstLine="420"/>
    </w:pPr>
  </w:style>
  <w:style w:type="character" w:customStyle="1" w:styleId="118">
    <w:name w:val="标题 1 Char"/>
    <w:qFormat/>
    <w:uiPriority w:val="0"/>
    <w:rPr>
      <w:rFonts w:ascii="Times New Roman" w:hAnsi="Times New Roman" w:eastAsia="宋体" w:cs="Times New Roman"/>
      <w:b/>
      <w:bCs/>
      <w:kern w:val="44"/>
      <w:sz w:val="44"/>
      <w:szCs w:val="44"/>
    </w:rPr>
  </w:style>
  <w:style w:type="character" w:customStyle="1" w:styleId="119">
    <w:name w:val="页眉 Char"/>
    <w:semiHidden/>
    <w:qFormat/>
    <w:uiPriority w:val="99"/>
    <w:rPr>
      <w:sz w:val="18"/>
      <w:szCs w:val="18"/>
    </w:rPr>
  </w:style>
  <w:style w:type="character" w:customStyle="1" w:styleId="120">
    <w:name w:val="HTML 预设格式 Char"/>
    <w:qFormat/>
    <w:uiPriority w:val="99"/>
    <w:rPr>
      <w:rFonts w:ascii="黑体" w:hAnsi="Courier New" w:eastAsia="黑体" w:cs="Courier New"/>
      <w:kern w:val="0"/>
      <w:sz w:val="20"/>
      <w:szCs w:val="20"/>
    </w:rPr>
  </w:style>
  <w:style w:type="character" w:customStyle="1" w:styleId="121">
    <w:name w:val="纯文本 Char"/>
    <w:qFormat/>
    <w:uiPriority w:val="0"/>
    <w:rPr>
      <w:rFonts w:ascii="宋体" w:hAnsi="Courier New" w:eastAsia="宋体" w:cs="Courier New"/>
      <w:szCs w:val="21"/>
    </w:rPr>
  </w:style>
  <w:style w:type="character" w:customStyle="1" w:styleId="122">
    <w:name w:val="列出段落 Char"/>
    <w:link w:val="117"/>
    <w:qFormat/>
    <w:locked/>
    <w:uiPriority w:val="34"/>
    <w:rPr>
      <w:kern w:val="2"/>
      <w:sz w:val="21"/>
      <w:szCs w:val="24"/>
    </w:rPr>
  </w:style>
  <w:style w:type="character" w:customStyle="1" w:styleId="123">
    <w:name w:val="标题 2 Char"/>
    <w:qFormat/>
    <w:uiPriority w:val="0"/>
    <w:rPr>
      <w:rFonts w:ascii="Arial" w:hAnsi="Arial" w:eastAsia="黑体" w:cs="Times New Roman"/>
      <w:b/>
      <w:bCs/>
      <w:sz w:val="32"/>
      <w:szCs w:val="32"/>
    </w:rPr>
  </w:style>
  <w:style w:type="character" w:customStyle="1" w:styleId="124">
    <w:name w:val="页脚 Char"/>
    <w:semiHidden/>
    <w:qFormat/>
    <w:uiPriority w:val="99"/>
    <w:rPr>
      <w:sz w:val="18"/>
      <w:szCs w:val="18"/>
    </w:rPr>
  </w:style>
  <w:style w:type="character" w:customStyle="1" w:styleId="125">
    <w:name w:val="文档结构图 Char"/>
    <w:semiHidden/>
    <w:qFormat/>
    <w:uiPriority w:val="0"/>
    <w:rPr>
      <w:rFonts w:ascii="Times New Roman" w:hAnsi="Times New Roman" w:eastAsia="宋体" w:cs="Times New Roman"/>
      <w:kern w:val="0"/>
      <w:szCs w:val="20"/>
      <w:shd w:val="clear" w:color="auto" w:fill="000080"/>
    </w:rPr>
  </w:style>
  <w:style w:type="character" w:customStyle="1" w:styleId="126">
    <w:name w:val="正文文本 3 Char"/>
    <w:qFormat/>
    <w:uiPriority w:val="0"/>
    <w:rPr>
      <w:rFonts w:ascii="Times New Roman" w:hAnsi="Times New Roman" w:eastAsia="宋体" w:cs="Times New Roman"/>
      <w:b/>
      <w:bCs/>
      <w:sz w:val="24"/>
      <w:szCs w:val="24"/>
    </w:rPr>
  </w:style>
  <w:style w:type="character" w:customStyle="1" w:styleId="127">
    <w:name w:val="标题 7 Char"/>
    <w:qFormat/>
    <w:uiPriority w:val="0"/>
    <w:rPr>
      <w:rFonts w:ascii="Times New Roman" w:hAnsi="Times New Roman" w:eastAsia="宋体" w:cs="Times New Roman"/>
      <w:b/>
      <w:sz w:val="24"/>
      <w:szCs w:val="24"/>
    </w:rPr>
  </w:style>
  <w:style w:type="character" w:customStyle="1" w:styleId="128">
    <w:name w:val="批注框文本 Char"/>
    <w:semiHidden/>
    <w:qFormat/>
    <w:uiPriority w:val="0"/>
    <w:rPr>
      <w:rFonts w:ascii="Times New Roman" w:hAnsi="Times New Roman" w:eastAsia="宋体" w:cs="Times New Roman"/>
      <w:sz w:val="18"/>
      <w:szCs w:val="18"/>
    </w:rPr>
  </w:style>
  <w:style w:type="character" w:customStyle="1" w:styleId="129">
    <w:name w:val="批注主题 Char"/>
    <w:semiHidden/>
    <w:qFormat/>
    <w:uiPriority w:val="0"/>
    <w:rPr>
      <w:rFonts w:ascii="Times New Roman" w:hAnsi="Times New Roman" w:eastAsia="宋体" w:cs="Times New Roman"/>
      <w:b/>
      <w:bCs/>
      <w:szCs w:val="24"/>
    </w:rPr>
  </w:style>
  <w:style w:type="character" w:customStyle="1" w:styleId="130">
    <w:name w:val="批注文字 Char"/>
    <w:qFormat/>
    <w:uiPriority w:val="0"/>
    <w:rPr>
      <w:rFonts w:ascii="Times New Roman" w:hAnsi="Times New Roman" w:eastAsia="宋体" w:cs="Times New Roman"/>
      <w:szCs w:val="24"/>
    </w:rPr>
  </w:style>
  <w:style w:type="character" w:customStyle="1" w:styleId="131">
    <w:name w:val="标题 3 Char"/>
    <w:qFormat/>
    <w:uiPriority w:val="0"/>
    <w:rPr>
      <w:rFonts w:ascii="Times New Roman" w:hAnsi="Times New Roman" w:eastAsia="宋体" w:cs="Times New Roman"/>
      <w:b/>
      <w:bCs/>
      <w:sz w:val="32"/>
      <w:szCs w:val="32"/>
    </w:rPr>
  </w:style>
  <w:style w:type="character" w:customStyle="1" w:styleId="132">
    <w:name w:val="正文文本 Char"/>
    <w:qFormat/>
    <w:uiPriority w:val="0"/>
    <w:rPr>
      <w:rFonts w:ascii="Times New Roman" w:hAnsi="Times New Roman" w:eastAsia="宋体" w:cs="Times New Roman"/>
      <w:sz w:val="24"/>
      <w:szCs w:val="24"/>
    </w:rPr>
  </w:style>
  <w:style w:type="character" w:customStyle="1" w:styleId="133">
    <w:name w:val="日期 Char"/>
    <w:qFormat/>
    <w:uiPriority w:val="0"/>
    <w:rPr>
      <w:rFonts w:ascii="宋体" w:hAnsi="Courier New" w:eastAsia="宋体" w:cs="Courier New"/>
      <w:szCs w:val="21"/>
    </w:rPr>
  </w:style>
  <w:style w:type="character" w:customStyle="1" w:styleId="134">
    <w:name w:val="标题 6 Char"/>
    <w:qFormat/>
    <w:uiPriority w:val="0"/>
    <w:rPr>
      <w:rFonts w:ascii="Arial" w:hAnsi="Arial" w:eastAsia="黑体" w:cs="Times New Roman"/>
      <w:b/>
      <w:sz w:val="24"/>
      <w:szCs w:val="24"/>
    </w:rPr>
  </w:style>
  <w:style w:type="character" w:customStyle="1" w:styleId="135">
    <w:name w:val="正文文本 2 Char"/>
    <w:qFormat/>
    <w:uiPriority w:val="0"/>
    <w:rPr>
      <w:rFonts w:ascii="Times New Roman" w:hAnsi="Times New Roman" w:eastAsia="宋体" w:cs="Times New Roman"/>
      <w:szCs w:val="24"/>
    </w:rPr>
  </w:style>
  <w:style w:type="character" w:customStyle="1" w:styleId="136">
    <w:name w:val="正文文本缩进 2 Char"/>
    <w:qFormat/>
    <w:uiPriority w:val="0"/>
    <w:rPr>
      <w:rFonts w:ascii="Times New Roman" w:hAnsi="Times New Roman" w:eastAsia="宋体" w:cs="Times New Roman"/>
      <w:sz w:val="32"/>
      <w:szCs w:val="20"/>
    </w:rPr>
  </w:style>
  <w:style w:type="character" w:customStyle="1" w:styleId="137">
    <w:name w:val="正文文本缩进 3 Char"/>
    <w:qFormat/>
    <w:uiPriority w:val="0"/>
    <w:rPr>
      <w:rFonts w:ascii="Times New Roman" w:hAnsi="Times New Roman" w:eastAsia="宋体" w:cs="Times New Roman"/>
      <w:sz w:val="16"/>
      <w:szCs w:val="16"/>
    </w:rPr>
  </w:style>
  <w:style w:type="character" w:customStyle="1" w:styleId="138">
    <w:name w:val="标题 5 Char"/>
    <w:qFormat/>
    <w:uiPriority w:val="0"/>
    <w:rPr>
      <w:rFonts w:ascii="Times New Roman" w:hAnsi="Times New Roman" w:eastAsia="宋体" w:cs="Times New Roman"/>
      <w:b/>
      <w:sz w:val="28"/>
      <w:szCs w:val="24"/>
    </w:rPr>
  </w:style>
  <w:style w:type="character" w:customStyle="1" w:styleId="139">
    <w:name w:val="标题 4 Char"/>
    <w:qFormat/>
    <w:uiPriority w:val="0"/>
    <w:rPr>
      <w:rFonts w:ascii="Arial" w:hAnsi="Arial" w:eastAsia="黑体" w:cs="Times New Roman"/>
      <w:kern w:val="0"/>
      <w:sz w:val="28"/>
      <w:szCs w:val="20"/>
    </w:rPr>
  </w:style>
  <w:style w:type="character" w:customStyle="1" w:styleId="140">
    <w:name w:val="标题 9 Char"/>
    <w:qFormat/>
    <w:uiPriority w:val="0"/>
    <w:rPr>
      <w:rFonts w:ascii="Arial" w:hAnsi="Arial" w:eastAsia="黑体" w:cs="Times New Roman"/>
      <w:szCs w:val="24"/>
    </w:rPr>
  </w:style>
  <w:style w:type="character" w:customStyle="1" w:styleId="141">
    <w:name w:val="正文文本缩进 Char"/>
    <w:qFormat/>
    <w:uiPriority w:val="0"/>
    <w:rPr>
      <w:rFonts w:ascii="仿宋_GB2312" w:hAnsi="Times New Roman" w:eastAsia="仿宋_GB2312" w:cs="Times New Roman"/>
      <w:sz w:val="32"/>
      <w:szCs w:val="20"/>
    </w:rPr>
  </w:style>
  <w:style w:type="character" w:customStyle="1" w:styleId="142">
    <w:name w:val="标题 8 Char"/>
    <w:qFormat/>
    <w:uiPriority w:val="0"/>
    <w:rPr>
      <w:rFonts w:ascii="Arial" w:hAnsi="Arial" w:eastAsia="黑体" w:cs="Times New Roman"/>
      <w:sz w:val="24"/>
      <w:szCs w:val="24"/>
    </w:rPr>
  </w:style>
  <w:style w:type="paragraph" w:customStyle="1" w:styleId="143">
    <w:name w:val="正文样式"/>
    <w:basedOn w:val="1"/>
    <w:qFormat/>
    <w:uiPriority w:val="7"/>
    <w:pPr>
      <w:spacing w:line="360" w:lineRule="auto"/>
      <w:ind w:firstLine="480" w:firstLineChars="200"/>
    </w:pPr>
    <w:rPr>
      <w:sz w:val="24"/>
    </w:rPr>
  </w:style>
  <w:style w:type="paragraph" w:customStyle="1" w:styleId="144">
    <w:name w:val="表格样式"/>
    <w:qFormat/>
    <w:uiPriority w:val="0"/>
    <w:rPr>
      <w:rFonts w:ascii="Times New Roman" w:hAnsi="Times New Roman" w:eastAsia="宋体" w:cstheme="minorBidi"/>
      <w:kern w:val="2"/>
      <w:sz w:val="21"/>
      <w:szCs w:val="24"/>
      <w:lang w:val="en-US" w:eastAsia="zh-CN" w:bidi="ar-SA"/>
    </w:rPr>
  </w:style>
  <w:style w:type="paragraph" w:customStyle="1" w:styleId="145">
    <w:name w:val="列出段落3"/>
    <w:basedOn w:val="1"/>
    <w:unhideWhenUsed/>
    <w:qFormat/>
    <w:uiPriority w:val="99"/>
    <w:pPr>
      <w:ind w:firstLine="420" w:firstLineChars="200"/>
    </w:pPr>
  </w:style>
  <w:style w:type="paragraph" w:customStyle="1" w:styleId="146">
    <w:name w:val="列表段落2"/>
    <w:basedOn w:val="1"/>
    <w:qFormat/>
    <w:uiPriority w:val="99"/>
    <w:pPr>
      <w:ind w:firstLine="420" w:firstLineChars="200"/>
    </w:pPr>
  </w:style>
  <w:style w:type="character" w:customStyle="1" w:styleId="147">
    <w:name w:val="标题 1 字符1"/>
    <w:qFormat/>
    <w:uiPriority w:val="0"/>
    <w:rPr>
      <w:rFonts w:ascii="Times New Roman" w:hAnsi="Times New Roman" w:eastAsia="宋体" w:cs="Times New Roman"/>
      <w:b/>
      <w:bCs/>
      <w:kern w:val="44"/>
      <w:sz w:val="44"/>
      <w:szCs w:val="44"/>
    </w:rPr>
  </w:style>
  <w:style w:type="character" w:customStyle="1" w:styleId="148">
    <w:name w:val="批注文字 字符1"/>
    <w:qFormat/>
    <w:uiPriority w:val="0"/>
    <w:rPr>
      <w:rFonts w:ascii="Times New Roman" w:hAnsi="Times New Roman"/>
      <w:kern w:val="2"/>
      <w:sz w:val="21"/>
      <w:szCs w:val="24"/>
    </w:rPr>
  </w:style>
  <w:style w:type="character" w:customStyle="1" w:styleId="149">
    <w:name w:val="正文文本缩进 字符1"/>
    <w:qFormat/>
    <w:uiPriority w:val="0"/>
    <w:rPr>
      <w:rFonts w:ascii="仿宋_GB2312" w:hAnsi="Times New Roman" w:eastAsia="仿宋_GB2312" w:cs="Times New Roman"/>
      <w:sz w:val="32"/>
      <w:szCs w:val="20"/>
    </w:rPr>
  </w:style>
  <w:style w:type="character" w:customStyle="1" w:styleId="150">
    <w:name w:val="纯文本 字符2"/>
    <w:qFormat/>
    <w:uiPriority w:val="0"/>
    <w:rPr>
      <w:rFonts w:ascii="宋体" w:hAnsi="Courier New" w:eastAsia="宋体" w:cs="Courier New"/>
      <w:szCs w:val="21"/>
    </w:rPr>
  </w:style>
  <w:style w:type="character" w:customStyle="1" w:styleId="151">
    <w:name w:val="尾注文本 字符"/>
    <w:basedOn w:val="51"/>
    <w:link w:val="30"/>
    <w:qFormat/>
    <w:uiPriority w:val="99"/>
    <w:rPr>
      <w:kern w:val="2"/>
      <w:sz w:val="21"/>
      <w:szCs w:val="24"/>
    </w:rPr>
  </w:style>
  <w:style w:type="character" w:customStyle="1" w:styleId="152">
    <w:name w:val="脚注文本 字符"/>
    <w:basedOn w:val="51"/>
    <w:link w:val="37"/>
    <w:qFormat/>
    <w:uiPriority w:val="99"/>
    <w:rPr>
      <w:kern w:val="2"/>
      <w:sz w:val="18"/>
      <w:szCs w:val="18"/>
    </w:rPr>
  </w:style>
  <w:style w:type="character" w:customStyle="1" w:styleId="153">
    <w:name w:val="标题 字符"/>
    <w:link w:val="46"/>
    <w:qFormat/>
    <w:uiPriority w:val="10"/>
    <w:rPr>
      <w:rFonts w:ascii="Arial" w:hAnsi="Arial" w:cs="Arial"/>
      <w:b/>
      <w:bCs/>
      <w:kern w:val="2"/>
      <w:sz w:val="32"/>
      <w:szCs w:val="32"/>
    </w:rPr>
  </w:style>
  <w:style w:type="character" w:customStyle="1" w:styleId="15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55">
    <w:name w:val="批注文字 Char1"/>
    <w:semiHidden/>
    <w:qFormat/>
    <w:locked/>
    <w:uiPriority w:val="0"/>
    <w:rPr>
      <w:rFonts w:ascii="Times New Roman" w:hAnsi="Times New Roman"/>
      <w:kern w:val="2"/>
      <w:sz w:val="21"/>
      <w:szCs w:val="24"/>
    </w:rPr>
  </w:style>
  <w:style w:type="character" w:customStyle="1" w:styleId="156">
    <w:name w:val="headline-content4"/>
    <w:qFormat/>
    <w:uiPriority w:val="0"/>
  </w:style>
  <w:style w:type="character" w:customStyle="1" w:styleId="157">
    <w:name w:val="纯文本 字符1"/>
    <w:qFormat/>
    <w:uiPriority w:val="0"/>
    <w:rPr>
      <w:rFonts w:ascii="宋体" w:hAnsi="Courier New"/>
    </w:rPr>
  </w:style>
  <w:style w:type="character" w:customStyle="1" w:styleId="158">
    <w:name w:val="textcontents"/>
    <w:qFormat/>
    <w:uiPriority w:val="0"/>
  </w:style>
  <w:style w:type="character" w:customStyle="1" w:styleId="159">
    <w:name w:val="apple-style-span"/>
    <w:qFormat/>
    <w:uiPriority w:val="0"/>
  </w:style>
  <w:style w:type="character" w:customStyle="1" w:styleId="160">
    <w:name w:val="case31"/>
    <w:qFormat/>
    <w:uiPriority w:val="0"/>
    <w:rPr>
      <w:rFonts w:hint="default"/>
      <w:sz w:val="21"/>
      <w:szCs w:val="21"/>
    </w:rPr>
  </w:style>
  <w:style w:type="paragraph" w:customStyle="1" w:styleId="161">
    <w:name w:val="正文首行缩进两字符"/>
    <w:basedOn w:val="1"/>
    <w:qFormat/>
    <w:uiPriority w:val="0"/>
    <w:pPr>
      <w:spacing w:line="360" w:lineRule="auto"/>
      <w:ind w:firstLine="200" w:firstLineChars="200"/>
    </w:pPr>
  </w:style>
  <w:style w:type="paragraph" w:customStyle="1" w:styleId="16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3">
    <w:name w:val="样式 首行缩进:  2 字符"/>
    <w:basedOn w:val="1"/>
    <w:qFormat/>
    <w:uiPriority w:val="0"/>
    <w:pPr>
      <w:spacing w:line="400" w:lineRule="exact"/>
      <w:ind w:firstLine="200" w:firstLineChars="200"/>
    </w:pPr>
    <w:rPr>
      <w:rFonts w:cs="宋体"/>
      <w:sz w:val="24"/>
    </w:rPr>
  </w:style>
  <w:style w:type="paragraph" w:customStyle="1" w:styleId="164">
    <w:name w:val="Char1"/>
    <w:basedOn w:val="1"/>
    <w:qFormat/>
    <w:uiPriority w:val="0"/>
    <w:rPr>
      <w:szCs w:val="21"/>
    </w:rPr>
  </w:style>
  <w:style w:type="paragraph" w:customStyle="1" w:styleId="165">
    <w:name w:val="List Paragraph"/>
    <w:basedOn w:val="1"/>
    <w:qFormat/>
    <w:uiPriority w:val="34"/>
    <w:pPr>
      <w:ind w:firstLine="420" w:firstLineChars="200"/>
    </w:pPr>
  </w:style>
  <w:style w:type="paragraph" w:customStyle="1" w:styleId="166">
    <w:name w:val="表格"/>
    <w:basedOn w:val="1"/>
    <w:qFormat/>
    <w:uiPriority w:val="0"/>
    <w:pPr>
      <w:spacing w:line="400" w:lineRule="exact"/>
    </w:pPr>
    <w:rPr>
      <w:sz w:val="24"/>
    </w:rPr>
  </w:style>
  <w:style w:type="paragraph" w:customStyle="1" w:styleId="16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8">
    <w:name w:val="纯文本1"/>
    <w:basedOn w:val="1"/>
    <w:qFormat/>
    <w:uiPriority w:val="0"/>
    <w:rPr>
      <w:rFonts w:ascii="宋体" w:hAnsi="Courier New" w:cs="Century"/>
      <w:szCs w:val="21"/>
    </w:rPr>
  </w:style>
  <w:style w:type="paragraph" w:customStyle="1" w:styleId="1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table" w:customStyle="1" w:styleId="17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EE30C-2DA8-403C-94A7-98DDFC7C37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5853</Words>
  <Characters>33363</Characters>
  <Lines>278</Lines>
  <Paragraphs>78</Paragraphs>
  <TotalTime>54</TotalTime>
  <ScaleCrop>false</ScaleCrop>
  <LinksUpToDate>false</LinksUpToDate>
  <CharactersWithSpaces>39138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2021-03-31T05:26:00Z</dcterms:created>
  <dc:creator>飞鸷</dc:creator>
  <cp:lastModifiedBy>Administrator</cp:lastModifiedBy>
  <cp:lastPrinted>2021-08-25T03:21:00Z</cp:lastPrinted>
  <dcterms:modified xsi:type="dcterms:W3CDTF">2021-09-13T03:42:16Z</dcterms:modified>
  <dc:title>公开招标采购文件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GSEDS_HWMT_d46a6755">
    <vt:lpwstr>f2456066_mFV0yj84Kyk3OspPmHv/qql3Ouk=_8QYrr1ZNQU9SQbpSlweHzY5UnUjEjReqcE4skJpCYbcwG2Uj45zNRcdXtYb+L5Po6PHghVfPnsgsoRXmL1ucQy91lL/NRQ==_d9869ee9</vt:lpwstr>
  </property>
  <property fmtid="{D5CDD505-2E9C-101B-9397-08002B2CF9AE}" pid="4" name="ICV">
    <vt:lpwstr>ED708E4675204D6BA452948D462DA0CB</vt:lpwstr>
  </property>
</Properties>
</file>