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9BAF6">
      <w:pPr>
        <w:spacing w:line="354" w:lineRule="auto"/>
        <w:rPr>
          <w:rFonts w:ascii="宋体" w:hAnsi="宋体" w:eastAsia="宋体" w:cs="宋体"/>
          <w:color w:val="auto"/>
          <w:highlight w:val="none"/>
        </w:rPr>
      </w:pPr>
      <w:bookmarkStart w:id="69" w:name="_GoBack"/>
    </w:p>
    <w:p w14:paraId="2A85F81D">
      <w:pPr>
        <w:pStyle w:val="35"/>
        <w:rPr>
          <w:rFonts w:hint="default" w:hAnsi="宋体" w:eastAsia="宋体"/>
          <w:b/>
          <w:bCs/>
          <w:color w:val="auto"/>
          <w:sz w:val="32"/>
          <w:szCs w:val="32"/>
          <w:highlight w:val="none"/>
          <w:lang w:val="en-US" w:eastAsia="zh-CN"/>
        </w:rPr>
      </w:pPr>
    </w:p>
    <w:p w14:paraId="30A82847">
      <w:pPr>
        <w:spacing w:line="360" w:lineRule="auto"/>
        <w:jc w:val="both"/>
        <w:rPr>
          <w:rFonts w:ascii="宋体" w:hAnsi="宋体" w:eastAsia="宋体" w:cs="宋体"/>
          <w:b/>
          <w:bCs/>
          <w:color w:val="auto"/>
          <w:sz w:val="48"/>
          <w:szCs w:val="48"/>
          <w:highlight w:val="none"/>
          <w:lang w:eastAsia="zh-CN"/>
        </w:rPr>
      </w:pPr>
      <w:bookmarkStart w:id="0" w:name="_Toc13950"/>
      <w:bookmarkStart w:id="1" w:name="_Toc5999"/>
    </w:p>
    <w:bookmarkEnd w:id="0"/>
    <w:bookmarkEnd w:id="1"/>
    <w:p w14:paraId="292B5988">
      <w:pPr>
        <w:spacing w:line="360" w:lineRule="auto"/>
        <w:jc w:val="center"/>
        <w:outlineLvl w:val="0"/>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长春中医药大学附属医院</w:t>
      </w:r>
    </w:p>
    <w:p w14:paraId="036CF328">
      <w:pPr>
        <w:spacing w:line="360" w:lineRule="auto"/>
        <w:jc w:val="center"/>
        <w:outlineLvl w:val="0"/>
        <w:rPr>
          <w:rFonts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立式冲击波治疗仪等设备采购项目</w:t>
      </w:r>
    </w:p>
    <w:p w14:paraId="0EDB1175">
      <w:pPr>
        <w:widowControl w:val="0"/>
        <w:kinsoku/>
        <w:autoSpaceDE/>
        <w:autoSpaceDN/>
        <w:adjustRightInd/>
        <w:snapToGrid/>
        <w:spacing w:line="360" w:lineRule="auto"/>
        <w:textAlignment w:val="auto"/>
        <w:rPr>
          <w:rFonts w:ascii="宋体" w:hAnsi="宋体" w:eastAsia="宋体" w:cs="宋体"/>
          <w:b/>
          <w:bCs/>
          <w:color w:val="auto"/>
          <w:sz w:val="30"/>
          <w:szCs w:val="30"/>
          <w:highlight w:val="none"/>
          <w:lang w:eastAsia="zh-CN"/>
        </w:rPr>
      </w:pPr>
    </w:p>
    <w:p w14:paraId="7B8600C8">
      <w:pPr>
        <w:widowControl w:val="0"/>
        <w:kinsoku/>
        <w:autoSpaceDE/>
        <w:autoSpaceDN/>
        <w:adjustRightInd/>
        <w:snapToGrid/>
        <w:spacing w:line="360" w:lineRule="auto"/>
        <w:textAlignment w:val="auto"/>
        <w:rPr>
          <w:rFonts w:ascii="宋体" w:hAnsi="宋体" w:eastAsia="宋体" w:cs="宋体"/>
          <w:b/>
          <w:bCs/>
          <w:color w:val="auto"/>
          <w:sz w:val="30"/>
          <w:szCs w:val="30"/>
          <w:highlight w:val="none"/>
          <w:lang w:eastAsia="zh-CN"/>
        </w:rPr>
      </w:pPr>
    </w:p>
    <w:p w14:paraId="0D8408FB">
      <w:pPr>
        <w:pStyle w:val="35"/>
        <w:rPr>
          <w:rFonts w:hAnsi="宋体"/>
          <w:color w:val="auto"/>
          <w:highlight w:val="none"/>
        </w:rPr>
      </w:pPr>
    </w:p>
    <w:p w14:paraId="72428C49">
      <w:pPr>
        <w:widowControl w:val="0"/>
        <w:kinsoku/>
        <w:autoSpaceDE/>
        <w:autoSpaceDN/>
        <w:adjustRightInd/>
        <w:snapToGrid/>
        <w:spacing w:line="360" w:lineRule="auto"/>
        <w:textAlignment w:val="auto"/>
        <w:rPr>
          <w:rFonts w:ascii="宋体" w:hAnsi="宋体" w:eastAsia="宋体" w:cs="宋体"/>
          <w:b/>
          <w:bCs/>
          <w:color w:val="auto"/>
          <w:sz w:val="30"/>
          <w:szCs w:val="30"/>
          <w:highlight w:val="none"/>
          <w:lang w:eastAsia="zh-CN"/>
        </w:rPr>
      </w:pPr>
    </w:p>
    <w:p w14:paraId="6F81392D">
      <w:pPr>
        <w:tabs>
          <w:tab w:val="left" w:pos="3558"/>
        </w:tabs>
        <w:spacing w:before="174"/>
        <w:jc w:val="center"/>
        <w:rPr>
          <w:rFonts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招 标 文 件</w:t>
      </w:r>
    </w:p>
    <w:p w14:paraId="647D9A32">
      <w:pPr>
        <w:tabs>
          <w:tab w:val="left" w:pos="5834"/>
        </w:tabs>
        <w:spacing w:before="14"/>
        <w:jc w:val="center"/>
        <w:rPr>
          <w:rFonts w:ascii="宋体" w:hAnsi="宋体" w:eastAsia="宋体" w:cs="宋体"/>
          <w:b/>
          <w:bCs/>
          <w:color w:val="auto"/>
          <w:sz w:val="32"/>
          <w:szCs w:val="32"/>
          <w:highlight w:val="none"/>
          <w:lang w:eastAsia="zh-CN"/>
        </w:rPr>
      </w:pPr>
    </w:p>
    <w:p w14:paraId="5FAADAED">
      <w:pPr>
        <w:tabs>
          <w:tab w:val="left" w:pos="5834"/>
        </w:tabs>
        <w:spacing w:before="14"/>
        <w:jc w:val="center"/>
        <w:outlineLvl w:val="0"/>
        <w:rPr>
          <w:rFonts w:ascii="宋体" w:hAnsi="宋体" w:eastAsia="宋体" w:cs="宋体"/>
          <w:b/>
          <w:bCs/>
          <w:color w:val="auto"/>
          <w:sz w:val="32"/>
          <w:szCs w:val="32"/>
          <w:highlight w:val="none"/>
          <w:lang w:eastAsia="zh-CN"/>
        </w:rPr>
      </w:pPr>
      <w:bookmarkStart w:id="2" w:name="_Toc21857"/>
      <w:bookmarkStart w:id="3" w:name="_Toc18180"/>
      <w:r>
        <w:rPr>
          <w:rFonts w:hint="eastAsia" w:ascii="宋体" w:hAnsi="宋体" w:eastAsia="宋体" w:cs="宋体"/>
          <w:b/>
          <w:bCs/>
          <w:color w:val="auto"/>
          <w:sz w:val="32"/>
          <w:szCs w:val="32"/>
          <w:highlight w:val="none"/>
          <w:lang w:eastAsia="zh-CN"/>
        </w:rPr>
        <w:t>招标编号：</w:t>
      </w:r>
      <w:bookmarkEnd w:id="2"/>
      <w:bookmarkEnd w:id="3"/>
      <w:r>
        <w:rPr>
          <w:rFonts w:hint="eastAsia" w:ascii="宋体" w:hAnsi="宋体" w:eastAsia="宋体" w:cs="宋体"/>
          <w:b/>
          <w:bCs/>
          <w:color w:val="auto"/>
          <w:sz w:val="32"/>
          <w:szCs w:val="32"/>
          <w:highlight w:val="none"/>
          <w:lang w:eastAsia="zh-CN"/>
        </w:rPr>
        <w:t xml:space="preserve">CEITCL-JL-ZCHW-250707  </w:t>
      </w:r>
    </w:p>
    <w:p w14:paraId="6BAFCBCD">
      <w:pPr>
        <w:pStyle w:val="8"/>
        <w:rPr>
          <w:rFonts w:ascii="宋体" w:hAnsi="宋体" w:eastAsia="宋体" w:cs="宋体"/>
          <w:color w:val="auto"/>
          <w:sz w:val="44"/>
          <w:highlight w:val="none"/>
          <w:lang w:eastAsia="zh-CN"/>
        </w:rPr>
      </w:pPr>
    </w:p>
    <w:p w14:paraId="5D112BB5">
      <w:pPr>
        <w:pStyle w:val="8"/>
        <w:rPr>
          <w:rFonts w:ascii="宋体" w:hAnsi="宋体" w:eastAsia="宋体" w:cs="宋体"/>
          <w:color w:val="auto"/>
          <w:sz w:val="44"/>
          <w:highlight w:val="none"/>
          <w:lang w:eastAsia="zh-CN"/>
        </w:rPr>
      </w:pPr>
    </w:p>
    <w:p w14:paraId="239A5C2B">
      <w:pPr>
        <w:rPr>
          <w:rFonts w:ascii="宋体" w:hAnsi="宋体" w:eastAsia="宋体" w:cs="宋体"/>
          <w:color w:val="auto"/>
          <w:sz w:val="44"/>
          <w:highlight w:val="none"/>
          <w:lang w:eastAsia="zh-CN"/>
        </w:rPr>
      </w:pPr>
    </w:p>
    <w:p w14:paraId="1CC70216">
      <w:pPr>
        <w:rPr>
          <w:rFonts w:ascii="宋体" w:hAnsi="宋体" w:eastAsia="宋体" w:cs="宋体"/>
          <w:color w:val="auto"/>
          <w:highlight w:val="none"/>
          <w:lang w:eastAsia="zh-CN"/>
        </w:rPr>
      </w:pPr>
    </w:p>
    <w:p w14:paraId="2D3D7CAD">
      <w:pPr>
        <w:rPr>
          <w:rFonts w:ascii="宋体" w:hAnsi="宋体" w:eastAsia="宋体" w:cs="宋体"/>
          <w:color w:val="auto"/>
          <w:highlight w:val="none"/>
          <w:lang w:eastAsia="zh-CN"/>
        </w:rPr>
      </w:pPr>
    </w:p>
    <w:p w14:paraId="3E3EAF2A">
      <w:pPr>
        <w:pStyle w:val="14"/>
        <w:rPr>
          <w:rFonts w:hint="default" w:hAnsi="宋体" w:cs="宋体"/>
          <w:color w:val="auto"/>
          <w:highlight w:val="none"/>
        </w:rPr>
      </w:pPr>
    </w:p>
    <w:p w14:paraId="393589D8">
      <w:pPr>
        <w:widowControl w:val="0"/>
        <w:tabs>
          <w:tab w:val="left" w:pos="2593"/>
        </w:tabs>
        <w:kinsoku/>
        <w:autoSpaceDE/>
        <w:autoSpaceDN/>
        <w:adjustRightInd/>
        <w:snapToGrid/>
        <w:spacing w:line="360" w:lineRule="auto"/>
        <w:ind w:left="1050" w:leftChars="500" w:firstLine="643" w:firstLineChars="200"/>
        <w:textAlignment w:val="auto"/>
        <w:rPr>
          <w:rFonts w:ascii="宋体" w:hAnsi="宋体" w:eastAsia="宋体" w:cs="宋体"/>
          <w:b/>
          <w:bCs/>
          <w:color w:val="auto"/>
          <w:sz w:val="32"/>
          <w:szCs w:val="32"/>
          <w:highlight w:val="none"/>
          <w:lang w:eastAsia="zh-CN"/>
        </w:rPr>
      </w:pPr>
      <w:bookmarkStart w:id="4" w:name="_Toc27845"/>
      <w:bookmarkStart w:id="5" w:name="_Toc25875"/>
      <w:r>
        <w:rPr>
          <w:rFonts w:hint="eastAsia" w:ascii="宋体" w:hAnsi="宋体" w:eastAsia="宋体" w:cs="宋体"/>
          <w:b/>
          <w:bCs/>
          <w:color w:val="auto"/>
          <w:sz w:val="32"/>
          <w:szCs w:val="32"/>
          <w:highlight w:val="none"/>
          <w:lang w:eastAsia="zh-CN"/>
        </w:rPr>
        <w:t>采购人：</w:t>
      </w:r>
      <w:bookmarkEnd w:id="4"/>
      <w:bookmarkEnd w:id="5"/>
      <w:r>
        <w:rPr>
          <w:rFonts w:hint="eastAsia" w:ascii="宋体" w:hAnsi="宋体" w:eastAsia="宋体" w:cs="宋体"/>
          <w:b/>
          <w:bCs/>
          <w:color w:val="auto"/>
          <w:sz w:val="32"/>
          <w:szCs w:val="32"/>
          <w:highlight w:val="none"/>
          <w:lang w:eastAsia="zh-CN"/>
        </w:rPr>
        <w:t>长春中医药大学附属医院</w:t>
      </w:r>
    </w:p>
    <w:p w14:paraId="5CB80B43">
      <w:pPr>
        <w:widowControl w:val="0"/>
        <w:tabs>
          <w:tab w:val="left" w:pos="2593"/>
        </w:tabs>
        <w:kinsoku/>
        <w:autoSpaceDE/>
        <w:autoSpaceDN/>
        <w:adjustRightInd/>
        <w:snapToGrid/>
        <w:spacing w:line="360" w:lineRule="auto"/>
        <w:ind w:left="1050" w:leftChars="500" w:firstLine="643" w:firstLineChars="200"/>
        <w:textAlignment w:val="auto"/>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采购代理机构：中经国际招标集团有限公司</w:t>
      </w:r>
    </w:p>
    <w:p w14:paraId="4266E78E">
      <w:pPr>
        <w:widowControl w:val="0"/>
        <w:tabs>
          <w:tab w:val="left" w:pos="2593"/>
        </w:tabs>
        <w:kinsoku/>
        <w:autoSpaceDE/>
        <w:autoSpaceDN/>
        <w:adjustRightInd/>
        <w:snapToGrid/>
        <w:spacing w:line="360" w:lineRule="auto"/>
        <w:ind w:left="1050" w:leftChars="500" w:firstLine="643" w:firstLineChars="200"/>
        <w:textAlignment w:val="auto"/>
        <w:outlineLvl w:val="0"/>
        <w:rPr>
          <w:rFonts w:ascii="宋体" w:hAnsi="宋体" w:eastAsia="宋体" w:cs="宋体"/>
          <w:b/>
          <w:bCs/>
          <w:color w:val="auto"/>
          <w:sz w:val="32"/>
          <w:szCs w:val="32"/>
          <w:highlight w:val="none"/>
          <w:lang w:eastAsia="zh-CN"/>
        </w:rPr>
      </w:pPr>
      <w:bookmarkStart w:id="6" w:name="_Toc1974"/>
      <w:bookmarkStart w:id="7" w:name="_Toc27345"/>
      <w:r>
        <w:rPr>
          <w:rFonts w:hint="eastAsia" w:ascii="宋体" w:hAnsi="宋体" w:eastAsia="宋体" w:cs="宋体"/>
          <w:b/>
          <w:bCs/>
          <w:color w:val="auto"/>
          <w:sz w:val="32"/>
          <w:szCs w:val="32"/>
          <w:highlight w:val="none"/>
          <w:lang w:eastAsia="zh-CN"/>
        </w:rPr>
        <w:t>日  期：2025年0</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lang w:eastAsia="zh-CN"/>
        </w:rPr>
        <w:t>月</w:t>
      </w:r>
      <w:bookmarkEnd w:id="6"/>
      <w:bookmarkEnd w:id="7"/>
    </w:p>
    <w:p w14:paraId="3825C3D0">
      <w:pPr>
        <w:widowControl w:val="0"/>
        <w:kinsoku/>
        <w:autoSpaceDE/>
        <w:autoSpaceDN/>
        <w:adjustRightInd/>
        <w:snapToGrid/>
        <w:spacing w:line="360" w:lineRule="auto"/>
        <w:ind w:firstLine="904" w:firstLineChars="300"/>
        <w:jc w:val="center"/>
        <w:textAlignment w:val="auto"/>
        <w:outlineLvl w:val="0"/>
        <w:rPr>
          <w:rFonts w:ascii="宋体" w:hAnsi="宋体" w:eastAsia="宋体" w:cs="宋体"/>
          <w:b/>
          <w:bCs/>
          <w:color w:val="auto"/>
          <w:sz w:val="30"/>
          <w:szCs w:val="30"/>
          <w:highlight w:val="none"/>
        </w:rPr>
      </w:pPr>
    </w:p>
    <w:p w14:paraId="2BBC6D56">
      <w:pP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567F672F">
      <w:pPr>
        <w:rPr>
          <w:rFonts w:ascii="宋体" w:hAnsi="宋体" w:eastAsia="宋体" w:cs="宋体"/>
          <w:color w:val="auto"/>
          <w:highlight w:val="none"/>
        </w:rPr>
        <w:sectPr>
          <w:footerReference r:id="rId3" w:type="default"/>
          <w:pgSz w:w="11906" w:h="16839"/>
          <w:pgMar w:top="1440" w:right="1310" w:bottom="1440" w:left="1310" w:header="0" w:footer="886" w:gutter="0"/>
          <w:cols w:space="720" w:num="1"/>
        </w:sectPr>
      </w:pPr>
    </w:p>
    <w:sdt>
      <w:sdtPr>
        <w:rPr>
          <w:rFonts w:hint="eastAsia" w:ascii="宋体" w:hAnsi="宋体" w:eastAsia="宋体" w:cs="宋体"/>
          <w:b/>
          <w:bCs/>
          <w:color w:val="auto"/>
          <w:sz w:val="28"/>
          <w:szCs w:val="28"/>
          <w:highlight w:val="none"/>
        </w:rPr>
        <w:id w:val="147481105"/>
        <w15:color w:val="DBDBDB"/>
        <w:docPartObj>
          <w:docPartGallery w:val="Table of Contents"/>
          <w:docPartUnique/>
        </w:docPartObj>
      </w:sdtPr>
      <w:sdtEndPr>
        <w:rPr>
          <w:rFonts w:hint="eastAsia" w:ascii="宋体" w:hAnsi="宋体" w:eastAsia="宋体" w:cs="宋体"/>
          <w:b/>
          <w:bCs/>
          <w:color w:val="auto"/>
          <w:sz w:val="28"/>
          <w:szCs w:val="28"/>
          <w:highlight w:val="none"/>
        </w:rPr>
      </w:sdtEndPr>
      <w:sdtContent>
        <w:p w14:paraId="32BC1CD8">
          <w:pPr>
            <w:spacing w:line="360" w:lineRule="auto"/>
            <w:jc w:val="center"/>
            <w:rPr>
              <w:rFonts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w:t>
          </w:r>
          <w:r>
            <w:rPr>
              <w:rFonts w:hint="eastAsia" w:ascii="宋体" w:hAnsi="宋体" w:eastAsia="宋体" w:cs="宋体"/>
              <w:b/>
              <w:bCs/>
              <w:color w:val="auto"/>
              <w:sz w:val="40"/>
              <w:szCs w:val="40"/>
              <w:highlight w:val="none"/>
              <w:lang w:eastAsia="zh-CN"/>
            </w:rPr>
            <w:t xml:space="preserve">   </w:t>
          </w:r>
          <w:r>
            <w:rPr>
              <w:rFonts w:hint="eastAsia" w:ascii="宋体" w:hAnsi="宋体" w:eastAsia="宋体" w:cs="宋体"/>
              <w:b/>
              <w:bCs/>
              <w:color w:val="auto"/>
              <w:sz w:val="40"/>
              <w:szCs w:val="40"/>
              <w:highlight w:val="none"/>
            </w:rPr>
            <w:t>录</w:t>
          </w:r>
        </w:p>
        <w:p w14:paraId="172D776C">
          <w:pPr>
            <w:pStyle w:val="20"/>
            <w:tabs>
              <w:tab w:val="right" w:leader="dot" w:pos="9286"/>
            </w:tabs>
            <w:rPr>
              <w:rFonts w:ascii="宋体" w:hAnsi="宋体" w:eastAsia="宋体" w:cs="宋体"/>
              <w:color w:val="auto"/>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p>
        <w:p w14:paraId="35994459">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"_Toc27731" </w:instrText>
          </w:r>
          <w:r>
            <w:rPr>
              <w:color w:val="auto"/>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9FE23E9">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"_Toc23171" </w:instrText>
          </w:r>
          <w:r>
            <w:rPr>
              <w:color w:val="auto"/>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7722B0F6">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"_Toc1701" </w:instrText>
          </w:r>
          <w:r>
            <w:rPr>
              <w:color w:val="auto"/>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10EE7C2">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"_Toc12764" </w:instrText>
          </w:r>
          <w:r>
            <w:rPr>
              <w:color w:val="auto"/>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20F108C">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"_Toc9810" </w:instrText>
          </w:r>
          <w:r>
            <w:rPr>
              <w:color w:val="auto"/>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F8A67B5">
          <w:pPr>
            <w:pStyle w:val="20"/>
            <w:tabs>
              <w:tab w:val="right" w:leader="dot" w:pos="9286"/>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"_Toc6096" </w:instrText>
          </w:r>
          <w:r>
            <w:rPr>
              <w:color w:val="auto"/>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111D675">
          <w:pPr>
            <w:pStyle w:val="20"/>
            <w:tabs>
              <w:tab w:val="right" w:leader="dot" w:pos="9286"/>
            </w:tabs>
            <w:rPr>
              <w:rFonts w:ascii="宋体" w:hAnsi="宋体" w:eastAsia="宋体" w:cs="宋体"/>
              <w:color w:val="auto"/>
              <w:highlight w:val="none"/>
            </w:rPr>
          </w:pPr>
        </w:p>
        <w:p w14:paraId="7DCE70DB">
          <w:pPr>
            <w:spacing w:line="360" w:lineRule="auto"/>
            <w:rPr>
              <w:rFonts w:ascii="宋体" w:hAnsi="宋体" w:eastAsia="宋体" w:cs="宋体"/>
              <w:color w:val="auto"/>
              <w:highlight w:val="none"/>
            </w:rPr>
          </w:pPr>
          <w:r>
            <w:rPr>
              <w:rFonts w:hint="eastAsia" w:ascii="宋体" w:hAnsi="宋体" w:eastAsia="宋体" w:cs="宋体"/>
              <w:bCs/>
              <w:color w:val="auto"/>
              <w:szCs w:val="28"/>
              <w:highlight w:val="none"/>
            </w:rPr>
            <w:fldChar w:fldCharType="end"/>
          </w:r>
        </w:p>
      </w:sdtContent>
    </w:sdt>
    <w:p w14:paraId="23C84009">
      <w:pPr>
        <w:rPr>
          <w:rFonts w:ascii="宋体" w:hAnsi="宋体" w:eastAsia="宋体" w:cs="宋体"/>
          <w:color w:val="auto"/>
          <w:spacing w:val="8"/>
          <w:sz w:val="35"/>
          <w:szCs w:val="35"/>
          <w:highlight w:val="none"/>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highlight w:val="none"/>
          <w14:textOutline w14:w="6540" w14:cap="sq" w14:cmpd="sng" w14:algn="ctr">
            <w14:solidFill>
              <w14:srgbClr w14:val="000000"/>
            </w14:solidFill>
            <w14:prstDash w14:val="solid"/>
            <w14:bevel/>
          </w14:textOutline>
        </w:rPr>
        <w:br w:type="page"/>
      </w:r>
    </w:p>
    <w:p w14:paraId="6477EB52">
      <w:pPr>
        <w:pStyle w:val="2"/>
        <w:spacing w:after="0" w:line="360" w:lineRule="auto"/>
        <w:jc w:val="center"/>
        <w:rPr>
          <w:rFonts w:ascii="宋体" w:hAnsi="宋体" w:cs="宋体"/>
          <w:color w:val="auto"/>
          <w:sz w:val="32"/>
          <w:szCs w:val="32"/>
          <w:highlight w:val="none"/>
          <w:lang w:eastAsia="zh-CN"/>
        </w:rPr>
      </w:pPr>
      <w:bookmarkStart w:id="8" w:name="_Toc4225"/>
      <w:bookmarkStart w:id="9" w:name="_Toc27731"/>
      <w:r>
        <w:rPr>
          <w:rFonts w:hint="eastAsia" w:ascii="宋体" w:hAnsi="宋体" w:cs="宋体"/>
          <w:color w:val="auto"/>
          <w:sz w:val="32"/>
          <w:szCs w:val="32"/>
          <w:highlight w:val="none"/>
        </w:rPr>
        <w:t xml:space="preserve">第一章   </w:t>
      </w:r>
      <w:bookmarkEnd w:id="8"/>
      <w:bookmarkEnd w:id="9"/>
      <w:r>
        <w:rPr>
          <w:rFonts w:hint="eastAsia" w:ascii="宋体" w:hAnsi="宋体" w:cs="宋体"/>
          <w:color w:val="auto"/>
          <w:sz w:val="32"/>
          <w:szCs w:val="32"/>
          <w:highlight w:val="none"/>
          <w:lang w:eastAsia="zh-CN"/>
        </w:rPr>
        <w:t>招标公告</w:t>
      </w:r>
    </w:p>
    <w:tbl>
      <w:tblPr>
        <w:tblStyle w:val="33"/>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5B70582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tcPr>
          <w:p w14:paraId="277A66A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779CAA4">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szCs w:val="24"/>
                <w:highlight w:val="none"/>
                <w:lang w:eastAsia="zh-CN"/>
              </w:rPr>
              <w:t>长春中医药大学附属医院立式冲击波治疗仪等设备采购项目</w:t>
            </w:r>
            <w:r>
              <w:rPr>
                <w:rFonts w:hint="eastAsia" w:ascii="宋体" w:hAnsi="宋体" w:eastAsia="宋体" w:cs="宋体"/>
                <w:color w:val="auto"/>
                <w:sz w:val="24"/>
                <w:szCs w:val="24"/>
                <w:highlight w:val="none"/>
              </w:rPr>
              <w:t>的潜在投标人应在政采云平台（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）获取招标文件，并于202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分（北京时间）前递交投标文件。</w:t>
            </w:r>
          </w:p>
        </w:tc>
      </w:tr>
    </w:tbl>
    <w:p w14:paraId="3C941B6E">
      <w:pPr>
        <w:spacing w:before="120" w:beforeLines="50" w:after="120" w:afterLines="50"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一、项目基本情况</w:t>
      </w:r>
    </w:p>
    <w:p w14:paraId="642392C2">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1.项目编号：CEITCL-JL-ZCHW-250707</w:t>
      </w:r>
    </w:p>
    <w:p w14:paraId="6D2A404D">
      <w:pPr>
        <w:spacing w:line="360" w:lineRule="auto"/>
        <w:ind w:firstLine="240" w:firstLineChars="100"/>
        <w:rPr>
          <w:rFonts w:ascii="宋体" w:hAnsi="宋体" w:eastAsia="宋体" w:cs="宋体"/>
          <w:color w:val="auto"/>
          <w:sz w:val="24"/>
          <w:szCs w:val="24"/>
          <w:highlight w:val="none"/>
          <w:shd w:val="clear" w:color="FFFFFF" w:fill="D9D9D9"/>
          <w:lang w:eastAsia="zh-CN"/>
        </w:rPr>
      </w:pPr>
      <w:r>
        <w:rPr>
          <w:rFonts w:hint="eastAsia" w:ascii="宋体" w:hAnsi="宋体" w:eastAsia="宋体" w:cs="宋体"/>
          <w:color w:val="auto"/>
          <w:sz w:val="24"/>
          <w:szCs w:val="24"/>
          <w:highlight w:val="none"/>
          <w:lang w:eastAsia="zh-CN"/>
        </w:rPr>
        <w:t>2.采购计划编号：采购计划-[2025]-10260号</w:t>
      </w:r>
    </w:p>
    <w:p w14:paraId="3D0BA977">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3.项目名称：长春中医药大学附属医院立式冲击波治疗仪等设备采购项目</w:t>
      </w:r>
    </w:p>
    <w:p w14:paraId="7EA8897D">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4.预算金额：</w:t>
      </w:r>
      <w:r>
        <w:rPr>
          <w:rFonts w:hint="eastAsia" w:ascii="宋体" w:hAnsi="宋体" w:eastAsia="宋体" w:cs="宋体"/>
          <w:color w:val="auto"/>
          <w:sz w:val="24"/>
          <w:szCs w:val="24"/>
          <w:highlight w:val="none"/>
          <w:lang w:val="en-US" w:eastAsia="zh-CN"/>
        </w:rPr>
        <w:t>430.67</w:t>
      </w:r>
      <w:r>
        <w:rPr>
          <w:rFonts w:hint="eastAsia" w:ascii="宋体" w:hAnsi="宋体" w:eastAsia="宋体" w:cs="宋体"/>
          <w:color w:val="auto"/>
          <w:sz w:val="24"/>
          <w:szCs w:val="24"/>
          <w:highlight w:val="none"/>
          <w:lang w:eastAsia="zh-CN"/>
        </w:rPr>
        <w:t>万元</w:t>
      </w:r>
    </w:p>
    <w:p w14:paraId="2BBB4105">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5.采购内容：立式冲击波治疗仪等设备采购（详见采购需求）；</w:t>
      </w:r>
    </w:p>
    <w:p w14:paraId="348E4E05">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6.标段划分：本项目共计</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个标段；</w:t>
      </w:r>
    </w:p>
    <w:p w14:paraId="49BA1E01">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7.合同履行期限（交货期）：合同签订之日后60日内供货；</w:t>
      </w:r>
    </w:p>
    <w:p w14:paraId="041DE741">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8.交货地点：长春中医药大学附属医院本部；</w:t>
      </w:r>
    </w:p>
    <w:p w14:paraId="0A3D68C1">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9.交货方式：由中标人负责将货物安全完好运抵交货地点并保证验收合格；</w:t>
      </w:r>
    </w:p>
    <w:p w14:paraId="70E87A2B">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10.质量标准：符合国家及行业合格标准及采购人验收标准；</w:t>
      </w:r>
    </w:p>
    <w:p w14:paraId="170FE4B8">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11.分包详细信息：</w:t>
      </w:r>
    </w:p>
    <w:tbl>
      <w:tblPr>
        <w:tblStyle w:val="26"/>
        <w:tblW w:w="53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76"/>
        <w:gridCol w:w="4027"/>
        <w:gridCol w:w="561"/>
        <w:gridCol w:w="1139"/>
        <w:gridCol w:w="964"/>
        <w:gridCol w:w="1367"/>
      </w:tblGrid>
      <w:tr w14:paraId="16A7C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3558D08A">
            <w:pPr>
              <w:jc w:val="center"/>
              <w:textAlignment w:val="auto"/>
              <w:rPr>
                <w:rStyle w:val="38"/>
                <w:rFonts w:ascii="宋体" w:hAnsi="宋体" w:eastAsia="宋体" w:cs="宋体"/>
                <w:color w:val="auto"/>
                <w:highlight w:val="none"/>
              </w:rPr>
            </w:pPr>
            <w:r>
              <w:rPr>
                <w:rStyle w:val="38"/>
                <w:rFonts w:hint="eastAsia" w:ascii="宋体" w:hAnsi="宋体" w:eastAsia="宋体" w:cs="宋体"/>
                <w:color w:val="auto"/>
                <w:highlight w:val="none"/>
              </w:rPr>
              <w:t>标段编号</w:t>
            </w:r>
          </w:p>
        </w:tc>
        <w:tc>
          <w:tcPr>
            <w:tcW w:w="2026" w:type="pct"/>
            <w:tcBorders>
              <w:top w:val="single" w:color="auto" w:sz="4" w:space="0"/>
              <w:left w:val="single" w:color="auto" w:sz="4" w:space="0"/>
              <w:bottom w:val="single" w:color="auto" w:sz="4" w:space="0"/>
              <w:right w:val="single" w:color="auto" w:sz="4" w:space="0"/>
            </w:tcBorders>
            <w:vAlign w:val="center"/>
          </w:tcPr>
          <w:p w14:paraId="6A8766D5">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rPr>
              <w:t>标段</w:t>
            </w:r>
            <w:r>
              <w:rPr>
                <w:rStyle w:val="38"/>
                <w:rFonts w:hint="eastAsia" w:ascii="宋体" w:hAnsi="宋体" w:eastAsia="宋体" w:cs="宋体"/>
                <w:color w:val="auto"/>
                <w:highlight w:val="none"/>
                <w:lang w:val="en-US" w:eastAsia="zh-CN"/>
              </w:rPr>
              <w:t>名称</w:t>
            </w:r>
          </w:p>
        </w:tc>
        <w:tc>
          <w:tcPr>
            <w:tcW w:w="282" w:type="pct"/>
            <w:tcBorders>
              <w:top w:val="single" w:color="auto" w:sz="4" w:space="0"/>
              <w:left w:val="single" w:color="auto" w:sz="4" w:space="0"/>
              <w:bottom w:val="single" w:color="auto" w:sz="4" w:space="0"/>
              <w:right w:val="single" w:color="auto" w:sz="4" w:space="0"/>
            </w:tcBorders>
            <w:vAlign w:val="center"/>
          </w:tcPr>
          <w:p w14:paraId="44119E07">
            <w:pPr>
              <w:jc w:val="center"/>
              <w:textAlignment w:val="auto"/>
              <w:rPr>
                <w:rStyle w:val="38"/>
                <w:rFonts w:ascii="宋体" w:hAnsi="宋体" w:eastAsia="宋体" w:cs="宋体"/>
                <w:color w:val="auto"/>
                <w:highlight w:val="none"/>
              </w:rPr>
            </w:pPr>
            <w:r>
              <w:rPr>
                <w:rStyle w:val="38"/>
                <w:rFonts w:hint="eastAsia" w:ascii="宋体" w:hAnsi="宋体" w:eastAsia="宋体" w:cs="宋体"/>
                <w:color w:val="auto"/>
                <w:highlight w:val="none"/>
              </w:rPr>
              <w:t>数量</w:t>
            </w:r>
          </w:p>
        </w:tc>
        <w:tc>
          <w:tcPr>
            <w:tcW w:w="573" w:type="pct"/>
            <w:tcBorders>
              <w:top w:val="single" w:color="auto" w:sz="4" w:space="0"/>
              <w:left w:val="single" w:color="auto" w:sz="4" w:space="0"/>
              <w:bottom w:val="single" w:color="auto" w:sz="4" w:space="0"/>
              <w:right w:val="single" w:color="auto" w:sz="4" w:space="0"/>
            </w:tcBorders>
            <w:vAlign w:val="center"/>
          </w:tcPr>
          <w:p w14:paraId="2613E26B">
            <w:pPr>
              <w:jc w:val="center"/>
              <w:textAlignment w:val="auto"/>
              <w:rPr>
                <w:rStyle w:val="38"/>
                <w:rFonts w:ascii="宋体" w:hAnsi="宋体" w:eastAsia="宋体" w:cs="宋体"/>
                <w:color w:val="auto"/>
                <w:highlight w:val="none"/>
              </w:rPr>
            </w:pPr>
            <w:r>
              <w:rPr>
                <w:rStyle w:val="38"/>
                <w:rFonts w:hint="eastAsia" w:ascii="宋体" w:hAnsi="宋体" w:eastAsia="宋体" w:cs="宋体"/>
                <w:color w:val="auto"/>
                <w:highlight w:val="none"/>
              </w:rPr>
              <w:t>标段预算</w:t>
            </w:r>
          </w:p>
          <w:p w14:paraId="7AFAB65C">
            <w:pPr>
              <w:jc w:val="center"/>
              <w:textAlignment w:val="auto"/>
              <w:rPr>
                <w:rStyle w:val="38"/>
                <w:rFonts w:ascii="宋体" w:hAnsi="宋体" w:eastAsia="宋体" w:cs="宋体"/>
                <w:color w:val="auto"/>
                <w:highlight w:val="none"/>
                <w:lang w:eastAsia="zh-CN"/>
              </w:rPr>
            </w:pPr>
            <w:r>
              <w:rPr>
                <w:rStyle w:val="38"/>
                <w:rFonts w:hint="eastAsia" w:ascii="宋体" w:hAnsi="宋体" w:eastAsia="宋体" w:cs="宋体"/>
                <w:color w:val="auto"/>
                <w:highlight w:val="none"/>
                <w:lang w:eastAsia="zh-CN"/>
              </w:rPr>
              <w:t>（万元）</w:t>
            </w:r>
          </w:p>
        </w:tc>
        <w:tc>
          <w:tcPr>
            <w:tcW w:w="485" w:type="pct"/>
            <w:tcBorders>
              <w:top w:val="single" w:color="auto" w:sz="4" w:space="0"/>
              <w:left w:val="single" w:color="auto" w:sz="4" w:space="0"/>
              <w:bottom w:val="single" w:color="auto" w:sz="4" w:space="0"/>
              <w:right w:val="single" w:color="auto" w:sz="4" w:space="0"/>
            </w:tcBorders>
            <w:vAlign w:val="center"/>
          </w:tcPr>
          <w:p w14:paraId="40D0A8EC">
            <w:pPr>
              <w:jc w:val="center"/>
              <w:textAlignment w:val="auto"/>
              <w:rPr>
                <w:rStyle w:val="38"/>
                <w:rFonts w:ascii="宋体" w:hAnsi="宋体" w:eastAsia="宋体" w:cs="宋体"/>
                <w:color w:val="auto"/>
                <w:highlight w:val="none"/>
              </w:rPr>
            </w:pPr>
            <w:r>
              <w:rPr>
                <w:rStyle w:val="38"/>
                <w:rFonts w:hint="eastAsia" w:ascii="宋体" w:hAnsi="宋体" w:eastAsia="宋体" w:cs="宋体"/>
                <w:color w:val="auto"/>
                <w:highlight w:val="none"/>
              </w:rPr>
              <w:t>质保期</w:t>
            </w:r>
          </w:p>
        </w:tc>
        <w:tc>
          <w:tcPr>
            <w:tcW w:w="688" w:type="pct"/>
            <w:tcBorders>
              <w:top w:val="single" w:color="auto" w:sz="4" w:space="0"/>
              <w:left w:val="single" w:color="auto" w:sz="4" w:space="0"/>
              <w:bottom w:val="single" w:color="auto" w:sz="4" w:space="0"/>
              <w:right w:val="single" w:color="auto" w:sz="4" w:space="0"/>
            </w:tcBorders>
            <w:vAlign w:val="center"/>
          </w:tcPr>
          <w:p w14:paraId="59F9CE20">
            <w:pPr>
              <w:jc w:val="center"/>
              <w:textAlignment w:val="auto"/>
              <w:rPr>
                <w:rStyle w:val="38"/>
                <w:rFonts w:ascii="宋体" w:hAnsi="宋体" w:eastAsia="宋体" w:cs="宋体"/>
                <w:color w:val="auto"/>
                <w:highlight w:val="none"/>
                <w:lang w:eastAsia="zh-CN"/>
              </w:rPr>
            </w:pPr>
            <w:r>
              <w:rPr>
                <w:rStyle w:val="38"/>
                <w:rFonts w:hint="eastAsia" w:ascii="宋体" w:hAnsi="宋体" w:eastAsia="宋体" w:cs="宋体"/>
                <w:color w:val="auto"/>
                <w:highlight w:val="none"/>
                <w:lang w:eastAsia="zh-CN"/>
              </w:rPr>
              <w:t>是否接受进口产品投标</w:t>
            </w:r>
          </w:p>
        </w:tc>
      </w:tr>
      <w:tr w14:paraId="515AB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0A7368A5">
            <w:pPr>
              <w:jc w:val="center"/>
              <w:textAlignment w:val="auto"/>
              <w:rPr>
                <w:rStyle w:val="38"/>
                <w:rFonts w:ascii="宋体" w:hAnsi="宋体" w:eastAsia="宋体" w:cs="宋体"/>
                <w:color w:val="auto"/>
                <w:highlight w:val="none"/>
              </w:rPr>
            </w:pPr>
            <w:r>
              <w:rPr>
                <w:rStyle w:val="38"/>
                <w:rFonts w:hint="eastAsia" w:ascii="宋体" w:hAnsi="宋体" w:eastAsia="宋体" w:cs="宋体"/>
                <w:color w:val="auto"/>
                <w:highlight w:val="none"/>
                <w:lang w:val="en-US" w:eastAsia="zh-CN"/>
              </w:rPr>
              <w:t>CEITCL-JL-ZCHW-250707/</w:t>
            </w:r>
            <w:r>
              <w:rPr>
                <w:rStyle w:val="38"/>
                <w:rFonts w:hint="eastAsia" w:ascii="宋体" w:hAnsi="宋体" w:eastAsia="宋体" w:cs="宋体"/>
                <w:color w:val="auto"/>
                <w:highlight w:val="none"/>
              </w:rPr>
              <w:t>01</w:t>
            </w:r>
          </w:p>
        </w:tc>
        <w:tc>
          <w:tcPr>
            <w:tcW w:w="2026" w:type="pct"/>
            <w:tcBorders>
              <w:top w:val="single" w:color="auto" w:sz="4" w:space="0"/>
              <w:left w:val="single" w:color="auto" w:sz="4" w:space="0"/>
              <w:bottom w:val="single" w:color="auto" w:sz="4" w:space="0"/>
              <w:right w:val="single" w:color="auto" w:sz="4" w:space="0"/>
            </w:tcBorders>
            <w:vAlign w:val="center"/>
          </w:tcPr>
          <w:p w14:paraId="10BC08B0">
            <w:pPr>
              <w:jc w:val="center"/>
              <w:textAlignment w:val="auto"/>
              <w:rPr>
                <w:rStyle w:val="38"/>
                <w:rFonts w:ascii="宋体" w:hAnsi="宋体" w:eastAsia="宋体" w:cs="宋体"/>
                <w:color w:val="auto"/>
                <w:highlight w:val="none"/>
              </w:rPr>
            </w:pPr>
            <w:r>
              <w:rPr>
                <w:rStyle w:val="38"/>
                <w:rFonts w:hint="eastAsia" w:ascii="宋体" w:hAnsi="宋体" w:eastAsia="宋体" w:cs="宋体"/>
                <w:color w:val="auto"/>
                <w:highlight w:val="none"/>
                <w:lang w:eastAsia="zh-CN"/>
              </w:rPr>
              <w:t>长春中医药大学附属医院立式冲击波治疗仪等设备采购项目（</w:t>
            </w:r>
            <w:r>
              <w:rPr>
                <w:rStyle w:val="38"/>
                <w:rFonts w:hint="eastAsia" w:ascii="宋体" w:hAnsi="宋体" w:eastAsia="宋体" w:cs="宋体"/>
                <w:color w:val="auto"/>
                <w:highlight w:val="none"/>
                <w:lang w:val="en-US" w:eastAsia="zh-CN"/>
              </w:rPr>
              <w:t>第一标段：立式冲击波治疗仪（发散式）</w:t>
            </w:r>
            <w:r>
              <w:rPr>
                <w:rStyle w:val="38"/>
                <w:rFonts w:hint="eastAsia" w:ascii="宋体" w:hAnsi="宋体" w:eastAsia="宋体" w:cs="宋体"/>
                <w:color w:val="auto"/>
                <w:highlight w:val="none"/>
                <w:lang w:eastAsia="zh-CN"/>
              </w:rPr>
              <w:t>）</w:t>
            </w:r>
          </w:p>
        </w:tc>
        <w:tc>
          <w:tcPr>
            <w:tcW w:w="560" w:type="dxa"/>
            <w:tcBorders>
              <w:top w:val="single" w:color="auto" w:sz="4" w:space="0"/>
              <w:left w:val="single" w:color="auto" w:sz="4" w:space="0"/>
              <w:bottom w:val="single" w:color="auto" w:sz="4" w:space="0"/>
              <w:right w:val="single" w:color="auto" w:sz="4" w:space="0"/>
            </w:tcBorders>
            <w:vAlign w:val="center"/>
          </w:tcPr>
          <w:p w14:paraId="534CCC35">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1套</w:t>
            </w:r>
          </w:p>
        </w:tc>
        <w:tc>
          <w:tcPr>
            <w:tcW w:w="1138" w:type="dxa"/>
            <w:tcBorders>
              <w:top w:val="single" w:color="auto" w:sz="4" w:space="0"/>
              <w:left w:val="single" w:color="auto" w:sz="4" w:space="0"/>
              <w:bottom w:val="single" w:color="auto" w:sz="4" w:space="0"/>
              <w:right w:val="single" w:color="auto" w:sz="4" w:space="0"/>
            </w:tcBorders>
            <w:vAlign w:val="center"/>
          </w:tcPr>
          <w:p w14:paraId="11008BB6">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71</w:t>
            </w:r>
          </w:p>
        </w:tc>
        <w:tc>
          <w:tcPr>
            <w:tcW w:w="485" w:type="pct"/>
            <w:tcBorders>
              <w:top w:val="single" w:color="auto" w:sz="4" w:space="0"/>
              <w:left w:val="single" w:color="auto" w:sz="4" w:space="0"/>
              <w:bottom w:val="single" w:color="auto" w:sz="4" w:space="0"/>
              <w:right w:val="single" w:color="auto" w:sz="4" w:space="0"/>
            </w:tcBorders>
            <w:vAlign w:val="center"/>
          </w:tcPr>
          <w:p w14:paraId="4F0835DE">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一年</w:t>
            </w:r>
          </w:p>
        </w:tc>
        <w:tc>
          <w:tcPr>
            <w:tcW w:w="688" w:type="pct"/>
            <w:tcBorders>
              <w:top w:val="single" w:color="auto" w:sz="4" w:space="0"/>
              <w:left w:val="single" w:color="auto" w:sz="4" w:space="0"/>
              <w:bottom w:val="single" w:color="auto" w:sz="4" w:space="0"/>
              <w:right w:val="single" w:color="auto" w:sz="4" w:space="0"/>
            </w:tcBorders>
            <w:vAlign w:val="center"/>
          </w:tcPr>
          <w:p w14:paraId="153A4808">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是</w:t>
            </w:r>
          </w:p>
        </w:tc>
      </w:tr>
      <w:tr w14:paraId="1584B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0483AB47">
            <w:pPr>
              <w:jc w:val="center"/>
              <w:textAlignment w:val="auto"/>
              <w:rPr>
                <w:rStyle w:val="38"/>
                <w:rFonts w:ascii="宋体" w:hAnsi="宋体" w:eastAsia="宋体" w:cs="宋体"/>
                <w:color w:val="auto"/>
                <w:highlight w:val="none"/>
              </w:rPr>
            </w:pPr>
            <w:r>
              <w:rPr>
                <w:rStyle w:val="38"/>
                <w:rFonts w:hint="eastAsia" w:ascii="宋体" w:hAnsi="宋体" w:eastAsia="宋体" w:cs="宋体"/>
                <w:color w:val="auto"/>
                <w:highlight w:val="none"/>
              </w:rPr>
              <w:t>CEITCL-JL-ZCHW-250707/02</w:t>
            </w:r>
          </w:p>
        </w:tc>
        <w:tc>
          <w:tcPr>
            <w:tcW w:w="2026" w:type="pct"/>
            <w:tcBorders>
              <w:top w:val="single" w:color="auto" w:sz="4" w:space="0"/>
              <w:left w:val="single" w:color="auto" w:sz="4" w:space="0"/>
              <w:bottom w:val="single" w:color="auto" w:sz="4" w:space="0"/>
              <w:right w:val="single" w:color="auto" w:sz="4" w:space="0"/>
            </w:tcBorders>
            <w:vAlign w:val="center"/>
          </w:tcPr>
          <w:p w14:paraId="0BAD29AB">
            <w:pPr>
              <w:jc w:val="center"/>
              <w:textAlignment w:val="auto"/>
              <w:rPr>
                <w:rStyle w:val="38"/>
                <w:rFonts w:ascii="宋体" w:hAnsi="宋体" w:eastAsia="宋体" w:cs="宋体"/>
                <w:color w:val="auto"/>
                <w:highlight w:val="none"/>
                <w:lang w:eastAsia="zh-CN"/>
              </w:rPr>
            </w:pPr>
            <w:r>
              <w:rPr>
                <w:rStyle w:val="38"/>
                <w:rFonts w:hint="eastAsia" w:ascii="宋体" w:hAnsi="宋体" w:eastAsia="宋体" w:cs="宋体"/>
                <w:color w:val="auto"/>
                <w:highlight w:val="none"/>
                <w:lang w:eastAsia="zh-CN"/>
              </w:rPr>
              <w:t>长春中医药大学附属医院立式冲击波治疗仪等设备采购项目（</w:t>
            </w:r>
            <w:r>
              <w:rPr>
                <w:rStyle w:val="38"/>
                <w:rFonts w:hint="eastAsia" w:ascii="宋体" w:hAnsi="宋体" w:eastAsia="宋体" w:cs="宋体"/>
                <w:color w:val="auto"/>
                <w:highlight w:val="none"/>
                <w:lang w:val="en-US" w:eastAsia="zh-CN"/>
              </w:rPr>
              <w:t>第二标段：立式冲击波治疗仪（聚焦式）</w:t>
            </w:r>
            <w:r>
              <w:rPr>
                <w:rStyle w:val="38"/>
                <w:rFonts w:hint="eastAsia" w:ascii="宋体" w:hAnsi="宋体" w:eastAsia="宋体" w:cs="宋体"/>
                <w:color w:val="auto"/>
                <w:highlight w:val="none"/>
                <w:lang w:eastAsia="zh-CN"/>
              </w:rPr>
              <w:t>）</w:t>
            </w:r>
          </w:p>
        </w:tc>
        <w:tc>
          <w:tcPr>
            <w:tcW w:w="560" w:type="dxa"/>
            <w:tcBorders>
              <w:top w:val="single" w:color="auto" w:sz="4" w:space="0"/>
              <w:left w:val="single" w:color="auto" w:sz="4" w:space="0"/>
              <w:bottom w:val="single" w:color="auto" w:sz="4" w:space="0"/>
              <w:right w:val="single" w:color="auto" w:sz="4" w:space="0"/>
            </w:tcBorders>
            <w:vAlign w:val="center"/>
          </w:tcPr>
          <w:p w14:paraId="3DBAA0DD">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1套</w:t>
            </w:r>
          </w:p>
        </w:tc>
        <w:tc>
          <w:tcPr>
            <w:tcW w:w="1138" w:type="dxa"/>
            <w:tcBorders>
              <w:top w:val="single" w:color="auto" w:sz="4" w:space="0"/>
              <w:left w:val="single" w:color="auto" w:sz="4" w:space="0"/>
              <w:bottom w:val="single" w:color="auto" w:sz="4" w:space="0"/>
              <w:right w:val="single" w:color="auto" w:sz="4" w:space="0"/>
            </w:tcBorders>
            <w:vAlign w:val="center"/>
          </w:tcPr>
          <w:p w14:paraId="25CEB654">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76</w:t>
            </w:r>
          </w:p>
        </w:tc>
        <w:tc>
          <w:tcPr>
            <w:tcW w:w="485" w:type="pct"/>
            <w:tcBorders>
              <w:top w:val="single" w:color="auto" w:sz="4" w:space="0"/>
              <w:left w:val="single" w:color="auto" w:sz="4" w:space="0"/>
              <w:bottom w:val="single" w:color="auto" w:sz="4" w:space="0"/>
              <w:right w:val="single" w:color="auto" w:sz="4" w:space="0"/>
            </w:tcBorders>
            <w:vAlign w:val="center"/>
          </w:tcPr>
          <w:p w14:paraId="0726B2BC">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一年</w:t>
            </w:r>
          </w:p>
        </w:tc>
        <w:tc>
          <w:tcPr>
            <w:tcW w:w="688" w:type="pct"/>
            <w:tcBorders>
              <w:top w:val="single" w:color="auto" w:sz="4" w:space="0"/>
              <w:left w:val="single" w:color="auto" w:sz="4" w:space="0"/>
              <w:bottom w:val="single" w:color="auto" w:sz="4" w:space="0"/>
              <w:right w:val="single" w:color="auto" w:sz="4" w:space="0"/>
            </w:tcBorders>
            <w:vAlign w:val="center"/>
          </w:tcPr>
          <w:p w14:paraId="29996481">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否</w:t>
            </w:r>
          </w:p>
        </w:tc>
      </w:tr>
      <w:tr w14:paraId="199A2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76343B4F">
            <w:pPr>
              <w:jc w:val="center"/>
              <w:textAlignment w:val="auto"/>
              <w:rPr>
                <w:rStyle w:val="38"/>
                <w:rFonts w:ascii="宋体" w:hAnsi="宋体" w:eastAsia="宋体" w:cs="宋体"/>
                <w:color w:val="auto"/>
                <w:highlight w:val="none"/>
              </w:rPr>
            </w:pPr>
            <w:r>
              <w:rPr>
                <w:rStyle w:val="38"/>
                <w:rFonts w:hint="eastAsia" w:ascii="宋体" w:hAnsi="宋体" w:eastAsia="宋体" w:cs="宋体"/>
                <w:color w:val="auto"/>
                <w:highlight w:val="none"/>
              </w:rPr>
              <w:t>CEITCL-JL-ZCHW-250707/03</w:t>
            </w:r>
          </w:p>
        </w:tc>
        <w:tc>
          <w:tcPr>
            <w:tcW w:w="2026" w:type="pct"/>
            <w:tcBorders>
              <w:top w:val="single" w:color="auto" w:sz="4" w:space="0"/>
              <w:left w:val="single" w:color="auto" w:sz="4" w:space="0"/>
              <w:bottom w:val="single" w:color="auto" w:sz="4" w:space="0"/>
              <w:right w:val="single" w:color="auto" w:sz="4" w:space="0"/>
            </w:tcBorders>
            <w:vAlign w:val="center"/>
          </w:tcPr>
          <w:p w14:paraId="56C4178C">
            <w:pPr>
              <w:jc w:val="center"/>
              <w:textAlignment w:val="auto"/>
              <w:rPr>
                <w:rStyle w:val="38"/>
                <w:rFonts w:ascii="宋体" w:hAnsi="宋体" w:eastAsia="宋体" w:cs="宋体"/>
                <w:color w:val="auto"/>
                <w:highlight w:val="none"/>
                <w:lang w:eastAsia="zh-CN"/>
              </w:rPr>
            </w:pPr>
            <w:r>
              <w:rPr>
                <w:rStyle w:val="38"/>
                <w:rFonts w:hint="eastAsia" w:ascii="宋体" w:hAnsi="宋体" w:eastAsia="宋体" w:cs="宋体"/>
                <w:color w:val="auto"/>
                <w:highlight w:val="none"/>
                <w:lang w:eastAsia="zh-CN"/>
              </w:rPr>
              <w:t>长春中医药大学附属医院立式冲击波治疗仪等设备采购项目（</w:t>
            </w:r>
            <w:r>
              <w:rPr>
                <w:rStyle w:val="38"/>
                <w:rFonts w:hint="eastAsia" w:ascii="宋体" w:hAnsi="宋体" w:eastAsia="宋体" w:cs="宋体"/>
                <w:color w:val="auto"/>
                <w:highlight w:val="none"/>
                <w:lang w:val="en-US" w:eastAsia="zh-CN"/>
              </w:rPr>
              <w:t>第三标段：透析机</w:t>
            </w:r>
            <w:r>
              <w:rPr>
                <w:rStyle w:val="38"/>
                <w:rFonts w:hint="eastAsia" w:ascii="宋体" w:hAnsi="宋体" w:eastAsia="宋体" w:cs="宋体"/>
                <w:color w:val="auto"/>
                <w:highlight w:val="none"/>
                <w:lang w:eastAsia="zh-CN"/>
              </w:rPr>
              <w:t>）</w:t>
            </w:r>
          </w:p>
        </w:tc>
        <w:tc>
          <w:tcPr>
            <w:tcW w:w="560" w:type="dxa"/>
            <w:tcBorders>
              <w:top w:val="single" w:color="auto" w:sz="4" w:space="0"/>
              <w:left w:val="single" w:color="auto" w:sz="4" w:space="0"/>
              <w:bottom w:val="single" w:color="auto" w:sz="4" w:space="0"/>
              <w:right w:val="single" w:color="auto" w:sz="4" w:space="0"/>
            </w:tcBorders>
            <w:vAlign w:val="center"/>
          </w:tcPr>
          <w:p w14:paraId="066D8A8B">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17台</w:t>
            </w:r>
          </w:p>
        </w:tc>
        <w:tc>
          <w:tcPr>
            <w:tcW w:w="1138" w:type="dxa"/>
            <w:tcBorders>
              <w:top w:val="single" w:color="auto" w:sz="4" w:space="0"/>
              <w:left w:val="single" w:color="auto" w:sz="4" w:space="0"/>
              <w:bottom w:val="single" w:color="auto" w:sz="4" w:space="0"/>
              <w:right w:val="single" w:color="auto" w:sz="4" w:space="0"/>
            </w:tcBorders>
            <w:vAlign w:val="center"/>
          </w:tcPr>
          <w:p w14:paraId="0BAA596F">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188.7</w:t>
            </w:r>
          </w:p>
        </w:tc>
        <w:tc>
          <w:tcPr>
            <w:tcW w:w="485" w:type="pct"/>
            <w:tcBorders>
              <w:top w:val="single" w:color="auto" w:sz="4" w:space="0"/>
              <w:left w:val="single" w:color="auto" w:sz="4" w:space="0"/>
              <w:bottom w:val="single" w:color="auto" w:sz="4" w:space="0"/>
              <w:right w:val="single" w:color="auto" w:sz="4" w:space="0"/>
            </w:tcBorders>
            <w:vAlign w:val="center"/>
          </w:tcPr>
          <w:p w14:paraId="1558EB0C">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一年</w:t>
            </w:r>
          </w:p>
        </w:tc>
        <w:tc>
          <w:tcPr>
            <w:tcW w:w="688" w:type="pct"/>
            <w:tcBorders>
              <w:top w:val="single" w:color="auto" w:sz="4" w:space="0"/>
              <w:left w:val="single" w:color="auto" w:sz="4" w:space="0"/>
              <w:bottom w:val="single" w:color="auto" w:sz="4" w:space="0"/>
              <w:right w:val="single" w:color="auto" w:sz="4" w:space="0"/>
            </w:tcBorders>
            <w:vAlign w:val="center"/>
          </w:tcPr>
          <w:p w14:paraId="0A8240C1">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否</w:t>
            </w:r>
          </w:p>
        </w:tc>
      </w:tr>
      <w:tr w14:paraId="3563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038B8FBA">
            <w:pPr>
              <w:jc w:val="center"/>
              <w:textAlignment w:val="auto"/>
              <w:rPr>
                <w:rStyle w:val="38"/>
                <w:rFonts w:ascii="宋体" w:hAnsi="宋体" w:eastAsia="宋体" w:cs="宋体"/>
                <w:color w:val="auto"/>
                <w:highlight w:val="none"/>
              </w:rPr>
            </w:pPr>
            <w:r>
              <w:rPr>
                <w:rStyle w:val="38"/>
                <w:rFonts w:hint="eastAsia" w:ascii="宋体" w:hAnsi="宋体" w:eastAsia="宋体" w:cs="宋体"/>
                <w:color w:val="auto"/>
                <w:highlight w:val="none"/>
              </w:rPr>
              <w:t>CEITCL-JL-ZCHW-250707/04</w:t>
            </w:r>
          </w:p>
        </w:tc>
        <w:tc>
          <w:tcPr>
            <w:tcW w:w="2026" w:type="pct"/>
            <w:tcBorders>
              <w:top w:val="single" w:color="auto" w:sz="4" w:space="0"/>
              <w:left w:val="single" w:color="auto" w:sz="4" w:space="0"/>
              <w:bottom w:val="single" w:color="auto" w:sz="4" w:space="0"/>
              <w:right w:val="single" w:color="auto" w:sz="4" w:space="0"/>
            </w:tcBorders>
            <w:vAlign w:val="center"/>
          </w:tcPr>
          <w:p w14:paraId="2A5484D7">
            <w:pPr>
              <w:jc w:val="center"/>
              <w:textAlignment w:val="auto"/>
              <w:rPr>
                <w:rStyle w:val="38"/>
                <w:rFonts w:ascii="宋体" w:hAnsi="宋体" w:eastAsia="宋体" w:cs="宋体"/>
                <w:color w:val="auto"/>
                <w:highlight w:val="none"/>
                <w:lang w:eastAsia="zh-CN"/>
              </w:rPr>
            </w:pPr>
            <w:r>
              <w:rPr>
                <w:rStyle w:val="38"/>
                <w:rFonts w:hint="eastAsia" w:ascii="宋体" w:hAnsi="宋体" w:eastAsia="宋体" w:cs="宋体"/>
                <w:color w:val="auto"/>
                <w:highlight w:val="none"/>
                <w:lang w:eastAsia="zh-CN"/>
              </w:rPr>
              <w:t>长春中医药大学附属医院立式冲击波治疗仪等设备采购项目（</w:t>
            </w:r>
            <w:r>
              <w:rPr>
                <w:rStyle w:val="38"/>
                <w:rFonts w:hint="eastAsia" w:ascii="宋体" w:hAnsi="宋体" w:eastAsia="宋体" w:cs="宋体"/>
                <w:color w:val="auto"/>
                <w:highlight w:val="none"/>
                <w:lang w:val="en-US" w:eastAsia="zh-CN"/>
              </w:rPr>
              <w:t>第四标段：前列腺粒子导航等设备</w:t>
            </w:r>
            <w:r>
              <w:rPr>
                <w:rStyle w:val="38"/>
                <w:rFonts w:hint="eastAsia" w:ascii="宋体" w:hAnsi="宋体" w:eastAsia="宋体" w:cs="宋体"/>
                <w:color w:val="auto"/>
                <w:highlight w:val="none"/>
                <w:lang w:eastAsia="zh-CN"/>
              </w:rPr>
              <w:t>）</w:t>
            </w:r>
          </w:p>
        </w:tc>
        <w:tc>
          <w:tcPr>
            <w:tcW w:w="560" w:type="dxa"/>
            <w:tcBorders>
              <w:top w:val="single" w:color="auto" w:sz="4" w:space="0"/>
              <w:left w:val="single" w:color="auto" w:sz="4" w:space="0"/>
              <w:bottom w:val="single" w:color="auto" w:sz="4" w:space="0"/>
              <w:right w:val="single" w:color="auto" w:sz="4" w:space="0"/>
            </w:tcBorders>
            <w:vAlign w:val="center"/>
          </w:tcPr>
          <w:p w14:paraId="6ADD2AD1">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1批</w:t>
            </w:r>
          </w:p>
        </w:tc>
        <w:tc>
          <w:tcPr>
            <w:tcW w:w="1138" w:type="dxa"/>
            <w:tcBorders>
              <w:top w:val="single" w:color="auto" w:sz="4" w:space="0"/>
              <w:left w:val="single" w:color="auto" w:sz="4" w:space="0"/>
              <w:bottom w:val="single" w:color="auto" w:sz="4" w:space="0"/>
              <w:right w:val="single" w:color="auto" w:sz="4" w:space="0"/>
            </w:tcBorders>
            <w:vAlign w:val="center"/>
          </w:tcPr>
          <w:p w14:paraId="7DE64BF0">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94.97</w:t>
            </w:r>
          </w:p>
        </w:tc>
        <w:tc>
          <w:tcPr>
            <w:tcW w:w="485" w:type="pct"/>
            <w:tcBorders>
              <w:top w:val="single" w:color="auto" w:sz="4" w:space="0"/>
              <w:left w:val="single" w:color="auto" w:sz="4" w:space="0"/>
              <w:bottom w:val="single" w:color="auto" w:sz="4" w:space="0"/>
              <w:right w:val="single" w:color="auto" w:sz="4" w:space="0"/>
            </w:tcBorders>
            <w:vAlign w:val="center"/>
          </w:tcPr>
          <w:p w14:paraId="2D891E94">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一年</w:t>
            </w:r>
          </w:p>
        </w:tc>
        <w:tc>
          <w:tcPr>
            <w:tcW w:w="688" w:type="pct"/>
            <w:tcBorders>
              <w:top w:val="single" w:color="auto" w:sz="4" w:space="0"/>
              <w:left w:val="single" w:color="auto" w:sz="4" w:space="0"/>
              <w:bottom w:val="single" w:color="auto" w:sz="4" w:space="0"/>
              <w:right w:val="single" w:color="auto" w:sz="4" w:space="0"/>
            </w:tcBorders>
            <w:vAlign w:val="center"/>
          </w:tcPr>
          <w:p w14:paraId="19DDEA7F">
            <w:pPr>
              <w:jc w:val="center"/>
              <w:textAlignment w:val="auto"/>
              <w:rPr>
                <w:rStyle w:val="38"/>
                <w:rFonts w:hint="eastAsia" w:ascii="宋体" w:hAnsi="宋体" w:eastAsia="宋体" w:cs="宋体"/>
                <w:color w:val="auto"/>
                <w:highlight w:val="none"/>
                <w:lang w:val="en-US" w:eastAsia="zh-CN"/>
              </w:rPr>
            </w:pPr>
            <w:r>
              <w:rPr>
                <w:rStyle w:val="38"/>
                <w:rFonts w:hint="eastAsia" w:ascii="宋体" w:hAnsi="宋体" w:eastAsia="宋体" w:cs="宋体"/>
                <w:color w:val="auto"/>
                <w:highlight w:val="none"/>
                <w:lang w:val="en-US" w:eastAsia="zh-CN"/>
              </w:rPr>
              <w:t>否</w:t>
            </w:r>
          </w:p>
        </w:tc>
      </w:tr>
    </w:tbl>
    <w:p w14:paraId="4677D4D4">
      <w:pPr>
        <w:jc w:val="center"/>
        <w:textAlignment w:val="auto"/>
        <w:rPr>
          <w:rStyle w:val="38"/>
          <w:rFonts w:ascii="宋体" w:hAnsi="宋体" w:eastAsia="宋体" w:cs="宋体"/>
          <w:color w:val="auto"/>
          <w:highlight w:val="none"/>
        </w:rPr>
      </w:pPr>
    </w:p>
    <w:p w14:paraId="5E346F10">
      <w:pPr>
        <w:spacing w:before="120" w:beforeLines="50" w:after="120" w:afterLines="5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6E829E1F">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73F91A53">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（1）具有独立承担民事责任的能力,具备有效的营业执照；</w:t>
      </w:r>
    </w:p>
    <w:p w14:paraId="476F5AD1">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（2）具有良好的商业信誉和健全的财务会计制度；</w:t>
      </w:r>
    </w:p>
    <w:p w14:paraId="1D3A9B3C">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（3）具有依法缴纳税收和社会保障资金的良好记录；</w:t>
      </w:r>
    </w:p>
    <w:p w14:paraId="68C94673">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（4）具有履行合同所必需的设备和专业技术能力；</w:t>
      </w:r>
    </w:p>
    <w:p w14:paraId="5B9F1F68">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14:paraId="7884050C">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14:paraId="32915D34">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2.落实政府采购政策需满足的资格要求：本项目</w:t>
      </w:r>
      <w:r>
        <w:rPr>
          <w:rFonts w:hint="eastAsia" w:ascii="宋体" w:hAnsi="宋体" w:eastAsia="宋体" w:cs="宋体"/>
          <w:b/>
          <w:bCs/>
          <w:color w:val="auto"/>
          <w:sz w:val="24"/>
          <w:szCs w:val="24"/>
          <w:highlight w:val="none"/>
          <w:lang w:eastAsia="zh-CN"/>
        </w:rPr>
        <w:t>非专门</w:t>
      </w:r>
      <w:r>
        <w:rPr>
          <w:rFonts w:hint="eastAsia" w:ascii="宋体" w:hAnsi="宋体" w:eastAsia="宋体" w:cs="宋体"/>
          <w:color w:val="auto"/>
          <w:sz w:val="24"/>
          <w:szCs w:val="24"/>
          <w:highlight w:val="none"/>
          <w:lang w:eastAsia="zh-CN"/>
        </w:rPr>
        <w:t>面向中小企业采购；</w:t>
      </w:r>
    </w:p>
    <w:p w14:paraId="54FCDBFB">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w:t>
      </w:r>
      <w:r>
        <w:rPr>
          <w:rFonts w:hint="eastAsia" w:ascii="宋体" w:hAnsi="宋体" w:eastAsia="宋体" w:cs="宋体"/>
          <w:color w:val="auto"/>
          <w:sz w:val="24"/>
          <w:szCs w:val="24"/>
          <w:highlight w:val="none"/>
          <w:lang w:val="zh-TW" w:eastAsia="zh-TW"/>
        </w:rPr>
        <w:t>要求：</w:t>
      </w:r>
      <w:r>
        <w:rPr>
          <w:rFonts w:hint="eastAsia" w:ascii="宋体" w:hAnsi="宋体" w:eastAsia="宋体" w:cs="宋体"/>
          <w:color w:val="auto"/>
          <w:sz w:val="24"/>
          <w:szCs w:val="24"/>
          <w:highlight w:val="none"/>
          <w:lang w:eastAsia="zh-CN"/>
        </w:rPr>
        <w:t>（1）投标人为生产企业，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03901862">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投标人为经营企业，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 </w:t>
      </w:r>
    </w:p>
    <w:p w14:paraId="7D7699ED">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4AB73A0E">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（4）投标人为经销商的需要提供所投产品的有效经销授权（进口产品提供）。</w:t>
      </w:r>
    </w:p>
    <w:p w14:paraId="5F90B0F8">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4.信誉要求：（1）拒绝列入政府取消投标资格记录期间的企业或个人投标。</w:t>
      </w:r>
    </w:p>
    <w:p w14:paraId="3BD4D7A8">
      <w:pPr>
        <w:spacing w:line="360"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3FA096B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6B925D51">
      <w:pPr>
        <w:spacing w:before="120" w:beforeLines="50" w:after="120" w:afterLines="50"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三、获取招标文件</w:t>
      </w:r>
    </w:p>
    <w:p w14:paraId="79482040">
      <w:pPr>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1.时间：从公告发布之日起至2025年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日16时00分。</w:t>
      </w:r>
    </w:p>
    <w:p w14:paraId="31CA4B3D">
      <w:pPr>
        <w:adjustRightIn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方式：网上获取。</w:t>
      </w:r>
    </w:p>
    <w:p w14:paraId="552989A0">
      <w:pPr>
        <w:adjustRightInd/>
        <w:spacing w:line="360" w:lineRule="auto"/>
        <w:ind w:firstLine="54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本项目为全流程电子化项目，潜在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登录“政采云”平台（http：//www.zcygov.cn）网上注册（https://middle.zcygov.cn/v-settle-front/registry）并下载征集文件（操作路径：登录“政采云”平台-项目采购-获取征集文件-找到本项目-点击“申请获取征集文件”），电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文件制作需要基于“政采云”平台获取的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文件编制，其他途径获取的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文件开标时一律按无效</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按标包下载招标文件并点击下载确认参加本项目招标活动。具体注册及下载招标文件方法请访问“政采云”平台查询相关信息。</w:t>
      </w:r>
    </w:p>
    <w:p w14:paraId="1382FEF9">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3.售价：免费</w:t>
      </w:r>
    </w:p>
    <w:p w14:paraId="07193634">
      <w:pPr>
        <w:spacing w:before="120" w:beforeLines="50" w:after="120" w:afterLines="50"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color w:val="auto"/>
          <w:sz w:val="24"/>
          <w:szCs w:val="24"/>
          <w:highlight w:val="none"/>
          <w:lang w:eastAsia="zh-CN"/>
        </w:rPr>
        <w:t>投标文件提交</w:t>
      </w:r>
    </w:p>
    <w:p w14:paraId="6AD0FE24">
      <w:pPr>
        <w:pStyle w:val="22"/>
        <w:shd w:val="clear" w:color="auto" w:fill="FFFFFF"/>
        <w:kinsoku/>
        <w:adjustRightInd/>
        <w:spacing w:beforeAutospacing="0" w:afterAutospacing="0" w:line="360" w:lineRule="auto"/>
        <w:ind w:firstLine="540"/>
        <w:textAlignment w:val="auto"/>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r>
        <w:rPr>
          <w:rFonts w:hint="eastAsia" w:ascii="宋体" w:hAnsi="宋体" w:eastAsia="宋体" w:cs="宋体"/>
          <w:color w:val="auto"/>
          <w:szCs w:val="24"/>
          <w:highlight w:val="none"/>
        </w:rPr>
        <w:t>投标文件提交截止时间（开启时间）和地点：2025年</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lang w:val="en-US" w:eastAsia="zh-CN"/>
        </w:rPr>
        <w:t>31</w:t>
      </w:r>
      <w:r>
        <w:rPr>
          <w:rFonts w:hint="eastAsia" w:ascii="宋体" w:hAnsi="宋体" w:eastAsia="宋体" w:cs="宋体"/>
          <w:color w:val="auto"/>
          <w:szCs w:val="24"/>
          <w:highlight w:val="none"/>
        </w:rPr>
        <w:t>日</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点</w:t>
      </w:r>
      <w:r>
        <w:rPr>
          <w:rFonts w:hint="eastAsia" w:ascii="宋体" w:hAnsi="宋体" w:eastAsia="宋体" w:cs="宋体"/>
          <w:color w:val="auto"/>
          <w:szCs w:val="24"/>
          <w:highlight w:val="none"/>
          <w:lang w:val="en-US" w:eastAsia="zh-CN"/>
        </w:rPr>
        <w:t>30</w:t>
      </w:r>
      <w:r>
        <w:rPr>
          <w:rFonts w:hint="eastAsia" w:ascii="宋体" w:hAnsi="宋体" w:eastAsia="宋体" w:cs="宋体"/>
          <w:color w:val="auto"/>
          <w:szCs w:val="24"/>
          <w:highlight w:val="none"/>
        </w:rPr>
        <w:t>分（北京时间），长春市高新区鸿达街248号吉林日报副楼4楼吉利招平台开标</w:t>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室</w:t>
      </w:r>
      <w:r>
        <w:rPr>
          <w:rFonts w:hint="eastAsia" w:ascii="宋体" w:hAnsi="宋体" w:eastAsia="宋体" w:cs="宋体"/>
          <w:color w:val="auto"/>
          <w:kern w:val="2"/>
          <w:szCs w:val="24"/>
          <w:highlight w:val="none"/>
          <w:lang w:val="zh-CN"/>
        </w:rPr>
        <w:t>。</w:t>
      </w:r>
    </w:p>
    <w:p w14:paraId="54B1E856">
      <w:pPr>
        <w:pStyle w:val="22"/>
        <w:shd w:val="clear" w:color="auto" w:fill="FFFFFF"/>
        <w:kinsoku/>
        <w:adjustRightInd/>
        <w:spacing w:beforeAutospacing="0" w:afterAutospacing="0" w:line="360" w:lineRule="auto"/>
        <w:ind w:firstLine="540"/>
        <w:textAlignment w:val="auto"/>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lang w:val="zh-CN"/>
        </w:rPr>
        <w:t>投标文件提交方式</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本项目为全流程电子化项目</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通过</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w:t>
      </w:r>
      <w:r>
        <w:rPr>
          <w:rFonts w:hint="eastAsia" w:ascii="宋体" w:hAnsi="宋体" w:eastAsia="宋体" w:cs="宋体"/>
          <w:color w:val="auto"/>
          <w:kern w:val="2"/>
          <w:szCs w:val="24"/>
          <w:highlight w:val="none"/>
        </w:rPr>
        <w:t>（http：//www.zcygov.cn）</w:t>
      </w:r>
      <w:r>
        <w:rPr>
          <w:rFonts w:hint="eastAsia" w:ascii="宋体" w:hAnsi="宋体" w:eastAsia="宋体" w:cs="宋体"/>
          <w:color w:val="auto"/>
          <w:kern w:val="2"/>
          <w:szCs w:val="24"/>
          <w:highlight w:val="none"/>
          <w:lang w:val="zh-CN"/>
        </w:rPr>
        <w:t>实行在线电子投标</w:t>
      </w:r>
      <w:r>
        <w:rPr>
          <w:rFonts w:hint="eastAsia" w:ascii="宋体" w:hAnsi="宋体" w:eastAsia="宋体" w:cs="宋体"/>
          <w:color w:val="auto"/>
          <w:kern w:val="2"/>
          <w:szCs w:val="24"/>
          <w:highlight w:val="none"/>
        </w:rPr>
        <w:t>，投标人</w:t>
      </w:r>
      <w:r>
        <w:rPr>
          <w:rFonts w:hint="eastAsia" w:ascii="宋体" w:hAnsi="宋体" w:eastAsia="宋体" w:cs="宋体"/>
          <w:color w:val="auto"/>
          <w:kern w:val="2"/>
          <w:szCs w:val="24"/>
          <w:highlight w:val="none"/>
          <w:lang w:val="zh-CN"/>
        </w:rPr>
        <w:t>应先安装</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政采云投标客户端</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请自行前往</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平台进行下载</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并按照本项目</w:t>
      </w:r>
      <w:r>
        <w:rPr>
          <w:rFonts w:hint="eastAsia" w:ascii="宋体" w:hAnsi="宋体" w:eastAsia="宋体" w:cs="宋体"/>
          <w:color w:val="auto"/>
          <w:kern w:val="2"/>
          <w:szCs w:val="24"/>
          <w:highlight w:val="none"/>
        </w:rPr>
        <w:t>招标</w:t>
      </w:r>
      <w:r>
        <w:rPr>
          <w:rFonts w:hint="eastAsia" w:ascii="宋体" w:hAnsi="宋体" w:eastAsia="宋体" w:cs="宋体"/>
          <w:color w:val="auto"/>
          <w:kern w:val="2"/>
          <w:szCs w:val="24"/>
          <w:highlight w:val="none"/>
          <w:lang w:val="zh-CN"/>
        </w:rPr>
        <w:t>文件和</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平台的要求编制、加密后在投标截止时间前通过网络上传至</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w:t>
      </w:r>
      <w:r>
        <w:rPr>
          <w:rFonts w:hint="eastAsia" w:ascii="宋体" w:hAnsi="宋体" w:eastAsia="宋体" w:cs="宋体"/>
          <w:color w:val="auto"/>
          <w:kern w:val="2"/>
          <w:szCs w:val="24"/>
          <w:highlight w:val="none"/>
        </w:rPr>
        <w:t>，投标人</w:t>
      </w:r>
      <w:r>
        <w:rPr>
          <w:rFonts w:hint="eastAsia" w:ascii="宋体" w:hAnsi="宋体" w:eastAsia="宋体" w:cs="宋体"/>
          <w:color w:val="auto"/>
          <w:kern w:val="2"/>
          <w:szCs w:val="24"/>
          <w:highlight w:val="none"/>
          <w:lang w:val="zh-CN"/>
        </w:rPr>
        <w:t>在</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平台提交电子版</w:t>
      </w:r>
      <w:r>
        <w:rPr>
          <w:rFonts w:hint="eastAsia" w:ascii="宋体" w:hAnsi="宋体" w:eastAsia="宋体" w:cs="宋体"/>
          <w:color w:val="auto"/>
          <w:kern w:val="2"/>
          <w:szCs w:val="24"/>
          <w:highlight w:val="none"/>
        </w:rPr>
        <w:t>投标</w:t>
      </w:r>
      <w:r>
        <w:rPr>
          <w:rFonts w:hint="eastAsia" w:ascii="宋体" w:hAnsi="宋体" w:eastAsia="宋体" w:cs="宋体"/>
          <w:color w:val="auto"/>
          <w:kern w:val="2"/>
          <w:szCs w:val="24"/>
          <w:highlight w:val="none"/>
          <w:lang w:val="zh-CN"/>
        </w:rPr>
        <w:t>文件时</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请填写参加开标活动经办人联系方式。</w:t>
      </w:r>
    </w:p>
    <w:p w14:paraId="29D07C85">
      <w:pPr>
        <w:pStyle w:val="22"/>
        <w:shd w:val="clear" w:color="auto" w:fill="FFFFFF"/>
        <w:kinsoku/>
        <w:adjustRightInd/>
        <w:spacing w:beforeAutospacing="0" w:afterAutospacing="0" w:line="360" w:lineRule="auto"/>
        <w:ind w:firstLine="540"/>
        <w:textAlignment w:val="auto"/>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3.投标文件开启方式：投标文件解密截止时间后，“政采云”平台手动公布投标报价信息，投标人持企业数字证书登录“政采云”平台在线查询投标报价信息。</w:t>
      </w:r>
    </w:p>
    <w:p w14:paraId="021676C9">
      <w:pPr>
        <w:spacing w:before="120" w:beforeLines="50" w:after="120" w:afterLines="50"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五、公告期限</w:t>
      </w:r>
    </w:p>
    <w:p w14:paraId="4B69D065">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1E4C85E1">
      <w:pPr>
        <w:spacing w:before="120" w:beforeLines="50" w:after="120" w:afterLines="5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2406C269">
      <w:pPr>
        <w:pStyle w:val="22"/>
        <w:kinsoku/>
        <w:adjustRightInd/>
        <w:spacing w:beforeAutospacing="0" w:afterAutospacing="0" w:line="360" w:lineRule="auto"/>
        <w:ind w:firstLine="480" w:firstLineChars="200"/>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1.发布公告的媒介：本次招标公告在“政采云”平台（http://www.zcygov.cn）（同步推送到中国政府采购网、吉林省政府采购网、吉林省公共资源交易公共服务平台）上发布。</w:t>
      </w:r>
    </w:p>
    <w:p w14:paraId="73E3F661">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2.政采云平台相关流程：</w:t>
      </w:r>
    </w:p>
    <w:p w14:paraId="69FB2EB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（1）投标人在电子化平台参与政府采购项目前，应在电子化平台完成信息注册（如已注册长春市政府采购电子商城则无需重复注册），注册链接：</w:t>
      </w:r>
      <w:r>
        <w:rPr>
          <w:color w:val="auto"/>
          <w:highlight w:val="none"/>
        </w:rPr>
        <w:fldChar w:fldCharType="begin"/>
      </w:r>
      <w:r>
        <w:rPr>
          <w:color w:val="auto"/>
          <w:highlight w:val="none"/>
        </w:rPr>
        <w:instrText xml:space="preserve"> HYPERLINK "https://middle.zcygov.cn/v-settle-front/registry" </w:instrText>
      </w:r>
      <w:r>
        <w:rPr>
          <w:color w:val="auto"/>
          <w:highlight w:val="none"/>
        </w:rPr>
        <w:fldChar w:fldCharType="separate"/>
      </w:r>
      <w:r>
        <w:rPr>
          <w:rFonts w:hint="eastAsia" w:ascii="宋体" w:hAnsi="宋体" w:eastAsia="宋体" w:cs="宋体"/>
          <w:color w:val="auto"/>
          <w:sz w:val="24"/>
          <w:szCs w:val="24"/>
          <w:highlight w:val="none"/>
        </w:rPr>
        <w:t>https://middle.zcygov.cn/v-settle-front/registry</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，政采云平台客服热线：95763；</w:t>
      </w:r>
    </w:p>
    <w:p w14:paraId="79ADC12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（2）政采云投标客户端及CA驱动下载地址：</w:t>
      </w:r>
      <w:r>
        <w:rPr>
          <w:color w:val="auto"/>
          <w:highlight w:val="none"/>
        </w:rPr>
        <w:fldChar w:fldCharType="begin"/>
      </w:r>
      <w:r>
        <w:rPr>
          <w:color w:val="auto"/>
          <w:highlight w:val="none"/>
        </w:rPr>
        <w:instrText xml:space="preserve"> HYPERLINK "https://customer.zcygov.cn/CA-driver-download?utm=web-login-front.52cebfa2.0" </w:instrText>
      </w:r>
      <w:r>
        <w:rPr>
          <w:color w:val="auto"/>
          <w:highlight w:val="none"/>
        </w:rPr>
        <w:fldChar w:fldCharType="separate"/>
      </w:r>
      <w:r>
        <w:rPr>
          <w:rFonts w:hint="eastAsia" w:ascii="宋体" w:hAnsi="宋体" w:eastAsia="宋体" w:cs="宋体"/>
          <w:color w:val="auto"/>
          <w:sz w:val="24"/>
          <w:szCs w:val="24"/>
          <w:highlight w:val="none"/>
        </w:rPr>
        <w:t>https://customer.zcygov.cn/CA-driver-download?utm=web-login-front.52cebfa2.0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.0.04df4040034511edaac705fda12edb43；</w:t>
      </w:r>
    </w:p>
    <w:p w14:paraId="3160DA10">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（3）CA数字证书申请流程链接：</w:t>
      </w:r>
      <w:r>
        <w:rPr>
          <w:color w:val="auto"/>
          <w:highlight w:val="none"/>
        </w:rPr>
        <w:fldChar w:fldCharType="begin"/>
      </w:r>
      <w:r>
        <w:rPr>
          <w:color w:val="auto"/>
          <w:highlight w:val="none"/>
        </w:rPr>
        <w:instrText xml:space="preserve"> HYPERLINK "http://www.anxinca.com/kehu/zcy/kh-zcy-zsshenqing.html" </w:instrText>
      </w:r>
      <w:r>
        <w:rPr>
          <w:color w:val="auto"/>
          <w:highlight w:val="none"/>
        </w:rPr>
        <w:fldChar w:fldCharType="separate"/>
      </w:r>
      <w:r>
        <w:rPr>
          <w:rFonts w:hint="eastAsia" w:ascii="宋体" w:hAnsi="宋体" w:eastAsia="宋体" w:cs="宋体"/>
          <w:color w:val="auto"/>
          <w:sz w:val="24"/>
          <w:szCs w:val="24"/>
          <w:highlight w:val="none"/>
          <w:lang w:eastAsia="zh-CN"/>
        </w:rPr>
        <w:t>http://www.anxinca.com/kehu/zcy/kh-zcy-zsshenqing.html</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14:paraId="7F8891EA">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（4）为确保网上操作合法、有效和安全，请投标人确保在电子响应过程中能够对相 关数据电文进行加密和使用电子签章，妥善保管CA数字证书并使用有效的CA数字证书参与整个采购活动；</w:t>
      </w:r>
    </w:p>
    <w:p w14:paraId="71DCA0C0">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14:paraId="33D704CF">
      <w:p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七、对本次招标提出询问，请按以下方式联系。</w:t>
      </w:r>
    </w:p>
    <w:p w14:paraId="2F82A736">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1BA79D02">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采购人：长春中医药大学附属医院</w:t>
      </w:r>
    </w:p>
    <w:p w14:paraId="5E13BAD1">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地址：长春市工农大路1478号 </w:t>
      </w:r>
    </w:p>
    <w:p w14:paraId="3E70A57E">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联系人：娄志伟</w:t>
      </w:r>
    </w:p>
    <w:p w14:paraId="1FACFCD2">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联系电话：0431-86177703</w:t>
      </w:r>
    </w:p>
    <w:p w14:paraId="17629CCA">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073B6147">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采购代理机构：中经国际招标集团有限公司</w:t>
      </w:r>
    </w:p>
    <w:p w14:paraId="238F3F10">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地址：长春市经开区浦东路12号虹湾国际A座15层</w:t>
      </w:r>
    </w:p>
    <w:p w14:paraId="742317AD">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联系方式：18844133735（办公电话）</w:t>
      </w:r>
    </w:p>
    <w:p w14:paraId="576BF070">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3.项目联系方式：</w:t>
      </w:r>
    </w:p>
    <w:p w14:paraId="1865A725">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项目联系人：孙蕾</w:t>
      </w:r>
    </w:p>
    <w:p w14:paraId="51FDF5DC">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电话：18844133735（办公电话）</w:t>
      </w:r>
    </w:p>
    <w:p w14:paraId="2FC60623">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4.监管部门：吉林省财政厅政府采购管理处</w:t>
      </w:r>
    </w:p>
    <w:p w14:paraId="3DF4B5A4">
      <w:pPr>
        <w:ind w:left="479" w:leftChars="228"/>
        <w:rPr>
          <w:rFonts w:ascii="宋体" w:hAnsi="宋体" w:eastAsia="宋体" w:cs="宋体"/>
          <w:color w:val="auto"/>
          <w:sz w:val="24"/>
          <w:szCs w:val="24"/>
          <w:highlight w:val="none"/>
          <w:lang w:eastAsia="zh-CN"/>
        </w:rPr>
      </w:pPr>
    </w:p>
    <w:p w14:paraId="5BD67EDF">
      <w:pPr>
        <w:rPr>
          <w:rFonts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br w:type="page"/>
      </w:r>
    </w:p>
    <w:p w14:paraId="7D4299BC">
      <w:pPr>
        <w:pStyle w:val="2"/>
        <w:spacing w:after="0" w:line="360" w:lineRule="auto"/>
        <w:jc w:val="center"/>
        <w:rPr>
          <w:rFonts w:ascii="宋体" w:hAnsi="宋体" w:cs="宋体"/>
          <w:color w:val="auto"/>
          <w:sz w:val="32"/>
          <w:szCs w:val="22"/>
          <w:highlight w:val="none"/>
          <w:lang w:eastAsia="zh-CN"/>
        </w:rPr>
      </w:pPr>
      <w:bookmarkStart w:id="10" w:name="_Toc23171"/>
      <w:bookmarkStart w:id="11" w:name="_Toc4106"/>
      <w:r>
        <w:rPr>
          <w:rFonts w:hint="eastAsia" w:ascii="宋体" w:hAnsi="宋体" w:cs="宋体"/>
          <w:color w:val="auto"/>
          <w:sz w:val="32"/>
          <w:szCs w:val="22"/>
          <w:highlight w:val="none"/>
          <w:lang w:eastAsia="zh-CN"/>
        </w:rPr>
        <w:t>第二章   投标人须知</w:t>
      </w:r>
      <w:bookmarkEnd w:id="10"/>
      <w:bookmarkEnd w:id="11"/>
    </w:p>
    <w:p w14:paraId="4110879C">
      <w:pPr>
        <w:spacing w:before="254" w:line="221" w:lineRule="auto"/>
        <w:ind w:left="4050"/>
        <w:rPr>
          <w:rFonts w:ascii="宋体" w:hAnsi="宋体" w:eastAsia="宋体" w:cs="宋体"/>
          <w:color w:val="auto"/>
          <w:sz w:val="24"/>
          <w:szCs w:val="24"/>
          <w:highlight w:val="none"/>
          <w:lang w:eastAsia="zh-CN"/>
        </w:rPr>
      </w:pPr>
      <w:bookmarkStart w:id="12" w:name="_Toc15682"/>
      <w:r>
        <w:rPr>
          <w:rFonts w:hint="eastAsia"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一、总</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则</w:t>
      </w:r>
      <w:bookmarkEnd w:id="12"/>
    </w:p>
    <w:p w14:paraId="4029DD54">
      <w:pPr>
        <w:spacing w:before="181" w:line="219" w:lineRule="auto"/>
        <w:rPr>
          <w:rFonts w:ascii="宋体" w:hAnsi="宋体" w:eastAsia="宋体" w:cs="宋体"/>
          <w:b/>
          <w:bCs/>
          <w:color w:val="auto"/>
          <w:spacing w:val="-2"/>
          <w:sz w:val="24"/>
          <w:szCs w:val="24"/>
          <w:highlight w:val="none"/>
          <w:lang w:eastAsia="zh-CN"/>
        </w:rPr>
      </w:pPr>
      <w:bookmarkStart w:id="13" w:name="_Toc20563"/>
      <w:r>
        <w:rPr>
          <w:rFonts w:hint="eastAsia" w:ascii="宋体" w:hAnsi="宋体" w:eastAsia="宋体" w:cs="宋体"/>
          <w:b/>
          <w:bCs/>
          <w:color w:val="auto"/>
          <w:spacing w:val="-2"/>
          <w:sz w:val="24"/>
          <w:szCs w:val="24"/>
          <w:highlight w:val="none"/>
          <w:lang w:eastAsia="zh-CN"/>
        </w:rPr>
        <w:t>1.资金来源：财政资金。</w:t>
      </w:r>
      <w:bookmarkEnd w:id="13"/>
    </w:p>
    <w:p w14:paraId="52315BCA">
      <w:pPr>
        <w:spacing w:before="181" w:line="219" w:lineRule="auto"/>
        <w:rPr>
          <w:rFonts w:ascii="宋体" w:hAnsi="宋体" w:eastAsia="宋体" w:cs="宋体"/>
          <w:b/>
          <w:bCs/>
          <w:color w:val="auto"/>
          <w:spacing w:val="-2"/>
          <w:sz w:val="24"/>
          <w:szCs w:val="24"/>
          <w:highlight w:val="none"/>
          <w:lang w:eastAsia="zh-CN"/>
        </w:rPr>
      </w:pPr>
      <w:bookmarkStart w:id="14" w:name="_Toc11362"/>
      <w:r>
        <w:rPr>
          <w:rFonts w:hint="eastAsia" w:ascii="宋体" w:hAnsi="宋体" w:eastAsia="宋体" w:cs="宋体"/>
          <w:b/>
          <w:bCs/>
          <w:color w:val="auto"/>
          <w:spacing w:val="-2"/>
          <w:sz w:val="24"/>
          <w:szCs w:val="24"/>
          <w:highlight w:val="none"/>
          <w:lang w:eastAsia="zh-CN"/>
        </w:rPr>
        <w:t>2.采购人、采购代理机构、投标人</w:t>
      </w:r>
      <w:bookmarkEnd w:id="14"/>
    </w:p>
    <w:p w14:paraId="6A8C6DA1">
      <w:pPr>
        <w:spacing w:before="181" w:line="219" w:lineRule="auto"/>
        <w:ind w:firstLine="236" w:firstLineChars="1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2.1“采购人”是指：长春中医药大学附属医院，项目采购单位，合同的需方。</w:t>
      </w:r>
    </w:p>
    <w:p w14:paraId="72C36A30">
      <w:pPr>
        <w:spacing w:before="183" w:line="219" w:lineRule="auto"/>
        <w:ind w:firstLine="236" w:firstLineChars="1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2.2“采购代理机构”是指：中经国际招标集团有限公司。</w:t>
      </w:r>
    </w:p>
    <w:p w14:paraId="39E70CEA">
      <w:pPr>
        <w:tabs>
          <w:tab w:val="left" w:pos="201"/>
        </w:tabs>
        <w:spacing w:before="183" w:line="219" w:lineRule="auto"/>
        <w:ind w:firstLine="234" w:firstLineChars="100"/>
        <w:rPr>
          <w:rFonts w:ascii="宋体" w:hAnsi="宋体" w:eastAsia="宋体" w:cs="宋体"/>
          <w:color w:val="auto"/>
          <w:sz w:val="24"/>
          <w:szCs w:val="24"/>
          <w:highlight w:val="none"/>
          <w:lang w:eastAsia="zh-CN"/>
        </w:rPr>
      </w:pPr>
      <w:bookmarkStart w:id="15" w:name="_Toc26658"/>
      <w:r>
        <w:rPr>
          <w:rFonts w:hint="eastAsia" w:ascii="宋体" w:hAnsi="宋体" w:eastAsia="宋体" w:cs="宋体"/>
          <w:color w:val="auto"/>
          <w:spacing w:val="-3"/>
          <w:sz w:val="24"/>
          <w:szCs w:val="24"/>
          <w:highlight w:val="none"/>
          <w:lang w:eastAsia="zh-CN"/>
        </w:rPr>
        <w:t>2.3“投标人（也称“供应商”、“申请人”）</w:t>
      </w:r>
      <w:r>
        <w:rPr>
          <w:rFonts w:hint="eastAsia" w:ascii="宋体" w:hAnsi="宋体" w:eastAsia="宋体" w:cs="宋体"/>
          <w:color w:val="auto"/>
          <w:spacing w:val="-86"/>
          <w:sz w:val="24"/>
          <w:szCs w:val="24"/>
          <w:highlight w:val="none"/>
          <w:lang w:eastAsia="zh-CN"/>
        </w:rPr>
        <w:t>”</w:t>
      </w:r>
      <w:r>
        <w:rPr>
          <w:rFonts w:hint="eastAsia" w:ascii="宋体" w:hAnsi="宋体" w:eastAsia="宋体" w:cs="宋体"/>
          <w:color w:val="auto"/>
          <w:spacing w:val="-3"/>
          <w:sz w:val="24"/>
          <w:szCs w:val="24"/>
          <w:highlight w:val="none"/>
          <w:lang w:eastAsia="zh-CN"/>
        </w:rPr>
        <w:t>是指响应招标、参加投标竞争的法</w:t>
      </w:r>
      <w:bookmarkEnd w:id="15"/>
    </w:p>
    <w:p w14:paraId="2B34F5F1">
      <w:pPr>
        <w:spacing w:before="180" w:line="221" w:lineRule="auto"/>
        <w:ind w:left="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人、其他组织或者自然人。</w:t>
      </w:r>
    </w:p>
    <w:p w14:paraId="51536B77">
      <w:pPr>
        <w:spacing w:before="181" w:line="219" w:lineRule="auto"/>
        <w:rPr>
          <w:rFonts w:ascii="宋体" w:hAnsi="宋体" w:eastAsia="宋体" w:cs="宋体"/>
          <w:b/>
          <w:bCs/>
          <w:color w:val="auto"/>
          <w:spacing w:val="-2"/>
          <w:sz w:val="24"/>
          <w:szCs w:val="24"/>
          <w:highlight w:val="none"/>
          <w:lang w:eastAsia="zh-CN"/>
        </w:rPr>
      </w:pPr>
      <w:bookmarkStart w:id="16" w:name="_Toc22020"/>
      <w:r>
        <w:rPr>
          <w:rFonts w:hint="eastAsia" w:ascii="宋体" w:hAnsi="宋体" w:eastAsia="宋体" w:cs="宋体"/>
          <w:b/>
          <w:bCs/>
          <w:color w:val="auto"/>
          <w:spacing w:val="-2"/>
          <w:sz w:val="24"/>
          <w:szCs w:val="24"/>
          <w:highlight w:val="none"/>
          <w:lang w:eastAsia="zh-CN"/>
        </w:rPr>
        <w:t>3.合格投标人</w:t>
      </w:r>
      <w:bookmarkEnd w:id="16"/>
    </w:p>
    <w:p w14:paraId="122B98F2">
      <w:pPr>
        <w:spacing w:before="183" w:line="219" w:lineRule="auto"/>
        <w:ind w:left="482"/>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详见招标公告“二、申请人的资格要求”</w:t>
      </w:r>
    </w:p>
    <w:p w14:paraId="3D83BF5A">
      <w:pPr>
        <w:spacing w:before="181"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4.投标费用</w:t>
      </w:r>
    </w:p>
    <w:p w14:paraId="719F71F2">
      <w:pPr>
        <w:spacing w:before="181"/>
        <w:ind w:firstLine="476" w:firstLineChars="200"/>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投标人应承担所有与编写和提交投标文件有关的费用，无论投标的结果如何，采购人和采购代理机构在任何情况下均无义务和责任承担这些费用。</w:t>
      </w:r>
    </w:p>
    <w:p w14:paraId="24E1A0AD">
      <w:pPr>
        <w:spacing w:before="183" w:line="219" w:lineRule="auto"/>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5.政府采购政策（包括但不限于下列具体政策要求）</w:t>
      </w:r>
    </w:p>
    <w:p w14:paraId="03F14F8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 采购本国货物、工程和服务</w:t>
      </w:r>
    </w:p>
    <w:p w14:paraId="5DCC6F8C">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5.1.1 政府采购应当采购本国货物、工程和服务。但有《中华人民共和国政府采购法》第十条规定情形的除外。</w:t>
      </w:r>
    </w:p>
    <w:p w14:paraId="080B790D">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0BF602FB">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bCs/>
          <w:color w:val="auto"/>
          <w:sz w:val="24"/>
          <w:szCs w:val="24"/>
          <w:highlight w:val="none"/>
          <w:lang w:eastAsia="zh-CN"/>
        </w:rPr>
        <w:t>投标进口产品的为无效投标</w:t>
      </w:r>
      <w:r>
        <w:rPr>
          <w:rFonts w:hint="eastAsia" w:ascii="宋体" w:hAnsi="宋体" w:eastAsia="宋体" w:cs="宋体"/>
          <w:color w:val="auto"/>
          <w:sz w:val="24"/>
          <w:szCs w:val="24"/>
          <w:highlight w:val="none"/>
          <w:lang w:eastAsia="zh-CN"/>
        </w:rPr>
        <w:t>。在中国境内生产或组装的外国品牌产品须标明该产品在中国国内制造厂商名称。否则，按进口产品对待。</w:t>
      </w:r>
    </w:p>
    <w:p w14:paraId="3A57D9F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 政府采购节能产品、环境标志产品</w:t>
      </w:r>
    </w:p>
    <w:p w14:paraId="45DE795D">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E99B550">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D189851">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30F1B5C6">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5.2.4 非政府强制采购的节能产品或环境标志产品，依据品目清单和认证证书实施政府优先采购。优先采购的具体规定见第三章《评标办法》。</w:t>
      </w:r>
    </w:p>
    <w:p w14:paraId="03D3281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 正版软件</w:t>
      </w:r>
    </w:p>
    <w:p w14:paraId="76B605D3">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2B4194A">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8CC1CDC">
      <w:pPr>
        <w:spacing w:before="178" w:line="220" w:lineRule="auto"/>
        <w:ind w:left="393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二、招标文件</w:t>
      </w:r>
    </w:p>
    <w:p w14:paraId="5FE4C816">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6.招标文件</w:t>
      </w:r>
    </w:p>
    <w:p w14:paraId="0B959250">
      <w:pPr>
        <w:spacing w:before="179" w:line="220" w:lineRule="auto"/>
        <w:ind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6.1</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招标文件的构成</w:t>
      </w:r>
    </w:p>
    <w:p w14:paraId="1AAA3BAB">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第一章 招标公告</w:t>
      </w:r>
    </w:p>
    <w:p w14:paraId="76FC2B22">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第二章 投标人须知</w:t>
      </w:r>
    </w:p>
    <w:p w14:paraId="768D4857">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第三章 评标办法</w:t>
      </w:r>
    </w:p>
    <w:p w14:paraId="188D02F3">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第四章 合同条款(参考格式)</w:t>
      </w:r>
    </w:p>
    <w:p w14:paraId="30460CE6">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第五章 采购需求</w:t>
      </w:r>
    </w:p>
    <w:p w14:paraId="182EB78A">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第六章 投标文件构成及格式</w:t>
      </w:r>
    </w:p>
    <w:p w14:paraId="0607697E">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 投标人应认真阅读招标文件的全部内容。投标人应按照招标文件要求提交投标文件并保证所提供的全部资料的真实性，并对招标文件做出实质性响应，否则投标无效。</w:t>
      </w:r>
    </w:p>
    <w:p w14:paraId="0E010D50">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7.招标文件的澄清和修改</w:t>
      </w:r>
    </w:p>
    <w:p w14:paraId="1E1B3B48">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1A5D3A6A">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 止时间 15 日前，以书面形式通知所有获取招标文件的潜在投标人；不足 15 日的，采购人 或者采购代理机构将顺延提交投标文件的截止时间。在这种情况下，采购人、采购代理机构和投标人受投标截止时间制约的所有权利和义务均相应顺延至新的投标截止时间。</w:t>
      </w:r>
    </w:p>
    <w:p w14:paraId="639DF8A7">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 本项目不召开答疑会。</w:t>
      </w:r>
    </w:p>
    <w:p w14:paraId="03D9BAAF">
      <w:pPr>
        <w:spacing w:before="48" w:line="220" w:lineRule="auto"/>
        <w:ind w:left="392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三、投标文件</w:t>
      </w:r>
    </w:p>
    <w:p w14:paraId="24176B28">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8.投标范围、投标语言及投标文件中计量单位的使用</w:t>
      </w:r>
    </w:p>
    <w:p w14:paraId="4C8A5846">
      <w:pPr>
        <w:spacing w:before="181"/>
        <w:ind w:firstLine="238" w:firstLineChars="1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8.1</w:t>
      </w:r>
      <w:r>
        <w:rPr>
          <w:rFonts w:hint="eastAsia" w:ascii="宋体" w:hAnsi="宋体" w:eastAsia="宋体" w:cs="宋体"/>
          <w:color w:val="auto"/>
          <w:spacing w:val="-3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本项目如划分采购包，投标人可以对本项目的其中一个采购包进行投标，也可同</w:t>
      </w:r>
      <w:r>
        <w:rPr>
          <w:rFonts w:hint="eastAsia" w:ascii="宋体" w:hAnsi="宋体" w:eastAsia="宋体" w:cs="宋体"/>
          <w:color w:val="auto"/>
          <w:spacing w:val="-2"/>
          <w:sz w:val="24"/>
          <w:szCs w:val="24"/>
          <w:highlight w:val="none"/>
          <w:lang w:eastAsia="zh-CN"/>
        </w:rPr>
        <w:t>时对多个采购包进行投标。</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求》所列的全部</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购包的投标将被认定</w:t>
      </w:r>
    </w:p>
    <w:p w14:paraId="33494FE1">
      <w:pPr>
        <w:spacing w:before="1"/>
        <w:ind w:left="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为无效投标</w:t>
      </w:r>
      <w:r>
        <w:rPr>
          <w:rFonts w:hint="eastAsia" w:ascii="宋体" w:hAnsi="宋体" w:eastAsia="宋体" w:cs="宋体"/>
          <w:color w:val="auto"/>
          <w:spacing w:val="-2"/>
          <w:sz w:val="24"/>
          <w:szCs w:val="24"/>
          <w:highlight w:val="none"/>
          <w:lang w:eastAsia="zh-CN"/>
        </w:rPr>
        <w:t>。</w:t>
      </w:r>
    </w:p>
    <w:p w14:paraId="15A85869">
      <w:pPr>
        <w:spacing w:before="181"/>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704A11B">
      <w:pPr>
        <w:spacing w:before="181"/>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8.3 除招标文件有特殊要求外，本项目投标所使用的计量单位，应采用中华人民共和国法定计量单位。</w:t>
      </w:r>
    </w:p>
    <w:p w14:paraId="48581F42">
      <w:pPr>
        <w:spacing w:before="183" w:line="219" w:lineRule="auto"/>
        <w:rPr>
          <w:rFonts w:ascii="宋体" w:hAnsi="宋体" w:eastAsia="宋体" w:cs="宋体"/>
          <w:b/>
          <w:bCs/>
          <w:color w:val="auto"/>
          <w:spacing w:val="-2"/>
          <w:sz w:val="24"/>
          <w:szCs w:val="24"/>
          <w:highlight w:val="none"/>
          <w:lang w:eastAsia="zh-CN"/>
        </w:rPr>
      </w:pPr>
      <w:bookmarkStart w:id="17" w:name="_Toc13866"/>
      <w:r>
        <w:rPr>
          <w:rFonts w:hint="eastAsia" w:ascii="宋体" w:hAnsi="宋体" w:eastAsia="宋体" w:cs="宋体"/>
          <w:b/>
          <w:bCs/>
          <w:color w:val="auto"/>
          <w:spacing w:val="-2"/>
          <w:sz w:val="24"/>
          <w:szCs w:val="24"/>
          <w:highlight w:val="none"/>
          <w:lang w:eastAsia="zh-CN"/>
        </w:rPr>
        <w:t>9.投标文件构成</w:t>
      </w:r>
      <w:bookmarkEnd w:id="17"/>
    </w:p>
    <w:p w14:paraId="59F0FEC3">
      <w:pPr>
        <w:spacing w:before="181"/>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9.1 投标人应当按照招标文件的要求编制投标文件。投标文件的部分格式要求，见第六章《投标文件构成及格式》。</w:t>
      </w:r>
    </w:p>
    <w:p w14:paraId="7104923F">
      <w:pPr>
        <w:spacing w:before="181"/>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9.2 投标文件应编制文件目录，准确标明文件内容所在位置。投标文件应包含但不限</w:t>
      </w:r>
    </w:p>
    <w:p w14:paraId="5A8841E9">
      <w:pPr>
        <w:spacing w:before="182" w:line="224" w:lineRule="auto"/>
        <w:ind w:left="2"/>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于：</w:t>
      </w:r>
    </w:p>
    <w:p w14:paraId="197B83C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格式一：开标一览表</w:t>
      </w:r>
    </w:p>
    <w:p w14:paraId="13EE0175">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格式二：投标函</w:t>
      </w:r>
    </w:p>
    <w:p w14:paraId="38ABAF18">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格式三：投标报价明细表</w:t>
      </w:r>
    </w:p>
    <w:p w14:paraId="6ABE378A">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格式四：采购需求偏离表</w:t>
      </w:r>
    </w:p>
    <w:p w14:paraId="1F424249">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格式五：售后服务承诺书</w:t>
      </w:r>
    </w:p>
    <w:p w14:paraId="37F2FB63">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格式六：法定代表人（单位负责人）身份证明</w:t>
      </w:r>
    </w:p>
    <w:p w14:paraId="7164AF14">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格式七：授权委托书</w:t>
      </w:r>
    </w:p>
    <w:p w14:paraId="0864D3CE">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格式八：中标服务费承诺书</w:t>
      </w:r>
    </w:p>
    <w:p w14:paraId="60E91E55">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格式九：中小企业声明函</w:t>
      </w:r>
    </w:p>
    <w:p w14:paraId="678E634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格式十：类似业绩一览表</w:t>
      </w:r>
    </w:p>
    <w:p w14:paraId="50891D72">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格式十一：资格条件承诺函</w:t>
      </w:r>
    </w:p>
    <w:p w14:paraId="1B3AFD00">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格式十二：招标文件要求提供或供应商认为需要提供的其它材料</w:t>
      </w:r>
    </w:p>
    <w:p w14:paraId="479736A2">
      <w:pPr>
        <w:spacing w:before="180" w:line="220" w:lineRule="auto"/>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9.3 第三章《评标办法》中涉及的证明文件。</w:t>
      </w:r>
    </w:p>
    <w:p w14:paraId="22BC4F64">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62EC066C">
      <w:pPr>
        <w:spacing w:before="183" w:line="219" w:lineRule="auto"/>
        <w:ind w:firstLine="236" w:firstLineChars="1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9.5</w:t>
      </w:r>
      <w:r>
        <w:rPr>
          <w:rFonts w:hint="eastAsia" w:ascii="宋体" w:hAnsi="宋体" w:eastAsia="宋体" w:cs="宋体"/>
          <w:color w:val="auto"/>
          <w:spacing w:val="-4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投标人认为应附的其他材料。</w:t>
      </w:r>
    </w:p>
    <w:p w14:paraId="1BA5B005">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10.投标报价</w:t>
      </w:r>
    </w:p>
    <w:p w14:paraId="463C6057">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 报价原则：所有投标均以人民币报价。</w:t>
      </w:r>
    </w:p>
    <w:p w14:paraId="1417BE23">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 投标人的报价应包括为完成本项目所发生的一切费用和税费，采购人将不再支付报价以外的任何费用。</w:t>
      </w:r>
    </w:p>
    <w:p w14:paraId="43B8F63F">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81CEDFF">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10.2.2 按照招标文件要求完成本项目的全部相关费用。</w:t>
      </w:r>
    </w:p>
    <w:p w14:paraId="14D0D3D2">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48BB16C2">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 采购人不得向投标人索要或者接受其给予的赠品、回扣或者与采购无关的其他商品、服务。</w:t>
      </w:r>
    </w:p>
    <w:p w14:paraId="4F8A6EA2">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11.投标保证金</w:t>
      </w:r>
    </w:p>
    <w:p w14:paraId="4F4F8958">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投标保证金的金额（人民币）：</w:t>
      </w:r>
    </w:p>
    <w:p w14:paraId="39ABA2EA">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01标段：</w:t>
      </w: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lang w:eastAsia="zh-CN"/>
        </w:rPr>
        <w:t>00元；</w:t>
      </w:r>
    </w:p>
    <w:p w14:paraId="5DF108B1">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02标段：</w:t>
      </w:r>
      <w:r>
        <w:rPr>
          <w:rFonts w:hint="eastAsia" w:ascii="宋体" w:hAnsi="宋体" w:eastAsia="宋体" w:cs="宋体"/>
          <w:color w:val="auto"/>
          <w:sz w:val="24"/>
          <w:szCs w:val="24"/>
          <w:highlight w:val="none"/>
          <w:lang w:val="en-US" w:eastAsia="zh-CN"/>
        </w:rPr>
        <w:t>76</w:t>
      </w:r>
      <w:r>
        <w:rPr>
          <w:rFonts w:hint="eastAsia" w:ascii="宋体" w:hAnsi="宋体" w:eastAsia="宋体" w:cs="宋体"/>
          <w:color w:val="auto"/>
          <w:sz w:val="24"/>
          <w:szCs w:val="24"/>
          <w:highlight w:val="none"/>
          <w:lang w:eastAsia="zh-CN"/>
        </w:rPr>
        <w:t>00元；</w:t>
      </w:r>
    </w:p>
    <w:p w14:paraId="5EA51070">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03标段：</w:t>
      </w:r>
      <w:r>
        <w:rPr>
          <w:rFonts w:hint="eastAsia" w:ascii="宋体" w:hAnsi="宋体" w:eastAsia="宋体" w:cs="宋体"/>
          <w:color w:val="auto"/>
          <w:sz w:val="24"/>
          <w:szCs w:val="24"/>
          <w:highlight w:val="none"/>
          <w:lang w:val="en-US" w:eastAsia="zh-CN"/>
        </w:rPr>
        <w:t>188</w:t>
      </w:r>
      <w:r>
        <w:rPr>
          <w:rFonts w:hint="eastAsia" w:ascii="宋体" w:hAnsi="宋体" w:eastAsia="宋体" w:cs="宋体"/>
          <w:color w:val="auto"/>
          <w:sz w:val="24"/>
          <w:szCs w:val="24"/>
          <w:highlight w:val="none"/>
          <w:lang w:eastAsia="zh-CN"/>
        </w:rPr>
        <w:t>00元；</w:t>
      </w:r>
    </w:p>
    <w:p w14:paraId="6D7DB4FA">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04标段：</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400元；</w:t>
      </w:r>
    </w:p>
    <w:p w14:paraId="3C1F10BD">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递交形式：银行出具的现金支票、保兑支票、银行汇票，银行或担保机构出具的保函等形式；以现金或支票形式提交的投标保证金应当从供应商的基本账户转出；</w:t>
      </w:r>
    </w:p>
    <w:p w14:paraId="77D2BF92">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账户名称：中经国际招标集团吉林有限公司</w:t>
      </w:r>
    </w:p>
    <w:p w14:paraId="1766D74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 户 行：中国民生银行长春分行</w:t>
      </w:r>
    </w:p>
    <w:p w14:paraId="53121502">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账    号：699 726 026 </w:t>
      </w:r>
    </w:p>
    <w:p w14:paraId="61856C23">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投标保证金是投标文件的组成部分，应当从供应商的基本账户转出；未按要求提交的，视为放弃投标，采购人将不接受其投标文件。供应商应在银行进账单或电汇凭证上明确用途、项目名称的简要信息。以汇票、保函形式递交的投标保证金须在投标文件递交的截止时间前将原件递交至采购代理机构并将复印件加盖公章装入到投标文件中。各供应商转款后须将存款凭证扫描件发送到采购代理机构邮箱2674627898@qq.com内，并联系采购代理机构联系人及时查账。（转账凭证扫描件要求字迹清晰）</w:t>
      </w:r>
    </w:p>
    <w:p w14:paraId="7C8D3CB6">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12.投标有效期</w:t>
      </w:r>
    </w:p>
    <w:p w14:paraId="27C8FD4E">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0A6BD7A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52F94C43">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13.投标文件的式样和签署</w:t>
      </w:r>
    </w:p>
    <w:p w14:paraId="2381F27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 投标人应按照本须知的要求编制投标文件，逐项逐条响应招标文件并使用下载的政采云投标客户端制作并上传。</w:t>
      </w:r>
    </w:p>
    <w:p w14:paraId="60CFEA6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5EB8A94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0467A70C">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3DC478DD">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 评标前准备</w:t>
      </w:r>
    </w:p>
    <w:p w14:paraId="07A0ACE1">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 本项目实行网上评审，采用电子投标文件。</w:t>
      </w:r>
    </w:p>
    <w:p w14:paraId="7926AAD0">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092B8801">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13.5.3 投标人将政采云电子交易客户端下载、安装完成后，可通过登录客户端进行响应文件制作。客户端请至网站下载专区查看，如有问题可拨打政采云客户服务热线95763进行咨询。</w:t>
      </w:r>
    </w:p>
    <w:p w14:paraId="3E3A8EA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 其他说明</w:t>
      </w:r>
    </w:p>
    <w:p w14:paraId="4F883F16">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13.6.1 投标人应先安装“政采云投标客户端”（请自行前往政采云平台进行下载</w:t>
      </w:r>
      <w:r>
        <w:rPr>
          <w:color w:val="auto"/>
          <w:highlight w:val="none"/>
        </w:rPr>
        <w:fldChar w:fldCharType="begin"/>
      </w:r>
      <w:r>
        <w:rPr>
          <w:color w:val="auto"/>
          <w:highlight w:val="none"/>
        </w:rPr>
        <w:instrText xml:space="preserve"> HYPERLINK "https://customer.zcygov.cn/CA-driver-download?utm=web-login-front.52cebfa2.0" </w:instrText>
      </w:r>
      <w:r>
        <w:rPr>
          <w:color w:val="auto"/>
          <w:highlight w:val="none"/>
        </w:rPr>
        <w:fldChar w:fldCharType="separate"/>
      </w:r>
      <w:r>
        <w:rPr>
          <w:rFonts w:hint="eastAsia" w:ascii="宋体" w:hAnsi="宋体" w:eastAsia="宋体" w:cs="宋体"/>
          <w:color w:val="auto"/>
          <w:sz w:val="24"/>
          <w:szCs w:val="24"/>
          <w:highlight w:val="none"/>
          <w:lang w:eastAsia="zh-CN"/>
        </w:rPr>
        <w:t>https://customer.zcygov.cn/CA-driver-download?utm=web-login-front.52cebfa2.0</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.0.04df4040034511edaac705fda12edb43），通过账号密码或CA登录客户端制作投标文件。</w:t>
      </w:r>
    </w:p>
    <w:p w14:paraId="2C17884C">
      <w:pPr>
        <w:spacing w:before="179"/>
        <w:ind w:firstLine="476"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 xml:space="preserve">13.6.2 </w:t>
      </w:r>
      <w:r>
        <w:rPr>
          <w:rFonts w:hint="eastAsia" w:ascii="宋体" w:hAnsi="宋体" w:eastAsia="宋体" w:cs="宋体"/>
          <w:color w:val="auto"/>
          <w:spacing w:val="-1"/>
          <w:position w:val="17"/>
          <w:sz w:val="24"/>
          <w:szCs w:val="24"/>
          <w:highlight w:val="none"/>
          <w:lang w:eastAsia="zh-CN"/>
          <w14:textOutline w14:w="4356" w14:cap="sq" w14:cmpd="sng" w14:algn="ctr">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求签署、盖章的，其响应投标无效</w:t>
      </w:r>
      <w:r>
        <w:rPr>
          <w:rFonts w:hint="eastAsia" w:ascii="宋体" w:hAnsi="宋体" w:eastAsia="宋体" w:cs="宋体"/>
          <w:color w:val="auto"/>
          <w:sz w:val="24"/>
          <w:szCs w:val="24"/>
          <w:highlight w:val="none"/>
          <w:lang w:eastAsia="zh-CN"/>
        </w:rPr>
        <w:t>。</w:t>
      </w:r>
    </w:p>
    <w:p w14:paraId="40AA58F8">
      <w:pPr>
        <w:spacing w:before="183"/>
        <w:ind w:right="170" w:firstLine="476"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1"/>
          <w:sz w:val="24"/>
          <w:szCs w:val="24"/>
          <w:highlight w:val="none"/>
          <w:lang w:eastAsia="zh-CN"/>
        </w:rPr>
        <w:t>13.6.3 为确保网上操作合法、有效和安全，投标人应当在投标文件递交截止时间前</w:t>
      </w:r>
      <w:r>
        <w:rPr>
          <w:rFonts w:hint="eastAsia" w:ascii="宋体" w:hAnsi="宋体" w:eastAsia="宋体" w:cs="宋体"/>
          <w:color w:val="auto"/>
          <w:spacing w:val="1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完成在政采云平台的身份认证，确保在电子投标过程中能够对相关数据电文进行加密和使用电子签名。</w:t>
      </w:r>
    </w:p>
    <w:p w14:paraId="28CD5620">
      <w:pPr>
        <w:spacing w:before="48" w:line="359" w:lineRule="auto"/>
        <w:ind w:left="1" w:right="230" w:firstLine="4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13.6.4 </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highlight w:val="none"/>
          <w:lang w:eastAsia="zh-CN"/>
        </w:rPr>
        <w:t xml:space="preserve"> </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致，</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否则作无效投标处理</w:t>
      </w:r>
      <w:r>
        <w:rPr>
          <w:rFonts w:hint="eastAsia" w:ascii="宋体" w:hAnsi="宋体" w:eastAsia="宋体" w:cs="宋体"/>
          <w:color w:val="auto"/>
          <w:spacing w:val="-1"/>
          <w:sz w:val="24"/>
          <w:szCs w:val="24"/>
          <w:highlight w:val="none"/>
          <w:lang w:eastAsia="zh-CN"/>
        </w:rPr>
        <w:t>。</w:t>
      </w:r>
    </w:p>
    <w:p w14:paraId="5AC40A26">
      <w:pPr>
        <w:spacing w:before="183" w:line="219" w:lineRule="auto"/>
        <w:rPr>
          <w:rFonts w:ascii="宋体" w:hAnsi="宋体" w:eastAsia="宋体" w:cs="宋体"/>
          <w:b/>
          <w:bCs/>
          <w:color w:val="auto"/>
          <w:spacing w:val="-2"/>
          <w:sz w:val="24"/>
          <w:szCs w:val="24"/>
          <w:highlight w:val="none"/>
          <w:lang w:eastAsia="zh-CN"/>
        </w:rPr>
      </w:pPr>
      <w:bookmarkStart w:id="18" w:name="_Toc12487"/>
      <w:r>
        <w:rPr>
          <w:rFonts w:hint="eastAsia" w:ascii="宋体" w:hAnsi="宋体" w:eastAsia="宋体" w:cs="宋体"/>
          <w:b/>
          <w:bCs/>
          <w:color w:val="auto"/>
          <w:spacing w:val="-2"/>
          <w:sz w:val="24"/>
          <w:szCs w:val="24"/>
          <w:highlight w:val="none"/>
          <w:lang w:eastAsia="zh-CN"/>
        </w:rPr>
        <w:t>14.投标文件的修改和撤回</w:t>
      </w:r>
      <w:bookmarkEnd w:id="18"/>
    </w:p>
    <w:p w14:paraId="4E339C7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）将拒收。</w:t>
      </w:r>
    </w:p>
    <w:p w14:paraId="6446D951">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 在投标文件提交截止时间前，除投标人补充、修改或者撤回投标文件外，任何</w:t>
      </w:r>
    </w:p>
    <w:p w14:paraId="6B96A4B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单位和个人不得解密或提取投标文件。</w:t>
      </w:r>
    </w:p>
    <w:p w14:paraId="13407E6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14.3 在投标截止时间（开标时间）之后，投标人不得对其投标文件做任何修改。</w:t>
      </w:r>
    </w:p>
    <w:p w14:paraId="139C92B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14.4 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14:paraId="55E0CABF">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15.投标</w:t>
      </w:r>
    </w:p>
    <w:p w14:paraId="5DB520D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15.1本项目开标方式为远程开标，供应商不到现场。供应商开标时，需携带制作投标文件时用来加密的有效数字证书（CA认证）登录“政采云”平台电子开标大厅现场按规定时间对加密的响应文件进行解密。</w:t>
      </w:r>
    </w:p>
    <w:p w14:paraId="0225931B">
      <w:pPr>
        <w:spacing w:before="183"/>
        <w:ind w:left="178" w:leftChars="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投标文件提交方式：本项目为全流程电子化项目，通过“政采云”平台（http：</w:t>
      </w:r>
      <w:r>
        <w:rPr>
          <w:rFonts w:hint="eastAsia" w:ascii="宋体" w:hAnsi="宋体" w:eastAsia="宋体" w:cs="宋体"/>
          <w:color w:val="auto"/>
          <w:sz w:val="24"/>
          <w:szCs w:val="24"/>
          <w:highlight w:val="none"/>
        </w:rPr>
        <w:t>//www.zcygov.cn）实行在线电子投标，供应商应先安装“政采云电子交易客户端”（请自行前往“政采云”平台进行下载），并按照本项目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文件和“政采云”平台的要求编制、加密后在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文件提交截止时间前通过网络上传至“政采云”平台，供应商在“政采云”平台提交电子版</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文件时，请填写参加开标活动经办人联系方式。</w:t>
      </w:r>
    </w:p>
    <w:p w14:paraId="007A03A6">
      <w:pPr>
        <w:spacing w:before="189" w:line="220" w:lineRule="auto"/>
        <w:ind w:left="3106"/>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四、开标、资格性审查及评标</w:t>
      </w:r>
    </w:p>
    <w:p w14:paraId="4751DED0">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16.开标</w:t>
      </w:r>
    </w:p>
    <w:p w14:paraId="48E00DA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 采购代理机构将在招标公告中规定的时间和地点组织公开开标，邀请投标人线</w:t>
      </w:r>
    </w:p>
    <w:p w14:paraId="457DF7EA">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上通过政采云平台参加。</w:t>
      </w:r>
    </w:p>
    <w:p w14:paraId="49C8C4E6">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 开标会由采购代理机构组织并主持。本项目开标使用政采云平台（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w:t>
      </w:r>
    </w:p>
    <w:p w14:paraId="38DD0EE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16.3 投标人不足3家的，不开标。</w:t>
      </w:r>
    </w:p>
    <w:p w14:paraId="731E5EC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16.4 开标过程将使用政采云平台（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）宣布投标人名称、投标价格和招标文件规定的需要宣布的其他内容并进行记录，并由参加开标的各投标人确认。</w:t>
      </w:r>
      <w:r>
        <w:rPr>
          <w:rFonts w:hint="eastAsia" w:ascii="宋体" w:hAnsi="宋体" w:eastAsia="宋体" w:cs="宋体"/>
          <w:color w:val="auto"/>
          <w:sz w:val="24"/>
          <w:szCs w:val="24"/>
          <w:highlight w:val="none"/>
          <w:lang w:eastAsia="zh-CN"/>
        </w:rPr>
        <w:t>投标人未在规定时间内确认一览表的，视同认可开标结果。</w:t>
      </w:r>
    </w:p>
    <w:p w14:paraId="41A8822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16.5 按照规定，提交了可接受的“撤回”通知的投标将不予开封。撤回的投标文件将原封退回投标人。</w:t>
      </w:r>
    </w:p>
    <w:p w14:paraId="4A20DEAC">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7DA7D9C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16.7 开标时有下列情形之一的，采购人有权宣布本项目废标：</w:t>
      </w:r>
    </w:p>
    <w:p w14:paraId="36D6ADD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（1）交货期/合同履行期限符合招标文件要求的投标人不足三家的；</w:t>
      </w:r>
    </w:p>
    <w:p w14:paraId="68F2A22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（2）所有投标人的报价均超过采购项目预算，采购人不能支付的。</w:t>
      </w:r>
    </w:p>
    <w:p w14:paraId="24E6D99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16.8 投标文件解密</w:t>
      </w:r>
    </w:p>
    <w:p w14:paraId="1418089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16.8.1 投标人应当在招标文件规定的投标文件解密时间内对已上传的加密投标文件进行现场解密。如无特殊情况，解密工作须在投标截止时间后 30 分钟内完成。</w:t>
      </w:r>
    </w:p>
    <w:p w14:paraId="47B919C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16.8.2 投标人授权代表解密时应当使用制作加密电子投标文件的同一把数字证书对已上传的投标文件进行解密。</w:t>
      </w:r>
    </w:p>
    <w:p w14:paraId="4D015B53">
      <w:pPr>
        <w:spacing w:before="183"/>
        <w:ind w:left="178" w:leftChars="85"/>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 xml:space="preserve">16.8.3 </w:t>
      </w:r>
      <w:r>
        <w:rPr>
          <w:rFonts w:hint="eastAsia" w:ascii="宋体" w:hAnsi="宋体" w:eastAsia="宋体" w:cs="宋体"/>
          <w:b/>
          <w:bCs/>
          <w:color w:val="auto"/>
          <w:sz w:val="24"/>
          <w:szCs w:val="24"/>
          <w:highlight w:val="none"/>
          <w:lang w:eastAsia="zh-CN"/>
        </w:rPr>
        <w:t>因投标人自身原因，逾期未能成功解密的，视为逾期未提交投标文件，其投标无效。</w:t>
      </w:r>
    </w:p>
    <w:p w14:paraId="10370FD3">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17.资格性审查</w:t>
      </w:r>
    </w:p>
    <w:p w14:paraId="55A4E54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 开标结束后，采购人或采购代理机构将依法对投标人的资格进行审查，并详细填写下表。合格投标人不足 3 家的，不进行评标。</w:t>
      </w:r>
    </w:p>
    <w:p w14:paraId="678259C0">
      <w:pPr>
        <w:rPr>
          <w:rFonts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br w:type="page"/>
      </w:r>
    </w:p>
    <w:p w14:paraId="76837D48">
      <w:pPr>
        <w:spacing w:before="178" w:after="120" w:afterLines="50" w:line="221" w:lineRule="auto"/>
        <w:jc w:val="center"/>
        <w:rPr>
          <w:rFonts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资格性审查表</w:t>
      </w:r>
    </w:p>
    <w:tbl>
      <w:tblPr>
        <w:tblStyle w:val="27"/>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1852"/>
        <w:gridCol w:w="5667"/>
      </w:tblGrid>
      <w:tr w14:paraId="2EA5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6272D350">
            <w:pPr>
              <w:widowControl/>
              <w:jc w:val="center"/>
              <w:rPr>
                <w:rFonts w:ascii="宋体" w:hAnsi="宋体" w:eastAsia="宋体" w:cs="宋体"/>
                <w:b/>
                <w:bCs/>
                <w:color w:val="auto"/>
                <w:spacing w:val="-4"/>
                <w:highlight w:val="none"/>
                <w:lang w:eastAsia="zh-CN"/>
              </w:rPr>
            </w:pPr>
            <w:r>
              <w:rPr>
                <w:rFonts w:hint="eastAsia" w:ascii="宋体" w:hAnsi="宋体" w:eastAsia="宋体" w:cs="宋体"/>
                <w:b/>
                <w:bCs/>
                <w:color w:val="auto"/>
                <w:spacing w:val="-5"/>
                <w:highlight w:val="none"/>
              </w:rPr>
              <w:t>序号</w:t>
            </w:r>
          </w:p>
        </w:tc>
        <w:tc>
          <w:tcPr>
            <w:tcW w:w="1324" w:type="dxa"/>
            <w:vAlign w:val="center"/>
          </w:tcPr>
          <w:p w14:paraId="3C0C6E3C">
            <w:pPr>
              <w:widowControl/>
              <w:jc w:val="center"/>
              <w:rPr>
                <w:rFonts w:ascii="宋体" w:hAnsi="宋体" w:eastAsia="宋体" w:cs="宋体"/>
                <w:b/>
                <w:bCs/>
                <w:color w:val="auto"/>
                <w:spacing w:val="-4"/>
                <w:highlight w:val="none"/>
                <w:lang w:eastAsia="zh-CN"/>
              </w:rPr>
            </w:pPr>
            <w:r>
              <w:rPr>
                <w:rFonts w:hint="eastAsia" w:ascii="宋体" w:hAnsi="宋体" w:eastAsia="宋体" w:cs="宋体"/>
                <w:b/>
                <w:bCs/>
                <w:color w:val="auto"/>
                <w:spacing w:val="-5"/>
                <w:highlight w:val="none"/>
              </w:rPr>
              <w:t>类型</w:t>
            </w:r>
          </w:p>
        </w:tc>
        <w:tc>
          <w:tcPr>
            <w:tcW w:w="1852" w:type="dxa"/>
            <w:vAlign w:val="center"/>
          </w:tcPr>
          <w:p w14:paraId="65CAE719">
            <w:pPr>
              <w:widowControl/>
              <w:jc w:val="center"/>
              <w:rPr>
                <w:rFonts w:ascii="宋体" w:hAnsi="宋体" w:eastAsia="宋体" w:cs="宋体"/>
                <w:b/>
                <w:bCs/>
                <w:color w:val="auto"/>
                <w:spacing w:val="-4"/>
                <w:highlight w:val="none"/>
                <w:lang w:eastAsia="zh-CN"/>
              </w:rPr>
            </w:pPr>
            <w:r>
              <w:rPr>
                <w:rFonts w:hint="eastAsia" w:ascii="宋体" w:hAnsi="宋体" w:eastAsia="宋体" w:cs="宋体"/>
                <w:b/>
                <w:bCs/>
                <w:color w:val="auto"/>
                <w:spacing w:val="-5"/>
                <w:highlight w:val="none"/>
              </w:rPr>
              <w:t>审查内容</w:t>
            </w:r>
          </w:p>
        </w:tc>
        <w:tc>
          <w:tcPr>
            <w:tcW w:w="5667" w:type="dxa"/>
            <w:vAlign w:val="center"/>
          </w:tcPr>
          <w:p w14:paraId="28D3889C">
            <w:pPr>
              <w:widowControl/>
              <w:jc w:val="center"/>
              <w:rPr>
                <w:rFonts w:ascii="宋体" w:hAnsi="宋体" w:eastAsia="宋体" w:cs="宋体"/>
                <w:b/>
                <w:bCs/>
                <w:color w:val="auto"/>
                <w:spacing w:val="-4"/>
                <w:highlight w:val="none"/>
                <w:lang w:eastAsia="zh-CN"/>
              </w:rPr>
            </w:pPr>
            <w:r>
              <w:rPr>
                <w:rFonts w:hint="eastAsia" w:ascii="宋体" w:hAnsi="宋体" w:eastAsia="宋体" w:cs="宋体"/>
                <w:b/>
                <w:bCs/>
                <w:color w:val="auto"/>
                <w:spacing w:val="-3"/>
                <w:highlight w:val="none"/>
              </w:rPr>
              <w:t>要求说明</w:t>
            </w:r>
          </w:p>
        </w:tc>
      </w:tr>
      <w:tr w14:paraId="5126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33C004B">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1</w:t>
            </w:r>
          </w:p>
        </w:tc>
        <w:tc>
          <w:tcPr>
            <w:tcW w:w="1324" w:type="dxa"/>
            <w:vAlign w:val="center"/>
          </w:tcPr>
          <w:p w14:paraId="7E10EBD1">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基本资质1</w:t>
            </w:r>
          </w:p>
        </w:tc>
        <w:tc>
          <w:tcPr>
            <w:tcW w:w="1852" w:type="dxa"/>
            <w:vAlign w:val="center"/>
          </w:tcPr>
          <w:p w14:paraId="7AAC9EB5">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具有独立承担民事责任的能力</w:t>
            </w:r>
          </w:p>
        </w:tc>
        <w:tc>
          <w:tcPr>
            <w:tcW w:w="5667" w:type="dxa"/>
            <w:vAlign w:val="center"/>
          </w:tcPr>
          <w:p w14:paraId="584CA8A6">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投标人为企业（包括合伙企业）的，应提供有效的“营业执照”；</w:t>
            </w:r>
          </w:p>
          <w:p w14:paraId="3DBD2093">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投标人为事业单位的，应提供有效的“事业单位法人证书”；</w:t>
            </w:r>
          </w:p>
          <w:p w14:paraId="0F224BEA">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投标人是非企业机构的，应提供有效的“执业许可证”、“登记证书”等证明文件；</w:t>
            </w:r>
          </w:p>
          <w:p w14:paraId="0AB13451">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投标人是个体工商户的，应提供有效的“个体工商户营业执照”；</w:t>
            </w:r>
          </w:p>
          <w:p w14:paraId="0A9FFFB7">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投标人是自然人的，应提供有效的自然人身份证明。</w:t>
            </w:r>
          </w:p>
        </w:tc>
      </w:tr>
      <w:tr w14:paraId="1A7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365EE2AB">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2</w:t>
            </w:r>
          </w:p>
        </w:tc>
        <w:tc>
          <w:tcPr>
            <w:tcW w:w="1324" w:type="dxa"/>
            <w:vAlign w:val="center"/>
          </w:tcPr>
          <w:p w14:paraId="3DE704B5">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基本资质2</w:t>
            </w:r>
          </w:p>
        </w:tc>
        <w:tc>
          <w:tcPr>
            <w:tcW w:w="1852" w:type="dxa"/>
            <w:vAlign w:val="center"/>
          </w:tcPr>
          <w:p w14:paraId="796463E9">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财务要求及履约能力</w:t>
            </w:r>
          </w:p>
        </w:tc>
        <w:tc>
          <w:tcPr>
            <w:tcW w:w="5667" w:type="dxa"/>
            <w:vAlign w:val="center"/>
          </w:tcPr>
          <w:p w14:paraId="0ADE0F80">
            <w:pPr>
              <w:widowControl/>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具有良好的商业信誉和健全的财务会计制度；</w:t>
            </w:r>
          </w:p>
          <w:p w14:paraId="5F916BD5">
            <w:pPr>
              <w:widowControl/>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具有依法缴纳税收和社会保障资金的良好记录。</w:t>
            </w:r>
          </w:p>
          <w:p w14:paraId="32E32087">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提供资格条件承诺函。</w:t>
            </w:r>
          </w:p>
        </w:tc>
      </w:tr>
      <w:tr w14:paraId="74A1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512E3C14">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3</w:t>
            </w:r>
          </w:p>
        </w:tc>
        <w:tc>
          <w:tcPr>
            <w:tcW w:w="1324" w:type="dxa"/>
            <w:vAlign w:val="center"/>
          </w:tcPr>
          <w:p w14:paraId="69777BE6">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基本资质3</w:t>
            </w:r>
          </w:p>
        </w:tc>
        <w:tc>
          <w:tcPr>
            <w:tcW w:w="1852" w:type="dxa"/>
            <w:vAlign w:val="center"/>
          </w:tcPr>
          <w:p w14:paraId="2923D66F">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专业技术能力</w:t>
            </w:r>
          </w:p>
        </w:tc>
        <w:tc>
          <w:tcPr>
            <w:tcW w:w="5667" w:type="dxa"/>
            <w:vAlign w:val="center"/>
          </w:tcPr>
          <w:p w14:paraId="51DE6918">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具有履行合同所必需的设备和专业技术能力；</w:t>
            </w:r>
          </w:p>
          <w:p w14:paraId="112B347D">
            <w:pPr>
              <w:pStyle w:val="8"/>
              <w:widowControl w:val="0"/>
              <w:jc w:val="both"/>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提供加盖公章的承诺书或业绩证明材料复印件，格式自拟。</w:t>
            </w:r>
          </w:p>
        </w:tc>
      </w:tr>
      <w:tr w14:paraId="70A4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6F6E94F3">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4</w:t>
            </w:r>
          </w:p>
        </w:tc>
        <w:tc>
          <w:tcPr>
            <w:tcW w:w="1324" w:type="dxa"/>
            <w:shd w:val="clear" w:color="auto" w:fill="auto"/>
            <w:vAlign w:val="center"/>
          </w:tcPr>
          <w:p w14:paraId="64CA1428">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基本资质4</w:t>
            </w:r>
          </w:p>
        </w:tc>
        <w:tc>
          <w:tcPr>
            <w:tcW w:w="1852" w:type="dxa"/>
            <w:vAlign w:val="center"/>
          </w:tcPr>
          <w:p w14:paraId="44E4723C">
            <w:pPr>
              <w:widowControl/>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失信记录</w:t>
            </w:r>
          </w:p>
        </w:tc>
        <w:tc>
          <w:tcPr>
            <w:tcW w:w="5667" w:type="dxa"/>
            <w:vAlign w:val="center"/>
          </w:tcPr>
          <w:p w14:paraId="7EE8D30C">
            <w:pPr>
              <w:widowControl/>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参加政府采购活动前三年内，在经营活动中没有重大违法记录。</w:t>
            </w:r>
          </w:p>
          <w:p w14:paraId="6F8D7543">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提供加盖公章的承诺书，格式自拟。</w:t>
            </w:r>
          </w:p>
        </w:tc>
      </w:tr>
      <w:tr w14:paraId="6D5C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7452E22E">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5</w:t>
            </w:r>
          </w:p>
        </w:tc>
        <w:tc>
          <w:tcPr>
            <w:tcW w:w="1324" w:type="dxa"/>
            <w:shd w:val="clear" w:color="auto" w:fill="auto"/>
            <w:vAlign w:val="center"/>
          </w:tcPr>
          <w:p w14:paraId="2CEF24B3">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基本资质5</w:t>
            </w:r>
          </w:p>
        </w:tc>
        <w:tc>
          <w:tcPr>
            <w:tcW w:w="1852" w:type="dxa"/>
            <w:vAlign w:val="center"/>
          </w:tcPr>
          <w:p w14:paraId="7CA682E5">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信誉要求</w:t>
            </w:r>
          </w:p>
        </w:tc>
        <w:tc>
          <w:tcPr>
            <w:tcW w:w="5667" w:type="dxa"/>
            <w:vAlign w:val="center"/>
          </w:tcPr>
          <w:p w14:paraId="1AB55AEE">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6476C2BA">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提供加盖公章的承诺书及相关网站截图，格式自拟。</w:t>
            </w:r>
          </w:p>
        </w:tc>
      </w:tr>
      <w:tr w14:paraId="2A62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2F210E35">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6</w:t>
            </w:r>
          </w:p>
        </w:tc>
        <w:tc>
          <w:tcPr>
            <w:tcW w:w="1324" w:type="dxa"/>
            <w:shd w:val="clear" w:color="auto" w:fill="auto"/>
            <w:vAlign w:val="center"/>
          </w:tcPr>
          <w:p w14:paraId="3DE92858">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基本资质6</w:t>
            </w:r>
          </w:p>
        </w:tc>
        <w:tc>
          <w:tcPr>
            <w:tcW w:w="1852" w:type="dxa"/>
            <w:vAlign w:val="center"/>
          </w:tcPr>
          <w:p w14:paraId="683D7B7B">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其他要求</w:t>
            </w:r>
          </w:p>
        </w:tc>
        <w:tc>
          <w:tcPr>
            <w:tcW w:w="5667" w:type="dxa"/>
            <w:vAlign w:val="center"/>
          </w:tcPr>
          <w:p w14:paraId="3F46C821">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6A94CEC4">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提供加盖公章的书面声明，格式自拟。</w:t>
            </w:r>
          </w:p>
        </w:tc>
      </w:tr>
      <w:tr w14:paraId="0925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69F12B79">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w:t>
            </w:r>
          </w:p>
        </w:tc>
        <w:tc>
          <w:tcPr>
            <w:tcW w:w="1324" w:type="dxa"/>
            <w:shd w:val="clear" w:color="auto" w:fill="auto"/>
            <w:vAlign w:val="center"/>
          </w:tcPr>
          <w:p w14:paraId="0693D3E2">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基本资质7</w:t>
            </w:r>
          </w:p>
        </w:tc>
        <w:tc>
          <w:tcPr>
            <w:tcW w:w="1852" w:type="dxa"/>
            <w:vAlign w:val="center"/>
          </w:tcPr>
          <w:p w14:paraId="0EAF5FED">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联合体要求</w:t>
            </w:r>
          </w:p>
        </w:tc>
        <w:tc>
          <w:tcPr>
            <w:tcW w:w="5667" w:type="dxa"/>
            <w:vAlign w:val="center"/>
          </w:tcPr>
          <w:p w14:paraId="22DBCCA4">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不接受联合体投标。</w:t>
            </w:r>
          </w:p>
        </w:tc>
      </w:tr>
      <w:tr w14:paraId="261C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1C53FA57">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8</w:t>
            </w:r>
          </w:p>
        </w:tc>
        <w:tc>
          <w:tcPr>
            <w:tcW w:w="1324" w:type="dxa"/>
            <w:shd w:val="clear" w:color="auto" w:fill="auto"/>
            <w:vAlign w:val="center"/>
          </w:tcPr>
          <w:p w14:paraId="294C093B">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基本资质8</w:t>
            </w:r>
          </w:p>
        </w:tc>
        <w:tc>
          <w:tcPr>
            <w:tcW w:w="1852" w:type="dxa"/>
            <w:vAlign w:val="center"/>
          </w:tcPr>
          <w:p w14:paraId="5CDFEFFD">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本项目特定的资格要求的证明材料</w:t>
            </w:r>
          </w:p>
        </w:tc>
        <w:tc>
          <w:tcPr>
            <w:tcW w:w="5667" w:type="dxa"/>
            <w:vAlign w:val="center"/>
          </w:tcPr>
          <w:p w14:paraId="35E8F34D">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1）投标人为生产企业，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4803246B">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 xml:space="preserve">（2）投标人为经营企业，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 </w:t>
            </w:r>
          </w:p>
          <w:p w14:paraId="262B43E4">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4E8AF67F">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（4）投标人为经销商的需要提供所投产品的有效经销授权（进口产品提供）。</w:t>
            </w:r>
          </w:p>
          <w:p w14:paraId="27A38092">
            <w:pPr>
              <w:pStyle w:val="8"/>
              <w:widowControl w:val="0"/>
              <w:jc w:val="both"/>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提供以上证件复印件加盖公章。</w:t>
            </w:r>
          </w:p>
        </w:tc>
      </w:tr>
    </w:tbl>
    <w:p w14:paraId="69ABF47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注：本表中符合评审内容要求的写“√”,不符合评审内容要求的写“×”。结论为“合格”或“不合格”。</w:t>
      </w:r>
    </w:p>
    <w:p w14:paraId="69D83066">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p>
    <w:p w14:paraId="79458214">
      <w:pPr>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18.评标过程的保密性</w:t>
      </w:r>
    </w:p>
    <w:p w14:paraId="724FD093">
      <w:pPr>
        <w:spacing w:before="178" w:line="360" w:lineRule="auto"/>
        <w:ind w:right="159" w:firstLine="244" w:firstLineChars="1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18.1</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公开开标后，直至向中标的投标人授予合同时止，除按招标文件</w:t>
      </w:r>
      <w:r>
        <w:rPr>
          <w:rFonts w:hint="eastAsia" w:ascii="宋体" w:hAnsi="宋体" w:eastAsia="宋体" w:cs="宋体"/>
          <w:color w:val="auto"/>
          <w:spacing w:val="1"/>
          <w:sz w:val="24"/>
          <w:szCs w:val="24"/>
          <w:highlight w:val="none"/>
          <w:lang w:eastAsia="zh-CN"/>
        </w:rPr>
        <w:t>规定予以公开</w:t>
      </w:r>
      <w:r>
        <w:rPr>
          <w:rFonts w:hint="eastAsia" w:ascii="宋体" w:hAnsi="宋体" w:eastAsia="宋体" w:cs="宋体"/>
          <w:color w:val="auto"/>
          <w:spacing w:val="-2"/>
          <w:sz w:val="24"/>
          <w:szCs w:val="24"/>
          <w:highlight w:val="none"/>
          <w:lang w:eastAsia="zh-CN"/>
        </w:rPr>
        <w:t>的评标结果外，凡与审查、澄清、评价和比较投标有关</w:t>
      </w:r>
      <w:r>
        <w:rPr>
          <w:rFonts w:hint="eastAsia" w:ascii="宋体" w:hAnsi="宋体" w:eastAsia="宋体" w:cs="宋体"/>
          <w:color w:val="auto"/>
          <w:spacing w:val="-3"/>
          <w:sz w:val="24"/>
          <w:szCs w:val="24"/>
          <w:highlight w:val="none"/>
          <w:lang w:eastAsia="zh-CN"/>
        </w:rPr>
        <w:t>的资料以及授标意见等，均不得向</w:t>
      </w:r>
      <w:r>
        <w:rPr>
          <w:rFonts w:hint="eastAsia" w:ascii="宋体" w:hAnsi="宋体" w:eastAsia="宋体" w:cs="宋体"/>
          <w:color w:val="auto"/>
          <w:spacing w:val="-1"/>
          <w:sz w:val="24"/>
          <w:szCs w:val="24"/>
          <w:highlight w:val="none"/>
          <w:lang w:eastAsia="zh-CN"/>
        </w:rPr>
        <w:t>投标人及与评标无关的其他人透露。</w:t>
      </w:r>
    </w:p>
    <w:p w14:paraId="5463D975">
      <w:pPr>
        <w:spacing w:before="178" w:line="221"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19.评标</w:t>
      </w:r>
    </w:p>
    <w:p w14:paraId="615B00C1">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采购代理机构负责组织评标工作，并履行下列职责：</w:t>
      </w:r>
    </w:p>
    <w:p w14:paraId="17550E19">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(一)核对评审专家身份和采购人代表授权函，对评审专家在政府采购活动中的职责履行情况予以记录，并及时将有关违法违规行为向财政部门报告；</w:t>
      </w:r>
    </w:p>
    <w:p w14:paraId="3DE8BF6A">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(二)宣布评标纪律；</w:t>
      </w:r>
    </w:p>
    <w:p w14:paraId="45D9EABE">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(三)公布投标人名单，告知评审专家应当回避的情形；</w:t>
      </w:r>
    </w:p>
    <w:p w14:paraId="6877CE80">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(四)组织评标委员会推选评标组长，采购人代表不得担任组长；</w:t>
      </w:r>
    </w:p>
    <w:p w14:paraId="6CCAEEA4">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(五)在评标期间采取必要的通讯管理措施，保证评标活动不受外界干扰；</w:t>
      </w:r>
    </w:p>
    <w:p w14:paraId="76630AF1">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(六)根据评标委员会的要求介绍政府采购相关政策法规、招标文件；</w:t>
      </w:r>
    </w:p>
    <w:p w14:paraId="36AADDB8">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(七)维护评标秩序，监督评标委员会依照招标文件规定的评标程序、方法和标准进行独立评审，及时制止和纠正采购人代表、评审专家的倾向性言论或者违法违规行为；</w:t>
      </w:r>
    </w:p>
    <w:p w14:paraId="12EAB6FE">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(八)评标委员会根据有关法律法规和招标文件规定的方法和标准独立评标，负责完成评标的全过程直至评定预中标人。招标代理机构只负责评标组织工作，不参加评标。</w:t>
      </w:r>
    </w:p>
    <w:p w14:paraId="47CD2F3B">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772F501D">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(十)处理与评标有关的其他事项。</w:t>
      </w:r>
    </w:p>
    <w:p w14:paraId="57270BFB">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 采购人可以在评标前说明项目背景和采购需求，说明内容不得含有歧视性、倾向性意见，不得超出招标文件所述范围。说明应当提交书面材料，并随采购文件一并存。</w:t>
      </w:r>
    </w:p>
    <w:p w14:paraId="064D8DB2">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5B5F19AC">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 采购项目符合下列情形之一的，评标委员会成员人数应当为 7 人以上单数：</w:t>
      </w:r>
    </w:p>
    <w:p w14:paraId="7123D9D6">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（一）采购预算金额在 1000 万元以上；</w:t>
      </w:r>
    </w:p>
    <w:p w14:paraId="63B43E43">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（二）技术复杂；</w:t>
      </w:r>
    </w:p>
    <w:p w14:paraId="3FE5624C">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（三）社会影响较大。</w:t>
      </w:r>
    </w:p>
    <w:p w14:paraId="521A69B7">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 评标委员会负责具体评标事物，并独立履行下列职责：</w:t>
      </w:r>
    </w:p>
    <w:p w14:paraId="3499BC61">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（一）审查、评价投标文件是否符合招标文件的商务、技术等实质性要求；</w:t>
      </w:r>
    </w:p>
    <w:p w14:paraId="75C3B920">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（二）要求投标人对投标文件有关事项作出澄清或者说明；</w:t>
      </w:r>
    </w:p>
    <w:p w14:paraId="70B01B05">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（三）对投标文件进行比较和评价；</w:t>
      </w:r>
    </w:p>
    <w:p w14:paraId="03A3E64A">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（四）确定中标候选人名单；</w:t>
      </w:r>
    </w:p>
    <w:p w14:paraId="6D7C7AEB">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（五）向采购人、采购代理机构或者有关部门报告评标中发现的违法行为。</w:t>
      </w:r>
    </w:p>
    <w:p w14:paraId="7101883C">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19.6 评标委员会对投标文件的判定，只依据投标文件内容本身，不依据任何外来证明。</w:t>
      </w:r>
    </w:p>
    <w:p w14:paraId="38A19DFC">
      <w:pPr>
        <w:spacing w:before="181" w:line="221" w:lineRule="auto"/>
        <w:ind w:left="392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五、确定中标</w:t>
      </w:r>
    </w:p>
    <w:p w14:paraId="17834689">
      <w:pPr>
        <w:spacing w:before="179" w:line="221"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20.中标</w:t>
      </w:r>
    </w:p>
    <w:p w14:paraId="6B487AC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 采购代理机构将在评标结束后2个工作日内将评标报告送采购人。</w:t>
      </w:r>
    </w:p>
    <w:p w14:paraId="0CFAC01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 采购人将自收到评标报告之日起5个工作日内，在评标报告确定的中标候选人名单中按顺序确定中标人。中标候选人并列的，采购人将采取随机抽取的方式确定。</w:t>
      </w:r>
    </w:p>
    <w:p w14:paraId="15F9192D">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20.3 采购人在收到评标报告 5 个工作日内未按评标报告推荐的中标候选人顺序确定中标人，又不能说明合法理由的，视同按评标报告推荐的顺序确定排名第一的中标候选人为中标人。</w:t>
      </w:r>
    </w:p>
    <w:p w14:paraId="796A23F1">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采购代理机构将自中标人确定之日起 2 个工作日内，在市级政府采购媒介上公告中标结果，招标文件应当随中标结果同时公告。中标公告期限为 1 个工作日。</w:t>
      </w:r>
    </w:p>
    <w:p w14:paraId="48E573F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在公告中标结果的同时，采购代理机构向中标人发出中标通知书；对未通过资格审查的投标人，将告知其未通过的原因；采用综合评分法评审的，还将告知未中标人本人的评审得分与排序。</w:t>
      </w:r>
    </w:p>
    <w:p w14:paraId="06ADC052">
      <w:pPr>
        <w:spacing w:before="182" w:line="222"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21.签订合同</w:t>
      </w:r>
    </w:p>
    <w:p w14:paraId="33EA66C3">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中标通知书发出后，采购人不得违法改变中标结果，中标人无正当理由不得放弃中标。</w:t>
      </w:r>
    </w:p>
    <w:p w14:paraId="05E3B3A6">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 采购人应当自中标通知书发出之日起 30 日内，按照招标文件和中标人投标文件的规定，与中标人签订书面合同。所签订的合同不得对招标文件确定的事项和中标人投标文件作实质性修改。</w:t>
      </w:r>
    </w:p>
    <w:p w14:paraId="5C9652B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 采购人不得向中标人提出任何不合理的要求作为签订合同的条件。</w:t>
      </w:r>
    </w:p>
    <w:p w14:paraId="3C35809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21.4 中标人拒绝与采购人签订合同的，采购人可以按照评标报告推荐的中标候选人名单排序，确定下一候选人为中标人，也可以重新开展政府采购活动。</w:t>
      </w:r>
    </w:p>
    <w:p w14:paraId="66728B7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46B192D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280BC92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21.7 政府采购合同不能转包。</w:t>
      </w:r>
    </w:p>
    <w:p w14:paraId="01F4056C">
      <w:pPr>
        <w:spacing w:before="180" w:line="221"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22.保密和披露</w:t>
      </w:r>
    </w:p>
    <w:p w14:paraId="40E52E3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 投标人自购买招标文件之日起，须承诺承担本招标项目下的保密义务，不得将因本次招标获得的信息向第三人外传。</w:t>
      </w:r>
    </w:p>
    <w:p w14:paraId="4A65925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22.2采购人有权将投标人提供的所有资料向其他政府部门或有关的非政府机构负责评审标书的人员或与评标有关的人员披露。</w:t>
      </w:r>
    </w:p>
    <w:p w14:paraId="7683720A">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0FC794C7">
      <w:pPr>
        <w:spacing w:before="181" w:line="221" w:lineRule="auto"/>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23.质疑和投诉</w:t>
      </w:r>
    </w:p>
    <w:p w14:paraId="4B7C12B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孙蕾、18844133735）投标人对采购人的质疑答复不满意或者采购人未在规定时间内作出答复的，可以在答复期满后十五个工作日内向同级采购监管部门投诉。</w:t>
      </w:r>
    </w:p>
    <w:p w14:paraId="17B16D0E">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质疑书、投诉书均应明确阐述招标文件、招标过程和中标结果中使自己合法权益受到损害的实质性内容，提供相关事实、依据和证据及其来源或线索，便于有关单位调查、答复和处理。</w:t>
      </w:r>
    </w:p>
    <w:p w14:paraId="6803AE68">
      <w:pPr>
        <w:spacing w:before="181"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24.中标服务费</w:t>
      </w:r>
    </w:p>
    <w:p w14:paraId="0288210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中标供应商支付。</w:t>
      </w:r>
    </w:p>
    <w:p w14:paraId="2E1CFF56">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收款人：中经国际招标集团吉林有限公司</w:t>
      </w:r>
    </w:p>
    <w:p w14:paraId="1EB0098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开户银行：中国工商银行股份有限公司长春繁荣支行</w:t>
      </w:r>
    </w:p>
    <w:p w14:paraId="5C40F94E">
      <w:pPr>
        <w:spacing w:before="183"/>
        <w:ind w:left="178" w:leftChars="85"/>
        <w:rPr>
          <w:rFonts w:ascii="宋体" w:hAnsi="宋体" w:eastAsia="宋体" w:cs="宋体"/>
          <w:strike/>
          <w:color w:val="auto"/>
          <w:sz w:val="24"/>
          <w:szCs w:val="24"/>
          <w:highlight w:val="none"/>
          <w:lang w:eastAsia="zh-CN"/>
        </w:rPr>
      </w:pPr>
      <w:r>
        <w:rPr>
          <w:rFonts w:hint="eastAsia" w:ascii="宋体" w:hAnsi="宋体" w:eastAsia="宋体" w:cs="宋体"/>
          <w:color w:val="auto"/>
          <w:sz w:val="24"/>
          <w:szCs w:val="24"/>
          <w:highlight w:val="none"/>
          <w:lang w:eastAsia="zh-CN"/>
        </w:rPr>
        <w:t>帐号：4200201409000025764</w:t>
      </w:r>
    </w:p>
    <w:p w14:paraId="60BFDA19">
      <w:pPr>
        <w:spacing w:before="181"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25.要补充的其他内容</w:t>
      </w:r>
    </w:p>
    <w:p w14:paraId="6A6E0157">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25.1履约保证金：合同金额的5%</w:t>
      </w:r>
    </w:p>
    <w:p w14:paraId="2AB42C7D">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25.2付款方式：甲方双方约定以银行转账的方式付款，乙方指定收款账号。付款时间：甲方在合同生效并设备安装调试验收合格正常使用后60日内支付合同总价款 </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 xml:space="preserve"> %的货款。如质量有问题，甲方有权优先从保证金扣除相应违约金和损失，如果金额超过保证金，乙方应当补足差额并继续承担赔偿责任。甲方付款前，乙方应当先向甲方提供与每次付款金额相等的合法有效的发票。如乙方未能及时提供发票，导致甲方延迟付款的，甲方不承担违约责任。</w:t>
      </w:r>
    </w:p>
    <w:p w14:paraId="54D7DE3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25.3验收交付标准和方法：验收标准：相关法律法规、标准和技术规范的要求;验收方法：对设备外观进行检查,有完善的培训体系，对操作人员进行针对性培训；确认与设备销售合同所描述的一致,无表面损伤,无缺陷、锈蚀、变形等现象，性能测试:对设备各项性能进行测试。</w:t>
      </w:r>
    </w:p>
    <w:p w14:paraId="734A329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25.4质量保修范围和保修期：按照合同约定</w:t>
      </w:r>
    </w:p>
    <w:p w14:paraId="33AE6E68">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25.5违约责任与解决争议的方法：如果乙方交付货物的质量不符合约定，甲方有权选择下列方式之一要求卖方进行补救:</w:t>
      </w:r>
    </w:p>
    <w:p w14:paraId="382F379F">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要求乙方进行调换，换货必须全新且符合合同约定。如果乙方违反合同条款不予调换，或调换货物不符合约定，甲方有权解除合同，同时有权要求乙方承担合同总价款30%惩罚性违约金。如损失超违约金数额，乙方还应补足差额继续承担赔偿责任。</w:t>
      </w:r>
    </w:p>
    <w:p w14:paraId="0415D915">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解除合同，要求乙方退货并返还全部货款，同时有权要求乙方承担合同总价款30%的惩罚性违约金，如果损失超违约金数额，乙方还当补足差额继续承担赔偿责任。</w:t>
      </w:r>
    </w:p>
    <w:p w14:paraId="753EE5DB">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关于乙方逾期交货。如果乙方逾期交货，按照逾期天数，乙方应当承担逾期交货金额每日千分之五的逾期交货违约金；逾期天数超过15日的，甲方有权解除合同，同时有权要求乙方承担合同总价款30%的惩罚性违约金，如损失超过违约金数额，乙方应当补足差额并继续承担赔偿责任。</w:t>
      </w:r>
    </w:p>
    <w:p w14:paraId="04BA2C45">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乙方应保证甲方和使用单位在使用该产品或其任何一部分时免受第三方提出侵犯其专利权、商标权或工业产权的起诉，否则视同为乙方根本违约。</w:t>
      </w:r>
    </w:p>
    <w:p w14:paraId="37C9DB0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如乙方根本违约，致使合同的目的无法实现的，甲方有权解除合同，同时有权要求乙方承担合同总价款30%的惩罚性违约金，如损失超过违约金数额，乙方应当补足差额并继续承担赔偿责任。</w:t>
      </w:r>
    </w:p>
    <w:p w14:paraId="3B49B96A">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25.6履约验收程序：一次性验收</w:t>
      </w:r>
    </w:p>
    <w:p w14:paraId="03F9C081">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履约验收时间：供应商提出验收申请之日起30日内组织验收</w:t>
      </w:r>
    </w:p>
    <w:p w14:paraId="5A3BA01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技术履约验收内容：具有履行合同所必需的设备、配件、服务</w:t>
      </w:r>
    </w:p>
    <w:p w14:paraId="17EAA6E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履约验收标准：机器正常运行</w:t>
      </w:r>
    </w:p>
    <w:p w14:paraId="12F690CE">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履约验收其他事项：设备生产日期在验收日前6个月内</w:t>
      </w:r>
    </w:p>
    <w:p w14:paraId="2060641D">
      <w:pPr>
        <w:spacing w:before="183"/>
        <w:ind w:left="178" w:leftChars="8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25.7其他要求：</w:t>
      </w:r>
      <w:r>
        <w:rPr>
          <w:rFonts w:hint="default" w:ascii="宋体" w:hAnsi="宋体" w:eastAsia="宋体" w:cs="宋体"/>
          <w:color w:val="auto"/>
          <w:sz w:val="24"/>
          <w:szCs w:val="24"/>
          <w:highlight w:val="none"/>
          <w:lang w:val="en-US" w:eastAsia="zh-CN"/>
        </w:rPr>
        <w:t>具有完备的售后服务体系，能够提供相应的技术支持文件或电话指导；售后服务人员确保每季度对设备进行巡查，确保满足临床实际应用要求；能够及时响应报修并且迅速的完成维修。</w:t>
      </w:r>
    </w:p>
    <w:p w14:paraId="3AC2E77E">
      <w:pPr>
        <w:spacing w:before="183"/>
        <w:ind w:left="178" w:leftChars="85"/>
        <w:rPr>
          <w:rFonts w:ascii="宋体" w:hAnsi="宋体" w:eastAsia="宋体" w:cs="宋体"/>
          <w:color w:val="auto"/>
          <w:sz w:val="24"/>
          <w:szCs w:val="24"/>
          <w:highlight w:val="none"/>
          <w:lang w:eastAsia="zh-CN"/>
        </w:rPr>
      </w:pPr>
    </w:p>
    <w:p w14:paraId="58759773">
      <w:pPr>
        <w:rPr>
          <w:rFonts w:ascii="宋体" w:hAnsi="宋体" w:eastAsia="宋体" w:cs="宋体"/>
          <w:color w:val="auto"/>
          <w:sz w:val="32"/>
          <w:szCs w:val="32"/>
          <w:highlight w:val="none"/>
          <w:lang w:eastAsia="zh-CN"/>
        </w:rPr>
      </w:pPr>
      <w:bookmarkStart w:id="19" w:name="_Toc26230"/>
      <w:bookmarkStart w:id="20" w:name="_Toc1701"/>
      <w:r>
        <w:rPr>
          <w:rFonts w:hint="eastAsia" w:ascii="宋体" w:hAnsi="宋体" w:eastAsia="宋体" w:cs="宋体"/>
          <w:color w:val="auto"/>
          <w:sz w:val="32"/>
          <w:szCs w:val="32"/>
          <w:highlight w:val="none"/>
          <w:lang w:eastAsia="zh-CN"/>
        </w:rPr>
        <w:br w:type="page"/>
      </w:r>
    </w:p>
    <w:bookmarkEnd w:id="19"/>
    <w:bookmarkEnd w:id="20"/>
    <w:p w14:paraId="35A9A19A">
      <w:pPr>
        <w:pStyle w:val="2"/>
        <w:spacing w:after="0" w:line="360" w:lineRule="auto"/>
        <w:jc w:val="center"/>
        <w:rPr>
          <w:rFonts w:ascii="宋体" w:hAnsi="宋体" w:cs="宋体"/>
          <w:color w:val="auto"/>
          <w:sz w:val="32"/>
          <w:szCs w:val="32"/>
          <w:highlight w:val="none"/>
          <w:lang w:eastAsia="zh-CN"/>
        </w:rPr>
      </w:pPr>
      <w:bookmarkStart w:id="21" w:name="_Toc12484"/>
      <w:bookmarkStart w:id="22" w:name="_Toc12764"/>
      <w:r>
        <w:rPr>
          <w:rFonts w:hint="eastAsia" w:ascii="宋体" w:hAnsi="宋体" w:cs="宋体"/>
          <w:color w:val="auto"/>
          <w:sz w:val="32"/>
          <w:szCs w:val="32"/>
          <w:highlight w:val="none"/>
          <w:lang w:eastAsia="zh-CN"/>
        </w:rPr>
        <w:t>第三章   评标办法</w:t>
      </w:r>
    </w:p>
    <w:p w14:paraId="383024EE">
      <w:pPr>
        <w:spacing w:before="233" w:line="220" w:lineRule="auto"/>
        <w:ind w:left="37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评标应当遵循下列工作程序：</w:t>
      </w:r>
    </w:p>
    <w:p w14:paraId="59F1BD1E">
      <w:pPr>
        <w:spacing w:before="179"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3.1</w:t>
      </w:r>
      <w:r>
        <w:rPr>
          <w:rFonts w:hint="eastAsia" w:ascii="宋体" w:hAnsi="宋体" w:eastAsia="宋体" w:cs="宋体"/>
          <w:color w:val="auto"/>
          <w:spacing w:val="-41"/>
          <w:sz w:val="24"/>
          <w:szCs w:val="24"/>
          <w:highlight w:val="none"/>
          <w:lang w:eastAsia="zh-CN"/>
        </w:rPr>
        <w:t xml:space="preserve"> </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符合性审查。</w:t>
      </w:r>
    </w:p>
    <w:p w14:paraId="267C9203">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3.1.1 评标委员会将对符合资格的投标人的投标文件进行符合性审查，以确定其是否满足招标文件的实质性要求。</w:t>
      </w:r>
    </w:p>
    <w:p w14:paraId="3B257C88">
      <w:pPr>
        <w:spacing w:before="182" w:line="220" w:lineRule="auto"/>
        <w:jc w:val="center"/>
        <w:rPr>
          <w:rFonts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符合性审查表</w:t>
      </w:r>
    </w:p>
    <w:tbl>
      <w:tblPr>
        <w:tblStyle w:val="33"/>
        <w:tblW w:w="93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2823"/>
        <w:gridCol w:w="5000"/>
      </w:tblGrid>
      <w:tr w14:paraId="57678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6E9F54B4">
            <w:pPr>
              <w:pStyle w:val="34"/>
              <w:jc w:val="center"/>
              <w:rPr>
                <w:b/>
                <w:bCs/>
                <w:color w:val="auto"/>
                <w:highlight w:val="none"/>
              </w:rPr>
            </w:pPr>
            <w:r>
              <w:rPr>
                <w:rFonts w:hint="eastAsia"/>
                <w:b/>
                <w:bCs/>
                <w:color w:val="auto"/>
                <w:spacing w:val="-5"/>
                <w:highlight w:val="none"/>
              </w:rPr>
              <w:t>序号</w:t>
            </w:r>
          </w:p>
        </w:tc>
        <w:tc>
          <w:tcPr>
            <w:tcW w:w="825" w:type="dxa"/>
            <w:tcBorders>
              <w:top w:val="single" w:color="000000" w:sz="4" w:space="0"/>
              <w:bottom w:val="single" w:color="000000" w:sz="4" w:space="0"/>
            </w:tcBorders>
            <w:vAlign w:val="center"/>
          </w:tcPr>
          <w:p w14:paraId="6150D6DA">
            <w:pPr>
              <w:pStyle w:val="34"/>
              <w:jc w:val="center"/>
              <w:rPr>
                <w:b/>
                <w:bCs/>
                <w:color w:val="auto"/>
                <w:highlight w:val="none"/>
              </w:rPr>
            </w:pPr>
            <w:r>
              <w:rPr>
                <w:rFonts w:hint="eastAsia"/>
                <w:b/>
                <w:bCs/>
                <w:color w:val="auto"/>
                <w:spacing w:val="-5"/>
                <w:highlight w:val="none"/>
              </w:rPr>
              <w:t>类型</w:t>
            </w:r>
          </w:p>
        </w:tc>
        <w:tc>
          <w:tcPr>
            <w:tcW w:w="2823" w:type="dxa"/>
            <w:tcBorders>
              <w:top w:val="single" w:color="000000" w:sz="4" w:space="0"/>
              <w:bottom w:val="single" w:color="000000" w:sz="4" w:space="0"/>
              <w:right w:val="single" w:color="000000" w:sz="4" w:space="0"/>
            </w:tcBorders>
            <w:vAlign w:val="center"/>
          </w:tcPr>
          <w:p w14:paraId="6C31FC94">
            <w:pPr>
              <w:pStyle w:val="34"/>
              <w:jc w:val="center"/>
              <w:rPr>
                <w:b/>
                <w:bCs/>
                <w:color w:val="auto"/>
                <w:highlight w:val="none"/>
              </w:rPr>
            </w:pPr>
            <w:r>
              <w:rPr>
                <w:rFonts w:hint="eastAsia"/>
                <w:b/>
                <w:bCs/>
                <w:color w:val="auto"/>
                <w:spacing w:val="-5"/>
                <w:highlight w:val="none"/>
              </w:rPr>
              <w:t>审查内容</w:t>
            </w:r>
          </w:p>
        </w:tc>
        <w:tc>
          <w:tcPr>
            <w:tcW w:w="5000" w:type="dxa"/>
            <w:tcBorders>
              <w:top w:val="single" w:color="000000" w:sz="4" w:space="0"/>
              <w:left w:val="single" w:color="000000" w:sz="4" w:space="0"/>
              <w:bottom w:val="single" w:color="000000" w:sz="4" w:space="0"/>
            </w:tcBorders>
            <w:vAlign w:val="center"/>
          </w:tcPr>
          <w:p w14:paraId="0CCF8F34">
            <w:pPr>
              <w:pStyle w:val="34"/>
              <w:jc w:val="center"/>
              <w:rPr>
                <w:b/>
                <w:bCs/>
                <w:color w:val="auto"/>
                <w:highlight w:val="none"/>
              </w:rPr>
            </w:pPr>
            <w:r>
              <w:rPr>
                <w:rFonts w:hint="eastAsia"/>
                <w:b/>
                <w:bCs/>
                <w:color w:val="auto"/>
                <w:spacing w:val="-3"/>
                <w:highlight w:val="none"/>
              </w:rPr>
              <w:t>要求说明</w:t>
            </w:r>
          </w:p>
        </w:tc>
      </w:tr>
      <w:tr w14:paraId="78F4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CE92049">
            <w:pPr>
              <w:pStyle w:val="34"/>
              <w:jc w:val="center"/>
              <w:rPr>
                <w:color w:val="auto"/>
                <w:spacing w:val="-3"/>
                <w:highlight w:val="none"/>
                <w:lang w:eastAsia="zh-CN"/>
              </w:rPr>
            </w:pPr>
            <w:r>
              <w:rPr>
                <w:rFonts w:hint="eastAsia"/>
                <w:color w:val="auto"/>
                <w:spacing w:val="-3"/>
                <w:highlight w:val="none"/>
                <w:lang w:eastAsia="zh-CN"/>
              </w:rPr>
              <w:t>1</w:t>
            </w:r>
          </w:p>
        </w:tc>
        <w:tc>
          <w:tcPr>
            <w:tcW w:w="825" w:type="dxa"/>
            <w:tcBorders>
              <w:top w:val="single" w:color="000000" w:sz="4" w:space="0"/>
              <w:bottom w:val="single" w:color="000000" w:sz="4" w:space="0"/>
            </w:tcBorders>
            <w:vAlign w:val="center"/>
          </w:tcPr>
          <w:p w14:paraId="50659C05">
            <w:pPr>
              <w:pStyle w:val="34"/>
              <w:jc w:val="center"/>
              <w:rPr>
                <w:color w:val="auto"/>
                <w:highlight w:val="none"/>
              </w:rPr>
            </w:pPr>
            <w:r>
              <w:rPr>
                <w:rFonts w:hint="eastAsia"/>
                <w:color w:val="auto"/>
                <w:spacing w:val="-3"/>
                <w:highlight w:val="none"/>
              </w:rPr>
              <w:t>报价1</w:t>
            </w:r>
          </w:p>
        </w:tc>
        <w:tc>
          <w:tcPr>
            <w:tcW w:w="2823" w:type="dxa"/>
            <w:tcBorders>
              <w:top w:val="single" w:color="000000" w:sz="4" w:space="0"/>
              <w:bottom w:val="single" w:color="000000" w:sz="4" w:space="0"/>
              <w:right w:val="single" w:color="000000" w:sz="4" w:space="0"/>
            </w:tcBorders>
            <w:vAlign w:val="center"/>
          </w:tcPr>
          <w:p w14:paraId="5903580B">
            <w:pPr>
              <w:pStyle w:val="34"/>
              <w:ind w:hanging="3"/>
              <w:rPr>
                <w:color w:val="auto"/>
                <w:highlight w:val="none"/>
              </w:rPr>
            </w:pPr>
            <w:r>
              <w:rPr>
                <w:rFonts w:hint="eastAsia"/>
                <w:color w:val="auto"/>
                <w:spacing w:val="-1"/>
                <w:highlight w:val="none"/>
              </w:rPr>
              <w:t>投标报价</w:t>
            </w:r>
          </w:p>
        </w:tc>
        <w:tc>
          <w:tcPr>
            <w:tcW w:w="5000" w:type="dxa"/>
            <w:tcBorders>
              <w:top w:val="single" w:color="000000" w:sz="4" w:space="0"/>
              <w:left w:val="single" w:color="000000" w:sz="4" w:space="0"/>
              <w:bottom w:val="single" w:color="000000" w:sz="4" w:space="0"/>
            </w:tcBorders>
            <w:vAlign w:val="center"/>
          </w:tcPr>
          <w:p w14:paraId="000C18E9">
            <w:pPr>
              <w:pStyle w:val="34"/>
              <w:ind w:hanging="3"/>
              <w:rPr>
                <w:color w:val="auto"/>
                <w:highlight w:val="none"/>
                <w:lang w:eastAsia="zh-CN"/>
              </w:rPr>
            </w:pPr>
            <w:r>
              <w:rPr>
                <w:rFonts w:hint="eastAsia"/>
                <w:color w:val="auto"/>
                <w:spacing w:val="-1"/>
                <w:highlight w:val="none"/>
                <w:lang w:eastAsia="zh-CN"/>
              </w:rPr>
              <w:t>投标报价未超过招标文件中规定的最</w:t>
            </w:r>
            <w:r>
              <w:rPr>
                <w:rFonts w:hint="eastAsia"/>
                <w:color w:val="auto"/>
                <w:spacing w:val="-4"/>
                <w:highlight w:val="none"/>
                <w:lang w:eastAsia="zh-CN"/>
              </w:rPr>
              <w:t>高限价的。</w:t>
            </w:r>
          </w:p>
        </w:tc>
      </w:tr>
      <w:tr w14:paraId="32408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6FE34FAD">
            <w:pPr>
              <w:pStyle w:val="34"/>
              <w:jc w:val="center"/>
              <w:rPr>
                <w:color w:val="auto"/>
                <w:spacing w:val="-3"/>
                <w:highlight w:val="none"/>
              </w:rPr>
            </w:pPr>
            <w:r>
              <w:rPr>
                <w:rFonts w:hint="eastAsia"/>
                <w:color w:val="auto"/>
                <w:spacing w:val="-3"/>
                <w:highlight w:val="none"/>
              </w:rPr>
              <w:t>2</w:t>
            </w:r>
          </w:p>
        </w:tc>
        <w:tc>
          <w:tcPr>
            <w:tcW w:w="825" w:type="dxa"/>
            <w:tcBorders>
              <w:top w:val="single" w:color="000000" w:sz="4" w:space="0"/>
              <w:bottom w:val="single" w:color="000000" w:sz="4" w:space="0"/>
            </w:tcBorders>
            <w:vAlign w:val="center"/>
          </w:tcPr>
          <w:p w14:paraId="638C922D">
            <w:pPr>
              <w:pStyle w:val="34"/>
              <w:jc w:val="center"/>
              <w:rPr>
                <w:color w:val="auto"/>
                <w:spacing w:val="-3"/>
                <w:highlight w:val="none"/>
                <w:lang w:eastAsia="zh-CN"/>
              </w:rPr>
            </w:pPr>
            <w:r>
              <w:rPr>
                <w:rFonts w:hint="eastAsia"/>
                <w:color w:val="auto"/>
                <w:spacing w:val="-3"/>
                <w:highlight w:val="none"/>
              </w:rPr>
              <w:t>报价</w:t>
            </w:r>
            <w:r>
              <w:rPr>
                <w:rFonts w:hint="eastAsia"/>
                <w:color w:val="auto"/>
                <w:spacing w:val="-3"/>
                <w:highlight w:val="none"/>
                <w:lang w:eastAsia="zh-CN"/>
              </w:rPr>
              <w:t>2</w:t>
            </w:r>
          </w:p>
        </w:tc>
        <w:tc>
          <w:tcPr>
            <w:tcW w:w="2823" w:type="dxa"/>
            <w:tcBorders>
              <w:top w:val="single" w:color="000000" w:sz="4" w:space="0"/>
              <w:bottom w:val="single" w:color="000000" w:sz="4" w:space="0"/>
              <w:right w:val="single" w:color="000000" w:sz="4" w:space="0"/>
            </w:tcBorders>
            <w:vAlign w:val="center"/>
          </w:tcPr>
          <w:p w14:paraId="289B2775">
            <w:pPr>
              <w:rPr>
                <w:rFonts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lang w:eastAsia="zh-CN" w:bidi="ar"/>
              </w:rPr>
              <w:t>报价唯一性</w:t>
            </w:r>
          </w:p>
        </w:tc>
        <w:tc>
          <w:tcPr>
            <w:tcW w:w="5000" w:type="dxa"/>
            <w:tcBorders>
              <w:top w:val="single" w:color="000000" w:sz="4" w:space="0"/>
              <w:left w:val="single" w:color="000000" w:sz="4" w:space="0"/>
              <w:bottom w:val="single" w:color="000000" w:sz="4" w:space="0"/>
            </w:tcBorders>
            <w:vAlign w:val="center"/>
          </w:tcPr>
          <w:p w14:paraId="596C1C2B">
            <w:pPr>
              <w:rPr>
                <w:rFonts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eastAsia="zh-CN" w:bidi="ar"/>
              </w:rPr>
              <w:t>投标文件未出现可选择性或可调整的报价（招标文件另有规定的除外）。</w:t>
            </w:r>
          </w:p>
        </w:tc>
      </w:tr>
      <w:tr w14:paraId="1EFB8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F7C0959">
            <w:pPr>
              <w:pStyle w:val="34"/>
              <w:jc w:val="center"/>
              <w:rPr>
                <w:color w:val="auto"/>
                <w:spacing w:val="-3"/>
                <w:highlight w:val="none"/>
              </w:rPr>
            </w:pPr>
            <w:r>
              <w:rPr>
                <w:rFonts w:hint="eastAsia"/>
                <w:color w:val="auto"/>
                <w:spacing w:val="-3"/>
                <w:highlight w:val="none"/>
              </w:rPr>
              <w:t>3</w:t>
            </w:r>
          </w:p>
        </w:tc>
        <w:tc>
          <w:tcPr>
            <w:tcW w:w="825" w:type="dxa"/>
            <w:tcBorders>
              <w:top w:val="single" w:color="000000" w:sz="4" w:space="0"/>
              <w:bottom w:val="single" w:color="000000" w:sz="4" w:space="0"/>
            </w:tcBorders>
            <w:vAlign w:val="center"/>
          </w:tcPr>
          <w:p w14:paraId="4ACA89B1">
            <w:pPr>
              <w:pStyle w:val="34"/>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3</w:t>
            </w:r>
          </w:p>
        </w:tc>
        <w:tc>
          <w:tcPr>
            <w:tcW w:w="2823" w:type="dxa"/>
            <w:tcBorders>
              <w:top w:val="single" w:color="000000" w:sz="4" w:space="0"/>
              <w:bottom w:val="single" w:color="000000" w:sz="4" w:space="0"/>
              <w:right w:val="single" w:color="000000" w:sz="4" w:space="0"/>
            </w:tcBorders>
            <w:vAlign w:val="center"/>
          </w:tcPr>
          <w:p w14:paraId="22F02257">
            <w:pP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投标有效期</w:t>
            </w:r>
          </w:p>
        </w:tc>
        <w:tc>
          <w:tcPr>
            <w:tcW w:w="5000" w:type="dxa"/>
            <w:tcBorders>
              <w:top w:val="single" w:color="000000" w:sz="4" w:space="0"/>
              <w:left w:val="single" w:color="000000" w:sz="4" w:space="0"/>
              <w:bottom w:val="single" w:color="000000" w:sz="4" w:space="0"/>
            </w:tcBorders>
            <w:vAlign w:val="center"/>
          </w:tcPr>
          <w:p w14:paraId="647A6194">
            <w:pP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投标文件中承诺的投标有效期满足招标文件中载明的投标有效期的。</w:t>
            </w:r>
          </w:p>
        </w:tc>
      </w:tr>
      <w:tr w14:paraId="3A251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9ED7D24">
            <w:pPr>
              <w:pStyle w:val="34"/>
              <w:jc w:val="center"/>
              <w:rPr>
                <w:color w:val="auto"/>
                <w:spacing w:val="-3"/>
                <w:highlight w:val="none"/>
              </w:rPr>
            </w:pPr>
            <w:r>
              <w:rPr>
                <w:rFonts w:hint="eastAsia"/>
                <w:color w:val="auto"/>
                <w:spacing w:val="-3"/>
                <w:highlight w:val="none"/>
              </w:rPr>
              <w:t>4</w:t>
            </w:r>
          </w:p>
        </w:tc>
        <w:tc>
          <w:tcPr>
            <w:tcW w:w="825" w:type="dxa"/>
            <w:tcBorders>
              <w:top w:val="single" w:color="000000" w:sz="4" w:space="0"/>
              <w:bottom w:val="single" w:color="000000" w:sz="4" w:space="0"/>
            </w:tcBorders>
            <w:vAlign w:val="center"/>
          </w:tcPr>
          <w:p w14:paraId="34B7C263">
            <w:pPr>
              <w:pStyle w:val="34"/>
              <w:jc w:val="center"/>
              <w:rPr>
                <w:color w:val="auto"/>
                <w:highlight w:val="none"/>
                <w:lang w:eastAsia="zh-CN"/>
              </w:rPr>
            </w:pPr>
            <w:r>
              <w:rPr>
                <w:rFonts w:hint="eastAsia"/>
                <w:color w:val="auto"/>
                <w:spacing w:val="-5"/>
                <w:highlight w:val="none"/>
                <w:lang w:eastAsia="zh-CN"/>
              </w:rPr>
              <w:t>技术4</w:t>
            </w:r>
          </w:p>
        </w:tc>
        <w:tc>
          <w:tcPr>
            <w:tcW w:w="2823" w:type="dxa"/>
            <w:tcBorders>
              <w:top w:val="single" w:color="000000" w:sz="4" w:space="0"/>
              <w:bottom w:val="single" w:color="000000" w:sz="4" w:space="0"/>
              <w:right w:val="single" w:color="000000" w:sz="4" w:space="0"/>
            </w:tcBorders>
            <w:vAlign w:val="center"/>
          </w:tcPr>
          <w:p w14:paraId="044DD153">
            <w:pP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技术条款响应</w:t>
            </w:r>
          </w:p>
        </w:tc>
        <w:tc>
          <w:tcPr>
            <w:tcW w:w="5000" w:type="dxa"/>
            <w:tcBorders>
              <w:top w:val="single" w:color="000000" w:sz="4" w:space="0"/>
              <w:left w:val="single" w:color="000000" w:sz="4" w:space="0"/>
              <w:bottom w:val="single" w:color="000000" w:sz="4" w:space="0"/>
            </w:tcBorders>
            <w:vAlign w:val="center"/>
          </w:tcPr>
          <w:p w14:paraId="29D55CF3">
            <w:pP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投标文件满足招标文件第五章《采购需求》中实质性参数要求，不允许有负偏离项，投标人需在采购需求偏离表的备注栏标明佐证材料的对应页码，佐证材料为所投产品的技术白皮书，不提供视为实质性不满足。</w:t>
            </w:r>
          </w:p>
        </w:tc>
      </w:tr>
      <w:tr w14:paraId="0D6C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0C3E3FAC">
            <w:pPr>
              <w:pStyle w:val="34"/>
              <w:jc w:val="center"/>
              <w:rPr>
                <w:color w:val="auto"/>
                <w:spacing w:val="-3"/>
                <w:highlight w:val="none"/>
                <w:lang w:eastAsia="zh-CN"/>
              </w:rPr>
            </w:pPr>
            <w:r>
              <w:rPr>
                <w:rFonts w:hint="eastAsia"/>
                <w:color w:val="auto"/>
                <w:spacing w:val="-3"/>
                <w:highlight w:val="none"/>
                <w:lang w:eastAsia="zh-CN"/>
              </w:rPr>
              <w:t>5</w:t>
            </w:r>
          </w:p>
        </w:tc>
        <w:tc>
          <w:tcPr>
            <w:tcW w:w="825" w:type="dxa"/>
            <w:tcBorders>
              <w:top w:val="single" w:color="000000" w:sz="4" w:space="0"/>
            </w:tcBorders>
            <w:vAlign w:val="center"/>
          </w:tcPr>
          <w:p w14:paraId="5B6AE7A5">
            <w:pPr>
              <w:pStyle w:val="34"/>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5</w:t>
            </w:r>
          </w:p>
        </w:tc>
        <w:tc>
          <w:tcPr>
            <w:tcW w:w="2823" w:type="dxa"/>
            <w:tcBorders>
              <w:top w:val="single" w:color="000000" w:sz="4" w:space="0"/>
              <w:right w:val="single" w:color="000000" w:sz="4" w:space="0"/>
            </w:tcBorders>
            <w:vAlign w:val="center"/>
          </w:tcPr>
          <w:p w14:paraId="54377AA9">
            <w:pPr>
              <w:pStyle w:val="34"/>
              <w:ind w:hanging="14"/>
              <w:rPr>
                <w:color w:val="auto"/>
                <w:highlight w:val="none"/>
                <w:lang w:eastAsia="zh-CN"/>
              </w:rPr>
            </w:pPr>
            <w:r>
              <w:rPr>
                <w:rFonts w:hint="eastAsia"/>
                <w:color w:val="auto"/>
                <w:spacing w:val="-8"/>
                <w:highlight w:val="none"/>
                <w:lang w:eastAsia="zh-CN"/>
              </w:rPr>
              <w:t>合同履行期限（交货期</w:t>
            </w:r>
            <w:r>
              <w:rPr>
                <w:rFonts w:hint="eastAsia"/>
                <w:color w:val="auto"/>
                <w:spacing w:val="-5"/>
                <w:highlight w:val="none"/>
                <w:lang w:eastAsia="zh-CN"/>
              </w:rPr>
              <w:t>限）</w:t>
            </w:r>
          </w:p>
        </w:tc>
        <w:tc>
          <w:tcPr>
            <w:tcW w:w="5000" w:type="dxa"/>
            <w:tcBorders>
              <w:top w:val="single" w:color="000000" w:sz="4" w:space="0"/>
              <w:left w:val="single" w:color="000000" w:sz="4" w:space="0"/>
              <w:bottom w:val="single" w:color="000000" w:sz="4" w:space="0"/>
            </w:tcBorders>
            <w:vAlign w:val="center"/>
          </w:tcPr>
          <w:p w14:paraId="1893CD9E">
            <w:pPr>
              <w:pStyle w:val="34"/>
              <w:rPr>
                <w:color w:val="auto"/>
                <w:highlight w:val="none"/>
                <w:lang w:eastAsia="zh-CN"/>
              </w:rPr>
            </w:pPr>
            <w:r>
              <w:rPr>
                <w:rFonts w:hint="eastAsia"/>
                <w:color w:val="auto"/>
                <w:highlight w:val="none"/>
                <w:lang w:eastAsia="zh-CN"/>
              </w:rPr>
              <w:t>合同签订之日后60日内供货</w:t>
            </w:r>
            <w:r>
              <w:rPr>
                <w:rFonts w:hint="eastAsia"/>
                <w:color w:val="auto"/>
                <w:spacing w:val="-4"/>
                <w:highlight w:val="none"/>
                <w:lang w:eastAsia="zh-CN"/>
              </w:rPr>
              <w:t>。</w:t>
            </w:r>
          </w:p>
        </w:tc>
      </w:tr>
      <w:tr w14:paraId="76F8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5D35309">
            <w:pPr>
              <w:pStyle w:val="34"/>
              <w:jc w:val="center"/>
              <w:rPr>
                <w:color w:val="auto"/>
                <w:spacing w:val="-3"/>
                <w:highlight w:val="none"/>
                <w:lang w:eastAsia="zh-CN"/>
              </w:rPr>
            </w:pPr>
            <w:r>
              <w:rPr>
                <w:rFonts w:hint="eastAsia"/>
                <w:color w:val="auto"/>
                <w:spacing w:val="-3"/>
                <w:highlight w:val="none"/>
                <w:lang w:eastAsia="zh-CN"/>
              </w:rPr>
              <w:t>6</w:t>
            </w:r>
          </w:p>
        </w:tc>
        <w:tc>
          <w:tcPr>
            <w:tcW w:w="825" w:type="dxa"/>
            <w:tcBorders>
              <w:top w:val="single" w:color="000000" w:sz="4" w:space="0"/>
            </w:tcBorders>
            <w:vAlign w:val="center"/>
          </w:tcPr>
          <w:p w14:paraId="0BB7BF30">
            <w:pPr>
              <w:pStyle w:val="34"/>
              <w:jc w:val="center"/>
              <w:rPr>
                <w:color w:val="auto"/>
                <w:highlight w:val="none"/>
                <w:lang w:eastAsia="zh-CN"/>
              </w:rPr>
            </w:pPr>
            <w:r>
              <w:rPr>
                <w:rFonts w:hint="eastAsia"/>
                <w:color w:val="auto"/>
                <w:spacing w:val="-5"/>
                <w:highlight w:val="none"/>
                <w:lang w:eastAsia="zh-CN"/>
              </w:rPr>
              <w:t>技术6</w:t>
            </w:r>
          </w:p>
        </w:tc>
        <w:tc>
          <w:tcPr>
            <w:tcW w:w="2823" w:type="dxa"/>
            <w:tcBorders>
              <w:top w:val="single" w:color="000000" w:sz="4" w:space="0"/>
              <w:right w:val="single" w:color="000000" w:sz="4" w:space="0"/>
            </w:tcBorders>
            <w:vAlign w:val="center"/>
          </w:tcPr>
          <w:p w14:paraId="2CA9261D">
            <w:pPr>
              <w:pStyle w:val="34"/>
              <w:ind w:hanging="14"/>
              <w:rPr>
                <w:color w:val="auto"/>
                <w:spacing w:val="-8"/>
                <w:highlight w:val="none"/>
                <w:lang w:eastAsia="zh-CN"/>
              </w:rPr>
            </w:pPr>
            <w:r>
              <w:rPr>
                <w:rFonts w:hint="eastAsia"/>
                <w:color w:val="auto"/>
                <w:spacing w:val="-8"/>
                <w:highlight w:val="none"/>
                <w:lang w:eastAsia="zh-CN"/>
              </w:rPr>
              <w:t>质保期</w:t>
            </w:r>
          </w:p>
        </w:tc>
        <w:tc>
          <w:tcPr>
            <w:tcW w:w="5000" w:type="dxa"/>
            <w:tcBorders>
              <w:top w:val="single" w:color="000000" w:sz="4" w:space="0"/>
              <w:left w:val="single" w:color="000000" w:sz="4" w:space="0"/>
              <w:bottom w:val="single" w:color="000000" w:sz="4" w:space="0"/>
            </w:tcBorders>
            <w:vAlign w:val="center"/>
          </w:tcPr>
          <w:p w14:paraId="69CB5903">
            <w:pPr>
              <w:pStyle w:val="34"/>
              <w:rPr>
                <w:color w:val="auto"/>
                <w:spacing w:val="-4"/>
                <w:highlight w:val="none"/>
                <w:lang w:eastAsia="zh-CN"/>
              </w:rPr>
            </w:pPr>
            <w:r>
              <w:rPr>
                <w:rFonts w:hint="eastAsia"/>
                <w:color w:val="auto"/>
                <w:spacing w:val="-4"/>
                <w:highlight w:val="none"/>
                <w:lang w:eastAsia="zh-CN"/>
              </w:rPr>
              <w:t>一年</w:t>
            </w:r>
          </w:p>
        </w:tc>
      </w:tr>
      <w:tr w14:paraId="0022F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shd w:val="clear" w:color="auto" w:fill="auto"/>
            <w:vAlign w:val="center"/>
          </w:tcPr>
          <w:p w14:paraId="3C69A4F4">
            <w:pPr>
              <w:pStyle w:val="34"/>
              <w:jc w:val="center"/>
              <w:rPr>
                <w:color w:val="auto"/>
                <w:spacing w:val="-3"/>
                <w:highlight w:val="none"/>
                <w:lang w:eastAsia="zh-CN"/>
              </w:rPr>
            </w:pPr>
            <w:r>
              <w:rPr>
                <w:rFonts w:hint="eastAsia"/>
                <w:color w:val="auto"/>
                <w:spacing w:val="-3"/>
                <w:highlight w:val="none"/>
                <w:lang w:eastAsia="zh-CN"/>
              </w:rPr>
              <w:t>7</w:t>
            </w:r>
          </w:p>
        </w:tc>
        <w:tc>
          <w:tcPr>
            <w:tcW w:w="825" w:type="dxa"/>
            <w:tcBorders>
              <w:top w:val="single" w:color="000000" w:sz="4" w:space="0"/>
            </w:tcBorders>
            <w:shd w:val="clear" w:color="auto" w:fill="auto"/>
            <w:vAlign w:val="center"/>
          </w:tcPr>
          <w:p w14:paraId="5A68E07E">
            <w:pPr>
              <w:pStyle w:val="34"/>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7</w:t>
            </w:r>
          </w:p>
        </w:tc>
        <w:tc>
          <w:tcPr>
            <w:tcW w:w="2823" w:type="dxa"/>
            <w:tcBorders>
              <w:top w:val="single" w:color="000000" w:sz="4" w:space="0"/>
              <w:right w:val="single" w:color="000000" w:sz="4" w:space="0"/>
            </w:tcBorders>
            <w:vAlign w:val="center"/>
          </w:tcPr>
          <w:p w14:paraId="6D426634">
            <w:pPr>
              <w:pStyle w:val="34"/>
              <w:ind w:hanging="14"/>
              <w:rPr>
                <w:color w:val="auto"/>
                <w:spacing w:val="-8"/>
                <w:highlight w:val="none"/>
                <w:lang w:eastAsia="zh-CN"/>
              </w:rPr>
            </w:pPr>
            <w:r>
              <w:rPr>
                <w:rFonts w:hint="eastAsia"/>
                <w:color w:val="auto"/>
                <w:spacing w:val="-8"/>
                <w:highlight w:val="none"/>
                <w:lang w:eastAsia="zh-CN"/>
              </w:rPr>
              <w:t>投标保证金</w:t>
            </w:r>
          </w:p>
        </w:tc>
        <w:tc>
          <w:tcPr>
            <w:tcW w:w="5000" w:type="dxa"/>
            <w:tcBorders>
              <w:top w:val="single" w:color="000000" w:sz="4" w:space="0"/>
              <w:left w:val="single" w:color="000000" w:sz="4" w:space="0"/>
              <w:bottom w:val="single" w:color="000000" w:sz="4" w:space="0"/>
            </w:tcBorders>
            <w:vAlign w:val="center"/>
          </w:tcPr>
          <w:p w14:paraId="729CEBD5">
            <w:pPr>
              <w:pStyle w:val="34"/>
              <w:rPr>
                <w:color w:val="auto"/>
                <w:spacing w:val="-4"/>
                <w:highlight w:val="none"/>
                <w:lang w:eastAsia="zh-CN"/>
              </w:rPr>
            </w:pPr>
            <w:r>
              <w:rPr>
                <w:rFonts w:hint="eastAsia"/>
                <w:color w:val="auto"/>
                <w:spacing w:val="-4"/>
                <w:highlight w:val="none"/>
                <w:lang w:eastAsia="zh-CN"/>
              </w:rPr>
              <w:t>符合招标文件要求，须提供保证金凭证及银行开户许可证（或基本账户信息）复印件。</w:t>
            </w:r>
          </w:p>
        </w:tc>
      </w:tr>
      <w:tr w14:paraId="2094E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shd w:val="clear" w:color="auto" w:fill="auto"/>
            <w:vAlign w:val="center"/>
          </w:tcPr>
          <w:p w14:paraId="0FCD3272">
            <w:pPr>
              <w:pStyle w:val="34"/>
              <w:jc w:val="center"/>
              <w:rPr>
                <w:color w:val="auto"/>
                <w:spacing w:val="-3"/>
                <w:highlight w:val="none"/>
                <w:lang w:eastAsia="zh-CN"/>
              </w:rPr>
            </w:pPr>
            <w:r>
              <w:rPr>
                <w:rFonts w:hint="eastAsia"/>
                <w:color w:val="auto"/>
                <w:spacing w:val="-3"/>
                <w:highlight w:val="none"/>
                <w:lang w:eastAsia="zh-CN"/>
              </w:rPr>
              <w:t>8</w:t>
            </w:r>
          </w:p>
        </w:tc>
        <w:tc>
          <w:tcPr>
            <w:tcW w:w="825" w:type="dxa"/>
            <w:tcBorders>
              <w:top w:val="single" w:color="000000" w:sz="4" w:space="0"/>
            </w:tcBorders>
            <w:shd w:val="clear" w:color="auto" w:fill="auto"/>
            <w:vAlign w:val="center"/>
          </w:tcPr>
          <w:p w14:paraId="2D473FBB">
            <w:pPr>
              <w:pStyle w:val="34"/>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8</w:t>
            </w:r>
          </w:p>
        </w:tc>
        <w:tc>
          <w:tcPr>
            <w:tcW w:w="2823" w:type="dxa"/>
            <w:tcBorders>
              <w:top w:val="single" w:color="000000" w:sz="4" w:space="0"/>
              <w:right w:val="single" w:color="000000" w:sz="4" w:space="0"/>
            </w:tcBorders>
            <w:vAlign w:val="center"/>
          </w:tcPr>
          <w:p w14:paraId="5E507FA4">
            <w:pPr>
              <w:pStyle w:val="34"/>
              <w:ind w:hanging="1"/>
              <w:rPr>
                <w:color w:val="auto"/>
                <w:highlight w:val="none"/>
              </w:rPr>
            </w:pPr>
            <w:r>
              <w:rPr>
                <w:rFonts w:hint="eastAsia"/>
                <w:color w:val="auto"/>
                <w:spacing w:val="-1"/>
                <w:highlight w:val="none"/>
              </w:rPr>
              <w:t>投标文件</w:t>
            </w:r>
            <w:r>
              <w:rPr>
                <w:rFonts w:hint="eastAsia"/>
                <w:color w:val="auto"/>
                <w:spacing w:val="-1"/>
                <w:highlight w:val="none"/>
                <w:lang w:eastAsia="zh-CN"/>
              </w:rPr>
              <w:t>格式</w:t>
            </w:r>
          </w:p>
        </w:tc>
        <w:tc>
          <w:tcPr>
            <w:tcW w:w="5000" w:type="dxa"/>
            <w:tcBorders>
              <w:top w:val="single" w:color="000000" w:sz="4" w:space="0"/>
              <w:left w:val="single" w:color="000000" w:sz="4" w:space="0"/>
              <w:bottom w:val="single" w:color="000000" w:sz="4" w:space="0"/>
            </w:tcBorders>
            <w:vAlign w:val="center"/>
          </w:tcPr>
          <w:p w14:paraId="2CEAF7D0">
            <w:pPr>
              <w:pStyle w:val="34"/>
              <w:ind w:hanging="1"/>
              <w:rPr>
                <w:color w:val="auto"/>
                <w:highlight w:val="none"/>
                <w:lang w:eastAsia="zh-CN"/>
              </w:rPr>
            </w:pPr>
            <w:r>
              <w:rPr>
                <w:rFonts w:hint="eastAsia"/>
                <w:color w:val="auto"/>
                <w:spacing w:val="-1"/>
                <w:highlight w:val="none"/>
                <w:lang w:eastAsia="zh-CN"/>
              </w:rPr>
              <w:t>投标文件中包括了招标文件中提供格</w:t>
            </w:r>
            <w:r>
              <w:rPr>
                <w:rFonts w:hint="eastAsia"/>
                <w:color w:val="auto"/>
                <w:spacing w:val="-6"/>
                <w:highlight w:val="none"/>
                <w:lang w:eastAsia="zh-CN"/>
              </w:rPr>
              <w:t>式的文本，形式上符合招标文件规定。</w:t>
            </w:r>
          </w:p>
        </w:tc>
      </w:tr>
      <w:tr w14:paraId="3435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shd w:val="clear" w:color="auto" w:fill="auto"/>
            <w:vAlign w:val="center"/>
          </w:tcPr>
          <w:p w14:paraId="71CF48AE">
            <w:pPr>
              <w:pStyle w:val="34"/>
              <w:jc w:val="center"/>
              <w:rPr>
                <w:color w:val="auto"/>
                <w:spacing w:val="-3"/>
                <w:highlight w:val="none"/>
                <w:lang w:eastAsia="zh-CN"/>
              </w:rPr>
            </w:pPr>
            <w:r>
              <w:rPr>
                <w:rFonts w:hint="eastAsia"/>
                <w:color w:val="auto"/>
                <w:spacing w:val="-3"/>
                <w:highlight w:val="none"/>
                <w:lang w:eastAsia="zh-CN"/>
              </w:rPr>
              <w:t>9</w:t>
            </w:r>
          </w:p>
        </w:tc>
        <w:tc>
          <w:tcPr>
            <w:tcW w:w="825" w:type="dxa"/>
            <w:tcBorders>
              <w:top w:val="single" w:color="000000" w:sz="4" w:space="0"/>
            </w:tcBorders>
            <w:shd w:val="clear" w:color="auto" w:fill="auto"/>
            <w:vAlign w:val="center"/>
          </w:tcPr>
          <w:p w14:paraId="343E69BC">
            <w:pPr>
              <w:pStyle w:val="34"/>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9</w:t>
            </w:r>
          </w:p>
        </w:tc>
        <w:tc>
          <w:tcPr>
            <w:tcW w:w="2823" w:type="dxa"/>
            <w:tcBorders>
              <w:top w:val="single" w:color="000000" w:sz="4" w:space="0"/>
              <w:right w:val="single" w:color="000000" w:sz="4" w:space="0"/>
            </w:tcBorders>
            <w:vAlign w:val="center"/>
          </w:tcPr>
          <w:p w14:paraId="17046CD8">
            <w:pPr>
              <w:pStyle w:val="34"/>
              <w:ind w:hanging="5"/>
              <w:rPr>
                <w:color w:val="auto"/>
                <w:highlight w:val="none"/>
                <w:lang w:eastAsia="zh-CN"/>
              </w:rPr>
            </w:pPr>
            <w:r>
              <w:rPr>
                <w:rFonts w:hint="eastAsia"/>
                <w:color w:val="auto"/>
                <w:spacing w:val="-8"/>
                <w:highlight w:val="none"/>
              </w:rPr>
              <w:t>投标</w:t>
            </w:r>
            <w:r>
              <w:rPr>
                <w:rFonts w:hint="eastAsia"/>
                <w:color w:val="auto"/>
                <w:spacing w:val="-8"/>
                <w:highlight w:val="none"/>
                <w:lang w:eastAsia="zh-CN"/>
              </w:rPr>
              <w:t>文件签字</w:t>
            </w:r>
            <w:r>
              <w:rPr>
                <w:rFonts w:hint="eastAsia"/>
                <w:color w:val="auto"/>
                <w:spacing w:val="-8"/>
                <w:highlight w:val="none"/>
              </w:rPr>
              <w:t>、盖</w:t>
            </w:r>
            <w:r>
              <w:rPr>
                <w:rFonts w:hint="eastAsia"/>
                <w:color w:val="auto"/>
                <w:spacing w:val="-9"/>
                <w:highlight w:val="none"/>
              </w:rPr>
              <w:t>章</w:t>
            </w:r>
          </w:p>
        </w:tc>
        <w:tc>
          <w:tcPr>
            <w:tcW w:w="5000" w:type="dxa"/>
            <w:tcBorders>
              <w:top w:val="single" w:color="000000" w:sz="4" w:space="0"/>
              <w:left w:val="single" w:color="000000" w:sz="4" w:space="0"/>
              <w:bottom w:val="single" w:color="000000" w:sz="4" w:space="0"/>
            </w:tcBorders>
            <w:vAlign w:val="center"/>
          </w:tcPr>
          <w:p w14:paraId="135A38A5">
            <w:pPr>
              <w:pStyle w:val="34"/>
              <w:ind w:firstLine="1"/>
              <w:rPr>
                <w:color w:val="auto"/>
                <w:highlight w:val="none"/>
                <w:lang w:eastAsia="zh-CN"/>
              </w:rPr>
            </w:pPr>
            <w:r>
              <w:rPr>
                <w:rFonts w:hint="eastAsia"/>
                <w:color w:val="auto"/>
                <w:spacing w:val="-4"/>
                <w:highlight w:val="none"/>
                <w:lang w:eastAsia="zh-CN"/>
              </w:rPr>
              <w:t>投标人按照招标文件规定要求签署、盖章。</w:t>
            </w:r>
          </w:p>
        </w:tc>
      </w:tr>
      <w:tr w14:paraId="2A83C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6423A2D1">
            <w:pPr>
              <w:pStyle w:val="34"/>
              <w:jc w:val="center"/>
              <w:rPr>
                <w:color w:val="auto"/>
                <w:spacing w:val="-3"/>
                <w:highlight w:val="none"/>
                <w:lang w:eastAsia="zh-CN"/>
              </w:rPr>
            </w:pPr>
            <w:r>
              <w:rPr>
                <w:rFonts w:hint="eastAsia"/>
                <w:color w:val="auto"/>
                <w:spacing w:val="-3"/>
                <w:highlight w:val="none"/>
                <w:lang w:eastAsia="zh-CN"/>
              </w:rPr>
              <w:t>10</w:t>
            </w:r>
          </w:p>
        </w:tc>
        <w:tc>
          <w:tcPr>
            <w:tcW w:w="825" w:type="dxa"/>
            <w:tcBorders>
              <w:top w:val="single" w:color="000000" w:sz="4" w:space="0"/>
            </w:tcBorders>
            <w:vAlign w:val="center"/>
          </w:tcPr>
          <w:p w14:paraId="484E023F">
            <w:pPr>
              <w:pStyle w:val="34"/>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10</w:t>
            </w:r>
          </w:p>
        </w:tc>
        <w:tc>
          <w:tcPr>
            <w:tcW w:w="2823" w:type="dxa"/>
            <w:tcBorders>
              <w:top w:val="single" w:color="000000" w:sz="4" w:space="0"/>
              <w:right w:val="single" w:color="000000" w:sz="4" w:space="0"/>
            </w:tcBorders>
            <w:vAlign w:val="center"/>
          </w:tcPr>
          <w:p w14:paraId="67F44910">
            <w:pPr>
              <w:pStyle w:val="34"/>
              <w:ind w:firstLine="2"/>
              <w:rPr>
                <w:color w:val="auto"/>
                <w:highlight w:val="none"/>
                <w:lang w:eastAsia="zh-CN"/>
              </w:rPr>
            </w:pPr>
            <w:r>
              <w:rPr>
                <w:rFonts w:hint="eastAsia"/>
                <w:color w:val="auto"/>
                <w:highlight w:val="none"/>
              </w:rPr>
              <w:t>其他要求</w:t>
            </w:r>
          </w:p>
        </w:tc>
        <w:tc>
          <w:tcPr>
            <w:tcW w:w="5000" w:type="dxa"/>
            <w:tcBorders>
              <w:top w:val="single" w:color="000000" w:sz="4" w:space="0"/>
              <w:left w:val="single" w:color="000000" w:sz="4" w:space="0"/>
              <w:bottom w:val="single" w:color="000000" w:sz="4" w:space="0"/>
            </w:tcBorders>
            <w:vAlign w:val="center"/>
          </w:tcPr>
          <w:p w14:paraId="5D429975">
            <w:pPr>
              <w:pStyle w:val="34"/>
              <w:ind w:firstLine="2"/>
              <w:rPr>
                <w:color w:val="auto"/>
                <w:spacing w:val="-2"/>
                <w:highlight w:val="none"/>
                <w:lang w:eastAsia="zh-CN"/>
              </w:rPr>
            </w:pPr>
            <w:r>
              <w:rPr>
                <w:rFonts w:hint="eastAsia"/>
                <w:color w:val="auto"/>
                <w:spacing w:val="-1"/>
                <w:highlight w:val="none"/>
                <w:lang w:eastAsia="zh-CN"/>
              </w:rPr>
              <w:t>（1）投标文件未含有采购人不能接受的附</w:t>
            </w:r>
            <w:r>
              <w:rPr>
                <w:rFonts w:hint="eastAsia"/>
                <w:color w:val="auto"/>
                <w:spacing w:val="-2"/>
                <w:highlight w:val="none"/>
                <w:lang w:eastAsia="zh-CN"/>
              </w:rPr>
              <w:t>加条件的。</w:t>
            </w:r>
          </w:p>
          <w:p w14:paraId="6A8452BA">
            <w:pPr>
              <w:pStyle w:val="34"/>
              <w:ind w:firstLine="2"/>
              <w:rPr>
                <w:color w:val="auto"/>
                <w:spacing w:val="-1"/>
                <w:highlight w:val="none"/>
                <w:lang w:eastAsia="zh-CN"/>
              </w:rPr>
            </w:pPr>
            <w:r>
              <w:rPr>
                <w:rFonts w:hint="eastAsia"/>
                <w:color w:val="auto"/>
                <w:spacing w:val="-1"/>
                <w:highlight w:val="none"/>
                <w:lang w:eastAsia="zh-CN"/>
              </w:rPr>
              <w:t>（2）对招标文件的实质性要求作出响应。</w:t>
            </w:r>
          </w:p>
          <w:p w14:paraId="4D954501">
            <w:pPr>
              <w:pStyle w:val="34"/>
              <w:ind w:firstLine="2"/>
              <w:rPr>
                <w:color w:val="auto"/>
                <w:spacing w:val="-1"/>
                <w:highlight w:val="none"/>
                <w:lang w:eastAsia="zh-CN"/>
              </w:rPr>
            </w:pPr>
            <w:r>
              <w:rPr>
                <w:rFonts w:hint="eastAsia"/>
                <w:color w:val="auto"/>
                <w:spacing w:val="-1"/>
                <w:highlight w:val="none"/>
                <w:lang w:eastAsia="zh-CN"/>
              </w:rPr>
              <w:t>（3）投标人不存在串通投标行为。</w:t>
            </w:r>
          </w:p>
          <w:p w14:paraId="63619845">
            <w:pPr>
              <w:pStyle w:val="34"/>
              <w:ind w:firstLine="2"/>
              <w:rPr>
                <w:color w:val="auto"/>
                <w:highlight w:val="none"/>
                <w:lang w:eastAsia="zh-CN"/>
              </w:rPr>
            </w:pPr>
            <w:r>
              <w:rPr>
                <w:rFonts w:hint="eastAsia"/>
                <w:color w:val="auto"/>
                <w:spacing w:val="-5"/>
                <w:highlight w:val="none"/>
                <w:lang w:eastAsia="zh-CN"/>
              </w:rPr>
              <w:t>（4）投标人、投标文件不存在不符合法律、</w:t>
            </w:r>
            <w:r>
              <w:rPr>
                <w:rFonts w:hint="eastAsia"/>
                <w:color w:val="auto"/>
                <w:spacing w:val="-1"/>
                <w:highlight w:val="none"/>
                <w:lang w:eastAsia="zh-CN"/>
              </w:rPr>
              <w:t>法规和招标文件规定的其他无效情</w:t>
            </w:r>
            <w:r>
              <w:rPr>
                <w:rFonts w:hint="eastAsia"/>
                <w:color w:val="auto"/>
                <w:spacing w:val="-7"/>
                <w:highlight w:val="none"/>
                <w:lang w:eastAsia="zh-CN"/>
              </w:rPr>
              <w:t>形。</w:t>
            </w:r>
          </w:p>
        </w:tc>
      </w:tr>
    </w:tbl>
    <w:p w14:paraId="23FCF882">
      <w:pPr>
        <w:spacing w:before="18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5060D0BA">
      <w:pPr>
        <w:rPr>
          <w:rFonts w:ascii="宋体" w:hAnsi="宋体" w:eastAsia="宋体" w:cs="宋体"/>
          <w:color w:val="auto"/>
          <w:sz w:val="24"/>
          <w:szCs w:val="24"/>
          <w:highlight w:val="none"/>
          <w:lang w:eastAsia="zh-CN"/>
        </w:rPr>
      </w:pPr>
    </w:p>
    <w:p w14:paraId="2D89D5D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一、有下列情形之一的，属于投标人相互串通投标：</w:t>
      </w:r>
    </w:p>
    <w:p w14:paraId="1C03C6E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（一）投标人之间协商投标报价等投标文件的实质性内容；</w:t>
      </w:r>
    </w:p>
    <w:p w14:paraId="5D671A0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（二）投标人之间约定中标人；</w:t>
      </w:r>
    </w:p>
    <w:p w14:paraId="189E268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（三）投标人之间约定部分投标人放弃投标或者中标；</w:t>
      </w:r>
    </w:p>
    <w:p w14:paraId="302EF6C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（四）属于同一集团、协会、商会等组织成员的投标人按照该组织要求协同投标；</w:t>
      </w:r>
    </w:p>
    <w:p w14:paraId="727B1C0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（五）投标人之间为谋取中标或者排斥特定投标人而采取的其他联合行动。</w:t>
      </w:r>
    </w:p>
    <w:p w14:paraId="3BDE6894">
      <w:pPr>
        <w:rPr>
          <w:rFonts w:ascii="宋体" w:hAnsi="宋体" w:eastAsia="宋体" w:cs="宋体"/>
          <w:color w:val="auto"/>
          <w:sz w:val="24"/>
          <w:szCs w:val="24"/>
          <w:highlight w:val="none"/>
          <w:lang w:eastAsia="zh-CN"/>
        </w:rPr>
      </w:pPr>
    </w:p>
    <w:p w14:paraId="38212337">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二、有下列情形之一的，视为投标人相互串通投标：</w:t>
      </w:r>
    </w:p>
    <w:p w14:paraId="518C9F5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（一）不同投标人的投标文件由同一单位或者个人编制；</w:t>
      </w:r>
    </w:p>
    <w:p w14:paraId="54D71F12">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（二）不同投标人委托同一单位或者个人办理投标事宜；</w:t>
      </w:r>
    </w:p>
    <w:p w14:paraId="5A3FDC9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（三）不同投标人的投标文件载明的项目管理成员为同一人；</w:t>
      </w:r>
    </w:p>
    <w:p w14:paraId="4DFDE04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（四）不同投标人的投标文件异常一致或者投标报价呈规律性差异；</w:t>
      </w:r>
    </w:p>
    <w:p w14:paraId="4536293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（五）不同投标人的投标文件相互混装；</w:t>
      </w:r>
    </w:p>
    <w:p w14:paraId="1C751BD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（六）不同投标人的投标保证金从同一单位或者个人的账户转出；</w:t>
      </w:r>
    </w:p>
    <w:p w14:paraId="4A706C0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（七）《关于禁止串通招标投标行为的暂行规定》（国家工商行政管理局令第 82 号）第三条规定的串通投标行为；</w:t>
      </w:r>
    </w:p>
    <w:p w14:paraId="05E4B6E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（八）投标人串通投标的其他情形。</w:t>
      </w:r>
    </w:p>
    <w:p w14:paraId="34A347C3">
      <w:pPr>
        <w:rPr>
          <w:rFonts w:ascii="宋体" w:hAnsi="宋体" w:eastAsia="宋体" w:cs="宋体"/>
          <w:color w:val="auto"/>
          <w:sz w:val="24"/>
          <w:szCs w:val="24"/>
          <w:highlight w:val="none"/>
          <w:lang w:eastAsia="zh-CN"/>
        </w:rPr>
      </w:pPr>
    </w:p>
    <w:p w14:paraId="3E3C19F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三、有下列情形之一的，属于采购人与投标人串通投标：</w:t>
      </w:r>
    </w:p>
    <w:p w14:paraId="3D0AD7F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（一）采购人在开标前开启投标文件并将有关信息泄露给其他投标人；</w:t>
      </w:r>
    </w:p>
    <w:p w14:paraId="0F23A3E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（二）采购人直接或者间接向投标人泄露标底、评标委员会成员等信息；</w:t>
      </w:r>
    </w:p>
    <w:p w14:paraId="7145E79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（三）采购人明示或者暗示投标人压低或者抬高投标报价；</w:t>
      </w:r>
    </w:p>
    <w:p w14:paraId="0D4835C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（四）采购人授意投标人撤换、修改投标文件；</w:t>
      </w:r>
    </w:p>
    <w:p w14:paraId="5921709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（五）采购人明示或者暗示投标人为特定投标人中标提供方便；</w:t>
      </w:r>
    </w:p>
    <w:p w14:paraId="657C845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（六）采购人与投标人为谋求特定投标人中标而采取的其他串通行为。</w:t>
      </w:r>
    </w:p>
    <w:p w14:paraId="112EDB4E">
      <w:pPr>
        <w:rPr>
          <w:rFonts w:ascii="宋体" w:hAnsi="宋体" w:eastAsia="宋体" w:cs="宋体"/>
          <w:color w:val="auto"/>
          <w:sz w:val="24"/>
          <w:szCs w:val="24"/>
          <w:highlight w:val="none"/>
          <w:lang w:eastAsia="zh-CN"/>
        </w:rPr>
      </w:pPr>
    </w:p>
    <w:p w14:paraId="3554D0A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四、依据政府采购货物和服务招标投标管理办法第 三十一条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A5A7390">
      <w:pPr>
        <w:rPr>
          <w:rFonts w:ascii="宋体" w:hAnsi="宋体" w:eastAsia="宋体" w:cs="宋体"/>
          <w:color w:val="auto"/>
          <w:sz w:val="24"/>
          <w:szCs w:val="24"/>
          <w:highlight w:val="none"/>
          <w:lang w:eastAsia="zh-CN"/>
        </w:rPr>
      </w:pPr>
    </w:p>
    <w:p w14:paraId="72E1503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注：经评标委员会评审合格投标人的家数不足三家，该项目废标，采购人有权委托采购代理机构重新组织招标。</w:t>
      </w:r>
    </w:p>
    <w:p w14:paraId="68B9D12C">
      <w:pPr>
        <w:rPr>
          <w:rFonts w:ascii="宋体" w:hAnsi="宋体" w:eastAsia="宋体" w:cs="宋体"/>
          <w:color w:val="auto"/>
          <w:sz w:val="24"/>
          <w:szCs w:val="24"/>
          <w:highlight w:val="none"/>
          <w:lang w:eastAsia="zh-CN"/>
        </w:rPr>
      </w:pPr>
    </w:p>
    <w:p w14:paraId="1D9983A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560B77CD">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3.2.1 评标委员会将允许修正投标文件中不构成重大偏离的细微偏离，但这些修正应不会 对实质上响应招标文件要求的投标人的竞争地位（相互排序）产生不公正的影响。</w:t>
      </w:r>
    </w:p>
    <w:p w14:paraId="62B04EB9">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3.2.2 投标文件报价出现前后不一致的，除招标文件另有规定外，按照下列规定修正：（一）投标文件中开标一览表（报价表）内容与投标文件中相应内容不一致的，以开标一览表（报价表）为准；</w:t>
      </w:r>
    </w:p>
    <w:p w14:paraId="5B92008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（二）大写金额和小写金额不一致的，以大写金额为准；</w:t>
      </w:r>
    </w:p>
    <w:p w14:paraId="0011662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（三）单价金额小数点或者百分比有明显错位的，以开标一览表的总价为准，并修改单价；</w:t>
      </w:r>
    </w:p>
    <w:p w14:paraId="7DD3B65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（四）总价金额与按单价汇总金额不一致的，以单价金额计算结果为准。同时出现两种以上不一致的，按照规定的顺序修正。修正后的报价经投标人确认后产生约束力，投标人不确认的，其投标</w:t>
      </w:r>
    </w:p>
    <w:p w14:paraId="01B31813">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无效。</w:t>
      </w:r>
    </w:p>
    <w:p w14:paraId="1DF264E1">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6B736A0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评标委员会应当按照招标文件中规定的评标方法和标准，对符合性审查合格的投标文 件进行商务和技术评估，综合比较与评价。</w:t>
      </w:r>
    </w:p>
    <w:p w14:paraId="3A19E45F">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DFF9EF">
      <w:pPr>
        <w:spacing w:before="182" w:line="219" w:lineRule="auto"/>
        <w:ind w:left="15" w:firstLine="238" w:firstLineChars="1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3.3.2</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综合评分法评分方法（计算结果精确到小数点后两位</w:t>
      </w:r>
      <w:r>
        <w:rPr>
          <w:rFonts w:hint="eastAsia" w:ascii="宋体" w:hAnsi="宋体" w:eastAsia="宋体" w:cs="宋体"/>
          <w:color w:val="auto"/>
          <w:sz w:val="24"/>
          <w:szCs w:val="24"/>
          <w:highlight w:val="none"/>
          <w:lang w:eastAsia="zh-CN"/>
        </w:rPr>
        <w:t>）：</w:t>
      </w:r>
    </w:p>
    <w:p w14:paraId="555E4DCE">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3417080">
      <w:pPr>
        <w:spacing w:before="182" w:line="219" w:lineRule="auto"/>
        <w:ind w:left="15" w:firstLine="281" w:firstLineChars="100"/>
        <w:rPr>
          <w:rFonts w:ascii="宋体" w:hAnsi="宋体" w:eastAsia="宋体" w:cs="宋体"/>
          <w:color w:val="auto"/>
          <w:sz w:val="24"/>
          <w:szCs w:val="24"/>
          <w:highlight w:val="none"/>
          <w:lang w:eastAsia="zh-CN"/>
        </w:rPr>
      </w:pPr>
      <w:r>
        <w:rPr>
          <w:rFonts w:hint="eastAsia" w:ascii="宋体" w:hAnsi="宋体" w:eastAsia="宋体" w:cs="宋体"/>
          <w:b/>
          <w:bCs/>
          <w:color w:val="auto"/>
          <w:sz w:val="28"/>
          <w:szCs w:val="28"/>
          <w:highlight w:val="none"/>
        </w:rPr>
        <w:t>01标段</w:t>
      </w:r>
      <w:r>
        <w:rPr>
          <w:rFonts w:hint="eastAsia" w:ascii="宋体" w:hAnsi="宋体" w:eastAsia="宋体" w:cs="宋体"/>
          <w:b/>
          <w:bCs/>
          <w:color w:val="auto"/>
          <w:sz w:val="28"/>
          <w:szCs w:val="28"/>
          <w:highlight w:val="none"/>
          <w:lang w:eastAsia="zh-CN"/>
        </w:rPr>
        <w:t>详细评审表：</w:t>
      </w:r>
    </w:p>
    <w:tbl>
      <w:tblPr>
        <w:tblStyle w:val="26"/>
        <w:tblpPr w:leftFromText="180" w:rightFromText="180" w:horzAnchor="margin" w:tblpXSpec="center" w:tblpY="733"/>
        <w:tblW w:w="56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5"/>
        <w:gridCol w:w="1405"/>
        <w:gridCol w:w="969"/>
        <w:gridCol w:w="1105"/>
        <w:gridCol w:w="6306"/>
      </w:tblGrid>
      <w:tr w14:paraId="5724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4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D1F0A3">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6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752A4A">
            <w:pPr>
              <w:spacing w:line="3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评审</w:t>
            </w:r>
          </w:p>
          <w:p w14:paraId="49305135">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内容</w:t>
            </w:r>
          </w:p>
        </w:tc>
        <w:tc>
          <w:tcPr>
            <w:tcW w:w="45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FD8401">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4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A37C2D">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评审</w:t>
            </w:r>
            <w:r>
              <w:rPr>
                <w:rFonts w:hint="eastAsia" w:ascii="宋体" w:hAnsi="宋体" w:eastAsia="宋体" w:cs="宋体"/>
                <w:b/>
                <w:color w:val="auto"/>
                <w:sz w:val="24"/>
                <w:szCs w:val="24"/>
                <w:highlight w:val="none"/>
              </w:rPr>
              <w:t>标准</w:t>
            </w:r>
          </w:p>
        </w:tc>
      </w:tr>
      <w:tr w14:paraId="2E79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4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1A1AC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59DD9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5EBF1B5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14CB1F5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30分</w:t>
            </w:r>
            <w:r>
              <w:rPr>
                <w:rFonts w:hint="eastAsia" w:ascii="宋体" w:hAnsi="宋体" w:eastAsia="宋体" w:cs="宋体"/>
                <w:color w:val="auto"/>
                <w:sz w:val="24"/>
                <w:szCs w:val="24"/>
                <w:highlight w:val="none"/>
                <w:lang w:eastAsia="zh-CN"/>
              </w:rPr>
              <w:t>）</w:t>
            </w:r>
          </w:p>
        </w:tc>
        <w:tc>
          <w:tcPr>
            <w:tcW w:w="45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8255D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345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67E6F9">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r>
      <w:tr w14:paraId="34A3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436"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546B47">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5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4C970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6265E53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789CEE06">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分)</w:t>
            </w:r>
          </w:p>
        </w:tc>
        <w:tc>
          <w:tcPr>
            <w:tcW w:w="45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E2AED7">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5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79C1F0">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p>
          <w:p w14:paraId="17981B9F">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2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3FA212">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投标人需提供（2022年1月1日至今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从事过</w:t>
            </w:r>
            <w:r>
              <w:rPr>
                <w:rFonts w:hint="eastAsia" w:ascii="宋体" w:hAnsi="宋体" w:eastAsia="宋体" w:cs="宋体"/>
                <w:color w:val="auto"/>
                <w:kern w:val="0"/>
                <w:sz w:val="24"/>
                <w:szCs w:val="24"/>
                <w:highlight w:val="none"/>
                <w:lang w:val="en-US" w:eastAsia="zh-CN"/>
              </w:rPr>
              <w:t>类似业绩（类似业绩指具有与本项目相匹配的经验能力的医疗器械销售业绩）</w:t>
            </w:r>
            <w:r>
              <w:rPr>
                <w:rFonts w:hint="eastAsia" w:ascii="宋体" w:hAnsi="宋体" w:eastAsia="宋体" w:cs="宋体"/>
                <w:color w:val="auto"/>
                <w:sz w:val="24"/>
                <w:szCs w:val="24"/>
                <w:highlight w:val="none"/>
              </w:rPr>
              <w:t>，每提供一个业绩得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（评分依据：</w:t>
            </w:r>
            <w:r>
              <w:rPr>
                <w:rFonts w:hint="eastAsia" w:ascii="宋体" w:hAnsi="宋体" w:eastAsia="宋体" w:cs="宋体"/>
                <w:color w:val="auto"/>
                <w:sz w:val="24"/>
                <w:szCs w:val="24"/>
                <w:highlight w:val="none"/>
              </w:rPr>
              <w:t>投标文件中附合同</w:t>
            </w:r>
            <w:r>
              <w:rPr>
                <w:rFonts w:hint="eastAsia" w:ascii="宋体" w:hAnsi="宋体" w:eastAsia="宋体" w:cs="宋体"/>
                <w:color w:val="auto"/>
                <w:sz w:val="24"/>
                <w:szCs w:val="24"/>
                <w:highlight w:val="none"/>
                <w:lang w:val="en-US" w:eastAsia="zh-CN"/>
              </w:rPr>
              <w:t>关键页复印件或扫描件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w:t>
            </w:r>
          </w:p>
        </w:tc>
      </w:tr>
      <w:tr w14:paraId="090D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436"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CB93EE">
            <w:pPr>
              <w:spacing w:line="300" w:lineRule="exact"/>
              <w:jc w:val="center"/>
              <w:rPr>
                <w:rFonts w:hint="eastAsia" w:ascii="宋体" w:hAnsi="宋体" w:eastAsia="宋体" w:cs="宋体"/>
                <w:color w:val="auto"/>
                <w:sz w:val="24"/>
                <w:szCs w:val="24"/>
                <w:highlight w:val="none"/>
              </w:rPr>
            </w:pPr>
          </w:p>
        </w:tc>
        <w:tc>
          <w:tcPr>
            <w:tcW w:w="655"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2BA0F3">
            <w:pPr>
              <w:spacing w:line="300" w:lineRule="exact"/>
              <w:jc w:val="center"/>
              <w:rPr>
                <w:rFonts w:hint="eastAsia" w:ascii="宋体" w:hAnsi="宋体" w:eastAsia="宋体" w:cs="宋体"/>
                <w:color w:val="auto"/>
                <w:sz w:val="24"/>
                <w:szCs w:val="24"/>
                <w:highlight w:val="none"/>
              </w:rPr>
            </w:pPr>
          </w:p>
        </w:tc>
        <w:tc>
          <w:tcPr>
            <w:tcW w:w="45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0AB46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5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F7515C">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2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5CDB42">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在满足招标文件商务需求要求的原厂整机质保期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基础上，每增加一年得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82FEE7D">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（评分依据：投标文件中附投标人承诺函）</w:t>
            </w:r>
          </w:p>
        </w:tc>
      </w:tr>
      <w:tr w14:paraId="550A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4" w:hRule="atLeast"/>
          <w:jc w:val="center"/>
        </w:trPr>
        <w:tc>
          <w:tcPr>
            <w:tcW w:w="436" w:type="pct"/>
            <w:vMerge w:val="continue"/>
            <w:tcBorders>
              <w:top w:val="single" w:color="auto" w:sz="4" w:space="0"/>
              <w:left w:val="single" w:color="auto" w:sz="4" w:space="0"/>
              <w:bottom w:val="single" w:color="auto" w:sz="4" w:space="0"/>
              <w:right w:val="single" w:color="auto" w:sz="4" w:space="0"/>
            </w:tcBorders>
            <w:vAlign w:val="center"/>
          </w:tcPr>
          <w:p w14:paraId="24C5EDDD">
            <w:pPr>
              <w:rPr>
                <w:rFonts w:hint="eastAsia" w:ascii="宋体" w:hAnsi="宋体" w:eastAsia="宋体" w:cs="宋体"/>
                <w:color w:val="auto"/>
                <w:sz w:val="24"/>
                <w:szCs w:val="24"/>
                <w:highlight w:val="none"/>
              </w:rPr>
            </w:pPr>
          </w:p>
        </w:tc>
        <w:tc>
          <w:tcPr>
            <w:tcW w:w="655" w:type="pct"/>
            <w:vMerge w:val="continue"/>
            <w:tcBorders>
              <w:top w:val="single" w:color="auto" w:sz="4" w:space="0"/>
              <w:left w:val="single" w:color="auto" w:sz="4" w:space="0"/>
              <w:bottom w:val="single" w:color="auto" w:sz="4" w:space="0"/>
              <w:right w:val="single" w:color="auto" w:sz="4" w:space="0"/>
            </w:tcBorders>
            <w:vAlign w:val="center"/>
          </w:tcPr>
          <w:p w14:paraId="35C3FD48">
            <w:pPr>
              <w:rPr>
                <w:rFonts w:hint="eastAsia" w:ascii="宋体" w:hAnsi="宋体" w:eastAsia="宋体" w:cs="宋体"/>
                <w:color w:val="auto"/>
                <w:sz w:val="24"/>
                <w:szCs w:val="24"/>
                <w:highlight w:val="none"/>
              </w:rPr>
            </w:pPr>
          </w:p>
        </w:tc>
        <w:tc>
          <w:tcPr>
            <w:tcW w:w="45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C4BCF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C94634">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66C8D59F">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2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768A64">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需为本项目提供5名维修工程师：</w:t>
            </w:r>
          </w:p>
          <w:p w14:paraId="0546C303">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5名维修工程师中每提供一名第三方维修工程师得1分；每提供一名原厂维修工程师得2分；本项最高得10分。</w:t>
            </w:r>
          </w:p>
          <w:p w14:paraId="76A0CFD9">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（评分依据：投标文件中附人员名单、联系方式及三方专业培训机构授予维修工程师资质证书复印件（原厂家授予维修工程师资质证书复印件）和工程系列的学历证明复印件）。</w:t>
            </w:r>
          </w:p>
        </w:tc>
      </w:tr>
      <w:tr w14:paraId="6C41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436" w:type="pct"/>
            <w:vMerge w:val="continue"/>
            <w:tcBorders>
              <w:left w:val="single" w:color="auto" w:sz="4" w:space="0"/>
              <w:bottom w:val="single" w:color="auto" w:sz="4" w:space="0"/>
              <w:right w:val="single" w:color="auto" w:sz="4" w:space="0"/>
            </w:tcBorders>
            <w:vAlign w:val="center"/>
          </w:tcPr>
          <w:p w14:paraId="5DE3D916">
            <w:pPr>
              <w:rPr>
                <w:rFonts w:hint="eastAsia" w:ascii="宋体" w:hAnsi="宋体" w:eastAsia="宋体" w:cs="宋体"/>
                <w:color w:val="auto"/>
                <w:sz w:val="24"/>
                <w:szCs w:val="24"/>
                <w:highlight w:val="none"/>
              </w:rPr>
            </w:pPr>
          </w:p>
        </w:tc>
        <w:tc>
          <w:tcPr>
            <w:tcW w:w="655" w:type="pct"/>
            <w:vMerge w:val="continue"/>
            <w:tcBorders>
              <w:left w:val="single" w:color="auto" w:sz="4" w:space="0"/>
              <w:bottom w:val="single" w:color="auto" w:sz="4" w:space="0"/>
              <w:right w:val="single" w:color="auto" w:sz="4" w:space="0"/>
            </w:tcBorders>
            <w:vAlign w:val="center"/>
          </w:tcPr>
          <w:p w14:paraId="43F67B73">
            <w:pPr>
              <w:rPr>
                <w:rFonts w:hint="eastAsia" w:ascii="宋体" w:hAnsi="宋体" w:eastAsia="宋体" w:cs="宋体"/>
                <w:color w:val="auto"/>
                <w:sz w:val="24"/>
                <w:szCs w:val="24"/>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D695416">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51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BB65D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0161A3CE">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承诺</w:t>
            </w:r>
          </w:p>
        </w:tc>
        <w:tc>
          <w:tcPr>
            <w:tcW w:w="294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26E1F55">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接到采购人的故障通知后，能够在12小时以内完成维修得5分，24小时内完成维修得3分，48小时以内完成维修得1分，48小时以外</w:t>
            </w:r>
            <w:r>
              <w:rPr>
                <w:rFonts w:hint="eastAsia" w:ascii="宋体" w:hAnsi="宋体" w:eastAsia="宋体" w:cs="宋体"/>
                <w:bCs/>
                <w:color w:val="auto"/>
                <w:sz w:val="24"/>
                <w:szCs w:val="24"/>
                <w:highlight w:val="none"/>
              </w:rPr>
              <w:t>完成维修或者此项未提供均不得分</w:t>
            </w:r>
            <w:r>
              <w:rPr>
                <w:rFonts w:hint="eastAsia" w:ascii="宋体" w:hAnsi="宋体" w:eastAsia="宋体" w:cs="宋体"/>
                <w:color w:val="auto"/>
                <w:sz w:val="24"/>
                <w:szCs w:val="24"/>
                <w:highlight w:val="none"/>
              </w:rPr>
              <w:t>。</w:t>
            </w:r>
          </w:p>
          <w:p w14:paraId="13E47EB9">
            <w:p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（评分依据：投标文件中附投标人承诺函）</w:t>
            </w:r>
          </w:p>
        </w:tc>
      </w:tr>
      <w:tr w14:paraId="7D23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436"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D48CB7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55"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CA5261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3E438EC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7F7E57D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分)</w:t>
            </w:r>
          </w:p>
        </w:tc>
        <w:tc>
          <w:tcPr>
            <w:tcW w:w="452"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96191E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分</w:t>
            </w:r>
          </w:p>
        </w:tc>
        <w:tc>
          <w:tcPr>
            <w:tcW w:w="515"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6644950">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5600C332">
            <w:pPr>
              <w:spacing w:line="30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参数</w:t>
            </w:r>
          </w:p>
        </w:tc>
        <w:tc>
          <w:tcPr>
            <w:tcW w:w="2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EA37E8">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设备临床适用范围：</w:t>
            </w:r>
          </w:p>
          <w:p w14:paraId="127A2B62">
            <w:pPr>
              <w:spacing w:line="30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1种冲击波临床合法适用范围</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eastAsia="zh-CN"/>
              </w:rPr>
              <w:t>；</w:t>
            </w:r>
          </w:p>
          <w:p w14:paraId="70C774A7">
            <w:pPr>
              <w:spacing w:line="30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2种冲击波临床合法适用范围</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5分</w:t>
            </w:r>
            <w:r>
              <w:rPr>
                <w:rFonts w:hint="eastAsia" w:ascii="宋体" w:hAnsi="宋体" w:eastAsia="宋体" w:cs="宋体"/>
                <w:color w:val="auto"/>
                <w:sz w:val="24"/>
                <w:szCs w:val="24"/>
                <w:highlight w:val="none"/>
                <w:lang w:eastAsia="zh-CN"/>
              </w:rPr>
              <w:t>；</w:t>
            </w:r>
          </w:p>
          <w:p w14:paraId="3830F1B5">
            <w:pPr>
              <w:spacing w:line="30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3种</w:t>
            </w:r>
            <w:r>
              <w:rPr>
                <w:rFonts w:hint="eastAsia" w:ascii="宋体" w:hAnsi="宋体" w:cs="宋体"/>
                <w:color w:val="auto"/>
                <w:sz w:val="24"/>
                <w:szCs w:val="24"/>
                <w:highlight w:val="none"/>
                <w:lang w:eastAsia="zh-CN"/>
              </w:rPr>
              <w:t>及</w:t>
            </w:r>
            <w:r>
              <w:rPr>
                <w:rFonts w:hint="eastAsia" w:ascii="宋体" w:hAnsi="宋体" w:eastAsia="宋体" w:cs="宋体"/>
                <w:color w:val="auto"/>
                <w:sz w:val="24"/>
                <w:szCs w:val="24"/>
                <w:highlight w:val="none"/>
              </w:rPr>
              <w:t>以上冲击波临床合法适用范围</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8分</w:t>
            </w:r>
            <w:r>
              <w:rPr>
                <w:rFonts w:hint="eastAsia" w:ascii="宋体" w:hAnsi="宋体" w:eastAsia="宋体" w:cs="宋体"/>
                <w:color w:val="auto"/>
                <w:sz w:val="24"/>
                <w:szCs w:val="24"/>
                <w:highlight w:val="none"/>
                <w:lang w:eastAsia="zh-CN"/>
              </w:rPr>
              <w:t>。</w:t>
            </w:r>
          </w:p>
          <w:p w14:paraId="3487E083">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可以实现对疼痛等相关疾病进行冲击波中西医结合治疗。（评分依据：投标人需在采购需求偏离表的备注栏标明佐证材料的对应页码，佐证材料为所投产品的注册证适用范围证明材料，否则不得分。）</w:t>
            </w:r>
          </w:p>
        </w:tc>
      </w:tr>
      <w:tr w14:paraId="06DA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436" w:type="pct"/>
            <w:vMerge w:val="continue"/>
            <w:tcBorders>
              <w:left w:val="single" w:color="auto" w:sz="4" w:space="0"/>
              <w:right w:val="single" w:color="auto" w:sz="4" w:space="0"/>
            </w:tcBorders>
            <w:tcMar>
              <w:top w:w="0" w:type="dxa"/>
              <w:left w:w="108" w:type="dxa"/>
              <w:bottom w:w="0" w:type="dxa"/>
              <w:right w:w="108" w:type="dxa"/>
            </w:tcMar>
            <w:vAlign w:val="center"/>
          </w:tcPr>
          <w:p w14:paraId="0DE59100">
            <w:pPr>
              <w:spacing w:line="300" w:lineRule="exact"/>
              <w:textAlignment w:val="center"/>
              <w:rPr>
                <w:rFonts w:hint="eastAsia" w:ascii="宋体" w:hAnsi="宋体" w:eastAsia="宋体" w:cs="宋体"/>
                <w:color w:val="auto"/>
                <w:sz w:val="24"/>
                <w:szCs w:val="24"/>
                <w:highlight w:val="none"/>
              </w:rPr>
            </w:pPr>
          </w:p>
        </w:tc>
        <w:tc>
          <w:tcPr>
            <w:tcW w:w="655" w:type="pct"/>
            <w:vMerge w:val="continue"/>
            <w:tcBorders>
              <w:left w:val="single" w:color="auto" w:sz="4" w:space="0"/>
              <w:right w:val="single" w:color="auto" w:sz="4" w:space="0"/>
            </w:tcBorders>
            <w:tcMar>
              <w:top w:w="0" w:type="dxa"/>
              <w:left w:w="108" w:type="dxa"/>
              <w:bottom w:w="0" w:type="dxa"/>
              <w:right w:w="108" w:type="dxa"/>
            </w:tcMar>
            <w:vAlign w:val="center"/>
          </w:tcPr>
          <w:p w14:paraId="7256A87E">
            <w:pPr>
              <w:spacing w:line="300" w:lineRule="exact"/>
              <w:textAlignment w:val="center"/>
              <w:rPr>
                <w:rFonts w:hint="eastAsia" w:ascii="宋体" w:hAnsi="宋体" w:eastAsia="宋体" w:cs="宋体"/>
                <w:color w:val="auto"/>
                <w:sz w:val="24"/>
                <w:szCs w:val="24"/>
                <w:highlight w:val="none"/>
              </w:rPr>
            </w:pPr>
          </w:p>
        </w:tc>
        <w:tc>
          <w:tcPr>
            <w:tcW w:w="452" w:type="pct"/>
            <w:vMerge w:val="continue"/>
            <w:tcBorders>
              <w:left w:val="single" w:color="auto" w:sz="4" w:space="0"/>
              <w:right w:val="single" w:color="auto" w:sz="4" w:space="0"/>
            </w:tcBorders>
            <w:tcMar>
              <w:top w:w="0" w:type="dxa"/>
              <w:left w:w="108" w:type="dxa"/>
              <w:bottom w:w="0" w:type="dxa"/>
              <w:right w:w="108" w:type="dxa"/>
            </w:tcMar>
            <w:vAlign w:val="center"/>
          </w:tcPr>
          <w:p w14:paraId="4F59268E">
            <w:pPr>
              <w:spacing w:line="300" w:lineRule="exact"/>
              <w:textAlignment w:val="center"/>
              <w:rPr>
                <w:rFonts w:hint="eastAsia" w:ascii="宋体" w:hAnsi="宋体" w:eastAsia="宋体" w:cs="宋体"/>
                <w:color w:val="auto"/>
                <w:sz w:val="24"/>
                <w:szCs w:val="24"/>
                <w:highlight w:val="none"/>
              </w:rPr>
            </w:pPr>
          </w:p>
        </w:tc>
        <w:tc>
          <w:tcPr>
            <w:tcW w:w="515" w:type="pct"/>
            <w:vMerge w:val="continue"/>
            <w:tcBorders>
              <w:left w:val="single" w:color="auto" w:sz="4" w:space="0"/>
              <w:right w:val="single" w:color="auto" w:sz="4" w:space="0"/>
            </w:tcBorders>
            <w:tcMar>
              <w:top w:w="0" w:type="dxa"/>
              <w:left w:w="108" w:type="dxa"/>
              <w:bottom w:w="0" w:type="dxa"/>
              <w:right w:w="108" w:type="dxa"/>
            </w:tcMar>
            <w:vAlign w:val="center"/>
          </w:tcPr>
          <w:p w14:paraId="3E744BC8">
            <w:pPr>
              <w:spacing w:line="300" w:lineRule="exact"/>
              <w:textAlignment w:val="center"/>
              <w:rPr>
                <w:rFonts w:hint="eastAsia" w:ascii="宋体" w:hAnsi="宋体" w:eastAsia="宋体" w:cs="宋体"/>
                <w:color w:val="auto"/>
                <w:sz w:val="24"/>
                <w:szCs w:val="24"/>
                <w:highlight w:val="none"/>
              </w:rPr>
            </w:pPr>
          </w:p>
        </w:tc>
        <w:tc>
          <w:tcPr>
            <w:tcW w:w="2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CCBD28">
            <w:p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2、治疗手柄权威机构职业安全振动检测，保证操作者职业安全。</w:t>
            </w:r>
          </w:p>
          <w:p w14:paraId="625F7162">
            <w:p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1家权威机构职业安全振动检验得2分；</w:t>
            </w:r>
          </w:p>
          <w:p w14:paraId="1550526E">
            <w:p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2家权威机构职业安全振动检验得5分；</w:t>
            </w:r>
          </w:p>
          <w:p w14:paraId="6F0DF8C7">
            <w:p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3家及以上权威机构职业安全振动检验得8分。</w:t>
            </w:r>
          </w:p>
          <w:p w14:paraId="77BD2683">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（评分依据：投标人需在采购需求偏离表的备注栏标明佐证材料的对应页码，佐证材料为所投产品的检测报告证明材料，否则不得分。）</w:t>
            </w:r>
          </w:p>
        </w:tc>
      </w:tr>
      <w:tr w14:paraId="68BB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436" w:type="pct"/>
            <w:vMerge w:val="continue"/>
            <w:tcBorders>
              <w:left w:val="single" w:color="auto" w:sz="4" w:space="0"/>
              <w:right w:val="single" w:color="auto" w:sz="4" w:space="0"/>
            </w:tcBorders>
            <w:tcMar>
              <w:top w:w="0" w:type="dxa"/>
              <w:left w:w="108" w:type="dxa"/>
              <w:bottom w:w="0" w:type="dxa"/>
              <w:right w:w="108" w:type="dxa"/>
            </w:tcMar>
            <w:vAlign w:val="center"/>
          </w:tcPr>
          <w:p w14:paraId="0D91C8AE">
            <w:pPr>
              <w:spacing w:line="300" w:lineRule="exact"/>
              <w:textAlignment w:val="center"/>
              <w:rPr>
                <w:rFonts w:hint="eastAsia" w:ascii="宋体" w:hAnsi="宋体" w:eastAsia="宋体" w:cs="宋体"/>
                <w:color w:val="auto"/>
                <w:sz w:val="24"/>
                <w:szCs w:val="24"/>
                <w:highlight w:val="none"/>
              </w:rPr>
            </w:pPr>
          </w:p>
        </w:tc>
        <w:tc>
          <w:tcPr>
            <w:tcW w:w="655" w:type="pct"/>
            <w:vMerge w:val="continue"/>
            <w:tcBorders>
              <w:left w:val="single" w:color="auto" w:sz="4" w:space="0"/>
              <w:right w:val="single" w:color="auto" w:sz="4" w:space="0"/>
            </w:tcBorders>
            <w:tcMar>
              <w:top w:w="0" w:type="dxa"/>
              <w:left w:w="108" w:type="dxa"/>
              <w:bottom w:w="0" w:type="dxa"/>
              <w:right w:w="108" w:type="dxa"/>
            </w:tcMar>
            <w:vAlign w:val="center"/>
          </w:tcPr>
          <w:p w14:paraId="590D1AE8">
            <w:pPr>
              <w:spacing w:line="300" w:lineRule="exact"/>
              <w:textAlignment w:val="center"/>
              <w:rPr>
                <w:rFonts w:hint="eastAsia" w:ascii="宋体" w:hAnsi="宋体" w:eastAsia="宋体" w:cs="宋体"/>
                <w:color w:val="auto"/>
                <w:sz w:val="24"/>
                <w:szCs w:val="24"/>
                <w:highlight w:val="none"/>
              </w:rPr>
            </w:pPr>
          </w:p>
        </w:tc>
        <w:tc>
          <w:tcPr>
            <w:tcW w:w="452" w:type="pct"/>
            <w:vMerge w:val="continue"/>
            <w:tcBorders>
              <w:left w:val="single" w:color="auto" w:sz="4" w:space="0"/>
              <w:right w:val="single" w:color="auto" w:sz="4" w:space="0"/>
            </w:tcBorders>
            <w:tcMar>
              <w:top w:w="0" w:type="dxa"/>
              <w:left w:w="108" w:type="dxa"/>
              <w:bottom w:w="0" w:type="dxa"/>
              <w:right w:w="108" w:type="dxa"/>
            </w:tcMar>
            <w:vAlign w:val="center"/>
          </w:tcPr>
          <w:p w14:paraId="492C15D6">
            <w:pPr>
              <w:spacing w:line="300" w:lineRule="exact"/>
              <w:textAlignment w:val="center"/>
              <w:rPr>
                <w:rFonts w:hint="eastAsia" w:ascii="宋体" w:hAnsi="宋体" w:eastAsia="宋体" w:cs="宋体"/>
                <w:color w:val="auto"/>
                <w:sz w:val="24"/>
                <w:szCs w:val="24"/>
                <w:highlight w:val="none"/>
              </w:rPr>
            </w:pPr>
          </w:p>
        </w:tc>
        <w:tc>
          <w:tcPr>
            <w:tcW w:w="515" w:type="pct"/>
            <w:vMerge w:val="continue"/>
            <w:tcBorders>
              <w:left w:val="single" w:color="auto" w:sz="4" w:space="0"/>
              <w:right w:val="single" w:color="auto" w:sz="4" w:space="0"/>
            </w:tcBorders>
            <w:tcMar>
              <w:top w:w="0" w:type="dxa"/>
              <w:left w:w="108" w:type="dxa"/>
              <w:bottom w:w="0" w:type="dxa"/>
              <w:right w:w="108" w:type="dxa"/>
            </w:tcMar>
            <w:vAlign w:val="center"/>
          </w:tcPr>
          <w:p w14:paraId="054CF982">
            <w:pPr>
              <w:spacing w:line="300" w:lineRule="exact"/>
              <w:textAlignment w:val="center"/>
              <w:rPr>
                <w:rFonts w:hint="eastAsia" w:ascii="宋体" w:hAnsi="宋体" w:eastAsia="宋体" w:cs="宋体"/>
                <w:color w:val="auto"/>
                <w:sz w:val="24"/>
                <w:szCs w:val="24"/>
                <w:highlight w:val="none"/>
              </w:rPr>
            </w:pPr>
          </w:p>
        </w:tc>
        <w:tc>
          <w:tcPr>
            <w:tcW w:w="2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A470BB">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3、至少具备一种探头专利技术：</w:t>
            </w:r>
          </w:p>
          <w:p w14:paraId="5EEB758A">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具有1种探头专利技术得2分；</w:t>
            </w:r>
          </w:p>
          <w:p w14:paraId="6545A846">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具有2种探头专利技术得5分；</w:t>
            </w:r>
          </w:p>
          <w:p w14:paraId="533CC331">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具3种及以上探头专利技术得8分。</w:t>
            </w:r>
          </w:p>
          <w:p w14:paraId="0A62D060">
            <w:pPr>
              <w:numPr>
                <w:ilvl w:val="0"/>
                <w:numId w:val="0"/>
              </w:num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（评分依据：投标人需在采购需求偏离表的备注栏标明佐证材料的对应页码，佐证材料为专利技术证明材料，否则不得分。）</w:t>
            </w:r>
          </w:p>
        </w:tc>
      </w:tr>
      <w:tr w14:paraId="4589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436" w:type="pct"/>
            <w:vMerge w:val="continue"/>
            <w:tcBorders>
              <w:left w:val="single" w:color="auto" w:sz="4" w:space="0"/>
              <w:right w:val="single" w:color="auto" w:sz="4" w:space="0"/>
            </w:tcBorders>
            <w:tcMar>
              <w:top w:w="0" w:type="dxa"/>
              <w:left w:w="108" w:type="dxa"/>
              <w:bottom w:w="0" w:type="dxa"/>
              <w:right w:w="108" w:type="dxa"/>
            </w:tcMar>
            <w:vAlign w:val="center"/>
          </w:tcPr>
          <w:p w14:paraId="0DCB8D01">
            <w:pPr>
              <w:spacing w:line="300" w:lineRule="exact"/>
              <w:textAlignment w:val="center"/>
              <w:rPr>
                <w:rFonts w:hint="eastAsia" w:ascii="宋体" w:hAnsi="宋体" w:eastAsia="宋体" w:cs="宋体"/>
                <w:color w:val="auto"/>
                <w:sz w:val="24"/>
                <w:szCs w:val="24"/>
                <w:highlight w:val="none"/>
              </w:rPr>
            </w:pPr>
          </w:p>
        </w:tc>
        <w:tc>
          <w:tcPr>
            <w:tcW w:w="655" w:type="pct"/>
            <w:vMerge w:val="continue"/>
            <w:tcBorders>
              <w:left w:val="single" w:color="auto" w:sz="4" w:space="0"/>
              <w:right w:val="single" w:color="auto" w:sz="4" w:space="0"/>
            </w:tcBorders>
            <w:tcMar>
              <w:top w:w="0" w:type="dxa"/>
              <w:left w:w="108" w:type="dxa"/>
              <w:bottom w:w="0" w:type="dxa"/>
              <w:right w:w="108" w:type="dxa"/>
            </w:tcMar>
            <w:vAlign w:val="center"/>
          </w:tcPr>
          <w:p w14:paraId="4D1BC72F">
            <w:pPr>
              <w:spacing w:line="300" w:lineRule="exact"/>
              <w:textAlignment w:val="center"/>
              <w:rPr>
                <w:rFonts w:hint="eastAsia" w:ascii="宋体" w:hAnsi="宋体" w:eastAsia="宋体" w:cs="宋体"/>
                <w:color w:val="auto"/>
                <w:sz w:val="24"/>
                <w:szCs w:val="24"/>
                <w:highlight w:val="none"/>
              </w:rPr>
            </w:pPr>
          </w:p>
        </w:tc>
        <w:tc>
          <w:tcPr>
            <w:tcW w:w="452" w:type="pct"/>
            <w:vMerge w:val="continue"/>
            <w:tcBorders>
              <w:left w:val="single" w:color="auto" w:sz="4" w:space="0"/>
              <w:right w:val="single" w:color="auto" w:sz="4" w:space="0"/>
            </w:tcBorders>
            <w:tcMar>
              <w:top w:w="0" w:type="dxa"/>
              <w:left w:w="108" w:type="dxa"/>
              <w:bottom w:w="0" w:type="dxa"/>
              <w:right w:w="108" w:type="dxa"/>
            </w:tcMar>
            <w:vAlign w:val="center"/>
          </w:tcPr>
          <w:p w14:paraId="12F150E5">
            <w:pPr>
              <w:spacing w:line="300" w:lineRule="exact"/>
              <w:textAlignment w:val="center"/>
              <w:rPr>
                <w:rFonts w:hint="eastAsia" w:ascii="宋体" w:hAnsi="宋体" w:eastAsia="宋体" w:cs="宋体"/>
                <w:color w:val="auto"/>
                <w:sz w:val="24"/>
                <w:szCs w:val="24"/>
                <w:highlight w:val="none"/>
              </w:rPr>
            </w:pPr>
          </w:p>
        </w:tc>
        <w:tc>
          <w:tcPr>
            <w:tcW w:w="515" w:type="pct"/>
            <w:vMerge w:val="continue"/>
            <w:tcBorders>
              <w:left w:val="single" w:color="auto" w:sz="4" w:space="0"/>
              <w:right w:val="single" w:color="auto" w:sz="4" w:space="0"/>
            </w:tcBorders>
            <w:tcMar>
              <w:top w:w="0" w:type="dxa"/>
              <w:left w:w="108" w:type="dxa"/>
              <w:bottom w:w="0" w:type="dxa"/>
              <w:right w:w="108" w:type="dxa"/>
            </w:tcMar>
            <w:vAlign w:val="center"/>
          </w:tcPr>
          <w:p w14:paraId="3ADAE123">
            <w:pPr>
              <w:spacing w:line="300" w:lineRule="exact"/>
              <w:textAlignment w:val="center"/>
              <w:rPr>
                <w:rFonts w:hint="eastAsia" w:ascii="宋体" w:hAnsi="宋体" w:eastAsia="宋体" w:cs="宋体"/>
                <w:color w:val="auto"/>
                <w:sz w:val="24"/>
                <w:szCs w:val="24"/>
                <w:highlight w:val="none"/>
              </w:rPr>
            </w:pPr>
          </w:p>
        </w:tc>
        <w:tc>
          <w:tcPr>
            <w:tcW w:w="2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45AA27">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4、设备具有不用治疗探头：</w:t>
            </w:r>
          </w:p>
          <w:p w14:paraId="5C198A68">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具有1种不同材料治疗探头得2分</w:t>
            </w:r>
            <w:r>
              <w:rPr>
                <w:rFonts w:hint="eastAsia" w:ascii="宋体" w:hAnsi="宋体" w:cs="宋体"/>
                <w:color w:val="auto"/>
                <w:kern w:val="2"/>
                <w:sz w:val="24"/>
                <w:szCs w:val="24"/>
                <w:highlight w:val="none"/>
                <w:lang w:val="en-US" w:eastAsia="zh-CN" w:bidi="ar-SA"/>
              </w:rPr>
              <w:t>；</w:t>
            </w:r>
          </w:p>
          <w:p w14:paraId="03515454">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具有2种不同材料治疗探头得5分；</w:t>
            </w:r>
          </w:p>
          <w:p w14:paraId="7BB5E720">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具有3种及以上不同材料治疗探头得8分。</w:t>
            </w:r>
          </w:p>
          <w:p w14:paraId="017059A9">
            <w:pPr>
              <w:numPr>
                <w:ilvl w:val="0"/>
                <w:numId w:val="0"/>
              </w:num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（评分依据：投标人需在采购需求偏离表的备注栏标明佐证材料的对应页码，佐证材料为设备彩页，否则不得分。）</w:t>
            </w:r>
          </w:p>
        </w:tc>
      </w:tr>
      <w:tr w14:paraId="0F4F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436" w:type="pct"/>
            <w:vMerge w:val="continue"/>
            <w:tcBorders>
              <w:left w:val="single" w:color="auto" w:sz="4" w:space="0"/>
              <w:right w:val="single" w:color="auto" w:sz="4" w:space="0"/>
            </w:tcBorders>
            <w:tcMar>
              <w:top w:w="0" w:type="dxa"/>
              <w:left w:w="108" w:type="dxa"/>
              <w:bottom w:w="0" w:type="dxa"/>
              <w:right w:w="108" w:type="dxa"/>
            </w:tcMar>
            <w:vAlign w:val="center"/>
          </w:tcPr>
          <w:p w14:paraId="257FE9E8">
            <w:pPr>
              <w:spacing w:line="300" w:lineRule="exact"/>
              <w:textAlignment w:val="center"/>
              <w:rPr>
                <w:rFonts w:hint="eastAsia" w:ascii="宋体" w:hAnsi="宋体" w:eastAsia="宋体" w:cs="宋体"/>
                <w:color w:val="auto"/>
                <w:sz w:val="24"/>
                <w:szCs w:val="24"/>
                <w:highlight w:val="none"/>
              </w:rPr>
            </w:pPr>
          </w:p>
        </w:tc>
        <w:tc>
          <w:tcPr>
            <w:tcW w:w="655" w:type="pct"/>
            <w:vMerge w:val="continue"/>
            <w:tcBorders>
              <w:left w:val="single" w:color="auto" w:sz="4" w:space="0"/>
              <w:right w:val="single" w:color="auto" w:sz="4" w:space="0"/>
            </w:tcBorders>
            <w:tcMar>
              <w:top w:w="0" w:type="dxa"/>
              <w:left w:w="108" w:type="dxa"/>
              <w:bottom w:w="0" w:type="dxa"/>
              <w:right w:w="108" w:type="dxa"/>
            </w:tcMar>
            <w:vAlign w:val="center"/>
          </w:tcPr>
          <w:p w14:paraId="7649E41D">
            <w:pPr>
              <w:spacing w:line="300" w:lineRule="exact"/>
              <w:textAlignment w:val="center"/>
              <w:rPr>
                <w:rFonts w:hint="eastAsia" w:ascii="宋体" w:hAnsi="宋体" w:eastAsia="宋体" w:cs="宋体"/>
                <w:color w:val="auto"/>
                <w:sz w:val="24"/>
                <w:szCs w:val="24"/>
                <w:highlight w:val="none"/>
              </w:rPr>
            </w:pPr>
          </w:p>
        </w:tc>
        <w:tc>
          <w:tcPr>
            <w:tcW w:w="452" w:type="pct"/>
            <w:vMerge w:val="continue"/>
            <w:tcBorders>
              <w:left w:val="single" w:color="auto" w:sz="4" w:space="0"/>
              <w:right w:val="single" w:color="auto" w:sz="4" w:space="0"/>
            </w:tcBorders>
            <w:tcMar>
              <w:top w:w="0" w:type="dxa"/>
              <w:left w:w="108" w:type="dxa"/>
              <w:bottom w:w="0" w:type="dxa"/>
              <w:right w:w="108" w:type="dxa"/>
            </w:tcMar>
            <w:vAlign w:val="center"/>
          </w:tcPr>
          <w:p w14:paraId="4F28C1DE">
            <w:pPr>
              <w:spacing w:line="300" w:lineRule="exact"/>
              <w:textAlignment w:val="center"/>
              <w:rPr>
                <w:rFonts w:hint="eastAsia" w:ascii="宋体" w:hAnsi="宋体" w:eastAsia="宋体" w:cs="宋体"/>
                <w:color w:val="auto"/>
                <w:sz w:val="24"/>
                <w:szCs w:val="24"/>
                <w:highlight w:val="none"/>
              </w:rPr>
            </w:pPr>
          </w:p>
        </w:tc>
        <w:tc>
          <w:tcPr>
            <w:tcW w:w="515" w:type="pct"/>
            <w:vMerge w:val="continue"/>
            <w:tcBorders>
              <w:left w:val="single" w:color="auto" w:sz="4" w:space="0"/>
              <w:right w:val="single" w:color="auto" w:sz="4" w:space="0"/>
            </w:tcBorders>
            <w:tcMar>
              <w:top w:w="0" w:type="dxa"/>
              <w:left w:w="108" w:type="dxa"/>
              <w:bottom w:w="0" w:type="dxa"/>
              <w:right w:w="108" w:type="dxa"/>
            </w:tcMar>
            <w:vAlign w:val="center"/>
          </w:tcPr>
          <w:p w14:paraId="7C91CAB9">
            <w:pPr>
              <w:spacing w:line="300" w:lineRule="exact"/>
              <w:textAlignment w:val="center"/>
              <w:rPr>
                <w:rFonts w:hint="eastAsia" w:ascii="宋体" w:hAnsi="宋体" w:eastAsia="宋体" w:cs="宋体"/>
                <w:color w:val="auto"/>
                <w:sz w:val="24"/>
                <w:szCs w:val="24"/>
                <w:highlight w:val="none"/>
              </w:rPr>
            </w:pPr>
          </w:p>
        </w:tc>
        <w:tc>
          <w:tcPr>
            <w:tcW w:w="2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42580D">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5、主机USB接口</w:t>
            </w:r>
            <w:r>
              <w:rPr>
                <w:rFonts w:hint="eastAsia" w:ascii="宋体" w:hAnsi="宋体" w:cs="宋体"/>
                <w:color w:val="auto"/>
                <w:kern w:val="2"/>
                <w:sz w:val="24"/>
                <w:szCs w:val="24"/>
                <w:highlight w:val="none"/>
                <w:lang w:val="en-US" w:eastAsia="zh-CN" w:bidi="ar-SA"/>
              </w:rPr>
              <w:t>：</w:t>
            </w:r>
          </w:p>
          <w:p w14:paraId="6DB0CB2A">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具有1个USB数据接口得2分；</w:t>
            </w:r>
          </w:p>
          <w:p w14:paraId="41987BBD">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具有2个USB数据接口得5分；</w:t>
            </w:r>
          </w:p>
          <w:p w14:paraId="7907F9BD">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具有3个及以上USB数据接口得8分。</w:t>
            </w:r>
          </w:p>
          <w:p w14:paraId="736304DA">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（评分依据：投标人需在采购需求偏离表的备注栏标明佐证材料的对应页码，佐证材料为产品说明书，否则不得分。）</w:t>
            </w:r>
          </w:p>
        </w:tc>
      </w:tr>
      <w:tr w14:paraId="169A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436"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758C7DB">
            <w:pPr>
              <w:spacing w:line="300" w:lineRule="exact"/>
              <w:textAlignment w:val="center"/>
              <w:rPr>
                <w:rFonts w:hint="eastAsia" w:ascii="宋体" w:hAnsi="宋体" w:eastAsia="宋体" w:cs="宋体"/>
                <w:color w:val="auto"/>
                <w:sz w:val="24"/>
                <w:szCs w:val="24"/>
                <w:highlight w:val="none"/>
              </w:rPr>
            </w:pPr>
          </w:p>
        </w:tc>
        <w:tc>
          <w:tcPr>
            <w:tcW w:w="655"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BDE3046">
            <w:pPr>
              <w:spacing w:line="300" w:lineRule="exact"/>
              <w:textAlignment w:val="center"/>
              <w:rPr>
                <w:rFonts w:hint="eastAsia" w:ascii="宋体" w:hAnsi="宋体" w:eastAsia="宋体" w:cs="宋体"/>
                <w:color w:val="auto"/>
                <w:sz w:val="24"/>
                <w:szCs w:val="24"/>
                <w:highlight w:val="none"/>
              </w:rPr>
            </w:pPr>
          </w:p>
        </w:tc>
        <w:tc>
          <w:tcPr>
            <w:tcW w:w="45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99A5B4A">
            <w:pPr>
              <w:spacing w:line="300" w:lineRule="exact"/>
              <w:textAlignment w:val="center"/>
              <w:rPr>
                <w:rFonts w:hint="eastAsia" w:ascii="宋体" w:hAnsi="宋体" w:eastAsia="宋体" w:cs="宋体"/>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778A605">
            <w:pPr>
              <w:spacing w:line="300" w:lineRule="exact"/>
              <w:textAlignment w:val="center"/>
              <w:rPr>
                <w:rFonts w:hint="eastAsia" w:ascii="宋体" w:hAnsi="宋体" w:eastAsia="宋体" w:cs="宋体"/>
                <w:color w:val="auto"/>
                <w:sz w:val="24"/>
                <w:szCs w:val="24"/>
                <w:highlight w:val="none"/>
              </w:rPr>
            </w:pPr>
          </w:p>
        </w:tc>
        <w:tc>
          <w:tcPr>
            <w:tcW w:w="2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C135DF">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6、在国家食品药品监督管理局注册探头种类：</w:t>
            </w:r>
          </w:p>
          <w:p w14:paraId="2A63B5C3">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3种≤探头种类＜6种得2分；</w:t>
            </w:r>
          </w:p>
          <w:p w14:paraId="413DA385">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6种≤探头种类＜9种得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0F9C3E08">
            <w:pPr>
              <w:numPr>
                <w:ilvl w:val="0"/>
                <w:numId w:val="0"/>
              </w:num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探头种类≥9种得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p>
          <w:p w14:paraId="6F6A1157">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（评分依据：投标人需在采购需求偏离表的备注栏标明佐证材料的对应页码，佐证材料为所投产品的注册证证明材料，否则不得分。）</w:t>
            </w:r>
          </w:p>
        </w:tc>
      </w:tr>
    </w:tbl>
    <w:p w14:paraId="1237BBB6">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A9A0860">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eastAsia="zh-CN"/>
        </w:rPr>
        <w:t>2</w:t>
      </w:r>
      <w:r>
        <w:rPr>
          <w:rFonts w:hint="eastAsia" w:ascii="宋体" w:hAnsi="宋体" w:eastAsia="宋体" w:cs="宋体"/>
          <w:b/>
          <w:bCs/>
          <w:color w:val="auto"/>
          <w:sz w:val="28"/>
          <w:szCs w:val="28"/>
          <w:highlight w:val="none"/>
        </w:rPr>
        <w:t>标段</w:t>
      </w:r>
      <w:r>
        <w:rPr>
          <w:rFonts w:hint="eastAsia" w:ascii="宋体" w:hAnsi="宋体" w:eastAsia="宋体" w:cs="宋体"/>
          <w:b/>
          <w:bCs/>
          <w:color w:val="auto"/>
          <w:sz w:val="28"/>
          <w:szCs w:val="28"/>
          <w:highlight w:val="none"/>
          <w:lang w:eastAsia="zh-CN"/>
        </w:rPr>
        <w:t>详细评审表：</w:t>
      </w:r>
    </w:p>
    <w:tbl>
      <w:tblPr>
        <w:tblStyle w:val="26"/>
        <w:tblW w:w="54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4"/>
        <w:gridCol w:w="1204"/>
        <w:gridCol w:w="1203"/>
        <w:gridCol w:w="939"/>
        <w:gridCol w:w="6594"/>
      </w:tblGrid>
      <w:tr w14:paraId="3981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23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14D849">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7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0DBC41B">
            <w:pPr>
              <w:spacing w:line="3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评审</w:t>
            </w:r>
          </w:p>
          <w:p w14:paraId="5FAA7EF2">
            <w:pPr>
              <w:spacing w:line="3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内容</w:t>
            </w:r>
          </w:p>
        </w:tc>
        <w:tc>
          <w:tcPr>
            <w:tcW w:w="57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D93459C">
            <w:pPr>
              <w:spacing w:line="3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分值</w:t>
            </w:r>
          </w:p>
        </w:tc>
        <w:tc>
          <w:tcPr>
            <w:tcW w:w="3613" w:type="pct"/>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7D51B3">
            <w:pPr>
              <w:spacing w:line="3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评审</w:t>
            </w:r>
            <w:r>
              <w:rPr>
                <w:rFonts w:hint="eastAsia" w:ascii="宋体" w:hAnsi="宋体" w:eastAsia="宋体" w:cs="宋体"/>
                <w:b/>
                <w:color w:val="auto"/>
                <w:sz w:val="24"/>
                <w:szCs w:val="24"/>
                <w:highlight w:val="none"/>
              </w:rPr>
              <w:t>标准</w:t>
            </w:r>
          </w:p>
        </w:tc>
      </w:tr>
      <w:tr w14:paraId="66BC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23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89CC9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5E01F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2848514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6EBE65D0">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30分</w:t>
            </w:r>
            <w:r>
              <w:rPr>
                <w:rFonts w:hint="eastAsia" w:ascii="宋体" w:hAnsi="宋体" w:eastAsia="宋体" w:cs="宋体"/>
                <w:color w:val="auto"/>
                <w:sz w:val="24"/>
                <w:szCs w:val="24"/>
                <w:highlight w:val="none"/>
                <w:lang w:eastAsia="zh-CN"/>
              </w:rPr>
              <w:t>）</w:t>
            </w:r>
          </w:p>
        </w:tc>
        <w:tc>
          <w:tcPr>
            <w:tcW w:w="57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D7F9CF">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3613" w:type="pct"/>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BBCE0BC">
            <w:pPr>
              <w:spacing w:line="3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r>
      <w:tr w14:paraId="7ADA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23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F66A0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7"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5848E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3DDD5CB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7C0D993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分)</w:t>
            </w:r>
          </w:p>
        </w:tc>
        <w:tc>
          <w:tcPr>
            <w:tcW w:w="57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A7ED1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4414AF">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p>
          <w:p w14:paraId="6BB89A95">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316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D03376">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投标人需提供（2022年1月1日至今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从事过</w:t>
            </w:r>
            <w:r>
              <w:rPr>
                <w:rFonts w:hint="eastAsia" w:ascii="宋体" w:hAnsi="宋体" w:eastAsia="宋体" w:cs="宋体"/>
                <w:color w:val="auto"/>
                <w:kern w:val="0"/>
                <w:sz w:val="24"/>
                <w:szCs w:val="24"/>
                <w:highlight w:val="none"/>
                <w:lang w:val="en-US" w:eastAsia="zh-CN"/>
              </w:rPr>
              <w:t>类似业绩（类似业绩指具有与本项目相匹配的经验能力的医疗器械销售业绩）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每提供一个业绩得2分，最多得10分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（评分依据：</w:t>
            </w:r>
            <w:r>
              <w:rPr>
                <w:rFonts w:hint="eastAsia" w:ascii="宋体" w:hAnsi="宋体" w:eastAsia="宋体" w:cs="宋体"/>
                <w:color w:val="auto"/>
                <w:sz w:val="24"/>
                <w:szCs w:val="24"/>
                <w:highlight w:val="none"/>
              </w:rPr>
              <w:t>投标文件中附合同</w:t>
            </w:r>
            <w:r>
              <w:rPr>
                <w:rFonts w:hint="eastAsia" w:ascii="宋体" w:hAnsi="宋体" w:eastAsia="宋体" w:cs="宋体"/>
                <w:color w:val="auto"/>
                <w:sz w:val="24"/>
                <w:szCs w:val="24"/>
                <w:highlight w:val="none"/>
                <w:lang w:val="en-US" w:eastAsia="zh-CN"/>
              </w:rPr>
              <w:t>关键页复印件或扫描件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w:t>
            </w:r>
          </w:p>
        </w:tc>
      </w:tr>
      <w:tr w14:paraId="0AB8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232"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4AB0F6">
            <w:pPr>
              <w:spacing w:line="300" w:lineRule="exact"/>
              <w:jc w:val="center"/>
              <w:rPr>
                <w:rFonts w:hint="eastAsia" w:ascii="宋体" w:hAnsi="宋体" w:eastAsia="宋体" w:cs="宋体"/>
                <w:color w:val="auto"/>
                <w:sz w:val="24"/>
                <w:szCs w:val="24"/>
                <w:highlight w:val="none"/>
              </w:rPr>
            </w:pPr>
          </w:p>
        </w:tc>
        <w:tc>
          <w:tcPr>
            <w:tcW w:w="577"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DD2EB7">
            <w:pPr>
              <w:spacing w:line="300" w:lineRule="exact"/>
              <w:jc w:val="center"/>
              <w:rPr>
                <w:rFonts w:hint="eastAsia" w:ascii="宋体" w:hAnsi="宋体" w:eastAsia="宋体" w:cs="宋体"/>
                <w:color w:val="auto"/>
                <w:sz w:val="24"/>
                <w:szCs w:val="24"/>
                <w:highlight w:val="none"/>
              </w:rPr>
            </w:pPr>
          </w:p>
        </w:tc>
        <w:tc>
          <w:tcPr>
            <w:tcW w:w="57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8A6D7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6F8B00">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316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5BE3DE">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在满足招标文件商务需求要求的原厂整机质保期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基础上，每增加一年得4分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最多得4分。</w:t>
            </w:r>
          </w:p>
          <w:p w14:paraId="538EB1AC">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（评分依据：投标文件中附投标人承诺函）</w:t>
            </w:r>
          </w:p>
        </w:tc>
      </w:tr>
      <w:tr w14:paraId="0A7B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8" w:hRule="atLeast"/>
          <w:jc w:val="center"/>
        </w:trPr>
        <w:tc>
          <w:tcPr>
            <w:tcW w:w="232" w:type="pct"/>
            <w:vMerge w:val="continue"/>
            <w:tcBorders>
              <w:top w:val="single" w:color="auto" w:sz="4" w:space="0"/>
              <w:left w:val="single" w:color="auto" w:sz="4" w:space="0"/>
              <w:bottom w:val="single" w:color="auto" w:sz="4" w:space="0"/>
              <w:right w:val="single" w:color="auto" w:sz="4" w:space="0"/>
            </w:tcBorders>
            <w:vAlign w:val="center"/>
          </w:tcPr>
          <w:p w14:paraId="35266478">
            <w:pPr>
              <w:rPr>
                <w:rFonts w:hint="eastAsia" w:ascii="宋体" w:hAnsi="宋体" w:eastAsia="宋体" w:cs="宋体"/>
                <w:color w:val="auto"/>
                <w:sz w:val="24"/>
                <w:szCs w:val="24"/>
                <w:highlight w:val="none"/>
              </w:rPr>
            </w:pPr>
          </w:p>
        </w:tc>
        <w:tc>
          <w:tcPr>
            <w:tcW w:w="577" w:type="pct"/>
            <w:vMerge w:val="continue"/>
            <w:tcBorders>
              <w:top w:val="single" w:color="auto" w:sz="4" w:space="0"/>
              <w:left w:val="single" w:color="auto" w:sz="4" w:space="0"/>
              <w:bottom w:val="single" w:color="auto" w:sz="4" w:space="0"/>
              <w:right w:val="single" w:color="auto" w:sz="4" w:space="0"/>
            </w:tcBorders>
            <w:vAlign w:val="center"/>
          </w:tcPr>
          <w:p w14:paraId="747BC407">
            <w:pPr>
              <w:rPr>
                <w:rFonts w:hint="eastAsia" w:ascii="宋体" w:hAnsi="宋体" w:eastAsia="宋体" w:cs="宋体"/>
                <w:color w:val="auto"/>
                <w:sz w:val="24"/>
                <w:szCs w:val="24"/>
                <w:highlight w:val="none"/>
              </w:rPr>
            </w:pPr>
          </w:p>
        </w:tc>
        <w:tc>
          <w:tcPr>
            <w:tcW w:w="57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949383">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2231793">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199780CA">
            <w:pPr>
              <w:spacing w:line="3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人员</w:t>
            </w:r>
          </w:p>
        </w:tc>
        <w:tc>
          <w:tcPr>
            <w:tcW w:w="316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463D7D">
            <w:pPr>
              <w:keepNext w:val="0"/>
              <w:keepLines w:val="0"/>
              <w:pageBreakBefore w:val="0"/>
              <w:kinsoku/>
              <w:wordWrap/>
              <w:overflowPunct/>
              <w:topLinePunct w:val="0"/>
              <w:bidi w:val="0"/>
              <w:adjustRightInd/>
              <w:snapToGrid/>
              <w:spacing w:line="340" w:lineRule="exact"/>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需</w:t>
            </w:r>
            <w:r>
              <w:rPr>
                <w:rFonts w:hint="eastAsia" w:ascii="宋体" w:hAnsi="宋体" w:eastAsia="宋体" w:cs="宋体"/>
                <w:color w:val="auto"/>
                <w:sz w:val="24"/>
                <w:szCs w:val="24"/>
                <w:highlight w:val="none"/>
                <w:lang w:val="en-US" w:eastAsia="zh-CN"/>
              </w:rPr>
              <w:t>为本项目</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5名</w:t>
            </w:r>
            <w:r>
              <w:rPr>
                <w:rFonts w:hint="eastAsia" w:ascii="宋体" w:hAnsi="宋体" w:eastAsia="宋体" w:cs="宋体"/>
                <w:color w:val="auto"/>
                <w:sz w:val="24"/>
                <w:szCs w:val="24"/>
                <w:highlight w:val="none"/>
              </w:rPr>
              <w:t>维修工程师</w:t>
            </w:r>
            <w:r>
              <w:rPr>
                <w:rFonts w:hint="eastAsia" w:ascii="宋体" w:hAnsi="宋体" w:eastAsia="宋体" w:cs="宋体"/>
                <w:color w:val="auto"/>
                <w:sz w:val="24"/>
                <w:szCs w:val="24"/>
                <w:highlight w:val="none"/>
                <w:lang w:eastAsia="zh-CN"/>
              </w:rPr>
              <w:t>：</w:t>
            </w:r>
          </w:p>
          <w:p w14:paraId="533338B4">
            <w:p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5名维修工程师中每提供一名第三方维修工程师得1分；每提供一名原厂维修工程师得3分；本项最高得15分。</w:t>
            </w:r>
          </w:p>
          <w:p w14:paraId="7895A952">
            <w:p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（评分依据：投标文件中附人员名单、联系方式及三方专业培训机构授予维修工程师资质证书复印件（原厂家授予维修工程师资质证书复印件）和工程系列的学历证明复印件）。</w:t>
            </w:r>
          </w:p>
        </w:tc>
      </w:tr>
      <w:tr w14:paraId="28B8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232" w:type="pct"/>
            <w:vMerge w:val="continue"/>
            <w:tcBorders>
              <w:left w:val="single" w:color="auto" w:sz="4" w:space="0"/>
              <w:bottom w:val="single" w:color="auto" w:sz="4" w:space="0"/>
              <w:right w:val="single" w:color="auto" w:sz="4" w:space="0"/>
            </w:tcBorders>
            <w:vAlign w:val="center"/>
          </w:tcPr>
          <w:p w14:paraId="492B8F13">
            <w:pPr>
              <w:rPr>
                <w:rFonts w:hint="eastAsia" w:ascii="宋体" w:hAnsi="宋体" w:eastAsia="宋体" w:cs="宋体"/>
                <w:color w:val="auto"/>
                <w:sz w:val="24"/>
                <w:szCs w:val="24"/>
                <w:highlight w:val="none"/>
              </w:rPr>
            </w:pPr>
          </w:p>
        </w:tc>
        <w:tc>
          <w:tcPr>
            <w:tcW w:w="577" w:type="pct"/>
            <w:vMerge w:val="continue"/>
            <w:tcBorders>
              <w:left w:val="single" w:color="auto" w:sz="4" w:space="0"/>
              <w:bottom w:val="single" w:color="auto" w:sz="4" w:space="0"/>
              <w:right w:val="single" w:color="auto" w:sz="4" w:space="0"/>
            </w:tcBorders>
            <w:vAlign w:val="center"/>
          </w:tcPr>
          <w:p w14:paraId="70F6A9F1">
            <w:pPr>
              <w:rPr>
                <w:rFonts w:hint="eastAsia" w:ascii="宋体" w:hAnsi="宋体" w:eastAsia="宋体" w:cs="宋体"/>
                <w:color w:val="auto"/>
                <w:sz w:val="24"/>
                <w:szCs w:val="24"/>
                <w:highlight w:val="none"/>
              </w:rPr>
            </w:pPr>
          </w:p>
        </w:tc>
        <w:tc>
          <w:tcPr>
            <w:tcW w:w="57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FEB7AC4">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945B9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7FC55BEE">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承诺</w:t>
            </w:r>
          </w:p>
        </w:tc>
        <w:tc>
          <w:tcPr>
            <w:tcW w:w="316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5252BDE">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接到采购人的故障通知后，能够在12小时以内完成维修得5分，24小时内完成维修得3分，48小时以内完成维修得1分，48小时以外</w:t>
            </w:r>
            <w:r>
              <w:rPr>
                <w:rFonts w:hint="eastAsia" w:ascii="宋体" w:hAnsi="宋体" w:eastAsia="宋体" w:cs="宋体"/>
                <w:bCs/>
                <w:color w:val="auto"/>
                <w:sz w:val="24"/>
                <w:szCs w:val="24"/>
                <w:highlight w:val="none"/>
              </w:rPr>
              <w:t>完成维修或者此项未提供均不得分</w:t>
            </w:r>
            <w:r>
              <w:rPr>
                <w:rFonts w:hint="eastAsia" w:ascii="宋体" w:hAnsi="宋体" w:eastAsia="宋体" w:cs="宋体"/>
                <w:color w:val="auto"/>
                <w:sz w:val="24"/>
                <w:szCs w:val="24"/>
                <w:highlight w:val="none"/>
              </w:rPr>
              <w:t>。</w:t>
            </w:r>
          </w:p>
          <w:p w14:paraId="2815D725">
            <w:p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（评分依据：投标文件中附投标人承诺函）</w:t>
            </w:r>
          </w:p>
        </w:tc>
      </w:tr>
      <w:tr w14:paraId="1D83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232"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055C2B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7"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B5B9C5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78B8F5F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7898D9F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(36分)</w:t>
            </w:r>
          </w:p>
        </w:tc>
        <w:tc>
          <w:tcPr>
            <w:tcW w:w="577"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DFDA21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36分</w:t>
            </w:r>
          </w:p>
        </w:tc>
        <w:tc>
          <w:tcPr>
            <w:tcW w:w="450"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719DB2C">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0210D6B4">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316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A9D76E">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治疗头控制功能：</w:t>
            </w:r>
          </w:p>
          <w:p w14:paraId="19730ABF">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 ≥控制功能＞1项得3分；</w:t>
            </w:r>
          </w:p>
          <w:p w14:paraId="44FE630D">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 ≥控制功能＞3项得6分；</w:t>
            </w:r>
          </w:p>
          <w:p w14:paraId="5DA14D57">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控制功能＞5项得9分。</w:t>
            </w:r>
          </w:p>
          <w:p w14:paraId="78E96F27">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评分依据：</w:t>
            </w:r>
            <w:r>
              <w:rPr>
                <w:rFonts w:hint="eastAsia" w:ascii="宋体" w:hAnsi="宋体" w:eastAsia="宋体" w:cs="宋体"/>
                <w:strike w:val="0"/>
                <w:dstrike w:val="0"/>
                <w:color w:val="auto"/>
                <w:sz w:val="24"/>
                <w:szCs w:val="24"/>
                <w:highlight w:val="none"/>
              </w:rPr>
              <w:t>投标人需</w:t>
            </w:r>
            <w:r>
              <w:rPr>
                <w:rFonts w:hint="eastAsia" w:ascii="宋体" w:hAnsi="宋体" w:eastAsia="宋体" w:cs="宋体"/>
                <w:strike w:val="0"/>
                <w:dstrike w:val="0"/>
                <w:color w:val="auto"/>
                <w:sz w:val="24"/>
                <w:szCs w:val="24"/>
                <w:highlight w:val="none"/>
                <w:lang w:val="en-US" w:eastAsia="zh-CN"/>
              </w:rPr>
              <w:t>在采购需求偏离表的备注栏标明佐证材料的对应页码，</w:t>
            </w:r>
            <w:r>
              <w:rPr>
                <w:rFonts w:hint="eastAsia" w:ascii="宋体" w:hAnsi="宋体" w:eastAsia="宋体" w:cs="宋体"/>
                <w:color w:val="auto"/>
                <w:sz w:val="24"/>
                <w:szCs w:val="24"/>
                <w:highlight w:val="none"/>
                <w:lang w:val="en-US" w:eastAsia="zh-CN"/>
              </w:rPr>
              <w:t>佐证材料为所投产品的技术白皮书，否则不得分。</w:t>
            </w:r>
            <w:r>
              <w:rPr>
                <w:rFonts w:hint="eastAsia" w:ascii="宋体" w:hAnsi="宋体" w:eastAsia="宋体" w:cs="宋体"/>
                <w:color w:val="auto"/>
                <w:sz w:val="24"/>
                <w:szCs w:val="24"/>
                <w:highlight w:val="none"/>
                <w:lang w:eastAsia="zh-CN"/>
              </w:rPr>
              <w:t>）</w:t>
            </w:r>
          </w:p>
        </w:tc>
      </w:tr>
      <w:tr w14:paraId="1C67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232" w:type="pct"/>
            <w:vMerge w:val="continue"/>
            <w:tcBorders>
              <w:left w:val="single" w:color="auto" w:sz="4" w:space="0"/>
              <w:right w:val="single" w:color="auto" w:sz="4" w:space="0"/>
            </w:tcBorders>
            <w:tcMar>
              <w:top w:w="0" w:type="dxa"/>
              <w:left w:w="108" w:type="dxa"/>
              <w:bottom w:w="0" w:type="dxa"/>
              <w:right w:w="108" w:type="dxa"/>
            </w:tcMar>
            <w:vAlign w:val="center"/>
          </w:tcPr>
          <w:p w14:paraId="6011B3F6">
            <w:pPr>
              <w:spacing w:line="300" w:lineRule="exact"/>
              <w:textAlignment w:val="center"/>
              <w:rPr>
                <w:rFonts w:hint="eastAsia" w:ascii="宋体" w:hAnsi="宋体" w:eastAsia="宋体" w:cs="宋体"/>
                <w:color w:val="auto"/>
                <w:sz w:val="24"/>
                <w:szCs w:val="24"/>
                <w:highlight w:val="none"/>
              </w:rPr>
            </w:pPr>
          </w:p>
        </w:tc>
        <w:tc>
          <w:tcPr>
            <w:tcW w:w="577" w:type="pct"/>
            <w:vMerge w:val="continue"/>
            <w:tcBorders>
              <w:left w:val="single" w:color="auto" w:sz="4" w:space="0"/>
              <w:right w:val="single" w:color="auto" w:sz="4" w:space="0"/>
            </w:tcBorders>
            <w:tcMar>
              <w:top w:w="0" w:type="dxa"/>
              <w:left w:w="108" w:type="dxa"/>
              <w:bottom w:w="0" w:type="dxa"/>
              <w:right w:w="108" w:type="dxa"/>
            </w:tcMar>
            <w:vAlign w:val="center"/>
          </w:tcPr>
          <w:p w14:paraId="07BA7944">
            <w:pPr>
              <w:spacing w:line="300" w:lineRule="exact"/>
              <w:textAlignment w:val="center"/>
              <w:rPr>
                <w:rFonts w:hint="eastAsia" w:ascii="宋体" w:hAnsi="宋体" w:eastAsia="宋体" w:cs="宋体"/>
                <w:color w:val="auto"/>
                <w:sz w:val="24"/>
                <w:szCs w:val="24"/>
                <w:highlight w:val="none"/>
              </w:rPr>
            </w:pPr>
          </w:p>
        </w:tc>
        <w:tc>
          <w:tcPr>
            <w:tcW w:w="577" w:type="pct"/>
            <w:vMerge w:val="continue"/>
            <w:tcBorders>
              <w:left w:val="single" w:color="auto" w:sz="4" w:space="0"/>
              <w:right w:val="single" w:color="auto" w:sz="4" w:space="0"/>
            </w:tcBorders>
            <w:tcMar>
              <w:top w:w="0" w:type="dxa"/>
              <w:left w:w="108" w:type="dxa"/>
              <w:bottom w:w="0" w:type="dxa"/>
              <w:right w:w="108" w:type="dxa"/>
            </w:tcMar>
            <w:vAlign w:val="center"/>
          </w:tcPr>
          <w:p w14:paraId="0E3EA43E">
            <w:pPr>
              <w:spacing w:line="300" w:lineRule="exact"/>
              <w:textAlignment w:val="center"/>
              <w:rPr>
                <w:rFonts w:hint="eastAsia" w:ascii="宋体" w:hAnsi="宋体" w:eastAsia="宋体" w:cs="宋体"/>
                <w:color w:val="auto"/>
                <w:sz w:val="24"/>
                <w:szCs w:val="24"/>
                <w:highlight w:val="none"/>
              </w:rPr>
            </w:pPr>
          </w:p>
        </w:tc>
        <w:tc>
          <w:tcPr>
            <w:tcW w:w="450" w:type="pct"/>
            <w:vMerge w:val="continue"/>
            <w:tcBorders>
              <w:left w:val="single" w:color="auto" w:sz="4" w:space="0"/>
              <w:right w:val="single" w:color="auto" w:sz="4" w:space="0"/>
            </w:tcBorders>
            <w:tcMar>
              <w:top w:w="0" w:type="dxa"/>
              <w:left w:w="108" w:type="dxa"/>
              <w:bottom w:w="0" w:type="dxa"/>
              <w:right w:w="108" w:type="dxa"/>
            </w:tcMar>
            <w:vAlign w:val="center"/>
          </w:tcPr>
          <w:p w14:paraId="6416798D">
            <w:pPr>
              <w:spacing w:line="300" w:lineRule="exact"/>
              <w:textAlignment w:val="center"/>
              <w:rPr>
                <w:rFonts w:hint="eastAsia" w:ascii="宋体" w:hAnsi="宋体" w:eastAsia="宋体" w:cs="宋体"/>
                <w:color w:val="auto"/>
                <w:sz w:val="24"/>
                <w:szCs w:val="24"/>
                <w:highlight w:val="none"/>
              </w:rPr>
            </w:pPr>
          </w:p>
        </w:tc>
        <w:tc>
          <w:tcPr>
            <w:tcW w:w="316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01D6FE">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最大能流密度：</w:t>
            </w:r>
          </w:p>
          <w:p w14:paraId="2528FA47">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0.32mj/mm²≤最大能流密度＜0.33mj/mm²得3分；</w:t>
            </w:r>
          </w:p>
          <w:p w14:paraId="24348C7A">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0.31mj/mm²≤最大能流密度＜0.32mj/mm²得6分；</w:t>
            </w:r>
          </w:p>
          <w:p w14:paraId="377393E1">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最大能流密度＜0.31mj/mm²得9分。</w:t>
            </w:r>
          </w:p>
          <w:p w14:paraId="4DFE9ABE">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评分依据：</w:t>
            </w:r>
            <w:r>
              <w:rPr>
                <w:rFonts w:hint="eastAsia" w:ascii="宋体" w:hAnsi="宋体" w:eastAsia="宋体" w:cs="宋体"/>
                <w:strike w:val="0"/>
                <w:dstrike w:val="0"/>
                <w:color w:val="auto"/>
                <w:sz w:val="24"/>
                <w:szCs w:val="24"/>
                <w:highlight w:val="none"/>
              </w:rPr>
              <w:t>投标人需</w:t>
            </w:r>
            <w:r>
              <w:rPr>
                <w:rFonts w:hint="eastAsia" w:ascii="宋体" w:hAnsi="宋体" w:eastAsia="宋体" w:cs="宋体"/>
                <w:strike w:val="0"/>
                <w:dstrike w:val="0"/>
                <w:color w:val="auto"/>
                <w:sz w:val="24"/>
                <w:szCs w:val="24"/>
                <w:highlight w:val="none"/>
                <w:lang w:val="en-US" w:eastAsia="zh-CN"/>
              </w:rPr>
              <w:t>在采购需求偏离表的备注栏标明佐证材料的对应页码，</w:t>
            </w:r>
            <w:r>
              <w:rPr>
                <w:rFonts w:hint="eastAsia" w:ascii="宋体" w:hAnsi="宋体" w:eastAsia="宋体" w:cs="宋体"/>
                <w:color w:val="auto"/>
                <w:sz w:val="24"/>
                <w:szCs w:val="24"/>
                <w:highlight w:val="none"/>
                <w:lang w:val="en-US" w:eastAsia="zh-CN"/>
              </w:rPr>
              <w:t>佐证材料为所投产品的技术白皮书，否则不得分。</w:t>
            </w:r>
            <w:r>
              <w:rPr>
                <w:rFonts w:hint="eastAsia" w:ascii="宋体" w:hAnsi="宋体" w:eastAsia="宋体" w:cs="宋体"/>
                <w:color w:val="auto"/>
                <w:sz w:val="24"/>
                <w:szCs w:val="24"/>
                <w:highlight w:val="none"/>
                <w:lang w:eastAsia="zh-CN"/>
              </w:rPr>
              <w:t>）</w:t>
            </w:r>
          </w:p>
        </w:tc>
      </w:tr>
      <w:tr w14:paraId="662A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232" w:type="pct"/>
            <w:vMerge w:val="continue"/>
            <w:tcBorders>
              <w:left w:val="single" w:color="auto" w:sz="4" w:space="0"/>
              <w:right w:val="single" w:color="auto" w:sz="4" w:space="0"/>
            </w:tcBorders>
            <w:tcMar>
              <w:top w:w="0" w:type="dxa"/>
              <w:left w:w="108" w:type="dxa"/>
              <w:bottom w:w="0" w:type="dxa"/>
              <w:right w:w="108" w:type="dxa"/>
            </w:tcMar>
            <w:vAlign w:val="center"/>
          </w:tcPr>
          <w:p w14:paraId="1FDB4928">
            <w:pPr>
              <w:spacing w:line="300" w:lineRule="exact"/>
              <w:textAlignment w:val="center"/>
              <w:rPr>
                <w:rFonts w:hint="eastAsia" w:ascii="宋体" w:hAnsi="宋体" w:eastAsia="宋体" w:cs="宋体"/>
                <w:color w:val="auto"/>
                <w:sz w:val="24"/>
                <w:szCs w:val="24"/>
                <w:highlight w:val="none"/>
              </w:rPr>
            </w:pPr>
          </w:p>
        </w:tc>
        <w:tc>
          <w:tcPr>
            <w:tcW w:w="577" w:type="pct"/>
            <w:vMerge w:val="continue"/>
            <w:tcBorders>
              <w:left w:val="single" w:color="auto" w:sz="4" w:space="0"/>
              <w:right w:val="single" w:color="auto" w:sz="4" w:space="0"/>
            </w:tcBorders>
            <w:tcMar>
              <w:top w:w="0" w:type="dxa"/>
              <w:left w:w="108" w:type="dxa"/>
              <w:bottom w:w="0" w:type="dxa"/>
              <w:right w:w="108" w:type="dxa"/>
            </w:tcMar>
            <w:vAlign w:val="center"/>
          </w:tcPr>
          <w:p w14:paraId="64FD60C1">
            <w:pPr>
              <w:spacing w:line="300" w:lineRule="exact"/>
              <w:textAlignment w:val="center"/>
              <w:rPr>
                <w:rFonts w:hint="eastAsia" w:ascii="宋体" w:hAnsi="宋体" w:eastAsia="宋体" w:cs="宋体"/>
                <w:color w:val="auto"/>
                <w:sz w:val="24"/>
                <w:szCs w:val="24"/>
                <w:highlight w:val="none"/>
              </w:rPr>
            </w:pPr>
          </w:p>
        </w:tc>
        <w:tc>
          <w:tcPr>
            <w:tcW w:w="577" w:type="pct"/>
            <w:vMerge w:val="continue"/>
            <w:tcBorders>
              <w:left w:val="single" w:color="auto" w:sz="4" w:space="0"/>
              <w:right w:val="single" w:color="auto" w:sz="4" w:space="0"/>
            </w:tcBorders>
            <w:tcMar>
              <w:top w:w="0" w:type="dxa"/>
              <w:left w:w="108" w:type="dxa"/>
              <w:bottom w:w="0" w:type="dxa"/>
              <w:right w:w="108" w:type="dxa"/>
            </w:tcMar>
            <w:vAlign w:val="center"/>
          </w:tcPr>
          <w:p w14:paraId="4F039CEF">
            <w:pPr>
              <w:spacing w:line="300" w:lineRule="exact"/>
              <w:textAlignment w:val="center"/>
              <w:rPr>
                <w:rFonts w:hint="eastAsia" w:ascii="宋体" w:hAnsi="宋体" w:eastAsia="宋体" w:cs="宋体"/>
                <w:color w:val="auto"/>
                <w:sz w:val="24"/>
                <w:szCs w:val="24"/>
                <w:highlight w:val="none"/>
              </w:rPr>
            </w:pPr>
          </w:p>
        </w:tc>
        <w:tc>
          <w:tcPr>
            <w:tcW w:w="450" w:type="pct"/>
            <w:vMerge w:val="continue"/>
            <w:tcBorders>
              <w:left w:val="single" w:color="auto" w:sz="4" w:space="0"/>
              <w:right w:val="single" w:color="auto" w:sz="4" w:space="0"/>
            </w:tcBorders>
            <w:tcMar>
              <w:top w:w="0" w:type="dxa"/>
              <w:left w:w="108" w:type="dxa"/>
              <w:bottom w:w="0" w:type="dxa"/>
              <w:right w:w="108" w:type="dxa"/>
            </w:tcMar>
            <w:vAlign w:val="center"/>
          </w:tcPr>
          <w:p w14:paraId="2A3EBBBD">
            <w:pPr>
              <w:spacing w:line="300" w:lineRule="exact"/>
              <w:textAlignment w:val="center"/>
              <w:rPr>
                <w:rFonts w:hint="eastAsia" w:ascii="宋体" w:hAnsi="宋体" w:eastAsia="宋体" w:cs="宋体"/>
                <w:color w:val="auto"/>
                <w:sz w:val="24"/>
                <w:szCs w:val="24"/>
                <w:highlight w:val="none"/>
              </w:rPr>
            </w:pPr>
          </w:p>
        </w:tc>
        <w:tc>
          <w:tcPr>
            <w:tcW w:w="316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BB1B6F">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最大可连续发射冲击波次数：</w:t>
            </w:r>
          </w:p>
          <w:p w14:paraId="6C50EAF9">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1.3万次≥可连续释放＞1万次得3分；</w:t>
            </w:r>
          </w:p>
          <w:p w14:paraId="267EC64D">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1.6万次≥可连续释放＞1.3万次得6分；</w:t>
            </w:r>
          </w:p>
          <w:p w14:paraId="1BACDCDA">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可连续释放＞1.6万次得9分。</w:t>
            </w:r>
          </w:p>
          <w:p w14:paraId="049BDF23">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评分依据：</w:t>
            </w:r>
            <w:r>
              <w:rPr>
                <w:rFonts w:hint="eastAsia" w:ascii="宋体" w:hAnsi="宋体" w:eastAsia="宋体" w:cs="宋体"/>
                <w:strike w:val="0"/>
                <w:dstrike w:val="0"/>
                <w:color w:val="auto"/>
                <w:sz w:val="24"/>
                <w:szCs w:val="24"/>
                <w:highlight w:val="none"/>
              </w:rPr>
              <w:t>投标人需</w:t>
            </w:r>
            <w:r>
              <w:rPr>
                <w:rFonts w:hint="eastAsia" w:ascii="宋体" w:hAnsi="宋体" w:eastAsia="宋体" w:cs="宋体"/>
                <w:strike w:val="0"/>
                <w:dstrike w:val="0"/>
                <w:color w:val="auto"/>
                <w:sz w:val="24"/>
                <w:szCs w:val="24"/>
                <w:highlight w:val="none"/>
                <w:lang w:val="en-US" w:eastAsia="zh-CN"/>
              </w:rPr>
              <w:t>在采购需求偏离表的备注栏标明佐证材料的对应页码，</w:t>
            </w:r>
            <w:r>
              <w:rPr>
                <w:rFonts w:hint="eastAsia" w:ascii="宋体" w:hAnsi="宋体" w:eastAsia="宋体" w:cs="宋体"/>
                <w:color w:val="auto"/>
                <w:sz w:val="24"/>
                <w:szCs w:val="24"/>
                <w:highlight w:val="none"/>
                <w:lang w:val="en-US" w:eastAsia="zh-CN"/>
              </w:rPr>
              <w:t>佐证材料为所投产品的技术白皮书，否则不得分。</w:t>
            </w:r>
            <w:r>
              <w:rPr>
                <w:rFonts w:hint="eastAsia" w:ascii="宋体" w:hAnsi="宋体" w:eastAsia="宋体" w:cs="宋体"/>
                <w:color w:val="auto"/>
                <w:sz w:val="24"/>
                <w:szCs w:val="24"/>
                <w:highlight w:val="none"/>
                <w:lang w:eastAsia="zh-CN"/>
              </w:rPr>
              <w:t>）</w:t>
            </w:r>
          </w:p>
        </w:tc>
      </w:tr>
      <w:tr w14:paraId="40E6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23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0F54313">
            <w:pPr>
              <w:spacing w:line="300" w:lineRule="exact"/>
              <w:textAlignment w:val="center"/>
              <w:rPr>
                <w:rFonts w:hint="eastAsia" w:ascii="宋体" w:hAnsi="宋体" w:eastAsia="宋体" w:cs="宋体"/>
                <w:color w:val="auto"/>
                <w:sz w:val="24"/>
                <w:szCs w:val="24"/>
                <w:highlight w:val="none"/>
              </w:rPr>
            </w:pPr>
          </w:p>
        </w:tc>
        <w:tc>
          <w:tcPr>
            <w:tcW w:w="57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56A6C54">
            <w:pPr>
              <w:spacing w:line="300" w:lineRule="exact"/>
              <w:textAlignment w:val="center"/>
              <w:rPr>
                <w:rFonts w:hint="eastAsia" w:ascii="宋体" w:hAnsi="宋体" w:eastAsia="宋体" w:cs="宋体"/>
                <w:color w:val="auto"/>
                <w:sz w:val="24"/>
                <w:szCs w:val="24"/>
                <w:highlight w:val="none"/>
              </w:rPr>
            </w:pPr>
          </w:p>
        </w:tc>
        <w:tc>
          <w:tcPr>
            <w:tcW w:w="57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FDFED08">
            <w:pPr>
              <w:spacing w:line="300" w:lineRule="exact"/>
              <w:textAlignment w:val="center"/>
              <w:rPr>
                <w:rFonts w:hint="eastAsia" w:ascii="宋体" w:hAnsi="宋体" w:eastAsia="宋体" w:cs="宋体"/>
                <w:color w:val="auto"/>
                <w:sz w:val="24"/>
                <w:szCs w:val="24"/>
                <w:highlight w:val="none"/>
              </w:rPr>
            </w:pPr>
          </w:p>
        </w:tc>
        <w:tc>
          <w:tcPr>
            <w:tcW w:w="450"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183DC35">
            <w:pPr>
              <w:spacing w:line="300" w:lineRule="exact"/>
              <w:textAlignment w:val="center"/>
              <w:rPr>
                <w:rFonts w:hint="eastAsia" w:ascii="宋体" w:hAnsi="宋体" w:eastAsia="宋体" w:cs="宋体"/>
                <w:color w:val="auto"/>
                <w:sz w:val="24"/>
                <w:szCs w:val="24"/>
                <w:highlight w:val="none"/>
              </w:rPr>
            </w:pPr>
          </w:p>
        </w:tc>
        <w:tc>
          <w:tcPr>
            <w:tcW w:w="316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B149C7">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连续释放冲击波次数调节步长：</w:t>
            </w:r>
          </w:p>
          <w:p w14:paraId="3662FD7E">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70次≤调节步长＜100次得3分；</w:t>
            </w:r>
          </w:p>
          <w:p w14:paraId="591D8A16">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40次≤调节步长＜70次得6分；</w:t>
            </w:r>
          </w:p>
          <w:p w14:paraId="4B53B854">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调节步长＜40次得9分。</w:t>
            </w:r>
          </w:p>
          <w:p w14:paraId="4DBE3769">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评分依据：</w:t>
            </w:r>
            <w:r>
              <w:rPr>
                <w:rFonts w:hint="eastAsia" w:ascii="宋体" w:hAnsi="宋体" w:eastAsia="宋体" w:cs="宋体"/>
                <w:strike w:val="0"/>
                <w:dstrike w:val="0"/>
                <w:color w:val="auto"/>
                <w:sz w:val="24"/>
                <w:szCs w:val="24"/>
                <w:highlight w:val="none"/>
              </w:rPr>
              <w:t>投标人需</w:t>
            </w:r>
            <w:r>
              <w:rPr>
                <w:rFonts w:hint="eastAsia" w:ascii="宋体" w:hAnsi="宋体" w:eastAsia="宋体" w:cs="宋体"/>
                <w:strike w:val="0"/>
                <w:dstrike w:val="0"/>
                <w:color w:val="auto"/>
                <w:sz w:val="24"/>
                <w:szCs w:val="24"/>
                <w:highlight w:val="none"/>
                <w:lang w:val="en-US" w:eastAsia="zh-CN"/>
              </w:rPr>
              <w:t>在采购需求偏离表的备注栏标明佐证材料的对应页码，</w:t>
            </w:r>
            <w:r>
              <w:rPr>
                <w:rFonts w:hint="eastAsia" w:ascii="宋体" w:hAnsi="宋体" w:eastAsia="宋体" w:cs="宋体"/>
                <w:color w:val="auto"/>
                <w:sz w:val="24"/>
                <w:szCs w:val="24"/>
                <w:highlight w:val="none"/>
                <w:lang w:val="en-US" w:eastAsia="zh-CN"/>
              </w:rPr>
              <w:t>佐证材料为所投产品的技术白皮书，否则不得分。</w:t>
            </w:r>
            <w:r>
              <w:rPr>
                <w:rFonts w:hint="eastAsia" w:ascii="宋体" w:hAnsi="宋体" w:eastAsia="宋体" w:cs="宋体"/>
                <w:color w:val="auto"/>
                <w:sz w:val="24"/>
                <w:szCs w:val="24"/>
                <w:highlight w:val="none"/>
                <w:lang w:eastAsia="zh-CN"/>
              </w:rPr>
              <w:t>）</w:t>
            </w:r>
          </w:p>
        </w:tc>
      </w:tr>
    </w:tbl>
    <w:p w14:paraId="5A997A95">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16B6C44">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eastAsia="zh-CN"/>
        </w:rPr>
        <w:t>3</w:t>
      </w:r>
      <w:r>
        <w:rPr>
          <w:rFonts w:hint="eastAsia" w:ascii="宋体" w:hAnsi="宋体" w:eastAsia="宋体" w:cs="宋体"/>
          <w:b/>
          <w:bCs/>
          <w:color w:val="auto"/>
          <w:sz w:val="28"/>
          <w:szCs w:val="28"/>
          <w:highlight w:val="none"/>
        </w:rPr>
        <w:t>标段</w:t>
      </w:r>
      <w:r>
        <w:rPr>
          <w:rFonts w:hint="eastAsia" w:ascii="宋体" w:hAnsi="宋体" w:eastAsia="宋体" w:cs="宋体"/>
          <w:b/>
          <w:bCs/>
          <w:color w:val="auto"/>
          <w:sz w:val="28"/>
          <w:szCs w:val="28"/>
          <w:highlight w:val="none"/>
          <w:lang w:eastAsia="zh-CN"/>
        </w:rPr>
        <w:t>详细评审表：</w:t>
      </w:r>
    </w:p>
    <w:tbl>
      <w:tblPr>
        <w:tblStyle w:val="26"/>
        <w:tblW w:w="52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8"/>
        <w:gridCol w:w="1018"/>
        <w:gridCol w:w="1181"/>
        <w:gridCol w:w="877"/>
        <w:gridCol w:w="6298"/>
      </w:tblGrid>
      <w:tr w14:paraId="383D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5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F69AD3">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7FD86A">
            <w:pPr>
              <w:spacing w:line="3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评审</w:t>
            </w:r>
          </w:p>
          <w:p w14:paraId="794475FD">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内容</w:t>
            </w:r>
          </w:p>
        </w:tc>
        <w:tc>
          <w:tcPr>
            <w:tcW w:w="5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521E0C">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630"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FBC3C5">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评审</w:t>
            </w:r>
            <w:r>
              <w:rPr>
                <w:rFonts w:hint="eastAsia" w:ascii="宋体" w:hAnsi="宋体" w:eastAsia="宋体" w:cs="宋体"/>
                <w:b/>
                <w:color w:val="auto"/>
                <w:sz w:val="24"/>
                <w:szCs w:val="24"/>
                <w:highlight w:val="none"/>
              </w:rPr>
              <w:t>标准</w:t>
            </w:r>
          </w:p>
        </w:tc>
      </w:tr>
      <w:tr w14:paraId="7BF5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6" w:hRule="atLeast"/>
        </w:trPr>
        <w:tc>
          <w:tcPr>
            <w:tcW w:w="25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E9C46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980A5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076CFE9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66CA78E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30分</w:t>
            </w:r>
            <w:r>
              <w:rPr>
                <w:rFonts w:hint="eastAsia" w:ascii="宋体" w:hAnsi="宋体" w:eastAsia="宋体" w:cs="宋体"/>
                <w:color w:val="auto"/>
                <w:sz w:val="24"/>
                <w:szCs w:val="24"/>
                <w:highlight w:val="none"/>
                <w:lang w:eastAsia="zh-CN"/>
              </w:rPr>
              <w:t>）</w:t>
            </w:r>
          </w:p>
        </w:tc>
        <w:tc>
          <w:tcPr>
            <w:tcW w:w="5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6BB61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3630"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1B7F31">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r>
      <w:tr w14:paraId="7C5F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trPr>
        <w:tc>
          <w:tcPr>
            <w:tcW w:w="257"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9DD3D3">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205C8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2CC4BA0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0D9D698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5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E57762">
            <w:pPr>
              <w:spacing w:line="3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4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EA9BC2">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p>
          <w:p w14:paraId="1D56AA2A">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318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E53377">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投标人需提供（2022年1月1日至今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从事过</w:t>
            </w:r>
            <w:r>
              <w:rPr>
                <w:rFonts w:hint="eastAsia" w:ascii="宋体" w:hAnsi="宋体" w:eastAsia="宋体" w:cs="宋体"/>
                <w:color w:val="auto"/>
                <w:kern w:val="0"/>
                <w:sz w:val="24"/>
                <w:szCs w:val="24"/>
                <w:highlight w:val="none"/>
                <w:lang w:val="en-US" w:eastAsia="zh-CN"/>
              </w:rPr>
              <w:t>类似业绩（类似业绩指具有与本项目相匹配的经验能力的医疗器械销售业绩）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每提供一个业绩得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（评分依据：</w:t>
            </w:r>
            <w:r>
              <w:rPr>
                <w:rFonts w:hint="eastAsia" w:ascii="宋体" w:hAnsi="宋体" w:eastAsia="宋体" w:cs="宋体"/>
                <w:color w:val="auto"/>
                <w:sz w:val="24"/>
                <w:szCs w:val="24"/>
                <w:highlight w:val="none"/>
              </w:rPr>
              <w:t>投标文件中附合同</w:t>
            </w:r>
            <w:r>
              <w:rPr>
                <w:rFonts w:hint="eastAsia" w:ascii="宋体" w:hAnsi="宋体" w:eastAsia="宋体" w:cs="宋体"/>
                <w:color w:val="auto"/>
                <w:sz w:val="24"/>
                <w:szCs w:val="24"/>
                <w:highlight w:val="none"/>
                <w:lang w:val="en-US" w:eastAsia="zh-CN"/>
              </w:rPr>
              <w:t>关键页复印件或扫描件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w:t>
            </w:r>
          </w:p>
        </w:tc>
      </w:tr>
      <w:tr w14:paraId="4D86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257"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0177D0">
            <w:pPr>
              <w:spacing w:line="300" w:lineRule="exact"/>
              <w:jc w:val="center"/>
              <w:rPr>
                <w:rFonts w:hint="eastAsia" w:ascii="宋体" w:hAnsi="宋体" w:eastAsia="宋体" w:cs="宋体"/>
                <w:color w:val="auto"/>
                <w:sz w:val="24"/>
                <w:szCs w:val="24"/>
                <w:highlight w:val="none"/>
              </w:rPr>
            </w:pPr>
          </w:p>
        </w:tc>
        <w:tc>
          <w:tcPr>
            <w:tcW w:w="515"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D042B1">
            <w:pPr>
              <w:spacing w:line="300" w:lineRule="exact"/>
              <w:jc w:val="center"/>
              <w:rPr>
                <w:rFonts w:hint="eastAsia" w:ascii="宋体" w:hAnsi="宋体" w:eastAsia="宋体" w:cs="宋体"/>
                <w:color w:val="auto"/>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F0E694">
            <w:pPr>
              <w:spacing w:line="3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4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6A53EF">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318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377657">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在满足招标文件商务需求要求的原厂整机质保期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基础上，每增加一年得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最多得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1615ADB3">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（评分依据：投标文件中附投标人承诺函）</w:t>
            </w:r>
          </w:p>
        </w:tc>
      </w:tr>
      <w:tr w14:paraId="0B49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257"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23C5F1">
            <w:pPr>
              <w:spacing w:line="300" w:lineRule="exact"/>
              <w:jc w:val="center"/>
              <w:rPr>
                <w:rFonts w:hint="eastAsia" w:ascii="宋体" w:hAnsi="宋体" w:eastAsia="宋体" w:cs="宋体"/>
                <w:color w:val="auto"/>
                <w:sz w:val="24"/>
                <w:szCs w:val="24"/>
                <w:highlight w:val="none"/>
              </w:rPr>
            </w:pPr>
          </w:p>
        </w:tc>
        <w:tc>
          <w:tcPr>
            <w:tcW w:w="515"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3AD6E0">
            <w:pPr>
              <w:spacing w:line="300" w:lineRule="exact"/>
              <w:jc w:val="center"/>
              <w:rPr>
                <w:rFonts w:hint="eastAsia" w:ascii="宋体" w:hAnsi="宋体" w:eastAsia="宋体" w:cs="宋体"/>
                <w:color w:val="auto"/>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67CA84">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10分</w:t>
            </w:r>
          </w:p>
        </w:tc>
        <w:tc>
          <w:tcPr>
            <w:tcW w:w="44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804897">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6524C789">
            <w:pPr>
              <w:spacing w:line="3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人员</w:t>
            </w:r>
          </w:p>
        </w:tc>
        <w:tc>
          <w:tcPr>
            <w:tcW w:w="318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7E9C51">
            <w:pPr>
              <w:keepNext w:val="0"/>
              <w:keepLines w:val="0"/>
              <w:pageBreakBefore w:val="0"/>
              <w:kinsoku/>
              <w:wordWrap/>
              <w:overflowPunct/>
              <w:topLinePunct w:val="0"/>
              <w:bidi w:val="0"/>
              <w:adjustRightInd/>
              <w:snapToGrid/>
              <w:spacing w:line="340" w:lineRule="exact"/>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需</w:t>
            </w:r>
            <w:r>
              <w:rPr>
                <w:rFonts w:hint="eastAsia" w:ascii="宋体" w:hAnsi="宋体" w:eastAsia="宋体" w:cs="宋体"/>
                <w:color w:val="auto"/>
                <w:sz w:val="24"/>
                <w:szCs w:val="24"/>
                <w:highlight w:val="none"/>
                <w:lang w:val="en-US" w:eastAsia="zh-CN"/>
              </w:rPr>
              <w:t>为本项目</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5名</w:t>
            </w:r>
            <w:r>
              <w:rPr>
                <w:rFonts w:hint="eastAsia" w:ascii="宋体" w:hAnsi="宋体" w:eastAsia="宋体" w:cs="宋体"/>
                <w:color w:val="auto"/>
                <w:sz w:val="24"/>
                <w:szCs w:val="24"/>
                <w:highlight w:val="none"/>
              </w:rPr>
              <w:t>维修工程师</w:t>
            </w:r>
            <w:r>
              <w:rPr>
                <w:rFonts w:hint="eastAsia" w:ascii="宋体" w:hAnsi="宋体" w:eastAsia="宋体" w:cs="宋体"/>
                <w:color w:val="auto"/>
                <w:sz w:val="24"/>
                <w:szCs w:val="24"/>
                <w:highlight w:val="none"/>
                <w:lang w:eastAsia="zh-CN"/>
              </w:rPr>
              <w:t>：</w:t>
            </w:r>
          </w:p>
          <w:p w14:paraId="79991449">
            <w:p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5名维修工程师中每提供一名第三方维修工程师得1分；每提供一名原厂维修工程师得2分；本项最高得10分。</w:t>
            </w:r>
          </w:p>
          <w:p w14:paraId="1EFF5735">
            <w:p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（评分依据：投标文件中附人员名单、联系方式及三方专业培训机构授予维修工程师资质证书复印件（原厂家授予维修工程师资质证书复印件）和工程系列的学历证明复印件）。</w:t>
            </w:r>
          </w:p>
        </w:tc>
      </w:tr>
      <w:tr w14:paraId="2FB6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257" w:type="pct"/>
            <w:vMerge w:val="continue"/>
            <w:tcBorders>
              <w:top w:val="single" w:color="auto" w:sz="4" w:space="0"/>
              <w:left w:val="single" w:color="auto" w:sz="4" w:space="0"/>
              <w:bottom w:val="single" w:color="auto" w:sz="4" w:space="0"/>
              <w:right w:val="single" w:color="auto" w:sz="4" w:space="0"/>
            </w:tcBorders>
            <w:vAlign w:val="center"/>
          </w:tcPr>
          <w:p w14:paraId="04716B49">
            <w:pPr>
              <w:rPr>
                <w:rFonts w:hint="eastAsia" w:ascii="宋体" w:hAnsi="宋体" w:eastAsia="宋体" w:cs="宋体"/>
                <w:color w:val="auto"/>
                <w:sz w:val="24"/>
                <w:szCs w:val="24"/>
                <w:highlight w:val="none"/>
              </w:rPr>
            </w:pPr>
          </w:p>
        </w:tc>
        <w:tc>
          <w:tcPr>
            <w:tcW w:w="515" w:type="pct"/>
            <w:vMerge w:val="continue"/>
            <w:tcBorders>
              <w:top w:val="single" w:color="auto" w:sz="4" w:space="0"/>
              <w:left w:val="single" w:color="auto" w:sz="4" w:space="0"/>
              <w:bottom w:val="single" w:color="auto" w:sz="4" w:space="0"/>
              <w:right w:val="single" w:color="auto" w:sz="4" w:space="0"/>
            </w:tcBorders>
            <w:vAlign w:val="center"/>
          </w:tcPr>
          <w:p w14:paraId="15B985D3">
            <w:pPr>
              <w:rPr>
                <w:rFonts w:hint="eastAsia" w:ascii="宋体" w:hAnsi="宋体" w:eastAsia="宋体" w:cs="宋体"/>
                <w:color w:val="auto"/>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FCB281">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44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EE65D7">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3AE39075">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承诺</w:t>
            </w:r>
          </w:p>
        </w:tc>
        <w:tc>
          <w:tcPr>
            <w:tcW w:w="318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1C3ECAF">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接到采购人的故障通知后，能够在12小时以内完成维修得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分，24小时内完成维修得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分，48小时以内完成维修得1分，48小时以外</w:t>
            </w:r>
            <w:r>
              <w:rPr>
                <w:rFonts w:hint="eastAsia" w:ascii="宋体" w:hAnsi="宋体" w:eastAsia="宋体" w:cs="宋体"/>
                <w:bCs/>
                <w:color w:val="auto"/>
                <w:sz w:val="24"/>
                <w:szCs w:val="24"/>
                <w:highlight w:val="none"/>
              </w:rPr>
              <w:t>完成维修或者此项未提供均不得分</w:t>
            </w:r>
            <w:r>
              <w:rPr>
                <w:rFonts w:hint="eastAsia" w:ascii="宋体" w:hAnsi="宋体" w:eastAsia="宋体" w:cs="宋体"/>
                <w:color w:val="auto"/>
                <w:sz w:val="24"/>
                <w:szCs w:val="24"/>
                <w:highlight w:val="none"/>
              </w:rPr>
              <w:t>。</w:t>
            </w:r>
          </w:p>
          <w:p w14:paraId="0CD5D09F">
            <w:p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（评分依据：投标文件中附投标人承诺函）</w:t>
            </w:r>
          </w:p>
        </w:tc>
      </w:tr>
      <w:tr w14:paraId="5E7C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257"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15A884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5"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DB316F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465200B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3D21499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(45分)</w:t>
            </w:r>
          </w:p>
        </w:tc>
        <w:tc>
          <w:tcPr>
            <w:tcW w:w="597"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24ABD24">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45分</w:t>
            </w:r>
          </w:p>
        </w:tc>
        <w:tc>
          <w:tcPr>
            <w:tcW w:w="443"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B0BC5B5">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3E814C45">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318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B86D86">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1、彩</w:t>
            </w:r>
            <w:r>
              <w:rPr>
                <w:rFonts w:hint="eastAsia" w:ascii="宋体" w:hAnsi="宋体" w:eastAsia="宋体" w:cs="宋体"/>
                <w:color w:val="auto"/>
                <w:sz w:val="24"/>
                <w:szCs w:val="24"/>
                <w:highlight w:val="none"/>
              </w:rPr>
              <w:t>色液晶触摸显示屏大小：</w:t>
            </w:r>
          </w:p>
          <w:p w14:paraId="03D3FEF7">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11-12英寸</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3分；</w:t>
            </w:r>
          </w:p>
          <w:p w14:paraId="4C63F343">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13-14英寸</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6分；</w:t>
            </w:r>
          </w:p>
          <w:p w14:paraId="786EF7F2">
            <w:pPr>
              <w:spacing w:line="30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14英寸以上</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9分</w:t>
            </w:r>
            <w:r>
              <w:rPr>
                <w:rFonts w:hint="eastAsia" w:ascii="宋体" w:hAnsi="宋体" w:eastAsia="宋体" w:cs="宋体"/>
                <w:color w:val="auto"/>
                <w:sz w:val="24"/>
                <w:szCs w:val="24"/>
                <w:highlight w:val="none"/>
                <w:lang w:eastAsia="zh-CN"/>
              </w:rPr>
              <w:t>。</w:t>
            </w:r>
          </w:p>
          <w:p w14:paraId="1F57EA3E">
            <w:pPr>
              <w:spacing w:line="30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r>
              <w:rPr>
                <w:rFonts w:hint="eastAsia" w:ascii="宋体" w:hAnsi="宋体" w:eastAsia="宋体" w:cs="宋体"/>
                <w:strike w:val="0"/>
                <w:dstrike w:val="0"/>
                <w:color w:val="auto"/>
                <w:sz w:val="24"/>
                <w:szCs w:val="24"/>
                <w:highlight w:val="none"/>
              </w:rPr>
              <w:t>投标人需</w:t>
            </w:r>
            <w:r>
              <w:rPr>
                <w:rFonts w:hint="eastAsia" w:ascii="宋体" w:hAnsi="宋体" w:eastAsia="宋体" w:cs="宋体"/>
                <w:strike w:val="0"/>
                <w:dstrike w:val="0"/>
                <w:color w:val="auto"/>
                <w:sz w:val="24"/>
                <w:szCs w:val="24"/>
                <w:highlight w:val="none"/>
                <w:lang w:val="en-US" w:eastAsia="zh-CN"/>
              </w:rPr>
              <w:t>在采购需求偏离表的备注栏标明佐证材料的对应页码，</w:t>
            </w:r>
            <w:r>
              <w:rPr>
                <w:rFonts w:hint="eastAsia" w:ascii="宋体" w:hAnsi="宋体" w:eastAsia="宋体" w:cs="宋体"/>
                <w:color w:val="auto"/>
                <w:sz w:val="24"/>
                <w:szCs w:val="24"/>
                <w:highlight w:val="none"/>
                <w:lang w:val="en-US" w:eastAsia="zh-CN"/>
              </w:rPr>
              <w:t>佐证材料为所投产品的</w:t>
            </w:r>
            <w:r>
              <w:rPr>
                <w:rFonts w:hint="eastAsia" w:ascii="宋体" w:hAnsi="宋体" w:cs="宋体"/>
                <w:color w:val="auto"/>
                <w:sz w:val="24"/>
                <w:szCs w:val="24"/>
                <w:highlight w:val="none"/>
                <w:lang w:val="en-US" w:eastAsia="zh-CN"/>
              </w:rPr>
              <w:t>技术白皮书</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eastAsia="zh-CN"/>
              </w:rPr>
              <w:t>）</w:t>
            </w:r>
          </w:p>
        </w:tc>
      </w:tr>
      <w:tr w14:paraId="6338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257" w:type="pct"/>
            <w:vMerge w:val="continue"/>
            <w:tcBorders>
              <w:left w:val="single" w:color="auto" w:sz="4" w:space="0"/>
              <w:right w:val="single" w:color="auto" w:sz="4" w:space="0"/>
            </w:tcBorders>
            <w:tcMar>
              <w:top w:w="0" w:type="dxa"/>
              <w:left w:w="108" w:type="dxa"/>
              <w:bottom w:w="0" w:type="dxa"/>
              <w:right w:w="108" w:type="dxa"/>
            </w:tcMar>
            <w:vAlign w:val="center"/>
          </w:tcPr>
          <w:p w14:paraId="246E363A">
            <w:pPr>
              <w:spacing w:line="300" w:lineRule="exact"/>
              <w:textAlignment w:val="center"/>
              <w:rPr>
                <w:rFonts w:hint="eastAsia" w:ascii="宋体" w:hAnsi="宋体" w:eastAsia="宋体" w:cs="宋体"/>
                <w:color w:val="auto"/>
                <w:sz w:val="24"/>
                <w:szCs w:val="24"/>
                <w:highlight w:val="none"/>
              </w:rPr>
            </w:pPr>
          </w:p>
        </w:tc>
        <w:tc>
          <w:tcPr>
            <w:tcW w:w="515" w:type="pct"/>
            <w:vMerge w:val="continue"/>
            <w:tcBorders>
              <w:left w:val="single" w:color="auto" w:sz="4" w:space="0"/>
              <w:right w:val="single" w:color="auto" w:sz="4" w:space="0"/>
            </w:tcBorders>
            <w:tcMar>
              <w:top w:w="0" w:type="dxa"/>
              <w:left w:w="108" w:type="dxa"/>
              <w:bottom w:w="0" w:type="dxa"/>
              <w:right w:w="108" w:type="dxa"/>
            </w:tcMar>
            <w:vAlign w:val="center"/>
          </w:tcPr>
          <w:p w14:paraId="36215815">
            <w:pPr>
              <w:spacing w:line="300" w:lineRule="exact"/>
              <w:textAlignment w:val="center"/>
              <w:rPr>
                <w:rFonts w:hint="eastAsia" w:ascii="宋体" w:hAnsi="宋体" w:eastAsia="宋体" w:cs="宋体"/>
                <w:color w:val="auto"/>
                <w:sz w:val="24"/>
                <w:szCs w:val="24"/>
                <w:highlight w:val="none"/>
              </w:rPr>
            </w:pPr>
          </w:p>
        </w:tc>
        <w:tc>
          <w:tcPr>
            <w:tcW w:w="597" w:type="pct"/>
            <w:vMerge w:val="continue"/>
            <w:tcBorders>
              <w:left w:val="single" w:color="auto" w:sz="4" w:space="0"/>
              <w:right w:val="single" w:color="auto" w:sz="4" w:space="0"/>
            </w:tcBorders>
            <w:tcMar>
              <w:top w:w="0" w:type="dxa"/>
              <w:left w:w="108" w:type="dxa"/>
              <w:bottom w:w="0" w:type="dxa"/>
              <w:right w:w="108" w:type="dxa"/>
            </w:tcMar>
            <w:vAlign w:val="center"/>
          </w:tcPr>
          <w:p w14:paraId="15E9B303">
            <w:pPr>
              <w:spacing w:line="300" w:lineRule="exact"/>
              <w:textAlignment w:val="center"/>
              <w:rPr>
                <w:rFonts w:hint="eastAsia" w:ascii="宋体" w:hAnsi="宋体" w:eastAsia="宋体" w:cs="宋体"/>
                <w:color w:val="auto"/>
                <w:sz w:val="24"/>
                <w:szCs w:val="24"/>
                <w:highlight w:val="none"/>
              </w:rPr>
            </w:pPr>
          </w:p>
        </w:tc>
        <w:tc>
          <w:tcPr>
            <w:tcW w:w="443" w:type="pct"/>
            <w:vMerge w:val="continue"/>
            <w:tcBorders>
              <w:left w:val="single" w:color="auto" w:sz="4" w:space="0"/>
              <w:right w:val="single" w:color="auto" w:sz="4" w:space="0"/>
            </w:tcBorders>
            <w:tcMar>
              <w:top w:w="0" w:type="dxa"/>
              <w:left w:w="108" w:type="dxa"/>
              <w:bottom w:w="0" w:type="dxa"/>
              <w:right w:w="108" w:type="dxa"/>
            </w:tcMar>
            <w:vAlign w:val="center"/>
          </w:tcPr>
          <w:p w14:paraId="67ABD0C8">
            <w:pPr>
              <w:spacing w:line="300" w:lineRule="exact"/>
              <w:textAlignment w:val="center"/>
              <w:rPr>
                <w:rFonts w:hint="eastAsia" w:ascii="宋体" w:hAnsi="宋体" w:eastAsia="宋体" w:cs="宋体"/>
                <w:color w:val="auto"/>
                <w:sz w:val="24"/>
                <w:szCs w:val="24"/>
                <w:highlight w:val="none"/>
              </w:rPr>
            </w:pPr>
          </w:p>
        </w:tc>
        <w:tc>
          <w:tcPr>
            <w:tcW w:w="318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B6B3C5">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个性化治疗曲线数量：</w:t>
            </w:r>
          </w:p>
          <w:p w14:paraId="395D268A">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具有4种治疗曲线得3分；</w:t>
            </w:r>
          </w:p>
          <w:p w14:paraId="01F29C07">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具有5种治疗曲线得6分；</w:t>
            </w:r>
          </w:p>
          <w:p w14:paraId="41D46F96">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具有6种治疗曲线得9分。</w:t>
            </w:r>
          </w:p>
          <w:p w14:paraId="66EAFAC6">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r>
              <w:rPr>
                <w:rFonts w:hint="eastAsia" w:ascii="宋体" w:hAnsi="宋体" w:eastAsia="宋体" w:cs="宋体"/>
                <w:strike w:val="0"/>
                <w:dstrike w:val="0"/>
                <w:color w:val="auto"/>
                <w:sz w:val="24"/>
                <w:szCs w:val="24"/>
                <w:highlight w:val="none"/>
              </w:rPr>
              <w:t>投标人需</w:t>
            </w:r>
            <w:r>
              <w:rPr>
                <w:rFonts w:hint="eastAsia" w:ascii="宋体" w:hAnsi="宋体" w:eastAsia="宋体" w:cs="宋体"/>
                <w:strike w:val="0"/>
                <w:dstrike w:val="0"/>
                <w:color w:val="auto"/>
                <w:sz w:val="24"/>
                <w:szCs w:val="24"/>
                <w:highlight w:val="none"/>
                <w:lang w:val="en-US" w:eastAsia="zh-CN"/>
              </w:rPr>
              <w:t>在采购需求偏离表的备注栏标明佐证材料的对应页码，</w:t>
            </w:r>
            <w:r>
              <w:rPr>
                <w:rFonts w:hint="eastAsia" w:ascii="宋体" w:hAnsi="宋体" w:eastAsia="宋体" w:cs="宋体"/>
                <w:color w:val="auto"/>
                <w:sz w:val="24"/>
                <w:szCs w:val="24"/>
                <w:highlight w:val="none"/>
                <w:lang w:val="en-US" w:eastAsia="zh-CN"/>
              </w:rPr>
              <w:t>佐证材料为所投产品的</w:t>
            </w:r>
            <w:r>
              <w:rPr>
                <w:rFonts w:hint="eastAsia" w:ascii="宋体" w:hAnsi="宋体" w:cs="宋体"/>
                <w:color w:val="auto"/>
                <w:sz w:val="24"/>
                <w:szCs w:val="24"/>
                <w:highlight w:val="none"/>
                <w:lang w:val="en-US" w:eastAsia="zh-CN"/>
              </w:rPr>
              <w:t>技术白皮书</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eastAsia="zh-CN"/>
              </w:rPr>
              <w:t>）</w:t>
            </w:r>
          </w:p>
        </w:tc>
      </w:tr>
      <w:tr w14:paraId="45E5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257" w:type="pct"/>
            <w:vMerge w:val="continue"/>
            <w:tcBorders>
              <w:left w:val="single" w:color="auto" w:sz="4" w:space="0"/>
              <w:right w:val="single" w:color="auto" w:sz="4" w:space="0"/>
            </w:tcBorders>
            <w:tcMar>
              <w:top w:w="0" w:type="dxa"/>
              <w:left w:w="108" w:type="dxa"/>
              <w:bottom w:w="0" w:type="dxa"/>
              <w:right w:w="108" w:type="dxa"/>
            </w:tcMar>
            <w:vAlign w:val="center"/>
          </w:tcPr>
          <w:p w14:paraId="23B73E48">
            <w:pPr>
              <w:spacing w:line="300" w:lineRule="exact"/>
              <w:textAlignment w:val="center"/>
              <w:rPr>
                <w:rFonts w:hint="eastAsia" w:ascii="宋体" w:hAnsi="宋体" w:eastAsia="宋体" w:cs="宋体"/>
                <w:color w:val="auto"/>
                <w:sz w:val="24"/>
                <w:szCs w:val="24"/>
                <w:highlight w:val="none"/>
              </w:rPr>
            </w:pPr>
          </w:p>
        </w:tc>
        <w:tc>
          <w:tcPr>
            <w:tcW w:w="515" w:type="pct"/>
            <w:vMerge w:val="continue"/>
            <w:tcBorders>
              <w:left w:val="single" w:color="auto" w:sz="4" w:space="0"/>
              <w:right w:val="single" w:color="auto" w:sz="4" w:space="0"/>
            </w:tcBorders>
            <w:tcMar>
              <w:top w:w="0" w:type="dxa"/>
              <w:left w:w="108" w:type="dxa"/>
              <w:bottom w:w="0" w:type="dxa"/>
              <w:right w:w="108" w:type="dxa"/>
            </w:tcMar>
            <w:vAlign w:val="center"/>
          </w:tcPr>
          <w:p w14:paraId="18EBA9FB">
            <w:pPr>
              <w:spacing w:line="300" w:lineRule="exact"/>
              <w:textAlignment w:val="center"/>
              <w:rPr>
                <w:rFonts w:hint="eastAsia" w:ascii="宋体" w:hAnsi="宋体" w:eastAsia="宋体" w:cs="宋体"/>
                <w:color w:val="auto"/>
                <w:sz w:val="24"/>
                <w:szCs w:val="24"/>
                <w:highlight w:val="none"/>
              </w:rPr>
            </w:pPr>
          </w:p>
        </w:tc>
        <w:tc>
          <w:tcPr>
            <w:tcW w:w="597" w:type="pct"/>
            <w:vMerge w:val="continue"/>
            <w:tcBorders>
              <w:left w:val="single" w:color="auto" w:sz="4" w:space="0"/>
              <w:right w:val="single" w:color="auto" w:sz="4" w:space="0"/>
            </w:tcBorders>
            <w:tcMar>
              <w:top w:w="0" w:type="dxa"/>
              <w:left w:w="108" w:type="dxa"/>
              <w:bottom w:w="0" w:type="dxa"/>
              <w:right w:w="108" w:type="dxa"/>
            </w:tcMar>
            <w:vAlign w:val="center"/>
          </w:tcPr>
          <w:p w14:paraId="35FB9D94">
            <w:pPr>
              <w:spacing w:line="300" w:lineRule="exact"/>
              <w:textAlignment w:val="center"/>
              <w:rPr>
                <w:rFonts w:hint="eastAsia" w:ascii="宋体" w:hAnsi="宋体" w:eastAsia="宋体" w:cs="宋体"/>
                <w:color w:val="auto"/>
                <w:sz w:val="24"/>
                <w:szCs w:val="24"/>
                <w:highlight w:val="none"/>
              </w:rPr>
            </w:pPr>
          </w:p>
        </w:tc>
        <w:tc>
          <w:tcPr>
            <w:tcW w:w="443" w:type="pct"/>
            <w:vMerge w:val="continue"/>
            <w:tcBorders>
              <w:left w:val="single" w:color="auto" w:sz="4" w:space="0"/>
              <w:right w:val="single" w:color="auto" w:sz="4" w:space="0"/>
            </w:tcBorders>
            <w:tcMar>
              <w:top w:w="0" w:type="dxa"/>
              <w:left w:w="108" w:type="dxa"/>
              <w:bottom w:w="0" w:type="dxa"/>
              <w:right w:w="108" w:type="dxa"/>
            </w:tcMar>
            <w:vAlign w:val="center"/>
          </w:tcPr>
          <w:p w14:paraId="1E2F2869">
            <w:pPr>
              <w:spacing w:line="300" w:lineRule="exact"/>
              <w:textAlignment w:val="center"/>
              <w:rPr>
                <w:rFonts w:hint="eastAsia" w:ascii="宋体" w:hAnsi="宋体" w:eastAsia="宋体" w:cs="宋体"/>
                <w:color w:val="auto"/>
                <w:sz w:val="24"/>
                <w:szCs w:val="24"/>
                <w:highlight w:val="none"/>
              </w:rPr>
            </w:pPr>
          </w:p>
        </w:tc>
        <w:tc>
          <w:tcPr>
            <w:tcW w:w="318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0A517B">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超滤曲线数量：</w:t>
            </w:r>
          </w:p>
          <w:p w14:paraId="6467DC26">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满足15种得3分；</w:t>
            </w:r>
          </w:p>
          <w:p w14:paraId="06E9520B">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15-20种得6分；</w:t>
            </w:r>
          </w:p>
          <w:p w14:paraId="6988F648">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20种以上得9分。</w:t>
            </w:r>
          </w:p>
          <w:p w14:paraId="764645F1">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r>
              <w:rPr>
                <w:rFonts w:hint="eastAsia" w:ascii="宋体" w:hAnsi="宋体" w:eastAsia="宋体" w:cs="宋体"/>
                <w:strike w:val="0"/>
                <w:dstrike w:val="0"/>
                <w:color w:val="auto"/>
                <w:sz w:val="24"/>
                <w:szCs w:val="24"/>
                <w:highlight w:val="none"/>
              </w:rPr>
              <w:t>投标人需</w:t>
            </w:r>
            <w:r>
              <w:rPr>
                <w:rFonts w:hint="eastAsia" w:ascii="宋体" w:hAnsi="宋体" w:eastAsia="宋体" w:cs="宋体"/>
                <w:strike w:val="0"/>
                <w:dstrike w:val="0"/>
                <w:color w:val="auto"/>
                <w:sz w:val="24"/>
                <w:szCs w:val="24"/>
                <w:highlight w:val="none"/>
                <w:lang w:val="en-US" w:eastAsia="zh-CN"/>
              </w:rPr>
              <w:t>在采购需求偏离表的备注栏标明佐证材料的对应页码，</w:t>
            </w:r>
            <w:r>
              <w:rPr>
                <w:rFonts w:hint="eastAsia" w:ascii="宋体" w:hAnsi="宋体" w:eastAsia="宋体" w:cs="宋体"/>
                <w:color w:val="auto"/>
                <w:sz w:val="24"/>
                <w:szCs w:val="24"/>
                <w:highlight w:val="none"/>
                <w:lang w:val="en-US" w:eastAsia="zh-CN"/>
              </w:rPr>
              <w:t>佐证材料为所投产品的</w:t>
            </w:r>
            <w:r>
              <w:rPr>
                <w:rFonts w:hint="eastAsia" w:ascii="宋体" w:hAnsi="宋体" w:cs="宋体"/>
                <w:color w:val="auto"/>
                <w:sz w:val="24"/>
                <w:szCs w:val="24"/>
                <w:highlight w:val="none"/>
                <w:lang w:val="en-US" w:eastAsia="zh-CN"/>
              </w:rPr>
              <w:t>技术白皮书</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eastAsia="zh-CN"/>
              </w:rPr>
              <w:t>）</w:t>
            </w:r>
          </w:p>
        </w:tc>
      </w:tr>
      <w:tr w14:paraId="5D6D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257" w:type="pct"/>
            <w:vMerge w:val="continue"/>
            <w:tcBorders>
              <w:left w:val="single" w:color="auto" w:sz="4" w:space="0"/>
              <w:right w:val="single" w:color="auto" w:sz="4" w:space="0"/>
            </w:tcBorders>
            <w:tcMar>
              <w:top w:w="0" w:type="dxa"/>
              <w:left w:w="108" w:type="dxa"/>
              <w:bottom w:w="0" w:type="dxa"/>
              <w:right w:w="108" w:type="dxa"/>
            </w:tcMar>
            <w:vAlign w:val="center"/>
          </w:tcPr>
          <w:p w14:paraId="5933DF21">
            <w:pPr>
              <w:spacing w:line="300" w:lineRule="exact"/>
              <w:textAlignment w:val="center"/>
              <w:rPr>
                <w:rFonts w:hint="eastAsia" w:ascii="宋体" w:hAnsi="宋体" w:eastAsia="宋体" w:cs="宋体"/>
                <w:color w:val="auto"/>
                <w:sz w:val="24"/>
                <w:szCs w:val="24"/>
                <w:highlight w:val="none"/>
              </w:rPr>
            </w:pPr>
          </w:p>
        </w:tc>
        <w:tc>
          <w:tcPr>
            <w:tcW w:w="515" w:type="pct"/>
            <w:vMerge w:val="continue"/>
            <w:tcBorders>
              <w:left w:val="single" w:color="auto" w:sz="4" w:space="0"/>
              <w:right w:val="single" w:color="auto" w:sz="4" w:space="0"/>
            </w:tcBorders>
            <w:tcMar>
              <w:top w:w="0" w:type="dxa"/>
              <w:left w:w="108" w:type="dxa"/>
              <w:bottom w:w="0" w:type="dxa"/>
              <w:right w:w="108" w:type="dxa"/>
            </w:tcMar>
            <w:vAlign w:val="center"/>
          </w:tcPr>
          <w:p w14:paraId="7B5E7845">
            <w:pPr>
              <w:spacing w:line="300" w:lineRule="exact"/>
              <w:textAlignment w:val="center"/>
              <w:rPr>
                <w:rFonts w:hint="eastAsia" w:ascii="宋体" w:hAnsi="宋体" w:eastAsia="宋体" w:cs="宋体"/>
                <w:color w:val="auto"/>
                <w:sz w:val="24"/>
                <w:szCs w:val="24"/>
                <w:highlight w:val="none"/>
              </w:rPr>
            </w:pPr>
          </w:p>
        </w:tc>
        <w:tc>
          <w:tcPr>
            <w:tcW w:w="597" w:type="pct"/>
            <w:vMerge w:val="continue"/>
            <w:tcBorders>
              <w:left w:val="single" w:color="auto" w:sz="4" w:space="0"/>
              <w:right w:val="single" w:color="auto" w:sz="4" w:space="0"/>
            </w:tcBorders>
            <w:tcMar>
              <w:top w:w="0" w:type="dxa"/>
              <w:left w:w="108" w:type="dxa"/>
              <w:bottom w:w="0" w:type="dxa"/>
              <w:right w:w="108" w:type="dxa"/>
            </w:tcMar>
            <w:vAlign w:val="center"/>
          </w:tcPr>
          <w:p w14:paraId="75403EB0">
            <w:pPr>
              <w:spacing w:line="300" w:lineRule="exact"/>
              <w:textAlignment w:val="center"/>
              <w:rPr>
                <w:rFonts w:hint="eastAsia" w:ascii="宋体" w:hAnsi="宋体" w:eastAsia="宋体" w:cs="宋体"/>
                <w:color w:val="auto"/>
                <w:sz w:val="24"/>
                <w:szCs w:val="24"/>
                <w:highlight w:val="none"/>
              </w:rPr>
            </w:pPr>
          </w:p>
        </w:tc>
        <w:tc>
          <w:tcPr>
            <w:tcW w:w="443" w:type="pct"/>
            <w:vMerge w:val="continue"/>
            <w:tcBorders>
              <w:left w:val="single" w:color="auto" w:sz="4" w:space="0"/>
              <w:right w:val="single" w:color="auto" w:sz="4" w:space="0"/>
            </w:tcBorders>
            <w:tcMar>
              <w:top w:w="0" w:type="dxa"/>
              <w:left w:w="108" w:type="dxa"/>
              <w:bottom w:w="0" w:type="dxa"/>
              <w:right w:w="108" w:type="dxa"/>
            </w:tcMar>
            <w:vAlign w:val="center"/>
          </w:tcPr>
          <w:p w14:paraId="440A9A47">
            <w:pPr>
              <w:spacing w:line="300" w:lineRule="exact"/>
              <w:textAlignment w:val="center"/>
              <w:rPr>
                <w:rFonts w:hint="eastAsia" w:ascii="宋体" w:hAnsi="宋体" w:eastAsia="宋体" w:cs="宋体"/>
                <w:color w:val="auto"/>
                <w:sz w:val="24"/>
                <w:szCs w:val="24"/>
                <w:highlight w:val="none"/>
              </w:rPr>
            </w:pPr>
          </w:p>
        </w:tc>
        <w:tc>
          <w:tcPr>
            <w:tcW w:w="318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5FB7EC">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跨膜压压力值范围:</w:t>
            </w:r>
          </w:p>
          <w:p w14:paraId="2020F351">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-100mmHg～+500mmHg得3分；</w:t>
            </w:r>
          </w:p>
          <w:p w14:paraId="7D38C451">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-100mmHg～+600mmHg得6分；</w:t>
            </w:r>
          </w:p>
          <w:p w14:paraId="68901D9C">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-100mmHg～+700mmHg得9分；</w:t>
            </w:r>
          </w:p>
          <w:p w14:paraId="3E78424B">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r>
              <w:rPr>
                <w:rFonts w:hint="eastAsia" w:ascii="宋体" w:hAnsi="宋体" w:eastAsia="宋体" w:cs="宋体"/>
                <w:strike w:val="0"/>
                <w:dstrike w:val="0"/>
                <w:color w:val="auto"/>
                <w:sz w:val="24"/>
                <w:szCs w:val="24"/>
                <w:highlight w:val="none"/>
              </w:rPr>
              <w:t>投标人需</w:t>
            </w:r>
            <w:r>
              <w:rPr>
                <w:rFonts w:hint="eastAsia" w:ascii="宋体" w:hAnsi="宋体" w:eastAsia="宋体" w:cs="宋体"/>
                <w:strike w:val="0"/>
                <w:dstrike w:val="0"/>
                <w:color w:val="auto"/>
                <w:sz w:val="24"/>
                <w:szCs w:val="24"/>
                <w:highlight w:val="none"/>
                <w:lang w:val="en-US" w:eastAsia="zh-CN"/>
              </w:rPr>
              <w:t>在采购需求偏离表的备注栏标明佐证材料的对应页码，</w:t>
            </w:r>
            <w:r>
              <w:rPr>
                <w:rFonts w:hint="eastAsia" w:ascii="宋体" w:hAnsi="宋体" w:eastAsia="宋体" w:cs="宋体"/>
                <w:color w:val="auto"/>
                <w:sz w:val="24"/>
                <w:szCs w:val="24"/>
                <w:highlight w:val="none"/>
                <w:lang w:val="en-US" w:eastAsia="zh-CN"/>
              </w:rPr>
              <w:t>佐证材料为所投产品的</w:t>
            </w:r>
            <w:r>
              <w:rPr>
                <w:rFonts w:hint="eastAsia" w:ascii="宋体" w:hAnsi="宋体" w:cs="宋体"/>
                <w:color w:val="auto"/>
                <w:sz w:val="24"/>
                <w:szCs w:val="24"/>
                <w:highlight w:val="none"/>
                <w:lang w:val="en-US" w:eastAsia="zh-CN"/>
              </w:rPr>
              <w:t>技术白皮书</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eastAsia="zh-CN"/>
              </w:rPr>
              <w:t>）</w:t>
            </w:r>
          </w:p>
        </w:tc>
      </w:tr>
      <w:tr w14:paraId="2644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25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C454BDA">
            <w:pPr>
              <w:spacing w:line="300" w:lineRule="exact"/>
              <w:textAlignment w:val="center"/>
              <w:rPr>
                <w:rFonts w:hint="eastAsia" w:ascii="宋体" w:hAnsi="宋体" w:eastAsia="宋体" w:cs="宋体"/>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53CC721">
            <w:pPr>
              <w:spacing w:line="300" w:lineRule="exact"/>
              <w:textAlignment w:val="center"/>
              <w:rPr>
                <w:rFonts w:hint="eastAsia" w:ascii="宋体" w:hAnsi="宋体" w:eastAsia="宋体" w:cs="宋体"/>
                <w:color w:val="auto"/>
                <w:sz w:val="24"/>
                <w:szCs w:val="24"/>
                <w:highlight w:val="none"/>
              </w:rPr>
            </w:pPr>
          </w:p>
        </w:tc>
        <w:tc>
          <w:tcPr>
            <w:tcW w:w="59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24682C0">
            <w:pPr>
              <w:spacing w:line="300" w:lineRule="exact"/>
              <w:textAlignment w:val="center"/>
              <w:rPr>
                <w:rFonts w:hint="eastAsia" w:ascii="宋体" w:hAnsi="宋体" w:eastAsia="宋体" w:cs="宋体"/>
                <w:color w:val="auto"/>
                <w:sz w:val="24"/>
                <w:szCs w:val="24"/>
                <w:highlight w:val="none"/>
              </w:rPr>
            </w:pPr>
          </w:p>
        </w:tc>
        <w:tc>
          <w:tcPr>
            <w:tcW w:w="443"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EC824E9">
            <w:pPr>
              <w:spacing w:line="300" w:lineRule="exact"/>
              <w:textAlignment w:val="center"/>
              <w:rPr>
                <w:rFonts w:hint="eastAsia" w:ascii="宋体" w:hAnsi="宋体" w:eastAsia="宋体" w:cs="宋体"/>
                <w:color w:val="auto"/>
                <w:sz w:val="24"/>
                <w:szCs w:val="24"/>
                <w:highlight w:val="none"/>
              </w:rPr>
            </w:pPr>
          </w:p>
        </w:tc>
        <w:tc>
          <w:tcPr>
            <w:tcW w:w="318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676965">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每支透析液过滤器使用时间：</w:t>
            </w:r>
          </w:p>
          <w:p w14:paraId="5DDD824F">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＜750小时得3分；</w:t>
            </w:r>
          </w:p>
          <w:p w14:paraId="2619A62A">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750-850小时得6分；</w:t>
            </w:r>
          </w:p>
          <w:p w14:paraId="726E5781">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＞850小时得9分。</w:t>
            </w:r>
          </w:p>
          <w:p w14:paraId="1281D9A7">
            <w:pPr>
              <w:numPr>
                <w:ilvl w:val="0"/>
                <w:numId w:val="0"/>
              </w:num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r>
              <w:rPr>
                <w:rFonts w:hint="eastAsia" w:ascii="宋体" w:hAnsi="宋体" w:eastAsia="宋体" w:cs="宋体"/>
                <w:strike w:val="0"/>
                <w:dstrike w:val="0"/>
                <w:color w:val="auto"/>
                <w:sz w:val="24"/>
                <w:szCs w:val="24"/>
                <w:highlight w:val="none"/>
              </w:rPr>
              <w:t>投标人需</w:t>
            </w:r>
            <w:r>
              <w:rPr>
                <w:rFonts w:hint="eastAsia" w:ascii="宋体" w:hAnsi="宋体" w:eastAsia="宋体" w:cs="宋体"/>
                <w:strike w:val="0"/>
                <w:dstrike w:val="0"/>
                <w:color w:val="auto"/>
                <w:sz w:val="24"/>
                <w:szCs w:val="24"/>
                <w:highlight w:val="none"/>
                <w:lang w:val="en-US" w:eastAsia="zh-CN"/>
              </w:rPr>
              <w:t>在采购需求偏离表的备注栏标明佐证材料的对应页码，</w:t>
            </w:r>
            <w:r>
              <w:rPr>
                <w:rFonts w:hint="eastAsia" w:ascii="宋体" w:hAnsi="宋体" w:eastAsia="宋体" w:cs="宋体"/>
                <w:color w:val="auto"/>
                <w:sz w:val="24"/>
                <w:szCs w:val="24"/>
                <w:highlight w:val="none"/>
                <w:lang w:val="en-US" w:eastAsia="zh-CN"/>
              </w:rPr>
              <w:t>佐证材料为所投产品的</w:t>
            </w:r>
            <w:r>
              <w:rPr>
                <w:rFonts w:hint="eastAsia" w:ascii="宋体" w:hAnsi="宋体" w:cs="宋体"/>
                <w:color w:val="auto"/>
                <w:sz w:val="24"/>
                <w:szCs w:val="24"/>
                <w:highlight w:val="none"/>
                <w:lang w:val="en-US" w:eastAsia="zh-CN"/>
              </w:rPr>
              <w:t>技术白皮书</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eastAsia="zh-CN"/>
              </w:rPr>
              <w:t>）</w:t>
            </w:r>
          </w:p>
        </w:tc>
      </w:tr>
    </w:tbl>
    <w:p w14:paraId="555F0B70">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6919C534">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eastAsia="zh-CN"/>
        </w:rPr>
        <w:t>4</w:t>
      </w:r>
      <w:r>
        <w:rPr>
          <w:rFonts w:hint="eastAsia" w:ascii="宋体" w:hAnsi="宋体" w:eastAsia="宋体" w:cs="宋体"/>
          <w:b/>
          <w:bCs/>
          <w:color w:val="auto"/>
          <w:sz w:val="28"/>
          <w:szCs w:val="28"/>
          <w:highlight w:val="none"/>
        </w:rPr>
        <w:t>标段</w:t>
      </w:r>
      <w:r>
        <w:rPr>
          <w:rFonts w:hint="eastAsia" w:ascii="宋体" w:hAnsi="宋体" w:eastAsia="宋体" w:cs="宋体"/>
          <w:b/>
          <w:bCs/>
          <w:color w:val="auto"/>
          <w:sz w:val="28"/>
          <w:szCs w:val="28"/>
          <w:highlight w:val="none"/>
          <w:lang w:eastAsia="zh-CN"/>
        </w:rPr>
        <w:t>详细评审表：</w:t>
      </w:r>
    </w:p>
    <w:tbl>
      <w:tblPr>
        <w:tblStyle w:val="26"/>
        <w:tblW w:w="56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4"/>
        <w:gridCol w:w="1208"/>
        <w:gridCol w:w="939"/>
        <w:gridCol w:w="1044"/>
        <w:gridCol w:w="6789"/>
      </w:tblGrid>
      <w:tr w14:paraId="7380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36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50F6EF">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D696D5">
            <w:pPr>
              <w:spacing w:line="3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评审</w:t>
            </w:r>
          </w:p>
          <w:p w14:paraId="0EB146C3">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内容</w:t>
            </w:r>
          </w:p>
        </w:tc>
        <w:tc>
          <w:tcPr>
            <w:tcW w:w="4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E530D9">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638"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A0F872">
            <w:pPr>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评审</w:t>
            </w:r>
            <w:r>
              <w:rPr>
                <w:rFonts w:hint="eastAsia" w:ascii="宋体" w:hAnsi="宋体" w:eastAsia="宋体" w:cs="宋体"/>
                <w:b/>
                <w:color w:val="auto"/>
                <w:sz w:val="24"/>
                <w:szCs w:val="24"/>
                <w:highlight w:val="none"/>
              </w:rPr>
              <w:t>标准</w:t>
            </w:r>
          </w:p>
        </w:tc>
      </w:tr>
      <w:tr w14:paraId="2FDD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36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A9F4E6">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D296E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4739F94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302E4F7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30分</w:t>
            </w:r>
            <w:r>
              <w:rPr>
                <w:rFonts w:hint="eastAsia" w:ascii="宋体" w:hAnsi="宋体" w:eastAsia="宋体" w:cs="宋体"/>
                <w:color w:val="auto"/>
                <w:sz w:val="24"/>
                <w:szCs w:val="24"/>
                <w:highlight w:val="none"/>
                <w:lang w:eastAsia="zh-CN"/>
              </w:rPr>
              <w:t>）</w:t>
            </w:r>
          </w:p>
        </w:tc>
        <w:tc>
          <w:tcPr>
            <w:tcW w:w="4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814A1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3638"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1BFE07">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r>
      <w:tr w14:paraId="5CE2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364"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75B10B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61"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90BD2B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7CAE889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004D7718">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4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CF50E7">
            <w:pPr>
              <w:spacing w:line="3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4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FF4A94">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p>
          <w:p w14:paraId="6FC943C4">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31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6071AF">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投标人需提供（2022年1月1日至今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从事过</w:t>
            </w:r>
            <w:r>
              <w:rPr>
                <w:rFonts w:hint="eastAsia" w:ascii="宋体" w:hAnsi="宋体" w:eastAsia="宋体" w:cs="宋体"/>
                <w:color w:val="auto"/>
                <w:kern w:val="0"/>
                <w:sz w:val="24"/>
                <w:szCs w:val="24"/>
                <w:highlight w:val="none"/>
                <w:lang w:val="en-US" w:eastAsia="zh-CN"/>
              </w:rPr>
              <w:t>类似业绩（类似业绩指具有与本项目相匹配的经验能力的医疗器械销售业绩）</w:t>
            </w:r>
            <w:r>
              <w:rPr>
                <w:rFonts w:hint="eastAsia" w:ascii="宋体" w:hAnsi="宋体" w:eastAsia="宋体" w:cs="宋体"/>
                <w:color w:val="auto"/>
                <w:sz w:val="24"/>
                <w:szCs w:val="24"/>
                <w:highlight w:val="none"/>
              </w:rPr>
              <w:t>，每提供一个业绩得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FD4963F">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（评分依据：</w:t>
            </w:r>
            <w:r>
              <w:rPr>
                <w:rFonts w:hint="eastAsia" w:ascii="宋体" w:hAnsi="宋体" w:eastAsia="宋体" w:cs="宋体"/>
                <w:color w:val="auto"/>
                <w:sz w:val="24"/>
                <w:szCs w:val="24"/>
                <w:highlight w:val="none"/>
              </w:rPr>
              <w:t>投标文件中附合同</w:t>
            </w:r>
            <w:r>
              <w:rPr>
                <w:rFonts w:hint="eastAsia" w:ascii="宋体" w:hAnsi="宋体" w:eastAsia="宋体" w:cs="宋体"/>
                <w:color w:val="auto"/>
                <w:sz w:val="24"/>
                <w:szCs w:val="24"/>
                <w:highlight w:val="none"/>
                <w:lang w:val="en-US" w:eastAsia="zh-CN"/>
              </w:rPr>
              <w:t>关键页复印件或扫描件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w:t>
            </w:r>
          </w:p>
        </w:tc>
      </w:tr>
      <w:tr w14:paraId="0E21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364" w:type="pct"/>
            <w:vMerge w:val="continue"/>
            <w:tcBorders>
              <w:left w:val="single" w:color="auto" w:sz="4" w:space="0"/>
              <w:right w:val="single" w:color="auto" w:sz="4" w:space="0"/>
            </w:tcBorders>
            <w:tcMar>
              <w:top w:w="0" w:type="dxa"/>
              <w:left w:w="108" w:type="dxa"/>
              <w:bottom w:w="0" w:type="dxa"/>
              <w:right w:w="108" w:type="dxa"/>
            </w:tcMar>
            <w:vAlign w:val="center"/>
          </w:tcPr>
          <w:p w14:paraId="4CEDB1A2">
            <w:pPr>
              <w:spacing w:line="300" w:lineRule="exact"/>
              <w:jc w:val="center"/>
              <w:rPr>
                <w:rFonts w:hint="eastAsia" w:ascii="宋体" w:hAnsi="宋体" w:eastAsia="宋体" w:cs="宋体"/>
                <w:color w:val="auto"/>
                <w:sz w:val="24"/>
                <w:szCs w:val="24"/>
                <w:highlight w:val="none"/>
              </w:rPr>
            </w:pPr>
          </w:p>
        </w:tc>
        <w:tc>
          <w:tcPr>
            <w:tcW w:w="561" w:type="pct"/>
            <w:vMerge w:val="continue"/>
            <w:tcBorders>
              <w:left w:val="single" w:color="auto" w:sz="4" w:space="0"/>
              <w:right w:val="single" w:color="auto" w:sz="4" w:space="0"/>
            </w:tcBorders>
            <w:tcMar>
              <w:top w:w="0" w:type="dxa"/>
              <w:left w:w="108" w:type="dxa"/>
              <w:bottom w:w="0" w:type="dxa"/>
              <w:right w:w="108" w:type="dxa"/>
            </w:tcMar>
            <w:vAlign w:val="center"/>
          </w:tcPr>
          <w:p w14:paraId="5AC16355">
            <w:pPr>
              <w:spacing w:line="300" w:lineRule="exact"/>
              <w:jc w:val="center"/>
              <w:rPr>
                <w:rFonts w:hint="eastAsia" w:ascii="宋体" w:hAnsi="宋体" w:eastAsia="宋体" w:cs="宋体"/>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6E316D">
            <w:pPr>
              <w:spacing w:line="3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B6D6E4">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31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D3D80D">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在满足招标文件商务需求要求的原厂整机质保期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基础上，每增加一年得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074715F8">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（评分依据：投标文件中附投标人承诺函）</w:t>
            </w:r>
          </w:p>
        </w:tc>
      </w:tr>
      <w:tr w14:paraId="6303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364" w:type="pct"/>
            <w:vMerge w:val="continue"/>
            <w:tcBorders>
              <w:left w:val="single" w:color="auto" w:sz="4" w:space="0"/>
              <w:right w:val="single" w:color="auto" w:sz="4" w:space="0"/>
            </w:tcBorders>
            <w:vAlign w:val="center"/>
          </w:tcPr>
          <w:p w14:paraId="233DD9C8">
            <w:pPr>
              <w:rPr>
                <w:rFonts w:hint="eastAsia" w:ascii="宋体" w:hAnsi="宋体" w:eastAsia="宋体" w:cs="宋体"/>
                <w:color w:val="auto"/>
                <w:sz w:val="24"/>
                <w:szCs w:val="24"/>
                <w:highlight w:val="none"/>
              </w:rPr>
            </w:pPr>
          </w:p>
        </w:tc>
        <w:tc>
          <w:tcPr>
            <w:tcW w:w="561" w:type="pct"/>
            <w:vMerge w:val="continue"/>
            <w:tcBorders>
              <w:left w:val="single" w:color="auto" w:sz="4" w:space="0"/>
              <w:right w:val="single" w:color="auto" w:sz="4" w:space="0"/>
            </w:tcBorders>
            <w:vAlign w:val="center"/>
          </w:tcPr>
          <w:p w14:paraId="623885C1">
            <w:pPr>
              <w:rPr>
                <w:rFonts w:hint="eastAsia" w:ascii="宋体" w:hAnsi="宋体" w:eastAsia="宋体" w:cs="宋体"/>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858579">
            <w:pPr>
              <w:spacing w:line="3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F01566">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022BC8DA">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31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B77581">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需为本项目</w:t>
            </w:r>
            <w:r>
              <w:rPr>
                <w:rFonts w:hint="eastAsia" w:ascii="宋体" w:hAnsi="宋体" w:cs="宋体"/>
                <w:color w:val="auto"/>
                <w:sz w:val="24"/>
                <w:szCs w:val="24"/>
                <w:highlight w:val="none"/>
                <w:lang w:eastAsia="zh-CN"/>
              </w:rPr>
              <w:t>核心产品</w:t>
            </w:r>
            <w:r>
              <w:rPr>
                <w:rFonts w:hint="eastAsia" w:ascii="宋体" w:hAnsi="宋体" w:eastAsia="宋体" w:cs="宋体"/>
                <w:color w:val="auto"/>
                <w:sz w:val="24"/>
                <w:szCs w:val="24"/>
                <w:highlight w:val="none"/>
              </w:rPr>
              <w:t>提供5名维修工程师：</w:t>
            </w:r>
          </w:p>
          <w:p w14:paraId="4A567614">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5名维修工程师中每提供一名第三方维修工程师得1分；每提供一名原厂维修工程师得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1B9C2A4D">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（评分依据：投标文件中附人员名单、联系方式及三方专业培训机构授予维修工程师资质证书复印件（原厂家授予维修工程师资质证书复印件）和工程系列的学历证明复印件）。</w:t>
            </w:r>
          </w:p>
        </w:tc>
      </w:tr>
      <w:tr w14:paraId="4ED7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364" w:type="pct"/>
            <w:vMerge w:val="continue"/>
            <w:tcBorders>
              <w:left w:val="single" w:color="auto" w:sz="4" w:space="0"/>
              <w:bottom w:val="single" w:color="auto" w:sz="4" w:space="0"/>
              <w:right w:val="single" w:color="auto" w:sz="4" w:space="0"/>
            </w:tcBorders>
            <w:vAlign w:val="center"/>
          </w:tcPr>
          <w:p w14:paraId="384B1BCB">
            <w:pPr>
              <w:rPr>
                <w:rFonts w:hint="eastAsia" w:ascii="宋体" w:hAnsi="宋体" w:eastAsia="宋体" w:cs="宋体"/>
                <w:color w:val="auto"/>
                <w:sz w:val="24"/>
                <w:szCs w:val="24"/>
                <w:highlight w:val="none"/>
              </w:rPr>
            </w:pPr>
          </w:p>
        </w:tc>
        <w:tc>
          <w:tcPr>
            <w:tcW w:w="561" w:type="pct"/>
            <w:vMerge w:val="continue"/>
            <w:tcBorders>
              <w:left w:val="single" w:color="auto" w:sz="4" w:space="0"/>
              <w:bottom w:val="single" w:color="auto" w:sz="4" w:space="0"/>
              <w:right w:val="single" w:color="auto" w:sz="4" w:space="0"/>
            </w:tcBorders>
            <w:vAlign w:val="center"/>
          </w:tcPr>
          <w:p w14:paraId="74BFEFA5">
            <w:pPr>
              <w:rPr>
                <w:rFonts w:hint="eastAsia" w:ascii="宋体" w:hAnsi="宋体" w:eastAsia="宋体" w:cs="宋体"/>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1D4E891">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48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8D4AF6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5DDF7675">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承诺</w:t>
            </w:r>
          </w:p>
        </w:tc>
        <w:tc>
          <w:tcPr>
            <w:tcW w:w="315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2D820D7">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接到采购人的故障通知后，能够在12小时以内完成维修得5分，24小时内完成维修得3分，48小时以内完成维修得1分，48小时以外</w:t>
            </w:r>
            <w:r>
              <w:rPr>
                <w:rFonts w:hint="eastAsia" w:ascii="宋体" w:hAnsi="宋体" w:eastAsia="宋体" w:cs="宋体"/>
                <w:bCs/>
                <w:color w:val="auto"/>
                <w:sz w:val="24"/>
                <w:szCs w:val="24"/>
                <w:highlight w:val="none"/>
              </w:rPr>
              <w:t>完成维修或者此项未提供均不得分</w:t>
            </w:r>
            <w:r>
              <w:rPr>
                <w:rFonts w:hint="eastAsia" w:ascii="宋体" w:hAnsi="宋体" w:eastAsia="宋体" w:cs="宋体"/>
                <w:color w:val="auto"/>
                <w:sz w:val="24"/>
                <w:szCs w:val="24"/>
                <w:highlight w:val="none"/>
              </w:rPr>
              <w:t>。</w:t>
            </w:r>
          </w:p>
          <w:p w14:paraId="798DB65F">
            <w:pPr>
              <w:spacing w:line="30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（评分依据：投标文件中附投标人承诺函）</w:t>
            </w:r>
          </w:p>
        </w:tc>
      </w:tr>
      <w:tr w14:paraId="3F5E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364"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BA04C7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1"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66309A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17CD8803">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12FD6C24">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rPr>
              <w:t>分)</w:t>
            </w:r>
          </w:p>
        </w:tc>
        <w:tc>
          <w:tcPr>
            <w:tcW w:w="436"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005593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分</w:t>
            </w:r>
          </w:p>
        </w:tc>
        <w:tc>
          <w:tcPr>
            <w:tcW w:w="485"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57DAE52">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0A3C6FA2">
            <w:pPr>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31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247488">
            <w:p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1.实时采集、实时治疗系统；实时采集时间≤5s；</w:t>
            </w:r>
          </w:p>
          <w:p w14:paraId="5541F7D5">
            <w:p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实时采集时间≤1s得7分；</w:t>
            </w:r>
          </w:p>
          <w:p w14:paraId="2E41CBFB">
            <w:pPr>
              <w:spacing w:line="300" w:lineRule="exac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1＜实时采集时间≤3s得4分；</w:t>
            </w:r>
          </w:p>
          <w:p w14:paraId="06D984FD">
            <w:pPr>
              <w:spacing w:line="300" w:lineRule="exact"/>
              <w:textAlignment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3＜实时采集时间≤5s得1分</w:t>
            </w:r>
            <w:r>
              <w:rPr>
                <w:rFonts w:hint="eastAsia" w:ascii="宋体" w:hAnsi="宋体" w:cs="宋体"/>
                <w:color w:val="auto"/>
                <w:sz w:val="24"/>
                <w:szCs w:val="24"/>
                <w:highlight w:val="none"/>
                <w:lang w:val="en-US" w:eastAsia="zh-CN"/>
              </w:rPr>
              <w:t>。</w:t>
            </w:r>
          </w:p>
          <w:p w14:paraId="7BA7A580">
            <w:pPr>
              <w:spacing w:line="300" w:lineRule="exact"/>
              <w:textAlignment w:val="center"/>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（评分依据：</w:t>
            </w:r>
            <w:r>
              <w:rPr>
                <w:rFonts w:hint="default" w:ascii="宋体" w:hAnsi="宋体" w:cs="宋体"/>
                <w:color w:val="auto"/>
                <w:sz w:val="24"/>
                <w:szCs w:val="24"/>
                <w:highlight w:val="none"/>
                <w:lang w:val="en-US" w:eastAsia="zh-CN"/>
              </w:rPr>
              <w:t>投标人需在采购需求偏离表的备注栏标明佐证材料的对应页码，佐证材料为所投产品的技术白皮书，否则不得分。</w:t>
            </w:r>
            <w:r>
              <w:rPr>
                <w:rFonts w:hint="eastAsia" w:ascii="宋体" w:hAnsi="宋体" w:eastAsia="宋体" w:cs="宋体"/>
                <w:color w:val="auto"/>
                <w:sz w:val="24"/>
                <w:szCs w:val="24"/>
                <w:highlight w:val="none"/>
              </w:rPr>
              <w:t>）</w:t>
            </w:r>
          </w:p>
        </w:tc>
      </w:tr>
      <w:tr w14:paraId="12C1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364" w:type="pct"/>
            <w:vMerge w:val="continue"/>
            <w:tcBorders>
              <w:left w:val="single" w:color="auto" w:sz="4" w:space="0"/>
              <w:right w:val="single" w:color="auto" w:sz="4" w:space="0"/>
            </w:tcBorders>
            <w:tcMar>
              <w:top w:w="0" w:type="dxa"/>
              <w:left w:w="108" w:type="dxa"/>
              <w:bottom w:w="0" w:type="dxa"/>
              <w:right w:w="108" w:type="dxa"/>
            </w:tcMar>
            <w:vAlign w:val="center"/>
          </w:tcPr>
          <w:p w14:paraId="765D6569">
            <w:pPr>
              <w:spacing w:line="300" w:lineRule="exact"/>
              <w:jc w:val="center"/>
              <w:rPr>
                <w:rFonts w:hint="eastAsia" w:ascii="宋体" w:hAnsi="宋体" w:eastAsia="宋体" w:cs="宋体"/>
                <w:color w:val="auto"/>
                <w:sz w:val="24"/>
                <w:szCs w:val="24"/>
                <w:highlight w:val="none"/>
              </w:rPr>
            </w:pPr>
          </w:p>
        </w:tc>
        <w:tc>
          <w:tcPr>
            <w:tcW w:w="561" w:type="pct"/>
            <w:vMerge w:val="continue"/>
            <w:tcBorders>
              <w:left w:val="single" w:color="auto" w:sz="4" w:space="0"/>
              <w:right w:val="single" w:color="auto" w:sz="4" w:space="0"/>
            </w:tcBorders>
            <w:tcMar>
              <w:top w:w="0" w:type="dxa"/>
              <w:left w:w="108" w:type="dxa"/>
              <w:bottom w:w="0" w:type="dxa"/>
              <w:right w:w="108" w:type="dxa"/>
            </w:tcMar>
            <w:vAlign w:val="center"/>
          </w:tcPr>
          <w:p w14:paraId="06347F99">
            <w:pPr>
              <w:spacing w:line="300" w:lineRule="exact"/>
              <w:jc w:val="center"/>
              <w:rPr>
                <w:rFonts w:hint="eastAsia" w:ascii="宋体" w:hAnsi="宋体" w:eastAsia="宋体" w:cs="宋体"/>
                <w:color w:val="auto"/>
                <w:sz w:val="24"/>
                <w:szCs w:val="24"/>
                <w:highlight w:val="none"/>
              </w:rPr>
            </w:pPr>
          </w:p>
        </w:tc>
        <w:tc>
          <w:tcPr>
            <w:tcW w:w="436" w:type="pct"/>
            <w:vMerge w:val="continue"/>
            <w:tcBorders>
              <w:left w:val="single" w:color="auto" w:sz="4" w:space="0"/>
              <w:right w:val="single" w:color="auto" w:sz="4" w:space="0"/>
            </w:tcBorders>
            <w:tcMar>
              <w:top w:w="0" w:type="dxa"/>
              <w:left w:w="108" w:type="dxa"/>
              <w:bottom w:w="0" w:type="dxa"/>
              <w:right w:w="108" w:type="dxa"/>
            </w:tcMar>
            <w:vAlign w:val="center"/>
          </w:tcPr>
          <w:p w14:paraId="63D0910B">
            <w:pPr>
              <w:spacing w:line="300" w:lineRule="exact"/>
              <w:jc w:val="center"/>
              <w:rPr>
                <w:rFonts w:hint="eastAsia" w:ascii="宋体" w:hAnsi="宋体" w:eastAsia="宋体" w:cs="宋体"/>
                <w:color w:val="auto"/>
                <w:sz w:val="24"/>
                <w:szCs w:val="24"/>
                <w:highlight w:val="none"/>
                <w:lang w:val="en-US" w:eastAsia="zh-CN"/>
              </w:rPr>
            </w:pPr>
          </w:p>
        </w:tc>
        <w:tc>
          <w:tcPr>
            <w:tcW w:w="485" w:type="pct"/>
            <w:vMerge w:val="continue"/>
            <w:tcBorders>
              <w:left w:val="single" w:color="auto" w:sz="4" w:space="0"/>
              <w:right w:val="single" w:color="auto" w:sz="4" w:space="0"/>
            </w:tcBorders>
            <w:tcMar>
              <w:top w:w="0" w:type="dxa"/>
              <w:left w:w="108" w:type="dxa"/>
              <w:bottom w:w="0" w:type="dxa"/>
              <w:right w:w="108" w:type="dxa"/>
            </w:tcMar>
            <w:vAlign w:val="center"/>
          </w:tcPr>
          <w:p w14:paraId="6D0073F9">
            <w:pPr>
              <w:spacing w:line="300" w:lineRule="exact"/>
              <w:jc w:val="center"/>
              <w:textAlignment w:val="center"/>
              <w:rPr>
                <w:rFonts w:hint="eastAsia" w:ascii="宋体" w:hAnsi="宋体" w:eastAsia="宋体" w:cs="宋体"/>
                <w:color w:val="auto"/>
                <w:sz w:val="24"/>
                <w:szCs w:val="24"/>
                <w:highlight w:val="none"/>
              </w:rPr>
            </w:pPr>
          </w:p>
        </w:tc>
        <w:tc>
          <w:tcPr>
            <w:tcW w:w="31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CF62AA">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治疗系统与B超实时连接显示、实时采集、实时计划、实时验证；实时连接时间≤5s；</w:t>
            </w:r>
          </w:p>
          <w:p w14:paraId="0556909D">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实时采集时间≤1s得7分；</w:t>
            </w:r>
          </w:p>
          <w:p w14:paraId="33320205">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1＜实时采集时间≤3s得4分；</w:t>
            </w:r>
          </w:p>
          <w:p w14:paraId="2C2D5DE9">
            <w:pPr>
              <w:spacing w:line="30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3＜实时采集时间≤5s得1分</w:t>
            </w:r>
            <w:r>
              <w:rPr>
                <w:rFonts w:hint="eastAsia" w:ascii="宋体" w:hAnsi="宋体" w:cs="宋体"/>
                <w:color w:val="auto"/>
                <w:sz w:val="24"/>
                <w:szCs w:val="24"/>
                <w:highlight w:val="none"/>
                <w:lang w:eastAsia="zh-CN"/>
              </w:rPr>
              <w:t>。</w:t>
            </w:r>
          </w:p>
          <w:p w14:paraId="6A00C54A">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（评分依据：投标人需在采购需求偏离表的备注栏标明佐证材料的对应页码，佐证材料为所投产品的技术白皮书，否则不得分。）</w:t>
            </w:r>
          </w:p>
        </w:tc>
      </w:tr>
      <w:tr w14:paraId="54EC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364" w:type="pct"/>
            <w:vMerge w:val="continue"/>
            <w:tcBorders>
              <w:left w:val="single" w:color="auto" w:sz="4" w:space="0"/>
              <w:right w:val="single" w:color="auto" w:sz="4" w:space="0"/>
            </w:tcBorders>
            <w:tcMar>
              <w:top w:w="0" w:type="dxa"/>
              <w:left w:w="108" w:type="dxa"/>
              <w:bottom w:w="0" w:type="dxa"/>
              <w:right w:w="108" w:type="dxa"/>
            </w:tcMar>
            <w:vAlign w:val="center"/>
          </w:tcPr>
          <w:p w14:paraId="58EDCFC0">
            <w:pPr>
              <w:spacing w:line="300" w:lineRule="exact"/>
              <w:jc w:val="center"/>
              <w:rPr>
                <w:rFonts w:hint="eastAsia" w:ascii="宋体" w:hAnsi="宋体" w:eastAsia="宋体" w:cs="宋体"/>
                <w:color w:val="auto"/>
                <w:sz w:val="24"/>
                <w:szCs w:val="24"/>
                <w:highlight w:val="none"/>
              </w:rPr>
            </w:pPr>
          </w:p>
        </w:tc>
        <w:tc>
          <w:tcPr>
            <w:tcW w:w="561" w:type="pct"/>
            <w:vMerge w:val="continue"/>
            <w:tcBorders>
              <w:left w:val="single" w:color="auto" w:sz="4" w:space="0"/>
              <w:right w:val="single" w:color="auto" w:sz="4" w:space="0"/>
            </w:tcBorders>
            <w:tcMar>
              <w:top w:w="0" w:type="dxa"/>
              <w:left w:w="108" w:type="dxa"/>
              <w:bottom w:w="0" w:type="dxa"/>
              <w:right w:w="108" w:type="dxa"/>
            </w:tcMar>
            <w:vAlign w:val="center"/>
          </w:tcPr>
          <w:p w14:paraId="0803E355">
            <w:pPr>
              <w:spacing w:line="300" w:lineRule="exact"/>
              <w:jc w:val="center"/>
              <w:rPr>
                <w:rFonts w:hint="eastAsia" w:ascii="宋体" w:hAnsi="宋体" w:eastAsia="宋体" w:cs="宋体"/>
                <w:color w:val="auto"/>
                <w:sz w:val="24"/>
                <w:szCs w:val="24"/>
                <w:highlight w:val="none"/>
              </w:rPr>
            </w:pPr>
          </w:p>
        </w:tc>
        <w:tc>
          <w:tcPr>
            <w:tcW w:w="436" w:type="pct"/>
            <w:vMerge w:val="continue"/>
            <w:tcBorders>
              <w:left w:val="single" w:color="auto" w:sz="4" w:space="0"/>
              <w:right w:val="single" w:color="auto" w:sz="4" w:space="0"/>
            </w:tcBorders>
            <w:tcMar>
              <w:top w:w="0" w:type="dxa"/>
              <w:left w:w="108" w:type="dxa"/>
              <w:bottom w:w="0" w:type="dxa"/>
              <w:right w:w="108" w:type="dxa"/>
            </w:tcMar>
            <w:vAlign w:val="center"/>
          </w:tcPr>
          <w:p w14:paraId="16E584AA">
            <w:pPr>
              <w:spacing w:line="300" w:lineRule="exact"/>
              <w:jc w:val="center"/>
              <w:rPr>
                <w:rFonts w:hint="eastAsia" w:ascii="宋体" w:hAnsi="宋体" w:eastAsia="宋体" w:cs="宋体"/>
                <w:color w:val="auto"/>
                <w:sz w:val="24"/>
                <w:szCs w:val="24"/>
                <w:highlight w:val="none"/>
                <w:lang w:val="en-US" w:eastAsia="zh-CN"/>
              </w:rPr>
            </w:pPr>
          </w:p>
        </w:tc>
        <w:tc>
          <w:tcPr>
            <w:tcW w:w="485" w:type="pct"/>
            <w:vMerge w:val="continue"/>
            <w:tcBorders>
              <w:left w:val="single" w:color="auto" w:sz="4" w:space="0"/>
              <w:right w:val="single" w:color="auto" w:sz="4" w:space="0"/>
            </w:tcBorders>
            <w:tcMar>
              <w:top w:w="0" w:type="dxa"/>
              <w:left w:w="108" w:type="dxa"/>
              <w:bottom w:w="0" w:type="dxa"/>
              <w:right w:w="108" w:type="dxa"/>
            </w:tcMar>
            <w:vAlign w:val="center"/>
          </w:tcPr>
          <w:p w14:paraId="153ADAE4">
            <w:pPr>
              <w:spacing w:line="300" w:lineRule="exact"/>
              <w:jc w:val="center"/>
              <w:textAlignment w:val="center"/>
              <w:rPr>
                <w:rFonts w:hint="eastAsia" w:ascii="宋体" w:hAnsi="宋体" w:eastAsia="宋体" w:cs="宋体"/>
                <w:color w:val="auto"/>
                <w:sz w:val="24"/>
                <w:szCs w:val="24"/>
                <w:highlight w:val="none"/>
              </w:rPr>
            </w:pPr>
          </w:p>
        </w:tc>
        <w:tc>
          <w:tcPr>
            <w:tcW w:w="31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768BCC">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长度（尺寸）重建偏差（精度）：≤3mm；</w:t>
            </w:r>
          </w:p>
          <w:p w14:paraId="78766F90">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长度（尺寸）重建偏差（精度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≤1mm得7分；</w:t>
            </w:r>
          </w:p>
          <w:p w14:paraId="73DAD54E">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1mm＜长度（尺寸）重建偏差（精度）≤2mm得4分；</w:t>
            </w:r>
          </w:p>
          <w:p w14:paraId="5433114A">
            <w:pPr>
              <w:spacing w:line="30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2mm＜长度（尺寸）重建偏差（精度）≤3mm得1分</w:t>
            </w:r>
            <w:r>
              <w:rPr>
                <w:rFonts w:hint="eastAsia" w:ascii="宋体" w:hAnsi="宋体" w:cs="宋体"/>
                <w:color w:val="auto"/>
                <w:sz w:val="24"/>
                <w:szCs w:val="24"/>
                <w:highlight w:val="none"/>
                <w:lang w:eastAsia="zh-CN"/>
              </w:rPr>
              <w:t>。</w:t>
            </w:r>
          </w:p>
          <w:p w14:paraId="3BA360B7">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（评分依据：投标人需在采购需求偏离表的备注栏标明佐证材料的对应页码，佐证材料为所投产品的技术白皮书，否则不得分。）</w:t>
            </w:r>
          </w:p>
        </w:tc>
      </w:tr>
      <w:tr w14:paraId="6EEF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364" w:type="pct"/>
            <w:vMerge w:val="continue"/>
            <w:tcBorders>
              <w:left w:val="single" w:color="auto" w:sz="4" w:space="0"/>
              <w:right w:val="single" w:color="auto" w:sz="4" w:space="0"/>
            </w:tcBorders>
            <w:tcMar>
              <w:top w:w="0" w:type="dxa"/>
              <w:left w:w="108" w:type="dxa"/>
              <w:bottom w:w="0" w:type="dxa"/>
              <w:right w:w="108" w:type="dxa"/>
            </w:tcMar>
            <w:vAlign w:val="center"/>
          </w:tcPr>
          <w:p w14:paraId="115D5AAB">
            <w:pPr>
              <w:spacing w:line="300" w:lineRule="exact"/>
              <w:jc w:val="center"/>
              <w:rPr>
                <w:rFonts w:hint="eastAsia" w:ascii="宋体" w:hAnsi="宋体" w:eastAsia="宋体" w:cs="宋体"/>
                <w:color w:val="auto"/>
                <w:sz w:val="24"/>
                <w:szCs w:val="24"/>
                <w:highlight w:val="none"/>
              </w:rPr>
            </w:pPr>
          </w:p>
        </w:tc>
        <w:tc>
          <w:tcPr>
            <w:tcW w:w="561" w:type="pct"/>
            <w:vMerge w:val="continue"/>
            <w:tcBorders>
              <w:left w:val="single" w:color="auto" w:sz="4" w:space="0"/>
              <w:right w:val="single" w:color="auto" w:sz="4" w:space="0"/>
            </w:tcBorders>
            <w:tcMar>
              <w:top w:w="0" w:type="dxa"/>
              <w:left w:w="108" w:type="dxa"/>
              <w:bottom w:w="0" w:type="dxa"/>
              <w:right w:w="108" w:type="dxa"/>
            </w:tcMar>
            <w:vAlign w:val="center"/>
          </w:tcPr>
          <w:p w14:paraId="6197F1F3">
            <w:pPr>
              <w:spacing w:line="300" w:lineRule="exact"/>
              <w:jc w:val="center"/>
              <w:rPr>
                <w:rFonts w:hint="eastAsia" w:ascii="宋体" w:hAnsi="宋体" w:eastAsia="宋体" w:cs="宋体"/>
                <w:color w:val="auto"/>
                <w:sz w:val="24"/>
                <w:szCs w:val="24"/>
                <w:highlight w:val="none"/>
              </w:rPr>
            </w:pPr>
          </w:p>
        </w:tc>
        <w:tc>
          <w:tcPr>
            <w:tcW w:w="436" w:type="pct"/>
            <w:vMerge w:val="continue"/>
            <w:tcBorders>
              <w:left w:val="single" w:color="auto" w:sz="4" w:space="0"/>
              <w:right w:val="single" w:color="auto" w:sz="4" w:space="0"/>
            </w:tcBorders>
            <w:tcMar>
              <w:top w:w="0" w:type="dxa"/>
              <w:left w:w="108" w:type="dxa"/>
              <w:bottom w:w="0" w:type="dxa"/>
              <w:right w:w="108" w:type="dxa"/>
            </w:tcMar>
            <w:vAlign w:val="center"/>
          </w:tcPr>
          <w:p w14:paraId="0DF29990">
            <w:pPr>
              <w:spacing w:line="300" w:lineRule="exact"/>
              <w:jc w:val="center"/>
              <w:rPr>
                <w:rFonts w:hint="eastAsia" w:ascii="宋体" w:hAnsi="宋体" w:eastAsia="宋体" w:cs="宋体"/>
                <w:color w:val="auto"/>
                <w:sz w:val="24"/>
                <w:szCs w:val="24"/>
                <w:highlight w:val="none"/>
                <w:lang w:val="en-US" w:eastAsia="zh-CN"/>
              </w:rPr>
            </w:pPr>
          </w:p>
        </w:tc>
        <w:tc>
          <w:tcPr>
            <w:tcW w:w="485" w:type="pct"/>
            <w:vMerge w:val="continue"/>
            <w:tcBorders>
              <w:left w:val="single" w:color="auto" w:sz="4" w:space="0"/>
              <w:right w:val="single" w:color="auto" w:sz="4" w:space="0"/>
            </w:tcBorders>
            <w:tcMar>
              <w:top w:w="0" w:type="dxa"/>
              <w:left w:w="108" w:type="dxa"/>
              <w:bottom w:w="0" w:type="dxa"/>
              <w:right w:w="108" w:type="dxa"/>
            </w:tcMar>
            <w:vAlign w:val="center"/>
          </w:tcPr>
          <w:p w14:paraId="2587FC68">
            <w:pPr>
              <w:spacing w:line="300" w:lineRule="exact"/>
              <w:jc w:val="center"/>
              <w:textAlignment w:val="center"/>
              <w:rPr>
                <w:rFonts w:hint="eastAsia" w:ascii="宋体" w:hAnsi="宋体" w:eastAsia="宋体" w:cs="宋体"/>
                <w:color w:val="auto"/>
                <w:sz w:val="24"/>
                <w:szCs w:val="24"/>
                <w:highlight w:val="none"/>
              </w:rPr>
            </w:pPr>
          </w:p>
        </w:tc>
        <w:tc>
          <w:tcPr>
            <w:tcW w:w="31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C0C59C">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计量准确率偏差（精度）：≤±3%；</w:t>
            </w:r>
          </w:p>
          <w:p w14:paraId="3F07901F">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计量准确率偏差（精度）≤±1%得7分；</w:t>
            </w:r>
          </w:p>
          <w:p w14:paraId="377A37CB">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±1%＜计量准确率偏差（精度）≤±2%得4分；</w:t>
            </w:r>
          </w:p>
          <w:p w14:paraId="7F6A376E">
            <w:pPr>
              <w:spacing w:line="30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±2%＜计量准确率偏差（精度）≤±3%得1分</w:t>
            </w:r>
            <w:r>
              <w:rPr>
                <w:rFonts w:hint="eastAsia" w:ascii="宋体" w:hAnsi="宋体" w:cs="宋体"/>
                <w:color w:val="auto"/>
                <w:sz w:val="24"/>
                <w:szCs w:val="24"/>
                <w:highlight w:val="none"/>
                <w:lang w:eastAsia="zh-CN"/>
              </w:rPr>
              <w:t>。</w:t>
            </w:r>
          </w:p>
          <w:p w14:paraId="1E7D1363">
            <w:pPr>
              <w:spacing w:line="3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（评分依据：投标人需在采购需求偏离表的备注栏标明佐证材料的对应页码，佐证材料为所投产品的技术白皮书，否则不得分。）</w:t>
            </w:r>
          </w:p>
        </w:tc>
      </w:tr>
      <w:tr w14:paraId="21A7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6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62146B0">
            <w:pPr>
              <w:spacing w:line="300" w:lineRule="exact"/>
              <w:jc w:val="center"/>
              <w:rPr>
                <w:rFonts w:hint="eastAsia" w:ascii="宋体" w:hAnsi="宋体" w:eastAsia="宋体" w:cs="宋体"/>
                <w:color w:val="auto"/>
                <w:sz w:val="24"/>
                <w:szCs w:val="24"/>
                <w:highlight w:val="none"/>
              </w:rPr>
            </w:pPr>
          </w:p>
        </w:tc>
        <w:tc>
          <w:tcPr>
            <w:tcW w:w="56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56376A9">
            <w:pPr>
              <w:spacing w:line="300" w:lineRule="exact"/>
              <w:jc w:val="center"/>
              <w:rPr>
                <w:rFonts w:hint="eastAsia" w:ascii="宋体" w:hAnsi="宋体" w:eastAsia="宋体" w:cs="宋体"/>
                <w:color w:val="auto"/>
                <w:sz w:val="24"/>
                <w:szCs w:val="24"/>
                <w:highlight w:val="none"/>
              </w:rPr>
            </w:pPr>
          </w:p>
        </w:tc>
        <w:tc>
          <w:tcPr>
            <w:tcW w:w="436"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E0E34D7">
            <w:pPr>
              <w:spacing w:line="300" w:lineRule="exact"/>
              <w:jc w:val="center"/>
              <w:rPr>
                <w:rFonts w:hint="eastAsia" w:ascii="宋体" w:hAnsi="宋体" w:eastAsia="宋体" w:cs="宋体"/>
                <w:color w:val="auto"/>
                <w:sz w:val="24"/>
                <w:szCs w:val="24"/>
                <w:highlight w:val="none"/>
                <w:lang w:val="en-US" w:eastAsia="zh-CN"/>
              </w:rPr>
            </w:pPr>
          </w:p>
        </w:tc>
        <w:tc>
          <w:tcPr>
            <w:tcW w:w="485"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E7D8C59">
            <w:pPr>
              <w:spacing w:line="300" w:lineRule="exact"/>
              <w:jc w:val="center"/>
              <w:textAlignment w:val="center"/>
              <w:rPr>
                <w:rFonts w:hint="eastAsia" w:ascii="宋体" w:hAnsi="宋体" w:eastAsia="宋体" w:cs="宋体"/>
                <w:color w:val="auto"/>
                <w:sz w:val="24"/>
                <w:szCs w:val="24"/>
                <w:highlight w:val="none"/>
              </w:rPr>
            </w:pPr>
          </w:p>
        </w:tc>
        <w:tc>
          <w:tcPr>
            <w:tcW w:w="31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B0EA6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5.体积重建精度偏差（精度）：≤±3%；</w:t>
            </w:r>
          </w:p>
          <w:p w14:paraId="5AAED48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体积重建精度偏差（精度）≤±1%得7分；</w:t>
            </w:r>
          </w:p>
          <w:p w14:paraId="4C09967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±1%＜体积重建精度偏差（精度）≤±2%得4分；</w:t>
            </w:r>
          </w:p>
          <w:p w14:paraId="5317774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±2%＜体积重建精度偏差（精度）≤±3%得1分。</w:t>
            </w:r>
          </w:p>
          <w:p w14:paraId="0A53D66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（评分依据：投标人需在采购需求偏离表的备注栏标明佐证材料的对应页码，佐证材料为所投产品的技术白皮书，否则不得分。）</w:t>
            </w:r>
          </w:p>
        </w:tc>
      </w:tr>
      <w:tr w14:paraId="3E08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36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9B61D48">
            <w:pPr>
              <w:spacing w:line="300" w:lineRule="exact"/>
              <w:jc w:val="center"/>
              <w:rPr>
                <w:rFonts w:hint="eastAsia" w:ascii="宋体" w:hAnsi="宋体" w:eastAsia="宋体" w:cs="宋体"/>
                <w:color w:val="auto"/>
                <w:sz w:val="24"/>
                <w:szCs w:val="24"/>
                <w:highlight w:val="none"/>
              </w:rPr>
            </w:pPr>
          </w:p>
        </w:tc>
        <w:tc>
          <w:tcPr>
            <w:tcW w:w="56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2CB2366">
            <w:pPr>
              <w:spacing w:line="300" w:lineRule="exact"/>
              <w:jc w:val="center"/>
              <w:rPr>
                <w:rFonts w:hint="eastAsia" w:ascii="宋体" w:hAnsi="宋体" w:eastAsia="宋体" w:cs="宋体"/>
                <w:color w:val="auto"/>
                <w:sz w:val="24"/>
                <w:szCs w:val="24"/>
                <w:highlight w:val="none"/>
              </w:rPr>
            </w:pPr>
          </w:p>
        </w:tc>
        <w:tc>
          <w:tcPr>
            <w:tcW w:w="436"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74CFBF6">
            <w:pPr>
              <w:spacing w:line="300" w:lineRule="exact"/>
              <w:jc w:val="center"/>
              <w:rPr>
                <w:rFonts w:hint="eastAsia" w:ascii="宋体" w:hAnsi="宋体" w:eastAsia="宋体" w:cs="宋体"/>
                <w:color w:val="auto"/>
                <w:sz w:val="24"/>
                <w:szCs w:val="24"/>
                <w:highlight w:val="none"/>
                <w:lang w:val="en-US" w:eastAsia="zh-CN"/>
              </w:rPr>
            </w:pPr>
          </w:p>
        </w:tc>
        <w:tc>
          <w:tcPr>
            <w:tcW w:w="485"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90F529B">
            <w:pPr>
              <w:spacing w:line="300" w:lineRule="exact"/>
              <w:jc w:val="center"/>
              <w:textAlignment w:val="center"/>
              <w:rPr>
                <w:rFonts w:hint="eastAsia" w:ascii="宋体" w:hAnsi="宋体" w:eastAsia="宋体" w:cs="宋体"/>
                <w:color w:val="auto"/>
                <w:sz w:val="24"/>
                <w:szCs w:val="24"/>
                <w:highlight w:val="none"/>
              </w:rPr>
            </w:pPr>
          </w:p>
        </w:tc>
        <w:tc>
          <w:tcPr>
            <w:tcW w:w="31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BC5DD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6.计量场分布准确性偏差（精度）：≤±5%；</w:t>
            </w:r>
          </w:p>
          <w:p w14:paraId="264740E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计量场分布准确性偏差（精度）≤±3%得7分；</w:t>
            </w:r>
          </w:p>
          <w:p w14:paraId="7A7BB68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±3%＜计量场分布准确性偏差（精度）≤±4%得4分；</w:t>
            </w:r>
          </w:p>
          <w:p w14:paraId="6B0C673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±4%＜计量场分布准确性偏差（精度）≤±5%得1分。</w:t>
            </w:r>
          </w:p>
          <w:p w14:paraId="1E936EE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（评分依据：投标人需在采购需求偏离表的备注栏标明佐证材料的对应页码，佐证材料为所投产品的技术白皮书，否则不得分。）</w:t>
            </w:r>
          </w:p>
        </w:tc>
      </w:tr>
    </w:tbl>
    <w:p w14:paraId="2511897C">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DF42E96">
      <w:pP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3.3.3 评标委员会在评审时，价格分扣除：</w:t>
      </w:r>
    </w:p>
    <w:p w14:paraId="16DBF82C">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16C5299A">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（2）对于列入财政部、国家发改委、信息产业部发布的《无线局域网认证产品政府采购清单》的产品，对其投标价格给予 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3AB5B8F9">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（3）投标产品同时列入上述多个清单的，将上述规定的价格扣除比例叠加后计算价格扣除。</w:t>
      </w:r>
    </w:p>
    <w:p w14:paraId="2119EE70">
      <w:pPr>
        <w:spacing w:line="288" w:lineRule="auto"/>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（4）根据《进一步加大政府采购支持中小企业力度的通知》（财库[2022]19号）规定，</w:t>
      </w:r>
      <w:r>
        <w:rPr>
          <w:rFonts w:hint="eastAsia" w:ascii="宋体" w:hAnsi="宋体" w:eastAsia="宋体" w:cs="宋体"/>
          <w:b/>
          <w:bCs/>
          <w:color w:val="auto"/>
          <w:sz w:val="24"/>
          <w:szCs w:val="24"/>
          <w:highlight w:val="none"/>
          <w:lang w:eastAsia="zh-CN"/>
        </w:rPr>
        <w:t>对小型和微型企业的产品给予10%的价格扣除，并按照扣除后的价格参加评审。</w:t>
      </w:r>
    </w:p>
    <w:p w14:paraId="62D57575">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（5）监狱企业视同小型、微型企业，监狱企业投标的提供省级以上监狱管理局、戒毒管理局(含新疆生产建设兵团)出具的属于监狱企业的证明文件，不再提供《中小企业声明函》；</w:t>
      </w:r>
    </w:p>
    <w:p w14:paraId="46BA6264">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（6）残疾人福利性单位视同小型、微型企业，残疾人福利性单位属于小型、微型企业的，不重复享受政策。符合条件的残疾人福利性单位在参加政府采购活动时，应当提供《残疾人福利性单位声明函》。</w:t>
      </w:r>
    </w:p>
    <w:p w14:paraId="41F2F5CA">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2A830FD8">
      <w:pP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3.4 编写评标报告，授权评标委员会确定中标人。</w:t>
      </w:r>
    </w:p>
    <w:p w14:paraId="216A0BD0">
      <w:pP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br w:type="page"/>
      </w:r>
    </w:p>
    <w:p w14:paraId="161FA7B5">
      <w:pPr>
        <w:pStyle w:val="2"/>
        <w:spacing w:after="0" w:line="360" w:lineRule="auto"/>
        <w:jc w:val="center"/>
        <w:rPr>
          <w:rFonts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第四章 合同条款（参考格式）</w:t>
      </w:r>
      <w:bookmarkEnd w:id="21"/>
      <w:bookmarkEnd w:id="22"/>
    </w:p>
    <w:p w14:paraId="6447C965">
      <w:pPr>
        <w:spacing w:line="360" w:lineRule="auto"/>
        <w:ind w:firstLine="482" w:firstLineChars="200"/>
        <w:jc w:val="both"/>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（以下合同模版仅供参考，实际合同以双方签订为准）</w:t>
      </w:r>
    </w:p>
    <w:p w14:paraId="575761B9">
      <w:pPr>
        <w:spacing w:before="243" w:line="225" w:lineRule="auto"/>
        <w:ind w:left="2897"/>
        <w:rPr>
          <w:rFonts w:ascii="宋体" w:hAnsi="宋体" w:eastAsia="宋体" w:cs="宋体"/>
          <w:color w:val="auto"/>
          <w:sz w:val="31"/>
          <w:szCs w:val="31"/>
          <w:highlight w:val="none"/>
          <w:lang w:eastAsia="zh-CN"/>
        </w:rPr>
      </w:pPr>
      <w:r>
        <w:rPr>
          <w:rFonts w:hint="eastAsia" w:ascii="宋体" w:hAnsi="宋体" w:eastAsia="宋体" w:cs="宋体"/>
          <w:color w:val="auto"/>
          <w:spacing w:val="10"/>
          <w:sz w:val="31"/>
          <w:szCs w:val="31"/>
          <w:highlight w:val="none"/>
          <w:lang w:eastAsia="zh-CN"/>
          <w14:textOutline w14:w="5791" w14:cap="sq" w14:cmpd="sng" w14:algn="ctr">
            <w14:solidFill>
              <w14:srgbClr w14:val="000000"/>
            </w14:solidFill>
            <w14:prstDash w14:val="solid"/>
            <w14:bevel/>
          </w14:textOutline>
        </w:rPr>
        <w:t>政府采购合同条款及格式</w:t>
      </w:r>
    </w:p>
    <w:p w14:paraId="007FB97E">
      <w:pPr>
        <w:spacing w:before="232" w:line="466" w:lineRule="exact"/>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3"/>
          <w:position w:val="17"/>
          <w:sz w:val="24"/>
          <w:szCs w:val="24"/>
          <w:highlight w:val="none"/>
          <w:lang w:eastAsia="zh-CN"/>
        </w:rPr>
        <w:t>合同编号：</w:t>
      </w:r>
    </w:p>
    <w:p w14:paraId="1E58949C">
      <w:pPr>
        <w:spacing w:before="1" w:line="222" w:lineRule="auto"/>
        <w:ind w:left="49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签订地点：</w:t>
      </w:r>
    </w:p>
    <w:p w14:paraId="0CB42880">
      <w:pPr>
        <w:spacing w:before="177" w:line="221" w:lineRule="auto"/>
        <w:ind w:left="49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签订日期：</w:t>
      </w:r>
    </w:p>
    <w:p w14:paraId="3D171CA7">
      <w:pPr>
        <w:spacing w:before="182" w:line="219"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采购任务编号：</w:t>
      </w:r>
    </w:p>
    <w:p w14:paraId="14527040">
      <w:pPr>
        <w:spacing w:before="182" w:line="359" w:lineRule="auto"/>
        <w:ind w:left="14" w:right="92" w:firstLine="49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（需方）需求的“</w:t>
      </w:r>
      <w:r>
        <w:rPr>
          <w:rFonts w:hint="eastAsia" w:ascii="宋体" w:hAnsi="宋体" w:eastAsia="宋体" w:cs="宋体"/>
          <w:color w:val="auto"/>
          <w:spacing w:val="-118"/>
          <w:sz w:val="24"/>
          <w:szCs w:val="24"/>
          <w:highlight w:val="none"/>
          <w:lang w:eastAsia="zh-CN"/>
        </w:rPr>
        <w:t xml:space="preserve"> </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86"/>
          <w:sz w:val="24"/>
          <w:szCs w:val="24"/>
          <w:highlight w:val="none"/>
          <w:lang w:eastAsia="zh-CN"/>
        </w:rPr>
        <w:t xml:space="preserve"> </w:t>
      </w:r>
      <w:r>
        <w:rPr>
          <w:rFonts w:hint="eastAsia" w:ascii="宋体" w:hAnsi="宋体" w:eastAsia="宋体" w:cs="宋体"/>
          <w:color w:val="auto"/>
          <w:sz w:val="24"/>
          <w:szCs w:val="24"/>
          <w:highlight w:val="none"/>
          <w:lang w:eastAsia="zh-CN"/>
        </w:rPr>
        <w:t>”（货物名称）经以编号为的招标文件在国内公开招</w:t>
      </w:r>
      <w:r>
        <w:rPr>
          <w:rFonts w:hint="eastAsia" w:ascii="宋体" w:hAnsi="宋体" w:eastAsia="宋体" w:cs="宋体"/>
          <w:color w:val="auto"/>
          <w:spacing w:val="-1"/>
          <w:sz w:val="24"/>
          <w:szCs w:val="24"/>
          <w:highlight w:val="none"/>
          <w:lang w:eastAsia="zh-CN"/>
        </w:rPr>
        <w:t>标，经评标委员会评定（供方</w:t>
      </w: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
          <w:sz w:val="24"/>
          <w:szCs w:val="24"/>
          <w:highlight w:val="none"/>
          <w:lang w:eastAsia="zh-CN"/>
        </w:rPr>
        <w:t>包号）为中标单位。供需双方按照《中华人民共和国合同法》和</w:t>
      </w:r>
      <w:r>
        <w:rPr>
          <w:rFonts w:hint="eastAsia" w:ascii="宋体" w:hAnsi="宋体" w:eastAsia="宋体" w:cs="宋体"/>
          <w:color w:val="auto"/>
          <w:spacing w:val="-2"/>
          <w:sz w:val="24"/>
          <w:szCs w:val="24"/>
          <w:highlight w:val="none"/>
          <w:lang w:eastAsia="zh-CN"/>
        </w:rPr>
        <w:t>有关法律法规，遵循平等、自愿、公平和诚实信用原则，同意按照下面的条款和条件订立本合同，共同信守。</w:t>
      </w:r>
    </w:p>
    <w:p w14:paraId="5DB658CB">
      <w:pPr>
        <w:spacing w:before="181" w:line="219" w:lineRule="auto"/>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一、货物名称、产地、规格、数量</w:t>
      </w:r>
    </w:p>
    <w:p w14:paraId="76CF0761">
      <w:pPr>
        <w:spacing w:line="147" w:lineRule="exact"/>
        <w:rPr>
          <w:rFonts w:ascii="宋体" w:hAnsi="宋体" w:eastAsia="宋体" w:cs="宋体"/>
          <w:color w:val="auto"/>
          <w:highlight w:val="none"/>
          <w:lang w:eastAsia="zh-CN"/>
        </w:rPr>
      </w:pPr>
    </w:p>
    <w:tbl>
      <w:tblPr>
        <w:tblStyle w:val="33"/>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51"/>
        <w:gridCol w:w="2519"/>
        <w:gridCol w:w="899"/>
        <w:gridCol w:w="1259"/>
        <w:gridCol w:w="2008"/>
      </w:tblGrid>
      <w:tr w14:paraId="02359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2" w:type="dxa"/>
            <w:tcBorders>
              <w:top w:val="single" w:color="000000" w:sz="2" w:space="0"/>
              <w:left w:val="single" w:color="000000" w:sz="2" w:space="0"/>
            </w:tcBorders>
          </w:tcPr>
          <w:p w14:paraId="536A8497">
            <w:pPr>
              <w:pStyle w:val="34"/>
              <w:spacing w:before="81" w:line="219" w:lineRule="auto"/>
              <w:ind w:left="309"/>
              <w:rPr>
                <w:color w:val="auto"/>
                <w:highlight w:val="none"/>
              </w:rPr>
            </w:pPr>
            <w:r>
              <w:rPr>
                <w:rFonts w:hint="eastAsia"/>
                <w:color w:val="auto"/>
                <w:spacing w:val="-4"/>
                <w:highlight w:val="none"/>
              </w:rPr>
              <w:t>货物名称</w:t>
            </w:r>
          </w:p>
        </w:tc>
        <w:tc>
          <w:tcPr>
            <w:tcW w:w="1151" w:type="dxa"/>
            <w:tcBorders>
              <w:top w:val="single" w:color="000000" w:sz="2" w:space="0"/>
            </w:tcBorders>
          </w:tcPr>
          <w:p w14:paraId="36B15EF2">
            <w:pPr>
              <w:pStyle w:val="34"/>
              <w:spacing w:before="81" w:line="220" w:lineRule="auto"/>
              <w:ind w:left="457"/>
              <w:rPr>
                <w:color w:val="auto"/>
                <w:highlight w:val="none"/>
              </w:rPr>
            </w:pPr>
            <w:r>
              <w:rPr>
                <w:rFonts w:hint="eastAsia"/>
                <w:color w:val="auto"/>
                <w:spacing w:val="-5"/>
                <w:highlight w:val="none"/>
              </w:rPr>
              <w:t>产地</w:t>
            </w:r>
          </w:p>
        </w:tc>
        <w:tc>
          <w:tcPr>
            <w:tcW w:w="2519" w:type="dxa"/>
            <w:tcBorders>
              <w:top w:val="single" w:color="000000" w:sz="2" w:space="0"/>
            </w:tcBorders>
          </w:tcPr>
          <w:p w14:paraId="08438BE1">
            <w:pPr>
              <w:pStyle w:val="34"/>
              <w:spacing w:before="81" w:line="220" w:lineRule="auto"/>
              <w:ind w:left="1023"/>
              <w:rPr>
                <w:color w:val="auto"/>
                <w:highlight w:val="none"/>
              </w:rPr>
            </w:pPr>
            <w:r>
              <w:rPr>
                <w:rFonts w:hint="eastAsia"/>
                <w:color w:val="auto"/>
                <w:spacing w:val="-6"/>
                <w:highlight w:val="none"/>
              </w:rPr>
              <w:t>规格</w:t>
            </w:r>
          </w:p>
        </w:tc>
        <w:tc>
          <w:tcPr>
            <w:tcW w:w="899" w:type="dxa"/>
            <w:tcBorders>
              <w:top w:val="single" w:color="000000" w:sz="2" w:space="0"/>
            </w:tcBorders>
          </w:tcPr>
          <w:p w14:paraId="23C7A235">
            <w:pPr>
              <w:pStyle w:val="34"/>
              <w:spacing w:before="81" w:line="220" w:lineRule="auto"/>
              <w:ind w:left="216"/>
              <w:rPr>
                <w:color w:val="auto"/>
                <w:highlight w:val="none"/>
              </w:rPr>
            </w:pPr>
            <w:r>
              <w:rPr>
                <w:rFonts w:hint="eastAsia"/>
                <w:color w:val="auto"/>
                <w:spacing w:val="-6"/>
                <w:highlight w:val="none"/>
              </w:rPr>
              <w:t>数量</w:t>
            </w:r>
          </w:p>
        </w:tc>
        <w:tc>
          <w:tcPr>
            <w:tcW w:w="1259" w:type="dxa"/>
            <w:tcBorders>
              <w:top w:val="single" w:color="000000" w:sz="2" w:space="0"/>
            </w:tcBorders>
          </w:tcPr>
          <w:p w14:paraId="2353CE08">
            <w:pPr>
              <w:pStyle w:val="34"/>
              <w:spacing w:before="80" w:line="219" w:lineRule="auto"/>
              <w:ind w:left="157"/>
              <w:rPr>
                <w:color w:val="auto"/>
                <w:highlight w:val="none"/>
              </w:rPr>
            </w:pPr>
            <w:r>
              <w:rPr>
                <w:rFonts w:hint="eastAsia"/>
                <w:color w:val="auto"/>
                <w:spacing w:val="-3"/>
                <w:highlight w:val="none"/>
              </w:rPr>
              <w:t>单价(元)</w:t>
            </w:r>
          </w:p>
        </w:tc>
        <w:tc>
          <w:tcPr>
            <w:tcW w:w="2008" w:type="dxa"/>
            <w:tcBorders>
              <w:top w:val="single" w:color="000000" w:sz="2" w:space="0"/>
              <w:right w:val="single" w:color="000000" w:sz="2" w:space="0"/>
            </w:tcBorders>
          </w:tcPr>
          <w:p w14:paraId="0606DC24">
            <w:pPr>
              <w:pStyle w:val="34"/>
              <w:spacing w:before="81" w:line="220" w:lineRule="auto"/>
              <w:ind w:left="295"/>
              <w:rPr>
                <w:color w:val="auto"/>
                <w:highlight w:val="none"/>
              </w:rPr>
            </w:pPr>
            <w:r>
              <w:rPr>
                <w:rFonts w:hint="eastAsia"/>
                <w:color w:val="auto"/>
                <w:spacing w:val="-3"/>
                <w:highlight w:val="none"/>
              </w:rPr>
              <w:t>小计金额(元)</w:t>
            </w:r>
          </w:p>
        </w:tc>
      </w:tr>
      <w:tr w14:paraId="7683C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52" w:type="dxa"/>
            <w:tcBorders>
              <w:left w:val="single" w:color="000000" w:sz="2" w:space="0"/>
            </w:tcBorders>
          </w:tcPr>
          <w:p w14:paraId="2B2905CC">
            <w:pPr>
              <w:rPr>
                <w:rFonts w:ascii="宋体" w:hAnsi="宋体" w:eastAsia="宋体" w:cs="宋体"/>
                <w:color w:val="auto"/>
                <w:highlight w:val="none"/>
              </w:rPr>
            </w:pPr>
          </w:p>
        </w:tc>
        <w:tc>
          <w:tcPr>
            <w:tcW w:w="1151" w:type="dxa"/>
          </w:tcPr>
          <w:p w14:paraId="7C7F0BF3">
            <w:pPr>
              <w:rPr>
                <w:rFonts w:ascii="宋体" w:hAnsi="宋体" w:eastAsia="宋体" w:cs="宋体"/>
                <w:color w:val="auto"/>
                <w:highlight w:val="none"/>
              </w:rPr>
            </w:pPr>
          </w:p>
        </w:tc>
        <w:tc>
          <w:tcPr>
            <w:tcW w:w="2519" w:type="dxa"/>
          </w:tcPr>
          <w:p w14:paraId="731B6E32">
            <w:pPr>
              <w:rPr>
                <w:rFonts w:ascii="宋体" w:hAnsi="宋体" w:eastAsia="宋体" w:cs="宋体"/>
                <w:color w:val="auto"/>
                <w:highlight w:val="none"/>
              </w:rPr>
            </w:pPr>
          </w:p>
        </w:tc>
        <w:tc>
          <w:tcPr>
            <w:tcW w:w="899" w:type="dxa"/>
          </w:tcPr>
          <w:p w14:paraId="1141800A">
            <w:pPr>
              <w:rPr>
                <w:rFonts w:ascii="宋体" w:hAnsi="宋体" w:eastAsia="宋体" w:cs="宋体"/>
                <w:color w:val="auto"/>
                <w:highlight w:val="none"/>
              </w:rPr>
            </w:pPr>
          </w:p>
        </w:tc>
        <w:tc>
          <w:tcPr>
            <w:tcW w:w="1259" w:type="dxa"/>
          </w:tcPr>
          <w:p w14:paraId="1A592B33">
            <w:pPr>
              <w:rPr>
                <w:rFonts w:ascii="宋体" w:hAnsi="宋体" w:eastAsia="宋体" w:cs="宋体"/>
                <w:color w:val="auto"/>
                <w:highlight w:val="none"/>
              </w:rPr>
            </w:pPr>
          </w:p>
        </w:tc>
        <w:tc>
          <w:tcPr>
            <w:tcW w:w="2008" w:type="dxa"/>
            <w:tcBorders>
              <w:right w:val="single" w:color="000000" w:sz="2" w:space="0"/>
            </w:tcBorders>
          </w:tcPr>
          <w:p w14:paraId="3A0D869F">
            <w:pPr>
              <w:rPr>
                <w:rFonts w:ascii="宋体" w:hAnsi="宋体" w:eastAsia="宋体" w:cs="宋体"/>
                <w:color w:val="auto"/>
                <w:highlight w:val="none"/>
              </w:rPr>
            </w:pPr>
          </w:p>
        </w:tc>
      </w:tr>
      <w:tr w14:paraId="3BD4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2" w:type="dxa"/>
            <w:tcBorders>
              <w:left w:val="single" w:color="000000" w:sz="2" w:space="0"/>
            </w:tcBorders>
          </w:tcPr>
          <w:p w14:paraId="23132302">
            <w:pPr>
              <w:rPr>
                <w:rFonts w:ascii="宋体" w:hAnsi="宋体" w:eastAsia="宋体" w:cs="宋体"/>
                <w:color w:val="auto"/>
                <w:highlight w:val="none"/>
              </w:rPr>
            </w:pPr>
          </w:p>
        </w:tc>
        <w:tc>
          <w:tcPr>
            <w:tcW w:w="1151" w:type="dxa"/>
          </w:tcPr>
          <w:p w14:paraId="2D3BE116">
            <w:pPr>
              <w:rPr>
                <w:rFonts w:ascii="宋体" w:hAnsi="宋体" w:eastAsia="宋体" w:cs="宋体"/>
                <w:color w:val="auto"/>
                <w:highlight w:val="none"/>
              </w:rPr>
            </w:pPr>
          </w:p>
        </w:tc>
        <w:tc>
          <w:tcPr>
            <w:tcW w:w="2519" w:type="dxa"/>
          </w:tcPr>
          <w:p w14:paraId="6DE3051B">
            <w:pPr>
              <w:rPr>
                <w:rFonts w:ascii="宋体" w:hAnsi="宋体" w:eastAsia="宋体" w:cs="宋体"/>
                <w:color w:val="auto"/>
                <w:highlight w:val="none"/>
              </w:rPr>
            </w:pPr>
          </w:p>
        </w:tc>
        <w:tc>
          <w:tcPr>
            <w:tcW w:w="899" w:type="dxa"/>
          </w:tcPr>
          <w:p w14:paraId="13D9A9F4">
            <w:pPr>
              <w:rPr>
                <w:rFonts w:ascii="宋体" w:hAnsi="宋体" w:eastAsia="宋体" w:cs="宋体"/>
                <w:color w:val="auto"/>
                <w:highlight w:val="none"/>
              </w:rPr>
            </w:pPr>
          </w:p>
        </w:tc>
        <w:tc>
          <w:tcPr>
            <w:tcW w:w="1259" w:type="dxa"/>
          </w:tcPr>
          <w:p w14:paraId="42B04300">
            <w:pPr>
              <w:rPr>
                <w:rFonts w:ascii="宋体" w:hAnsi="宋体" w:eastAsia="宋体" w:cs="宋体"/>
                <w:color w:val="auto"/>
                <w:highlight w:val="none"/>
              </w:rPr>
            </w:pPr>
          </w:p>
        </w:tc>
        <w:tc>
          <w:tcPr>
            <w:tcW w:w="2008" w:type="dxa"/>
            <w:tcBorders>
              <w:right w:val="single" w:color="000000" w:sz="2" w:space="0"/>
            </w:tcBorders>
          </w:tcPr>
          <w:p w14:paraId="542EF82E">
            <w:pPr>
              <w:rPr>
                <w:rFonts w:ascii="宋体" w:hAnsi="宋体" w:eastAsia="宋体" w:cs="宋体"/>
                <w:color w:val="auto"/>
                <w:highlight w:val="none"/>
              </w:rPr>
            </w:pPr>
          </w:p>
        </w:tc>
      </w:tr>
      <w:tr w14:paraId="4BD98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52" w:type="dxa"/>
            <w:tcBorders>
              <w:left w:val="single" w:color="000000" w:sz="2" w:space="0"/>
              <w:bottom w:val="single" w:color="000000" w:sz="2" w:space="0"/>
            </w:tcBorders>
          </w:tcPr>
          <w:p w14:paraId="298A341C">
            <w:pPr>
              <w:rPr>
                <w:rFonts w:ascii="宋体" w:hAnsi="宋体" w:eastAsia="宋体" w:cs="宋体"/>
                <w:color w:val="auto"/>
                <w:highlight w:val="none"/>
              </w:rPr>
            </w:pPr>
          </w:p>
        </w:tc>
        <w:tc>
          <w:tcPr>
            <w:tcW w:w="1151" w:type="dxa"/>
            <w:tcBorders>
              <w:bottom w:val="single" w:color="000000" w:sz="2" w:space="0"/>
            </w:tcBorders>
          </w:tcPr>
          <w:p w14:paraId="6381E115">
            <w:pPr>
              <w:rPr>
                <w:rFonts w:ascii="宋体" w:hAnsi="宋体" w:eastAsia="宋体" w:cs="宋体"/>
                <w:color w:val="auto"/>
                <w:highlight w:val="none"/>
              </w:rPr>
            </w:pPr>
          </w:p>
        </w:tc>
        <w:tc>
          <w:tcPr>
            <w:tcW w:w="2519" w:type="dxa"/>
            <w:tcBorders>
              <w:bottom w:val="single" w:color="000000" w:sz="2" w:space="0"/>
            </w:tcBorders>
          </w:tcPr>
          <w:p w14:paraId="79636125">
            <w:pPr>
              <w:rPr>
                <w:rFonts w:ascii="宋体" w:hAnsi="宋体" w:eastAsia="宋体" w:cs="宋体"/>
                <w:color w:val="auto"/>
                <w:highlight w:val="none"/>
              </w:rPr>
            </w:pPr>
          </w:p>
        </w:tc>
        <w:tc>
          <w:tcPr>
            <w:tcW w:w="899" w:type="dxa"/>
            <w:tcBorders>
              <w:bottom w:val="single" w:color="000000" w:sz="2" w:space="0"/>
            </w:tcBorders>
          </w:tcPr>
          <w:p w14:paraId="38F8FAFE">
            <w:pPr>
              <w:rPr>
                <w:rFonts w:ascii="宋体" w:hAnsi="宋体" w:eastAsia="宋体" w:cs="宋体"/>
                <w:color w:val="auto"/>
                <w:highlight w:val="none"/>
              </w:rPr>
            </w:pPr>
          </w:p>
        </w:tc>
        <w:tc>
          <w:tcPr>
            <w:tcW w:w="1259" w:type="dxa"/>
            <w:tcBorders>
              <w:bottom w:val="single" w:color="000000" w:sz="2" w:space="0"/>
            </w:tcBorders>
          </w:tcPr>
          <w:p w14:paraId="32BC259B">
            <w:pPr>
              <w:rPr>
                <w:rFonts w:ascii="宋体" w:hAnsi="宋体" w:eastAsia="宋体" w:cs="宋体"/>
                <w:color w:val="auto"/>
                <w:highlight w:val="none"/>
              </w:rPr>
            </w:pPr>
          </w:p>
        </w:tc>
        <w:tc>
          <w:tcPr>
            <w:tcW w:w="2008" w:type="dxa"/>
            <w:tcBorders>
              <w:bottom w:val="single" w:color="000000" w:sz="2" w:space="0"/>
              <w:right w:val="single" w:color="000000" w:sz="2" w:space="0"/>
            </w:tcBorders>
          </w:tcPr>
          <w:p w14:paraId="14D4D6BD">
            <w:pPr>
              <w:rPr>
                <w:rFonts w:ascii="宋体" w:hAnsi="宋体" w:eastAsia="宋体" w:cs="宋体"/>
                <w:color w:val="auto"/>
                <w:highlight w:val="none"/>
              </w:rPr>
            </w:pPr>
          </w:p>
        </w:tc>
      </w:tr>
    </w:tbl>
    <w:p w14:paraId="0A5DF5BB">
      <w:pPr>
        <w:spacing w:before="34" w:line="219" w:lineRule="auto"/>
        <w:ind w:left="49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二、合同价款</w:t>
      </w:r>
    </w:p>
    <w:p w14:paraId="581B2BE5">
      <w:pPr>
        <w:spacing w:before="183" w:line="219" w:lineRule="auto"/>
        <w:ind w:left="49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2.1</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合同总价：人民币（大写）元</w:t>
      </w:r>
      <w:r>
        <w:rPr>
          <w:rFonts w:hint="eastAsia" w:ascii="宋体" w:hAnsi="宋体" w:eastAsia="宋体" w:cs="宋体"/>
          <w:color w:val="auto"/>
          <w:spacing w:val="-23"/>
          <w:sz w:val="24"/>
          <w:szCs w:val="24"/>
          <w:highlight w:val="none"/>
          <w:lang w:eastAsia="zh-CN"/>
        </w:rPr>
        <w:t>，（</w:t>
      </w:r>
      <w:r>
        <w:rPr>
          <w:rFonts w:hint="eastAsia" w:ascii="宋体" w:hAnsi="宋体" w:eastAsia="宋体" w:cs="宋体"/>
          <w:color w:val="auto"/>
          <w:spacing w:val="1"/>
          <w:sz w:val="24"/>
          <w:szCs w:val="24"/>
          <w:highlight w:val="none"/>
          <w:lang w:eastAsia="zh-CN"/>
        </w:rPr>
        <w:t>小写）元。</w:t>
      </w:r>
    </w:p>
    <w:p w14:paraId="620AF05E">
      <w:pPr>
        <w:spacing w:before="184" w:line="466" w:lineRule="exact"/>
        <w:ind w:left="493"/>
        <w:rPr>
          <w:rFonts w:ascii="宋体" w:hAnsi="宋体" w:eastAsia="宋体" w:cs="宋体"/>
          <w:color w:val="auto"/>
          <w:sz w:val="24"/>
          <w:szCs w:val="24"/>
          <w:highlight w:val="none"/>
          <w:lang w:eastAsia="zh-CN"/>
        </w:rPr>
      </w:pPr>
      <w:r>
        <w:rPr>
          <w:rFonts w:hint="eastAsia"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三、交货地点及交货时间</w:t>
      </w:r>
    </w:p>
    <w:p w14:paraId="527E3D34">
      <w:pPr>
        <w:spacing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3.1</w:t>
      </w:r>
      <w:r>
        <w:rPr>
          <w:rFonts w:hint="eastAsia" w:ascii="宋体" w:hAnsi="宋体" w:eastAsia="宋体" w:cs="宋体"/>
          <w:color w:val="auto"/>
          <w:spacing w:val="-46"/>
          <w:sz w:val="24"/>
          <w:szCs w:val="24"/>
          <w:highlight w:val="none"/>
          <w:lang w:eastAsia="zh-CN"/>
        </w:rPr>
        <w:t xml:space="preserve"> </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交货时间及地点：</w:t>
      </w:r>
    </w:p>
    <w:p w14:paraId="14944B66">
      <w:pPr>
        <w:spacing w:before="184"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3.1.1</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交货期/合同履行期限：</w:t>
      </w:r>
      <w:r>
        <w:rPr>
          <w:rFonts w:hint="eastAsia" w:ascii="宋体" w:hAnsi="宋体" w:eastAsia="宋体" w:cs="宋体"/>
          <w:color w:val="auto"/>
          <w:spacing w:val="-1"/>
          <w:sz w:val="24"/>
          <w:szCs w:val="24"/>
          <w:highlight w:val="none"/>
          <w:lang w:eastAsia="zh-CN"/>
        </w:rPr>
        <w:t>。</w:t>
      </w:r>
    </w:p>
    <w:p w14:paraId="04597366">
      <w:pPr>
        <w:spacing w:before="180" w:line="290" w:lineRule="auto"/>
        <w:ind w:left="515" w:right="7321" w:hanging="17"/>
        <w:rPr>
          <w:rFonts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3.1.2</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地点：</w:t>
      </w: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四、付款：</w:t>
      </w:r>
    </w:p>
    <w:p w14:paraId="00743869">
      <w:pPr>
        <w:spacing w:before="180" w:line="468" w:lineRule="exact"/>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五、安装调试</w:t>
      </w:r>
      <w:r>
        <w:rPr>
          <w:rFonts w:hint="eastAsia" w:ascii="宋体" w:hAnsi="宋体" w:eastAsia="宋体" w:cs="宋体"/>
          <w:color w:val="auto"/>
          <w:spacing w:val="-16"/>
          <w:position w:val="17"/>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严格执行国家相关标准）</w:t>
      </w:r>
    </w:p>
    <w:p w14:paraId="075F5DDD">
      <w:pPr>
        <w:spacing w:line="220" w:lineRule="auto"/>
        <w:ind w:left="4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六、验收（严格执行国家相关标准）</w:t>
      </w:r>
    </w:p>
    <w:p w14:paraId="4C2D37AA">
      <w:pPr>
        <w:spacing w:before="183"/>
        <w:ind w:left="178" w:leftChars="85"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1.乙方应在约定的期限内按甲方订货限期要求将产品送至甲方指定的地点。装车、运输、保险等费用由乙方承担。</w:t>
      </w:r>
    </w:p>
    <w:p w14:paraId="7C16B1F9">
      <w:pPr>
        <w:spacing w:before="183"/>
        <w:ind w:left="178" w:leftChars="85"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2.乙方应按约定的数量交付产品。</w:t>
      </w:r>
    </w:p>
    <w:p w14:paraId="62C78EF5">
      <w:pPr>
        <w:spacing w:before="182" w:line="22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七、知识产权及有关规定</w:t>
      </w:r>
    </w:p>
    <w:p w14:paraId="0B08DB20">
      <w:pPr>
        <w:spacing w:before="182" w:line="219" w:lineRule="auto"/>
        <w:ind w:left="49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7.1</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供方应保证所供货物符合国家的有关规定。</w:t>
      </w:r>
    </w:p>
    <w:p w14:paraId="42653DE3">
      <w:pPr>
        <w:spacing w:before="181" w:line="220" w:lineRule="auto"/>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八、伴随服务</w:t>
      </w:r>
    </w:p>
    <w:p w14:paraId="01A12B46">
      <w:pPr>
        <w:spacing w:before="48" w:line="219"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8.1</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供方还应提供下列服务：货物的运输、装车。</w:t>
      </w:r>
    </w:p>
    <w:p w14:paraId="677653DA">
      <w:pPr>
        <w:spacing w:before="182" w:line="219"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8.2</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上述伴随服务的费用应包含在合同价中，不单独进行支付。</w:t>
      </w:r>
    </w:p>
    <w:p w14:paraId="3B0F5E91">
      <w:pPr>
        <w:spacing w:before="181" w:line="220" w:lineRule="auto"/>
        <w:ind w:left="48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九、质量保证期及售后服务</w:t>
      </w:r>
    </w:p>
    <w:p w14:paraId="7A8661F7">
      <w:pPr>
        <w:spacing w:before="181" w:line="221"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9.1</w:t>
      </w:r>
      <w:r>
        <w:rPr>
          <w:rFonts w:hint="eastAsia" w:ascii="宋体" w:hAnsi="宋体" w:eastAsia="宋体" w:cs="宋体"/>
          <w:color w:val="auto"/>
          <w:spacing w:val="-42"/>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质量保证期：。</w:t>
      </w:r>
    </w:p>
    <w:p w14:paraId="489C05C3">
      <w:pPr>
        <w:spacing w:before="178" w:line="22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9.2</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售后服务：。</w:t>
      </w:r>
    </w:p>
    <w:p w14:paraId="1F4FCB12">
      <w:pPr>
        <w:spacing w:before="183" w:line="219"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十、供方履约延误</w:t>
      </w:r>
    </w:p>
    <w:p w14:paraId="765A91CA">
      <w:pPr>
        <w:spacing w:before="183"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10.1</w:t>
      </w:r>
      <w:r>
        <w:rPr>
          <w:rFonts w:hint="eastAsia" w:ascii="宋体" w:hAnsi="宋体" w:eastAsia="宋体" w:cs="宋体"/>
          <w:color w:val="auto"/>
          <w:spacing w:val="-3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供方应按照合同规定的时间、地点交货和提供服务。</w:t>
      </w:r>
    </w:p>
    <w:p w14:paraId="1FA0AC34">
      <w:pPr>
        <w:spacing w:before="180" w:line="468" w:lineRule="exact"/>
        <w:ind w:right="61"/>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10.2</w:t>
      </w:r>
      <w:r>
        <w:rPr>
          <w:rFonts w:hint="eastAsia" w:ascii="宋体" w:hAnsi="宋体" w:eastAsia="宋体" w:cs="宋体"/>
          <w:color w:val="auto"/>
          <w:spacing w:val="-42"/>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如供方无正当理由拖延交货或不按投标文件提供服务，将受到以下制裁</w:t>
      </w:r>
      <w:r>
        <w:rPr>
          <w:rFonts w:hint="eastAsia" w:ascii="宋体" w:hAnsi="宋体" w:eastAsia="宋体" w:cs="宋体"/>
          <w:color w:val="auto"/>
          <w:spacing w:val="1"/>
          <w:position w:val="17"/>
          <w:sz w:val="24"/>
          <w:szCs w:val="24"/>
          <w:highlight w:val="none"/>
          <w:lang w:eastAsia="zh-CN"/>
        </w:rPr>
        <w:t>：没收</w:t>
      </w:r>
    </w:p>
    <w:p w14:paraId="52A39F11">
      <w:pPr>
        <w:spacing w:line="220" w:lineRule="auto"/>
        <w:ind w:left="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履约保证金、加收误期赔偿和／或违约终止合同。</w:t>
      </w:r>
    </w:p>
    <w:p w14:paraId="4842EFE6">
      <w:pPr>
        <w:spacing w:before="181" w:line="359" w:lineRule="auto"/>
        <w:ind w:firstLine="49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10.3</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在履行合同过程中，如果供方遇到可能妨碍其按时交货和提供服务的情况，应</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及时以书面形式将拖延的事实，可能拖延的期限和理由通知需方。需方</w:t>
      </w:r>
      <w:r>
        <w:rPr>
          <w:rFonts w:hint="eastAsia" w:ascii="宋体" w:hAnsi="宋体" w:eastAsia="宋体" w:cs="宋体"/>
          <w:color w:val="auto"/>
          <w:spacing w:val="-7"/>
          <w:sz w:val="24"/>
          <w:szCs w:val="24"/>
          <w:highlight w:val="none"/>
          <w:lang w:eastAsia="zh-CN"/>
        </w:rPr>
        <w:t>在收到供方通知后，</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应尽快对情况进行评价，并确定是否通过修改合同，酌情延长交货时间和/或延期提供服</w:t>
      </w:r>
      <w:r>
        <w:rPr>
          <w:rFonts w:hint="eastAsia" w:ascii="宋体" w:hAnsi="宋体" w:eastAsia="宋体" w:cs="宋体"/>
          <w:color w:val="auto"/>
          <w:spacing w:val="-2"/>
          <w:sz w:val="24"/>
          <w:szCs w:val="24"/>
          <w:highlight w:val="none"/>
          <w:lang w:eastAsia="zh-CN"/>
        </w:rPr>
        <w:t>务，或者终止合同。</w:t>
      </w:r>
    </w:p>
    <w:p w14:paraId="700D6DAC">
      <w:pPr>
        <w:spacing w:before="179" w:line="22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十一、误期赔偿</w:t>
      </w:r>
    </w:p>
    <w:p w14:paraId="2E9A109D">
      <w:pPr>
        <w:spacing w:before="181" w:line="359" w:lineRule="auto"/>
        <w:ind w:left="1" w:right="63" w:firstLine="496"/>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11.1</w:t>
      </w:r>
      <w:r>
        <w:rPr>
          <w:rFonts w:hint="eastAsia" w:ascii="宋体" w:hAnsi="宋体" w:eastAsia="宋体" w:cs="宋体"/>
          <w:color w:val="auto"/>
          <w:spacing w:val="-3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除合同第</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14</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条规定外，如果供方没有按照合</w:t>
      </w:r>
      <w:r>
        <w:rPr>
          <w:rFonts w:hint="eastAsia" w:ascii="宋体" w:hAnsi="宋体" w:eastAsia="宋体" w:cs="宋体"/>
          <w:color w:val="auto"/>
          <w:spacing w:val="-3"/>
          <w:sz w:val="24"/>
          <w:szCs w:val="24"/>
          <w:highlight w:val="none"/>
          <w:lang w:eastAsia="zh-CN"/>
        </w:rPr>
        <w:t>同规定的时间交货和提供服务，供</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方应向需方支付误期赔偿费。误期赔偿费每天按迟交货物的交货价或延期服务的服务费用</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的百分之一（1%）计收，直至交货或提供服务为止。一天按</w:t>
      </w:r>
      <w:r>
        <w:rPr>
          <w:rFonts w:hint="eastAsia" w:ascii="宋体" w:hAnsi="宋体" w:eastAsia="宋体" w:cs="宋体"/>
          <w:color w:val="auto"/>
          <w:spacing w:val="-3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24</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小时计算，不足一天按一一天计算。但误期赔偿费的最高限额不超过合同价的百分之五（5%）。</w:t>
      </w:r>
    </w:p>
    <w:p w14:paraId="51684B47">
      <w:pPr>
        <w:spacing w:before="184"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11.2</w:t>
      </w:r>
      <w:r>
        <w:rPr>
          <w:rFonts w:hint="eastAsia" w:ascii="宋体" w:hAnsi="宋体" w:eastAsia="宋体" w:cs="宋体"/>
          <w:color w:val="auto"/>
          <w:spacing w:val="-3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误期赔偿费可从应付货款和/或履约保证金中扣除。</w:t>
      </w:r>
    </w:p>
    <w:p w14:paraId="4E0121F0">
      <w:pPr>
        <w:spacing w:before="181"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11.3</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收取误期赔偿费不影响需方采取合同</w:t>
      </w:r>
      <w:r>
        <w:rPr>
          <w:rFonts w:hint="eastAsia" w:ascii="宋体" w:hAnsi="宋体" w:eastAsia="宋体" w:cs="宋体"/>
          <w:color w:val="auto"/>
          <w:spacing w:val="-2"/>
          <w:sz w:val="24"/>
          <w:szCs w:val="24"/>
          <w:highlight w:val="none"/>
          <w:lang w:eastAsia="zh-CN"/>
        </w:rPr>
        <w:t>规定的其他补救措施的权利。</w:t>
      </w:r>
    </w:p>
    <w:p w14:paraId="70F5A3F0">
      <w:pPr>
        <w:spacing w:before="184" w:line="289" w:lineRule="auto"/>
        <w:ind w:left="481" w:right="2619" w:firstLine="16"/>
        <w:rPr>
          <w:rFonts w:ascii="宋体" w:hAnsi="宋体" w:eastAsia="宋体" w:cs="宋体"/>
          <w:b/>
          <w:bCs/>
          <w:color w:val="auto"/>
          <w:sz w:val="24"/>
          <w:szCs w:val="24"/>
          <w:highlight w:val="none"/>
          <w:lang w:eastAsia="zh-CN"/>
        </w:rPr>
      </w:pPr>
      <w:r>
        <w:rPr>
          <w:rFonts w:hint="eastAsia" w:ascii="宋体" w:hAnsi="宋体" w:eastAsia="宋体" w:cs="宋体"/>
          <w:color w:val="auto"/>
          <w:spacing w:val="-3"/>
          <w:sz w:val="24"/>
          <w:szCs w:val="24"/>
          <w:highlight w:val="none"/>
          <w:lang w:eastAsia="zh-CN"/>
        </w:rPr>
        <w:t>11.5</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在收取误期赔偿费期间，需方有权决定是否终止合同</w:t>
      </w:r>
      <w:r>
        <w:rPr>
          <w:rFonts w:hint="eastAsia" w:ascii="宋体" w:hAnsi="宋体" w:eastAsia="宋体" w:cs="宋体"/>
          <w:b/>
          <w:bCs/>
          <w:color w:val="auto"/>
          <w:spacing w:val="-1"/>
          <w:sz w:val="24"/>
          <w:szCs w:val="24"/>
          <w:highlight w:val="none"/>
          <w:lang w:eastAsia="zh-CN"/>
        </w:rPr>
        <w:t>十二、</w:t>
      </w:r>
      <w:r>
        <w:rPr>
          <w:rFonts w:hint="eastAsia" w:ascii="宋体" w:hAnsi="宋体" w:eastAsia="宋体" w:cs="宋体"/>
          <w:b/>
          <w:bCs/>
          <w:color w:val="auto"/>
          <w:spacing w:val="-1"/>
          <w:sz w:val="24"/>
          <w:szCs w:val="24"/>
          <w:highlight w:val="none"/>
          <w:lang w:eastAsia="zh-CN"/>
          <w14:textOutline w14:w="4356" w14:cap="sq" w14:cmpd="sng" w14:algn="ctr">
            <w14:solidFill>
              <w14:srgbClr w14:val="000000"/>
            </w14:solidFill>
            <w14:prstDash w14:val="solid"/>
            <w14:bevel/>
          </w14:textOutline>
        </w:rPr>
        <w:t>履约保证金</w:t>
      </w:r>
    </w:p>
    <w:p w14:paraId="773DDE37">
      <w:pPr>
        <w:spacing w:before="181"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12.1</w:t>
      </w:r>
      <w:r>
        <w:rPr>
          <w:rFonts w:hint="eastAsia" w:ascii="宋体" w:hAnsi="宋体" w:eastAsia="宋体" w:cs="宋体"/>
          <w:color w:val="auto"/>
          <w:spacing w:val="-50"/>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合同价款的   %，待中标人履行完合同后，不计利息一次</w:t>
      </w:r>
      <w:r>
        <w:rPr>
          <w:rFonts w:hint="eastAsia" w:ascii="宋体" w:hAnsi="宋体" w:eastAsia="宋体" w:cs="宋体"/>
          <w:color w:val="auto"/>
          <w:spacing w:val="-2"/>
          <w:sz w:val="24"/>
          <w:szCs w:val="24"/>
          <w:highlight w:val="none"/>
          <w:lang w:eastAsia="zh-CN"/>
        </w:rPr>
        <w:t>性退还。</w:t>
      </w:r>
    </w:p>
    <w:p w14:paraId="4BD84075">
      <w:pPr>
        <w:spacing w:before="184" w:line="22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十三、不可抗力</w:t>
      </w:r>
    </w:p>
    <w:p w14:paraId="726DF063">
      <w:pPr>
        <w:spacing w:before="179" w:line="466" w:lineRule="exact"/>
        <w:ind w:right="61"/>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13.1</w:t>
      </w:r>
      <w:r>
        <w:rPr>
          <w:rFonts w:hint="eastAsia" w:ascii="宋体" w:hAnsi="宋体" w:eastAsia="宋体" w:cs="宋体"/>
          <w:color w:val="auto"/>
          <w:spacing w:val="-42"/>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如果供需双方因不可抗力而导致合同实施延误或不能履行合同义务，不</w:t>
      </w:r>
      <w:r>
        <w:rPr>
          <w:rFonts w:hint="eastAsia" w:ascii="宋体" w:hAnsi="宋体" w:eastAsia="宋体" w:cs="宋体"/>
          <w:color w:val="auto"/>
          <w:spacing w:val="1"/>
          <w:position w:val="17"/>
          <w:sz w:val="24"/>
          <w:szCs w:val="24"/>
          <w:highlight w:val="none"/>
          <w:lang w:eastAsia="zh-CN"/>
        </w:rPr>
        <w:t>应该承</w:t>
      </w:r>
    </w:p>
    <w:p w14:paraId="1DE8B5A9">
      <w:pPr>
        <w:spacing w:line="220" w:lineRule="auto"/>
        <w:ind w:left="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担误期赔偿或不能履行合同义务的责任。</w:t>
      </w:r>
    </w:p>
    <w:p w14:paraId="631E8A3B">
      <w:pPr>
        <w:spacing w:before="182" w:line="359" w:lineRule="auto"/>
        <w:ind w:right="63" w:firstLine="497"/>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13.2</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本条所述的“不可抗力</w:t>
      </w:r>
      <w:r>
        <w:rPr>
          <w:rFonts w:hint="eastAsia" w:ascii="宋体" w:hAnsi="宋体" w:eastAsia="宋体" w:cs="宋体"/>
          <w:color w:val="auto"/>
          <w:spacing w:val="-8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”系指那些双方无法控制，不可预见的事件，但不包括</w:t>
      </w:r>
      <w:r>
        <w:rPr>
          <w:rFonts w:hint="eastAsia" w:ascii="宋体" w:hAnsi="宋体" w:eastAsia="宋体" w:cs="宋体"/>
          <w:color w:val="auto"/>
          <w:spacing w:val="-2"/>
          <w:sz w:val="24"/>
          <w:szCs w:val="24"/>
          <w:highlight w:val="none"/>
          <w:lang w:eastAsia="zh-CN"/>
        </w:rPr>
        <w:t>供需双方的违约或疏忽。这些事件包括但不限于：战争、严重火灾、洪水、台风、地震以</w:t>
      </w:r>
      <w:r>
        <w:rPr>
          <w:rFonts w:hint="eastAsia" w:ascii="宋体" w:hAnsi="宋体" w:eastAsia="宋体" w:cs="宋体"/>
          <w:color w:val="auto"/>
          <w:sz w:val="24"/>
          <w:szCs w:val="24"/>
          <w:highlight w:val="none"/>
          <w:lang w:eastAsia="zh-CN"/>
        </w:rPr>
        <w:t>及其它供需双方商定的事件(供需双方认定国家政策重</w:t>
      </w:r>
      <w:r>
        <w:rPr>
          <w:rFonts w:hint="eastAsia" w:ascii="宋体" w:hAnsi="宋体" w:eastAsia="宋体" w:cs="宋体"/>
          <w:color w:val="auto"/>
          <w:spacing w:val="-1"/>
          <w:sz w:val="24"/>
          <w:szCs w:val="24"/>
          <w:highlight w:val="none"/>
          <w:lang w:eastAsia="zh-CN"/>
        </w:rPr>
        <w:t>大变化属不可抗力)。</w:t>
      </w:r>
    </w:p>
    <w:p w14:paraId="4A35E96D">
      <w:pPr>
        <w:spacing w:before="182" w:line="359" w:lineRule="auto"/>
        <w:ind w:right="63" w:firstLine="497"/>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14:paraId="7420FE6E">
      <w:pPr>
        <w:spacing w:before="180" w:line="221"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十四、税费</w:t>
      </w:r>
    </w:p>
    <w:p w14:paraId="31171035">
      <w:pPr>
        <w:spacing w:before="179" w:line="219" w:lineRule="auto"/>
        <w:ind w:left="51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14.1</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根据现行法律规定对需方征收的与本合同有关的一切税费均由需方负</w:t>
      </w:r>
      <w:r>
        <w:rPr>
          <w:rFonts w:hint="eastAsia" w:ascii="宋体" w:hAnsi="宋体" w:eastAsia="宋体" w:cs="宋体"/>
          <w:color w:val="auto"/>
          <w:spacing w:val="-2"/>
          <w:sz w:val="24"/>
          <w:szCs w:val="24"/>
          <w:highlight w:val="none"/>
          <w:lang w:eastAsia="zh-CN"/>
        </w:rPr>
        <w:t>担。</w:t>
      </w:r>
    </w:p>
    <w:p w14:paraId="3870FD43">
      <w:pPr>
        <w:spacing w:before="183" w:line="219" w:lineRule="auto"/>
        <w:ind w:left="51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14.2</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根据现行法律规定对供方征收的与本合同有关的一切税费均由供方负</w:t>
      </w:r>
      <w:r>
        <w:rPr>
          <w:rFonts w:hint="eastAsia" w:ascii="宋体" w:hAnsi="宋体" w:eastAsia="宋体" w:cs="宋体"/>
          <w:color w:val="auto"/>
          <w:spacing w:val="-2"/>
          <w:sz w:val="24"/>
          <w:szCs w:val="24"/>
          <w:highlight w:val="none"/>
          <w:lang w:eastAsia="zh-CN"/>
        </w:rPr>
        <w:t>担。</w:t>
      </w:r>
    </w:p>
    <w:p w14:paraId="1062566B">
      <w:pPr>
        <w:spacing w:before="183" w:line="219" w:lineRule="auto"/>
        <w:ind w:left="51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14.3</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在中国境外发生的与执行本合同有关的一切税费均由</w:t>
      </w:r>
      <w:r>
        <w:rPr>
          <w:rFonts w:hint="eastAsia" w:ascii="宋体" w:hAnsi="宋体" w:eastAsia="宋体" w:cs="宋体"/>
          <w:color w:val="auto"/>
          <w:spacing w:val="-2"/>
          <w:sz w:val="24"/>
          <w:szCs w:val="24"/>
          <w:highlight w:val="none"/>
          <w:lang w:eastAsia="zh-CN"/>
        </w:rPr>
        <w:t>供方负担。</w:t>
      </w:r>
    </w:p>
    <w:p w14:paraId="35C34A73">
      <w:pPr>
        <w:spacing w:before="180" w:line="22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十五、争端的解决</w:t>
      </w:r>
    </w:p>
    <w:p w14:paraId="7567A95C">
      <w:pPr>
        <w:ind w:firstLine="488" w:firstLineChars="200"/>
        <w:rPr>
          <w:rFonts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15.1 供需双方应通过友好协商，解决在执行本合同过程中所发生的或与本合同有关的一切争端。如从协商开始十（10）天内仍不能解决，可以向有关合同管理部门提请调解。</w:t>
      </w:r>
    </w:p>
    <w:p w14:paraId="7CAD9098">
      <w:pPr>
        <w:ind w:firstLine="488" w:firstLineChars="200"/>
        <w:rPr>
          <w:rFonts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15.2 如果调解不成，供需双方的任何一方可以向人民法院提起诉讼。诉讼由合同签订地人民法院管辖。</w:t>
      </w:r>
    </w:p>
    <w:p w14:paraId="0B67EBB9">
      <w:pPr>
        <w:ind w:firstLine="488" w:firstLineChars="200"/>
        <w:rPr>
          <w:rFonts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15.3 诉讼费除法院另有裁决外均由败诉方负担。</w:t>
      </w:r>
    </w:p>
    <w:p w14:paraId="22649459">
      <w:pPr>
        <w:ind w:firstLine="488" w:firstLineChars="200"/>
        <w:rPr>
          <w:rFonts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15.4 在诉讼期间，除正在进行诉讼的部分外，本合同的其它部分应继续执行。</w:t>
      </w:r>
    </w:p>
    <w:p w14:paraId="60032E3A">
      <w:pPr>
        <w:spacing w:before="182" w:line="222"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十六、违约终止合同</w:t>
      </w:r>
    </w:p>
    <w:p w14:paraId="41C93252">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 在需方因供方违约而按合同约定采取的任何补救措施不受影响的情况下，需方可在下列情况下向供方发出书面通知，提出终止部分或全部合同。</w:t>
      </w:r>
    </w:p>
    <w:p w14:paraId="52866CF1">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（1）如果供方未能在合同规定的限期或需方同意延长的限期内提供部分或全部货物和服务。</w:t>
      </w:r>
    </w:p>
    <w:p w14:paraId="72DD2CE4">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（2）如果供方未能履行合同规定的其它任何义务。</w:t>
      </w:r>
    </w:p>
    <w:p w14:paraId="4AE40E67">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14:paraId="7976725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w:t>
      </w:r>
      <w:r>
        <w:rPr>
          <w:rFonts w:hint="eastAsia" w:ascii="宋体" w:hAnsi="宋体" w:eastAsia="宋体" w:cs="宋体"/>
          <w:color w:val="auto"/>
          <w:sz w:val="24"/>
          <w:szCs w:val="24"/>
          <w:highlight w:val="none"/>
        </w:rPr>
        <w:t>并且，供方应继续履行合同中未终止的部分。</w:t>
      </w:r>
    </w:p>
    <w:p w14:paraId="5769E648">
      <w:pPr>
        <w:numPr>
          <w:ilvl w:val="0"/>
          <w:numId w:val="2"/>
        </w:numPr>
        <w:spacing w:before="183" w:line="220" w:lineRule="auto"/>
        <w:ind w:left="494"/>
        <w:rPr>
          <w:rFonts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t>破产终止合同</w:t>
      </w:r>
    </w:p>
    <w:p w14:paraId="0F382D30">
      <w:pPr>
        <w:spacing w:before="48" w:line="359" w:lineRule="auto"/>
        <w:ind w:left="24" w:firstLine="474"/>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17.1</w:t>
      </w:r>
      <w:r>
        <w:rPr>
          <w:rFonts w:hint="eastAsia" w:ascii="宋体" w:hAnsi="宋体" w:eastAsia="宋体" w:cs="宋体"/>
          <w:color w:val="auto"/>
          <w:spacing w:val="-4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如果供方破产或丧失清偿能力，需方可在任何时候以书面形式通知供方</w:t>
      </w:r>
      <w:r>
        <w:rPr>
          <w:rFonts w:hint="eastAsia" w:ascii="宋体" w:hAnsi="宋体" w:eastAsia="宋体" w:cs="宋体"/>
          <w:color w:val="auto"/>
          <w:spacing w:val="1"/>
          <w:sz w:val="24"/>
          <w:szCs w:val="24"/>
          <w:highlight w:val="none"/>
          <w:lang w:eastAsia="zh-CN"/>
        </w:rPr>
        <w:t>终止合</w:t>
      </w:r>
      <w:r>
        <w:rPr>
          <w:rFonts w:hint="eastAsia" w:ascii="宋体" w:hAnsi="宋体" w:eastAsia="宋体" w:cs="宋体"/>
          <w:color w:val="auto"/>
          <w:spacing w:val="-2"/>
          <w:sz w:val="24"/>
          <w:szCs w:val="24"/>
          <w:highlight w:val="none"/>
          <w:lang w:eastAsia="zh-CN"/>
        </w:rPr>
        <w:t>同而不给供方补偿。该终止合同将不损害或影</w:t>
      </w:r>
      <w:r>
        <w:rPr>
          <w:rFonts w:hint="eastAsia" w:ascii="宋体" w:hAnsi="宋体" w:eastAsia="宋体" w:cs="宋体"/>
          <w:color w:val="auto"/>
          <w:spacing w:val="-3"/>
          <w:sz w:val="24"/>
          <w:szCs w:val="24"/>
          <w:highlight w:val="none"/>
          <w:lang w:eastAsia="zh-CN"/>
        </w:rPr>
        <w:t>响需方已经采取或将要采取任何补救措施的权力。</w:t>
      </w:r>
    </w:p>
    <w:p w14:paraId="54448081">
      <w:pPr>
        <w:spacing w:before="181" w:line="221"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十八、合同转让和分包</w:t>
      </w:r>
    </w:p>
    <w:p w14:paraId="664DB078">
      <w:pPr>
        <w:spacing w:before="179"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18.1</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供方不得部分转让和分包或全部转让和分包其应履行的</w:t>
      </w:r>
      <w:r>
        <w:rPr>
          <w:rFonts w:hint="eastAsia" w:ascii="宋体" w:hAnsi="宋体" w:eastAsia="宋体" w:cs="宋体"/>
          <w:color w:val="auto"/>
          <w:spacing w:val="-2"/>
          <w:sz w:val="24"/>
          <w:szCs w:val="24"/>
          <w:highlight w:val="none"/>
          <w:lang w:eastAsia="zh-CN"/>
        </w:rPr>
        <w:t>合同义务。</w:t>
      </w:r>
    </w:p>
    <w:p w14:paraId="551377FA">
      <w:pPr>
        <w:spacing w:before="182" w:line="22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十九、需要补充的合同条款</w:t>
      </w:r>
    </w:p>
    <w:p w14:paraId="3DC868FB">
      <w:pPr>
        <w:spacing w:before="182" w:line="220" w:lineRule="auto"/>
        <w:ind w:left="55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19.1</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根据评标过程中或者商务谈判时商定的条款和条件在订立合同时</w:t>
      </w:r>
      <w:r>
        <w:rPr>
          <w:rFonts w:hint="eastAsia" w:ascii="宋体" w:hAnsi="宋体" w:eastAsia="宋体" w:cs="宋体"/>
          <w:color w:val="auto"/>
          <w:spacing w:val="-2"/>
          <w:sz w:val="24"/>
          <w:szCs w:val="24"/>
          <w:highlight w:val="none"/>
          <w:lang w:eastAsia="zh-CN"/>
        </w:rPr>
        <w:t>标明。</w:t>
      </w:r>
    </w:p>
    <w:p w14:paraId="3E687300">
      <w:pPr>
        <w:spacing w:before="179" w:line="220"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二十、适用法律</w:t>
      </w:r>
    </w:p>
    <w:p w14:paraId="1D07EF45">
      <w:pPr>
        <w:spacing w:before="183" w:line="219"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20.1</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本合同按照中华人民共和国的现行法律进行解释。</w:t>
      </w:r>
    </w:p>
    <w:p w14:paraId="1AA3E78E">
      <w:pPr>
        <w:spacing w:before="180" w:line="221"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二十一、合同生效</w:t>
      </w:r>
    </w:p>
    <w:p w14:paraId="23CCB281">
      <w:pPr>
        <w:spacing w:before="178" w:line="468"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21.1</w:t>
      </w:r>
      <w:r>
        <w:rPr>
          <w:rFonts w:hint="eastAsia" w:ascii="宋体" w:hAnsi="宋体" w:eastAsia="宋体" w:cs="宋体"/>
          <w:color w:val="auto"/>
          <w:spacing w:val="-30"/>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本合同在供需双方法定代表人或其授权代理人签字并加盖公章并且采购方收到</w:t>
      </w:r>
    </w:p>
    <w:p w14:paraId="5A939E88">
      <w:pPr>
        <w:spacing w:before="1" w:line="21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供方提交的履约保证金后生效。</w:t>
      </w:r>
    </w:p>
    <w:p w14:paraId="40B832A0">
      <w:pPr>
        <w:spacing w:before="183" w:line="219"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二十二、合同附件</w:t>
      </w:r>
    </w:p>
    <w:p w14:paraId="769993B8">
      <w:pPr>
        <w:spacing w:before="181" w:line="290" w:lineRule="auto"/>
        <w:ind w:left="497" w:right="660" w:hanging="14"/>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22.1</w:t>
      </w:r>
      <w:r>
        <w:rPr>
          <w:rFonts w:hint="eastAsia" w:ascii="宋体" w:hAnsi="宋体" w:eastAsia="宋体" w:cs="宋体"/>
          <w:color w:val="auto"/>
          <w:spacing w:val="-26"/>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下列文件构成本合同不可分割的组成部分，与本合同具有同等法律效力</w:t>
      </w:r>
    </w:p>
    <w:p w14:paraId="0BD40C5B">
      <w:pPr>
        <w:spacing w:before="181" w:line="290" w:lineRule="auto"/>
        <w:ind w:left="497" w:right="660" w:hanging="1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1、招标文件及澄清、补充文件；</w:t>
      </w:r>
    </w:p>
    <w:p w14:paraId="6D38C8E4">
      <w:pPr>
        <w:spacing w:before="180" w:line="219"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2、供方的投标文件、在投标期间的书面承诺文件和售后服务承诺书；</w:t>
      </w:r>
    </w:p>
    <w:p w14:paraId="6DB73F91">
      <w:pPr>
        <w:spacing w:before="182" w:line="466" w:lineRule="exact"/>
        <w:ind w:left="485"/>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3、产品样本（与合同配置不符之处，以合同为准</w:t>
      </w:r>
      <w:r>
        <w:rPr>
          <w:rFonts w:hint="eastAsia" w:ascii="宋体" w:hAnsi="宋体" w:eastAsia="宋体" w:cs="宋体"/>
          <w:color w:val="auto"/>
          <w:spacing w:val="3"/>
          <w:position w:val="17"/>
          <w:sz w:val="24"/>
          <w:szCs w:val="24"/>
          <w:highlight w:val="none"/>
          <w:lang w:eastAsia="zh-CN"/>
        </w:rPr>
        <w:t>）；</w:t>
      </w:r>
    </w:p>
    <w:p w14:paraId="5E3F5AB4">
      <w:pPr>
        <w:spacing w:line="219" w:lineRule="auto"/>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4、中标通知书；</w:t>
      </w:r>
    </w:p>
    <w:p w14:paraId="0120FDAA">
      <w:pPr>
        <w:spacing w:before="183" w:line="466" w:lineRule="exact"/>
        <w:ind w:left="485"/>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5、政府采购验收报告单；</w:t>
      </w:r>
    </w:p>
    <w:p w14:paraId="38D4E8AB">
      <w:pPr>
        <w:spacing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6、合同的其他附件：</w:t>
      </w:r>
    </w:p>
    <w:p w14:paraId="0B9FAF21">
      <w:pPr>
        <w:spacing w:before="184"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上述合同附件如果有不一致之处，以日期在后的和对需方有利的为准。</w:t>
      </w:r>
    </w:p>
    <w:p w14:paraId="784C08A3">
      <w:pPr>
        <w:spacing w:before="180" w:line="220"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二十三、合同修改</w:t>
      </w:r>
    </w:p>
    <w:p w14:paraId="43884DA8">
      <w:pPr>
        <w:spacing w:before="182" w:line="468"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23.1</w:t>
      </w:r>
      <w:r>
        <w:rPr>
          <w:rFonts w:hint="eastAsia" w:ascii="宋体" w:hAnsi="宋体" w:eastAsia="宋体" w:cs="宋体"/>
          <w:color w:val="auto"/>
          <w:spacing w:val="-30"/>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除供需双方和采购方签署书面修改、补充协议，并成为本合同不可分割的一部</w:t>
      </w:r>
    </w:p>
    <w:p w14:paraId="0871CF77">
      <w:pPr>
        <w:spacing w:before="1" w:line="219" w:lineRule="auto"/>
        <w:ind w:left="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分之外，本合同条件不得有任何变化或修改。</w:t>
      </w:r>
    </w:p>
    <w:p w14:paraId="7ADE625B">
      <w:pPr>
        <w:spacing w:before="180" w:line="221"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二十四、合同备案</w:t>
      </w:r>
    </w:p>
    <w:p w14:paraId="7F1A7DD5">
      <w:pPr>
        <w:spacing w:before="179" w:line="219"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24.1 自本合同订立之日起七个工作日内，向本级政府采购监督管理部门备案。</w:t>
      </w:r>
    </w:p>
    <w:p w14:paraId="398EA99D">
      <w:pPr>
        <w:spacing w:before="184" w:line="359" w:lineRule="auto"/>
        <w:ind w:left="2" w:right="2" w:firstLine="481"/>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二十五、政府采购法对政府采购合同变更终止的规定：</w:t>
      </w:r>
      <w:r>
        <w:rPr>
          <w:rFonts w:hint="eastAsia" w:ascii="宋体" w:hAnsi="宋体" w:eastAsia="宋体" w:cs="宋体"/>
          <w:color w:val="auto"/>
          <w:spacing w:val="-2"/>
          <w:sz w:val="24"/>
          <w:szCs w:val="24"/>
          <w:highlight w:val="none"/>
          <w:lang w:eastAsia="zh-CN"/>
        </w:rPr>
        <w:t>“政府采购合同的双方</w:t>
      </w:r>
      <w:r>
        <w:rPr>
          <w:rFonts w:hint="eastAsia" w:ascii="宋体" w:hAnsi="宋体" w:eastAsia="宋体" w:cs="宋体"/>
          <w:color w:val="auto"/>
          <w:spacing w:val="-3"/>
          <w:sz w:val="24"/>
          <w:szCs w:val="24"/>
          <w:highlight w:val="none"/>
          <w:lang w:eastAsia="zh-CN"/>
        </w:rPr>
        <w:t>当事人</w:t>
      </w:r>
      <w:r>
        <w:rPr>
          <w:rFonts w:hint="eastAsia" w:ascii="宋体" w:hAnsi="宋体" w:eastAsia="宋体" w:cs="宋体"/>
          <w:color w:val="auto"/>
          <w:spacing w:val="-2"/>
          <w:sz w:val="24"/>
          <w:szCs w:val="24"/>
          <w:highlight w:val="none"/>
          <w:lang w:eastAsia="zh-CN"/>
        </w:rPr>
        <w:t>不得擅自变更、中止或者终止合同。政府采购合同继续履行将损害国家利益和社会公共利益的，双方当事人应当变更、中止或者终止合同。有过错的一方应当承担赔偿责任，双方</w:t>
      </w:r>
      <w:r>
        <w:rPr>
          <w:rFonts w:hint="eastAsia" w:ascii="宋体" w:hAnsi="宋体" w:eastAsia="宋体" w:cs="宋体"/>
          <w:color w:val="auto"/>
          <w:spacing w:val="-1"/>
          <w:sz w:val="24"/>
          <w:szCs w:val="24"/>
          <w:highlight w:val="none"/>
          <w:lang w:eastAsia="zh-CN"/>
        </w:rPr>
        <w:t>都有过错的，各自承担相应的责任。</w:t>
      </w:r>
      <w:r>
        <w:rPr>
          <w:rFonts w:hint="eastAsia" w:ascii="宋体" w:hAnsi="宋体" w:eastAsia="宋体" w:cs="宋体"/>
          <w:color w:val="auto"/>
          <w:spacing w:val="-1"/>
          <w:sz w:val="24"/>
          <w:szCs w:val="24"/>
          <w:highlight w:val="none"/>
        </w:rPr>
        <w:t>”在本合同中</w:t>
      </w:r>
      <w:r>
        <w:rPr>
          <w:rFonts w:hint="eastAsia" w:ascii="宋体" w:hAnsi="宋体" w:eastAsia="宋体" w:cs="宋体"/>
          <w:color w:val="auto"/>
          <w:spacing w:val="-2"/>
          <w:sz w:val="24"/>
          <w:szCs w:val="24"/>
          <w:highlight w:val="none"/>
        </w:rPr>
        <w:t>，双方当事人指供需双方。</w:t>
      </w:r>
    </w:p>
    <w:p w14:paraId="79D69140">
      <w:pPr>
        <w:spacing w:before="1" w:line="219" w:lineRule="auto"/>
        <w:ind w:left="4"/>
        <w:rPr>
          <w:rFonts w:ascii="宋体" w:hAnsi="宋体" w:eastAsia="宋体" w:cs="宋体"/>
          <w:color w:val="auto"/>
          <w:spacing w:val="-2"/>
          <w:sz w:val="24"/>
          <w:szCs w:val="24"/>
          <w:highlight w:val="none"/>
        </w:rPr>
      </w:pPr>
    </w:p>
    <w:p w14:paraId="52CAC123">
      <w:pPr>
        <w:spacing w:before="1" w:line="219" w:lineRule="auto"/>
        <w:ind w:left="4"/>
        <w:rPr>
          <w:rFonts w:ascii="宋体" w:hAnsi="宋体" w:eastAsia="宋体" w:cs="宋体"/>
          <w:color w:val="auto"/>
          <w:spacing w:val="-2"/>
          <w:sz w:val="24"/>
          <w:szCs w:val="24"/>
          <w:highlight w:val="none"/>
        </w:rPr>
      </w:pPr>
    </w:p>
    <w:p w14:paraId="2C189527">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需方：</w:t>
      </w:r>
      <w:r>
        <w:rPr>
          <w:rFonts w:hint="eastAsia" w:ascii="宋体" w:hAnsi="宋体" w:eastAsia="宋体" w:cs="宋体"/>
          <w:color w:val="auto"/>
          <w:sz w:val="24"/>
          <w:szCs w:val="24"/>
          <w:highlight w:val="none"/>
          <w:lang w:eastAsia="zh-CN"/>
        </w:rPr>
        <w:t xml:space="preserve">                                   供方：</w:t>
      </w:r>
    </w:p>
    <w:p w14:paraId="45B55E55">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地址：</w:t>
      </w:r>
    </w:p>
    <w:p w14:paraId="0E01C9C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法定代表人：</w:t>
      </w:r>
    </w:p>
    <w:p w14:paraId="1395E43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或授权委托人：                           或授权委托人：</w:t>
      </w:r>
    </w:p>
    <w:p w14:paraId="0CBE989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签字日期：                               签字日期：</w:t>
      </w:r>
    </w:p>
    <w:p w14:paraId="1576542F">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邮政编码：                               邮政编码：</w:t>
      </w:r>
    </w:p>
    <w:p w14:paraId="3825A7A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                                   电话：</w:t>
      </w:r>
    </w:p>
    <w:p w14:paraId="6063102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传真：                                   传真：</w:t>
      </w:r>
    </w:p>
    <w:p w14:paraId="779899B7">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                                 联系人：</w:t>
      </w:r>
    </w:p>
    <w:p w14:paraId="616C5113">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                               开户银行：</w:t>
      </w:r>
    </w:p>
    <w:p w14:paraId="058A7450">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账户名称：                               账户名称：</w:t>
      </w:r>
    </w:p>
    <w:p w14:paraId="1405C4EA">
      <w:pPr>
        <w:spacing w:before="1" w:line="360" w:lineRule="auto"/>
        <w:ind w:left="4"/>
        <w:rPr>
          <w:rFonts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lang w:eastAsia="zh-CN"/>
        </w:rPr>
        <w:t>账号：                                   账号：</w:t>
      </w:r>
    </w:p>
    <w:p w14:paraId="66F0A453">
      <w:pPr>
        <w:rPr>
          <w:rFonts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br w:type="page"/>
      </w:r>
    </w:p>
    <w:p w14:paraId="0947347C">
      <w:pPr>
        <w:pStyle w:val="2"/>
        <w:numPr>
          <w:ilvl w:val="0"/>
          <w:numId w:val="3"/>
        </w:numPr>
        <w:spacing w:after="0" w:line="360" w:lineRule="auto"/>
        <w:jc w:val="center"/>
        <w:rPr>
          <w:rFonts w:ascii="宋体" w:hAnsi="宋体" w:cs="宋体"/>
          <w:color w:val="auto"/>
          <w:sz w:val="32"/>
          <w:szCs w:val="22"/>
          <w:highlight w:val="none"/>
          <w:lang w:eastAsia="zh-CN"/>
        </w:rPr>
      </w:pPr>
      <w:bookmarkStart w:id="23" w:name="_Toc9810"/>
      <w:r>
        <w:rPr>
          <w:rFonts w:hint="eastAsia" w:ascii="宋体" w:hAnsi="宋体" w:cs="宋体"/>
          <w:color w:val="auto"/>
          <w:sz w:val="32"/>
          <w:szCs w:val="22"/>
          <w:highlight w:val="none"/>
          <w:lang w:eastAsia="zh-CN"/>
        </w:rPr>
        <w:t>采购需求</w:t>
      </w:r>
      <w:bookmarkEnd w:id="23"/>
    </w:p>
    <w:p w14:paraId="151CC156">
      <w:pPr>
        <w:rPr>
          <w:rFonts w:hint="eastAsia" w:ascii="宋体" w:hAnsi="宋体" w:eastAsia="宋体" w:cs="宋体"/>
          <w:b/>
          <w:bCs/>
          <w:color w:val="auto"/>
          <w:sz w:val="28"/>
          <w:szCs w:val="28"/>
          <w:highlight w:val="none"/>
          <w:lang w:eastAsia="zh-CN"/>
        </w:rPr>
      </w:pPr>
    </w:p>
    <w:p w14:paraId="17D4E94E">
      <w:pPr>
        <w:rPr>
          <w:rFonts w:hint="eastAsia" w:ascii="宋体" w:hAnsi="宋体" w:eastAsia="宋体" w:cs="宋体"/>
          <w:b/>
          <w:bCs/>
          <w:color w:val="auto"/>
          <w:sz w:val="28"/>
          <w:szCs w:val="28"/>
          <w:highlight w:val="none"/>
          <w:lang w:eastAsia="zh-CN"/>
        </w:rPr>
      </w:pP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0"/>
        <w:gridCol w:w="2419"/>
        <w:gridCol w:w="1308"/>
        <w:gridCol w:w="1308"/>
        <w:gridCol w:w="1177"/>
        <w:gridCol w:w="1095"/>
        <w:gridCol w:w="1177"/>
      </w:tblGrid>
      <w:tr w14:paraId="6D4F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shd w:val="clear" w:color="auto" w:fill="auto"/>
            <w:noWrap/>
            <w:vAlign w:val="center"/>
          </w:tcPr>
          <w:p w14:paraId="4FCF2FA4">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1273" w:type="pct"/>
            <w:shd w:val="clear" w:color="auto" w:fill="auto"/>
            <w:noWrap/>
            <w:vAlign w:val="center"/>
          </w:tcPr>
          <w:p w14:paraId="63602067">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设备名称</w:t>
            </w:r>
          </w:p>
        </w:tc>
        <w:tc>
          <w:tcPr>
            <w:tcW w:w="688" w:type="pct"/>
            <w:shd w:val="clear" w:color="auto" w:fill="auto"/>
            <w:noWrap/>
            <w:vAlign w:val="center"/>
          </w:tcPr>
          <w:p w14:paraId="3A9AF4B4">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性质</w:t>
            </w:r>
          </w:p>
        </w:tc>
        <w:tc>
          <w:tcPr>
            <w:tcW w:w="688" w:type="pct"/>
            <w:shd w:val="clear" w:color="auto" w:fill="auto"/>
            <w:noWrap/>
            <w:vAlign w:val="center"/>
          </w:tcPr>
          <w:p w14:paraId="17D73DE1">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单价</w:t>
            </w:r>
          </w:p>
        </w:tc>
        <w:tc>
          <w:tcPr>
            <w:tcW w:w="619" w:type="pct"/>
            <w:shd w:val="clear" w:color="auto" w:fill="auto"/>
            <w:noWrap/>
            <w:vAlign w:val="center"/>
          </w:tcPr>
          <w:p w14:paraId="1F885DCE">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数量</w:t>
            </w:r>
          </w:p>
        </w:tc>
        <w:tc>
          <w:tcPr>
            <w:tcW w:w="576" w:type="pct"/>
            <w:shd w:val="clear" w:color="auto" w:fill="auto"/>
            <w:noWrap/>
            <w:vAlign w:val="center"/>
          </w:tcPr>
          <w:p w14:paraId="6B0113CE">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总价</w:t>
            </w:r>
          </w:p>
        </w:tc>
        <w:tc>
          <w:tcPr>
            <w:tcW w:w="619" w:type="pct"/>
            <w:shd w:val="clear" w:color="auto" w:fill="auto"/>
            <w:noWrap/>
            <w:vAlign w:val="center"/>
          </w:tcPr>
          <w:p w14:paraId="075E525E">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质保</w:t>
            </w:r>
          </w:p>
        </w:tc>
      </w:tr>
      <w:tr w14:paraId="08F3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32" w:type="pct"/>
            <w:shd w:val="clear" w:color="auto" w:fill="auto"/>
            <w:noWrap/>
            <w:vAlign w:val="center"/>
          </w:tcPr>
          <w:p w14:paraId="6F2E30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1273" w:type="pct"/>
            <w:shd w:val="clear" w:color="auto" w:fill="auto"/>
            <w:vAlign w:val="center"/>
          </w:tcPr>
          <w:p w14:paraId="53FEDF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立式冲击波治疗仪（发散式）</w:t>
            </w:r>
          </w:p>
        </w:tc>
        <w:tc>
          <w:tcPr>
            <w:tcW w:w="688" w:type="pct"/>
            <w:shd w:val="clear" w:color="auto" w:fill="auto"/>
            <w:vAlign w:val="center"/>
          </w:tcPr>
          <w:p w14:paraId="5827C9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进口</w:t>
            </w:r>
          </w:p>
        </w:tc>
        <w:tc>
          <w:tcPr>
            <w:tcW w:w="688" w:type="pct"/>
            <w:shd w:val="clear" w:color="auto" w:fill="auto"/>
            <w:noWrap/>
            <w:vAlign w:val="center"/>
          </w:tcPr>
          <w:p w14:paraId="7CA554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71</w:t>
            </w:r>
          </w:p>
        </w:tc>
        <w:tc>
          <w:tcPr>
            <w:tcW w:w="619" w:type="pct"/>
            <w:shd w:val="clear" w:color="auto" w:fill="auto"/>
            <w:noWrap/>
            <w:vAlign w:val="center"/>
          </w:tcPr>
          <w:p w14:paraId="172EBD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576" w:type="pct"/>
            <w:shd w:val="clear" w:color="auto" w:fill="auto"/>
            <w:noWrap/>
            <w:vAlign w:val="center"/>
          </w:tcPr>
          <w:p w14:paraId="27D041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71</w:t>
            </w:r>
          </w:p>
        </w:tc>
        <w:tc>
          <w:tcPr>
            <w:tcW w:w="619" w:type="pct"/>
            <w:shd w:val="clear" w:color="auto" w:fill="auto"/>
            <w:noWrap/>
            <w:vAlign w:val="center"/>
          </w:tcPr>
          <w:p w14:paraId="56F59F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1年</w:t>
            </w:r>
          </w:p>
        </w:tc>
      </w:tr>
      <w:tr w14:paraId="55F3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shd w:val="clear" w:color="auto" w:fill="auto"/>
            <w:noWrap/>
            <w:vAlign w:val="center"/>
          </w:tcPr>
          <w:p w14:paraId="4BD9DC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1273" w:type="pct"/>
            <w:shd w:val="clear" w:color="auto" w:fill="auto"/>
            <w:vAlign w:val="center"/>
          </w:tcPr>
          <w:p w14:paraId="5BE3F1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立式冲击波治疗仪（聚焦式）</w:t>
            </w:r>
          </w:p>
        </w:tc>
        <w:tc>
          <w:tcPr>
            <w:tcW w:w="688" w:type="pct"/>
            <w:shd w:val="clear" w:color="auto" w:fill="auto"/>
            <w:vAlign w:val="center"/>
          </w:tcPr>
          <w:p w14:paraId="36793F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国产</w:t>
            </w:r>
          </w:p>
        </w:tc>
        <w:tc>
          <w:tcPr>
            <w:tcW w:w="688" w:type="pct"/>
            <w:shd w:val="clear" w:color="auto" w:fill="auto"/>
            <w:noWrap/>
            <w:vAlign w:val="center"/>
          </w:tcPr>
          <w:p w14:paraId="1AB43A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76</w:t>
            </w:r>
          </w:p>
        </w:tc>
        <w:tc>
          <w:tcPr>
            <w:tcW w:w="619" w:type="pct"/>
            <w:shd w:val="clear" w:color="auto" w:fill="auto"/>
            <w:noWrap/>
            <w:vAlign w:val="center"/>
          </w:tcPr>
          <w:p w14:paraId="6B6061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576" w:type="pct"/>
            <w:shd w:val="clear" w:color="auto" w:fill="auto"/>
            <w:noWrap/>
            <w:vAlign w:val="center"/>
          </w:tcPr>
          <w:p w14:paraId="1C5AF8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76</w:t>
            </w:r>
          </w:p>
        </w:tc>
        <w:tc>
          <w:tcPr>
            <w:tcW w:w="619" w:type="pct"/>
            <w:shd w:val="clear" w:color="auto" w:fill="auto"/>
            <w:noWrap/>
            <w:vAlign w:val="center"/>
          </w:tcPr>
          <w:p w14:paraId="2C5B2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1年</w:t>
            </w:r>
          </w:p>
        </w:tc>
      </w:tr>
      <w:tr w14:paraId="46BA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shd w:val="clear" w:color="auto" w:fill="auto"/>
            <w:noWrap/>
            <w:vAlign w:val="center"/>
          </w:tcPr>
          <w:p w14:paraId="48760E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1273" w:type="pct"/>
            <w:shd w:val="clear" w:color="auto" w:fill="auto"/>
            <w:vAlign w:val="center"/>
          </w:tcPr>
          <w:p w14:paraId="73EDA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透析机</w:t>
            </w:r>
          </w:p>
        </w:tc>
        <w:tc>
          <w:tcPr>
            <w:tcW w:w="688" w:type="pct"/>
            <w:shd w:val="clear" w:color="auto" w:fill="auto"/>
            <w:vAlign w:val="center"/>
          </w:tcPr>
          <w:p w14:paraId="77D5B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国产</w:t>
            </w:r>
          </w:p>
        </w:tc>
        <w:tc>
          <w:tcPr>
            <w:tcW w:w="688" w:type="pct"/>
            <w:shd w:val="clear" w:color="auto" w:fill="auto"/>
            <w:noWrap/>
            <w:vAlign w:val="center"/>
          </w:tcPr>
          <w:p w14:paraId="3E92C1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11.1</w:t>
            </w:r>
          </w:p>
        </w:tc>
        <w:tc>
          <w:tcPr>
            <w:tcW w:w="619" w:type="pct"/>
            <w:shd w:val="clear" w:color="auto" w:fill="auto"/>
            <w:noWrap/>
            <w:vAlign w:val="center"/>
          </w:tcPr>
          <w:p w14:paraId="5406B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17</w:t>
            </w:r>
          </w:p>
        </w:tc>
        <w:tc>
          <w:tcPr>
            <w:tcW w:w="576" w:type="pct"/>
            <w:shd w:val="clear" w:color="auto" w:fill="auto"/>
            <w:noWrap/>
            <w:vAlign w:val="center"/>
          </w:tcPr>
          <w:p w14:paraId="67EDE9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188.7</w:t>
            </w:r>
          </w:p>
        </w:tc>
        <w:tc>
          <w:tcPr>
            <w:tcW w:w="619" w:type="pct"/>
            <w:shd w:val="clear" w:color="auto" w:fill="auto"/>
            <w:noWrap/>
            <w:vAlign w:val="center"/>
          </w:tcPr>
          <w:p w14:paraId="6631F2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1年</w:t>
            </w:r>
          </w:p>
        </w:tc>
      </w:tr>
      <w:tr w14:paraId="4867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shd w:val="clear" w:color="auto" w:fill="auto"/>
            <w:noWrap/>
            <w:vAlign w:val="center"/>
          </w:tcPr>
          <w:p w14:paraId="0A00EE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1273" w:type="pct"/>
            <w:shd w:val="clear" w:color="auto" w:fill="auto"/>
            <w:vAlign w:val="center"/>
          </w:tcPr>
          <w:p w14:paraId="456E8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前列腺粒子导航</w:t>
            </w:r>
          </w:p>
        </w:tc>
        <w:tc>
          <w:tcPr>
            <w:tcW w:w="688" w:type="pct"/>
            <w:shd w:val="clear" w:color="auto" w:fill="auto"/>
            <w:vAlign w:val="center"/>
          </w:tcPr>
          <w:p w14:paraId="13DD22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国产</w:t>
            </w:r>
          </w:p>
        </w:tc>
        <w:tc>
          <w:tcPr>
            <w:tcW w:w="688" w:type="pct"/>
            <w:shd w:val="clear" w:color="auto" w:fill="auto"/>
            <w:noWrap/>
            <w:vAlign w:val="center"/>
          </w:tcPr>
          <w:p w14:paraId="49F1DD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92</w:t>
            </w:r>
          </w:p>
        </w:tc>
        <w:tc>
          <w:tcPr>
            <w:tcW w:w="619" w:type="pct"/>
            <w:shd w:val="clear" w:color="auto" w:fill="auto"/>
            <w:noWrap/>
            <w:vAlign w:val="center"/>
          </w:tcPr>
          <w:p w14:paraId="4840A4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576" w:type="pct"/>
            <w:shd w:val="clear" w:color="auto" w:fill="auto"/>
            <w:noWrap/>
            <w:vAlign w:val="center"/>
          </w:tcPr>
          <w:p w14:paraId="672D7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92</w:t>
            </w:r>
          </w:p>
        </w:tc>
        <w:tc>
          <w:tcPr>
            <w:tcW w:w="619" w:type="pct"/>
            <w:shd w:val="clear" w:color="auto" w:fill="auto"/>
            <w:noWrap/>
            <w:vAlign w:val="center"/>
          </w:tcPr>
          <w:p w14:paraId="7F2060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1年</w:t>
            </w:r>
          </w:p>
        </w:tc>
      </w:tr>
      <w:tr w14:paraId="708F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shd w:val="clear" w:color="auto" w:fill="auto"/>
            <w:noWrap/>
            <w:vAlign w:val="center"/>
          </w:tcPr>
          <w:p w14:paraId="1FDDBE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1273" w:type="pct"/>
            <w:shd w:val="clear" w:color="auto" w:fill="auto"/>
            <w:vAlign w:val="center"/>
          </w:tcPr>
          <w:p w14:paraId="0AD098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不锈钢器械车（三合一套车）</w:t>
            </w:r>
          </w:p>
        </w:tc>
        <w:tc>
          <w:tcPr>
            <w:tcW w:w="688" w:type="pct"/>
            <w:shd w:val="clear" w:color="auto" w:fill="auto"/>
            <w:vAlign w:val="center"/>
          </w:tcPr>
          <w:p w14:paraId="788CD1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国产</w:t>
            </w:r>
          </w:p>
        </w:tc>
        <w:tc>
          <w:tcPr>
            <w:tcW w:w="688" w:type="pct"/>
            <w:shd w:val="clear" w:color="auto" w:fill="auto"/>
            <w:noWrap/>
            <w:vAlign w:val="center"/>
          </w:tcPr>
          <w:p w14:paraId="2F62F1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0.26</w:t>
            </w:r>
          </w:p>
        </w:tc>
        <w:tc>
          <w:tcPr>
            <w:tcW w:w="619" w:type="pct"/>
            <w:shd w:val="clear" w:color="auto" w:fill="auto"/>
            <w:vAlign w:val="center"/>
          </w:tcPr>
          <w:p w14:paraId="1D3C5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576" w:type="pct"/>
            <w:shd w:val="clear" w:color="auto" w:fill="auto"/>
            <w:vAlign w:val="center"/>
          </w:tcPr>
          <w:p w14:paraId="7EF39F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1.82</w:t>
            </w:r>
          </w:p>
        </w:tc>
        <w:tc>
          <w:tcPr>
            <w:tcW w:w="619" w:type="pct"/>
            <w:shd w:val="clear" w:color="auto" w:fill="auto"/>
            <w:noWrap/>
            <w:vAlign w:val="center"/>
          </w:tcPr>
          <w:p w14:paraId="550FF2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1年</w:t>
            </w:r>
          </w:p>
        </w:tc>
      </w:tr>
      <w:tr w14:paraId="7327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shd w:val="clear" w:color="auto" w:fill="auto"/>
            <w:noWrap/>
            <w:vAlign w:val="center"/>
          </w:tcPr>
          <w:p w14:paraId="73C9AE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1273" w:type="pct"/>
            <w:shd w:val="clear" w:color="auto" w:fill="auto"/>
            <w:vAlign w:val="center"/>
          </w:tcPr>
          <w:p w14:paraId="32488B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不锈钢输液车</w:t>
            </w:r>
          </w:p>
        </w:tc>
        <w:tc>
          <w:tcPr>
            <w:tcW w:w="688" w:type="pct"/>
            <w:shd w:val="clear" w:color="auto" w:fill="auto"/>
            <w:vAlign w:val="center"/>
          </w:tcPr>
          <w:p w14:paraId="073344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国产</w:t>
            </w:r>
          </w:p>
        </w:tc>
        <w:tc>
          <w:tcPr>
            <w:tcW w:w="688" w:type="pct"/>
            <w:shd w:val="clear" w:color="auto" w:fill="auto"/>
            <w:noWrap/>
            <w:vAlign w:val="center"/>
          </w:tcPr>
          <w:p w14:paraId="314BA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0.13</w:t>
            </w:r>
          </w:p>
        </w:tc>
        <w:tc>
          <w:tcPr>
            <w:tcW w:w="619" w:type="pct"/>
            <w:shd w:val="clear" w:color="auto" w:fill="auto"/>
            <w:vAlign w:val="center"/>
          </w:tcPr>
          <w:p w14:paraId="0C50C4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576" w:type="pct"/>
            <w:shd w:val="clear" w:color="auto" w:fill="auto"/>
            <w:vAlign w:val="center"/>
          </w:tcPr>
          <w:p w14:paraId="2895F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0.13</w:t>
            </w:r>
          </w:p>
        </w:tc>
        <w:tc>
          <w:tcPr>
            <w:tcW w:w="619" w:type="pct"/>
            <w:shd w:val="clear" w:color="auto" w:fill="auto"/>
            <w:noWrap/>
            <w:vAlign w:val="center"/>
          </w:tcPr>
          <w:p w14:paraId="7A3DDD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1年</w:t>
            </w:r>
          </w:p>
        </w:tc>
      </w:tr>
      <w:tr w14:paraId="6091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shd w:val="clear" w:color="auto" w:fill="auto"/>
            <w:noWrap/>
            <w:vAlign w:val="center"/>
          </w:tcPr>
          <w:p w14:paraId="0E4980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1273" w:type="pct"/>
            <w:shd w:val="clear" w:color="auto" w:fill="auto"/>
            <w:vAlign w:val="center"/>
          </w:tcPr>
          <w:p w14:paraId="24C740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静点车</w:t>
            </w:r>
          </w:p>
        </w:tc>
        <w:tc>
          <w:tcPr>
            <w:tcW w:w="688" w:type="pct"/>
            <w:shd w:val="clear" w:color="auto" w:fill="auto"/>
            <w:vAlign w:val="center"/>
          </w:tcPr>
          <w:p w14:paraId="41885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国产</w:t>
            </w:r>
          </w:p>
        </w:tc>
        <w:tc>
          <w:tcPr>
            <w:tcW w:w="688" w:type="pct"/>
            <w:shd w:val="clear" w:color="auto" w:fill="auto"/>
            <w:noWrap/>
            <w:vAlign w:val="center"/>
          </w:tcPr>
          <w:p w14:paraId="23A7D2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0.2</w:t>
            </w:r>
          </w:p>
        </w:tc>
        <w:tc>
          <w:tcPr>
            <w:tcW w:w="619" w:type="pct"/>
            <w:shd w:val="clear" w:color="auto" w:fill="auto"/>
            <w:vAlign w:val="center"/>
          </w:tcPr>
          <w:p w14:paraId="605C0F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576" w:type="pct"/>
            <w:shd w:val="clear" w:color="auto" w:fill="auto"/>
            <w:vAlign w:val="center"/>
          </w:tcPr>
          <w:p w14:paraId="79FE39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0.6</w:t>
            </w:r>
          </w:p>
        </w:tc>
        <w:tc>
          <w:tcPr>
            <w:tcW w:w="619" w:type="pct"/>
            <w:shd w:val="clear" w:color="auto" w:fill="auto"/>
            <w:noWrap/>
            <w:vAlign w:val="center"/>
          </w:tcPr>
          <w:p w14:paraId="50A94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1年</w:t>
            </w:r>
          </w:p>
        </w:tc>
      </w:tr>
      <w:tr w14:paraId="54C6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shd w:val="clear" w:color="auto" w:fill="auto"/>
            <w:noWrap/>
            <w:vAlign w:val="center"/>
          </w:tcPr>
          <w:p w14:paraId="3C74A9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w:t>
            </w:r>
          </w:p>
        </w:tc>
        <w:tc>
          <w:tcPr>
            <w:tcW w:w="1273" w:type="pct"/>
            <w:shd w:val="clear" w:color="auto" w:fill="auto"/>
            <w:vAlign w:val="center"/>
          </w:tcPr>
          <w:p w14:paraId="6C2F3E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上玻璃下铁柜</w:t>
            </w:r>
          </w:p>
        </w:tc>
        <w:tc>
          <w:tcPr>
            <w:tcW w:w="688" w:type="pct"/>
            <w:shd w:val="clear" w:color="auto" w:fill="auto"/>
            <w:vAlign w:val="center"/>
          </w:tcPr>
          <w:p w14:paraId="5CF072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国产</w:t>
            </w:r>
          </w:p>
        </w:tc>
        <w:tc>
          <w:tcPr>
            <w:tcW w:w="688" w:type="pct"/>
            <w:shd w:val="clear" w:color="auto" w:fill="auto"/>
            <w:vAlign w:val="center"/>
          </w:tcPr>
          <w:p w14:paraId="51F3FC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0.22</w:t>
            </w:r>
          </w:p>
        </w:tc>
        <w:tc>
          <w:tcPr>
            <w:tcW w:w="619" w:type="pct"/>
            <w:shd w:val="clear" w:color="auto" w:fill="auto"/>
            <w:vAlign w:val="center"/>
          </w:tcPr>
          <w:p w14:paraId="22D74A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576" w:type="pct"/>
            <w:shd w:val="clear" w:color="auto" w:fill="auto"/>
            <w:vAlign w:val="center"/>
          </w:tcPr>
          <w:p w14:paraId="68919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0.22</w:t>
            </w:r>
          </w:p>
        </w:tc>
        <w:tc>
          <w:tcPr>
            <w:tcW w:w="619" w:type="pct"/>
            <w:shd w:val="clear" w:color="auto" w:fill="auto"/>
            <w:noWrap/>
            <w:vAlign w:val="center"/>
          </w:tcPr>
          <w:p w14:paraId="468005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1年</w:t>
            </w:r>
          </w:p>
        </w:tc>
      </w:tr>
      <w:tr w14:paraId="7E40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shd w:val="clear" w:color="auto" w:fill="auto"/>
            <w:noWrap/>
            <w:vAlign w:val="center"/>
          </w:tcPr>
          <w:p w14:paraId="24F32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w:t>
            </w:r>
          </w:p>
        </w:tc>
        <w:tc>
          <w:tcPr>
            <w:tcW w:w="1273" w:type="pct"/>
            <w:shd w:val="clear" w:color="auto" w:fill="auto"/>
            <w:vAlign w:val="center"/>
          </w:tcPr>
          <w:p w14:paraId="5DD44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静点车</w:t>
            </w:r>
          </w:p>
        </w:tc>
        <w:tc>
          <w:tcPr>
            <w:tcW w:w="688" w:type="pct"/>
            <w:shd w:val="clear" w:color="auto" w:fill="auto"/>
            <w:vAlign w:val="center"/>
          </w:tcPr>
          <w:p w14:paraId="4B7CC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国产</w:t>
            </w:r>
          </w:p>
        </w:tc>
        <w:tc>
          <w:tcPr>
            <w:tcW w:w="688" w:type="pct"/>
            <w:shd w:val="clear" w:color="auto" w:fill="auto"/>
            <w:vAlign w:val="center"/>
          </w:tcPr>
          <w:p w14:paraId="3A0584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0.2</w:t>
            </w:r>
          </w:p>
        </w:tc>
        <w:tc>
          <w:tcPr>
            <w:tcW w:w="619" w:type="pct"/>
            <w:shd w:val="clear" w:color="auto" w:fill="auto"/>
            <w:vAlign w:val="center"/>
          </w:tcPr>
          <w:p w14:paraId="7830E4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576" w:type="pct"/>
            <w:shd w:val="clear" w:color="auto" w:fill="auto"/>
            <w:vAlign w:val="center"/>
          </w:tcPr>
          <w:p w14:paraId="5A4CC5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0.2</w:t>
            </w:r>
          </w:p>
        </w:tc>
        <w:tc>
          <w:tcPr>
            <w:tcW w:w="619" w:type="pct"/>
            <w:shd w:val="clear" w:color="auto" w:fill="auto"/>
            <w:noWrap/>
            <w:vAlign w:val="center"/>
          </w:tcPr>
          <w:p w14:paraId="12503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1年</w:t>
            </w:r>
          </w:p>
        </w:tc>
      </w:tr>
    </w:tbl>
    <w:p w14:paraId="3071A91A">
      <w:pPr>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w:t>
      </w:r>
    </w:p>
    <w:p w14:paraId="38A6B495">
      <w:pPr>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本章技术需求中的所有条款均需提供佐证材料，佐证材料为所投产品的技术白皮书，不提供视为实质性不满足。</w:t>
      </w:r>
    </w:p>
    <w:p w14:paraId="0D42B353">
      <w:pPr>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2.供应商须提供所投标段产品的完整配置清单，不提供视为实质性不满足。</w:t>
      </w:r>
    </w:p>
    <w:p w14:paraId="04B7F0BC">
      <w:pPr>
        <w:jc w:val="center"/>
        <w:rPr>
          <w:rFonts w:ascii="宋体" w:hAnsi="宋体" w:eastAsia="宋体" w:cs="宋体"/>
          <w:b/>
          <w:bCs/>
          <w:color w:val="auto"/>
          <w:sz w:val="28"/>
          <w:szCs w:val="28"/>
          <w:highlight w:val="none"/>
          <w:lang w:eastAsia="zh-CN"/>
        </w:rPr>
      </w:pPr>
    </w:p>
    <w:p w14:paraId="2F0C2434">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14407481">
      <w:pPr>
        <w:jc w:val="center"/>
        <w:rPr>
          <w:rFonts w:ascii="宋体" w:hAnsi="宋体" w:eastAsia="宋体" w:cs="宋体"/>
          <w:bCs/>
          <w:color w:val="auto"/>
          <w:sz w:val="24"/>
          <w:szCs w:val="24"/>
          <w:highlight w:val="none"/>
          <w:lang w:eastAsia="zh-CN"/>
        </w:rPr>
      </w:pPr>
      <w:r>
        <w:rPr>
          <w:rFonts w:hint="eastAsia" w:ascii="宋体" w:hAnsi="宋体" w:eastAsia="宋体" w:cs="宋体"/>
          <w:b/>
          <w:bCs/>
          <w:color w:val="auto"/>
          <w:sz w:val="28"/>
          <w:szCs w:val="28"/>
          <w:highlight w:val="none"/>
          <w:lang w:eastAsia="zh-CN"/>
        </w:rPr>
        <w:t>01标段  立式冲击波治疗仪（发散式）技术参数</w:t>
      </w:r>
    </w:p>
    <w:tbl>
      <w:tblPr>
        <w:tblStyle w:val="26"/>
        <w:tblW w:w="5165" w:type="pct"/>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9048"/>
      </w:tblGrid>
      <w:tr w14:paraId="3249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270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序号</w:t>
            </w:r>
          </w:p>
        </w:tc>
        <w:tc>
          <w:tcPr>
            <w:tcW w:w="4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C7E8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招标参数和性能要求</w:t>
            </w:r>
          </w:p>
        </w:tc>
      </w:tr>
      <w:tr w14:paraId="4603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D20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一</w:t>
            </w:r>
          </w:p>
        </w:tc>
        <w:tc>
          <w:tcPr>
            <w:tcW w:w="4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FD4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实质性条款（必须响应，否则投标无效）</w:t>
            </w:r>
          </w:p>
        </w:tc>
      </w:tr>
      <w:tr w14:paraId="42B9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B8F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w:t>
            </w:r>
          </w:p>
        </w:tc>
        <w:tc>
          <w:tcPr>
            <w:tcW w:w="4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F70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功能及基本商务要求</w:t>
            </w:r>
          </w:p>
        </w:tc>
      </w:tr>
      <w:tr w14:paraId="064F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ED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30F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设备整体化制造工艺：主机、手柄、探头为同一品牌同一制造商生产，非OEM贴牌机</w:t>
            </w:r>
          </w:p>
        </w:tc>
      </w:tr>
      <w:tr w14:paraId="6583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BF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40E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操控界面：旋钮和物理按钮式（非触摸式）操控方式，防止出现误操作。</w:t>
            </w:r>
          </w:p>
        </w:tc>
      </w:tr>
      <w:tr w14:paraId="481C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1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434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主机参数显示：七段数码管显示。 </w:t>
            </w:r>
          </w:p>
        </w:tc>
      </w:tr>
      <w:tr w14:paraId="2125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005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3AD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治疗手柄为非伸缩式设计。</w:t>
            </w:r>
          </w:p>
        </w:tc>
      </w:tr>
      <w:tr w14:paraId="2859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nil"/>
              <w:right w:val="single" w:color="000000" w:sz="4" w:space="0"/>
            </w:tcBorders>
            <w:shd w:val="clear" w:color="auto" w:fill="auto"/>
            <w:vAlign w:val="center"/>
          </w:tcPr>
          <w:p w14:paraId="1C7680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w:t>
            </w:r>
          </w:p>
        </w:tc>
        <w:tc>
          <w:tcPr>
            <w:tcW w:w="4608" w:type="pct"/>
            <w:tcBorders>
              <w:top w:val="single" w:color="000000" w:sz="4" w:space="0"/>
              <w:left w:val="single" w:color="000000" w:sz="4" w:space="0"/>
              <w:bottom w:val="nil"/>
              <w:right w:val="single" w:color="000000" w:sz="4" w:space="0"/>
            </w:tcBorders>
            <w:shd w:val="clear" w:color="auto" w:fill="auto"/>
            <w:noWrap/>
            <w:vAlign w:val="center"/>
          </w:tcPr>
          <w:p w14:paraId="0CFA0A7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整机日常保养维护：免排水、免更换过滤器滤蕊设计。                                                                                                                                                                                                                                                                                                                    </w:t>
            </w:r>
          </w:p>
        </w:tc>
      </w:tr>
      <w:tr w14:paraId="2206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B8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4B6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设备原理：气压弹道式冲击波。</w:t>
            </w:r>
          </w:p>
        </w:tc>
      </w:tr>
      <w:tr w14:paraId="59FD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B5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F03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整机重量（含空气压缩机）：≤10 kg。（空气压缩机为主机内置式一体化设计，体积小、重量轻，方便携带出诊使用。</w:t>
            </w:r>
          </w:p>
        </w:tc>
      </w:tr>
      <w:tr w14:paraId="5311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D8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2.2</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E94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治疗手柄重量：≤600g。</w:t>
            </w:r>
          </w:p>
        </w:tc>
      </w:tr>
      <w:tr w14:paraId="0B00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F2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2.3</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8E0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最大治疗压力：4bar（可升级到5bar）。</w:t>
            </w:r>
          </w:p>
        </w:tc>
      </w:tr>
      <w:tr w14:paraId="1555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B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2.4</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09C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最大治疗频率：15HZ（可升级到21Hz）。</w:t>
            </w:r>
          </w:p>
        </w:tc>
      </w:tr>
      <w:tr w14:paraId="606F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C6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8B5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最大能量≥：0.8mJ/mm2</w:t>
            </w:r>
          </w:p>
        </w:tc>
      </w:tr>
      <w:tr w14:paraId="164D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1A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2.6</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C85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计数功能：主机可记录手柄冲击的总次数</w:t>
            </w:r>
          </w:p>
        </w:tc>
      </w:tr>
      <w:tr w14:paraId="5FF0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vAlign w:val="center"/>
          </w:tcPr>
          <w:p w14:paraId="06539F8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006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配置要求：</w:t>
            </w:r>
          </w:p>
        </w:tc>
      </w:tr>
      <w:tr w14:paraId="0CE1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noWrap/>
            <w:vAlign w:val="center"/>
          </w:tcPr>
          <w:p w14:paraId="0C16AA3A">
            <w:pPr>
              <w:jc w:val="center"/>
              <w:rPr>
                <w:rFonts w:hint="eastAsia" w:ascii="宋体" w:hAnsi="宋体" w:eastAsia="宋体" w:cs="宋体"/>
                <w:i w:val="0"/>
                <w:iCs w:val="0"/>
                <w:color w:val="auto"/>
                <w:sz w:val="24"/>
                <w:szCs w:val="24"/>
                <w:highlight w:val="none"/>
                <w:u w:val="none"/>
              </w:rPr>
            </w:pP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F03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1.体外冲击波疼痛治疗系统主机 1台</w:t>
            </w:r>
          </w:p>
        </w:tc>
      </w:tr>
      <w:tr w14:paraId="232A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noWrap/>
            <w:vAlign w:val="center"/>
          </w:tcPr>
          <w:p w14:paraId="087562C9">
            <w:pPr>
              <w:jc w:val="center"/>
              <w:rPr>
                <w:rFonts w:hint="eastAsia" w:ascii="宋体" w:hAnsi="宋体" w:eastAsia="宋体" w:cs="宋体"/>
                <w:i w:val="0"/>
                <w:iCs w:val="0"/>
                <w:color w:val="auto"/>
                <w:sz w:val="24"/>
                <w:szCs w:val="24"/>
                <w:highlight w:val="none"/>
                <w:u w:val="none"/>
              </w:rPr>
            </w:pP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B69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2.非伸缩治疗手柄 1 把</w:t>
            </w:r>
          </w:p>
        </w:tc>
      </w:tr>
      <w:tr w14:paraId="1707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noWrap/>
            <w:vAlign w:val="center"/>
          </w:tcPr>
          <w:p w14:paraId="6BF03CC3">
            <w:pPr>
              <w:jc w:val="center"/>
              <w:rPr>
                <w:rFonts w:hint="eastAsia" w:ascii="宋体" w:hAnsi="宋体" w:eastAsia="宋体" w:cs="宋体"/>
                <w:i w:val="0"/>
                <w:iCs w:val="0"/>
                <w:color w:val="auto"/>
                <w:sz w:val="24"/>
                <w:szCs w:val="24"/>
                <w:highlight w:val="none"/>
                <w:u w:val="none"/>
              </w:rPr>
            </w:pP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627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3.冲击波20mm松解治疗探头1个</w:t>
            </w:r>
          </w:p>
        </w:tc>
      </w:tr>
      <w:tr w14:paraId="65BC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noWrap/>
            <w:vAlign w:val="center"/>
          </w:tcPr>
          <w:p w14:paraId="7D81250D">
            <w:pPr>
              <w:jc w:val="center"/>
              <w:rPr>
                <w:rFonts w:hint="eastAsia" w:ascii="宋体" w:hAnsi="宋体" w:eastAsia="宋体" w:cs="宋体"/>
                <w:i w:val="0"/>
                <w:iCs w:val="0"/>
                <w:color w:val="auto"/>
                <w:sz w:val="24"/>
                <w:szCs w:val="24"/>
                <w:highlight w:val="none"/>
                <w:u w:val="none"/>
              </w:rPr>
            </w:pP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F78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4.冲击波15mm疼痛治疗探头 1个</w:t>
            </w:r>
          </w:p>
        </w:tc>
      </w:tr>
      <w:tr w14:paraId="5D8F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noWrap/>
            <w:vAlign w:val="center"/>
          </w:tcPr>
          <w:p w14:paraId="44E59705">
            <w:pPr>
              <w:jc w:val="center"/>
              <w:rPr>
                <w:rFonts w:hint="eastAsia" w:ascii="宋体" w:hAnsi="宋体" w:eastAsia="宋体" w:cs="宋体"/>
                <w:i w:val="0"/>
                <w:iCs w:val="0"/>
                <w:color w:val="auto"/>
                <w:sz w:val="24"/>
                <w:szCs w:val="24"/>
                <w:highlight w:val="none"/>
                <w:u w:val="none"/>
              </w:rPr>
            </w:pP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097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5.冲击波15mm深部治疗探头 1个</w:t>
            </w:r>
          </w:p>
        </w:tc>
      </w:tr>
      <w:tr w14:paraId="5256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noWrap/>
            <w:vAlign w:val="center"/>
          </w:tcPr>
          <w:p w14:paraId="590E2133">
            <w:pPr>
              <w:jc w:val="center"/>
              <w:rPr>
                <w:rFonts w:hint="eastAsia" w:ascii="宋体" w:hAnsi="宋体" w:eastAsia="宋体" w:cs="宋体"/>
                <w:i w:val="0"/>
                <w:iCs w:val="0"/>
                <w:color w:val="auto"/>
                <w:sz w:val="24"/>
                <w:szCs w:val="24"/>
                <w:highlight w:val="none"/>
                <w:u w:val="none"/>
              </w:rPr>
            </w:pP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684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6.中文/英文说明书1个</w:t>
            </w:r>
          </w:p>
        </w:tc>
      </w:tr>
      <w:tr w14:paraId="2C63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noWrap/>
            <w:vAlign w:val="center"/>
          </w:tcPr>
          <w:p w14:paraId="0A1CAE4D">
            <w:pPr>
              <w:jc w:val="center"/>
              <w:rPr>
                <w:rFonts w:hint="eastAsia" w:ascii="宋体" w:hAnsi="宋体" w:eastAsia="宋体" w:cs="宋体"/>
                <w:i w:val="0"/>
                <w:iCs w:val="0"/>
                <w:color w:val="auto"/>
                <w:sz w:val="24"/>
                <w:szCs w:val="24"/>
                <w:highlight w:val="none"/>
                <w:u w:val="none"/>
              </w:rPr>
            </w:pP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D24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7.耦合剂1个</w:t>
            </w:r>
          </w:p>
        </w:tc>
      </w:tr>
      <w:tr w14:paraId="51A19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noWrap/>
            <w:vAlign w:val="center"/>
          </w:tcPr>
          <w:p w14:paraId="1E487FE7">
            <w:pPr>
              <w:jc w:val="center"/>
              <w:rPr>
                <w:rFonts w:hint="eastAsia" w:ascii="宋体" w:hAnsi="宋体" w:eastAsia="宋体" w:cs="宋体"/>
                <w:i w:val="0"/>
                <w:iCs w:val="0"/>
                <w:color w:val="auto"/>
                <w:sz w:val="24"/>
                <w:szCs w:val="24"/>
                <w:highlight w:val="none"/>
                <w:u w:val="none"/>
              </w:rPr>
            </w:pP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EE8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8.电源线 1个</w:t>
            </w:r>
          </w:p>
        </w:tc>
      </w:tr>
      <w:tr w14:paraId="53D7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nil"/>
            </w:tcBorders>
            <w:shd w:val="clear" w:color="auto" w:fill="auto"/>
            <w:vAlign w:val="center"/>
          </w:tcPr>
          <w:p w14:paraId="76A87E5F">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4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1C9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供应商须提供所投标段产品的完整配置清单，不提供视为实质性不满足。</w:t>
            </w:r>
          </w:p>
        </w:tc>
      </w:tr>
      <w:tr w14:paraId="0ABB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D91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二</w:t>
            </w:r>
          </w:p>
        </w:tc>
        <w:tc>
          <w:tcPr>
            <w:tcW w:w="4608" w:type="pct"/>
            <w:tcBorders>
              <w:top w:val="nil"/>
              <w:left w:val="single" w:color="000000" w:sz="4" w:space="0"/>
              <w:bottom w:val="single" w:color="000000" w:sz="4" w:space="0"/>
              <w:right w:val="single" w:color="000000" w:sz="4" w:space="0"/>
            </w:tcBorders>
            <w:shd w:val="clear" w:color="auto" w:fill="auto"/>
            <w:vAlign w:val="center"/>
          </w:tcPr>
          <w:p w14:paraId="10AAB76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设备优势性参数要</w:t>
            </w:r>
          </w:p>
        </w:tc>
      </w:tr>
      <w:tr w14:paraId="7F22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8335">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4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B22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设备临床适用范围： </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1种冲击波临床合法适用范围（2分），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2种冲击波临床合法适用范围（5分），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3种及以上冲击波临床合法适用范围（8分），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可以实现对疼痛等相关疾病进行冲击波中西医结合治疗。（提供产品注册证适用范围证明材料）</w:t>
            </w:r>
          </w:p>
        </w:tc>
      </w:tr>
      <w:tr w14:paraId="7706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5EF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4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940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治疗手柄权威机构职业安全振动检测，保证操作者职业安全。</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1家权威机构职业安全振动检验（2分）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2家权威机构职业安全振动检验（5分）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3家及以上权威机构职业安全振动检验（8分）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（提供检测报告证明材料）</w:t>
            </w:r>
          </w:p>
        </w:tc>
      </w:tr>
      <w:tr w14:paraId="42DF6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9A0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4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EA7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至少具备一种探头专利技术：</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有1种探头专利技术（2分）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有2种探头专利技术（5分）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有3种及以上探头专利技术（8分）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（提供专利技术证明材料）</w:t>
            </w:r>
          </w:p>
        </w:tc>
      </w:tr>
      <w:tr w14:paraId="226B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F016">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4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762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设备具有不用治疗探头：</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设备有1种不同材料治疗探头(2分）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设备有2种不同材料治疗探头（5分）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设备有3种及以上不同材料治疗探头（8分）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（提供设备彩页证明材料）</w:t>
            </w:r>
          </w:p>
        </w:tc>
      </w:tr>
      <w:tr w14:paraId="06EB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06D7">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4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4D3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主机USB接口：</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主机1个USB数据接口（2分）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主机2个USB数据接口（5分）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主机3个及以上USB数据接口（8分）提供产品说明书证明材料</w:t>
            </w:r>
          </w:p>
        </w:tc>
      </w:tr>
      <w:tr w14:paraId="177F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45D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4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FA9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在国家食品药品监督管理局注册探头种类：</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3种≤探头种类＜6种（2分）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6种≤探头种类＜9种（5分）</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探头种类≥9种（8分）（提供注册证证明材料）</w:t>
            </w:r>
          </w:p>
        </w:tc>
      </w:tr>
    </w:tbl>
    <w:p w14:paraId="3E0A1C68">
      <w:pPr>
        <w:spacing w:line="360" w:lineRule="auto"/>
        <w:ind w:firstLine="480" w:firstLineChars="200"/>
        <w:outlineLvl w:val="1"/>
        <w:rPr>
          <w:rFonts w:ascii="宋体" w:hAnsi="宋体" w:eastAsia="宋体" w:cs="宋体"/>
          <w:color w:val="auto"/>
          <w:sz w:val="24"/>
          <w:szCs w:val="24"/>
          <w:highlight w:val="none"/>
          <w:lang w:eastAsia="zh-CN"/>
        </w:rPr>
      </w:pPr>
    </w:p>
    <w:p w14:paraId="6D1225C9">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C8BCA49">
      <w:pPr>
        <w:jc w:val="cente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02标段  立式冲击波治疗仪（聚焦式）技术参数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2"/>
        <w:gridCol w:w="8440"/>
      </w:tblGrid>
      <w:tr w14:paraId="311A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2921588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序号</w:t>
            </w:r>
          </w:p>
        </w:tc>
        <w:tc>
          <w:tcPr>
            <w:tcW w:w="4440" w:type="pct"/>
            <w:shd w:val="clear" w:color="auto" w:fill="auto"/>
            <w:vAlign w:val="center"/>
          </w:tcPr>
          <w:p w14:paraId="6AD3A5F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招标参数和性能要求</w:t>
            </w:r>
          </w:p>
        </w:tc>
      </w:tr>
      <w:tr w14:paraId="2B0E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59" w:type="pct"/>
            <w:shd w:val="clear" w:color="auto" w:fill="auto"/>
            <w:vAlign w:val="center"/>
          </w:tcPr>
          <w:p w14:paraId="3AEFFC3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一</w:t>
            </w:r>
          </w:p>
        </w:tc>
        <w:tc>
          <w:tcPr>
            <w:tcW w:w="4440" w:type="pct"/>
            <w:shd w:val="clear" w:color="auto" w:fill="auto"/>
            <w:vAlign w:val="center"/>
          </w:tcPr>
          <w:p w14:paraId="4ACB591A">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实质性条款（必须响应，否则投标无效）</w:t>
            </w:r>
          </w:p>
        </w:tc>
      </w:tr>
      <w:tr w14:paraId="256F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59" w:type="pct"/>
            <w:shd w:val="clear" w:color="auto" w:fill="auto"/>
            <w:vAlign w:val="center"/>
          </w:tcPr>
          <w:p w14:paraId="5A134CF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w:t>
            </w:r>
          </w:p>
        </w:tc>
        <w:tc>
          <w:tcPr>
            <w:tcW w:w="4440" w:type="pct"/>
            <w:shd w:val="clear" w:color="auto" w:fill="auto"/>
            <w:noWrap/>
            <w:vAlign w:val="center"/>
          </w:tcPr>
          <w:p w14:paraId="4EE62D2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冲击波波源：电磁式冲击波波源</w:t>
            </w:r>
          </w:p>
        </w:tc>
      </w:tr>
      <w:tr w14:paraId="7754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59" w:type="pct"/>
            <w:shd w:val="clear" w:color="auto" w:fill="auto"/>
            <w:vAlign w:val="center"/>
          </w:tcPr>
          <w:p w14:paraId="76D5269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w:t>
            </w:r>
          </w:p>
        </w:tc>
        <w:tc>
          <w:tcPr>
            <w:tcW w:w="4440" w:type="pct"/>
            <w:shd w:val="clear" w:color="auto" w:fill="auto"/>
            <w:vAlign w:val="center"/>
          </w:tcPr>
          <w:p w14:paraId="3225C28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冲击波形成方式：金属震波膜片震动生成冲击波 </w:t>
            </w:r>
          </w:p>
        </w:tc>
      </w:tr>
      <w:tr w14:paraId="557F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59" w:type="pct"/>
            <w:shd w:val="clear" w:color="auto" w:fill="auto"/>
            <w:vAlign w:val="center"/>
          </w:tcPr>
          <w:p w14:paraId="4902236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3</w:t>
            </w:r>
          </w:p>
        </w:tc>
        <w:tc>
          <w:tcPr>
            <w:tcW w:w="4440" w:type="pct"/>
            <w:shd w:val="clear" w:color="auto" w:fill="auto"/>
            <w:vAlign w:val="center"/>
          </w:tcPr>
          <w:p w14:paraId="6941EEC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冲击波能量聚焦方式：聚焦透镜结构</w:t>
            </w:r>
          </w:p>
        </w:tc>
      </w:tr>
      <w:tr w14:paraId="56EF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1815E1D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4</w:t>
            </w:r>
          </w:p>
        </w:tc>
        <w:tc>
          <w:tcPr>
            <w:tcW w:w="4440" w:type="pct"/>
            <w:shd w:val="clear" w:color="auto" w:fill="auto"/>
            <w:vAlign w:val="center"/>
          </w:tcPr>
          <w:p w14:paraId="7D7DDEE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冲击波能量传导介质：设备与治疗头应有封闭一体化的水路系统</w:t>
            </w:r>
          </w:p>
        </w:tc>
      </w:tr>
      <w:tr w14:paraId="1170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59" w:type="pct"/>
            <w:shd w:val="clear" w:color="auto" w:fill="auto"/>
            <w:vAlign w:val="center"/>
          </w:tcPr>
          <w:p w14:paraId="782DAF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5</w:t>
            </w:r>
          </w:p>
        </w:tc>
        <w:tc>
          <w:tcPr>
            <w:tcW w:w="4440" w:type="pct"/>
            <w:shd w:val="clear" w:color="auto" w:fill="auto"/>
            <w:vAlign w:val="center"/>
          </w:tcPr>
          <w:p w14:paraId="4DDF4A1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冲击波发射路径：冲击波应为柱状聚焦定向发射路径</w:t>
            </w:r>
          </w:p>
        </w:tc>
      </w:tr>
      <w:tr w14:paraId="7EE3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33AD702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6</w:t>
            </w:r>
          </w:p>
        </w:tc>
        <w:tc>
          <w:tcPr>
            <w:tcW w:w="4440" w:type="pct"/>
            <w:shd w:val="clear" w:color="auto" w:fill="auto"/>
            <w:vAlign w:val="center"/>
          </w:tcPr>
          <w:p w14:paraId="44189473">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冲击波脉宽：≤3us </w:t>
            </w:r>
          </w:p>
        </w:tc>
      </w:tr>
      <w:tr w14:paraId="2429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12C5C7D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7</w:t>
            </w:r>
          </w:p>
        </w:tc>
        <w:tc>
          <w:tcPr>
            <w:tcW w:w="4440" w:type="pct"/>
            <w:shd w:val="clear" w:color="auto" w:fill="auto"/>
            <w:noWrap/>
            <w:vAlign w:val="center"/>
          </w:tcPr>
          <w:p w14:paraId="472672B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治疗头：集成式治疗头，与手柄一体化设计，且在治疗不同深度的组织时，无需更换不同的治疗头</w:t>
            </w:r>
          </w:p>
        </w:tc>
      </w:tr>
      <w:tr w14:paraId="54D5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3317E6B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8</w:t>
            </w:r>
          </w:p>
        </w:tc>
        <w:tc>
          <w:tcPr>
            <w:tcW w:w="4440" w:type="pct"/>
            <w:shd w:val="clear" w:color="auto" w:fill="auto"/>
            <w:noWrap/>
            <w:vAlign w:val="center"/>
          </w:tcPr>
          <w:p w14:paraId="63FBF8C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冲击波能量聚焦区径向尺寸：径向直径＜20mm</w:t>
            </w:r>
          </w:p>
        </w:tc>
      </w:tr>
      <w:tr w14:paraId="786A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284D360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9</w:t>
            </w:r>
          </w:p>
        </w:tc>
        <w:tc>
          <w:tcPr>
            <w:tcW w:w="4440" w:type="pct"/>
            <w:shd w:val="clear" w:color="auto" w:fill="auto"/>
            <w:noWrap/>
            <w:vAlign w:val="center"/>
          </w:tcPr>
          <w:p w14:paraId="0E6F6EB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冲击波能量传导深度：＞30mm</w:t>
            </w:r>
          </w:p>
        </w:tc>
      </w:tr>
      <w:tr w14:paraId="7B2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720C707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10</w:t>
            </w:r>
          </w:p>
        </w:tc>
        <w:tc>
          <w:tcPr>
            <w:tcW w:w="4440" w:type="pct"/>
            <w:shd w:val="clear" w:color="auto" w:fill="auto"/>
            <w:noWrap/>
            <w:vAlign w:val="center"/>
          </w:tcPr>
          <w:p w14:paraId="1B3523D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冲击波压缩声压峰值：＜50mpa</w:t>
            </w:r>
          </w:p>
        </w:tc>
      </w:tr>
      <w:tr w14:paraId="2050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10097C9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11</w:t>
            </w:r>
          </w:p>
        </w:tc>
        <w:tc>
          <w:tcPr>
            <w:tcW w:w="4440" w:type="pct"/>
            <w:shd w:val="clear" w:color="auto" w:fill="auto"/>
            <w:noWrap/>
            <w:vAlign w:val="center"/>
          </w:tcPr>
          <w:p w14:paraId="1BDFBDA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冲击波能量调节级数：＞10级</w:t>
            </w:r>
          </w:p>
        </w:tc>
      </w:tr>
      <w:tr w14:paraId="08EA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6991BEB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12</w:t>
            </w:r>
          </w:p>
        </w:tc>
        <w:tc>
          <w:tcPr>
            <w:tcW w:w="4440" w:type="pct"/>
            <w:shd w:val="clear" w:color="auto" w:fill="auto"/>
            <w:noWrap/>
            <w:vAlign w:val="center"/>
          </w:tcPr>
          <w:p w14:paraId="2458AB5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冲击波最大发射频率：＞3Hz</w:t>
            </w:r>
          </w:p>
        </w:tc>
      </w:tr>
      <w:tr w14:paraId="3F18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0770854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13</w:t>
            </w:r>
          </w:p>
        </w:tc>
        <w:tc>
          <w:tcPr>
            <w:tcW w:w="4440" w:type="pct"/>
            <w:shd w:val="clear" w:color="auto" w:fill="auto"/>
            <w:noWrap/>
            <w:vAlign w:val="center"/>
          </w:tcPr>
          <w:p w14:paraId="00D572F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冲击波频率调节步长：频率步长＜1HZ</w:t>
            </w:r>
          </w:p>
        </w:tc>
      </w:tr>
      <w:tr w14:paraId="1310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46B653E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14</w:t>
            </w:r>
          </w:p>
        </w:tc>
        <w:tc>
          <w:tcPr>
            <w:tcW w:w="4440" w:type="pct"/>
            <w:shd w:val="clear" w:color="auto" w:fill="auto"/>
            <w:vAlign w:val="center"/>
          </w:tcPr>
          <w:p w14:paraId="3265676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供应商须提供所投标段产品的完整配置清单，不提供视为实质性不满足。</w:t>
            </w:r>
          </w:p>
        </w:tc>
      </w:tr>
      <w:tr w14:paraId="7CF7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71BB8F1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二</w:t>
            </w:r>
          </w:p>
        </w:tc>
        <w:tc>
          <w:tcPr>
            <w:tcW w:w="4440" w:type="pct"/>
            <w:shd w:val="clear" w:color="auto" w:fill="auto"/>
            <w:vAlign w:val="center"/>
          </w:tcPr>
          <w:p w14:paraId="158D549C">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设备优势性参数要求</w:t>
            </w:r>
          </w:p>
        </w:tc>
      </w:tr>
      <w:tr w14:paraId="0A39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1F2540BD">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w:t>
            </w:r>
          </w:p>
        </w:tc>
        <w:tc>
          <w:tcPr>
            <w:tcW w:w="4440" w:type="pct"/>
            <w:shd w:val="clear" w:color="auto" w:fill="auto"/>
            <w:vAlign w:val="center"/>
          </w:tcPr>
          <w:p w14:paraId="2D96533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治疗头控制功能：  3项 ≥控制功能＞1项加3分，5项 ≥控制功能＞3项加6分，控制功能＞5项加9分</w:t>
            </w:r>
          </w:p>
        </w:tc>
      </w:tr>
      <w:tr w14:paraId="306D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28F71D9E">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w:t>
            </w:r>
          </w:p>
        </w:tc>
        <w:tc>
          <w:tcPr>
            <w:tcW w:w="4440" w:type="pct"/>
            <w:shd w:val="clear" w:color="auto" w:fill="auto"/>
            <w:vAlign w:val="center"/>
          </w:tcPr>
          <w:p w14:paraId="37B961B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最大能流密度：0.32mj/mm²≤最大能流密度＜0.33mj/mm²加3分，0.31mj/mm²≤最大能流密度＜0.32mj/mm²加6分，最大能流密度＜0.31mj/mm²加9分</w:t>
            </w:r>
          </w:p>
        </w:tc>
      </w:tr>
      <w:tr w14:paraId="1E1E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2C1ED6A0">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3</w:t>
            </w:r>
          </w:p>
        </w:tc>
        <w:tc>
          <w:tcPr>
            <w:tcW w:w="4440" w:type="pct"/>
            <w:shd w:val="clear" w:color="auto" w:fill="auto"/>
            <w:vAlign w:val="center"/>
          </w:tcPr>
          <w:p w14:paraId="68943DF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最大可连续发射冲击波次数：1.3万次≥可连续释放＞1万次加3分，1.6万次≥可连续释放＞1.3万次加6分，可连续释放＞1.6万次加9分</w:t>
            </w:r>
          </w:p>
        </w:tc>
      </w:tr>
      <w:tr w14:paraId="6435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6078E557">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4</w:t>
            </w:r>
          </w:p>
        </w:tc>
        <w:tc>
          <w:tcPr>
            <w:tcW w:w="4440" w:type="pct"/>
            <w:shd w:val="clear" w:color="auto" w:fill="auto"/>
            <w:vAlign w:val="center"/>
          </w:tcPr>
          <w:p w14:paraId="31011AC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连续释放冲击波次数调节步长：70次≤调节步长＜100次加3分，40次≤调节步长＜70次加6分，调节步长＜40次加9分</w:t>
            </w:r>
          </w:p>
        </w:tc>
      </w:tr>
      <w:tr w14:paraId="6AA1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shd w:val="clear" w:color="auto" w:fill="auto"/>
            <w:vAlign w:val="center"/>
          </w:tcPr>
          <w:p w14:paraId="72861F82">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5</w:t>
            </w:r>
          </w:p>
        </w:tc>
        <w:tc>
          <w:tcPr>
            <w:tcW w:w="4440" w:type="pct"/>
            <w:shd w:val="clear" w:color="auto" w:fill="auto"/>
            <w:noWrap/>
            <w:vAlign w:val="center"/>
          </w:tcPr>
          <w:p w14:paraId="4D4A78D9">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数量：1                                      原厂质保：1年</w:t>
            </w:r>
          </w:p>
        </w:tc>
      </w:tr>
      <w:tr w14:paraId="4676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59" w:type="pct"/>
            <w:shd w:val="clear" w:color="auto" w:fill="auto"/>
            <w:vAlign w:val="center"/>
          </w:tcPr>
          <w:p w14:paraId="3CB6C78D">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6</w:t>
            </w:r>
          </w:p>
        </w:tc>
        <w:tc>
          <w:tcPr>
            <w:tcW w:w="4440" w:type="pct"/>
            <w:shd w:val="clear" w:color="auto" w:fill="auto"/>
            <w:noWrap/>
            <w:vAlign w:val="center"/>
          </w:tcPr>
          <w:p w14:paraId="34482C9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投标人需在采购需求偏离表的备注栏标明佐证材料的对应页码，佐证材料为所投产品的技术白皮书，否则不得分。</w:t>
            </w:r>
          </w:p>
        </w:tc>
      </w:tr>
    </w:tbl>
    <w:p w14:paraId="6B0375E6">
      <w:pPr>
        <w:spacing w:line="360" w:lineRule="auto"/>
        <w:ind w:firstLine="480" w:firstLineChars="200"/>
        <w:outlineLvl w:val="1"/>
        <w:rPr>
          <w:rFonts w:ascii="宋体" w:hAnsi="宋体" w:eastAsia="宋体" w:cs="宋体"/>
          <w:color w:val="auto"/>
          <w:sz w:val="24"/>
          <w:szCs w:val="24"/>
          <w:highlight w:val="none"/>
          <w:lang w:eastAsia="zh-CN"/>
        </w:rPr>
      </w:pPr>
    </w:p>
    <w:p w14:paraId="425FB3B2">
      <w:pPr>
        <w:spacing w:line="360" w:lineRule="auto"/>
        <w:ind w:left="-210" w:leftChars="-100"/>
        <w:rPr>
          <w:rFonts w:ascii="宋体" w:hAnsi="宋体" w:eastAsia="宋体" w:cs="宋体"/>
          <w:color w:val="auto"/>
          <w:kern w:val="1"/>
          <w:sz w:val="24"/>
          <w:highlight w:val="none"/>
          <w:lang w:eastAsia="zh-CN"/>
        </w:rPr>
      </w:pPr>
    </w:p>
    <w:p w14:paraId="7535F178">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765363B4">
      <w:pPr>
        <w:jc w:val="cente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03标段  透析机技术参数</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8645"/>
      </w:tblGrid>
      <w:tr w14:paraId="66C0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DE1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序号</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332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招标参数和性能要求</w:t>
            </w:r>
          </w:p>
        </w:tc>
      </w:tr>
      <w:tr w14:paraId="03FC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B2C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一</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948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实质性条款（必须响应，否则投标无效）</w:t>
            </w:r>
          </w:p>
        </w:tc>
      </w:tr>
      <w:tr w14:paraId="0306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71C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95C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功能及基本商务要求</w:t>
            </w:r>
          </w:p>
        </w:tc>
      </w:tr>
      <w:tr w14:paraId="077D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1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70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国产血液透析机，适用于急、慢性的肾衰竭患者的血液透析治疗</w:t>
            </w:r>
          </w:p>
        </w:tc>
      </w:tr>
      <w:tr w14:paraId="02E4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8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C4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机器使用年限≥10年</w:t>
            </w:r>
          </w:p>
        </w:tc>
      </w:tr>
      <w:tr w14:paraId="3633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17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615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主要技术规格和要求</w:t>
            </w:r>
          </w:p>
        </w:tc>
      </w:tr>
      <w:tr w14:paraId="61BF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458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2.1</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E89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超滤方式: 容量式平衡腔控制超滤或电磁流量控制超滤；超滤率: 0，100～4000ml/h；超滤泵误差 &lt;1%</w:t>
            </w:r>
          </w:p>
        </w:tc>
      </w:tr>
      <w:tr w14:paraId="19E3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1B1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2.2</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E18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反馈式电导度监测及配比机制，可分别监测B液电导度与总电导度，保证透析液离子成分的精确性。</w:t>
            </w:r>
          </w:p>
        </w:tc>
      </w:tr>
      <w:tr w14:paraId="3E69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2DF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2.3</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381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配有透析液过滤器支架和同品牌透析液过滤器.</w:t>
            </w:r>
          </w:p>
        </w:tc>
      </w:tr>
      <w:tr w14:paraId="2B8D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E68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2.4</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B49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可作碳酸氢盐、醋酸盐常规透析；血路管、原液配方全开放。</w:t>
            </w:r>
          </w:p>
        </w:tc>
      </w:tr>
      <w:tr w14:paraId="0653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74B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2.5</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3F3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标配透析充分性监测功能: 显示Kt/v值，为临床医生提供治疗有益数据及参考，有效提高患者的透析充分性。</w:t>
            </w:r>
          </w:p>
        </w:tc>
      </w:tr>
      <w:tr w14:paraId="3E23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6E4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2.6</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36A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消毒功能的要求：具有热消毒和化学消毒模式。</w:t>
            </w:r>
          </w:p>
        </w:tc>
      </w:tr>
      <w:tr w14:paraId="2F11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3FB1">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2.7</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3F2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电源和后备电池:交流220-240V；频率50～60Hz；有后备电池,停电后确保透析机最少使用≥20分钟，并且不丢失数据所有血液侧功能和报警正常工作。</w:t>
            </w:r>
          </w:p>
        </w:tc>
      </w:tr>
      <w:tr w14:paraId="4097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21E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2.8</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C7B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具有待机模式, 这种模式支持将透析液一侧关闭，以便当透析机已经准备就绪但并不立即投入使用时，节约反渗水和浓缩液。</w:t>
            </w:r>
          </w:p>
        </w:tc>
      </w:tr>
      <w:tr w14:paraId="09FC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2FE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2.9</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69A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具有透析过程中补液功能，能够自动累计计算总补液量。</w:t>
            </w:r>
          </w:p>
        </w:tc>
      </w:tr>
      <w:tr w14:paraId="7D1F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24C5">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2.10</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D0B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血泵流量： 50～590ml/min可调，精确度10ml/min</w:t>
            </w:r>
          </w:p>
        </w:tc>
      </w:tr>
      <w:tr w14:paraId="137A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83E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2.11</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141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动脉压操作范围:-400～+400mmHg；静脉压操作范围: -50～+390mmHg</w:t>
            </w:r>
          </w:p>
        </w:tc>
      </w:tr>
      <w:tr w14:paraId="3142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A7A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2.12</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7BA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透析液流量: 最大值不超过800ml/min；连续可调。</w:t>
            </w:r>
          </w:p>
        </w:tc>
      </w:tr>
      <w:tr w14:paraId="7102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901D">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2.13</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E56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透析液温度控制范围: 34.5℃～39.5℃；透析液导电率: 13-15ms/cm</w:t>
            </w:r>
          </w:p>
        </w:tc>
      </w:tr>
      <w:tr w14:paraId="3896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370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2.14</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C89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肝素泵: 流速0.1～10ml/h，适用10-30ml注射器</w:t>
            </w:r>
          </w:p>
        </w:tc>
      </w:tr>
      <w:tr w14:paraId="7205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2557">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2.15</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88C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水供应，进水压力：0.5-6.0bar</w:t>
            </w:r>
          </w:p>
        </w:tc>
      </w:tr>
      <w:tr w14:paraId="29D8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D3F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2.16</w:t>
            </w:r>
          </w:p>
        </w:tc>
        <w:tc>
          <w:tcPr>
            <w:tcW w:w="4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FC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供应商须提供所投标段产品的完整配置清单，不提供视为实质性不满足。</w:t>
            </w:r>
          </w:p>
        </w:tc>
      </w:tr>
      <w:tr w14:paraId="1418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4FA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二</w:t>
            </w:r>
          </w:p>
        </w:tc>
        <w:tc>
          <w:tcPr>
            <w:tcW w:w="4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B54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设备优势性参数要求</w:t>
            </w:r>
          </w:p>
        </w:tc>
      </w:tr>
      <w:tr w14:paraId="679F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B13F">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C0D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彩色液晶触摸显示屏大小：11-12英寸加3分；13-14英寸加6分；14英寸以上加9分</w:t>
            </w:r>
          </w:p>
        </w:tc>
      </w:tr>
      <w:tr w14:paraId="4A35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0742">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DB3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个性化治疗曲线数量：具有4种治疗曲线得3分；具有5种治疗曲线得6分；具有6种治疗曲线得9分</w:t>
            </w:r>
          </w:p>
        </w:tc>
      </w:tr>
      <w:tr w14:paraId="1D0A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980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3</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05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超滤曲线数量：满足15种得3分；15-20种得6分；20种以上得9分</w:t>
            </w:r>
          </w:p>
        </w:tc>
      </w:tr>
      <w:tr w14:paraId="6818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597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4</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B22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跨膜压压力值范围: -100mmHg～+500mmHg得3分；-100mmHg～+600mmHg得6分；-100mmHg～+700mmHg得9分；</w:t>
            </w:r>
          </w:p>
        </w:tc>
      </w:tr>
      <w:tr w14:paraId="7DAC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53B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5</w:t>
            </w: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145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每支透析液过滤器使用时间：＜750小时得3分，750-850小时得6分，＞850小时得9分</w:t>
            </w:r>
          </w:p>
        </w:tc>
      </w:tr>
      <w:tr w14:paraId="4FE8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40A7">
            <w:pPr>
              <w:jc w:val="center"/>
              <w:rPr>
                <w:rFonts w:hint="eastAsia" w:ascii="宋体" w:hAnsi="宋体" w:eastAsia="宋体" w:cs="宋体"/>
                <w:i w:val="0"/>
                <w:iCs w:val="0"/>
                <w:color w:val="auto"/>
                <w:sz w:val="24"/>
                <w:szCs w:val="24"/>
                <w:highlight w:val="none"/>
                <w:u w:val="none"/>
              </w:rPr>
            </w:pP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8E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数量：17                                                                   原厂整机质保1年</w:t>
            </w:r>
          </w:p>
        </w:tc>
      </w:tr>
      <w:tr w14:paraId="0105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4436">
            <w:pPr>
              <w:jc w:val="center"/>
              <w:rPr>
                <w:rFonts w:hint="eastAsia" w:ascii="宋体" w:hAnsi="宋体" w:eastAsia="宋体" w:cs="宋体"/>
                <w:i w:val="0"/>
                <w:iCs w:val="0"/>
                <w:color w:val="auto"/>
                <w:sz w:val="24"/>
                <w:szCs w:val="24"/>
                <w:highlight w:val="none"/>
                <w:u w:val="none"/>
              </w:rPr>
            </w:pPr>
          </w:p>
        </w:tc>
        <w:tc>
          <w:tcPr>
            <w:tcW w:w="4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7CD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投标人需在采购需求偏离表的备注栏标明佐证材料的对应页码，佐证材料为所投产品的技术白皮书，否则不得分。</w:t>
            </w:r>
          </w:p>
        </w:tc>
      </w:tr>
    </w:tbl>
    <w:p w14:paraId="0E0B06D7">
      <w:pPr>
        <w:pStyle w:val="2"/>
        <w:spacing w:before="0" w:after="0" w:line="360" w:lineRule="auto"/>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w:t>
      </w:r>
    </w:p>
    <w:p w14:paraId="5861CD20">
      <w:pPr>
        <w:spacing w:line="360" w:lineRule="auto"/>
        <w:ind w:firstLine="480" w:firstLineChars="200"/>
        <w:outlineLvl w:val="1"/>
        <w:rPr>
          <w:rFonts w:ascii="宋体" w:hAnsi="宋体" w:eastAsia="宋体" w:cs="宋体"/>
          <w:color w:val="auto"/>
          <w:sz w:val="24"/>
          <w:szCs w:val="24"/>
          <w:highlight w:val="none"/>
          <w:lang w:eastAsia="zh-CN"/>
        </w:rPr>
      </w:pPr>
    </w:p>
    <w:p w14:paraId="21A36563">
      <w:pPr>
        <w:spacing w:line="360" w:lineRule="auto"/>
        <w:rPr>
          <w:rFonts w:ascii="宋体" w:hAnsi="宋体" w:eastAsia="宋体" w:cs="宋体"/>
          <w:color w:val="auto"/>
          <w:sz w:val="24"/>
          <w:szCs w:val="24"/>
          <w:highlight w:val="none"/>
          <w:lang w:eastAsia="zh-CN"/>
        </w:rPr>
      </w:pPr>
    </w:p>
    <w:p w14:paraId="35C995FC">
      <w:pPr>
        <w:spacing w:line="360" w:lineRule="auto"/>
        <w:rPr>
          <w:rFonts w:ascii="宋体" w:hAnsi="宋体" w:eastAsia="宋体" w:cs="宋体"/>
          <w:color w:val="auto"/>
          <w:sz w:val="24"/>
          <w:szCs w:val="24"/>
          <w:highlight w:val="none"/>
          <w:lang w:eastAsia="zh-CN"/>
        </w:rPr>
      </w:pPr>
    </w:p>
    <w:p w14:paraId="01E6DE04">
      <w:pPr>
        <w:rPr>
          <w:rFonts w:ascii="宋体" w:hAnsi="宋体" w:eastAsia="宋体" w:cs="宋体"/>
          <w:b/>
          <w:bCs/>
          <w:color w:val="auto"/>
          <w:sz w:val="28"/>
          <w:szCs w:val="28"/>
          <w:highlight w:val="none"/>
          <w:lang w:eastAsia="zh-CN"/>
        </w:rPr>
      </w:pPr>
    </w:p>
    <w:p w14:paraId="79A8090E">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08ECB060">
      <w:pPr>
        <w:pStyle w:val="8"/>
        <w:jc w:val="cente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04标段  前列腺粒子导航等设备技术参数</w:t>
      </w:r>
    </w:p>
    <w:p w14:paraId="456EA651">
      <w:pPr>
        <w:spacing w:line="360" w:lineRule="auto"/>
        <w:rPr>
          <w:rFonts w:ascii="宋体" w:hAnsi="宋体" w:eastAsia="宋体" w:cs="宋体"/>
          <w:color w:val="auto"/>
          <w:sz w:val="23"/>
          <w:szCs w:val="23"/>
          <w:highlight w:val="none"/>
          <w:lang w:eastAsia="zh-CN"/>
        </w:rPr>
      </w:pPr>
      <w:r>
        <w:rPr>
          <w:rFonts w:hint="eastAsia" w:ascii="宋体" w:hAnsi="宋体" w:eastAsia="宋体" w:cs="宋体"/>
          <w:b/>
          <w:bCs/>
          <w:i w:val="0"/>
          <w:iCs w:val="0"/>
          <w:snapToGrid w:val="0"/>
          <w:color w:val="auto"/>
          <w:kern w:val="0"/>
          <w:sz w:val="24"/>
          <w:szCs w:val="24"/>
          <w:highlight w:val="none"/>
          <w:u w:val="none"/>
          <w:lang w:val="en-US" w:eastAsia="zh-CN" w:bidi="ar"/>
        </w:rPr>
        <w:t>核心产品：前列腺粒子导航系统及配套设备</w:t>
      </w:r>
    </w:p>
    <w:tbl>
      <w:tblPr>
        <w:tblStyle w:val="26"/>
        <w:tblW w:w="53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70"/>
        <w:gridCol w:w="8495"/>
      </w:tblGrid>
      <w:tr w14:paraId="59DA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2C5D4181">
            <w:pPr>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rPr>
              <w:t>四-一</w:t>
            </w:r>
          </w:p>
        </w:tc>
        <w:tc>
          <w:tcPr>
            <w:tcW w:w="4178" w:type="pct"/>
            <w:shd w:val="clear" w:color="auto" w:fill="auto"/>
            <w:vAlign w:val="center"/>
          </w:tcPr>
          <w:p w14:paraId="0C7E00F9">
            <w:pPr>
              <w:keepNext w:val="0"/>
              <w:keepLines w:val="0"/>
              <w:widowControl/>
              <w:suppressLineNumbers w:val="0"/>
              <w:jc w:val="left"/>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前列腺粒子导航系统</w:t>
            </w:r>
          </w:p>
        </w:tc>
      </w:tr>
      <w:tr w14:paraId="42DC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11F8516A">
            <w:pPr>
              <w:jc w:val="left"/>
              <w:rPr>
                <w:rFonts w:hint="eastAsia" w:ascii="宋体" w:hAnsi="宋体" w:eastAsia="宋体" w:cs="宋体"/>
                <w:b/>
                <w:bCs/>
                <w:i w:val="0"/>
                <w:iCs w:val="0"/>
                <w:color w:val="auto"/>
                <w:sz w:val="24"/>
                <w:szCs w:val="24"/>
                <w:highlight w:val="none"/>
                <w:u w:val="none"/>
              </w:rPr>
            </w:pPr>
          </w:p>
        </w:tc>
        <w:tc>
          <w:tcPr>
            <w:tcW w:w="4178" w:type="pct"/>
            <w:shd w:val="clear" w:color="auto" w:fill="auto"/>
            <w:vAlign w:val="center"/>
          </w:tcPr>
          <w:p w14:paraId="09953F6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 xml:space="preserve">前列腺粒子导航系统及配套设备（实质性条款（必须响应，否则投标无效） ）   </w:t>
            </w:r>
          </w:p>
        </w:tc>
      </w:tr>
      <w:tr w14:paraId="55A0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8A889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4.1.1</w:t>
            </w:r>
          </w:p>
        </w:tc>
        <w:tc>
          <w:tcPr>
            <w:tcW w:w="4178" w:type="pct"/>
            <w:shd w:val="clear" w:color="auto" w:fill="auto"/>
            <w:vAlign w:val="center"/>
          </w:tcPr>
          <w:p w14:paraId="6BFD37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功能概述</w:t>
            </w:r>
          </w:p>
        </w:tc>
      </w:tr>
      <w:tr w14:paraId="269B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7EF0D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4.1.1.1</w:t>
            </w:r>
          </w:p>
        </w:tc>
        <w:tc>
          <w:tcPr>
            <w:tcW w:w="4178" w:type="pct"/>
            <w:shd w:val="clear" w:color="auto" w:fill="auto"/>
            <w:vAlign w:val="center"/>
          </w:tcPr>
          <w:p w14:paraId="1FEFFE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前列腺粒子导航系统为活检穿刺、微创治疗提供术前治疗设计、术中治疗设计和术后验证方案；</w:t>
            </w:r>
          </w:p>
        </w:tc>
      </w:tr>
      <w:tr w14:paraId="03F3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56AF17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w:t>
            </w:r>
          </w:p>
        </w:tc>
        <w:tc>
          <w:tcPr>
            <w:tcW w:w="4178" w:type="pct"/>
            <w:shd w:val="clear" w:color="auto" w:fill="auto"/>
            <w:vAlign w:val="center"/>
          </w:tcPr>
          <w:p w14:paraId="2DD48B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前列腺粒子导航软硬件系统</w:t>
            </w:r>
          </w:p>
        </w:tc>
      </w:tr>
      <w:tr w14:paraId="0A15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6135D6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4.1.2.1</w:t>
            </w:r>
          </w:p>
        </w:tc>
        <w:tc>
          <w:tcPr>
            <w:tcW w:w="4178" w:type="pct"/>
            <w:shd w:val="clear" w:color="auto" w:fill="auto"/>
            <w:vAlign w:val="center"/>
          </w:tcPr>
          <w:p w14:paraId="02062B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硬件配置：CPU≥i5   内存≥1TB HDD+256GB  显卡SSD独立≥2G</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显卡：MX450 N卡  W10系统   显示器：≥ 15寸</w:t>
            </w:r>
          </w:p>
        </w:tc>
      </w:tr>
      <w:tr w14:paraId="00E6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0B6C21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4.1.2.2</w:t>
            </w:r>
          </w:p>
        </w:tc>
        <w:tc>
          <w:tcPr>
            <w:tcW w:w="4178" w:type="pct"/>
            <w:shd w:val="clear" w:color="auto" w:fill="auto"/>
            <w:vAlign w:val="center"/>
          </w:tcPr>
          <w:p w14:paraId="001762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前列腺粒子导航系统软件系统包括：</w:t>
            </w:r>
          </w:p>
        </w:tc>
      </w:tr>
      <w:tr w14:paraId="0147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76CE68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4.1.2.2.1</w:t>
            </w:r>
          </w:p>
        </w:tc>
        <w:tc>
          <w:tcPr>
            <w:tcW w:w="4178" w:type="pct"/>
            <w:shd w:val="clear" w:color="auto" w:fill="auto"/>
            <w:vAlign w:val="center"/>
          </w:tcPr>
          <w:p w14:paraId="6AFEC9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逆向治疗系统；</w:t>
            </w:r>
          </w:p>
        </w:tc>
      </w:tr>
      <w:tr w14:paraId="6201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24598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4.1.2.2.2</w:t>
            </w:r>
          </w:p>
        </w:tc>
        <w:tc>
          <w:tcPr>
            <w:tcW w:w="4178" w:type="pct"/>
            <w:shd w:val="clear" w:color="auto" w:fill="auto"/>
            <w:vAlign w:val="center"/>
          </w:tcPr>
          <w:p w14:paraId="7C4889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术中优化系统；</w:t>
            </w:r>
          </w:p>
        </w:tc>
      </w:tr>
      <w:tr w14:paraId="22C3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782EE7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4.1.2.2.3</w:t>
            </w:r>
          </w:p>
        </w:tc>
        <w:tc>
          <w:tcPr>
            <w:tcW w:w="4178" w:type="pct"/>
            <w:shd w:val="clear" w:color="auto" w:fill="auto"/>
            <w:vAlign w:val="center"/>
          </w:tcPr>
          <w:p w14:paraId="235A82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实时验证系统；</w:t>
            </w:r>
          </w:p>
        </w:tc>
      </w:tr>
      <w:tr w14:paraId="63C8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0A5D9E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4.1.2.2.4</w:t>
            </w:r>
          </w:p>
        </w:tc>
        <w:tc>
          <w:tcPr>
            <w:tcW w:w="4178" w:type="pct"/>
            <w:shd w:val="clear" w:color="auto" w:fill="auto"/>
            <w:vAlign w:val="center"/>
          </w:tcPr>
          <w:p w14:paraId="0E5252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治疗报告内容包括： 针数量、每支针穿刺位置、方向、 深度等；</w:t>
            </w:r>
          </w:p>
        </w:tc>
      </w:tr>
      <w:tr w14:paraId="290D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55EC4D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4.1.2.2.5</w:t>
            </w:r>
          </w:p>
        </w:tc>
        <w:tc>
          <w:tcPr>
            <w:tcW w:w="4178" w:type="pct"/>
            <w:shd w:val="clear" w:color="auto" w:fill="auto"/>
            <w:vAlign w:val="center"/>
          </w:tcPr>
          <w:p w14:paraId="635C6A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治疗系统与活检穿刺、微创治疗一体化系统；</w:t>
            </w:r>
          </w:p>
        </w:tc>
      </w:tr>
      <w:tr w14:paraId="5B34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144EF8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4.1.2.2.6</w:t>
            </w:r>
          </w:p>
        </w:tc>
        <w:tc>
          <w:tcPr>
            <w:tcW w:w="4178" w:type="pct"/>
            <w:shd w:val="clear" w:color="auto" w:fill="auto"/>
            <w:vAlign w:val="center"/>
          </w:tcPr>
          <w:p w14:paraId="614D6A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导航系统具有体素三维重建的功能，包括：皮肤、骨骼、血管、重要器官、肿瘤靶区的重建，能够直观显示穿刺通道的路径,有效的避开血管、骨骼及重要器官；</w:t>
            </w:r>
          </w:p>
        </w:tc>
      </w:tr>
      <w:tr w14:paraId="215C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46CEE1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4.1.2.2.7</w:t>
            </w:r>
          </w:p>
        </w:tc>
        <w:tc>
          <w:tcPr>
            <w:tcW w:w="4178" w:type="pct"/>
            <w:shd w:val="clear" w:color="auto" w:fill="auto"/>
            <w:vAlign w:val="center"/>
          </w:tcPr>
          <w:p w14:paraId="45E09E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导航系统的设计方案在病历设计中可与医院现有系统的功能的共享和互联互通；</w:t>
            </w:r>
          </w:p>
        </w:tc>
      </w:tr>
      <w:tr w14:paraId="0DCF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C05D8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4.1.3</w:t>
            </w:r>
          </w:p>
        </w:tc>
        <w:tc>
          <w:tcPr>
            <w:tcW w:w="4178" w:type="pct"/>
            <w:shd w:val="clear" w:color="auto" w:fill="auto"/>
            <w:vAlign w:val="center"/>
          </w:tcPr>
          <w:p w14:paraId="7F05E3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全数字彩色多普勒超声诊断系统 1 台</w:t>
            </w:r>
          </w:p>
        </w:tc>
      </w:tr>
      <w:tr w14:paraId="25C2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62C1EA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4.1.3.1</w:t>
            </w:r>
          </w:p>
        </w:tc>
        <w:tc>
          <w:tcPr>
            <w:tcW w:w="4178" w:type="pct"/>
            <w:shd w:val="clear" w:color="auto" w:fill="auto"/>
            <w:vAlign w:val="center"/>
          </w:tcPr>
          <w:p w14:paraId="78227B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彩色多普勒超声诊断系统主机：</w:t>
            </w:r>
          </w:p>
        </w:tc>
      </w:tr>
      <w:tr w14:paraId="0111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03237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"C:\\Users\\ADMINI~1\\AppData\\Local\\Temp\\2.7.1.1" \o "file:///C:\\Users\\TPS\\Desktop\\2.7.1.1"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4.1.3.1.1</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457A5912">
            <w:pPr>
              <w:keepNext w:val="0"/>
              <w:keepLines w:val="0"/>
              <w:widowControl/>
              <w:suppressLineNumbers w:val="0"/>
              <w:ind w:firstLineChars="1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超声主机操作系统：基于Windows 操作系统。</w:t>
            </w:r>
          </w:p>
        </w:tc>
      </w:tr>
      <w:tr w14:paraId="39ED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0AF8BA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"C:\\Users\\ADMINI~1\\AppData\\Local\\Temp\\2.7.1.2" \o "file:///C:\\Users\\TPS\\Desktop\\2.7.1.2"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4.1.3.1.2</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2980E33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 英寸高清晰度彩色液晶显示器，分辨率≥1280*1024，逐行扫描，无闪烁， ≥3 关节支臂，显示器可支持前后倾斜，向后倾斜角度≥45 度，左右旋转≥70 度，显示器支臂可左右自由旋转≥300 度，显示器可独立徒手拆卸。</w:t>
            </w:r>
          </w:p>
        </w:tc>
      </w:tr>
      <w:tr w14:paraId="2DD9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6306E2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4.1.3.1.3</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5528AA0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主机一体化彩色液晶触摸屏≥13.3 英寸，触摸屏角度≥45 °可调节，具有 手指滑屏翻页功能，可用于调节控制仪器参数、探头切换、检查类型选择等。</w:t>
            </w:r>
          </w:p>
        </w:tc>
      </w:tr>
      <w:tr w14:paraId="52D6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AA94A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4.1.3.1.4</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67AB846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主机内置≥4 个非针式探头接口，探头接口外形完全一致，全部激活，拨杆锁定设计，所有探头可自由连接至任意接口，容积探头可在任一接口即插即用，不受限制，电子切换；</w:t>
            </w:r>
          </w:p>
        </w:tc>
      </w:tr>
      <w:tr w14:paraId="412B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36A136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4.1.3.1.5</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749CFE2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主机内置探头接口通用性：所有探头接口都能互通互用，每个探头均可接 插在任意一个探头接口正常使用，即插即用，电子切换。</w:t>
            </w:r>
          </w:p>
        </w:tc>
      </w:tr>
      <w:tr w14:paraId="2B2E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0FBDDE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4.1.3.1.6</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3B1752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控制面板具备一体化探头杯（非笔式探头杯）≥6 个；</w:t>
            </w:r>
          </w:p>
        </w:tc>
      </w:tr>
      <w:tr w14:paraId="1C96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713145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4.1.3.1.7</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7E388F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扩展成像技术：支持凸阵探头、线阵探头、腔内探头、容积探头</w:t>
            </w:r>
          </w:p>
        </w:tc>
      </w:tr>
      <w:tr w14:paraId="227A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39010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4.1.3.1.8</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6D1048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彩色 M 型成像单元（可用于所有探头）</w:t>
            </w:r>
          </w:p>
        </w:tc>
      </w:tr>
      <w:tr w14:paraId="1239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5CA5B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4.1.3.1.9</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736A8B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具备解剖 M 型模式，支持≥5 条取样线，可在任意位置 360 ° 自由旋转定</w:t>
            </w:r>
          </w:p>
        </w:tc>
      </w:tr>
      <w:tr w14:paraId="3132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1485BC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4.1.3.1.10</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19854D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具备宽景成像，支持凸阵探头、线阵探头、相控阵探头及腔内探头。</w:t>
            </w:r>
          </w:p>
        </w:tc>
      </w:tr>
      <w:tr w14:paraId="1965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0B5573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4.1.3.1.11</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12DE08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具备一键全屏显示功能，只需按一次按键即可全屏只显示图像区域，不再 显示其他参数信息，排除其他不必要的干扰因素，集中观察图像</w:t>
            </w:r>
          </w:p>
        </w:tc>
      </w:tr>
      <w:tr w14:paraId="1B10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D5311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4.1.3.1.12</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610015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预设条件：针对不同的检查脏器，预置最佳化图像的检查条件，减少操作时的调节，及常用所需的外部调节及组合调节，以中文直观显示</w:t>
            </w:r>
          </w:p>
        </w:tc>
      </w:tr>
      <w:tr w14:paraId="5DCC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83735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4.1.3.1.13</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33D87F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支持选配的探头类型：凸阵探头、线阵探头、腹部容积探头、相控阵探头、双凸双平面、经阴道容积探头等</w:t>
            </w:r>
          </w:p>
        </w:tc>
      </w:tr>
      <w:tr w14:paraId="3D31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000302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"C:\\Users\\ADMINI~1\\AppData\\Local\\Temp\\2.7.1.3" \o "file:///C:\\Users\\TPS\\Desktop\\2.7.1.3"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4.1.3.1.14</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44EBFE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所有探头基波频率 、谐波频率 、彩色频率 、频谱频率均≥五种，根据探头不同，频率范围 2－14MHz,可视可调</w:t>
            </w:r>
          </w:p>
        </w:tc>
      </w:tr>
      <w:tr w14:paraId="25C2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3196D3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4.1.3.2</w:t>
            </w:r>
          </w:p>
        </w:tc>
        <w:tc>
          <w:tcPr>
            <w:tcW w:w="4178" w:type="pct"/>
            <w:shd w:val="clear" w:color="auto" w:fill="auto"/>
            <w:vAlign w:val="center"/>
          </w:tcPr>
          <w:p w14:paraId="56F47F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测量、分析报告及图像存储及回放</w:t>
            </w:r>
          </w:p>
        </w:tc>
      </w:tr>
      <w:tr w14:paraId="20EF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517F96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"C:\\Users\\ADMINI~1\\AppData\\Local\\Temp\\2.7.2.1" \o "file:///C:\\Users\\TPS\\Desktop\\2.7.2.1"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4.1.3.2.1</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1E91C5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常规测量下，具备角度测量项，支持常规角度测量及交叉角度测量</w:t>
            </w:r>
          </w:p>
        </w:tc>
      </w:tr>
      <w:tr w14:paraId="77FC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35E7EE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"C:\\Users\\ADMINI~1\\AppData\\Local\\Temp\\2.7.2.2" \o "file:///C:\\Users\\TPS\\Desktop\\2.7.2.2"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4.1.3.2.2</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2908B2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专科计测软件包：腹部、妇科、产科、心脏、泌尿、小器官、矫形外科、颅脑、急诊等</w:t>
            </w:r>
          </w:p>
        </w:tc>
      </w:tr>
      <w:tr w14:paraId="2851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7521A2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"C:\\Users\\ADMINI~1\\AppData\\Local\\Temp\\2.7.2.3" \o "file:///C:\\Users\\TPS\\Desktop\\2.7.2.3"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4.1.3.2.3</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01ABAC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彩色模式下具有定点测量血流速度功能，能测量血管内某一点的血流速度， 能计算出最大速度及平均速度以及血流量，测速点≥4 个。</w:t>
            </w:r>
          </w:p>
        </w:tc>
      </w:tr>
      <w:tr w14:paraId="4C66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1E29E8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"C:\\Users\\ADMINI~1\\AppData\\Local\\Temp\\2.7.2.4" \o "file:///C:\\Users\\TPS\\Desktop\\2.7.2.4"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4.1.3.2.4</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19C6EC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包括双平面容积、辛普森容积和球体容积等容积测量方式≥5 种；</w:t>
            </w:r>
          </w:p>
        </w:tc>
      </w:tr>
      <w:tr w14:paraId="2DE7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6A7AE1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"C:\\Users\\ADMINI~1\\AppData\\Local\\Temp\\2.7.2.5" \o "file:///C:\\Users\\TPS\\Desktop\\2.7.2.5"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4.1.3.2.5</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42EB72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自定义测量快捷键≥20 个。</w:t>
            </w:r>
          </w:p>
        </w:tc>
      </w:tr>
      <w:tr w14:paraId="5E50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3BF16F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"C:\\Users\\ADMINI~1\\AppData\\Local\\Temp\\2.7.2.6" \o "file:///C:\\Users\\TPS\\Desktop\\2.7.2.6"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4.1.3.2.6</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7FD56C1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频谱包络测量下可测量的数据项≥13 项，包括收缩峰速、舒张末速、均速、 S/D、RI、PI、加速度、峰值压差、平均压差、加速度时间、减速度时间、 速度时间积分、心率等。</w:t>
            </w:r>
          </w:p>
        </w:tc>
      </w:tr>
      <w:tr w14:paraId="77FE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2D6FAC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"C:\\Users\\ADMINI~1\\AppData\\Local\\Temp\\2.7.2.7" \o "file:///C:\\Users\\TPS\\Desktop\\2.7.2.7"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4.1.3.2.7</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3034B0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静态图像、动态图像以 PC 格式直接导出（如：BMP、JPG、Tif、DCM、CIN、AVI，无需特殊软件技能在普通电脑上直接观看</w:t>
            </w:r>
          </w:p>
        </w:tc>
      </w:tr>
      <w:tr w14:paraId="2275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74E389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"C:\\Users\\ADMINI~1\\AppData\\Local\\Temp\\2.7.2.8" \o "file:///C:\\Users\\TPS\\Desktop\\2.7.2.8"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4.1.3.2.8</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3B5793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电影回放：灰阶图像回放≥8000 幅，M/PW 电影回放时间≥10 分钟,CW 电影回放≥360 秒</w:t>
            </w:r>
          </w:p>
        </w:tc>
      </w:tr>
      <w:tr w14:paraId="17D2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0693E7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4.1.3.3</w:t>
            </w:r>
          </w:p>
        </w:tc>
        <w:tc>
          <w:tcPr>
            <w:tcW w:w="4178" w:type="pct"/>
            <w:shd w:val="clear" w:color="auto" w:fill="auto"/>
            <w:vAlign w:val="center"/>
          </w:tcPr>
          <w:p w14:paraId="601E5F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连通及操作单元</w:t>
            </w:r>
          </w:p>
        </w:tc>
      </w:tr>
      <w:tr w14:paraId="472F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184C9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"C:\\Users\\ADMINI~1\\AppData\\Local\\Temp\\2.7.3.1" \o "file:///C:\\Users\\TPS\\Desktop\\2.7.3.1"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4.1.3.3.1</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6B7E5C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支持网络连接</w:t>
            </w:r>
          </w:p>
        </w:tc>
      </w:tr>
      <w:tr w14:paraId="09CE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1480E8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"C:\\Users\\ADMINI~1\\AppData\\Local\\Temp\\2.7.3.2" \o "file:///C:\\Users\\TPS\\Desktop\\2.7.3.2"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4.1.3.3.2</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586683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主机内置接口：USB 接口≥6 个、复合视频 RCA 输出接口、音频输入接口、音频输出接口、MIC 接口、VGA 接口、HDMI 接口、S 端子视频输出接口。</w:t>
            </w:r>
          </w:p>
        </w:tc>
      </w:tr>
      <w:tr w14:paraId="30EB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0B135C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"C:\\Users\\ADMINI~1\\AppData\\Local\\Temp\\2.7.3.3" \o "file:///C:\\Users\\TPS\\Desktop\\2.7.3.3"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4.1.3.3.3</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083A056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具备系统功能激活列表，显示各种功能的激活状态、激活时间，使用天数等，还可通过在此界面直接选择导入激活文件进行功能升级激活。</w:t>
            </w:r>
          </w:p>
        </w:tc>
      </w:tr>
      <w:tr w14:paraId="0B1C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0DFF57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4.1.3.4</w:t>
            </w:r>
          </w:p>
        </w:tc>
        <w:tc>
          <w:tcPr>
            <w:tcW w:w="4178" w:type="pct"/>
            <w:shd w:val="clear" w:color="auto" w:fill="auto"/>
            <w:vAlign w:val="center"/>
          </w:tcPr>
          <w:p w14:paraId="041959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二维灰阶及多普勒</w:t>
            </w:r>
          </w:p>
        </w:tc>
      </w:tr>
      <w:tr w14:paraId="5339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6B4B39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"C:\\Users\\ADMINI~1\\AppData\\Local\\Temp\\2.7.4.1" \o "file:///C:\\Users\\TPS\\Desktop\\2.7.4.1"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4.1.3.4.1</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13A259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聚焦区焦点数： ≥12 个，可通过滚动轨迹球调节焦点的位置。</w:t>
            </w:r>
          </w:p>
        </w:tc>
      </w:tr>
      <w:tr w14:paraId="26AF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02F349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"C:\\Users\\ADMINI~1\\AppData\\Local\\Temp\\2.7.4.2" \o "file:///C:\\Users\\TPS\\Desktop\\2.7.4.2"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4.1.3.4.2</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5BDF2B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斑点柔化： ≥15 级，可视可调</w:t>
            </w:r>
          </w:p>
        </w:tc>
      </w:tr>
      <w:tr w14:paraId="1C22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368FD4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"C:\\Users\\ADMINI~1\\AppData\\Local\\Temp\\2.7.4.3" \o "file:///C:\\Users\\TPS\\Desktop\\2.7.4.3"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4.1.3.4.3</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6F0D0E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各探头二维模式、彩色模式、频谱模式的声功率 100%可独立调节，调节步长均≤2%</w:t>
            </w:r>
          </w:p>
        </w:tc>
      </w:tr>
      <w:tr w14:paraId="4509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781EB9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"C:\\Users\\ADMINI~1\\AppData\\Local\\Temp\\2.7.4.4" \o "file:///C:\\Users\\TPS\\Desktop\\2.7.4.4"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4.1.3.4.4</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31B06D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所有探头支持彩色频率≥5段可调</w:t>
            </w:r>
          </w:p>
        </w:tc>
      </w:tr>
      <w:tr w14:paraId="61F6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761DE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"C:\\Users\\ADMINI~1\\AppData\\Local\\Temp\\2.7.4.5" \o "file:///C:\\Users\\TPS\\Desktop\\2.7.4.5"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4.1.3.4.5</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5540E4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具备血流分布直方图</w:t>
            </w:r>
          </w:p>
        </w:tc>
      </w:tr>
      <w:tr w14:paraId="7253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313C79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"C:\\Users\\ADMINI~1\\AppData\\Local\\Temp\\2.7.4.6" \o "file:///C:\\Users\\TPS\\Desktop\\2.7.4.6"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4.1.3.4.6</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7DB566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彩色增强技术≥5 级可调</w:t>
            </w:r>
          </w:p>
        </w:tc>
      </w:tr>
      <w:tr w14:paraId="3697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732EA5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"C:\\Users\\ADMINI~1\\AppData\\Local\\Temp\\2.7.4.7" \o "file:///C:\\Users\\TPS\\Desktop\\2.7.4.7"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4.1.3.4.7</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1391E7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频谱采样容积 0.5-40mm，步进 1mm（所有探头均支持）</w:t>
            </w:r>
          </w:p>
        </w:tc>
      </w:tr>
      <w:tr w14:paraId="1049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55CDA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"C:\\Users\\ADMINI~1\\AppData\\Local\\Temp\\2.7.4.8" \o "file:///C:\\Users\\TPS\\Desktop\\2.7.4.8"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4.1.3.4.8</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036607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具备弹性成像功能，且在该功能下≥2 种透明度可调，可使颜色指示始终显示或智能显示。</w:t>
            </w:r>
          </w:p>
        </w:tc>
      </w:tr>
      <w:tr w14:paraId="687A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6CE017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4.1.3.5</w:t>
            </w:r>
          </w:p>
        </w:tc>
        <w:tc>
          <w:tcPr>
            <w:tcW w:w="4178" w:type="pct"/>
            <w:shd w:val="clear" w:color="auto" w:fill="auto"/>
            <w:vAlign w:val="center"/>
          </w:tcPr>
          <w:p w14:paraId="7E9FE1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配置要求</w:t>
            </w:r>
          </w:p>
        </w:tc>
      </w:tr>
      <w:tr w14:paraId="689C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64291D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"C:\\Users\\ADMINI~1\\AppData\\Local\\Temp\\2.7.5.1" \o "file:///C:\\Users\\TPS\\Desktop\\2.7.5.1"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4.1.3.5.1</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5F35A2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 英寸高清专用液晶显示器  1 台</w:t>
            </w:r>
          </w:p>
        </w:tc>
      </w:tr>
      <w:tr w14:paraId="6B9C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8E96F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"C:\\Users\\ADMINI~1\\AppData\\Local\\Temp\\2.7.5.2" \o "file:///C:\\Users\\TPS\\Desktop\\2.7.5.2"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4.1.3.5.2</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0CC245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探头：双平面探头、腹部探头各 1 个</w:t>
            </w:r>
          </w:p>
        </w:tc>
      </w:tr>
      <w:tr w14:paraId="12E5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3F9B19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"C:\\Users\\ADMINI~1\\AppData\\Local\\Temp\\2.7.5.3" \o "file:///C:\\Users\\TPS\\Desktop\\2.7.5.3"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4.1.3.5.3</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28E777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超声耦合剂 5 瓶</w:t>
            </w:r>
          </w:p>
        </w:tc>
      </w:tr>
      <w:tr w14:paraId="5AD5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15A7AB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4.1.4</w:t>
            </w:r>
          </w:p>
        </w:tc>
        <w:tc>
          <w:tcPr>
            <w:tcW w:w="4178" w:type="pct"/>
            <w:shd w:val="clear" w:color="auto" w:fill="auto"/>
            <w:vAlign w:val="center"/>
          </w:tcPr>
          <w:p w14:paraId="7F1ED8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前列腺粒子导航定位支架 1套</w:t>
            </w:r>
          </w:p>
        </w:tc>
      </w:tr>
      <w:tr w14:paraId="0760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58CC79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4.1.4.1</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213F7B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移动落地式前列腺植入固定支架，具有能与 B 超系统兼容连接，保证导航架模板与 B 超系统的模板，同时与导航系统的模板，三者模板在穿刺导航时能实时同步对应；</w:t>
            </w:r>
          </w:p>
        </w:tc>
      </w:tr>
      <w:tr w14:paraId="1D6B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063ACC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4.1.4.2</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044B29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支架底座带可移动脚踏开关，支持支架移动；</w:t>
            </w:r>
          </w:p>
        </w:tc>
      </w:tr>
      <w:tr w14:paraId="235D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3CD706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4.1.4.3</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448773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支架步进器能左右平移﹣3mm—3mm；</w:t>
            </w:r>
          </w:p>
        </w:tc>
      </w:tr>
      <w:tr w14:paraId="1028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555234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4.1.4.4</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540374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可升降固定地脚；手摇式升降立柱，最大升降高度30mm；</w:t>
            </w:r>
          </w:p>
        </w:tc>
      </w:tr>
      <w:tr w14:paraId="32B3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385B82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4.1.4.5</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5601B3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可 360 度旋转装置，可选择任何方向；60 度俯仰适合各种体位；</w:t>
            </w:r>
          </w:p>
        </w:tc>
      </w:tr>
      <w:tr w14:paraId="1E47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1BF6F3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4.1.4.6</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5FD34C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手摇式步进装置，且清晰的刻度尺方便控制步进距离；</w:t>
            </w:r>
          </w:p>
        </w:tc>
      </w:tr>
      <w:tr w14:paraId="56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362DAB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4.1.4.7</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7D1503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探头固定摇篮左右摆动，可测式锁紧装置；</w:t>
            </w:r>
          </w:p>
        </w:tc>
      </w:tr>
      <w:tr w14:paraId="420D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5A1D46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4.1.4.8</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2FC048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镶入式模版固定支架，可向前探出距离≥150MM；</w:t>
            </w:r>
          </w:p>
        </w:tc>
      </w:tr>
      <w:tr w14:paraId="798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04F3C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4.1.4.9</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727101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插入式模版固定，高度可在 0-50MM 区间精确校准；</w:t>
            </w:r>
          </w:p>
        </w:tc>
      </w:tr>
      <w:tr w14:paraId="22E0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00D83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fldChar w:fldCharType="begin"/>
            </w:r>
            <w:r>
              <w:rPr>
                <w:rFonts w:hint="eastAsia" w:ascii="宋体" w:hAnsi="宋体" w:eastAsia="宋体" w:cs="宋体"/>
                <w:i w:val="0"/>
                <w:iCs w:val="0"/>
                <w:snapToGrid w:val="0"/>
                <w:color w:val="auto"/>
                <w:kern w:val="0"/>
                <w:sz w:val="24"/>
                <w:szCs w:val="24"/>
                <w:highlight w:val="none"/>
                <w:u w:val="none"/>
                <w:lang w:val="en-US" w:eastAsia="zh-CN" w:bidi="ar"/>
              </w:rPr>
              <w:instrText xml:space="preserve"> HYPERLINK "C:\\Users\\ADMINI~1\\AppData\\Local\\Temp\\2.6.1.1" \o "file:///C:\\Users\\TPS\\Desktop\\2.6.1.1" </w:instrText>
            </w:r>
            <w:r>
              <w:rPr>
                <w:rFonts w:hint="eastAsia" w:ascii="宋体" w:hAnsi="宋体" w:eastAsia="宋体" w:cs="宋体"/>
                <w:i w:val="0"/>
                <w:iCs w:val="0"/>
                <w:snapToGrid w:val="0"/>
                <w:color w:val="auto"/>
                <w:kern w:val="0"/>
                <w:sz w:val="24"/>
                <w:szCs w:val="24"/>
                <w:highlight w:val="none"/>
                <w:u w:val="none"/>
                <w:lang w:val="en-US" w:eastAsia="zh-CN" w:bidi="ar"/>
              </w:rPr>
              <w:fldChar w:fldCharType="separate"/>
            </w:r>
            <w:r>
              <w:rPr>
                <w:rStyle w:val="30"/>
                <w:rFonts w:hint="eastAsia" w:ascii="宋体" w:hAnsi="宋体" w:eastAsia="宋体" w:cs="宋体"/>
                <w:i w:val="0"/>
                <w:iCs w:val="0"/>
                <w:color w:val="auto"/>
                <w:sz w:val="24"/>
                <w:szCs w:val="24"/>
                <w:highlight w:val="none"/>
                <w:u w:val="none"/>
              </w:rPr>
              <w:t>4.1.4.10</w:t>
            </w:r>
            <w:r>
              <w:rPr>
                <w:rFonts w:hint="eastAsia" w:ascii="宋体" w:hAnsi="宋体" w:eastAsia="宋体" w:cs="宋体"/>
                <w:i w:val="0"/>
                <w:iCs w:val="0"/>
                <w:snapToGrid w:val="0"/>
                <w:color w:val="auto"/>
                <w:kern w:val="0"/>
                <w:sz w:val="24"/>
                <w:szCs w:val="24"/>
                <w:highlight w:val="none"/>
                <w:u w:val="none"/>
                <w:lang w:val="en-US" w:eastAsia="zh-CN" w:bidi="ar"/>
              </w:rPr>
              <w:fldChar w:fldCharType="end"/>
            </w:r>
          </w:p>
        </w:tc>
        <w:tc>
          <w:tcPr>
            <w:tcW w:w="4178" w:type="pct"/>
            <w:shd w:val="clear" w:color="auto" w:fill="auto"/>
            <w:vAlign w:val="center"/>
          </w:tcPr>
          <w:p w14:paraId="0790AC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具有实时数字采集系统 壹套</w:t>
            </w:r>
          </w:p>
        </w:tc>
      </w:tr>
      <w:tr w14:paraId="23D3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7C7CA7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4.1.4.11</w:t>
            </w:r>
          </w:p>
        </w:tc>
        <w:tc>
          <w:tcPr>
            <w:tcW w:w="4178" w:type="pct"/>
            <w:shd w:val="clear" w:color="auto" w:fill="auto"/>
            <w:vAlign w:val="center"/>
          </w:tcPr>
          <w:p w14:paraId="569092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供应商须提供所投标段产品的完整配置清单，不提供视为实质性不满足。</w:t>
            </w:r>
          </w:p>
        </w:tc>
      </w:tr>
      <w:tr w14:paraId="7FBB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5EAF2D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4.1.5</w:t>
            </w:r>
          </w:p>
        </w:tc>
        <w:tc>
          <w:tcPr>
            <w:tcW w:w="4178" w:type="pct"/>
            <w:shd w:val="clear" w:color="auto" w:fill="auto"/>
            <w:vAlign w:val="center"/>
          </w:tcPr>
          <w:p w14:paraId="0245B9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前列腺粒子导航软件系统（设备优势性参数要求)</w:t>
            </w:r>
          </w:p>
        </w:tc>
      </w:tr>
      <w:tr w14:paraId="42EB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7D8FD6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4.1.5.1</w:t>
            </w:r>
          </w:p>
        </w:tc>
        <w:tc>
          <w:tcPr>
            <w:tcW w:w="4178" w:type="pct"/>
            <w:shd w:val="clear" w:color="auto" w:fill="auto"/>
            <w:vAlign w:val="center"/>
          </w:tcPr>
          <w:p w14:paraId="4303C4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实时采集、实时治疗系统；实时采集时间≤5s；（实时采集时间≤1s（得7分）；1＜实时采集时间≤3s（得4分）；3＜实时采集时间≤5s（得1分））</w:t>
            </w:r>
          </w:p>
        </w:tc>
      </w:tr>
      <w:tr w14:paraId="2CB6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721820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4.1.5.2</w:t>
            </w:r>
          </w:p>
        </w:tc>
        <w:tc>
          <w:tcPr>
            <w:tcW w:w="4178" w:type="pct"/>
            <w:shd w:val="clear" w:color="auto" w:fill="auto"/>
            <w:vAlign w:val="center"/>
          </w:tcPr>
          <w:p w14:paraId="19C64C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治疗系统与B超实时连接显示、实时采集、实时计划、实时验证；实时连接时间≤5s；（实时采集时间≤1s（得7分）；1＜实时采集时间≤3s（得4分）；3＜实时采集时间≤5s（得1分））</w:t>
            </w:r>
          </w:p>
        </w:tc>
      </w:tr>
      <w:tr w14:paraId="264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10110B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4.1.5.3</w:t>
            </w:r>
          </w:p>
        </w:tc>
        <w:tc>
          <w:tcPr>
            <w:tcW w:w="4178" w:type="pct"/>
            <w:shd w:val="clear" w:color="auto" w:fill="auto"/>
            <w:vAlign w:val="center"/>
          </w:tcPr>
          <w:p w14:paraId="4B6493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长度（尺寸）重建偏差（精度）：≤3mm；（长度（尺寸）重建偏差（精度≤1mm（得7分）；1＜长度（尺寸）重建偏差（精度）≤2mm（得4分）；2＜长度（尺寸）重建偏差（精度）≤3mm（得1分））</w:t>
            </w:r>
          </w:p>
        </w:tc>
      </w:tr>
      <w:tr w14:paraId="012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7C4889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4.1.5.4</w:t>
            </w:r>
          </w:p>
        </w:tc>
        <w:tc>
          <w:tcPr>
            <w:tcW w:w="4178" w:type="pct"/>
            <w:shd w:val="clear" w:color="auto" w:fill="auto"/>
            <w:vAlign w:val="center"/>
          </w:tcPr>
          <w:p w14:paraId="1F6061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计量准确率偏差（精度）：≤±3%；（计量准确率偏差（精度）≤±1%（得7分）；±1%＜计量准确率偏差（精度）≤±2%（得4分）；±2%＜计量准确率偏差（精度）≤±3%（得1分））</w:t>
            </w:r>
          </w:p>
        </w:tc>
      </w:tr>
      <w:tr w14:paraId="5CD5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34B1FF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4.1.5.5</w:t>
            </w:r>
          </w:p>
        </w:tc>
        <w:tc>
          <w:tcPr>
            <w:tcW w:w="4178" w:type="pct"/>
            <w:shd w:val="clear" w:color="auto" w:fill="auto"/>
            <w:vAlign w:val="center"/>
          </w:tcPr>
          <w:p w14:paraId="6F5A60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体积重建精度偏差（精度）：≤±3%；（体积重建精度偏差（精度）≤±1%（得7分）；±1%＜体积重建精度偏差（精度）≤±2%（得4分）；±2%＜体积重建精度偏差（精度）≤±3%（得1分）)</w:t>
            </w:r>
          </w:p>
        </w:tc>
      </w:tr>
      <w:tr w14:paraId="544B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66B26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4.1.5.6</w:t>
            </w:r>
          </w:p>
        </w:tc>
        <w:tc>
          <w:tcPr>
            <w:tcW w:w="4178" w:type="pct"/>
            <w:shd w:val="clear" w:color="auto" w:fill="auto"/>
            <w:vAlign w:val="center"/>
          </w:tcPr>
          <w:p w14:paraId="51DA31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计量场分布准确性偏差（精度）：≤±5%。(计量场分布准确性偏差（精度≤±3%（得7分）；±3%＜计量场分布准确性偏差（精度）≤±4%（得4分）；±4%＜计量场分布准确性偏差（精度）≤±5%（得1分）)</w:t>
            </w:r>
          </w:p>
        </w:tc>
      </w:tr>
      <w:tr w14:paraId="4FA2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6202B2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4.1.5.7</w:t>
            </w:r>
          </w:p>
        </w:tc>
        <w:tc>
          <w:tcPr>
            <w:tcW w:w="4178" w:type="pct"/>
            <w:shd w:val="clear" w:color="auto" w:fill="auto"/>
            <w:vAlign w:val="center"/>
          </w:tcPr>
          <w:p w14:paraId="3F650D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数量：1台     原厂质保一年</w:t>
            </w:r>
          </w:p>
        </w:tc>
      </w:tr>
      <w:tr w14:paraId="6379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59F5EB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4.1.5.8</w:t>
            </w:r>
          </w:p>
        </w:tc>
        <w:tc>
          <w:tcPr>
            <w:tcW w:w="4178" w:type="pct"/>
            <w:shd w:val="clear" w:color="auto" w:fill="auto"/>
            <w:noWrap/>
            <w:vAlign w:val="center"/>
          </w:tcPr>
          <w:p w14:paraId="196EBAA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投标人需在采购需求偏离表的备注栏标明佐证材料的对应页码，佐证材料为所投产品的技术白皮书，否则不得分。</w:t>
            </w:r>
          </w:p>
        </w:tc>
      </w:tr>
      <w:tr w14:paraId="6229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10EB1BB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四-二</w:t>
            </w:r>
          </w:p>
        </w:tc>
        <w:tc>
          <w:tcPr>
            <w:tcW w:w="4178" w:type="pct"/>
            <w:shd w:val="clear" w:color="auto" w:fill="auto"/>
            <w:vAlign w:val="center"/>
          </w:tcPr>
          <w:p w14:paraId="44E4E52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器械车（三合一套车）（实质性条款（必须响应，否则投标无效））</w:t>
            </w:r>
          </w:p>
        </w:tc>
      </w:tr>
      <w:tr w14:paraId="0CE7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4EE532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4.2.1</w:t>
            </w:r>
          </w:p>
        </w:tc>
        <w:tc>
          <w:tcPr>
            <w:tcW w:w="4178" w:type="pct"/>
            <w:shd w:val="clear" w:color="auto" w:fill="auto"/>
            <w:vAlign w:val="center"/>
          </w:tcPr>
          <w:p w14:paraId="7DEB81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套桌尺寸： 1100*600*950*80(mm)、900*550*780*40(mm)、700*500*700*40（mm）三种</w:t>
            </w:r>
          </w:p>
        </w:tc>
      </w:tr>
      <w:tr w14:paraId="3343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50237A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4.2.2</w:t>
            </w:r>
          </w:p>
        </w:tc>
        <w:tc>
          <w:tcPr>
            <w:tcW w:w="4178" w:type="pct"/>
            <w:shd w:val="clear" w:color="auto" w:fill="auto"/>
            <w:vAlign w:val="center"/>
          </w:tcPr>
          <w:p w14:paraId="7DF788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套桌材质：不锈钢，厚度1.0mm</w:t>
            </w:r>
          </w:p>
        </w:tc>
      </w:tr>
      <w:tr w14:paraId="294D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7C8C06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4.2.3</w:t>
            </w:r>
          </w:p>
        </w:tc>
        <w:tc>
          <w:tcPr>
            <w:tcW w:w="4178" w:type="pct"/>
            <w:shd w:val="clear" w:color="auto" w:fill="auto"/>
            <w:vAlign w:val="center"/>
          </w:tcPr>
          <w:p w14:paraId="0E2B08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数量：7套    原厂质保一年</w:t>
            </w:r>
          </w:p>
        </w:tc>
      </w:tr>
      <w:tr w14:paraId="1F5F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0634C7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4.2.4</w:t>
            </w:r>
          </w:p>
        </w:tc>
        <w:tc>
          <w:tcPr>
            <w:tcW w:w="4178" w:type="pct"/>
            <w:shd w:val="clear" w:color="auto" w:fill="auto"/>
            <w:vAlign w:val="center"/>
          </w:tcPr>
          <w:p w14:paraId="51C013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供应商须提供所投标段产品的完整配置清单，不提供视为实质性不满足。</w:t>
            </w:r>
          </w:p>
        </w:tc>
      </w:tr>
      <w:tr w14:paraId="1307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5884F10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四-三</w:t>
            </w:r>
          </w:p>
        </w:tc>
        <w:tc>
          <w:tcPr>
            <w:tcW w:w="4178" w:type="pct"/>
            <w:shd w:val="clear" w:color="auto" w:fill="auto"/>
            <w:vAlign w:val="center"/>
          </w:tcPr>
          <w:p w14:paraId="0F74B52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输液车（实质性条款（必须响应，否则投标无效））</w:t>
            </w:r>
          </w:p>
        </w:tc>
      </w:tr>
      <w:tr w14:paraId="1DB1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617DA3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4.3.1</w:t>
            </w:r>
          </w:p>
        </w:tc>
        <w:tc>
          <w:tcPr>
            <w:tcW w:w="4178" w:type="pct"/>
            <w:shd w:val="clear" w:color="auto" w:fill="auto"/>
            <w:vAlign w:val="center"/>
          </w:tcPr>
          <w:p w14:paraId="21B350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输液车尺寸：900*800*500（mm）</w:t>
            </w:r>
          </w:p>
        </w:tc>
      </w:tr>
      <w:tr w14:paraId="2B14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508B35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4.3.2</w:t>
            </w:r>
          </w:p>
        </w:tc>
        <w:tc>
          <w:tcPr>
            <w:tcW w:w="4178" w:type="pct"/>
            <w:shd w:val="clear" w:color="auto" w:fill="auto"/>
            <w:vAlign w:val="center"/>
          </w:tcPr>
          <w:p w14:paraId="05F492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输液车材质：不锈钢，厚度1.0mm</w:t>
            </w:r>
          </w:p>
        </w:tc>
      </w:tr>
      <w:tr w14:paraId="5102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03F613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4.3.3</w:t>
            </w:r>
          </w:p>
        </w:tc>
        <w:tc>
          <w:tcPr>
            <w:tcW w:w="4178" w:type="pct"/>
            <w:shd w:val="clear" w:color="auto" w:fill="auto"/>
            <w:vAlign w:val="center"/>
          </w:tcPr>
          <w:p w14:paraId="747F17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输液车结构：三层板，双抽屉</w:t>
            </w:r>
          </w:p>
        </w:tc>
      </w:tr>
      <w:tr w14:paraId="0C75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9A330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4.3.4</w:t>
            </w:r>
          </w:p>
        </w:tc>
        <w:tc>
          <w:tcPr>
            <w:tcW w:w="4178" w:type="pct"/>
            <w:shd w:val="clear" w:color="auto" w:fill="auto"/>
            <w:vAlign w:val="center"/>
          </w:tcPr>
          <w:p w14:paraId="11BB22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数量：1台    原厂质保一年</w:t>
            </w:r>
          </w:p>
        </w:tc>
      </w:tr>
      <w:tr w14:paraId="0792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43C4E2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4.3.5</w:t>
            </w:r>
          </w:p>
        </w:tc>
        <w:tc>
          <w:tcPr>
            <w:tcW w:w="4178" w:type="pct"/>
            <w:shd w:val="clear" w:color="auto" w:fill="auto"/>
            <w:vAlign w:val="center"/>
          </w:tcPr>
          <w:p w14:paraId="7C1A1D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供应商须提供所投标段产品的完整配置清单，不提供视为实质性不满足。</w:t>
            </w:r>
          </w:p>
        </w:tc>
      </w:tr>
      <w:tr w14:paraId="5F05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2EDED40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四-四</w:t>
            </w:r>
          </w:p>
        </w:tc>
        <w:tc>
          <w:tcPr>
            <w:tcW w:w="4178" w:type="pct"/>
            <w:shd w:val="clear" w:color="auto" w:fill="auto"/>
            <w:vAlign w:val="center"/>
          </w:tcPr>
          <w:p w14:paraId="3A01C64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静点车（实质性条款（必须响应，否则投标无效））</w:t>
            </w:r>
          </w:p>
        </w:tc>
      </w:tr>
      <w:tr w14:paraId="56E0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9076B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4.4.1</w:t>
            </w:r>
          </w:p>
        </w:tc>
        <w:tc>
          <w:tcPr>
            <w:tcW w:w="4178" w:type="pct"/>
            <w:shd w:val="clear" w:color="auto" w:fill="auto"/>
            <w:vAlign w:val="center"/>
          </w:tcPr>
          <w:p w14:paraId="10EEEF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静点车尺寸：800*500*900（mm）</w:t>
            </w:r>
          </w:p>
        </w:tc>
      </w:tr>
      <w:tr w14:paraId="6FEE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64B238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4.4.2</w:t>
            </w:r>
          </w:p>
        </w:tc>
        <w:tc>
          <w:tcPr>
            <w:tcW w:w="4178" w:type="pct"/>
            <w:shd w:val="clear" w:color="auto" w:fill="auto"/>
            <w:vAlign w:val="center"/>
          </w:tcPr>
          <w:p w14:paraId="787107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静点车材质：主题框架采用优质不锈钢管焊接成型，厚度1.5mm，三层设计，台面采用优质不锈钢板，厚度0.8mm，层板配有三面围栏，配有两个抽屉，配有高档静音万向脚轮，移动方便。整体使用氩弧焊工艺，焊接而成，焊缝均匀，结合牢固，经过加细抛光处理，表面光滑，平整、无毛刺，易清洁消毒</w:t>
            </w:r>
          </w:p>
        </w:tc>
      </w:tr>
      <w:tr w14:paraId="084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043F47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4.4.3</w:t>
            </w:r>
          </w:p>
        </w:tc>
        <w:tc>
          <w:tcPr>
            <w:tcW w:w="4178" w:type="pct"/>
            <w:shd w:val="clear" w:color="auto" w:fill="auto"/>
            <w:vAlign w:val="center"/>
          </w:tcPr>
          <w:p w14:paraId="4FEC20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数量：4台  原厂质保一年</w:t>
            </w:r>
          </w:p>
        </w:tc>
      </w:tr>
      <w:tr w14:paraId="6C39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7622A9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4.4.4</w:t>
            </w:r>
          </w:p>
        </w:tc>
        <w:tc>
          <w:tcPr>
            <w:tcW w:w="4178" w:type="pct"/>
            <w:shd w:val="clear" w:color="auto" w:fill="auto"/>
            <w:vAlign w:val="center"/>
          </w:tcPr>
          <w:p w14:paraId="0E4533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供应商须提供所投标段产品的完整配置清单，不提供视为实质性不满足。</w:t>
            </w:r>
          </w:p>
        </w:tc>
      </w:tr>
      <w:tr w14:paraId="34E7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2C52228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四-五</w:t>
            </w:r>
          </w:p>
        </w:tc>
        <w:tc>
          <w:tcPr>
            <w:tcW w:w="4178" w:type="pct"/>
            <w:shd w:val="clear" w:color="auto" w:fill="auto"/>
            <w:vAlign w:val="center"/>
          </w:tcPr>
          <w:p w14:paraId="6E8A1EA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药品柜（实质性条款（必须响应，否则投标无效））</w:t>
            </w:r>
          </w:p>
        </w:tc>
      </w:tr>
      <w:tr w14:paraId="4FBA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1B457D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4.5.1</w:t>
            </w:r>
          </w:p>
        </w:tc>
        <w:tc>
          <w:tcPr>
            <w:tcW w:w="4178" w:type="pct"/>
            <w:shd w:val="clear" w:color="auto" w:fill="auto"/>
            <w:vAlign w:val="center"/>
          </w:tcPr>
          <w:p w14:paraId="073B12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药品柜尺寸：900*400*850（mm）</w:t>
            </w:r>
          </w:p>
        </w:tc>
      </w:tr>
      <w:tr w14:paraId="2C07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6BE64B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4.5.2</w:t>
            </w:r>
          </w:p>
        </w:tc>
        <w:tc>
          <w:tcPr>
            <w:tcW w:w="4178" w:type="pct"/>
            <w:shd w:val="clear" w:color="auto" w:fill="auto"/>
            <w:vAlign w:val="center"/>
          </w:tcPr>
          <w:p w14:paraId="4C6F9F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材质：整体采用优质冷轧钢板焊接成型，厚度0.6mm</w:t>
            </w:r>
          </w:p>
        </w:tc>
      </w:tr>
      <w:tr w14:paraId="1B4A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794229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4.5.3</w:t>
            </w:r>
          </w:p>
        </w:tc>
        <w:tc>
          <w:tcPr>
            <w:tcW w:w="4178" w:type="pct"/>
            <w:shd w:val="clear" w:color="auto" w:fill="auto"/>
            <w:vAlign w:val="center"/>
          </w:tcPr>
          <w:p w14:paraId="25F113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药品柜结构：上玻璃对开门配有一层隔板，下对开门设计；</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整体使用二氧化碳保护焊接工艺焊接而成，焊缝均匀，结合牢固，表面涂层采用双重涂层技术，经去油除锈、磷化和电泳底处理，使用环氧树脂粉末涂料，全静电吸附粉末，高温固化，涂层附着力高，保光性好，耐腐蚀，无毒环保，结合牢固，稳定性好。</w:t>
            </w:r>
          </w:p>
        </w:tc>
      </w:tr>
      <w:tr w14:paraId="7510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21" w:type="pct"/>
            <w:shd w:val="clear" w:color="auto" w:fill="auto"/>
            <w:vAlign w:val="center"/>
          </w:tcPr>
          <w:p w14:paraId="09D56F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4.5.4</w:t>
            </w:r>
          </w:p>
        </w:tc>
        <w:tc>
          <w:tcPr>
            <w:tcW w:w="4178" w:type="pct"/>
            <w:shd w:val="clear" w:color="auto" w:fill="auto"/>
            <w:vAlign w:val="center"/>
          </w:tcPr>
          <w:p w14:paraId="17F025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数量：1台   原厂质保一年</w:t>
            </w:r>
          </w:p>
        </w:tc>
      </w:tr>
      <w:tr w14:paraId="157A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shd w:val="clear" w:color="auto" w:fill="auto"/>
            <w:vAlign w:val="center"/>
          </w:tcPr>
          <w:p w14:paraId="1C9B51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4.5.5</w:t>
            </w:r>
          </w:p>
        </w:tc>
        <w:tc>
          <w:tcPr>
            <w:tcW w:w="4178" w:type="pct"/>
            <w:shd w:val="clear" w:color="auto" w:fill="auto"/>
            <w:vAlign w:val="center"/>
          </w:tcPr>
          <w:p w14:paraId="078564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供应商须提供所投标段产品的完整配置清单，不提供视为实质性不满足。</w:t>
            </w:r>
          </w:p>
        </w:tc>
      </w:tr>
    </w:tbl>
    <w:p w14:paraId="65D11D86">
      <w:pPr>
        <w:spacing w:line="360" w:lineRule="auto"/>
        <w:ind w:firstLine="480" w:firstLineChars="200"/>
        <w:rPr>
          <w:rFonts w:ascii="宋体" w:hAnsi="宋体" w:eastAsia="宋体" w:cs="宋体"/>
          <w:color w:val="auto"/>
          <w:sz w:val="24"/>
          <w:szCs w:val="24"/>
          <w:highlight w:val="none"/>
          <w:lang w:eastAsia="zh-CN"/>
        </w:rPr>
      </w:pPr>
    </w:p>
    <w:p w14:paraId="4D25E18F">
      <w:pPr>
        <w:rPr>
          <w:rFonts w:ascii="宋体" w:hAnsi="宋体" w:eastAsia="宋体" w:cs="宋体"/>
          <w:color w:val="auto"/>
          <w:sz w:val="32"/>
          <w:szCs w:val="22"/>
          <w:highlight w:val="none"/>
          <w:lang w:eastAsia="zh-CN"/>
        </w:rPr>
      </w:pPr>
      <w:bookmarkStart w:id="24" w:name="_Toc6096"/>
      <w:r>
        <w:rPr>
          <w:rFonts w:hint="eastAsia" w:ascii="宋体" w:hAnsi="宋体" w:eastAsia="宋体" w:cs="宋体"/>
          <w:color w:val="auto"/>
          <w:sz w:val="32"/>
          <w:szCs w:val="22"/>
          <w:highlight w:val="none"/>
          <w:lang w:eastAsia="zh-CN"/>
        </w:rPr>
        <w:br w:type="page"/>
      </w:r>
    </w:p>
    <w:p w14:paraId="4BA2507F">
      <w:pPr>
        <w:pStyle w:val="2"/>
        <w:spacing w:after="0" w:line="360" w:lineRule="auto"/>
        <w:jc w:val="center"/>
        <w:rPr>
          <w:rFonts w:ascii="宋体" w:hAnsi="宋体" w:cs="宋体"/>
          <w:color w:val="auto"/>
          <w:sz w:val="32"/>
          <w:szCs w:val="22"/>
          <w:highlight w:val="none"/>
          <w:lang w:eastAsia="zh-CN"/>
        </w:rPr>
      </w:pPr>
      <w:r>
        <w:rPr>
          <w:rFonts w:hint="eastAsia" w:ascii="宋体" w:hAnsi="宋体" w:cs="宋体"/>
          <w:color w:val="auto"/>
          <w:sz w:val="32"/>
          <w:szCs w:val="22"/>
          <w:highlight w:val="none"/>
          <w:lang w:eastAsia="zh-CN"/>
        </w:rPr>
        <w:t>第六章 投标文件构成及格式</w:t>
      </w:r>
      <w:bookmarkEnd w:id="24"/>
    </w:p>
    <w:p w14:paraId="09FF6D27">
      <w:pPr>
        <w:pStyle w:val="8"/>
        <w:spacing w:line="318" w:lineRule="auto"/>
        <w:rPr>
          <w:rFonts w:ascii="宋体" w:hAnsi="宋体" w:eastAsia="宋体" w:cs="宋体"/>
          <w:color w:val="auto"/>
          <w:highlight w:val="none"/>
          <w:lang w:eastAsia="zh-CN"/>
        </w:rPr>
      </w:pPr>
    </w:p>
    <w:p w14:paraId="60E13E8B">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采购人特别声明：</w:t>
      </w:r>
    </w:p>
    <w:p w14:paraId="07E714F0">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投标人应提交本“投标文件格式 ”所列举和要求的全部投标文件，并且所提交的投标</w:t>
      </w:r>
    </w:p>
    <w:p w14:paraId="7ADB1C34">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文件都是真实有效的，否则，将是投标人的风险。</w:t>
      </w:r>
    </w:p>
    <w:p w14:paraId="69376BDC">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554DF860">
      <w:pPr>
        <w:pStyle w:val="23"/>
        <w:rPr>
          <w:rFonts w:ascii="宋体" w:hAnsi="宋体" w:eastAsia="宋体" w:cs="宋体"/>
          <w:color w:val="auto"/>
          <w:kern w:val="44"/>
          <w:sz w:val="36"/>
          <w:highlight w:val="none"/>
          <w:lang w:val="zh-CN" w:eastAsia="zh-CN"/>
        </w:rPr>
      </w:pPr>
    </w:p>
    <w:p w14:paraId="51F92B39">
      <w:pPr>
        <w:pStyle w:val="23"/>
        <w:widowControl w:val="0"/>
        <w:kinsoku/>
        <w:autoSpaceDE/>
        <w:autoSpaceDN/>
        <w:snapToGrid/>
        <w:outlineLvl w:val="9"/>
        <w:rPr>
          <w:rFonts w:ascii="宋体" w:hAnsi="宋体" w:eastAsia="宋体" w:cs="宋体"/>
          <w:color w:val="auto"/>
          <w:sz w:val="28"/>
          <w:szCs w:val="28"/>
          <w:highlight w:val="none"/>
          <w:u w:val="single"/>
          <w:lang w:eastAsia="zh-CN"/>
        </w:rPr>
      </w:pPr>
    </w:p>
    <w:p w14:paraId="2E46A785">
      <w:pPr>
        <w:pStyle w:val="23"/>
        <w:widowControl w:val="0"/>
        <w:kinsoku/>
        <w:autoSpaceDE/>
        <w:autoSpaceDN/>
        <w:snapToGrid/>
        <w:outlineLvl w:val="9"/>
        <w:rPr>
          <w:rFonts w:ascii="宋体" w:hAnsi="宋体" w:eastAsia="宋体" w:cs="宋体"/>
          <w:color w:val="auto"/>
          <w:kern w:val="44"/>
          <w:sz w:val="36"/>
          <w:highlight w:val="none"/>
          <w:lang w:val="zh-CN" w:eastAsia="zh-CN"/>
        </w:rPr>
      </w:pPr>
      <w:r>
        <w:rPr>
          <w:rFonts w:hint="eastAsia" w:ascii="宋体" w:hAnsi="宋体" w:eastAsia="宋体" w:cs="宋体"/>
          <w:color w:val="auto"/>
          <w:sz w:val="28"/>
          <w:szCs w:val="28"/>
          <w:highlight w:val="none"/>
          <w:u w:val="single"/>
          <w:lang w:eastAsia="zh-CN"/>
        </w:rPr>
        <w:t xml:space="preserve">                                </w:t>
      </w:r>
      <w:bookmarkStart w:id="25" w:name="_Toc6030"/>
      <w:r>
        <w:rPr>
          <w:rFonts w:hint="eastAsia" w:ascii="宋体" w:hAnsi="宋体" w:eastAsia="宋体" w:cs="宋体"/>
          <w:color w:val="auto"/>
          <w:sz w:val="28"/>
          <w:szCs w:val="28"/>
          <w:highlight w:val="none"/>
          <w:lang w:eastAsia="zh-CN"/>
        </w:rPr>
        <w:t>（项目名称）</w:t>
      </w:r>
      <w:bookmarkEnd w:id="25"/>
    </w:p>
    <w:p w14:paraId="47C9D001">
      <w:pPr>
        <w:spacing w:line="360" w:lineRule="auto"/>
        <w:jc w:val="center"/>
        <w:rPr>
          <w:rFonts w:ascii="宋体" w:hAnsi="宋体" w:eastAsia="宋体" w:cs="宋体"/>
          <w:color w:val="auto"/>
          <w:sz w:val="28"/>
          <w:szCs w:val="28"/>
          <w:highlight w:val="none"/>
          <w:lang w:eastAsia="zh-CN"/>
        </w:rPr>
      </w:pPr>
    </w:p>
    <w:p w14:paraId="3BFD93E6">
      <w:pPr>
        <w:spacing w:line="360" w:lineRule="auto"/>
        <w:jc w:val="center"/>
        <w:rPr>
          <w:rFonts w:ascii="宋体" w:hAnsi="宋体" w:eastAsia="宋体" w:cs="宋体"/>
          <w:color w:val="auto"/>
          <w:sz w:val="28"/>
          <w:szCs w:val="28"/>
          <w:highlight w:val="none"/>
          <w:lang w:eastAsia="zh-CN"/>
        </w:rPr>
      </w:pPr>
    </w:p>
    <w:p w14:paraId="29CE7FFC">
      <w:pPr>
        <w:spacing w:line="360" w:lineRule="auto"/>
        <w:jc w:val="center"/>
        <w:rPr>
          <w:rFonts w:ascii="宋体" w:hAnsi="宋体" w:eastAsia="宋体" w:cs="宋体"/>
          <w:color w:val="auto"/>
          <w:sz w:val="28"/>
          <w:szCs w:val="28"/>
          <w:highlight w:val="none"/>
          <w:lang w:eastAsia="zh-CN"/>
        </w:rPr>
      </w:pPr>
    </w:p>
    <w:p w14:paraId="4C8AA314">
      <w:pPr>
        <w:spacing w:line="360" w:lineRule="auto"/>
        <w:jc w:val="center"/>
        <w:rPr>
          <w:rFonts w:ascii="宋体" w:hAnsi="宋体" w:eastAsia="宋体" w:cs="宋体"/>
          <w:color w:val="auto"/>
          <w:sz w:val="28"/>
          <w:szCs w:val="28"/>
          <w:highlight w:val="none"/>
          <w:lang w:eastAsia="zh-CN"/>
        </w:rPr>
      </w:pPr>
    </w:p>
    <w:p w14:paraId="54F55DE2">
      <w:pPr>
        <w:spacing w:line="360" w:lineRule="auto"/>
        <w:jc w:val="center"/>
        <w:rPr>
          <w:rFonts w:ascii="宋体" w:hAnsi="宋体" w:eastAsia="宋体" w:cs="宋体"/>
          <w:color w:val="auto"/>
          <w:sz w:val="28"/>
          <w:szCs w:val="28"/>
          <w:highlight w:val="none"/>
          <w:lang w:eastAsia="zh-CN"/>
        </w:rPr>
      </w:pPr>
    </w:p>
    <w:p w14:paraId="6537F140">
      <w:pPr>
        <w:spacing w:line="360" w:lineRule="auto"/>
        <w:jc w:val="center"/>
        <w:rPr>
          <w:rFonts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 标 文 件</w:t>
      </w:r>
    </w:p>
    <w:p w14:paraId="4EAF12B5">
      <w:pPr>
        <w:spacing w:line="360" w:lineRule="auto"/>
        <w:jc w:val="center"/>
        <w:rPr>
          <w:rFonts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标段编号：</w:t>
      </w:r>
    </w:p>
    <w:p w14:paraId="11BE5163">
      <w:pPr>
        <w:spacing w:line="480" w:lineRule="auto"/>
        <w:ind w:firstLine="3360" w:firstLineChars="1200"/>
        <w:rPr>
          <w:rFonts w:ascii="宋体" w:hAnsi="宋体" w:eastAsia="宋体" w:cs="宋体"/>
          <w:color w:val="auto"/>
          <w:sz w:val="28"/>
          <w:szCs w:val="28"/>
          <w:highlight w:val="none"/>
          <w:u w:val="single"/>
          <w:lang w:eastAsia="zh-CN"/>
        </w:rPr>
      </w:pPr>
    </w:p>
    <w:p w14:paraId="46D85076">
      <w:pPr>
        <w:spacing w:line="360" w:lineRule="auto"/>
        <w:jc w:val="center"/>
        <w:rPr>
          <w:rFonts w:ascii="宋体" w:hAnsi="宋体" w:eastAsia="宋体" w:cs="宋体"/>
          <w:color w:val="auto"/>
          <w:sz w:val="28"/>
          <w:szCs w:val="28"/>
          <w:highlight w:val="none"/>
          <w:lang w:eastAsia="zh-CN"/>
        </w:rPr>
      </w:pPr>
    </w:p>
    <w:p w14:paraId="2400EB9C">
      <w:pPr>
        <w:spacing w:line="360" w:lineRule="auto"/>
        <w:ind w:firstLine="1260" w:firstLineChars="450"/>
        <w:rPr>
          <w:rFonts w:ascii="宋体" w:hAnsi="宋体" w:eastAsia="宋体" w:cs="宋体"/>
          <w:color w:val="auto"/>
          <w:sz w:val="28"/>
          <w:szCs w:val="28"/>
          <w:highlight w:val="none"/>
          <w:lang w:eastAsia="zh-CN"/>
        </w:rPr>
      </w:pPr>
    </w:p>
    <w:p w14:paraId="04916C34">
      <w:pPr>
        <w:spacing w:line="360" w:lineRule="auto"/>
        <w:ind w:firstLine="1260" w:firstLineChars="450"/>
        <w:rPr>
          <w:rFonts w:ascii="宋体" w:hAnsi="宋体" w:eastAsia="宋体" w:cs="宋体"/>
          <w:color w:val="auto"/>
          <w:sz w:val="28"/>
          <w:szCs w:val="28"/>
          <w:highlight w:val="none"/>
          <w:lang w:eastAsia="zh-CN"/>
        </w:rPr>
      </w:pPr>
    </w:p>
    <w:p w14:paraId="78833DE7">
      <w:pPr>
        <w:spacing w:line="360" w:lineRule="auto"/>
        <w:ind w:firstLine="1260" w:firstLineChars="450"/>
        <w:rPr>
          <w:rFonts w:ascii="宋体" w:hAnsi="宋体" w:eastAsia="宋体" w:cs="宋体"/>
          <w:color w:val="auto"/>
          <w:sz w:val="28"/>
          <w:szCs w:val="28"/>
          <w:highlight w:val="none"/>
          <w:lang w:eastAsia="zh-CN"/>
        </w:rPr>
      </w:pPr>
    </w:p>
    <w:p w14:paraId="027AF67E">
      <w:pPr>
        <w:spacing w:line="360" w:lineRule="auto"/>
        <w:ind w:firstLine="1260" w:firstLineChars="450"/>
        <w:rPr>
          <w:rFonts w:ascii="宋体" w:hAnsi="宋体" w:eastAsia="宋体" w:cs="宋体"/>
          <w:color w:val="auto"/>
          <w:sz w:val="28"/>
          <w:szCs w:val="28"/>
          <w:highlight w:val="none"/>
          <w:lang w:eastAsia="zh-CN"/>
        </w:rPr>
      </w:pPr>
    </w:p>
    <w:p w14:paraId="1FC76241">
      <w:pPr>
        <w:spacing w:line="360" w:lineRule="auto"/>
        <w:ind w:firstLine="1260" w:firstLineChars="45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（盖单位章）</w:t>
      </w:r>
    </w:p>
    <w:p w14:paraId="36450C0E">
      <w:pPr>
        <w:spacing w:line="360" w:lineRule="auto"/>
        <w:ind w:firstLine="1260" w:firstLineChars="45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法定代表人或其委托代理人：</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（签字）</w:t>
      </w:r>
    </w:p>
    <w:p w14:paraId="136CD139">
      <w:pPr>
        <w:spacing w:line="360" w:lineRule="auto"/>
        <w:jc w:val="cente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42A327D2">
      <w:pPr>
        <w:jc w:val="cente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目录</w:t>
      </w:r>
    </w:p>
    <w:p w14:paraId="0BA1BF47">
      <w:pP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br w:type="page"/>
      </w:r>
    </w:p>
    <w:p w14:paraId="2EDA7F5B">
      <w:pPr>
        <w:jc w:val="cente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评标目录索引表</w:t>
      </w:r>
    </w:p>
    <w:p w14:paraId="5E7E473D">
      <w:pPr>
        <w:jc w:val="center"/>
        <w:rPr>
          <w:rFonts w:hint="default"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根据评标办法编制</w:t>
      </w:r>
    </w:p>
    <w:p w14:paraId="3CF3AAC9">
      <w:pP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br w:type="page"/>
      </w:r>
    </w:p>
    <w:p w14:paraId="55AD790B">
      <w:pPr>
        <w:jc w:val="center"/>
        <w:rPr>
          <w:rFonts w:hint="default"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p>
    <w:p w14:paraId="6300F6D1">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p>
    <w:p w14:paraId="63A5E951">
      <w:pPr>
        <w:spacing w:before="182" w:line="220" w:lineRule="auto"/>
        <w:ind w:left="12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格式一：</w:t>
      </w:r>
    </w:p>
    <w:p w14:paraId="66107A15">
      <w:pPr>
        <w:spacing w:before="182" w:line="220" w:lineRule="auto"/>
        <w:ind w:left="368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开标一览表（格式）</w:t>
      </w:r>
    </w:p>
    <w:p w14:paraId="3428FF4C">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376CD2DB">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标段编号：</w:t>
      </w:r>
    </w:p>
    <w:p w14:paraId="53D0A756">
      <w:pPr>
        <w:spacing w:line="288"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货币单位:元</w:t>
      </w:r>
    </w:p>
    <w:tbl>
      <w:tblPr>
        <w:tblStyle w:val="26"/>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7"/>
        <w:gridCol w:w="2042"/>
        <w:gridCol w:w="1755"/>
        <w:gridCol w:w="1218"/>
        <w:gridCol w:w="1668"/>
        <w:gridCol w:w="961"/>
      </w:tblGrid>
      <w:tr w14:paraId="26F00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91" w:hRule="atLeast"/>
          <w:jc w:val="center"/>
        </w:trPr>
        <w:tc>
          <w:tcPr>
            <w:tcW w:w="973" w:type="pct"/>
            <w:vAlign w:val="center"/>
          </w:tcPr>
          <w:p w14:paraId="6AE81F84">
            <w:pPr>
              <w:pStyle w:val="9"/>
              <w:spacing w:after="0"/>
              <w:ind w:left="0" w:leftChars="0"/>
              <w:jc w:val="center"/>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投标人名称</w:t>
            </w:r>
          </w:p>
        </w:tc>
        <w:tc>
          <w:tcPr>
            <w:tcW w:w="1075" w:type="pct"/>
            <w:vAlign w:val="center"/>
          </w:tcPr>
          <w:p w14:paraId="795C0B7E">
            <w:pPr>
              <w:pStyle w:val="9"/>
              <w:spacing w:after="0"/>
              <w:ind w:left="0" w:leftChars="0"/>
              <w:jc w:val="center"/>
              <w:rPr>
                <w:rFonts w:ascii="宋体" w:hAnsi="宋体" w:eastAsia="宋体" w:cs="宋体"/>
                <w:b/>
                <w:bCs/>
                <w:color w:val="auto"/>
                <w:sz w:val="24"/>
                <w:highlight w:val="none"/>
                <w:lang w:eastAsia="zh-CN"/>
              </w:rPr>
            </w:pPr>
            <w:r>
              <w:rPr>
                <w:rFonts w:ascii="宋体" w:hAnsi="宋体" w:eastAsia="宋体" w:cs="宋体"/>
                <w:b/>
                <w:bCs/>
                <w:color w:val="auto"/>
                <w:sz w:val="24"/>
                <w:highlight w:val="none"/>
                <w:lang w:eastAsia="zh-CN"/>
              </w:rPr>
              <w:t xml:space="preserve">投标报价 </w:t>
            </w:r>
          </w:p>
          <w:p w14:paraId="0883EB4E">
            <w:pPr>
              <w:pStyle w:val="9"/>
              <w:spacing w:after="0"/>
              <w:ind w:left="0" w:leftChars="0"/>
              <w:jc w:val="center"/>
              <w:rPr>
                <w:rFonts w:ascii="宋体" w:hAnsi="宋体" w:eastAsia="宋体" w:cs="宋体"/>
                <w:b/>
                <w:bCs/>
                <w:color w:val="auto"/>
                <w:sz w:val="24"/>
                <w:highlight w:val="none"/>
                <w:lang w:eastAsia="zh-CN"/>
              </w:rPr>
            </w:pPr>
            <w:r>
              <w:rPr>
                <w:rFonts w:ascii="宋体" w:hAnsi="宋体" w:eastAsia="宋体" w:cs="宋体"/>
                <w:b/>
                <w:bCs/>
                <w:color w:val="auto"/>
                <w:sz w:val="24"/>
                <w:highlight w:val="none"/>
                <w:lang w:eastAsia="zh-CN"/>
              </w:rPr>
              <w:t>(总价、元)</w:t>
            </w:r>
          </w:p>
        </w:tc>
        <w:tc>
          <w:tcPr>
            <w:tcW w:w="924" w:type="pct"/>
            <w:vAlign w:val="center"/>
          </w:tcPr>
          <w:p w14:paraId="6114E591">
            <w:pPr>
              <w:pStyle w:val="9"/>
              <w:spacing w:after="0"/>
              <w:ind w:left="0" w:leftChars="0"/>
              <w:jc w:val="center"/>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合同履行期限</w:t>
            </w:r>
          </w:p>
        </w:tc>
        <w:tc>
          <w:tcPr>
            <w:tcW w:w="641" w:type="pct"/>
            <w:vAlign w:val="center"/>
          </w:tcPr>
          <w:p w14:paraId="0CE520E2">
            <w:pPr>
              <w:pStyle w:val="9"/>
              <w:spacing w:after="0"/>
              <w:ind w:left="0" w:leftChars="0"/>
              <w:jc w:val="center"/>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质保期</w:t>
            </w:r>
          </w:p>
        </w:tc>
        <w:tc>
          <w:tcPr>
            <w:tcW w:w="878" w:type="pct"/>
            <w:vAlign w:val="center"/>
          </w:tcPr>
          <w:p w14:paraId="37B6306D">
            <w:pPr>
              <w:pStyle w:val="9"/>
              <w:spacing w:after="0"/>
              <w:ind w:left="0" w:leftChars="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投标保证金</w:t>
            </w:r>
          </w:p>
          <w:p w14:paraId="459B9BDB">
            <w:pPr>
              <w:pStyle w:val="9"/>
              <w:spacing w:after="0"/>
              <w:ind w:left="0" w:leftChars="0"/>
              <w:jc w:val="center"/>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（有/无）</w:t>
            </w:r>
          </w:p>
        </w:tc>
        <w:tc>
          <w:tcPr>
            <w:tcW w:w="506" w:type="pct"/>
            <w:vAlign w:val="center"/>
          </w:tcPr>
          <w:p w14:paraId="01CC61E0">
            <w:pPr>
              <w:pStyle w:val="9"/>
              <w:spacing w:after="0"/>
              <w:ind w:left="0" w:lef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28B6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973" w:type="pct"/>
            <w:vAlign w:val="center"/>
          </w:tcPr>
          <w:p w14:paraId="70BBF273">
            <w:pPr>
              <w:pStyle w:val="9"/>
              <w:spacing w:after="0"/>
              <w:ind w:left="0" w:leftChars="0"/>
              <w:jc w:val="center"/>
              <w:rPr>
                <w:rFonts w:ascii="宋体" w:hAnsi="宋体" w:eastAsia="宋体" w:cs="宋体"/>
                <w:color w:val="auto"/>
                <w:szCs w:val="21"/>
                <w:highlight w:val="none"/>
              </w:rPr>
            </w:pPr>
          </w:p>
        </w:tc>
        <w:tc>
          <w:tcPr>
            <w:tcW w:w="1075" w:type="pct"/>
            <w:vAlign w:val="center"/>
          </w:tcPr>
          <w:p w14:paraId="4A2DEAAF">
            <w:pPr>
              <w:pStyle w:val="9"/>
              <w:spacing w:after="0"/>
              <w:ind w:left="0" w:leftChars="0"/>
              <w:jc w:val="center"/>
              <w:rPr>
                <w:rFonts w:ascii="宋体" w:hAnsi="宋体" w:eastAsia="宋体" w:cs="宋体"/>
                <w:color w:val="auto"/>
                <w:szCs w:val="21"/>
                <w:highlight w:val="none"/>
              </w:rPr>
            </w:pPr>
          </w:p>
        </w:tc>
        <w:tc>
          <w:tcPr>
            <w:tcW w:w="924" w:type="pct"/>
            <w:vAlign w:val="center"/>
          </w:tcPr>
          <w:p w14:paraId="14BF0065">
            <w:pPr>
              <w:pStyle w:val="9"/>
              <w:spacing w:after="0"/>
              <w:ind w:left="0" w:leftChars="0"/>
              <w:jc w:val="center"/>
              <w:rPr>
                <w:rFonts w:ascii="宋体" w:hAnsi="宋体" w:eastAsia="宋体" w:cs="宋体"/>
                <w:color w:val="auto"/>
                <w:szCs w:val="21"/>
                <w:highlight w:val="none"/>
              </w:rPr>
            </w:pPr>
          </w:p>
        </w:tc>
        <w:tc>
          <w:tcPr>
            <w:tcW w:w="641" w:type="pct"/>
            <w:vAlign w:val="center"/>
          </w:tcPr>
          <w:p w14:paraId="752AB57E">
            <w:pPr>
              <w:pStyle w:val="9"/>
              <w:spacing w:after="0"/>
              <w:ind w:left="0" w:leftChars="0"/>
              <w:jc w:val="center"/>
              <w:rPr>
                <w:rFonts w:ascii="宋体" w:hAnsi="宋体" w:eastAsia="宋体" w:cs="宋体"/>
                <w:color w:val="auto"/>
                <w:szCs w:val="21"/>
                <w:highlight w:val="none"/>
              </w:rPr>
            </w:pPr>
          </w:p>
        </w:tc>
        <w:tc>
          <w:tcPr>
            <w:tcW w:w="878" w:type="pct"/>
            <w:vAlign w:val="center"/>
          </w:tcPr>
          <w:p w14:paraId="27B29E2B">
            <w:pPr>
              <w:pStyle w:val="9"/>
              <w:spacing w:after="0"/>
              <w:ind w:left="0" w:leftChars="0"/>
              <w:jc w:val="center"/>
              <w:rPr>
                <w:rFonts w:ascii="宋体" w:hAnsi="宋体" w:eastAsia="宋体" w:cs="宋体"/>
                <w:color w:val="auto"/>
                <w:szCs w:val="21"/>
                <w:highlight w:val="none"/>
              </w:rPr>
            </w:pPr>
          </w:p>
        </w:tc>
        <w:tc>
          <w:tcPr>
            <w:tcW w:w="506" w:type="pct"/>
            <w:vAlign w:val="center"/>
          </w:tcPr>
          <w:p w14:paraId="173DD44B">
            <w:pPr>
              <w:pStyle w:val="9"/>
              <w:spacing w:after="0"/>
              <w:ind w:left="0" w:leftChars="0"/>
              <w:jc w:val="center"/>
              <w:rPr>
                <w:rFonts w:ascii="宋体" w:hAnsi="宋体" w:eastAsia="宋体" w:cs="宋体"/>
                <w:color w:val="auto"/>
                <w:szCs w:val="21"/>
                <w:highlight w:val="none"/>
              </w:rPr>
            </w:pPr>
          </w:p>
        </w:tc>
      </w:tr>
    </w:tbl>
    <w:p w14:paraId="59198628">
      <w:pPr>
        <w:spacing w:before="78" w:line="220" w:lineRule="auto"/>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说明：</w:t>
      </w:r>
    </w:p>
    <w:p w14:paraId="2C86C3A8">
      <w:pPr>
        <w:spacing w:before="18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1.本“开标一览表”用于开标时唱标使用。</w:t>
      </w:r>
    </w:p>
    <w:p w14:paraId="3043AF72">
      <w:pPr>
        <w:spacing w:before="18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2.此表中的各项内容应与投标文件的相应内容一致。</w:t>
      </w:r>
    </w:p>
    <w:p w14:paraId="1D2A569E">
      <w:pPr>
        <w:spacing w:before="18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3.只允许有一个报价，任何有选择性的报价或者有附加条件的报价采购人将不予接受。</w:t>
      </w:r>
    </w:p>
    <w:p w14:paraId="54DA7583">
      <w:pPr>
        <w:spacing w:line="288" w:lineRule="auto"/>
        <w:rPr>
          <w:rFonts w:ascii="宋体" w:hAnsi="宋体" w:eastAsia="宋体" w:cs="宋体"/>
          <w:color w:val="auto"/>
          <w:sz w:val="24"/>
          <w:szCs w:val="24"/>
          <w:highlight w:val="none"/>
          <w:lang w:eastAsia="zh-CN"/>
        </w:rPr>
      </w:pPr>
    </w:p>
    <w:p w14:paraId="368ABFF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投标人名称（盖章）：</w:t>
      </w:r>
    </w:p>
    <w:p w14:paraId="09AC1039">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法定代表人（单位负责人）或授权代表（签字）：</w:t>
      </w:r>
    </w:p>
    <w:p w14:paraId="7A0C35E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   年    月   日</w:t>
      </w:r>
    </w:p>
    <w:p w14:paraId="01515B54">
      <w:pPr>
        <w:kinsoku/>
        <w:autoSpaceDE/>
        <w:autoSpaceDN/>
        <w:spacing w:after="240" w:afterLines="100"/>
        <w:jc w:val="cente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603E0D96">
      <w:pPr>
        <w:spacing w:before="7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格式二：</w:t>
      </w:r>
    </w:p>
    <w:p w14:paraId="455A87D6">
      <w:pPr>
        <w:spacing w:before="182" w:line="220" w:lineRule="auto"/>
        <w:ind w:left="3809"/>
        <w:rPr>
          <w:rFonts w:ascii="宋体" w:hAnsi="宋体" w:eastAsia="宋体" w:cs="宋体"/>
          <w:color w:val="auto"/>
          <w:sz w:val="24"/>
          <w:szCs w:val="24"/>
          <w:highlight w:val="none"/>
          <w:lang w:eastAsia="zh-CN"/>
        </w:rPr>
      </w:pPr>
      <w:bookmarkStart w:id="26" w:name="_Toc15346"/>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投标函（格式）</w:t>
      </w:r>
      <w:bookmarkEnd w:id="26"/>
    </w:p>
    <w:p w14:paraId="60DF20E3">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致：中经国际招标集团有限公司</w:t>
      </w:r>
    </w:p>
    <w:p w14:paraId="43E9965A">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我方参加你方就</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（项目名称，项目编号/包号）组织的招标活动，并对此项目进行投标。</w:t>
      </w:r>
    </w:p>
    <w:p w14:paraId="7CF33FC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我方已详细审查全部招标文件，自愿参与投标并承诺如下：</w:t>
      </w:r>
    </w:p>
    <w:p w14:paraId="5F5014C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（1）按招标文件规定提供货物及服务的投标总价为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（大写）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人民币，质保期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6989486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(2)我方保证根据招标文件规定履行合同责任和义务。</w:t>
      </w:r>
    </w:p>
    <w:p w14:paraId="5635FDDD">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(3)我方已详细审核了全部招标文件，包括招标文件的修改、补充文件（如果有的话）、参考资料及有关的附件，我们知道必须放弃提出含糊不清或误解的问题的权利。</w:t>
      </w:r>
    </w:p>
    <w:p w14:paraId="671D93A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(4)我方同意在投标人须知规定的开标日期起遵循本投标书，并在投标人须知规定的投标有效期满之前均具有约束力，并有可能中标。</w:t>
      </w:r>
    </w:p>
    <w:p w14:paraId="1B99812D">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(5)我方如果在规定的投标有效期内撤回投标，则我们的投标保证金可被贵方没收。</w:t>
      </w:r>
    </w:p>
    <w:p w14:paraId="18C6D51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(6)我方已提供的全部文件资料是真实、准确的，并对此承担一切法律后果。</w:t>
      </w:r>
    </w:p>
    <w:p w14:paraId="60C5D147">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(7)我方完全理解贵方不一定要接受最低报价的投标或收到的任何投标。</w:t>
      </w:r>
    </w:p>
    <w:p w14:paraId="7E72D8FC">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(8)本投标自开标之日起 90 天内有效。</w:t>
      </w:r>
    </w:p>
    <w:p w14:paraId="2D94689A">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与本投标有关的正式通信地址为：</w:t>
      </w:r>
    </w:p>
    <w:p w14:paraId="413A06A1">
      <w:pPr>
        <w:pStyle w:val="8"/>
        <w:spacing w:line="245" w:lineRule="auto"/>
        <w:rPr>
          <w:rFonts w:ascii="宋体" w:hAnsi="宋体" w:eastAsia="宋体" w:cs="宋体"/>
          <w:color w:val="auto"/>
          <w:highlight w:val="none"/>
          <w:lang w:eastAsia="zh-CN"/>
        </w:rPr>
      </w:pPr>
    </w:p>
    <w:p w14:paraId="605104CE">
      <w:pPr>
        <w:pStyle w:val="8"/>
        <w:spacing w:line="246" w:lineRule="auto"/>
        <w:rPr>
          <w:rFonts w:ascii="宋体" w:hAnsi="宋体" w:eastAsia="宋体" w:cs="宋体"/>
          <w:color w:val="auto"/>
          <w:highlight w:val="none"/>
          <w:lang w:eastAsia="zh-CN"/>
        </w:rPr>
      </w:pPr>
    </w:p>
    <w:p w14:paraId="7E245FFE">
      <w:pPr>
        <w:spacing w:before="78" w:line="22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地址：</w:t>
      </w:r>
    </w:p>
    <w:p w14:paraId="148B39A1">
      <w:pPr>
        <w:spacing w:before="170" w:line="219" w:lineRule="auto"/>
        <w:ind w:left="28"/>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电话、传真或电传：</w:t>
      </w:r>
    </w:p>
    <w:p w14:paraId="5B87F255">
      <w:pPr>
        <w:spacing w:before="181" w:line="219" w:lineRule="auto"/>
        <w:ind w:left="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441ED35D">
      <w:pPr>
        <w:spacing w:before="181" w:line="468" w:lineRule="exact"/>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法定代表人（单位负责人）</w:t>
      </w:r>
    </w:p>
    <w:p w14:paraId="652319A9">
      <w:pPr>
        <w:spacing w:line="220" w:lineRule="auto"/>
        <w:ind w:left="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或授权代表（签字</w:t>
      </w:r>
      <w:r>
        <w:rPr>
          <w:rFonts w:hint="eastAsia" w:ascii="宋体" w:hAnsi="宋体" w:eastAsia="宋体" w:cs="宋体"/>
          <w:color w:val="auto"/>
          <w:spacing w:val="1"/>
          <w:sz w:val="24"/>
          <w:szCs w:val="24"/>
          <w:highlight w:val="none"/>
          <w:lang w:eastAsia="zh-CN"/>
        </w:rPr>
        <w:t>）：</w:t>
      </w:r>
    </w:p>
    <w:p w14:paraId="7159D5BB">
      <w:pPr>
        <w:spacing w:before="182" w:line="220" w:lineRule="auto"/>
        <w:ind w:left="41"/>
        <w:rPr>
          <w:rFonts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3CBDAE0D">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1EB3E008">
      <w:pPr>
        <w:spacing w:before="4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格式三：</w:t>
      </w:r>
    </w:p>
    <w:p w14:paraId="0957B163">
      <w:pPr>
        <w:spacing w:before="181" w:line="219" w:lineRule="auto"/>
        <w:ind w:left="355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投标报价明细表（格式）</w:t>
      </w:r>
    </w:p>
    <w:p w14:paraId="59A66633">
      <w:pPr>
        <w:pStyle w:val="8"/>
        <w:spacing w:line="282" w:lineRule="auto"/>
        <w:rPr>
          <w:rFonts w:ascii="宋体" w:hAnsi="宋体" w:eastAsia="宋体" w:cs="宋体"/>
          <w:color w:val="auto"/>
          <w:highlight w:val="none"/>
          <w:lang w:eastAsia="zh-CN"/>
        </w:rPr>
      </w:pPr>
    </w:p>
    <w:p w14:paraId="538780E1">
      <w:pPr>
        <w:kinsoku/>
        <w:autoSpaceDE/>
        <w:autoSpaceDN/>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 xml:space="preserve">项目名称： </w:t>
      </w:r>
      <w:r>
        <w:rPr>
          <w:rFonts w:hint="eastAsia" w:ascii="宋体" w:hAnsi="宋体" w:eastAsia="宋体" w:cs="宋体"/>
          <w:color w:val="auto"/>
          <w:sz w:val="24"/>
          <w:highlight w:val="none"/>
          <w:u w:val="single"/>
          <w:lang w:eastAsia="zh-CN"/>
        </w:rPr>
        <w:t xml:space="preserve">                       </w:t>
      </w:r>
    </w:p>
    <w:p w14:paraId="23649119">
      <w:pPr>
        <w:kinsoku/>
        <w:autoSpaceDE/>
        <w:autoSpaceDN/>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标段编号：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 </w:t>
      </w:r>
    </w:p>
    <w:p w14:paraId="72F611C6">
      <w:pPr>
        <w:kinsoku/>
        <w:autoSpaceDE/>
        <w:autoSpaceDN/>
        <w:jc w:val="right"/>
        <w:rPr>
          <w:rFonts w:ascii="宋体" w:hAnsi="宋体" w:eastAsia="宋体" w:cs="宋体"/>
          <w:color w:val="auto"/>
          <w:szCs w:val="30"/>
          <w:highlight w:val="none"/>
        </w:rPr>
      </w:pPr>
      <w:r>
        <w:rPr>
          <w:rFonts w:hint="eastAsia" w:ascii="宋体" w:hAnsi="宋体" w:eastAsia="宋体" w:cs="宋体"/>
          <w:color w:val="auto"/>
          <w:sz w:val="24"/>
          <w:highlight w:val="none"/>
        </w:rPr>
        <w:t>单位：元（人民币）</w:t>
      </w:r>
    </w:p>
    <w:tbl>
      <w:tblPr>
        <w:tblStyle w:val="26"/>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14:paraId="7FB75857">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vAlign w:val="center"/>
          </w:tcPr>
          <w:p w14:paraId="029F68CB">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940" w:type="dxa"/>
            <w:tcBorders>
              <w:top w:val="single" w:color="auto" w:sz="4" w:space="0"/>
              <w:left w:val="nil"/>
              <w:bottom w:val="single" w:color="auto" w:sz="4" w:space="0"/>
              <w:right w:val="single" w:color="auto" w:sz="4" w:space="0"/>
            </w:tcBorders>
            <w:vAlign w:val="center"/>
          </w:tcPr>
          <w:p w14:paraId="3A90AE5D">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1287" w:type="dxa"/>
            <w:tcBorders>
              <w:top w:val="single" w:color="auto" w:sz="4" w:space="0"/>
              <w:left w:val="nil"/>
              <w:bottom w:val="single" w:color="auto" w:sz="4" w:space="0"/>
              <w:right w:val="single" w:color="auto" w:sz="4" w:space="0"/>
            </w:tcBorders>
            <w:vAlign w:val="center"/>
          </w:tcPr>
          <w:p w14:paraId="6CF0C216">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规格型号</w:t>
            </w:r>
          </w:p>
        </w:tc>
        <w:tc>
          <w:tcPr>
            <w:tcW w:w="1328" w:type="dxa"/>
            <w:tcBorders>
              <w:top w:val="single" w:color="auto" w:sz="4" w:space="0"/>
              <w:left w:val="nil"/>
              <w:bottom w:val="single" w:color="auto" w:sz="4" w:space="0"/>
              <w:right w:val="single" w:color="auto" w:sz="4" w:space="0"/>
            </w:tcBorders>
            <w:vAlign w:val="center"/>
          </w:tcPr>
          <w:p w14:paraId="675C72C0">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生产厂家</w:t>
            </w:r>
          </w:p>
        </w:tc>
        <w:tc>
          <w:tcPr>
            <w:tcW w:w="715" w:type="dxa"/>
            <w:tcBorders>
              <w:top w:val="single" w:color="auto" w:sz="4" w:space="0"/>
              <w:left w:val="nil"/>
              <w:bottom w:val="single" w:color="auto" w:sz="4" w:space="0"/>
              <w:right w:val="single" w:color="auto" w:sz="4" w:space="0"/>
            </w:tcBorders>
            <w:vAlign w:val="center"/>
          </w:tcPr>
          <w:p w14:paraId="7CC6D236">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单位</w:t>
            </w:r>
          </w:p>
        </w:tc>
        <w:tc>
          <w:tcPr>
            <w:tcW w:w="723" w:type="dxa"/>
            <w:tcBorders>
              <w:top w:val="single" w:color="auto" w:sz="4" w:space="0"/>
              <w:left w:val="nil"/>
              <w:bottom w:val="single" w:color="auto" w:sz="4" w:space="0"/>
              <w:right w:val="single" w:color="auto" w:sz="4" w:space="0"/>
            </w:tcBorders>
            <w:vAlign w:val="center"/>
          </w:tcPr>
          <w:p w14:paraId="43E30BA7">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423" w:type="dxa"/>
            <w:tcBorders>
              <w:top w:val="single" w:color="auto" w:sz="4" w:space="0"/>
              <w:left w:val="nil"/>
              <w:bottom w:val="single" w:color="auto" w:sz="4" w:space="0"/>
              <w:right w:val="single" w:color="auto" w:sz="4" w:space="0"/>
            </w:tcBorders>
            <w:vAlign w:val="center"/>
          </w:tcPr>
          <w:p w14:paraId="2D29E9F8">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单价（元）</w:t>
            </w:r>
          </w:p>
        </w:tc>
        <w:tc>
          <w:tcPr>
            <w:tcW w:w="1400" w:type="dxa"/>
            <w:tcBorders>
              <w:top w:val="single" w:color="auto" w:sz="4" w:space="0"/>
              <w:left w:val="nil"/>
              <w:bottom w:val="single" w:color="auto" w:sz="4" w:space="0"/>
              <w:right w:val="single" w:color="auto" w:sz="4" w:space="0"/>
            </w:tcBorders>
            <w:vAlign w:val="center"/>
          </w:tcPr>
          <w:p w14:paraId="4817ED36">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合计（元）</w:t>
            </w:r>
          </w:p>
        </w:tc>
        <w:tc>
          <w:tcPr>
            <w:tcW w:w="613" w:type="dxa"/>
            <w:tcBorders>
              <w:top w:val="single" w:color="auto" w:sz="4" w:space="0"/>
              <w:left w:val="nil"/>
              <w:bottom w:val="single" w:color="auto" w:sz="4" w:space="0"/>
              <w:right w:val="single" w:color="auto" w:sz="4" w:space="0"/>
            </w:tcBorders>
            <w:vAlign w:val="center"/>
          </w:tcPr>
          <w:p w14:paraId="00B07047">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33B7452D">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2DC821C8">
            <w:pPr>
              <w:jc w:val="center"/>
              <w:rPr>
                <w:rFonts w:ascii="宋体" w:hAnsi="宋体" w:eastAsia="宋体" w:cs="宋体"/>
                <w:b/>
                <w:bCs/>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5F3A93ED">
            <w:pPr>
              <w:jc w:val="center"/>
              <w:rPr>
                <w:rFonts w:ascii="宋体" w:hAnsi="宋体" w:eastAsia="宋体" w:cs="宋体"/>
                <w:b/>
                <w:bCs/>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2BA495C2">
            <w:pPr>
              <w:jc w:val="center"/>
              <w:rPr>
                <w:rFonts w:ascii="宋体" w:hAnsi="宋体" w:eastAsia="宋体" w:cs="宋体"/>
                <w:b/>
                <w:bCs/>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1FAFF2D7">
            <w:pPr>
              <w:jc w:val="center"/>
              <w:rPr>
                <w:rFonts w:ascii="宋体" w:hAnsi="宋体" w:eastAsia="宋体" w:cs="宋体"/>
                <w:b/>
                <w:bCs/>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5ED89C62">
            <w:pPr>
              <w:jc w:val="center"/>
              <w:rPr>
                <w:rFonts w:ascii="宋体" w:hAnsi="宋体" w:eastAsia="宋体" w:cs="宋体"/>
                <w:b/>
                <w:bCs/>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747328EB">
            <w:pPr>
              <w:jc w:val="center"/>
              <w:rPr>
                <w:rFonts w:ascii="宋体" w:hAnsi="宋体" w:eastAsia="宋体" w:cs="宋体"/>
                <w:b/>
                <w:bCs/>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2A2319A4">
            <w:pPr>
              <w:jc w:val="center"/>
              <w:rPr>
                <w:rFonts w:ascii="宋体" w:hAnsi="宋体" w:eastAsia="宋体" w:cs="宋体"/>
                <w:b/>
                <w:bCs/>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3D9B5948">
            <w:pPr>
              <w:jc w:val="center"/>
              <w:rPr>
                <w:rFonts w:ascii="宋体" w:hAnsi="宋体" w:eastAsia="宋体" w:cs="宋体"/>
                <w:b/>
                <w:bCs/>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40EC6594">
            <w:pPr>
              <w:jc w:val="center"/>
              <w:rPr>
                <w:rFonts w:ascii="宋体" w:hAnsi="宋体" w:eastAsia="宋体" w:cs="宋体"/>
                <w:color w:val="auto"/>
                <w:sz w:val="20"/>
                <w:szCs w:val="20"/>
                <w:highlight w:val="none"/>
              </w:rPr>
            </w:pPr>
          </w:p>
        </w:tc>
      </w:tr>
      <w:tr w14:paraId="4E0D539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711128D6">
            <w:pPr>
              <w:jc w:val="center"/>
              <w:rPr>
                <w:rFonts w:ascii="宋体" w:hAnsi="宋体" w:eastAsia="宋体" w:cs="宋体"/>
                <w:b/>
                <w:bCs/>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03AC00E7">
            <w:pPr>
              <w:jc w:val="center"/>
              <w:rPr>
                <w:rFonts w:ascii="宋体" w:hAnsi="宋体" w:eastAsia="宋体" w:cs="宋体"/>
                <w:b/>
                <w:bCs/>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68CF33B4">
            <w:pPr>
              <w:jc w:val="center"/>
              <w:rPr>
                <w:rFonts w:ascii="宋体" w:hAnsi="宋体" w:eastAsia="宋体" w:cs="宋体"/>
                <w:b/>
                <w:bCs/>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48AA7A35">
            <w:pPr>
              <w:jc w:val="center"/>
              <w:rPr>
                <w:rFonts w:ascii="宋体" w:hAnsi="宋体" w:eastAsia="宋体" w:cs="宋体"/>
                <w:b/>
                <w:bCs/>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23C6CE3B">
            <w:pPr>
              <w:jc w:val="center"/>
              <w:rPr>
                <w:rFonts w:ascii="宋体" w:hAnsi="宋体" w:eastAsia="宋体" w:cs="宋体"/>
                <w:b/>
                <w:bCs/>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7C599EF9">
            <w:pPr>
              <w:jc w:val="center"/>
              <w:rPr>
                <w:rFonts w:ascii="宋体" w:hAnsi="宋体" w:eastAsia="宋体" w:cs="宋体"/>
                <w:b/>
                <w:bCs/>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743F1BB1">
            <w:pPr>
              <w:jc w:val="center"/>
              <w:rPr>
                <w:rFonts w:ascii="宋体" w:hAnsi="宋体" w:eastAsia="宋体" w:cs="宋体"/>
                <w:b/>
                <w:bCs/>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3DC8387D">
            <w:pPr>
              <w:jc w:val="center"/>
              <w:rPr>
                <w:rFonts w:ascii="宋体" w:hAnsi="宋体" w:eastAsia="宋体" w:cs="宋体"/>
                <w:b/>
                <w:bCs/>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7B1161D3">
            <w:pPr>
              <w:jc w:val="center"/>
              <w:rPr>
                <w:rFonts w:ascii="宋体" w:hAnsi="宋体" w:eastAsia="宋体" w:cs="宋体"/>
                <w:color w:val="auto"/>
                <w:sz w:val="20"/>
                <w:szCs w:val="20"/>
                <w:highlight w:val="none"/>
              </w:rPr>
            </w:pPr>
          </w:p>
        </w:tc>
      </w:tr>
      <w:tr w14:paraId="3074D799">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5388F9C">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1560BEFD">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67B9DAB4">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09C77B4A">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7B7AD4AD">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7AAD97D4">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695219A0">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52B12474">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5266F332">
            <w:pPr>
              <w:jc w:val="center"/>
              <w:rPr>
                <w:rFonts w:ascii="宋体" w:hAnsi="宋体" w:eastAsia="宋体" w:cs="宋体"/>
                <w:color w:val="auto"/>
                <w:sz w:val="20"/>
                <w:szCs w:val="20"/>
                <w:highlight w:val="none"/>
              </w:rPr>
            </w:pPr>
          </w:p>
        </w:tc>
      </w:tr>
      <w:tr w14:paraId="566E391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7139053A">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739F3544">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681A7FA4">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4D1E8D73">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21CBEA37">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01C095A9">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10B82E80">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B63054C">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27804962">
            <w:pPr>
              <w:jc w:val="center"/>
              <w:rPr>
                <w:rFonts w:ascii="宋体" w:hAnsi="宋体" w:eastAsia="宋体" w:cs="宋体"/>
                <w:color w:val="auto"/>
                <w:sz w:val="20"/>
                <w:szCs w:val="20"/>
                <w:highlight w:val="none"/>
              </w:rPr>
            </w:pPr>
          </w:p>
        </w:tc>
      </w:tr>
      <w:tr w14:paraId="2AE32D5F">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ECFD07F">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09BC6D81">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0707F6A0">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28E4A25D">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3D371AAE">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759F9D15">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7D3E4BC6">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4A5F0CD8">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059891C8">
            <w:pPr>
              <w:jc w:val="center"/>
              <w:rPr>
                <w:rFonts w:ascii="宋体" w:hAnsi="宋体" w:eastAsia="宋体" w:cs="宋体"/>
                <w:color w:val="auto"/>
                <w:sz w:val="20"/>
                <w:szCs w:val="20"/>
                <w:highlight w:val="none"/>
              </w:rPr>
            </w:pPr>
          </w:p>
        </w:tc>
      </w:tr>
      <w:tr w14:paraId="43B4D5D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455F02A">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3FE46AEA">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58C2CB75">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27765068">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3520426E">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5E3F4C56">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7BAD3FB8">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50F6B2E7">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4FB6C4CA">
            <w:pPr>
              <w:jc w:val="center"/>
              <w:rPr>
                <w:rFonts w:ascii="宋体" w:hAnsi="宋体" w:eastAsia="宋体" w:cs="宋体"/>
                <w:color w:val="auto"/>
                <w:sz w:val="20"/>
                <w:szCs w:val="20"/>
                <w:highlight w:val="none"/>
              </w:rPr>
            </w:pPr>
          </w:p>
        </w:tc>
      </w:tr>
      <w:tr w14:paraId="0ED3F2B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05D61F29">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45164BF9">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3A8EE036">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42A6FB08">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6B1B4BA7">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5918AD96">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2A52C27A">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85F360F">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3BCEBC1D">
            <w:pPr>
              <w:jc w:val="center"/>
              <w:rPr>
                <w:rFonts w:ascii="宋体" w:hAnsi="宋体" w:eastAsia="宋体" w:cs="宋体"/>
                <w:color w:val="auto"/>
                <w:sz w:val="20"/>
                <w:szCs w:val="20"/>
                <w:highlight w:val="none"/>
              </w:rPr>
            </w:pPr>
          </w:p>
        </w:tc>
      </w:tr>
      <w:tr w14:paraId="646EE59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5B640578">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4D286B58">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07D289FD">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123E0315">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15161B60">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10015434">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0FC7DB2D">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7500543A">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12B16C8E">
            <w:pPr>
              <w:jc w:val="center"/>
              <w:rPr>
                <w:rFonts w:ascii="宋体" w:hAnsi="宋体" w:eastAsia="宋体" w:cs="宋体"/>
                <w:color w:val="auto"/>
                <w:sz w:val="20"/>
                <w:szCs w:val="20"/>
                <w:highlight w:val="none"/>
              </w:rPr>
            </w:pPr>
          </w:p>
        </w:tc>
      </w:tr>
      <w:tr w14:paraId="1013ECC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6E713FA6">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0C98309F">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7ED930CF">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3E34B9A0">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0DF9271E">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56F497DC">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70A43249">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44EFF83">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75F5CE28">
            <w:pPr>
              <w:jc w:val="center"/>
              <w:rPr>
                <w:rFonts w:ascii="宋体" w:hAnsi="宋体" w:eastAsia="宋体" w:cs="宋体"/>
                <w:color w:val="auto"/>
                <w:sz w:val="20"/>
                <w:szCs w:val="20"/>
                <w:highlight w:val="none"/>
              </w:rPr>
            </w:pPr>
          </w:p>
        </w:tc>
      </w:tr>
      <w:tr w14:paraId="669C2E77">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2C077AF0">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71571350">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2F3334CF">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73D8A8C5">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660C86DA">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5387CC46">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248F66F3">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B38160B">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67B9994B">
            <w:pPr>
              <w:jc w:val="center"/>
              <w:rPr>
                <w:rFonts w:ascii="宋体" w:hAnsi="宋体" w:eastAsia="宋体" w:cs="宋体"/>
                <w:color w:val="auto"/>
                <w:sz w:val="20"/>
                <w:szCs w:val="20"/>
                <w:highlight w:val="none"/>
              </w:rPr>
            </w:pPr>
          </w:p>
        </w:tc>
      </w:tr>
      <w:tr w14:paraId="598F3FF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58B5FEE0">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708B660F">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723EB03E">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69D87D99">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5FED8456">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1FDE9B5B">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40DC32A0">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7EE8B4D">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621F84DC">
            <w:pPr>
              <w:jc w:val="center"/>
              <w:rPr>
                <w:rFonts w:ascii="宋体" w:hAnsi="宋体" w:eastAsia="宋体" w:cs="宋体"/>
                <w:color w:val="auto"/>
                <w:sz w:val="20"/>
                <w:szCs w:val="20"/>
                <w:highlight w:val="none"/>
              </w:rPr>
            </w:pPr>
          </w:p>
        </w:tc>
      </w:tr>
      <w:tr w14:paraId="6CD34EEB">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070A213D">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68E9017C">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28A90866">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2B4AEF00">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625C3D90">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1DFC47B4">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14289E3C">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468BA9D6">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73E5A8A5">
            <w:pPr>
              <w:jc w:val="center"/>
              <w:rPr>
                <w:rFonts w:ascii="宋体" w:hAnsi="宋体" w:eastAsia="宋体" w:cs="宋体"/>
                <w:color w:val="auto"/>
                <w:sz w:val="20"/>
                <w:szCs w:val="20"/>
                <w:highlight w:val="none"/>
              </w:rPr>
            </w:pPr>
          </w:p>
        </w:tc>
      </w:tr>
    </w:tbl>
    <w:p w14:paraId="5815915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注：1.以上报价含生产制作、包装、运输、保险、安装调试、利润、税金、专利技术、培训、技术支持等一切费用。</w:t>
      </w:r>
    </w:p>
    <w:p w14:paraId="49440B23">
      <w:pPr>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2.供应商按采购需求逐项列示、总价不得超过采购预算，并与《开标一览表》保持一致。</w:t>
      </w:r>
    </w:p>
    <w:p w14:paraId="506273EC">
      <w:pPr>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3.此表可自行扩展。</w:t>
      </w:r>
    </w:p>
    <w:p w14:paraId="1E7E7052">
      <w:pPr>
        <w:kinsoku/>
        <w:autoSpaceDE/>
        <w:autoSpaceDN/>
        <w:spacing w:line="480" w:lineRule="auto"/>
        <w:jc w:val="both"/>
        <w:rPr>
          <w:rFonts w:ascii="宋体" w:hAnsi="宋体" w:eastAsia="宋体" w:cs="宋体"/>
          <w:color w:val="auto"/>
          <w:sz w:val="24"/>
          <w:highlight w:val="none"/>
          <w:lang w:eastAsia="zh-CN"/>
        </w:rPr>
      </w:pPr>
    </w:p>
    <w:p w14:paraId="7F4A3AD9">
      <w:pPr>
        <w:kinsoku/>
        <w:autoSpaceDE/>
        <w:autoSpaceDN/>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供应商（盖单位公章）</w:t>
      </w:r>
    </w:p>
    <w:p w14:paraId="7B6C493D">
      <w:pPr>
        <w:kinsoku/>
        <w:autoSpaceDE/>
        <w:autoSpaceDN/>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法定代表人或其委托代理人（签字）</w:t>
      </w:r>
    </w:p>
    <w:p w14:paraId="2E619013">
      <w:pPr>
        <w:kinsoku/>
        <w:autoSpaceDE/>
        <w:autoSpaceDN/>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w:t>
      </w:r>
    </w:p>
    <w:p w14:paraId="2B0650B7">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附：所投标段产品的完整配置清单（格式自拟）</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5F598C71">
      <w:pPr>
        <w:spacing w:before="48" w:line="220" w:lineRule="auto"/>
        <w:rPr>
          <w:rFonts w:ascii="宋体" w:hAnsi="宋体" w:eastAsia="宋体" w:cs="宋体"/>
          <w:color w:val="auto"/>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格式四：</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采购需求偏离表（格式）</w:t>
      </w:r>
    </w:p>
    <w:p w14:paraId="054EE51E">
      <w:pPr>
        <w:spacing w:before="78" w:line="185" w:lineRule="auto"/>
        <w:rPr>
          <w:rFonts w:ascii="宋体" w:hAnsi="宋体" w:eastAsia="宋体" w:cs="宋体"/>
          <w:color w:val="auto"/>
          <w:spacing w:val="-1"/>
          <w:sz w:val="24"/>
          <w:szCs w:val="24"/>
          <w:highlight w:val="none"/>
          <w:lang w:eastAsia="zh-CN"/>
        </w:rPr>
      </w:pPr>
    </w:p>
    <w:p w14:paraId="44CC9484">
      <w:pPr>
        <w:spacing w:before="78" w:line="185" w:lineRule="auto"/>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项目名称：</w:t>
      </w:r>
    </w:p>
    <w:p w14:paraId="48B9CC6E">
      <w:pPr>
        <w:spacing w:before="180" w:line="185" w:lineRule="auto"/>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标段编号：</w:t>
      </w:r>
    </w:p>
    <w:tbl>
      <w:tblPr>
        <w:tblStyle w:val="26"/>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5D93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vAlign w:val="center"/>
          </w:tcPr>
          <w:p w14:paraId="2B46444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48" w:type="dxa"/>
            <w:vAlign w:val="center"/>
          </w:tcPr>
          <w:p w14:paraId="527152D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4063" w:type="dxa"/>
            <w:vAlign w:val="center"/>
          </w:tcPr>
          <w:p w14:paraId="7AD27E01">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采购文件规定的货物需求、技术规格</w:t>
            </w:r>
          </w:p>
        </w:tc>
        <w:tc>
          <w:tcPr>
            <w:tcW w:w="2180" w:type="dxa"/>
            <w:vAlign w:val="center"/>
          </w:tcPr>
          <w:p w14:paraId="2C54AF2C">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响应文件对应的货物情况、技术规格</w:t>
            </w:r>
          </w:p>
        </w:tc>
        <w:tc>
          <w:tcPr>
            <w:tcW w:w="897" w:type="dxa"/>
            <w:vAlign w:val="center"/>
          </w:tcPr>
          <w:p w14:paraId="6D32F6E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w:t>
            </w:r>
          </w:p>
        </w:tc>
        <w:tc>
          <w:tcPr>
            <w:tcW w:w="756" w:type="dxa"/>
            <w:vAlign w:val="center"/>
          </w:tcPr>
          <w:p w14:paraId="630E21B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9C4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73C32AE0">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1248" w:type="dxa"/>
            <w:vAlign w:val="center"/>
          </w:tcPr>
          <w:p w14:paraId="64F35907">
            <w:pPr>
              <w:jc w:val="center"/>
              <w:rPr>
                <w:rFonts w:ascii="宋体" w:hAnsi="宋体" w:eastAsia="宋体" w:cs="宋体"/>
                <w:color w:val="auto"/>
                <w:sz w:val="24"/>
                <w:szCs w:val="24"/>
                <w:highlight w:val="none"/>
              </w:rPr>
            </w:pPr>
          </w:p>
        </w:tc>
        <w:tc>
          <w:tcPr>
            <w:tcW w:w="4063" w:type="dxa"/>
            <w:vAlign w:val="center"/>
          </w:tcPr>
          <w:p w14:paraId="456A796D">
            <w:pPr>
              <w:jc w:val="center"/>
              <w:rPr>
                <w:rFonts w:ascii="宋体" w:hAnsi="宋体" w:eastAsia="宋体" w:cs="宋体"/>
                <w:color w:val="auto"/>
                <w:sz w:val="24"/>
                <w:szCs w:val="24"/>
                <w:highlight w:val="none"/>
              </w:rPr>
            </w:pPr>
          </w:p>
        </w:tc>
        <w:tc>
          <w:tcPr>
            <w:tcW w:w="2180" w:type="dxa"/>
            <w:vAlign w:val="center"/>
          </w:tcPr>
          <w:p w14:paraId="1CAD4A9E">
            <w:pPr>
              <w:jc w:val="center"/>
              <w:rPr>
                <w:rFonts w:ascii="宋体" w:hAnsi="宋体" w:eastAsia="宋体" w:cs="宋体"/>
                <w:color w:val="auto"/>
                <w:sz w:val="24"/>
                <w:szCs w:val="24"/>
                <w:highlight w:val="none"/>
              </w:rPr>
            </w:pPr>
          </w:p>
        </w:tc>
        <w:tc>
          <w:tcPr>
            <w:tcW w:w="897" w:type="dxa"/>
            <w:vAlign w:val="center"/>
          </w:tcPr>
          <w:p w14:paraId="545AF634">
            <w:pPr>
              <w:jc w:val="center"/>
              <w:rPr>
                <w:rFonts w:ascii="宋体" w:hAnsi="宋体" w:eastAsia="宋体" w:cs="宋体"/>
                <w:color w:val="auto"/>
                <w:sz w:val="24"/>
                <w:szCs w:val="24"/>
                <w:highlight w:val="none"/>
              </w:rPr>
            </w:pPr>
          </w:p>
        </w:tc>
        <w:tc>
          <w:tcPr>
            <w:tcW w:w="756" w:type="dxa"/>
            <w:vAlign w:val="center"/>
          </w:tcPr>
          <w:p w14:paraId="587628EC">
            <w:pPr>
              <w:jc w:val="center"/>
              <w:rPr>
                <w:rFonts w:ascii="宋体" w:hAnsi="宋体" w:eastAsia="宋体" w:cs="宋体"/>
                <w:color w:val="auto"/>
                <w:sz w:val="24"/>
                <w:szCs w:val="24"/>
                <w:highlight w:val="none"/>
              </w:rPr>
            </w:pPr>
          </w:p>
        </w:tc>
      </w:tr>
      <w:tr w14:paraId="5085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763898FF">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248" w:type="dxa"/>
            <w:vAlign w:val="center"/>
          </w:tcPr>
          <w:p w14:paraId="59E15213">
            <w:pPr>
              <w:jc w:val="center"/>
              <w:rPr>
                <w:rFonts w:ascii="宋体" w:hAnsi="宋体" w:eastAsia="宋体" w:cs="宋体"/>
                <w:color w:val="auto"/>
                <w:sz w:val="24"/>
                <w:szCs w:val="24"/>
                <w:highlight w:val="none"/>
              </w:rPr>
            </w:pPr>
          </w:p>
        </w:tc>
        <w:tc>
          <w:tcPr>
            <w:tcW w:w="4063" w:type="dxa"/>
            <w:vAlign w:val="center"/>
          </w:tcPr>
          <w:p w14:paraId="0D855726">
            <w:pPr>
              <w:jc w:val="center"/>
              <w:rPr>
                <w:rFonts w:ascii="宋体" w:hAnsi="宋体" w:eastAsia="宋体" w:cs="宋体"/>
                <w:color w:val="auto"/>
                <w:sz w:val="24"/>
                <w:szCs w:val="24"/>
                <w:highlight w:val="none"/>
              </w:rPr>
            </w:pPr>
          </w:p>
        </w:tc>
        <w:tc>
          <w:tcPr>
            <w:tcW w:w="2180" w:type="dxa"/>
            <w:vAlign w:val="center"/>
          </w:tcPr>
          <w:p w14:paraId="5E0924E6">
            <w:pPr>
              <w:jc w:val="center"/>
              <w:rPr>
                <w:rFonts w:ascii="宋体" w:hAnsi="宋体" w:eastAsia="宋体" w:cs="宋体"/>
                <w:color w:val="auto"/>
                <w:sz w:val="24"/>
                <w:szCs w:val="24"/>
                <w:highlight w:val="none"/>
              </w:rPr>
            </w:pPr>
          </w:p>
        </w:tc>
        <w:tc>
          <w:tcPr>
            <w:tcW w:w="897" w:type="dxa"/>
            <w:vAlign w:val="center"/>
          </w:tcPr>
          <w:p w14:paraId="383FCBFE">
            <w:pPr>
              <w:jc w:val="center"/>
              <w:rPr>
                <w:rFonts w:ascii="宋体" w:hAnsi="宋体" w:eastAsia="宋体" w:cs="宋体"/>
                <w:color w:val="auto"/>
                <w:sz w:val="24"/>
                <w:szCs w:val="24"/>
                <w:highlight w:val="none"/>
              </w:rPr>
            </w:pPr>
          </w:p>
        </w:tc>
        <w:tc>
          <w:tcPr>
            <w:tcW w:w="756" w:type="dxa"/>
            <w:vAlign w:val="center"/>
          </w:tcPr>
          <w:p w14:paraId="1B4D7554">
            <w:pPr>
              <w:jc w:val="center"/>
              <w:rPr>
                <w:rFonts w:ascii="宋体" w:hAnsi="宋体" w:eastAsia="宋体" w:cs="宋体"/>
                <w:color w:val="auto"/>
                <w:sz w:val="24"/>
                <w:szCs w:val="24"/>
                <w:highlight w:val="none"/>
              </w:rPr>
            </w:pPr>
          </w:p>
        </w:tc>
      </w:tr>
      <w:tr w14:paraId="6D04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3B0B326D">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1248" w:type="dxa"/>
            <w:vAlign w:val="center"/>
          </w:tcPr>
          <w:p w14:paraId="620BE7F0">
            <w:pPr>
              <w:jc w:val="center"/>
              <w:rPr>
                <w:rFonts w:ascii="宋体" w:hAnsi="宋体" w:eastAsia="宋体" w:cs="宋体"/>
                <w:color w:val="auto"/>
                <w:sz w:val="24"/>
                <w:szCs w:val="24"/>
                <w:highlight w:val="none"/>
              </w:rPr>
            </w:pPr>
          </w:p>
        </w:tc>
        <w:tc>
          <w:tcPr>
            <w:tcW w:w="4063" w:type="dxa"/>
            <w:vAlign w:val="center"/>
          </w:tcPr>
          <w:p w14:paraId="131FB309">
            <w:pPr>
              <w:jc w:val="center"/>
              <w:rPr>
                <w:rFonts w:ascii="宋体" w:hAnsi="宋体" w:eastAsia="宋体" w:cs="宋体"/>
                <w:color w:val="auto"/>
                <w:sz w:val="24"/>
                <w:szCs w:val="24"/>
                <w:highlight w:val="none"/>
              </w:rPr>
            </w:pPr>
          </w:p>
        </w:tc>
        <w:tc>
          <w:tcPr>
            <w:tcW w:w="2180" w:type="dxa"/>
            <w:vAlign w:val="center"/>
          </w:tcPr>
          <w:p w14:paraId="32F335A8">
            <w:pPr>
              <w:jc w:val="center"/>
              <w:rPr>
                <w:rFonts w:ascii="宋体" w:hAnsi="宋体" w:eastAsia="宋体" w:cs="宋体"/>
                <w:color w:val="auto"/>
                <w:sz w:val="24"/>
                <w:szCs w:val="24"/>
                <w:highlight w:val="none"/>
              </w:rPr>
            </w:pPr>
          </w:p>
        </w:tc>
        <w:tc>
          <w:tcPr>
            <w:tcW w:w="897" w:type="dxa"/>
            <w:vAlign w:val="center"/>
          </w:tcPr>
          <w:p w14:paraId="0728D40F">
            <w:pPr>
              <w:jc w:val="center"/>
              <w:rPr>
                <w:rFonts w:ascii="宋体" w:hAnsi="宋体" w:eastAsia="宋体" w:cs="宋体"/>
                <w:color w:val="auto"/>
                <w:sz w:val="24"/>
                <w:szCs w:val="24"/>
                <w:highlight w:val="none"/>
              </w:rPr>
            </w:pPr>
          </w:p>
        </w:tc>
        <w:tc>
          <w:tcPr>
            <w:tcW w:w="756" w:type="dxa"/>
            <w:vAlign w:val="center"/>
          </w:tcPr>
          <w:p w14:paraId="1663DB7E">
            <w:pPr>
              <w:jc w:val="center"/>
              <w:rPr>
                <w:rFonts w:ascii="宋体" w:hAnsi="宋体" w:eastAsia="宋体" w:cs="宋体"/>
                <w:color w:val="auto"/>
                <w:sz w:val="24"/>
                <w:szCs w:val="24"/>
                <w:highlight w:val="none"/>
              </w:rPr>
            </w:pPr>
          </w:p>
        </w:tc>
      </w:tr>
      <w:tr w14:paraId="5A17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1A2908E0">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1248" w:type="dxa"/>
            <w:vAlign w:val="center"/>
          </w:tcPr>
          <w:p w14:paraId="4F06D0C0">
            <w:pPr>
              <w:jc w:val="center"/>
              <w:rPr>
                <w:rFonts w:ascii="宋体" w:hAnsi="宋体" w:eastAsia="宋体" w:cs="宋体"/>
                <w:color w:val="auto"/>
                <w:sz w:val="24"/>
                <w:szCs w:val="24"/>
                <w:highlight w:val="none"/>
              </w:rPr>
            </w:pPr>
          </w:p>
        </w:tc>
        <w:tc>
          <w:tcPr>
            <w:tcW w:w="4063" w:type="dxa"/>
            <w:vAlign w:val="center"/>
          </w:tcPr>
          <w:p w14:paraId="67CDA358">
            <w:pPr>
              <w:jc w:val="center"/>
              <w:rPr>
                <w:rFonts w:ascii="宋体" w:hAnsi="宋体" w:eastAsia="宋体" w:cs="宋体"/>
                <w:color w:val="auto"/>
                <w:sz w:val="24"/>
                <w:szCs w:val="24"/>
                <w:highlight w:val="none"/>
              </w:rPr>
            </w:pPr>
          </w:p>
        </w:tc>
        <w:tc>
          <w:tcPr>
            <w:tcW w:w="2180" w:type="dxa"/>
            <w:vAlign w:val="center"/>
          </w:tcPr>
          <w:p w14:paraId="3F2D2B2D">
            <w:pPr>
              <w:jc w:val="center"/>
              <w:rPr>
                <w:rFonts w:ascii="宋体" w:hAnsi="宋体" w:eastAsia="宋体" w:cs="宋体"/>
                <w:color w:val="auto"/>
                <w:sz w:val="24"/>
                <w:szCs w:val="24"/>
                <w:highlight w:val="none"/>
              </w:rPr>
            </w:pPr>
          </w:p>
        </w:tc>
        <w:tc>
          <w:tcPr>
            <w:tcW w:w="897" w:type="dxa"/>
            <w:vAlign w:val="center"/>
          </w:tcPr>
          <w:p w14:paraId="09196870">
            <w:pPr>
              <w:jc w:val="center"/>
              <w:rPr>
                <w:rFonts w:ascii="宋体" w:hAnsi="宋体" w:eastAsia="宋体" w:cs="宋体"/>
                <w:color w:val="auto"/>
                <w:sz w:val="24"/>
                <w:szCs w:val="24"/>
                <w:highlight w:val="none"/>
              </w:rPr>
            </w:pPr>
          </w:p>
        </w:tc>
        <w:tc>
          <w:tcPr>
            <w:tcW w:w="756" w:type="dxa"/>
            <w:vAlign w:val="center"/>
          </w:tcPr>
          <w:p w14:paraId="600477BD">
            <w:pPr>
              <w:jc w:val="center"/>
              <w:rPr>
                <w:rFonts w:ascii="宋体" w:hAnsi="宋体" w:eastAsia="宋体" w:cs="宋体"/>
                <w:color w:val="auto"/>
                <w:sz w:val="24"/>
                <w:szCs w:val="24"/>
                <w:highlight w:val="none"/>
              </w:rPr>
            </w:pPr>
          </w:p>
        </w:tc>
      </w:tr>
      <w:tr w14:paraId="6615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75E634AA">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1248" w:type="dxa"/>
            <w:vAlign w:val="center"/>
          </w:tcPr>
          <w:p w14:paraId="38F38BF7">
            <w:pPr>
              <w:jc w:val="center"/>
              <w:rPr>
                <w:rFonts w:ascii="宋体" w:hAnsi="宋体" w:eastAsia="宋体" w:cs="宋体"/>
                <w:color w:val="auto"/>
                <w:sz w:val="24"/>
                <w:szCs w:val="24"/>
                <w:highlight w:val="none"/>
                <w:lang w:eastAsia="zh-CN"/>
              </w:rPr>
            </w:pPr>
          </w:p>
        </w:tc>
        <w:tc>
          <w:tcPr>
            <w:tcW w:w="4063" w:type="dxa"/>
            <w:vAlign w:val="center"/>
          </w:tcPr>
          <w:p w14:paraId="64F16683">
            <w:pPr>
              <w:jc w:val="center"/>
              <w:rPr>
                <w:rFonts w:ascii="宋体" w:hAnsi="宋体" w:eastAsia="宋体" w:cs="宋体"/>
                <w:color w:val="auto"/>
                <w:sz w:val="24"/>
                <w:szCs w:val="24"/>
                <w:highlight w:val="none"/>
              </w:rPr>
            </w:pPr>
          </w:p>
        </w:tc>
        <w:tc>
          <w:tcPr>
            <w:tcW w:w="2180" w:type="dxa"/>
            <w:vAlign w:val="center"/>
          </w:tcPr>
          <w:p w14:paraId="1B1CA31F">
            <w:pPr>
              <w:jc w:val="center"/>
              <w:rPr>
                <w:rFonts w:ascii="宋体" w:hAnsi="宋体" w:eastAsia="宋体" w:cs="宋体"/>
                <w:color w:val="auto"/>
                <w:sz w:val="24"/>
                <w:szCs w:val="24"/>
                <w:highlight w:val="none"/>
              </w:rPr>
            </w:pPr>
          </w:p>
        </w:tc>
        <w:tc>
          <w:tcPr>
            <w:tcW w:w="897" w:type="dxa"/>
            <w:vAlign w:val="center"/>
          </w:tcPr>
          <w:p w14:paraId="720ED9F4">
            <w:pPr>
              <w:jc w:val="center"/>
              <w:rPr>
                <w:rFonts w:ascii="宋体" w:hAnsi="宋体" w:eastAsia="宋体" w:cs="宋体"/>
                <w:color w:val="auto"/>
                <w:sz w:val="24"/>
                <w:szCs w:val="24"/>
                <w:highlight w:val="none"/>
              </w:rPr>
            </w:pPr>
          </w:p>
        </w:tc>
        <w:tc>
          <w:tcPr>
            <w:tcW w:w="756" w:type="dxa"/>
            <w:vAlign w:val="center"/>
          </w:tcPr>
          <w:p w14:paraId="4B2D0094">
            <w:pPr>
              <w:jc w:val="center"/>
              <w:rPr>
                <w:rFonts w:ascii="宋体" w:hAnsi="宋体" w:eastAsia="宋体" w:cs="宋体"/>
                <w:color w:val="auto"/>
                <w:sz w:val="24"/>
                <w:szCs w:val="24"/>
                <w:highlight w:val="none"/>
              </w:rPr>
            </w:pPr>
          </w:p>
        </w:tc>
      </w:tr>
      <w:tr w14:paraId="0965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44BF62BE">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1248" w:type="dxa"/>
            <w:vAlign w:val="center"/>
          </w:tcPr>
          <w:p w14:paraId="506A2F0D">
            <w:pPr>
              <w:jc w:val="center"/>
              <w:rPr>
                <w:rFonts w:ascii="宋体" w:hAnsi="宋体" w:eastAsia="宋体" w:cs="宋体"/>
                <w:color w:val="auto"/>
                <w:sz w:val="24"/>
                <w:szCs w:val="24"/>
                <w:highlight w:val="none"/>
                <w:lang w:eastAsia="zh-CN"/>
              </w:rPr>
            </w:pPr>
          </w:p>
        </w:tc>
        <w:tc>
          <w:tcPr>
            <w:tcW w:w="4063" w:type="dxa"/>
            <w:vAlign w:val="center"/>
          </w:tcPr>
          <w:p w14:paraId="3B297166">
            <w:pPr>
              <w:jc w:val="center"/>
              <w:rPr>
                <w:rFonts w:ascii="宋体" w:hAnsi="宋体" w:eastAsia="宋体" w:cs="宋体"/>
                <w:color w:val="auto"/>
                <w:sz w:val="24"/>
                <w:szCs w:val="24"/>
                <w:highlight w:val="none"/>
                <w:lang w:eastAsia="zh-CN"/>
              </w:rPr>
            </w:pPr>
          </w:p>
        </w:tc>
        <w:tc>
          <w:tcPr>
            <w:tcW w:w="2180" w:type="dxa"/>
            <w:vAlign w:val="center"/>
          </w:tcPr>
          <w:p w14:paraId="54A250EA">
            <w:pPr>
              <w:jc w:val="center"/>
              <w:rPr>
                <w:rFonts w:ascii="宋体" w:hAnsi="宋体" w:eastAsia="宋体" w:cs="宋体"/>
                <w:color w:val="auto"/>
                <w:sz w:val="24"/>
                <w:szCs w:val="24"/>
                <w:highlight w:val="none"/>
              </w:rPr>
            </w:pPr>
          </w:p>
        </w:tc>
        <w:tc>
          <w:tcPr>
            <w:tcW w:w="897" w:type="dxa"/>
            <w:vAlign w:val="center"/>
          </w:tcPr>
          <w:p w14:paraId="1EBF2795">
            <w:pPr>
              <w:jc w:val="center"/>
              <w:rPr>
                <w:rFonts w:ascii="宋体" w:hAnsi="宋体" w:eastAsia="宋体" w:cs="宋体"/>
                <w:color w:val="auto"/>
                <w:sz w:val="24"/>
                <w:szCs w:val="24"/>
                <w:highlight w:val="none"/>
              </w:rPr>
            </w:pPr>
          </w:p>
        </w:tc>
        <w:tc>
          <w:tcPr>
            <w:tcW w:w="756" w:type="dxa"/>
            <w:vAlign w:val="center"/>
          </w:tcPr>
          <w:p w14:paraId="5C204B8F">
            <w:pPr>
              <w:jc w:val="center"/>
              <w:rPr>
                <w:rFonts w:ascii="宋体" w:hAnsi="宋体" w:eastAsia="宋体" w:cs="宋体"/>
                <w:color w:val="auto"/>
                <w:sz w:val="24"/>
                <w:szCs w:val="24"/>
                <w:highlight w:val="none"/>
              </w:rPr>
            </w:pPr>
          </w:p>
        </w:tc>
      </w:tr>
      <w:tr w14:paraId="7377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286C85E7">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p>
        </w:tc>
        <w:tc>
          <w:tcPr>
            <w:tcW w:w="1248" w:type="dxa"/>
            <w:vAlign w:val="center"/>
          </w:tcPr>
          <w:p w14:paraId="07D0E9D9">
            <w:pPr>
              <w:jc w:val="center"/>
              <w:rPr>
                <w:rFonts w:ascii="宋体" w:hAnsi="宋体" w:eastAsia="宋体" w:cs="宋体"/>
                <w:color w:val="auto"/>
                <w:sz w:val="24"/>
                <w:szCs w:val="24"/>
                <w:highlight w:val="none"/>
                <w:lang w:eastAsia="zh-CN"/>
              </w:rPr>
            </w:pPr>
          </w:p>
        </w:tc>
        <w:tc>
          <w:tcPr>
            <w:tcW w:w="4063" w:type="dxa"/>
            <w:vAlign w:val="center"/>
          </w:tcPr>
          <w:p w14:paraId="35BA90E6">
            <w:pPr>
              <w:jc w:val="center"/>
              <w:rPr>
                <w:rFonts w:ascii="宋体" w:hAnsi="宋体" w:eastAsia="宋体" w:cs="宋体"/>
                <w:color w:val="auto"/>
                <w:sz w:val="24"/>
                <w:szCs w:val="24"/>
                <w:highlight w:val="none"/>
                <w:lang w:eastAsia="zh-CN"/>
              </w:rPr>
            </w:pPr>
          </w:p>
        </w:tc>
        <w:tc>
          <w:tcPr>
            <w:tcW w:w="2180" w:type="dxa"/>
            <w:vAlign w:val="center"/>
          </w:tcPr>
          <w:p w14:paraId="68DB0F17">
            <w:pPr>
              <w:jc w:val="center"/>
              <w:rPr>
                <w:rFonts w:ascii="宋体" w:hAnsi="宋体" w:eastAsia="宋体" w:cs="宋体"/>
                <w:color w:val="auto"/>
                <w:sz w:val="24"/>
                <w:szCs w:val="24"/>
                <w:highlight w:val="none"/>
              </w:rPr>
            </w:pPr>
          </w:p>
        </w:tc>
        <w:tc>
          <w:tcPr>
            <w:tcW w:w="897" w:type="dxa"/>
            <w:vAlign w:val="center"/>
          </w:tcPr>
          <w:p w14:paraId="5B746121">
            <w:pPr>
              <w:jc w:val="center"/>
              <w:rPr>
                <w:rFonts w:ascii="宋体" w:hAnsi="宋体" w:eastAsia="宋体" w:cs="宋体"/>
                <w:color w:val="auto"/>
                <w:sz w:val="24"/>
                <w:szCs w:val="24"/>
                <w:highlight w:val="none"/>
              </w:rPr>
            </w:pPr>
          </w:p>
        </w:tc>
        <w:tc>
          <w:tcPr>
            <w:tcW w:w="756" w:type="dxa"/>
            <w:vAlign w:val="center"/>
          </w:tcPr>
          <w:p w14:paraId="6549B208">
            <w:pPr>
              <w:jc w:val="center"/>
              <w:rPr>
                <w:rFonts w:ascii="宋体" w:hAnsi="宋体" w:eastAsia="宋体" w:cs="宋体"/>
                <w:color w:val="auto"/>
                <w:sz w:val="24"/>
                <w:szCs w:val="24"/>
                <w:highlight w:val="none"/>
              </w:rPr>
            </w:pPr>
          </w:p>
        </w:tc>
      </w:tr>
      <w:tr w14:paraId="4BA7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6194ACA7">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p>
        </w:tc>
        <w:tc>
          <w:tcPr>
            <w:tcW w:w="1248" w:type="dxa"/>
            <w:vAlign w:val="center"/>
          </w:tcPr>
          <w:p w14:paraId="143DA5F8">
            <w:pPr>
              <w:jc w:val="center"/>
              <w:rPr>
                <w:rFonts w:ascii="宋体" w:hAnsi="宋体" w:eastAsia="宋体" w:cs="宋体"/>
                <w:color w:val="auto"/>
                <w:sz w:val="24"/>
                <w:szCs w:val="24"/>
                <w:highlight w:val="none"/>
                <w:lang w:eastAsia="zh-CN"/>
              </w:rPr>
            </w:pPr>
          </w:p>
        </w:tc>
        <w:tc>
          <w:tcPr>
            <w:tcW w:w="4063" w:type="dxa"/>
            <w:vAlign w:val="center"/>
          </w:tcPr>
          <w:p w14:paraId="69D73A44">
            <w:pPr>
              <w:jc w:val="center"/>
              <w:rPr>
                <w:rFonts w:ascii="宋体" w:hAnsi="宋体" w:eastAsia="宋体" w:cs="宋体"/>
                <w:color w:val="auto"/>
                <w:sz w:val="24"/>
                <w:szCs w:val="24"/>
                <w:highlight w:val="none"/>
                <w:lang w:eastAsia="zh-CN"/>
              </w:rPr>
            </w:pPr>
          </w:p>
        </w:tc>
        <w:tc>
          <w:tcPr>
            <w:tcW w:w="2180" w:type="dxa"/>
            <w:vAlign w:val="center"/>
          </w:tcPr>
          <w:p w14:paraId="749448CC">
            <w:pPr>
              <w:jc w:val="center"/>
              <w:rPr>
                <w:rFonts w:ascii="宋体" w:hAnsi="宋体" w:eastAsia="宋体" w:cs="宋体"/>
                <w:color w:val="auto"/>
                <w:sz w:val="24"/>
                <w:szCs w:val="24"/>
                <w:highlight w:val="none"/>
              </w:rPr>
            </w:pPr>
          </w:p>
        </w:tc>
        <w:tc>
          <w:tcPr>
            <w:tcW w:w="897" w:type="dxa"/>
            <w:vAlign w:val="center"/>
          </w:tcPr>
          <w:p w14:paraId="0F703ED0">
            <w:pPr>
              <w:jc w:val="center"/>
              <w:rPr>
                <w:rFonts w:ascii="宋体" w:hAnsi="宋体" w:eastAsia="宋体" w:cs="宋体"/>
                <w:color w:val="auto"/>
                <w:sz w:val="24"/>
                <w:szCs w:val="24"/>
                <w:highlight w:val="none"/>
              </w:rPr>
            </w:pPr>
          </w:p>
        </w:tc>
        <w:tc>
          <w:tcPr>
            <w:tcW w:w="756" w:type="dxa"/>
            <w:vAlign w:val="center"/>
          </w:tcPr>
          <w:p w14:paraId="2A5119C5">
            <w:pPr>
              <w:jc w:val="center"/>
              <w:rPr>
                <w:rFonts w:ascii="宋体" w:hAnsi="宋体" w:eastAsia="宋体" w:cs="宋体"/>
                <w:color w:val="auto"/>
                <w:sz w:val="24"/>
                <w:szCs w:val="24"/>
                <w:highlight w:val="none"/>
              </w:rPr>
            </w:pPr>
          </w:p>
        </w:tc>
      </w:tr>
      <w:tr w14:paraId="2230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02DEB850">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p>
        </w:tc>
        <w:tc>
          <w:tcPr>
            <w:tcW w:w="1248" w:type="dxa"/>
            <w:vAlign w:val="center"/>
          </w:tcPr>
          <w:p w14:paraId="3DBB9031">
            <w:pPr>
              <w:jc w:val="center"/>
              <w:rPr>
                <w:rFonts w:ascii="宋体" w:hAnsi="宋体" w:eastAsia="宋体" w:cs="宋体"/>
                <w:color w:val="auto"/>
                <w:sz w:val="24"/>
                <w:szCs w:val="24"/>
                <w:highlight w:val="none"/>
                <w:lang w:eastAsia="zh-CN"/>
              </w:rPr>
            </w:pPr>
          </w:p>
        </w:tc>
        <w:tc>
          <w:tcPr>
            <w:tcW w:w="4063" w:type="dxa"/>
            <w:vAlign w:val="center"/>
          </w:tcPr>
          <w:p w14:paraId="57F2635F">
            <w:pPr>
              <w:jc w:val="center"/>
              <w:rPr>
                <w:rFonts w:ascii="宋体" w:hAnsi="宋体" w:eastAsia="宋体" w:cs="宋体"/>
                <w:color w:val="auto"/>
                <w:sz w:val="24"/>
                <w:szCs w:val="24"/>
                <w:highlight w:val="none"/>
                <w:lang w:eastAsia="zh-CN"/>
              </w:rPr>
            </w:pPr>
          </w:p>
        </w:tc>
        <w:tc>
          <w:tcPr>
            <w:tcW w:w="2180" w:type="dxa"/>
            <w:vAlign w:val="center"/>
          </w:tcPr>
          <w:p w14:paraId="077FD246">
            <w:pPr>
              <w:jc w:val="center"/>
              <w:rPr>
                <w:rFonts w:ascii="宋体" w:hAnsi="宋体" w:eastAsia="宋体" w:cs="宋体"/>
                <w:color w:val="auto"/>
                <w:sz w:val="24"/>
                <w:szCs w:val="24"/>
                <w:highlight w:val="none"/>
              </w:rPr>
            </w:pPr>
          </w:p>
        </w:tc>
        <w:tc>
          <w:tcPr>
            <w:tcW w:w="897" w:type="dxa"/>
            <w:vAlign w:val="center"/>
          </w:tcPr>
          <w:p w14:paraId="3C110D84">
            <w:pPr>
              <w:jc w:val="center"/>
              <w:rPr>
                <w:rFonts w:ascii="宋体" w:hAnsi="宋体" w:eastAsia="宋体" w:cs="宋体"/>
                <w:color w:val="auto"/>
                <w:sz w:val="24"/>
                <w:szCs w:val="24"/>
                <w:highlight w:val="none"/>
              </w:rPr>
            </w:pPr>
          </w:p>
        </w:tc>
        <w:tc>
          <w:tcPr>
            <w:tcW w:w="756" w:type="dxa"/>
            <w:vAlign w:val="center"/>
          </w:tcPr>
          <w:p w14:paraId="7185ED7D">
            <w:pPr>
              <w:jc w:val="center"/>
              <w:rPr>
                <w:rFonts w:ascii="宋体" w:hAnsi="宋体" w:eastAsia="宋体" w:cs="宋体"/>
                <w:color w:val="auto"/>
                <w:sz w:val="24"/>
                <w:szCs w:val="24"/>
                <w:highlight w:val="none"/>
              </w:rPr>
            </w:pPr>
          </w:p>
        </w:tc>
      </w:tr>
      <w:tr w14:paraId="2A26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1FA9606D">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1248" w:type="dxa"/>
            <w:vAlign w:val="center"/>
          </w:tcPr>
          <w:p w14:paraId="73AC0CDD">
            <w:pPr>
              <w:jc w:val="center"/>
              <w:rPr>
                <w:rFonts w:ascii="宋体" w:hAnsi="宋体" w:eastAsia="宋体" w:cs="宋体"/>
                <w:color w:val="auto"/>
                <w:sz w:val="24"/>
                <w:szCs w:val="24"/>
                <w:highlight w:val="none"/>
                <w:lang w:eastAsia="zh-CN"/>
              </w:rPr>
            </w:pPr>
          </w:p>
        </w:tc>
        <w:tc>
          <w:tcPr>
            <w:tcW w:w="4063" w:type="dxa"/>
            <w:vAlign w:val="center"/>
          </w:tcPr>
          <w:p w14:paraId="74235EB7">
            <w:pPr>
              <w:jc w:val="center"/>
              <w:rPr>
                <w:rFonts w:ascii="宋体" w:hAnsi="宋体" w:eastAsia="宋体" w:cs="宋体"/>
                <w:color w:val="auto"/>
                <w:sz w:val="24"/>
                <w:szCs w:val="24"/>
                <w:highlight w:val="none"/>
                <w:lang w:eastAsia="zh-CN"/>
              </w:rPr>
            </w:pPr>
          </w:p>
        </w:tc>
        <w:tc>
          <w:tcPr>
            <w:tcW w:w="2180" w:type="dxa"/>
            <w:vAlign w:val="center"/>
          </w:tcPr>
          <w:p w14:paraId="32381BFA">
            <w:pPr>
              <w:jc w:val="center"/>
              <w:rPr>
                <w:rFonts w:ascii="宋体" w:hAnsi="宋体" w:eastAsia="宋体" w:cs="宋体"/>
                <w:color w:val="auto"/>
                <w:sz w:val="24"/>
                <w:szCs w:val="24"/>
                <w:highlight w:val="none"/>
              </w:rPr>
            </w:pPr>
          </w:p>
        </w:tc>
        <w:tc>
          <w:tcPr>
            <w:tcW w:w="897" w:type="dxa"/>
            <w:vAlign w:val="center"/>
          </w:tcPr>
          <w:p w14:paraId="32304B2A">
            <w:pPr>
              <w:jc w:val="center"/>
              <w:rPr>
                <w:rFonts w:ascii="宋体" w:hAnsi="宋体" w:eastAsia="宋体" w:cs="宋体"/>
                <w:color w:val="auto"/>
                <w:sz w:val="24"/>
                <w:szCs w:val="24"/>
                <w:highlight w:val="none"/>
              </w:rPr>
            </w:pPr>
          </w:p>
        </w:tc>
        <w:tc>
          <w:tcPr>
            <w:tcW w:w="756" w:type="dxa"/>
            <w:vAlign w:val="center"/>
          </w:tcPr>
          <w:p w14:paraId="67880DD6">
            <w:pPr>
              <w:jc w:val="center"/>
              <w:rPr>
                <w:rFonts w:ascii="宋体" w:hAnsi="宋体" w:eastAsia="宋体" w:cs="宋体"/>
                <w:color w:val="auto"/>
                <w:sz w:val="24"/>
                <w:szCs w:val="24"/>
                <w:highlight w:val="none"/>
              </w:rPr>
            </w:pPr>
          </w:p>
        </w:tc>
      </w:tr>
    </w:tbl>
    <w:p w14:paraId="460F1F0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AEF2342">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1.投标人应对招标文件“第五章 采购需求”中的所有条款进行点对点应答，此表中若无任何文字说明，内容为空白的，</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0F71BAEE">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2.“偏离情况”列应据实填写“无偏离”、“正偏离”或“负偏离”。</w:t>
      </w:r>
    </w:p>
    <w:p w14:paraId="51126D30">
      <w:p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3.招标文件“第三章评标办法及第五章采购需求中”需提供佐证材料的项，应在此表备注栏明确标注对应页码，否则将视为未提供佐证材料。</w:t>
      </w:r>
    </w:p>
    <w:p w14:paraId="345867DE">
      <w:pPr>
        <w:spacing w:line="360" w:lineRule="auto"/>
        <w:rPr>
          <w:rFonts w:ascii="宋体" w:hAnsi="宋体" w:eastAsia="宋体" w:cs="宋体"/>
          <w:color w:val="auto"/>
          <w:sz w:val="24"/>
          <w:szCs w:val="24"/>
          <w:highlight w:val="none"/>
          <w:lang w:eastAsia="zh-CN"/>
        </w:rPr>
      </w:pPr>
    </w:p>
    <w:p w14:paraId="7895AB48">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投标人名称（盖章）：</w:t>
      </w:r>
    </w:p>
    <w:p w14:paraId="03242E3E">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法定代表人（单位负责人）或授权代表（签字）：</w:t>
      </w:r>
    </w:p>
    <w:p w14:paraId="3F40AE8F">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    年   月  日</w:t>
      </w:r>
    </w:p>
    <w:p w14:paraId="0093F83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1D057262">
      <w:pPr>
        <w:spacing w:before="48" w:line="220" w:lineRule="auto"/>
        <w:rPr>
          <w:rFonts w:ascii="宋体" w:hAnsi="宋体" w:eastAsia="宋体" w:cs="宋体"/>
          <w:color w:val="auto"/>
          <w:sz w:val="24"/>
          <w:szCs w:val="24"/>
          <w:highlight w:val="none"/>
          <w:lang w:eastAsia="zh-CN"/>
        </w:rPr>
      </w:pPr>
      <w:bookmarkStart w:id="27" w:name="_Toc6032"/>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格式五：</w:t>
      </w:r>
      <w:bookmarkEnd w:id="27"/>
    </w:p>
    <w:p w14:paraId="41A9CFA9">
      <w:pPr>
        <w:spacing w:before="182" w:line="219" w:lineRule="auto"/>
        <w:ind w:left="3324"/>
        <w:rPr>
          <w:rFonts w:ascii="宋体" w:hAnsi="宋体" w:eastAsia="宋体" w:cs="宋体"/>
          <w:color w:val="auto"/>
          <w:sz w:val="24"/>
          <w:szCs w:val="24"/>
          <w:highlight w:val="none"/>
          <w:lang w:eastAsia="zh-CN"/>
        </w:rPr>
      </w:pPr>
      <w:bookmarkStart w:id="28" w:name="_Toc6896"/>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售后服务承诺书（格式）</w:t>
      </w:r>
      <w:bookmarkEnd w:id="28"/>
    </w:p>
    <w:p w14:paraId="17ADD19B">
      <w:pPr>
        <w:pStyle w:val="8"/>
        <w:spacing w:line="283" w:lineRule="auto"/>
        <w:rPr>
          <w:rFonts w:ascii="宋体" w:hAnsi="宋体" w:eastAsia="宋体" w:cs="宋体"/>
          <w:color w:val="auto"/>
          <w:highlight w:val="none"/>
          <w:lang w:eastAsia="zh-CN"/>
        </w:rPr>
      </w:pPr>
    </w:p>
    <w:p w14:paraId="43F1B8E2">
      <w:pPr>
        <w:pStyle w:val="8"/>
        <w:spacing w:line="284" w:lineRule="auto"/>
        <w:rPr>
          <w:rFonts w:ascii="宋体" w:hAnsi="宋体" w:eastAsia="宋体" w:cs="宋体"/>
          <w:color w:val="auto"/>
          <w:highlight w:val="none"/>
          <w:lang w:eastAsia="zh-CN"/>
        </w:rPr>
      </w:pPr>
    </w:p>
    <w:p w14:paraId="7DDC3199">
      <w:pPr>
        <w:spacing w:before="78" w:line="220" w:lineRule="auto"/>
        <w:ind w:left="22"/>
        <w:rPr>
          <w:rFonts w:ascii="宋体" w:hAnsi="宋体" w:eastAsia="宋体" w:cs="宋体"/>
          <w:color w:val="auto"/>
          <w:sz w:val="24"/>
          <w:szCs w:val="24"/>
          <w:highlight w:val="none"/>
          <w:lang w:eastAsia="zh-CN"/>
        </w:rPr>
      </w:pPr>
      <w:bookmarkStart w:id="29" w:name="_Toc25879"/>
      <w:r>
        <w:rPr>
          <w:rFonts w:hint="eastAsia" w:ascii="宋体" w:hAnsi="宋体" w:eastAsia="宋体" w:cs="宋体"/>
          <w:color w:val="auto"/>
          <w:spacing w:val="-3"/>
          <w:sz w:val="24"/>
          <w:szCs w:val="24"/>
          <w:highlight w:val="none"/>
          <w:lang w:eastAsia="zh-CN"/>
        </w:rPr>
        <w:t>（采购人）：</w:t>
      </w:r>
      <w:bookmarkEnd w:id="29"/>
    </w:p>
    <w:p w14:paraId="43625690">
      <w:pPr>
        <w:spacing w:before="179" w:line="360" w:lineRule="auto"/>
        <w:ind w:left="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我公司自愿参加</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10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项目（标段编号）的投标。我公司郑重承诺</w:t>
      </w:r>
      <w:r>
        <w:rPr>
          <w:rFonts w:hint="eastAsia" w:ascii="宋体" w:hAnsi="宋体" w:eastAsia="宋体" w:cs="宋体"/>
          <w:color w:val="auto"/>
          <w:spacing w:val="-3"/>
          <w:sz w:val="24"/>
          <w:szCs w:val="24"/>
          <w:highlight w:val="none"/>
          <w:lang w:eastAsia="zh-CN"/>
        </w:rPr>
        <w:t>，如果我公司的</w:t>
      </w:r>
      <w:r>
        <w:rPr>
          <w:rFonts w:hint="eastAsia" w:ascii="宋体" w:hAnsi="宋体" w:eastAsia="宋体" w:cs="宋体"/>
          <w:color w:val="auto"/>
          <w:spacing w:val="-2"/>
          <w:sz w:val="24"/>
          <w:szCs w:val="24"/>
          <w:highlight w:val="none"/>
          <w:lang w:eastAsia="zh-CN"/>
        </w:rPr>
        <w:t>投标被评定为中标，我公司对于中标货物，除完全响应招标文件合同条款对伴随服务和售</w:t>
      </w:r>
      <w:r>
        <w:rPr>
          <w:rFonts w:hint="eastAsia" w:ascii="宋体" w:hAnsi="宋体" w:eastAsia="宋体" w:cs="宋体"/>
          <w:color w:val="auto"/>
          <w:spacing w:val="-1"/>
          <w:sz w:val="24"/>
          <w:szCs w:val="24"/>
          <w:highlight w:val="none"/>
          <w:lang w:eastAsia="zh-CN"/>
        </w:rPr>
        <w:t>后服务的所有要求外，还将按照以下条款提供优质和完善的售后服务：</w:t>
      </w:r>
    </w:p>
    <w:p w14:paraId="0329490A">
      <w:pPr>
        <w:spacing w:before="217" w:line="469" w:lineRule="exact"/>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14"/>
          <w:position w:val="21"/>
          <w:sz w:val="24"/>
          <w:szCs w:val="24"/>
          <w:highlight w:val="none"/>
          <w:lang w:eastAsia="zh-CN"/>
        </w:rPr>
        <w:t>1.</w:t>
      </w:r>
    </w:p>
    <w:p w14:paraId="23BAD3AA">
      <w:pPr>
        <w:spacing w:line="183"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2.</w:t>
      </w:r>
    </w:p>
    <w:p w14:paraId="7AC20C53">
      <w:pPr>
        <w:spacing w:before="210" w:line="99" w:lineRule="exact"/>
        <w:ind w:left="486"/>
        <w:rPr>
          <w:rFonts w:ascii="宋体" w:hAnsi="宋体" w:eastAsia="宋体" w:cs="宋体"/>
          <w:color w:val="auto"/>
          <w:sz w:val="24"/>
          <w:szCs w:val="24"/>
          <w:highlight w:val="none"/>
          <w:lang w:eastAsia="zh-CN"/>
        </w:rPr>
      </w:pPr>
      <w:r>
        <w:rPr>
          <w:rFonts w:hint="eastAsia" w:ascii="宋体" w:hAnsi="宋体" w:eastAsia="宋体" w:cs="宋体"/>
          <w:color w:val="auto"/>
          <w:position w:val="1"/>
          <w:sz w:val="24"/>
          <w:szCs w:val="24"/>
          <w:highlight w:val="none"/>
          <w:lang w:eastAsia="zh-CN"/>
        </w:rPr>
        <w:t>...</w:t>
      </w:r>
    </w:p>
    <w:p w14:paraId="6AC1A1B4">
      <w:pPr>
        <w:pStyle w:val="8"/>
        <w:spacing w:line="295" w:lineRule="auto"/>
        <w:rPr>
          <w:rFonts w:ascii="宋体" w:hAnsi="宋体" w:eastAsia="宋体" w:cs="宋体"/>
          <w:color w:val="auto"/>
          <w:highlight w:val="none"/>
          <w:lang w:eastAsia="zh-CN"/>
        </w:rPr>
      </w:pPr>
    </w:p>
    <w:p w14:paraId="546A15D9">
      <w:pPr>
        <w:pStyle w:val="8"/>
        <w:spacing w:line="295" w:lineRule="auto"/>
        <w:rPr>
          <w:rFonts w:ascii="宋体" w:hAnsi="宋体" w:eastAsia="宋体" w:cs="宋体"/>
          <w:color w:val="auto"/>
          <w:highlight w:val="none"/>
          <w:lang w:eastAsia="zh-CN"/>
        </w:rPr>
      </w:pPr>
    </w:p>
    <w:p w14:paraId="48C60F0D">
      <w:pPr>
        <w:pStyle w:val="8"/>
        <w:spacing w:line="296" w:lineRule="auto"/>
        <w:rPr>
          <w:rFonts w:ascii="宋体" w:hAnsi="宋体" w:eastAsia="宋体" w:cs="宋体"/>
          <w:color w:val="auto"/>
          <w:highlight w:val="none"/>
          <w:lang w:eastAsia="zh-CN"/>
        </w:rPr>
      </w:pPr>
    </w:p>
    <w:p w14:paraId="44627565">
      <w:pPr>
        <w:spacing w:before="79"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67AD9EF6">
      <w:pPr>
        <w:spacing w:before="183" w:line="465" w:lineRule="exact"/>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法定代表人（单位负责人）</w:t>
      </w:r>
    </w:p>
    <w:p w14:paraId="2E000B0C">
      <w:pPr>
        <w:spacing w:line="220"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或授权代表（签字</w:t>
      </w:r>
      <w:r>
        <w:rPr>
          <w:rFonts w:hint="eastAsia" w:ascii="宋体" w:hAnsi="宋体" w:eastAsia="宋体" w:cs="宋体"/>
          <w:color w:val="auto"/>
          <w:spacing w:val="1"/>
          <w:sz w:val="24"/>
          <w:szCs w:val="24"/>
          <w:highlight w:val="none"/>
          <w:lang w:eastAsia="zh-CN"/>
        </w:rPr>
        <w:t>）：</w:t>
      </w:r>
    </w:p>
    <w:p w14:paraId="50C7DD20">
      <w:pPr>
        <w:spacing w:before="180" w:line="220" w:lineRule="auto"/>
        <w:ind w:left="480"/>
        <w:rPr>
          <w:rFonts w:ascii="宋体" w:hAnsi="宋体" w:eastAsia="宋体" w:cs="宋体"/>
          <w:color w:val="auto"/>
          <w:sz w:val="24"/>
          <w:szCs w:val="24"/>
          <w:highlight w:val="none"/>
          <w:lang w:eastAsia="zh-CN"/>
        </w:rPr>
      </w:pPr>
      <w:bookmarkStart w:id="30" w:name="_Toc1282"/>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bookmarkEnd w:id="30"/>
    </w:p>
    <w:p w14:paraId="2697AA51">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7AA5878F">
      <w:pPr>
        <w:spacing w:before="48" w:line="220" w:lineRule="auto"/>
        <w:rPr>
          <w:rFonts w:ascii="宋体" w:hAnsi="宋体" w:eastAsia="宋体" w:cs="宋体"/>
          <w:color w:val="auto"/>
          <w:sz w:val="24"/>
          <w:szCs w:val="24"/>
          <w:highlight w:val="none"/>
          <w:lang w:eastAsia="zh-CN"/>
        </w:rPr>
      </w:pPr>
      <w:bookmarkStart w:id="31" w:name="_Toc30861"/>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格式六：</w:t>
      </w:r>
      <w:bookmarkEnd w:id="31"/>
    </w:p>
    <w:p w14:paraId="52D1DE76">
      <w:pPr>
        <w:spacing w:before="182" w:line="220" w:lineRule="auto"/>
        <w:ind w:left="2240"/>
        <w:rPr>
          <w:rFonts w:ascii="宋体" w:hAnsi="宋体" w:eastAsia="宋体" w:cs="宋体"/>
          <w:color w:val="auto"/>
          <w:sz w:val="24"/>
          <w:szCs w:val="24"/>
          <w:highlight w:val="none"/>
          <w:lang w:eastAsia="zh-CN"/>
        </w:rPr>
      </w:pPr>
      <w:bookmarkStart w:id="32" w:name="_Toc30902"/>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法定代表人（单位负责人）身份证明（格式）</w:t>
      </w:r>
      <w:bookmarkEnd w:id="32"/>
    </w:p>
    <w:p w14:paraId="51B446A7">
      <w:pPr>
        <w:pStyle w:val="8"/>
        <w:spacing w:line="283" w:lineRule="auto"/>
        <w:rPr>
          <w:rFonts w:ascii="宋体" w:hAnsi="宋体" w:eastAsia="宋体" w:cs="宋体"/>
          <w:color w:val="auto"/>
          <w:highlight w:val="none"/>
          <w:lang w:eastAsia="zh-CN"/>
        </w:rPr>
      </w:pPr>
    </w:p>
    <w:p w14:paraId="784AB969">
      <w:pPr>
        <w:pStyle w:val="8"/>
        <w:spacing w:line="283" w:lineRule="auto"/>
        <w:rPr>
          <w:rFonts w:ascii="宋体" w:hAnsi="宋体" w:eastAsia="宋体" w:cs="宋体"/>
          <w:color w:val="auto"/>
          <w:highlight w:val="none"/>
          <w:lang w:eastAsia="zh-CN"/>
        </w:rPr>
      </w:pPr>
    </w:p>
    <w:p w14:paraId="30387EAF">
      <w:pPr>
        <w:spacing w:before="78" w:line="219" w:lineRule="auto"/>
        <w:rPr>
          <w:rFonts w:ascii="宋体" w:hAnsi="宋体" w:eastAsia="宋体" w:cs="宋体"/>
          <w:color w:val="auto"/>
          <w:sz w:val="24"/>
          <w:szCs w:val="24"/>
          <w:highlight w:val="none"/>
          <w:lang w:eastAsia="zh-CN"/>
        </w:rPr>
      </w:pPr>
      <w:bookmarkStart w:id="33" w:name="_Toc10707"/>
      <w:r>
        <w:rPr>
          <w:rFonts w:hint="eastAsia" w:ascii="宋体" w:hAnsi="宋体" w:eastAsia="宋体" w:cs="宋体"/>
          <w:color w:val="auto"/>
          <w:spacing w:val="2"/>
          <w:sz w:val="24"/>
          <w:szCs w:val="24"/>
          <w:highlight w:val="none"/>
          <w:lang w:eastAsia="zh-CN"/>
        </w:rPr>
        <w:t>致</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pacing w:val="2"/>
          <w:sz w:val="24"/>
          <w:szCs w:val="24"/>
          <w:highlight w:val="none"/>
          <w:lang w:eastAsia="zh-CN"/>
        </w:rPr>
        <w:t>采购人或采购代理机构）</w:t>
      </w:r>
      <w:bookmarkEnd w:id="33"/>
    </w:p>
    <w:p w14:paraId="2EFE88EA">
      <w:pPr>
        <w:spacing w:before="180" w:line="360" w:lineRule="auto"/>
        <w:ind w:firstLine="46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兹证明，姓名：</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9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性别：</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10"/>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年龄：</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职务：</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6"/>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系</w:t>
      </w:r>
      <w:r>
        <w:rPr>
          <w:rFonts w:hint="eastAsia" w:ascii="宋体" w:hAnsi="宋体" w:eastAsia="宋体" w:cs="宋体"/>
          <w:color w:val="auto"/>
          <w:spacing w:val="-3"/>
          <w:sz w:val="24"/>
          <w:szCs w:val="24"/>
          <w:highlight w:val="none"/>
          <w:u w:val="single"/>
          <w:lang w:eastAsia="zh-CN"/>
        </w:rPr>
        <w:t xml:space="preserve">（投标人名称）  </w:t>
      </w:r>
      <w:r>
        <w:rPr>
          <w:rFonts w:hint="eastAsia" w:ascii="宋体" w:hAnsi="宋体" w:eastAsia="宋体" w:cs="宋体"/>
          <w:color w:val="auto"/>
          <w:spacing w:val="-3"/>
          <w:sz w:val="24"/>
          <w:szCs w:val="24"/>
          <w:highlight w:val="none"/>
          <w:lang w:eastAsia="zh-CN"/>
        </w:rPr>
        <w:t>的法定代表</w:t>
      </w:r>
      <w:r>
        <w:rPr>
          <w:rFonts w:hint="eastAsia" w:ascii="宋体" w:hAnsi="宋体" w:eastAsia="宋体" w:cs="宋体"/>
          <w:color w:val="auto"/>
          <w:spacing w:val="-2"/>
          <w:sz w:val="24"/>
          <w:szCs w:val="24"/>
          <w:highlight w:val="none"/>
          <w:lang w:eastAsia="zh-CN"/>
        </w:rPr>
        <w:t>人（单位负责人）。</w:t>
      </w:r>
    </w:p>
    <w:p w14:paraId="2D35AA4F">
      <w:pPr>
        <w:spacing w:before="182" w:line="219" w:lineRule="auto"/>
        <w:ind w:left="18"/>
        <w:rPr>
          <w:rFonts w:ascii="宋体" w:hAnsi="宋体" w:eastAsia="宋体" w:cs="宋体"/>
          <w:color w:val="auto"/>
          <w:sz w:val="24"/>
          <w:szCs w:val="24"/>
          <w:highlight w:val="none"/>
          <w:lang w:eastAsia="zh-CN"/>
        </w:rPr>
      </w:pPr>
      <w:bookmarkStart w:id="34" w:name="_Toc31712"/>
      <w:r>
        <w:rPr>
          <w:rFonts w:hint="eastAsia" w:ascii="宋体" w:hAnsi="宋体" w:eastAsia="宋体" w:cs="宋体"/>
          <w:color w:val="auto"/>
          <w:spacing w:val="-1"/>
          <w:sz w:val="24"/>
          <w:szCs w:val="24"/>
          <w:highlight w:val="none"/>
          <w:lang w:eastAsia="zh-CN"/>
        </w:rPr>
        <w:t>附：法定代表人（单位负责人）身份证、护照等身份证明文件电子件：</w:t>
      </w:r>
      <w:bookmarkEnd w:id="34"/>
    </w:p>
    <w:p w14:paraId="6E465D74">
      <w:pPr>
        <w:pStyle w:val="8"/>
        <w:spacing w:line="283" w:lineRule="auto"/>
        <w:rPr>
          <w:rFonts w:ascii="宋体" w:hAnsi="宋体" w:eastAsia="宋体" w:cs="宋体"/>
          <w:color w:val="auto"/>
          <w:highlight w:val="none"/>
          <w:lang w:eastAsia="zh-CN"/>
        </w:rPr>
      </w:pPr>
    </w:p>
    <w:p w14:paraId="74065D3D">
      <w:pPr>
        <w:pStyle w:val="8"/>
        <w:spacing w:line="284" w:lineRule="auto"/>
        <w:rPr>
          <w:rFonts w:ascii="宋体" w:hAnsi="宋体" w:eastAsia="宋体" w:cs="宋体"/>
          <w:color w:val="auto"/>
          <w:highlight w:val="none"/>
          <w:lang w:eastAsia="zh-CN"/>
        </w:rPr>
      </w:pPr>
    </w:p>
    <w:p w14:paraId="2563BAB1">
      <w:pPr>
        <w:spacing w:before="78"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193A6C70">
      <w:pPr>
        <w:spacing w:before="180" w:line="219" w:lineRule="auto"/>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法定代表人（单位负责人</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1"/>
          <w:sz w:val="24"/>
          <w:szCs w:val="24"/>
          <w:highlight w:val="none"/>
          <w:lang w:eastAsia="zh-CN"/>
        </w:rPr>
        <w:t>签字或盖章</w:t>
      </w:r>
      <w:r>
        <w:rPr>
          <w:rFonts w:hint="eastAsia" w:ascii="宋体" w:hAnsi="宋体" w:eastAsia="宋体" w:cs="宋体"/>
          <w:color w:val="auto"/>
          <w:spacing w:val="-7"/>
          <w:sz w:val="24"/>
          <w:szCs w:val="24"/>
          <w:highlight w:val="none"/>
          <w:lang w:eastAsia="zh-CN"/>
        </w:rPr>
        <w:t>）：</w:t>
      </w:r>
    </w:p>
    <w:p w14:paraId="463DB2A0">
      <w:pPr>
        <w:spacing w:before="181" w:line="220" w:lineRule="auto"/>
        <w:ind w:left="521"/>
        <w:rPr>
          <w:rFonts w:ascii="宋体" w:hAnsi="宋体" w:eastAsia="宋体" w:cs="宋体"/>
          <w:color w:val="auto"/>
          <w:sz w:val="24"/>
          <w:szCs w:val="24"/>
          <w:highlight w:val="none"/>
          <w:lang w:eastAsia="zh-CN"/>
        </w:rPr>
      </w:pPr>
      <w:bookmarkStart w:id="35" w:name="_Toc9976"/>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bookmarkEnd w:id="35"/>
    </w:p>
    <w:p w14:paraId="2AEA5B5F">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11B48D35">
      <w:pPr>
        <w:spacing w:before="48" w:line="220" w:lineRule="auto"/>
        <w:rPr>
          <w:rFonts w:ascii="宋体" w:hAnsi="宋体" w:eastAsia="宋体" w:cs="宋体"/>
          <w:color w:val="auto"/>
          <w:sz w:val="24"/>
          <w:szCs w:val="24"/>
          <w:highlight w:val="none"/>
          <w:lang w:eastAsia="zh-CN"/>
        </w:rPr>
      </w:pPr>
      <w:bookmarkStart w:id="36" w:name="_Toc3491"/>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格式七：</w:t>
      </w:r>
      <w:bookmarkEnd w:id="36"/>
    </w:p>
    <w:p w14:paraId="16EB4974">
      <w:pPr>
        <w:spacing w:before="182" w:line="219" w:lineRule="auto"/>
        <w:ind w:left="356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授权委托书（格式）</w:t>
      </w:r>
    </w:p>
    <w:p w14:paraId="0DB5D35D">
      <w:pPr>
        <w:pStyle w:val="8"/>
        <w:spacing w:line="284" w:lineRule="auto"/>
        <w:rPr>
          <w:rFonts w:ascii="宋体" w:hAnsi="宋体" w:eastAsia="宋体" w:cs="宋体"/>
          <w:color w:val="auto"/>
          <w:highlight w:val="none"/>
          <w:lang w:eastAsia="zh-CN"/>
        </w:rPr>
      </w:pPr>
    </w:p>
    <w:p w14:paraId="2961B659">
      <w:pPr>
        <w:pStyle w:val="8"/>
        <w:spacing w:line="284" w:lineRule="auto"/>
        <w:rPr>
          <w:rFonts w:ascii="宋体" w:hAnsi="宋体" w:eastAsia="宋体" w:cs="宋体"/>
          <w:color w:val="auto"/>
          <w:highlight w:val="none"/>
          <w:lang w:eastAsia="zh-CN"/>
        </w:rPr>
      </w:pPr>
    </w:p>
    <w:p w14:paraId="3177FF13">
      <w:pPr>
        <w:spacing w:before="78" w:line="359" w:lineRule="auto"/>
        <w:ind w:right="21" w:firstLine="48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本人</w:t>
      </w:r>
      <w:r>
        <w:rPr>
          <w:rFonts w:hint="eastAsia" w:ascii="宋体" w:hAnsi="宋体" w:eastAsia="宋体" w:cs="宋体"/>
          <w:color w:val="auto"/>
          <w:spacing w:val="-118"/>
          <w:sz w:val="24"/>
          <w:szCs w:val="24"/>
          <w:highlight w:val="none"/>
          <w:lang w:eastAsia="zh-CN"/>
        </w:rPr>
        <w:t xml:space="preserve"> </w:t>
      </w:r>
      <w:r>
        <w:rPr>
          <w:rFonts w:hint="eastAsia" w:ascii="宋体" w:hAnsi="宋体" w:eastAsia="宋体" w:cs="宋体"/>
          <w:color w:val="auto"/>
          <w:spacing w:val="20"/>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（姓名）系</w:t>
      </w:r>
      <w:r>
        <w:rPr>
          <w:rFonts w:hint="eastAsia" w:ascii="宋体" w:hAnsi="宋体" w:eastAsia="宋体" w:cs="宋体"/>
          <w:color w:val="auto"/>
          <w:spacing w:val="-120"/>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（投标人名称）的法定代表人（</w:t>
      </w:r>
      <w:r>
        <w:rPr>
          <w:rFonts w:hint="eastAsia" w:ascii="宋体" w:hAnsi="宋体" w:eastAsia="宋体" w:cs="宋体"/>
          <w:color w:val="auto"/>
          <w:spacing w:val="1"/>
          <w:sz w:val="24"/>
          <w:szCs w:val="24"/>
          <w:highlight w:val="none"/>
          <w:lang w:eastAsia="zh-CN"/>
        </w:rPr>
        <w:t>单位负责人</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1"/>
          <w:sz w:val="24"/>
          <w:szCs w:val="24"/>
          <w:highlight w:val="none"/>
          <w:lang w:eastAsia="zh-CN"/>
        </w:rPr>
        <w:t>现委托</w:t>
      </w:r>
      <w:r>
        <w:rPr>
          <w:rFonts w:hint="eastAsia" w:ascii="宋体" w:hAnsi="宋体" w:eastAsia="宋体" w:cs="宋体"/>
          <w:color w:val="auto"/>
          <w:spacing w:val="-117"/>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（姓名）为我方代理人。代理人根据授权，以我方名义</w:t>
      </w:r>
      <w:r>
        <w:rPr>
          <w:rFonts w:hint="eastAsia" w:ascii="宋体" w:hAnsi="宋体" w:eastAsia="宋体" w:cs="宋体"/>
          <w:color w:val="auto"/>
          <w:sz w:val="24"/>
          <w:szCs w:val="24"/>
          <w:highlight w:val="none"/>
          <w:lang w:eastAsia="zh-CN"/>
        </w:rPr>
        <w:t>签署、澄清</w:t>
      </w:r>
      <w:r>
        <w:rPr>
          <w:rFonts w:hint="eastAsia" w:ascii="宋体" w:hAnsi="宋体" w:eastAsia="宋体" w:cs="宋体"/>
          <w:color w:val="auto"/>
          <w:spacing w:val="-1"/>
          <w:sz w:val="24"/>
          <w:szCs w:val="24"/>
          <w:highlight w:val="none"/>
          <w:lang w:eastAsia="zh-CN"/>
        </w:rPr>
        <w:t>确认、提交、撤回、修改</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（项目名称）投标文件和处理有关事宜，其法律后果由我方承担。</w:t>
      </w:r>
    </w:p>
    <w:p w14:paraId="28386F99">
      <w:pPr>
        <w:spacing w:before="179" w:line="468" w:lineRule="exact"/>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委托期限：</w:t>
      </w:r>
      <w:r>
        <w:rPr>
          <w:rFonts w:hint="eastAsia" w:ascii="宋体" w:hAnsi="宋体" w:eastAsia="宋体" w:cs="宋体"/>
          <w:color w:val="auto"/>
          <w:spacing w:val="-72"/>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自本授权委托书签署之日起至投标有效期届满之日止。</w:t>
      </w:r>
    </w:p>
    <w:p w14:paraId="2A80E3CD">
      <w:pPr>
        <w:spacing w:line="220" w:lineRule="auto"/>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代理人无转委托权。</w:t>
      </w:r>
    </w:p>
    <w:p w14:paraId="4B218DF0">
      <w:pPr>
        <w:pStyle w:val="8"/>
        <w:spacing w:line="282" w:lineRule="auto"/>
        <w:rPr>
          <w:rFonts w:ascii="宋体" w:hAnsi="宋体" w:eastAsia="宋体" w:cs="宋体"/>
          <w:color w:val="auto"/>
          <w:highlight w:val="none"/>
          <w:lang w:eastAsia="zh-CN"/>
        </w:rPr>
      </w:pPr>
    </w:p>
    <w:p w14:paraId="7E16DF67">
      <w:pPr>
        <w:pStyle w:val="8"/>
        <w:spacing w:line="282" w:lineRule="auto"/>
        <w:rPr>
          <w:rFonts w:ascii="宋体" w:hAnsi="宋体" w:eastAsia="宋体" w:cs="宋体"/>
          <w:color w:val="auto"/>
          <w:highlight w:val="none"/>
          <w:lang w:eastAsia="zh-CN"/>
        </w:rPr>
      </w:pPr>
    </w:p>
    <w:p w14:paraId="7EE592A6">
      <w:pPr>
        <w:spacing w:before="78" w:line="219" w:lineRule="auto"/>
        <w:ind w:left="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投标人名称（加盖公章</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6958775E">
      <w:pPr>
        <w:spacing w:before="182" w:line="360" w:lineRule="auto"/>
        <w:ind w:left="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法定代表人（单位负责人</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1"/>
          <w:sz w:val="24"/>
          <w:szCs w:val="24"/>
          <w:highlight w:val="none"/>
          <w:lang w:eastAsia="zh-CN"/>
        </w:rPr>
        <w:t>签字或签章</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7D20C1F0">
      <w:pPr>
        <w:spacing w:before="1" w:line="21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委托代理人（签字或签章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3735BDF8">
      <w:pPr>
        <w:spacing w:before="180" w:line="220" w:lineRule="auto"/>
        <w:ind w:left="42"/>
        <w:rPr>
          <w:rFonts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49CB77AE">
      <w:pPr>
        <w:spacing w:before="183" w:line="219" w:lineRule="auto"/>
        <w:ind w:left="1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附：法定代表人及委托代理人身份证明文件电子件：</w:t>
      </w:r>
    </w:p>
    <w:p w14:paraId="7F292EDF">
      <w:pPr>
        <w:pStyle w:val="8"/>
        <w:spacing w:line="257" w:lineRule="auto"/>
        <w:rPr>
          <w:rFonts w:ascii="宋体" w:hAnsi="宋体" w:eastAsia="宋体" w:cs="宋体"/>
          <w:color w:val="auto"/>
          <w:highlight w:val="none"/>
          <w:lang w:eastAsia="zh-CN"/>
        </w:rPr>
      </w:pPr>
    </w:p>
    <w:p w14:paraId="3D87DD44">
      <w:pPr>
        <w:pStyle w:val="8"/>
        <w:spacing w:line="257" w:lineRule="auto"/>
        <w:rPr>
          <w:rFonts w:ascii="宋体" w:hAnsi="宋体" w:eastAsia="宋体" w:cs="宋体"/>
          <w:color w:val="auto"/>
          <w:highlight w:val="none"/>
          <w:lang w:eastAsia="zh-CN"/>
        </w:rPr>
      </w:pPr>
    </w:p>
    <w:p w14:paraId="60EB7BFE">
      <w:pPr>
        <w:pStyle w:val="8"/>
        <w:spacing w:line="257" w:lineRule="auto"/>
        <w:rPr>
          <w:rFonts w:ascii="宋体" w:hAnsi="宋体" w:eastAsia="宋体" w:cs="宋体"/>
          <w:color w:val="auto"/>
          <w:highlight w:val="none"/>
          <w:lang w:eastAsia="zh-CN"/>
        </w:rPr>
      </w:pPr>
    </w:p>
    <w:p w14:paraId="07725CF0">
      <w:pPr>
        <w:pStyle w:val="8"/>
        <w:spacing w:line="258" w:lineRule="auto"/>
        <w:rPr>
          <w:rFonts w:ascii="宋体" w:hAnsi="宋体" w:eastAsia="宋体" w:cs="宋体"/>
          <w:color w:val="auto"/>
          <w:highlight w:val="none"/>
          <w:lang w:eastAsia="zh-CN"/>
        </w:rPr>
      </w:pPr>
    </w:p>
    <w:p w14:paraId="2ECA0F0C">
      <w:pPr>
        <w:spacing w:before="78" w:line="220" w:lineRule="auto"/>
        <w:ind w:left="3"/>
        <w:rPr>
          <w:rFonts w:ascii="宋体" w:hAnsi="宋体" w:eastAsia="宋体" w:cs="宋体"/>
          <w:color w:val="auto"/>
          <w:sz w:val="24"/>
          <w:szCs w:val="24"/>
          <w:highlight w:val="none"/>
          <w:lang w:eastAsia="zh-CN"/>
        </w:rPr>
      </w:pPr>
      <w:bookmarkStart w:id="37" w:name="_Toc32444"/>
      <w:r>
        <w:rPr>
          <w:rFonts w:hint="eastAsia" w:ascii="宋体" w:hAnsi="宋体" w:eastAsia="宋体" w:cs="宋体"/>
          <w:color w:val="auto"/>
          <w:spacing w:val="-5"/>
          <w:sz w:val="24"/>
          <w:szCs w:val="24"/>
          <w:highlight w:val="none"/>
          <w:lang w:eastAsia="zh-CN"/>
        </w:rPr>
        <w:t>说明：</w:t>
      </w:r>
      <w:bookmarkEnd w:id="37"/>
    </w:p>
    <w:p w14:paraId="2AA3EA91">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1.若供应商为事业单位或其他组织或分支机构，则法定代表人（单位负责人）处的签署人可为单位负责人。</w:t>
      </w:r>
    </w:p>
    <w:p w14:paraId="1BA1712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若投标文件中签字之处均为法定代表人（单位负责人）本人签署，则可不提供本《授权委托书》，但须提供《法定代表人（单位负责人）身份证明》；否则，不需要提供《法定代表人（单位负责人）身份证明》。</w:t>
      </w:r>
    </w:p>
    <w:p w14:paraId="2B410FD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3.供应商为自然人的情形，可不提供本《授权委托书》。</w:t>
      </w:r>
    </w:p>
    <w:p w14:paraId="58F06CC3">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4.供应商应随本《授权委托书》同时提供法定代表人（单位负责人）及委托代理人的有效的身份证、护照等身份证明文件电子件。提供身份证的，应同时提供身份证双面电子。</w:t>
      </w:r>
    </w:p>
    <w:p w14:paraId="550CADC8">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25F1BE00">
      <w:pPr>
        <w:spacing w:before="4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格式八：</w:t>
      </w:r>
    </w:p>
    <w:p w14:paraId="697D92F8">
      <w:pPr>
        <w:spacing w:before="182" w:line="219" w:lineRule="auto"/>
        <w:ind w:left="3226"/>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中标服务费承诺书（格式）</w:t>
      </w:r>
    </w:p>
    <w:p w14:paraId="119D1AA8">
      <w:pPr>
        <w:pStyle w:val="8"/>
        <w:spacing w:line="250" w:lineRule="auto"/>
        <w:rPr>
          <w:rFonts w:ascii="宋体" w:hAnsi="宋体" w:eastAsia="宋体" w:cs="宋体"/>
          <w:color w:val="auto"/>
          <w:highlight w:val="none"/>
          <w:lang w:eastAsia="zh-CN"/>
        </w:rPr>
      </w:pPr>
    </w:p>
    <w:p w14:paraId="03D98A44">
      <w:pPr>
        <w:pStyle w:val="8"/>
        <w:spacing w:line="250" w:lineRule="auto"/>
        <w:rPr>
          <w:rFonts w:ascii="宋体" w:hAnsi="宋体" w:eastAsia="宋体" w:cs="宋体"/>
          <w:color w:val="auto"/>
          <w:highlight w:val="none"/>
          <w:lang w:eastAsia="zh-CN"/>
        </w:rPr>
      </w:pPr>
    </w:p>
    <w:p w14:paraId="48DB221F">
      <w:pPr>
        <w:spacing w:before="78" w:line="220" w:lineRule="auto"/>
        <w:rPr>
          <w:rFonts w:ascii="宋体" w:hAnsi="宋体" w:eastAsia="宋体" w:cs="宋体"/>
          <w:color w:val="auto"/>
          <w:sz w:val="24"/>
          <w:szCs w:val="24"/>
          <w:highlight w:val="none"/>
          <w:lang w:eastAsia="zh-CN"/>
        </w:rPr>
      </w:pPr>
      <w:bookmarkStart w:id="38" w:name="_Toc25943"/>
      <w:r>
        <w:rPr>
          <w:rFonts w:hint="eastAsia" w:ascii="宋体" w:hAnsi="宋体" w:eastAsia="宋体" w:cs="宋体"/>
          <w:color w:val="auto"/>
          <w:spacing w:val="-1"/>
          <w:sz w:val="24"/>
          <w:szCs w:val="24"/>
          <w:highlight w:val="none"/>
          <w:lang w:eastAsia="zh-CN"/>
        </w:rPr>
        <w:t>致：</w:t>
      </w:r>
      <w:bookmarkEnd w:id="38"/>
      <w:r>
        <w:rPr>
          <w:rFonts w:hint="eastAsia" w:ascii="宋体" w:hAnsi="宋体" w:eastAsia="宋体" w:cs="宋体"/>
          <w:color w:val="auto"/>
          <w:spacing w:val="-1"/>
          <w:sz w:val="24"/>
          <w:szCs w:val="24"/>
          <w:highlight w:val="none"/>
          <w:lang w:eastAsia="zh-CN"/>
        </w:rPr>
        <w:t>中经国际招标集团有限公司</w:t>
      </w:r>
    </w:p>
    <w:p w14:paraId="32AE556A">
      <w:pPr>
        <w:pStyle w:val="8"/>
        <w:spacing w:line="283" w:lineRule="auto"/>
        <w:rPr>
          <w:rFonts w:ascii="宋体" w:hAnsi="宋体" w:eastAsia="宋体" w:cs="宋体"/>
          <w:color w:val="auto"/>
          <w:highlight w:val="none"/>
          <w:lang w:eastAsia="zh-CN"/>
        </w:rPr>
      </w:pPr>
    </w:p>
    <w:p w14:paraId="484AC812">
      <w:pPr>
        <w:pStyle w:val="8"/>
        <w:spacing w:line="283" w:lineRule="auto"/>
        <w:rPr>
          <w:rFonts w:ascii="宋体" w:hAnsi="宋体" w:eastAsia="宋体" w:cs="宋体"/>
          <w:color w:val="auto"/>
          <w:highlight w:val="none"/>
          <w:lang w:eastAsia="zh-CN"/>
        </w:rPr>
      </w:pPr>
    </w:p>
    <w:p w14:paraId="2620CD5B">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我们在贵公司代理的项目采购中若获成交（标段编号：        ），我们保证在收到中标通知后 2 个工作日内按招标文件的规定，向贵公司即中经国际招标集团有限公司按照取费规定一次性支付中标服务费。</w:t>
      </w:r>
    </w:p>
    <w:p w14:paraId="1D26342C">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14:paraId="414577FE">
      <w:pPr>
        <w:pStyle w:val="8"/>
        <w:spacing w:line="283" w:lineRule="auto"/>
        <w:rPr>
          <w:rFonts w:ascii="宋体" w:hAnsi="宋体" w:eastAsia="宋体" w:cs="宋体"/>
          <w:color w:val="auto"/>
          <w:highlight w:val="none"/>
          <w:lang w:eastAsia="zh-CN"/>
        </w:rPr>
      </w:pPr>
    </w:p>
    <w:p w14:paraId="23A5A2AD">
      <w:pPr>
        <w:pStyle w:val="8"/>
        <w:spacing w:line="283" w:lineRule="auto"/>
        <w:rPr>
          <w:rFonts w:ascii="宋体" w:hAnsi="宋体" w:eastAsia="宋体" w:cs="宋体"/>
          <w:color w:val="auto"/>
          <w:highlight w:val="none"/>
          <w:lang w:eastAsia="zh-CN"/>
        </w:rPr>
      </w:pPr>
    </w:p>
    <w:p w14:paraId="2A24D27C">
      <w:pPr>
        <w:spacing w:before="78" w:line="220" w:lineRule="auto"/>
        <w:rPr>
          <w:rFonts w:ascii="宋体" w:hAnsi="宋体" w:eastAsia="宋体" w:cs="宋体"/>
          <w:color w:val="auto"/>
          <w:sz w:val="24"/>
          <w:szCs w:val="24"/>
          <w:highlight w:val="none"/>
          <w:lang w:eastAsia="zh-CN"/>
        </w:rPr>
      </w:pPr>
      <w:bookmarkStart w:id="39" w:name="_Toc18499"/>
      <w:r>
        <w:rPr>
          <w:rFonts w:hint="eastAsia" w:ascii="宋体" w:hAnsi="宋体" w:eastAsia="宋体" w:cs="宋体"/>
          <w:color w:val="auto"/>
          <w:spacing w:val="-2"/>
          <w:sz w:val="24"/>
          <w:szCs w:val="24"/>
          <w:highlight w:val="none"/>
          <w:lang w:eastAsia="zh-CN"/>
        </w:rPr>
        <w:t>承诺方法定名称：</w:t>
      </w:r>
      <w:bookmarkEnd w:id="39"/>
    </w:p>
    <w:p w14:paraId="0DA0ACC9">
      <w:pPr>
        <w:spacing w:before="181" w:line="229" w:lineRule="auto"/>
        <w:rPr>
          <w:rFonts w:ascii="宋体" w:hAnsi="宋体" w:eastAsia="宋体" w:cs="宋体"/>
          <w:color w:val="auto"/>
          <w:sz w:val="24"/>
          <w:szCs w:val="24"/>
          <w:highlight w:val="none"/>
          <w:lang w:eastAsia="zh-CN"/>
        </w:rPr>
      </w:pPr>
      <w:bookmarkStart w:id="40" w:name="_Toc19959"/>
      <w:r>
        <w:rPr>
          <w:rFonts w:hint="eastAsia" w:ascii="宋体" w:hAnsi="宋体" w:eastAsia="宋体" w:cs="宋体"/>
          <w:color w:val="auto"/>
          <w:spacing w:val="-4"/>
          <w:sz w:val="24"/>
          <w:szCs w:val="24"/>
          <w:highlight w:val="none"/>
          <w:lang w:eastAsia="zh-CN"/>
        </w:rPr>
        <w:t>地址：</w:t>
      </w:r>
      <w:bookmarkEnd w:id="40"/>
    </w:p>
    <w:p w14:paraId="6FBD4A46">
      <w:pPr>
        <w:spacing w:before="170" w:line="219" w:lineRule="auto"/>
        <w:ind w:left="28"/>
        <w:rPr>
          <w:rFonts w:ascii="宋体" w:hAnsi="宋体" w:eastAsia="宋体" w:cs="宋体"/>
          <w:color w:val="auto"/>
          <w:sz w:val="24"/>
          <w:szCs w:val="24"/>
          <w:highlight w:val="none"/>
          <w:lang w:eastAsia="zh-CN"/>
        </w:rPr>
      </w:pPr>
      <w:bookmarkStart w:id="41" w:name="_Toc6496"/>
      <w:r>
        <w:rPr>
          <w:rFonts w:hint="eastAsia" w:ascii="宋体" w:hAnsi="宋体" w:eastAsia="宋体" w:cs="宋体"/>
          <w:color w:val="auto"/>
          <w:spacing w:val="-7"/>
          <w:sz w:val="24"/>
          <w:szCs w:val="24"/>
          <w:highlight w:val="none"/>
          <w:lang w:eastAsia="zh-CN"/>
        </w:rPr>
        <w:t>电话：传真：</w:t>
      </w:r>
      <w:bookmarkEnd w:id="41"/>
    </w:p>
    <w:p w14:paraId="39569F63">
      <w:pPr>
        <w:spacing w:before="181" w:line="219" w:lineRule="auto"/>
        <w:ind w:left="28"/>
        <w:rPr>
          <w:rFonts w:ascii="宋体" w:hAnsi="宋体" w:eastAsia="宋体" w:cs="宋体"/>
          <w:color w:val="auto"/>
          <w:sz w:val="24"/>
          <w:szCs w:val="24"/>
          <w:highlight w:val="none"/>
          <w:lang w:eastAsia="zh-CN"/>
        </w:rPr>
      </w:pPr>
      <w:bookmarkStart w:id="42" w:name="_Toc10697"/>
      <w:r>
        <w:rPr>
          <w:rFonts w:hint="eastAsia" w:ascii="宋体" w:hAnsi="宋体" w:eastAsia="宋体" w:cs="宋体"/>
          <w:color w:val="auto"/>
          <w:spacing w:val="-7"/>
          <w:sz w:val="24"/>
          <w:szCs w:val="24"/>
          <w:highlight w:val="none"/>
          <w:lang w:eastAsia="zh-CN"/>
        </w:rPr>
        <w:t>电传：邮编：</w:t>
      </w:r>
      <w:bookmarkEnd w:id="42"/>
    </w:p>
    <w:p w14:paraId="1D39C674">
      <w:pPr>
        <w:spacing w:before="183" w:line="219" w:lineRule="auto"/>
        <w:rPr>
          <w:rFonts w:ascii="宋体" w:hAnsi="宋体" w:eastAsia="宋体" w:cs="宋体"/>
          <w:color w:val="auto"/>
          <w:sz w:val="24"/>
          <w:szCs w:val="24"/>
          <w:highlight w:val="none"/>
          <w:lang w:eastAsia="zh-CN"/>
        </w:rPr>
      </w:pPr>
      <w:bookmarkStart w:id="43" w:name="_Toc18453"/>
      <w:r>
        <w:rPr>
          <w:rFonts w:hint="eastAsia" w:ascii="宋体" w:hAnsi="宋体" w:eastAsia="宋体" w:cs="宋体"/>
          <w:color w:val="auto"/>
          <w:spacing w:val="1"/>
          <w:sz w:val="24"/>
          <w:szCs w:val="24"/>
          <w:highlight w:val="none"/>
          <w:lang w:eastAsia="zh-CN"/>
        </w:rPr>
        <w:t>承诺方授权代表签字</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
          <w:sz w:val="24"/>
          <w:szCs w:val="24"/>
          <w:highlight w:val="none"/>
          <w:lang w:eastAsia="zh-CN"/>
        </w:rPr>
        <w:t>承诺方盖章）</w:t>
      </w:r>
      <w:bookmarkEnd w:id="43"/>
    </w:p>
    <w:p w14:paraId="628D01A5">
      <w:pPr>
        <w:spacing w:before="180" w:line="220" w:lineRule="auto"/>
        <w:rPr>
          <w:rFonts w:ascii="宋体" w:hAnsi="宋体" w:eastAsia="宋体" w:cs="宋体"/>
          <w:color w:val="auto"/>
          <w:sz w:val="24"/>
          <w:szCs w:val="24"/>
          <w:highlight w:val="none"/>
          <w:lang w:eastAsia="zh-CN"/>
        </w:rPr>
      </w:pPr>
      <w:bookmarkStart w:id="44" w:name="_Toc18509"/>
      <w:r>
        <w:rPr>
          <w:rFonts w:hint="eastAsia" w:ascii="宋体" w:hAnsi="宋体" w:eastAsia="宋体" w:cs="宋体"/>
          <w:color w:val="auto"/>
          <w:spacing w:val="-2"/>
          <w:sz w:val="24"/>
          <w:szCs w:val="24"/>
          <w:highlight w:val="none"/>
          <w:lang w:eastAsia="zh-CN"/>
        </w:rPr>
        <w:t>承诺日期：</w:t>
      </w:r>
      <w:bookmarkEnd w:id="44"/>
    </w:p>
    <w:p w14:paraId="4E86C71D">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68626C81">
      <w:pPr>
        <w:spacing w:before="4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格式九：</w:t>
      </w:r>
    </w:p>
    <w:p w14:paraId="4072FD32">
      <w:pPr>
        <w:spacing w:before="182" w:line="219" w:lineRule="auto"/>
        <w:ind w:left="3354"/>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中小企业声明函（货物）</w:t>
      </w:r>
    </w:p>
    <w:p w14:paraId="505CEDF2">
      <w:pPr>
        <w:pStyle w:val="8"/>
        <w:spacing w:line="384" w:lineRule="auto"/>
        <w:rPr>
          <w:rFonts w:ascii="宋体" w:hAnsi="宋体" w:eastAsia="宋体" w:cs="宋体"/>
          <w:color w:val="auto"/>
          <w:highlight w:val="none"/>
          <w:lang w:eastAsia="zh-CN"/>
        </w:rPr>
      </w:pPr>
    </w:p>
    <w:p w14:paraId="2BEA501B">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074B24E">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i/>
          <w:iCs/>
          <w:color w:val="auto"/>
          <w:sz w:val="24"/>
          <w:highlight w:val="none"/>
          <w:u w:val="single"/>
          <w:lang w:val="zh-CN"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74247C0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i/>
          <w:iCs/>
          <w:color w:val="auto"/>
          <w:sz w:val="24"/>
          <w:highlight w:val="none"/>
          <w:u w:val="single"/>
          <w:lang w:val="zh-CN"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07C18529">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p w14:paraId="6468FE7B">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14:paraId="48307376">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本企业对上述声明内容的真实性负责。如有虚假，将依法承担相应责任。</w:t>
      </w:r>
    </w:p>
    <w:p w14:paraId="6C0C4EB4">
      <w:pPr>
        <w:rPr>
          <w:rFonts w:ascii="宋体" w:hAnsi="宋体" w:eastAsia="宋体" w:cs="宋体"/>
          <w:color w:val="auto"/>
          <w:sz w:val="24"/>
          <w:szCs w:val="24"/>
          <w:highlight w:val="none"/>
          <w:lang w:eastAsia="zh-CN"/>
        </w:rPr>
      </w:pPr>
    </w:p>
    <w:p w14:paraId="38823BFE">
      <w:pPr>
        <w:rPr>
          <w:rFonts w:ascii="宋体" w:hAnsi="宋体" w:eastAsia="宋体" w:cs="宋体"/>
          <w:color w:val="auto"/>
          <w:sz w:val="24"/>
          <w:szCs w:val="24"/>
          <w:highlight w:val="none"/>
          <w:lang w:eastAsia="zh-CN"/>
        </w:rPr>
      </w:pPr>
    </w:p>
    <w:p w14:paraId="5AB4EAF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p>
    <w:p w14:paraId="0E01CD22">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p>
    <w:p w14:paraId="1559E2D5">
      <w:pPr>
        <w:rPr>
          <w:rFonts w:ascii="宋体" w:hAnsi="宋体" w:eastAsia="宋体" w:cs="宋体"/>
          <w:color w:val="auto"/>
          <w:sz w:val="24"/>
          <w:szCs w:val="24"/>
          <w:highlight w:val="none"/>
          <w:lang w:eastAsia="zh-CN"/>
        </w:rPr>
      </w:pPr>
    </w:p>
    <w:p w14:paraId="281CEB5D">
      <w:pPr>
        <w:rPr>
          <w:rFonts w:ascii="宋体" w:hAnsi="宋体" w:eastAsia="宋体" w:cs="宋体"/>
          <w:color w:val="auto"/>
          <w:sz w:val="24"/>
          <w:szCs w:val="24"/>
          <w:highlight w:val="none"/>
          <w:lang w:eastAsia="zh-CN"/>
        </w:rPr>
      </w:pPr>
    </w:p>
    <w:p w14:paraId="37847247">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3D345A3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1.从业人员、营业收入、资产总额填报上一年度数据，无上一年度数据的新成立企业可不填报。</w:t>
      </w:r>
    </w:p>
    <w:p w14:paraId="7DFF816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2.中标人享受中小企业扶持政策的，将随中标结果一并公示，如声明函内容不实的，将视为提供虚假材料谋取中标，将追究其法律责任。</w:t>
      </w:r>
    </w:p>
    <w:p w14:paraId="7B54CB13">
      <w:pP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3.本项目所属行业：工业。</w:t>
      </w:r>
    </w:p>
    <w:p w14:paraId="195CADFE">
      <w:pPr>
        <w:spacing w:line="480" w:lineRule="auto"/>
        <w:rPr>
          <w:rFonts w:ascii="宋体" w:hAnsi="宋体" w:eastAsia="宋体" w:cs="宋体"/>
          <w:color w:val="auto"/>
          <w:sz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300E71C1">
      <w:pPr>
        <w:widowControl w:val="0"/>
        <w:kinsoku/>
        <w:autoSpaceDE/>
        <w:autoSpaceDN/>
        <w:spacing w:line="300" w:lineRule="auto"/>
        <w:jc w:val="center"/>
        <w:rPr>
          <w:rFonts w:ascii="宋体" w:hAnsi="宋体" w:eastAsia="宋体" w:cs="宋体"/>
          <w:b/>
          <w:color w:val="auto"/>
          <w:sz w:val="24"/>
          <w:highlight w:val="none"/>
          <w:lang w:eastAsia="zh-CN"/>
        </w:rPr>
      </w:pPr>
      <w:bookmarkStart w:id="45" w:name="_Toc511239410"/>
      <w:bookmarkStart w:id="46" w:name="_Toc511239255"/>
      <w:bookmarkStart w:id="47" w:name="_Toc7338700"/>
      <w:bookmarkStart w:id="48" w:name="_Toc14104092"/>
      <w:bookmarkStart w:id="49" w:name="_Toc14104574"/>
      <w:r>
        <w:rPr>
          <w:rFonts w:hint="eastAsia" w:ascii="宋体" w:hAnsi="宋体" w:eastAsia="宋体" w:cs="宋体"/>
          <w:b/>
          <w:color w:val="auto"/>
          <w:sz w:val="24"/>
          <w:highlight w:val="none"/>
          <w:lang w:eastAsia="zh-CN"/>
        </w:rPr>
        <w:t>节能产品清单说明表</w:t>
      </w:r>
      <w:bookmarkEnd w:id="45"/>
      <w:bookmarkEnd w:id="46"/>
      <w:bookmarkEnd w:id="47"/>
      <w:bookmarkEnd w:id="48"/>
      <w:bookmarkEnd w:id="49"/>
    </w:p>
    <w:p w14:paraId="1CFDF54E">
      <w:pPr>
        <w:widowControl w:val="0"/>
        <w:kinsoku/>
        <w:autoSpaceDE/>
        <w:autoSpaceDN/>
        <w:spacing w:line="300" w:lineRule="auto"/>
        <w:jc w:val="center"/>
        <w:rPr>
          <w:rFonts w:ascii="宋体" w:hAnsi="宋体" w:eastAsia="宋体" w:cs="宋体"/>
          <w:color w:val="auto"/>
          <w:sz w:val="24"/>
          <w:highlight w:val="none"/>
          <w:lang w:eastAsia="zh-CN"/>
        </w:rPr>
      </w:pPr>
      <w:bookmarkStart w:id="50" w:name="_Toc14104575"/>
      <w:bookmarkStart w:id="51" w:name="_Toc14104093"/>
      <w:bookmarkStart w:id="52" w:name="_Toc7338701"/>
      <w:bookmarkStart w:id="53" w:name="_Toc511239256"/>
      <w:bookmarkStart w:id="54" w:name="_Toc511239411"/>
      <w:r>
        <w:rPr>
          <w:rFonts w:hint="eastAsia" w:ascii="宋体" w:hAnsi="宋体" w:eastAsia="宋体" w:cs="宋体"/>
          <w:color w:val="auto"/>
          <w:sz w:val="24"/>
          <w:highlight w:val="none"/>
          <w:lang w:eastAsia="zh-CN"/>
        </w:rPr>
        <w:t>（节能产品按下列格式提供）</w:t>
      </w:r>
      <w:bookmarkEnd w:id="50"/>
      <w:bookmarkEnd w:id="51"/>
      <w:bookmarkEnd w:id="52"/>
      <w:bookmarkEnd w:id="53"/>
      <w:bookmarkEnd w:id="54"/>
    </w:p>
    <w:p w14:paraId="72827523">
      <w:pPr>
        <w:spacing w:line="300" w:lineRule="auto"/>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 xml:space="preserve">项目名称： </w:t>
      </w:r>
      <w:r>
        <w:rPr>
          <w:rFonts w:hint="eastAsia" w:ascii="宋体" w:hAnsi="宋体" w:eastAsia="宋体" w:cs="宋体"/>
          <w:color w:val="auto"/>
          <w:sz w:val="24"/>
          <w:highlight w:val="none"/>
          <w:u w:val="single"/>
          <w:lang w:eastAsia="zh-CN"/>
        </w:rPr>
        <w:t xml:space="preserve">                       </w:t>
      </w:r>
    </w:p>
    <w:p w14:paraId="5178A341">
      <w:pPr>
        <w:spacing w:line="300" w:lineRule="auto"/>
        <w:rPr>
          <w:rFonts w:ascii="宋体" w:hAnsi="宋体" w:eastAsia="宋体" w:cs="宋体"/>
          <w:bCs/>
          <w:color w:val="auto"/>
          <w:sz w:val="24"/>
          <w:highlight w:val="none"/>
          <w:lang w:eastAsia="zh-CN"/>
        </w:rPr>
      </w:pP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highlight w:val="none"/>
          <w:lang w:eastAsia="zh-CN"/>
        </w:rPr>
        <w:t>编号：</w:t>
      </w:r>
      <w:r>
        <w:rPr>
          <w:rFonts w:hint="eastAsia" w:ascii="宋体" w:hAnsi="宋体" w:eastAsia="宋体" w:cs="宋体"/>
          <w:i/>
          <w:iCs/>
          <w:color w:val="auto"/>
          <w:sz w:val="24"/>
          <w:highlight w:val="none"/>
          <w:lang w:eastAsia="zh-CN"/>
        </w:rPr>
        <w:t xml:space="preserve"> </w:t>
      </w:r>
      <w:r>
        <w:rPr>
          <w:rFonts w:hint="eastAsia" w:ascii="宋体" w:hAnsi="宋体" w:eastAsia="宋体" w:cs="宋体"/>
          <w:color w:val="auto"/>
          <w:sz w:val="24"/>
          <w:highlight w:val="none"/>
          <w:u w:val="single"/>
          <w:lang w:eastAsia="zh-CN"/>
        </w:rPr>
        <w:t xml:space="preserve">                       </w:t>
      </w:r>
    </w:p>
    <w:tbl>
      <w:tblPr>
        <w:tblStyle w:val="26"/>
        <w:tblW w:w="95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35172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764" w:type="dxa"/>
            <w:vMerge w:val="restart"/>
            <w:vAlign w:val="center"/>
          </w:tcPr>
          <w:p w14:paraId="25C6F8E1">
            <w:pPr>
              <w:spacing w:line="30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vAlign w:val="center"/>
          </w:tcPr>
          <w:p w14:paraId="391F62A8">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vAlign w:val="center"/>
          </w:tcPr>
          <w:p w14:paraId="6444F9FC">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vAlign w:val="center"/>
          </w:tcPr>
          <w:p w14:paraId="6060F60C">
            <w:pPr>
              <w:spacing w:line="30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节能产品政府采购清单</w:t>
            </w:r>
          </w:p>
        </w:tc>
      </w:tr>
      <w:tr w14:paraId="7871D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trPr>
        <w:tc>
          <w:tcPr>
            <w:tcW w:w="764" w:type="dxa"/>
            <w:vMerge w:val="continue"/>
            <w:vAlign w:val="center"/>
          </w:tcPr>
          <w:p w14:paraId="47B181B0">
            <w:pPr>
              <w:spacing w:line="300" w:lineRule="auto"/>
              <w:rPr>
                <w:rFonts w:ascii="宋体" w:hAnsi="宋体" w:eastAsia="宋体" w:cs="宋体"/>
                <w:color w:val="auto"/>
                <w:sz w:val="24"/>
                <w:szCs w:val="24"/>
                <w:highlight w:val="none"/>
                <w:lang w:eastAsia="zh-CN"/>
              </w:rPr>
            </w:pPr>
          </w:p>
        </w:tc>
        <w:tc>
          <w:tcPr>
            <w:tcW w:w="1061" w:type="dxa"/>
            <w:vMerge w:val="continue"/>
            <w:vAlign w:val="center"/>
          </w:tcPr>
          <w:p w14:paraId="0FDF2619">
            <w:pPr>
              <w:spacing w:line="300" w:lineRule="auto"/>
              <w:rPr>
                <w:rFonts w:ascii="宋体" w:hAnsi="宋体" w:eastAsia="宋体" w:cs="宋体"/>
                <w:color w:val="auto"/>
                <w:sz w:val="24"/>
                <w:szCs w:val="24"/>
                <w:highlight w:val="none"/>
                <w:lang w:eastAsia="zh-CN"/>
              </w:rPr>
            </w:pPr>
          </w:p>
        </w:tc>
        <w:tc>
          <w:tcPr>
            <w:tcW w:w="1263" w:type="dxa"/>
            <w:vMerge w:val="continue"/>
            <w:vAlign w:val="center"/>
          </w:tcPr>
          <w:p w14:paraId="42F9DC18">
            <w:pPr>
              <w:spacing w:line="300" w:lineRule="auto"/>
              <w:rPr>
                <w:rFonts w:ascii="宋体" w:hAnsi="宋体" w:eastAsia="宋体" w:cs="宋体"/>
                <w:color w:val="auto"/>
                <w:sz w:val="24"/>
                <w:szCs w:val="24"/>
                <w:highlight w:val="none"/>
                <w:lang w:eastAsia="zh-CN"/>
              </w:rPr>
            </w:pPr>
          </w:p>
        </w:tc>
        <w:tc>
          <w:tcPr>
            <w:tcW w:w="1990" w:type="dxa"/>
            <w:vAlign w:val="center"/>
          </w:tcPr>
          <w:p w14:paraId="6AFB3E58">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vAlign w:val="center"/>
          </w:tcPr>
          <w:p w14:paraId="113D97D7">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vAlign w:val="center"/>
          </w:tcPr>
          <w:p w14:paraId="00150F0E">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vAlign w:val="center"/>
          </w:tcPr>
          <w:p w14:paraId="701D2589">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6A2E7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764" w:type="dxa"/>
            <w:vAlign w:val="center"/>
          </w:tcPr>
          <w:p w14:paraId="6B3FE10F">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vAlign w:val="center"/>
          </w:tcPr>
          <w:p w14:paraId="75B6DBC5">
            <w:pPr>
              <w:spacing w:line="300" w:lineRule="auto"/>
              <w:rPr>
                <w:rFonts w:ascii="宋体" w:hAnsi="宋体" w:eastAsia="宋体" w:cs="宋体"/>
                <w:color w:val="auto"/>
                <w:sz w:val="24"/>
                <w:szCs w:val="24"/>
                <w:highlight w:val="none"/>
              </w:rPr>
            </w:pPr>
          </w:p>
        </w:tc>
        <w:tc>
          <w:tcPr>
            <w:tcW w:w="1263" w:type="dxa"/>
            <w:vAlign w:val="center"/>
          </w:tcPr>
          <w:p w14:paraId="113B357C">
            <w:pPr>
              <w:spacing w:line="300" w:lineRule="auto"/>
              <w:rPr>
                <w:rFonts w:ascii="宋体" w:hAnsi="宋体" w:eastAsia="宋体" w:cs="宋体"/>
                <w:color w:val="auto"/>
                <w:sz w:val="24"/>
                <w:szCs w:val="24"/>
                <w:highlight w:val="none"/>
              </w:rPr>
            </w:pPr>
          </w:p>
        </w:tc>
        <w:tc>
          <w:tcPr>
            <w:tcW w:w="1990" w:type="dxa"/>
            <w:vAlign w:val="center"/>
          </w:tcPr>
          <w:p w14:paraId="5EE4F467">
            <w:pPr>
              <w:spacing w:line="300" w:lineRule="auto"/>
              <w:rPr>
                <w:rFonts w:ascii="宋体" w:hAnsi="宋体" w:eastAsia="宋体" w:cs="宋体"/>
                <w:color w:val="auto"/>
                <w:sz w:val="24"/>
                <w:szCs w:val="24"/>
                <w:highlight w:val="none"/>
              </w:rPr>
            </w:pPr>
          </w:p>
        </w:tc>
        <w:tc>
          <w:tcPr>
            <w:tcW w:w="1520" w:type="dxa"/>
            <w:vAlign w:val="center"/>
          </w:tcPr>
          <w:p w14:paraId="33B48F63">
            <w:pPr>
              <w:spacing w:line="300" w:lineRule="auto"/>
              <w:rPr>
                <w:rFonts w:ascii="宋体" w:hAnsi="宋体" w:eastAsia="宋体" w:cs="宋体"/>
                <w:color w:val="auto"/>
                <w:sz w:val="24"/>
                <w:szCs w:val="24"/>
                <w:highlight w:val="none"/>
              </w:rPr>
            </w:pPr>
          </w:p>
        </w:tc>
        <w:tc>
          <w:tcPr>
            <w:tcW w:w="1591" w:type="dxa"/>
            <w:vAlign w:val="center"/>
          </w:tcPr>
          <w:p w14:paraId="6FC55374">
            <w:pPr>
              <w:spacing w:line="300" w:lineRule="auto"/>
              <w:rPr>
                <w:rFonts w:ascii="宋体" w:hAnsi="宋体" w:eastAsia="宋体" w:cs="宋体"/>
                <w:color w:val="auto"/>
                <w:sz w:val="24"/>
                <w:szCs w:val="24"/>
                <w:highlight w:val="none"/>
              </w:rPr>
            </w:pPr>
          </w:p>
        </w:tc>
        <w:tc>
          <w:tcPr>
            <w:tcW w:w="1329" w:type="dxa"/>
            <w:vAlign w:val="center"/>
          </w:tcPr>
          <w:p w14:paraId="729D6255">
            <w:pPr>
              <w:spacing w:line="300" w:lineRule="auto"/>
              <w:rPr>
                <w:rFonts w:ascii="宋体" w:hAnsi="宋体" w:eastAsia="宋体" w:cs="宋体"/>
                <w:color w:val="auto"/>
                <w:sz w:val="24"/>
                <w:szCs w:val="24"/>
                <w:highlight w:val="none"/>
              </w:rPr>
            </w:pPr>
          </w:p>
        </w:tc>
      </w:tr>
      <w:tr w14:paraId="58797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2A55C0A7">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vAlign w:val="center"/>
          </w:tcPr>
          <w:p w14:paraId="2CD3A327">
            <w:pPr>
              <w:spacing w:line="300" w:lineRule="auto"/>
              <w:rPr>
                <w:rFonts w:ascii="宋体" w:hAnsi="宋体" w:eastAsia="宋体" w:cs="宋体"/>
                <w:color w:val="auto"/>
                <w:sz w:val="24"/>
                <w:szCs w:val="24"/>
                <w:highlight w:val="none"/>
              </w:rPr>
            </w:pPr>
          </w:p>
        </w:tc>
        <w:tc>
          <w:tcPr>
            <w:tcW w:w="1263" w:type="dxa"/>
            <w:vAlign w:val="center"/>
          </w:tcPr>
          <w:p w14:paraId="1324BE96">
            <w:pPr>
              <w:spacing w:line="300" w:lineRule="auto"/>
              <w:rPr>
                <w:rFonts w:ascii="宋体" w:hAnsi="宋体" w:eastAsia="宋体" w:cs="宋体"/>
                <w:color w:val="auto"/>
                <w:sz w:val="24"/>
                <w:szCs w:val="24"/>
                <w:highlight w:val="none"/>
              </w:rPr>
            </w:pPr>
          </w:p>
        </w:tc>
        <w:tc>
          <w:tcPr>
            <w:tcW w:w="1990" w:type="dxa"/>
            <w:vAlign w:val="center"/>
          </w:tcPr>
          <w:p w14:paraId="2910145B">
            <w:pPr>
              <w:spacing w:line="300" w:lineRule="auto"/>
              <w:rPr>
                <w:rFonts w:ascii="宋体" w:hAnsi="宋体" w:eastAsia="宋体" w:cs="宋体"/>
                <w:color w:val="auto"/>
                <w:sz w:val="24"/>
                <w:szCs w:val="24"/>
                <w:highlight w:val="none"/>
              </w:rPr>
            </w:pPr>
          </w:p>
        </w:tc>
        <w:tc>
          <w:tcPr>
            <w:tcW w:w="1520" w:type="dxa"/>
            <w:vAlign w:val="center"/>
          </w:tcPr>
          <w:p w14:paraId="45758AAA">
            <w:pPr>
              <w:spacing w:line="300" w:lineRule="auto"/>
              <w:rPr>
                <w:rFonts w:ascii="宋体" w:hAnsi="宋体" w:eastAsia="宋体" w:cs="宋体"/>
                <w:color w:val="auto"/>
                <w:sz w:val="24"/>
                <w:szCs w:val="24"/>
                <w:highlight w:val="none"/>
              </w:rPr>
            </w:pPr>
          </w:p>
        </w:tc>
        <w:tc>
          <w:tcPr>
            <w:tcW w:w="1591" w:type="dxa"/>
            <w:vAlign w:val="center"/>
          </w:tcPr>
          <w:p w14:paraId="43DE1B9C">
            <w:pPr>
              <w:spacing w:line="300" w:lineRule="auto"/>
              <w:rPr>
                <w:rFonts w:ascii="宋体" w:hAnsi="宋体" w:eastAsia="宋体" w:cs="宋体"/>
                <w:color w:val="auto"/>
                <w:sz w:val="24"/>
                <w:szCs w:val="24"/>
                <w:highlight w:val="none"/>
              </w:rPr>
            </w:pPr>
          </w:p>
        </w:tc>
        <w:tc>
          <w:tcPr>
            <w:tcW w:w="1329" w:type="dxa"/>
            <w:vAlign w:val="center"/>
          </w:tcPr>
          <w:p w14:paraId="1DB9CD44">
            <w:pPr>
              <w:spacing w:line="300" w:lineRule="auto"/>
              <w:rPr>
                <w:rFonts w:ascii="宋体" w:hAnsi="宋体" w:eastAsia="宋体" w:cs="宋体"/>
                <w:color w:val="auto"/>
                <w:sz w:val="24"/>
                <w:szCs w:val="24"/>
                <w:highlight w:val="none"/>
              </w:rPr>
            </w:pPr>
          </w:p>
        </w:tc>
      </w:tr>
      <w:tr w14:paraId="2D105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45F25DB4">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vAlign w:val="center"/>
          </w:tcPr>
          <w:p w14:paraId="0329D4A4">
            <w:pPr>
              <w:spacing w:line="300" w:lineRule="auto"/>
              <w:rPr>
                <w:rFonts w:ascii="宋体" w:hAnsi="宋体" w:eastAsia="宋体" w:cs="宋体"/>
                <w:color w:val="auto"/>
                <w:sz w:val="24"/>
                <w:szCs w:val="24"/>
                <w:highlight w:val="none"/>
              </w:rPr>
            </w:pPr>
          </w:p>
        </w:tc>
        <w:tc>
          <w:tcPr>
            <w:tcW w:w="1263" w:type="dxa"/>
            <w:vAlign w:val="center"/>
          </w:tcPr>
          <w:p w14:paraId="39D59321">
            <w:pPr>
              <w:spacing w:line="300" w:lineRule="auto"/>
              <w:rPr>
                <w:rFonts w:ascii="宋体" w:hAnsi="宋体" w:eastAsia="宋体" w:cs="宋体"/>
                <w:color w:val="auto"/>
                <w:sz w:val="24"/>
                <w:szCs w:val="24"/>
                <w:highlight w:val="none"/>
              </w:rPr>
            </w:pPr>
          </w:p>
        </w:tc>
        <w:tc>
          <w:tcPr>
            <w:tcW w:w="1990" w:type="dxa"/>
            <w:vAlign w:val="center"/>
          </w:tcPr>
          <w:p w14:paraId="08179E07">
            <w:pPr>
              <w:spacing w:line="300" w:lineRule="auto"/>
              <w:rPr>
                <w:rFonts w:ascii="宋体" w:hAnsi="宋体" w:eastAsia="宋体" w:cs="宋体"/>
                <w:color w:val="auto"/>
                <w:sz w:val="24"/>
                <w:szCs w:val="24"/>
                <w:highlight w:val="none"/>
              </w:rPr>
            </w:pPr>
          </w:p>
        </w:tc>
        <w:tc>
          <w:tcPr>
            <w:tcW w:w="1520" w:type="dxa"/>
            <w:vAlign w:val="center"/>
          </w:tcPr>
          <w:p w14:paraId="1AD180AA">
            <w:pPr>
              <w:spacing w:line="300" w:lineRule="auto"/>
              <w:rPr>
                <w:rFonts w:ascii="宋体" w:hAnsi="宋体" w:eastAsia="宋体" w:cs="宋体"/>
                <w:color w:val="auto"/>
                <w:sz w:val="24"/>
                <w:szCs w:val="24"/>
                <w:highlight w:val="none"/>
              </w:rPr>
            </w:pPr>
          </w:p>
        </w:tc>
        <w:tc>
          <w:tcPr>
            <w:tcW w:w="1591" w:type="dxa"/>
            <w:vAlign w:val="center"/>
          </w:tcPr>
          <w:p w14:paraId="689950E8">
            <w:pPr>
              <w:spacing w:line="300" w:lineRule="auto"/>
              <w:rPr>
                <w:rFonts w:ascii="宋体" w:hAnsi="宋体" w:eastAsia="宋体" w:cs="宋体"/>
                <w:color w:val="auto"/>
                <w:sz w:val="24"/>
                <w:szCs w:val="24"/>
                <w:highlight w:val="none"/>
              </w:rPr>
            </w:pPr>
          </w:p>
        </w:tc>
        <w:tc>
          <w:tcPr>
            <w:tcW w:w="1329" w:type="dxa"/>
            <w:vAlign w:val="center"/>
          </w:tcPr>
          <w:p w14:paraId="0D8B57ED">
            <w:pPr>
              <w:spacing w:line="300" w:lineRule="auto"/>
              <w:rPr>
                <w:rFonts w:ascii="宋体" w:hAnsi="宋体" w:eastAsia="宋体" w:cs="宋体"/>
                <w:color w:val="auto"/>
                <w:sz w:val="24"/>
                <w:szCs w:val="24"/>
                <w:highlight w:val="none"/>
              </w:rPr>
            </w:pPr>
          </w:p>
        </w:tc>
      </w:tr>
      <w:tr w14:paraId="0AAA5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62C59435">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vAlign w:val="center"/>
          </w:tcPr>
          <w:p w14:paraId="76C300F6">
            <w:pPr>
              <w:spacing w:line="300" w:lineRule="auto"/>
              <w:rPr>
                <w:rFonts w:ascii="宋体" w:hAnsi="宋体" w:eastAsia="宋体" w:cs="宋体"/>
                <w:color w:val="auto"/>
                <w:sz w:val="24"/>
                <w:szCs w:val="24"/>
                <w:highlight w:val="none"/>
              </w:rPr>
            </w:pPr>
          </w:p>
        </w:tc>
        <w:tc>
          <w:tcPr>
            <w:tcW w:w="1263" w:type="dxa"/>
            <w:vAlign w:val="center"/>
          </w:tcPr>
          <w:p w14:paraId="3121B388">
            <w:pPr>
              <w:spacing w:line="300" w:lineRule="auto"/>
              <w:rPr>
                <w:rFonts w:ascii="宋体" w:hAnsi="宋体" w:eastAsia="宋体" w:cs="宋体"/>
                <w:color w:val="auto"/>
                <w:sz w:val="24"/>
                <w:szCs w:val="24"/>
                <w:highlight w:val="none"/>
              </w:rPr>
            </w:pPr>
          </w:p>
        </w:tc>
        <w:tc>
          <w:tcPr>
            <w:tcW w:w="1990" w:type="dxa"/>
            <w:vAlign w:val="center"/>
          </w:tcPr>
          <w:p w14:paraId="06DC6B66">
            <w:pPr>
              <w:spacing w:line="300" w:lineRule="auto"/>
              <w:rPr>
                <w:rFonts w:ascii="宋体" w:hAnsi="宋体" w:eastAsia="宋体" w:cs="宋体"/>
                <w:color w:val="auto"/>
                <w:sz w:val="24"/>
                <w:szCs w:val="24"/>
                <w:highlight w:val="none"/>
              </w:rPr>
            </w:pPr>
          </w:p>
        </w:tc>
        <w:tc>
          <w:tcPr>
            <w:tcW w:w="1520" w:type="dxa"/>
            <w:vAlign w:val="center"/>
          </w:tcPr>
          <w:p w14:paraId="550D6F11">
            <w:pPr>
              <w:spacing w:line="300" w:lineRule="auto"/>
              <w:rPr>
                <w:rFonts w:ascii="宋体" w:hAnsi="宋体" w:eastAsia="宋体" w:cs="宋体"/>
                <w:color w:val="auto"/>
                <w:sz w:val="24"/>
                <w:szCs w:val="24"/>
                <w:highlight w:val="none"/>
              </w:rPr>
            </w:pPr>
          </w:p>
        </w:tc>
        <w:tc>
          <w:tcPr>
            <w:tcW w:w="1591" w:type="dxa"/>
            <w:vAlign w:val="center"/>
          </w:tcPr>
          <w:p w14:paraId="08293FE6">
            <w:pPr>
              <w:spacing w:line="300" w:lineRule="auto"/>
              <w:rPr>
                <w:rFonts w:ascii="宋体" w:hAnsi="宋体" w:eastAsia="宋体" w:cs="宋体"/>
                <w:color w:val="auto"/>
                <w:sz w:val="24"/>
                <w:szCs w:val="24"/>
                <w:highlight w:val="none"/>
              </w:rPr>
            </w:pPr>
          </w:p>
        </w:tc>
        <w:tc>
          <w:tcPr>
            <w:tcW w:w="1329" w:type="dxa"/>
            <w:vAlign w:val="center"/>
          </w:tcPr>
          <w:p w14:paraId="0EF67A3E">
            <w:pPr>
              <w:spacing w:line="300" w:lineRule="auto"/>
              <w:rPr>
                <w:rFonts w:ascii="宋体" w:hAnsi="宋体" w:eastAsia="宋体" w:cs="宋体"/>
                <w:color w:val="auto"/>
                <w:sz w:val="24"/>
                <w:szCs w:val="24"/>
                <w:highlight w:val="none"/>
              </w:rPr>
            </w:pPr>
          </w:p>
        </w:tc>
      </w:tr>
      <w:tr w14:paraId="0DB428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4C324987">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vAlign w:val="center"/>
          </w:tcPr>
          <w:p w14:paraId="0AC85767">
            <w:pPr>
              <w:spacing w:line="300" w:lineRule="auto"/>
              <w:rPr>
                <w:rFonts w:ascii="宋体" w:hAnsi="宋体" w:eastAsia="宋体" w:cs="宋体"/>
                <w:color w:val="auto"/>
                <w:sz w:val="24"/>
                <w:szCs w:val="24"/>
                <w:highlight w:val="none"/>
              </w:rPr>
            </w:pPr>
          </w:p>
        </w:tc>
        <w:tc>
          <w:tcPr>
            <w:tcW w:w="1263" w:type="dxa"/>
            <w:vAlign w:val="center"/>
          </w:tcPr>
          <w:p w14:paraId="7CE55B3D">
            <w:pPr>
              <w:spacing w:line="300" w:lineRule="auto"/>
              <w:rPr>
                <w:rFonts w:ascii="宋体" w:hAnsi="宋体" w:eastAsia="宋体" w:cs="宋体"/>
                <w:color w:val="auto"/>
                <w:sz w:val="24"/>
                <w:szCs w:val="24"/>
                <w:highlight w:val="none"/>
              </w:rPr>
            </w:pPr>
          </w:p>
        </w:tc>
        <w:tc>
          <w:tcPr>
            <w:tcW w:w="1990" w:type="dxa"/>
            <w:vAlign w:val="center"/>
          </w:tcPr>
          <w:p w14:paraId="57EF9A07">
            <w:pPr>
              <w:spacing w:line="300" w:lineRule="auto"/>
              <w:rPr>
                <w:rFonts w:ascii="宋体" w:hAnsi="宋体" w:eastAsia="宋体" w:cs="宋体"/>
                <w:color w:val="auto"/>
                <w:sz w:val="24"/>
                <w:szCs w:val="24"/>
                <w:highlight w:val="none"/>
              </w:rPr>
            </w:pPr>
          </w:p>
        </w:tc>
        <w:tc>
          <w:tcPr>
            <w:tcW w:w="1520" w:type="dxa"/>
            <w:vAlign w:val="center"/>
          </w:tcPr>
          <w:p w14:paraId="6574E080">
            <w:pPr>
              <w:spacing w:line="300" w:lineRule="auto"/>
              <w:rPr>
                <w:rFonts w:ascii="宋体" w:hAnsi="宋体" w:eastAsia="宋体" w:cs="宋体"/>
                <w:color w:val="auto"/>
                <w:sz w:val="24"/>
                <w:szCs w:val="24"/>
                <w:highlight w:val="none"/>
              </w:rPr>
            </w:pPr>
          </w:p>
        </w:tc>
        <w:tc>
          <w:tcPr>
            <w:tcW w:w="1591" w:type="dxa"/>
            <w:vAlign w:val="center"/>
          </w:tcPr>
          <w:p w14:paraId="0E20E34C">
            <w:pPr>
              <w:spacing w:line="300" w:lineRule="auto"/>
              <w:rPr>
                <w:rFonts w:ascii="宋体" w:hAnsi="宋体" w:eastAsia="宋体" w:cs="宋体"/>
                <w:color w:val="auto"/>
                <w:sz w:val="24"/>
                <w:szCs w:val="24"/>
                <w:highlight w:val="none"/>
              </w:rPr>
            </w:pPr>
          </w:p>
        </w:tc>
        <w:tc>
          <w:tcPr>
            <w:tcW w:w="1329" w:type="dxa"/>
            <w:vAlign w:val="center"/>
          </w:tcPr>
          <w:p w14:paraId="0DD09749">
            <w:pPr>
              <w:spacing w:line="300" w:lineRule="auto"/>
              <w:rPr>
                <w:rFonts w:ascii="宋体" w:hAnsi="宋体" w:eastAsia="宋体" w:cs="宋体"/>
                <w:color w:val="auto"/>
                <w:sz w:val="24"/>
                <w:szCs w:val="24"/>
                <w:highlight w:val="none"/>
              </w:rPr>
            </w:pPr>
          </w:p>
        </w:tc>
      </w:tr>
      <w:tr w14:paraId="7E193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trPr>
        <w:tc>
          <w:tcPr>
            <w:tcW w:w="764" w:type="dxa"/>
            <w:vAlign w:val="center"/>
          </w:tcPr>
          <w:p w14:paraId="083786D8">
            <w:pPr>
              <w:spacing w:line="30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vAlign w:val="center"/>
          </w:tcPr>
          <w:p w14:paraId="0F35DE4B">
            <w:pPr>
              <w:spacing w:line="300" w:lineRule="auto"/>
              <w:rPr>
                <w:rFonts w:ascii="宋体" w:hAnsi="宋体" w:eastAsia="宋体" w:cs="宋体"/>
                <w:color w:val="auto"/>
                <w:sz w:val="24"/>
                <w:szCs w:val="24"/>
                <w:highlight w:val="none"/>
              </w:rPr>
            </w:pPr>
          </w:p>
        </w:tc>
        <w:tc>
          <w:tcPr>
            <w:tcW w:w="1263" w:type="dxa"/>
            <w:vAlign w:val="center"/>
          </w:tcPr>
          <w:p w14:paraId="71810E71">
            <w:pPr>
              <w:spacing w:line="300" w:lineRule="auto"/>
              <w:rPr>
                <w:rFonts w:ascii="宋体" w:hAnsi="宋体" w:eastAsia="宋体" w:cs="宋体"/>
                <w:color w:val="auto"/>
                <w:sz w:val="24"/>
                <w:szCs w:val="24"/>
                <w:highlight w:val="none"/>
              </w:rPr>
            </w:pPr>
          </w:p>
        </w:tc>
        <w:tc>
          <w:tcPr>
            <w:tcW w:w="1990" w:type="dxa"/>
            <w:vAlign w:val="center"/>
          </w:tcPr>
          <w:p w14:paraId="65AE3B31">
            <w:pPr>
              <w:spacing w:line="300" w:lineRule="auto"/>
              <w:rPr>
                <w:rFonts w:ascii="宋体" w:hAnsi="宋体" w:eastAsia="宋体" w:cs="宋体"/>
                <w:color w:val="auto"/>
                <w:sz w:val="24"/>
                <w:szCs w:val="24"/>
                <w:highlight w:val="none"/>
              </w:rPr>
            </w:pPr>
          </w:p>
        </w:tc>
        <w:tc>
          <w:tcPr>
            <w:tcW w:w="1520" w:type="dxa"/>
            <w:vAlign w:val="center"/>
          </w:tcPr>
          <w:p w14:paraId="730554A0">
            <w:pPr>
              <w:spacing w:line="300" w:lineRule="auto"/>
              <w:rPr>
                <w:rFonts w:ascii="宋体" w:hAnsi="宋体" w:eastAsia="宋体" w:cs="宋体"/>
                <w:color w:val="auto"/>
                <w:sz w:val="24"/>
                <w:szCs w:val="24"/>
                <w:highlight w:val="none"/>
              </w:rPr>
            </w:pPr>
          </w:p>
        </w:tc>
        <w:tc>
          <w:tcPr>
            <w:tcW w:w="1591" w:type="dxa"/>
            <w:vAlign w:val="center"/>
          </w:tcPr>
          <w:p w14:paraId="5D4374A0">
            <w:pPr>
              <w:spacing w:line="300" w:lineRule="auto"/>
              <w:rPr>
                <w:rFonts w:ascii="宋体" w:hAnsi="宋体" w:eastAsia="宋体" w:cs="宋体"/>
                <w:color w:val="auto"/>
                <w:sz w:val="24"/>
                <w:szCs w:val="24"/>
                <w:highlight w:val="none"/>
              </w:rPr>
            </w:pPr>
          </w:p>
        </w:tc>
        <w:tc>
          <w:tcPr>
            <w:tcW w:w="1329" w:type="dxa"/>
            <w:vAlign w:val="center"/>
          </w:tcPr>
          <w:p w14:paraId="11DD79E0">
            <w:pPr>
              <w:spacing w:line="300" w:lineRule="auto"/>
              <w:rPr>
                <w:rFonts w:ascii="宋体" w:hAnsi="宋体" w:eastAsia="宋体" w:cs="宋体"/>
                <w:color w:val="auto"/>
                <w:sz w:val="24"/>
                <w:szCs w:val="24"/>
                <w:highlight w:val="none"/>
              </w:rPr>
            </w:pPr>
          </w:p>
        </w:tc>
      </w:tr>
    </w:tbl>
    <w:p w14:paraId="4B348882">
      <w:pPr>
        <w:pStyle w:val="9"/>
        <w:ind w:left="0" w:leftChars="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注：1、上述“节能产品政府采购清单”以相关职能部门正式发布的最新一期为准。</w:t>
      </w:r>
    </w:p>
    <w:p w14:paraId="58FF0C48">
      <w:pPr>
        <w:pStyle w:val="9"/>
        <w:ind w:left="105" w:leftChars="50"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2、采购项目分包的，本表应按报价包号填写。</w:t>
      </w:r>
    </w:p>
    <w:p w14:paraId="7A386AA8">
      <w:pPr>
        <w:pStyle w:val="9"/>
        <w:ind w:left="105" w:leftChars="50"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3、后附认证证书复印件加盖供应商公章。</w:t>
      </w:r>
    </w:p>
    <w:p w14:paraId="38390BBE">
      <w:pPr>
        <w:spacing w:line="480" w:lineRule="auto"/>
        <w:jc w:val="center"/>
        <w:rPr>
          <w:rFonts w:ascii="宋体" w:hAnsi="宋体" w:eastAsia="宋体" w:cs="宋体"/>
          <w:color w:val="auto"/>
          <w:sz w:val="24"/>
          <w:highlight w:val="none"/>
          <w:lang w:eastAsia="zh-CN"/>
        </w:rPr>
      </w:pPr>
    </w:p>
    <w:p w14:paraId="1423D246">
      <w:pPr>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供应商（盖单位公章）</w:t>
      </w:r>
    </w:p>
    <w:p w14:paraId="688CC969">
      <w:pPr>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法定代表人或其委托代理人（签字）</w:t>
      </w:r>
    </w:p>
    <w:p w14:paraId="515B7158">
      <w:pPr>
        <w:spacing w:line="480" w:lineRule="auto"/>
        <w:ind w:left="1050" w:hanging="1050" w:hangingChars="500"/>
        <w:jc w:val="both"/>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24"/>
          <w:highlight w:val="none"/>
          <w:lang w:eastAsia="zh-CN"/>
        </w:rPr>
        <w:t>年     月     日</w:t>
      </w:r>
    </w:p>
    <w:p w14:paraId="6DCD6EA1">
      <w:pPr>
        <w:spacing w:line="48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14:paraId="6DEE37FC">
      <w:pPr>
        <w:widowControl w:val="0"/>
        <w:kinsoku/>
        <w:autoSpaceDE/>
        <w:autoSpaceDN/>
        <w:spacing w:line="300" w:lineRule="auto"/>
        <w:jc w:val="center"/>
        <w:rPr>
          <w:rFonts w:ascii="宋体" w:hAnsi="宋体" w:eastAsia="宋体" w:cs="宋体"/>
          <w:b/>
          <w:color w:val="auto"/>
          <w:sz w:val="24"/>
          <w:highlight w:val="none"/>
          <w:lang w:eastAsia="zh-CN"/>
        </w:rPr>
      </w:pPr>
      <w:bookmarkStart w:id="55" w:name="_Toc511239412"/>
      <w:bookmarkStart w:id="56" w:name="_Toc14104094"/>
      <w:bookmarkStart w:id="57" w:name="_Toc7338702"/>
      <w:bookmarkStart w:id="58" w:name="_Toc14104576"/>
      <w:bookmarkStart w:id="59" w:name="_Toc511239257"/>
      <w:r>
        <w:rPr>
          <w:rFonts w:hint="eastAsia" w:ascii="宋体" w:hAnsi="宋体" w:eastAsia="宋体" w:cs="宋体"/>
          <w:b/>
          <w:color w:val="auto"/>
          <w:sz w:val="24"/>
          <w:highlight w:val="none"/>
          <w:lang w:eastAsia="zh-CN"/>
        </w:rPr>
        <w:t>环境标志产品清单说明表</w:t>
      </w:r>
      <w:bookmarkEnd w:id="55"/>
      <w:bookmarkEnd w:id="56"/>
      <w:bookmarkEnd w:id="57"/>
      <w:bookmarkEnd w:id="58"/>
      <w:bookmarkEnd w:id="59"/>
    </w:p>
    <w:p w14:paraId="5B214732">
      <w:pPr>
        <w:spacing w:line="30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（环境标志产品按下列格式提供）</w:t>
      </w:r>
    </w:p>
    <w:p w14:paraId="0937126B">
      <w:pPr>
        <w:spacing w:line="300" w:lineRule="auto"/>
        <w:rPr>
          <w:rFonts w:ascii="宋体" w:hAnsi="宋体" w:eastAsia="宋体" w:cs="宋体"/>
          <w:color w:val="auto"/>
          <w:sz w:val="24"/>
          <w:highlight w:val="none"/>
          <w:lang w:eastAsia="zh-CN"/>
        </w:rPr>
      </w:pPr>
    </w:p>
    <w:p w14:paraId="0ACB4DAC">
      <w:pPr>
        <w:spacing w:line="300" w:lineRule="auto"/>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 xml:space="preserve">采购项目名称： </w:t>
      </w:r>
      <w:r>
        <w:rPr>
          <w:rFonts w:hint="eastAsia" w:ascii="宋体" w:hAnsi="宋体" w:eastAsia="宋体" w:cs="宋体"/>
          <w:color w:val="auto"/>
          <w:sz w:val="24"/>
          <w:highlight w:val="none"/>
          <w:u w:val="single"/>
          <w:lang w:eastAsia="zh-CN"/>
        </w:rPr>
        <w:t xml:space="preserve">                       </w:t>
      </w:r>
    </w:p>
    <w:p w14:paraId="1FEA9697">
      <w:pPr>
        <w:spacing w:line="300" w:lineRule="auto"/>
        <w:rPr>
          <w:rFonts w:ascii="宋体" w:hAnsi="宋体" w:eastAsia="宋体" w:cs="宋体"/>
          <w:i/>
          <w:iCs/>
          <w:color w:val="auto"/>
          <w:sz w:val="24"/>
          <w:highlight w:val="none"/>
          <w:lang w:eastAsia="zh-CN"/>
        </w:rPr>
      </w:pPr>
      <w:r>
        <w:rPr>
          <w:rFonts w:hint="eastAsia" w:ascii="宋体" w:hAnsi="宋体" w:eastAsia="宋体" w:cs="宋体"/>
          <w:color w:val="auto"/>
          <w:sz w:val="24"/>
          <w:highlight w:val="none"/>
          <w:lang w:eastAsia="zh-CN"/>
        </w:rPr>
        <w:t>采购项目编号：</w:t>
      </w:r>
      <w:r>
        <w:rPr>
          <w:rFonts w:hint="eastAsia" w:ascii="宋体" w:hAnsi="宋体" w:eastAsia="宋体" w:cs="宋体"/>
          <w:i/>
          <w:iCs/>
          <w:color w:val="auto"/>
          <w:sz w:val="24"/>
          <w:highlight w:val="none"/>
          <w:lang w:eastAsia="zh-CN"/>
        </w:rPr>
        <w:t xml:space="preserve"> </w:t>
      </w:r>
      <w:r>
        <w:rPr>
          <w:rFonts w:hint="eastAsia" w:ascii="宋体" w:hAnsi="宋体" w:eastAsia="宋体" w:cs="宋体"/>
          <w:color w:val="auto"/>
          <w:sz w:val="24"/>
          <w:highlight w:val="none"/>
          <w:u w:val="single"/>
          <w:lang w:eastAsia="zh-CN"/>
        </w:rPr>
        <w:t xml:space="preserve">                       </w:t>
      </w:r>
    </w:p>
    <w:p w14:paraId="6A894E2A">
      <w:pPr>
        <w:rPr>
          <w:rFonts w:ascii="宋体" w:hAnsi="宋体" w:eastAsia="宋体" w:cs="宋体"/>
          <w:color w:val="auto"/>
          <w:highlight w:val="none"/>
          <w:lang w:eastAsia="zh-CN"/>
        </w:rPr>
      </w:pPr>
    </w:p>
    <w:tbl>
      <w:tblPr>
        <w:tblStyle w:val="26"/>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6B21C527">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vAlign w:val="center"/>
          </w:tcPr>
          <w:p w14:paraId="2A89A52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90" w:type="dxa"/>
            <w:vMerge w:val="restart"/>
            <w:tcBorders>
              <w:top w:val="single" w:color="auto" w:sz="8" w:space="0"/>
              <w:left w:val="single" w:color="auto" w:sz="8" w:space="0"/>
              <w:bottom w:val="single" w:color="auto" w:sz="8" w:space="0"/>
              <w:right w:val="single" w:color="auto" w:sz="8" w:space="0"/>
            </w:tcBorders>
            <w:vAlign w:val="center"/>
          </w:tcPr>
          <w:p w14:paraId="17E68DB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76" w:type="dxa"/>
            <w:vMerge w:val="restart"/>
            <w:tcBorders>
              <w:top w:val="single" w:color="auto" w:sz="8" w:space="0"/>
              <w:left w:val="single" w:color="auto" w:sz="8" w:space="0"/>
              <w:bottom w:val="single" w:color="auto" w:sz="8" w:space="0"/>
              <w:right w:val="single" w:color="auto" w:sz="8" w:space="0"/>
            </w:tcBorders>
            <w:vAlign w:val="center"/>
          </w:tcPr>
          <w:p w14:paraId="4AB0F1A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105" w:type="dxa"/>
            <w:gridSpan w:val="4"/>
            <w:tcBorders>
              <w:top w:val="single" w:color="auto" w:sz="8" w:space="0"/>
              <w:left w:val="single" w:color="auto" w:sz="8" w:space="0"/>
              <w:bottom w:val="single" w:color="auto" w:sz="8" w:space="0"/>
              <w:right w:val="single" w:color="auto" w:sz="8" w:space="0"/>
            </w:tcBorders>
            <w:vAlign w:val="center"/>
          </w:tcPr>
          <w:p w14:paraId="0C944859">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环境标志产品政府采购清单</w:t>
            </w:r>
          </w:p>
        </w:tc>
      </w:tr>
      <w:tr w14:paraId="528E0574">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14:paraId="5801A5E8">
            <w:pPr>
              <w:jc w:val="center"/>
              <w:rPr>
                <w:rFonts w:ascii="宋体" w:hAnsi="宋体" w:eastAsia="宋体" w:cs="宋体"/>
                <w:color w:val="auto"/>
                <w:sz w:val="24"/>
                <w:szCs w:val="24"/>
                <w:highlight w:val="none"/>
                <w:lang w:eastAsia="zh-CN"/>
              </w:rPr>
            </w:pPr>
          </w:p>
        </w:tc>
        <w:tc>
          <w:tcPr>
            <w:tcW w:w="1090" w:type="dxa"/>
            <w:vMerge w:val="continue"/>
            <w:tcBorders>
              <w:top w:val="single" w:color="auto" w:sz="8" w:space="0"/>
              <w:left w:val="single" w:color="auto" w:sz="8" w:space="0"/>
              <w:bottom w:val="single" w:color="auto" w:sz="8" w:space="0"/>
              <w:right w:val="single" w:color="auto" w:sz="8" w:space="0"/>
            </w:tcBorders>
            <w:vAlign w:val="center"/>
          </w:tcPr>
          <w:p w14:paraId="75EB99D3">
            <w:pPr>
              <w:jc w:val="center"/>
              <w:rPr>
                <w:rFonts w:ascii="宋体" w:hAnsi="宋体" w:eastAsia="宋体" w:cs="宋体"/>
                <w:color w:val="auto"/>
                <w:sz w:val="24"/>
                <w:szCs w:val="24"/>
                <w:highlight w:val="none"/>
                <w:lang w:eastAsia="zh-CN"/>
              </w:rPr>
            </w:pPr>
          </w:p>
        </w:tc>
        <w:tc>
          <w:tcPr>
            <w:tcW w:w="1076" w:type="dxa"/>
            <w:vMerge w:val="continue"/>
            <w:tcBorders>
              <w:top w:val="single" w:color="auto" w:sz="8" w:space="0"/>
              <w:left w:val="single" w:color="auto" w:sz="8" w:space="0"/>
              <w:bottom w:val="single" w:color="auto" w:sz="8" w:space="0"/>
              <w:right w:val="single" w:color="auto" w:sz="8" w:space="0"/>
            </w:tcBorders>
            <w:vAlign w:val="center"/>
          </w:tcPr>
          <w:p w14:paraId="2EC07DD3">
            <w:pPr>
              <w:jc w:val="center"/>
              <w:rPr>
                <w:rFonts w:ascii="宋体" w:hAnsi="宋体" w:eastAsia="宋体" w:cs="宋体"/>
                <w:color w:val="auto"/>
                <w:sz w:val="24"/>
                <w:szCs w:val="24"/>
                <w:highlight w:val="none"/>
                <w:lang w:eastAsia="zh-CN"/>
              </w:rPr>
            </w:pPr>
          </w:p>
        </w:tc>
        <w:tc>
          <w:tcPr>
            <w:tcW w:w="1759" w:type="dxa"/>
            <w:tcBorders>
              <w:top w:val="single" w:color="auto" w:sz="8" w:space="0"/>
              <w:left w:val="single" w:color="auto" w:sz="8" w:space="0"/>
              <w:bottom w:val="single" w:color="auto" w:sz="8" w:space="0"/>
              <w:right w:val="single" w:color="auto" w:sz="8" w:space="0"/>
            </w:tcBorders>
            <w:vAlign w:val="center"/>
          </w:tcPr>
          <w:p w14:paraId="591AD3D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276" w:type="dxa"/>
            <w:tcBorders>
              <w:top w:val="single" w:color="auto" w:sz="8" w:space="0"/>
              <w:left w:val="single" w:color="auto" w:sz="8" w:space="0"/>
              <w:bottom w:val="single" w:color="auto" w:sz="8" w:space="0"/>
              <w:right w:val="single" w:color="auto" w:sz="8" w:space="0"/>
            </w:tcBorders>
            <w:vAlign w:val="center"/>
          </w:tcPr>
          <w:p w14:paraId="2592666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417" w:type="dxa"/>
            <w:tcBorders>
              <w:top w:val="single" w:color="auto" w:sz="8" w:space="0"/>
              <w:left w:val="single" w:color="auto" w:sz="8" w:space="0"/>
              <w:bottom w:val="single" w:color="auto" w:sz="8" w:space="0"/>
              <w:right w:val="single" w:color="auto" w:sz="8" w:space="0"/>
            </w:tcBorders>
            <w:vAlign w:val="center"/>
          </w:tcPr>
          <w:p w14:paraId="64895BC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653" w:type="dxa"/>
            <w:tcBorders>
              <w:top w:val="single" w:color="auto" w:sz="8" w:space="0"/>
              <w:left w:val="single" w:color="auto" w:sz="8" w:space="0"/>
              <w:bottom w:val="single" w:color="auto" w:sz="8" w:space="0"/>
              <w:right w:val="single" w:color="auto" w:sz="8" w:space="0"/>
            </w:tcBorders>
            <w:vAlign w:val="center"/>
          </w:tcPr>
          <w:p w14:paraId="2E3621A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11505B54">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37912DE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0" w:type="dxa"/>
            <w:tcBorders>
              <w:top w:val="single" w:color="auto" w:sz="8" w:space="0"/>
              <w:left w:val="single" w:color="auto" w:sz="8" w:space="0"/>
              <w:bottom w:val="single" w:color="auto" w:sz="8" w:space="0"/>
              <w:right w:val="single" w:color="auto" w:sz="8" w:space="0"/>
            </w:tcBorders>
            <w:vAlign w:val="center"/>
          </w:tcPr>
          <w:p w14:paraId="5DF42C0E">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62E165AC">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18392B4E">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33D689E0">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7E3EEDAA">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1F761CA8">
            <w:pPr>
              <w:jc w:val="center"/>
              <w:rPr>
                <w:rFonts w:ascii="宋体" w:hAnsi="宋体" w:eastAsia="宋体" w:cs="宋体"/>
                <w:color w:val="auto"/>
                <w:sz w:val="24"/>
                <w:szCs w:val="24"/>
                <w:highlight w:val="none"/>
              </w:rPr>
            </w:pPr>
          </w:p>
        </w:tc>
      </w:tr>
      <w:tr w14:paraId="629C7DC7">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747A7C0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0" w:type="dxa"/>
            <w:tcBorders>
              <w:top w:val="single" w:color="auto" w:sz="8" w:space="0"/>
              <w:left w:val="single" w:color="auto" w:sz="8" w:space="0"/>
              <w:bottom w:val="single" w:color="auto" w:sz="8" w:space="0"/>
              <w:right w:val="single" w:color="auto" w:sz="8" w:space="0"/>
            </w:tcBorders>
            <w:vAlign w:val="center"/>
          </w:tcPr>
          <w:p w14:paraId="70AD9BDD">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5B64A0BD">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510AD30B">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7BACC9EE">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763DADA7">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774411BC">
            <w:pPr>
              <w:jc w:val="center"/>
              <w:rPr>
                <w:rFonts w:ascii="宋体" w:hAnsi="宋体" w:eastAsia="宋体" w:cs="宋体"/>
                <w:color w:val="auto"/>
                <w:sz w:val="24"/>
                <w:szCs w:val="24"/>
                <w:highlight w:val="none"/>
              </w:rPr>
            </w:pPr>
          </w:p>
        </w:tc>
      </w:tr>
      <w:tr w14:paraId="60B3B7F9">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0ADFAE7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0" w:type="dxa"/>
            <w:tcBorders>
              <w:top w:val="single" w:color="auto" w:sz="8" w:space="0"/>
              <w:left w:val="single" w:color="auto" w:sz="8" w:space="0"/>
              <w:bottom w:val="single" w:color="auto" w:sz="8" w:space="0"/>
              <w:right w:val="single" w:color="auto" w:sz="8" w:space="0"/>
            </w:tcBorders>
            <w:vAlign w:val="center"/>
          </w:tcPr>
          <w:p w14:paraId="1F67D316">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1A1CC36E">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7B2D1FA7">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347B0E39">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76A9A59C">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1FB349E0">
            <w:pPr>
              <w:jc w:val="center"/>
              <w:rPr>
                <w:rFonts w:ascii="宋体" w:hAnsi="宋体" w:eastAsia="宋体" w:cs="宋体"/>
                <w:color w:val="auto"/>
                <w:sz w:val="24"/>
                <w:szCs w:val="24"/>
                <w:highlight w:val="none"/>
              </w:rPr>
            </w:pPr>
          </w:p>
        </w:tc>
      </w:tr>
      <w:tr w14:paraId="3ED663A8">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1E0EA10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90" w:type="dxa"/>
            <w:tcBorders>
              <w:top w:val="single" w:color="auto" w:sz="8" w:space="0"/>
              <w:left w:val="single" w:color="auto" w:sz="8" w:space="0"/>
              <w:bottom w:val="single" w:color="auto" w:sz="8" w:space="0"/>
              <w:right w:val="single" w:color="auto" w:sz="8" w:space="0"/>
            </w:tcBorders>
            <w:vAlign w:val="center"/>
          </w:tcPr>
          <w:p w14:paraId="2DBD0FCF">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44928E04">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41A5EBA4">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2B3496F3">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24AE4093">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2589C6E4">
            <w:pPr>
              <w:jc w:val="center"/>
              <w:rPr>
                <w:rFonts w:ascii="宋体" w:hAnsi="宋体" w:eastAsia="宋体" w:cs="宋体"/>
                <w:color w:val="auto"/>
                <w:sz w:val="24"/>
                <w:szCs w:val="24"/>
                <w:highlight w:val="none"/>
              </w:rPr>
            </w:pPr>
          </w:p>
        </w:tc>
      </w:tr>
      <w:tr w14:paraId="708D1EC5">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74E35AE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90" w:type="dxa"/>
            <w:tcBorders>
              <w:top w:val="single" w:color="auto" w:sz="8" w:space="0"/>
              <w:left w:val="single" w:color="auto" w:sz="8" w:space="0"/>
              <w:bottom w:val="single" w:color="auto" w:sz="8" w:space="0"/>
              <w:right w:val="single" w:color="auto" w:sz="8" w:space="0"/>
            </w:tcBorders>
            <w:vAlign w:val="center"/>
          </w:tcPr>
          <w:p w14:paraId="6CCE5143">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058D6C73">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579A23C3">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4015114D">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561F1C59">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3381351E">
            <w:pPr>
              <w:jc w:val="center"/>
              <w:rPr>
                <w:rFonts w:ascii="宋体" w:hAnsi="宋体" w:eastAsia="宋体" w:cs="宋体"/>
                <w:color w:val="auto"/>
                <w:sz w:val="24"/>
                <w:szCs w:val="24"/>
                <w:highlight w:val="none"/>
              </w:rPr>
            </w:pPr>
          </w:p>
        </w:tc>
      </w:tr>
      <w:tr w14:paraId="35A6658F">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2314909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90" w:type="dxa"/>
            <w:tcBorders>
              <w:top w:val="single" w:color="auto" w:sz="8" w:space="0"/>
              <w:left w:val="single" w:color="auto" w:sz="8" w:space="0"/>
              <w:bottom w:val="single" w:color="auto" w:sz="8" w:space="0"/>
              <w:right w:val="single" w:color="auto" w:sz="8" w:space="0"/>
            </w:tcBorders>
            <w:vAlign w:val="center"/>
          </w:tcPr>
          <w:p w14:paraId="292699C6">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736DDB60">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45C17322">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728B687B">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5D7AE868">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6260C577">
            <w:pPr>
              <w:jc w:val="center"/>
              <w:rPr>
                <w:rFonts w:ascii="宋体" w:hAnsi="宋体" w:eastAsia="宋体" w:cs="宋体"/>
                <w:color w:val="auto"/>
                <w:sz w:val="24"/>
                <w:szCs w:val="24"/>
                <w:highlight w:val="none"/>
              </w:rPr>
            </w:pPr>
          </w:p>
        </w:tc>
      </w:tr>
    </w:tbl>
    <w:p w14:paraId="5EC6EA1C">
      <w:pPr>
        <w:spacing w:line="300" w:lineRule="exact"/>
        <w:jc w:val="center"/>
        <w:rPr>
          <w:rFonts w:ascii="宋体" w:hAnsi="宋体" w:eastAsia="宋体" w:cs="宋体"/>
          <w:color w:val="auto"/>
          <w:highlight w:val="none"/>
        </w:rPr>
      </w:pPr>
    </w:p>
    <w:p w14:paraId="6A8F23DE">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注：1、上述“环境标志产品政府采购清单”以相关职能部门正式发布的最新一期为准。</w:t>
      </w:r>
    </w:p>
    <w:p w14:paraId="2861DE60">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2、采购项目分包的，本表应按报价包号填写。</w:t>
      </w:r>
    </w:p>
    <w:p w14:paraId="2093932B">
      <w:pPr>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3、后附认证证书复印件加盖供应商公章。</w:t>
      </w:r>
    </w:p>
    <w:p w14:paraId="03A72722">
      <w:pPr>
        <w:spacing w:line="480" w:lineRule="auto"/>
        <w:jc w:val="both"/>
        <w:rPr>
          <w:rFonts w:ascii="宋体" w:hAnsi="宋体" w:eastAsia="宋体" w:cs="宋体"/>
          <w:color w:val="auto"/>
          <w:sz w:val="24"/>
          <w:highlight w:val="none"/>
          <w:lang w:eastAsia="zh-CN"/>
        </w:rPr>
      </w:pPr>
    </w:p>
    <w:p w14:paraId="0347AA87">
      <w:pPr>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供应商（盖单位公章）</w:t>
      </w:r>
    </w:p>
    <w:p w14:paraId="493C1A4B">
      <w:pPr>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法定代表人或其委托代理人（签字）</w:t>
      </w:r>
    </w:p>
    <w:p w14:paraId="640F8D59">
      <w:pPr>
        <w:spacing w:line="480" w:lineRule="auto"/>
        <w:ind w:left="1050" w:hanging="1050" w:hangingChars="500"/>
        <w:jc w:val="both"/>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24"/>
          <w:highlight w:val="none"/>
          <w:lang w:eastAsia="zh-CN"/>
        </w:rPr>
        <w:t>年     月     日</w:t>
      </w:r>
    </w:p>
    <w:p w14:paraId="148A69DC">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18E4C262">
      <w:pPr>
        <w:spacing w:before="48" w:line="219" w:lineRule="auto"/>
        <w:ind w:left="19"/>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附：中小企业划型标准规定</w:t>
      </w:r>
    </w:p>
    <w:p w14:paraId="1B6C7ABB">
      <w:pPr>
        <w:spacing w:before="48" w:line="219" w:lineRule="auto"/>
        <w:ind w:left="19"/>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p>
    <w:p w14:paraId="63C9405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 (国发〔2009〕36 号)，制定本规定。</w:t>
      </w:r>
    </w:p>
    <w:p w14:paraId="3D37EFB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20B6573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430C996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四、各行业划型标准为：</w:t>
      </w:r>
    </w:p>
    <w:p w14:paraId="7427559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（一）农、林、牧、渔业。营业收入 20000 万元以下的为中小微型企业。其中，营业收入 500 万元及以上的为中型企业，营业收入 50 万元及以上的为小型企业，营业收入 50 万元以下的为微型企业。</w:t>
      </w:r>
    </w:p>
    <w:p w14:paraId="53E8776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7790BBB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216A03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0B271EF7">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3F4E2662">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4A9BA5C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01B61FE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7B1FFA62">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6AF59463">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5F36A3D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0144719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4AF2011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房地产开发经营。营业收入 200000 万元以下或资产总额 10000 万元以下的为中</w:t>
      </w:r>
    </w:p>
    <w:p w14:paraId="76E3DB5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68362573">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0428837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144D1F5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（十六）其他未列明行业。从业人员 300 人以下的为中小微型企业。其中，从业人员 100 人及以上的为中型企业；从业人员 10 人及以上的为小型企业；从业人员 10 人以下的为微型企业。</w:t>
      </w:r>
    </w:p>
    <w:p w14:paraId="41E6B3F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五、企业类型的划分以统计部门的统计数据为依据。</w:t>
      </w:r>
    </w:p>
    <w:p w14:paraId="2315F2D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6A2413E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 微型企业的统计分类。国务院有关部门据此进行相关数据分析，不得制定与本规定不一致的企业划型标准。</w:t>
      </w:r>
    </w:p>
    <w:p w14:paraId="6AFF42E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4C76FFF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九、本规定由工业和信息化部、国家统计局会同有关部门负责解释。</w:t>
      </w:r>
    </w:p>
    <w:p w14:paraId="4DC3BBD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 2003</w:t>
      </w:r>
    </w:p>
    <w:p w14:paraId="200E316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年颁布的《中小企业标准暂行规定》同时废止。</w:t>
      </w:r>
    </w:p>
    <w:p w14:paraId="45DCBFB9">
      <w:pPr>
        <w:ind w:right="-65" w:rightChars="-31"/>
        <w:jc w:val="center"/>
        <w:rPr>
          <w:rFonts w:ascii="宋体" w:hAnsi="宋体" w:eastAsia="宋体" w:cs="宋体"/>
          <w:b/>
          <w:color w:val="auto"/>
          <w:sz w:val="30"/>
          <w:szCs w:val="30"/>
          <w:highlight w:val="no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r>
        <w:rPr>
          <w:rFonts w:hint="eastAsia" w:ascii="宋体" w:hAnsi="宋体" w:eastAsia="宋体" w:cs="宋体"/>
          <w:b/>
          <w:color w:val="auto"/>
          <w:sz w:val="30"/>
          <w:szCs w:val="30"/>
          <w:highlight w:val="none"/>
        </w:rPr>
        <w:t>中小企业划型标准</w:t>
      </w:r>
    </w:p>
    <w:tbl>
      <w:tblPr>
        <w:tblStyle w:val="2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0369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vAlign w:val="center"/>
          </w:tcPr>
          <w:p w14:paraId="375932AA">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987" w:type="dxa"/>
            <w:vMerge w:val="restart"/>
            <w:vAlign w:val="center"/>
          </w:tcPr>
          <w:p w14:paraId="52BFE12F">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行业</w:t>
            </w:r>
          </w:p>
        </w:tc>
        <w:tc>
          <w:tcPr>
            <w:tcW w:w="1993" w:type="dxa"/>
            <w:gridSpan w:val="3"/>
            <w:vAlign w:val="center"/>
          </w:tcPr>
          <w:p w14:paraId="404FF43D">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大型企业</w:t>
            </w:r>
          </w:p>
        </w:tc>
        <w:tc>
          <w:tcPr>
            <w:tcW w:w="1967" w:type="dxa"/>
            <w:gridSpan w:val="3"/>
            <w:vAlign w:val="center"/>
          </w:tcPr>
          <w:p w14:paraId="6EC2CAD2">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中型企业</w:t>
            </w:r>
          </w:p>
        </w:tc>
        <w:tc>
          <w:tcPr>
            <w:tcW w:w="2012" w:type="dxa"/>
            <w:gridSpan w:val="3"/>
            <w:vAlign w:val="center"/>
          </w:tcPr>
          <w:p w14:paraId="3F139917">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小型企业</w:t>
            </w:r>
          </w:p>
        </w:tc>
        <w:tc>
          <w:tcPr>
            <w:tcW w:w="1886" w:type="dxa"/>
            <w:gridSpan w:val="3"/>
            <w:vAlign w:val="center"/>
          </w:tcPr>
          <w:p w14:paraId="5D7C968F">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微型企业</w:t>
            </w:r>
          </w:p>
        </w:tc>
      </w:tr>
      <w:tr w14:paraId="6E9B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vAlign w:val="center"/>
          </w:tcPr>
          <w:p w14:paraId="70A3D62D">
            <w:pPr>
              <w:ind w:left="-48" w:leftChars="-23" w:right="-65" w:rightChars="-31"/>
              <w:jc w:val="center"/>
              <w:rPr>
                <w:rFonts w:ascii="宋体" w:hAnsi="宋体" w:eastAsia="宋体" w:cs="宋体"/>
                <w:b/>
                <w:color w:val="auto"/>
                <w:highlight w:val="none"/>
              </w:rPr>
            </w:pPr>
          </w:p>
        </w:tc>
        <w:tc>
          <w:tcPr>
            <w:tcW w:w="987" w:type="dxa"/>
            <w:vMerge w:val="continue"/>
            <w:vAlign w:val="center"/>
          </w:tcPr>
          <w:p w14:paraId="2035ADA8">
            <w:pPr>
              <w:ind w:left="-48" w:leftChars="-23" w:right="-65" w:rightChars="-31"/>
              <w:rPr>
                <w:rFonts w:ascii="宋体" w:hAnsi="宋体" w:eastAsia="宋体" w:cs="宋体"/>
                <w:b/>
                <w:color w:val="auto"/>
                <w:highlight w:val="none"/>
              </w:rPr>
            </w:pPr>
          </w:p>
        </w:tc>
        <w:tc>
          <w:tcPr>
            <w:tcW w:w="735" w:type="dxa"/>
            <w:vAlign w:val="center"/>
          </w:tcPr>
          <w:p w14:paraId="254E555B">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营业收入</w:t>
            </w:r>
          </w:p>
          <w:p w14:paraId="6839D0DA">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3E30A969">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从业人员</w:t>
            </w:r>
          </w:p>
          <w:p w14:paraId="5A29BAEB">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(人)</w:t>
            </w:r>
          </w:p>
        </w:tc>
        <w:tc>
          <w:tcPr>
            <w:tcW w:w="579" w:type="dxa"/>
            <w:vAlign w:val="center"/>
          </w:tcPr>
          <w:p w14:paraId="50DA769A">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总资产</w:t>
            </w:r>
          </w:p>
          <w:p w14:paraId="5568E8D7">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44AEF56D">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营业收入</w:t>
            </w:r>
          </w:p>
          <w:p w14:paraId="1EB848C8">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3" w:type="dxa"/>
            <w:vAlign w:val="center"/>
          </w:tcPr>
          <w:p w14:paraId="53FE1CB4">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从业人员</w:t>
            </w:r>
          </w:p>
          <w:p w14:paraId="63226163">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(人)</w:t>
            </w:r>
          </w:p>
        </w:tc>
        <w:tc>
          <w:tcPr>
            <w:tcW w:w="615" w:type="dxa"/>
            <w:vAlign w:val="center"/>
          </w:tcPr>
          <w:p w14:paraId="104DE774">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总资产</w:t>
            </w:r>
          </w:p>
          <w:p w14:paraId="5299C5B6">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35366FDA">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营业收入</w:t>
            </w:r>
          </w:p>
          <w:p w14:paraId="1755B8AB">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714" w:type="dxa"/>
            <w:vAlign w:val="center"/>
          </w:tcPr>
          <w:p w14:paraId="5976F825">
            <w:pPr>
              <w:ind w:left="119" w:leftChars="-23" w:right="-65" w:rightChars="-31" w:hanging="167" w:hangingChars="79"/>
              <w:jc w:val="center"/>
              <w:rPr>
                <w:rFonts w:ascii="宋体" w:hAnsi="宋体" w:eastAsia="宋体" w:cs="宋体"/>
                <w:b/>
                <w:color w:val="auto"/>
                <w:highlight w:val="none"/>
              </w:rPr>
            </w:pPr>
            <w:r>
              <w:rPr>
                <w:rFonts w:hint="eastAsia" w:ascii="宋体" w:hAnsi="宋体" w:eastAsia="宋体" w:cs="宋体"/>
                <w:b/>
                <w:color w:val="auto"/>
                <w:highlight w:val="none"/>
              </w:rPr>
              <w:t>从业人员</w:t>
            </w:r>
          </w:p>
          <w:p w14:paraId="3E3CD068">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(人)</w:t>
            </w:r>
          </w:p>
        </w:tc>
        <w:tc>
          <w:tcPr>
            <w:tcW w:w="619" w:type="dxa"/>
            <w:vAlign w:val="center"/>
          </w:tcPr>
          <w:p w14:paraId="4E416896">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总资产</w:t>
            </w:r>
          </w:p>
          <w:p w14:paraId="0E60F55F">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67E107A7">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营业收入</w:t>
            </w:r>
          </w:p>
          <w:p w14:paraId="357747C5">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82" w:type="dxa"/>
            <w:vAlign w:val="center"/>
          </w:tcPr>
          <w:p w14:paraId="7ABBD68E">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从业人员</w:t>
            </w:r>
          </w:p>
          <w:p w14:paraId="208F2AC8">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(人)</w:t>
            </w:r>
          </w:p>
        </w:tc>
        <w:tc>
          <w:tcPr>
            <w:tcW w:w="525" w:type="dxa"/>
            <w:vAlign w:val="center"/>
          </w:tcPr>
          <w:p w14:paraId="4F5EEBA8">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总资产</w:t>
            </w:r>
          </w:p>
          <w:p w14:paraId="766DFCD7">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r>
      <w:tr w14:paraId="25C0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vAlign w:val="center"/>
          </w:tcPr>
          <w:p w14:paraId="58A6C2EB">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w:t>
            </w:r>
          </w:p>
        </w:tc>
        <w:tc>
          <w:tcPr>
            <w:tcW w:w="987" w:type="dxa"/>
            <w:vAlign w:val="center"/>
          </w:tcPr>
          <w:p w14:paraId="3399E760">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农、林、牧、渔业</w:t>
            </w:r>
          </w:p>
        </w:tc>
        <w:tc>
          <w:tcPr>
            <w:tcW w:w="735" w:type="dxa"/>
            <w:vAlign w:val="center"/>
          </w:tcPr>
          <w:p w14:paraId="5C144C71">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≥20000</w:t>
            </w:r>
          </w:p>
        </w:tc>
        <w:tc>
          <w:tcPr>
            <w:tcW w:w="679" w:type="dxa"/>
            <w:vAlign w:val="center"/>
          </w:tcPr>
          <w:p w14:paraId="5B423F3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79" w:type="dxa"/>
            <w:vAlign w:val="center"/>
          </w:tcPr>
          <w:p w14:paraId="52F0782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93D038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≥500</w:t>
            </w:r>
          </w:p>
        </w:tc>
        <w:tc>
          <w:tcPr>
            <w:tcW w:w="673" w:type="dxa"/>
            <w:vAlign w:val="center"/>
          </w:tcPr>
          <w:p w14:paraId="4ABA601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5" w:type="dxa"/>
            <w:vAlign w:val="center"/>
          </w:tcPr>
          <w:p w14:paraId="73162844">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9DB06AB">
            <w:pPr>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714" w:type="dxa"/>
            <w:vAlign w:val="center"/>
          </w:tcPr>
          <w:p w14:paraId="20AC8E02">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9" w:type="dxa"/>
            <w:vAlign w:val="center"/>
          </w:tcPr>
          <w:p w14:paraId="025E2A93">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19A1A9D">
            <w:pPr>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682" w:type="dxa"/>
            <w:vAlign w:val="center"/>
          </w:tcPr>
          <w:p w14:paraId="67FC5D19">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25" w:type="dxa"/>
            <w:vAlign w:val="center"/>
          </w:tcPr>
          <w:p w14:paraId="69ABDD48">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19CE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23AEC736">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2</w:t>
            </w:r>
          </w:p>
        </w:tc>
        <w:tc>
          <w:tcPr>
            <w:tcW w:w="987" w:type="dxa"/>
            <w:vAlign w:val="center"/>
          </w:tcPr>
          <w:p w14:paraId="2CCB020C">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工业</w:t>
            </w:r>
          </w:p>
        </w:tc>
        <w:tc>
          <w:tcPr>
            <w:tcW w:w="735" w:type="dxa"/>
            <w:vAlign w:val="center"/>
          </w:tcPr>
          <w:p w14:paraId="08ACFCF5">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≥40000</w:t>
            </w:r>
          </w:p>
        </w:tc>
        <w:tc>
          <w:tcPr>
            <w:tcW w:w="679" w:type="dxa"/>
            <w:vAlign w:val="center"/>
          </w:tcPr>
          <w:p w14:paraId="716299FC">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≥1000</w:t>
            </w:r>
          </w:p>
        </w:tc>
        <w:tc>
          <w:tcPr>
            <w:tcW w:w="579" w:type="dxa"/>
            <w:vAlign w:val="center"/>
          </w:tcPr>
          <w:p w14:paraId="7A649391">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　</w:t>
            </w:r>
          </w:p>
        </w:tc>
        <w:tc>
          <w:tcPr>
            <w:tcW w:w="679" w:type="dxa"/>
            <w:vAlign w:val="center"/>
          </w:tcPr>
          <w:p w14:paraId="0133666A">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≥2000</w:t>
            </w:r>
          </w:p>
        </w:tc>
        <w:tc>
          <w:tcPr>
            <w:tcW w:w="673" w:type="dxa"/>
            <w:vAlign w:val="center"/>
          </w:tcPr>
          <w:p w14:paraId="1203E3FE">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≥300</w:t>
            </w:r>
          </w:p>
        </w:tc>
        <w:tc>
          <w:tcPr>
            <w:tcW w:w="615" w:type="dxa"/>
            <w:vAlign w:val="center"/>
          </w:tcPr>
          <w:p w14:paraId="54276561">
            <w:pPr>
              <w:jc w:val="center"/>
              <w:rPr>
                <w:rFonts w:ascii="宋体" w:hAnsi="宋体" w:eastAsia="宋体" w:cs="宋体"/>
                <w:bCs/>
                <w:color w:val="auto"/>
                <w:highlight w:val="none"/>
              </w:rPr>
            </w:pPr>
            <w:r>
              <w:rPr>
                <w:rFonts w:hint="eastAsia" w:ascii="宋体" w:hAnsi="宋体" w:eastAsia="宋体" w:cs="宋体"/>
                <w:bCs/>
                <w:color w:val="auto"/>
                <w:highlight w:val="none"/>
              </w:rPr>
              <w:t>　</w:t>
            </w:r>
          </w:p>
        </w:tc>
        <w:tc>
          <w:tcPr>
            <w:tcW w:w="679" w:type="dxa"/>
            <w:vAlign w:val="center"/>
          </w:tcPr>
          <w:p w14:paraId="143FCA36">
            <w:pPr>
              <w:jc w:val="center"/>
              <w:rPr>
                <w:rFonts w:ascii="宋体" w:hAnsi="宋体" w:eastAsia="宋体" w:cs="宋体"/>
                <w:bCs/>
                <w:color w:val="auto"/>
                <w:highlight w:val="none"/>
              </w:rPr>
            </w:pPr>
            <w:r>
              <w:rPr>
                <w:rFonts w:hint="eastAsia" w:ascii="宋体" w:hAnsi="宋体" w:eastAsia="宋体" w:cs="宋体"/>
                <w:bCs/>
                <w:color w:val="auto"/>
                <w:highlight w:val="none"/>
              </w:rPr>
              <w:t>≥300</w:t>
            </w:r>
          </w:p>
        </w:tc>
        <w:tc>
          <w:tcPr>
            <w:tcW w:w="714" w:type="dxa"/>
            <w:vAlign w:val="center"/>
          </w:tcPr>
          <w:p w14:paraId="44FCAB3C">
            <w:pPr>
              <w:jc w:val="center"/>
              <w:rPr>
                <w:rFonts w:ascii="宋体" w:hAnsi="宋体" w:eastAsia="宋体" w:cs="宋体"/>
                <w:bCs/>
                <w:color w:val="auto"/>
                <w:highlight w:val="none"/>
              </w:rPr>
            </w:pPr>
            <w:r>
              <w:rPr>
                <w:rFonts w:hint="eastAsia" w:ascii="宋体" w:hAnsi="宋体" w:eastAsia="宋体" w:cs="宋体"/>
                <w:bCs/>
                <w:color w:val="auto"/>
                <w:highlight w:val="none"/>
              </w:rPr>
              <w:t>≥20</w:t>
            </w:r>
          </w:p>
        </w:tc>
        <w:tc>
          <w:tcPr>
            <w:tcW w:w="619" w:type="dxa"/>
            <w:vAlign w:val="center"/>
          </w:tcPr>
          <w:p w14:paraId="230902E2">
            <w:pPr>
              <w:jc w:val="center"/>
              <w:rPr>
                <w:rFonts w:ascii="宋体" w:hAnsi="宋体" w:eastAsia="宋体" w:cs="宋体"/>
                <w:bCs/>
                <w:color w:val="auto"/>
                <w:highlight w:val="none"/>
              </w:rPr>
            </w:pPr>
            <w:r>
              <w:rPr>
                <w:rFonts w:hint="eastAsia" w:ascii="宋体" w:hAnsi="宋体" w:eastAsia="宋体" w:cs="宋体"/>
                <w:bCs/>
                <w:color w:val="auto"/>
                <w:highlight w:val="none"/>
              </w:rPr>
              <w:t>　</w:t>
            </w:r>
          </w:p>
        </w:tc>
        <w:tc>
          <w:tcPr>
            <w:tcW w:w="679" w:type="dxa"/>
            <w:vAlign w:val="center"/>
          </w:tcPr>
          <w:p w14:paraId="425A41CA">
            <w:pPr>
              <w:jc w:val="center"/>
              <w:rPr>
                <w:rFonts w:ascii="宋体" w:hAnsi="宋体" w:eastAsia="宋体" w:cs="宋体"/>
                <w:bCs/>
                <w:color w:val="auto"/>
                <w:highlight w:val="none"/>
              </w:rPr>
            </w:pPr>
            <w:r>
              <w:rPr>
                <w:rFonts w:hint="eastAsia" w:ascii="宋体" w:hAnsi="宋体" w:eastAsia="宋体" w:cs="宋体"/>
                <w:bCs/>
                <w:color w:val="auto"/>
                <w:highlight w:val="none"/>
              </w:rPr>
              <w:t>＜300</w:t>
            </w:r>
          </w:p>
        </w:tc>
        <w:tc>
          <w:tcPr>
            <w:tcW w:w="682" w:type="dxa"/>
            <w:vAlign w:val="center"/>
          </w:tcPr>
          <w:p w14:paraId="10AC9470">
            <w:pPr>
              <w:jc w:val="center"/>
              <w:rPr>
                <w:rFonts w:ascii="宋体" w:hAnsi="宋体" w:eastAsia="宋体" w:cs="宋体"/>
                <w:bCs/>
                <w:color w:val="auto"/>
                <w:highlight w:val="none"/>
              </w:rPr>
            </w:pPr>
            <w:r>
              <w:rPr>
                <w:rFonts w:hint="eastAsia" w:ascii="宋体" w:hAnsi="宋体" w:eastAsia="宋体" w:cs="宋体"/>
                <w:bCs/>
                <w:color w:val="auto"/>
                <w:highlight w:val="none"/>
              </w:rPr>
              <w:t>＜20</w:t>
            </w:r>
          </w:p>
        </w:tc>
        <w:tc>
          <w:tcPr>
            <w:tcW w:w="525" w:type="dxa"/>
            <w:vAlign w:val="center"/>
          </w:tcPr>
          <w:p w14:paraId="484998D2">
            <w:pPr>
              <w:jc w:val="center"/>
              <w:rPr>
                <w:rFonts w:ascii="宋体" w:hAnsi="宋体" w:eastAsia="宋体" w:cs="宋体"/>
                <w:b/>
                <w:color w:val="auto"/>
                <w:highlight w:val="none"/>
              </w:rPr>
            </w:pPr>
            <w:r>
              <w:rPr>
                <w:rFonts w:hint="eastAsia" w:ascii="宋体" w:hAnsi="宋体" w:eastAsia="宋体" w:cs="宋体"/>
                <w:b/>
                <w:color w:val="auto"/>
                <w:highlight w:val="none"/>
              </w:rPr>
              <w:t>　</w:t>
            </w:r>
          </w:p>
        </w:tc>
      </w:tr>
      <w:tr w14:paraId="6416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vAlign w:val="center"/>
          </w:tcPr>
          <w:p w14:paraId="5122F98B">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3</w:t>
            </w:r>
          </w:p>
        </w:tc>
        <w:tc>
          <w:tcPr>
            <w:tcW w:w="987" w:type="dxa"/>
            <w:vAlign w:val="center"/>
          </w:tcPr>
          <w:p w14:paraId="5AB3009C">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建筑业</w:t>
            </w:r>
          </w:p>
        </w:tc>
        <w:tc>
          <w:tcPr>
            <w:tcW w:w="735" w:type="dxa"/>
            <w:vAlign w:val="center"/>
          </w:tcPr>
          <w:p w14:paraId="4FF063B2">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≥80000</w:t>
            </w:r>
          </w:p>
        </w:tc>
        <w:tc>
          <w:tcPr>
            <w:tcW w:w="679" w:type="dxa"/>
            <w:vAlign w:val="center"/>
          </w:tcPr>
          <w:p w14:paraId="29A3F47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79" w:type="dxa"/>
            <w:vAlign w:val="center"/>
          </w:tcPr>
          <w:p w14:paraId="3958D08C">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≥80000</w:t>
            </w:r>
          </w:p>
        </w:tc>
        <w:tc>
          <w:tcPr>
            <w:tcW w:w="679" w:type="dxa"/>
            <w:vAlign w:val="center"/>
          </w:tcPr>
          <w:p w14:paraId="74353DB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≥6000</w:t>
            </w:r>
          </w:p>
        </w:tc>
        <w:tc>
          <w:tcPr>
            <w:tcW w:w="673" w:type="dxa"/>
            <w:vAlign w:val="center"/>
          </w:tcPr>
          <w:p w14:paraId="2EBE680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5" w:type="dxa"/>
            <w:vAlign w:val="center"/>
          </w:tcPr>
          <w:p w14:paraId="2BD3E9E2">
            <w:pPr>
              <w:jc w:val="center"/>
              <w:rPr>
                <w:rFonts w:ascii="宋体" w:hAnsi="宋体" w:eastAsia="宋体" w:cs="宋体"/>
                <w:color w:val="auto"/>
                <w:highlight w:val="none"/>
              </w:rPr>
            </w:pPr>
            <w:r>
              <w:rPr>
                <w:rFonts w:hint="eastAsia" w:ascii="宋体" w:hAnsi="宋体" w:eastAsia="宋体" w:cs="宋体"/>
                <w:color w:val="auto"/>
                <w:highlight w:val="none"/>
              </w:rPr>
              <w:t>≥5000</w:t>
            </w:r>
          </w:p>
        </w:tc>
        <w:tc>
          <w:tcPr>
            <w:tcW w:w="679" w:type="dxa"/>
            <w:vAlign w:val="center"/>
          </w:tcPr>
          <w:p w14:paraId="1721307B">
            <w:pPr>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714" w:type="dxa"/>
            <w:vAlign w:val="center"/>
          </w:tcPr>
          <w:p w14:paraId="3D6C8D61">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9" w:type="dxa"/>
            <w:vAlign w:val="center"/>
          </w:tcPr>
          <w:p w14:paraId="412E3B74">
            <w:pPr>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79" w:type="dxa"/>
            <w:vAlign w:val="center"/>
          </w:tcPr>
          <w:p w14:paraId="1729833D">
            <w:pPr>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82" w:type="dxa"/>
            <w:vAlign w:val="center"/>
          </w:tcPr>
          <w:p w14:paraId="5BC3805D">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25" w:type="dxa"/>
            <w:vAlign w:val="center"/>
          </w:tcPr>
          <w:p w14:paraId="1282A61C">
            <w:pPr>
              <w:jc w:val="center"/>
              <w:rPr>
                <w:rFonts w:ascii="宋体" w:hAnsi="宋体" w:eastAsia="宋体" w:cs="宋体"/>
                <w:color w:val="auto"/>
                <w:highlight w:val="none"/>
              </w:rPr>
            </w:pPr>
            <w:r>
              <w:rPr>
                <w:rFonts w:hint="eastAsia" w:ascii="宋体" w:hAnsi="宋体" w:eastAsia="宋体" w:cs="宋体"/>
                <w:color w:val="auto"/>
                <w:highlight w:val="none"/>
              </w:rPr>
              <w:t>＜300</w:t>
            </w:r>
          </w:p>
        </w:tc>
      </w:tr>
      <w:tr w14:paraId="061F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vAlign w:val="center"/>
          </w:tcPr>
          <w:p w14:paraId="4EED2A91">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4</w:t>
            </w:r>
          </w:p>
        </w:tc>
        <w:tc>
          <w:tcPr>
            <w:tcW w:w="987" w:type="dxa"/>
            <w:vAlign w:val="center"/>
          </w:tcPr>
          <w:p w14:paraId="4946E679">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批发业</w:t>
            </w:r>
          </w:p>
        </w:tc>
        <w:tc>
          <w:tcPr>
            <w:tcW w:w="735" w:type="dxa"/>
            <w:vAlign w:val="center"/>
          </w:tcPr>
          <w:p w14:paraId="59D3349E">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≥40000</w:t>
            </w:r>
          </w:p>
        </w:tc>
        <w:tc>
          <w:tcPr>
            <w:tcW w:w="679" w:type="dxa"/>
            <w:vAlign w:val="center"/>
          </w:tcPr>
          <w:p w14:paraId="56CE64C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w:t>
            </w:r>
          </w:p>
        </w:tc>
        <w:tc>
          <w:tcPr>
            <w:tcW w:w="579" w:type="dxa"/>
            <w:vAlign w:val="center"/>
          </w:tcPr>
          <w:p w14:paraId="0845CC4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5823F4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≥5000</w:t>
            </w:r>
          </w:p>
        </w:tc>
        <w:tc>
          <w:tcPr>
            <w:tcW w:w="673" w:type="dxa"/>
            <w:vAlign w:val="center"/>
          </w:tcPr>
          <w:p w14:paraId="421EEEA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615" w:type="dxa"/>
            <w:vAlign w:val="center"/>
          </w:tcPr>
          <w:p w14:paraId="30C0FC02">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4A3060A">
            <w:pPr>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714" w:type="dxa"/>
            <w:vAlign w:val="center"/>
          </w:tcPr>
          <w:p w14:paraId="673AB6E2">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619" w:type="dxa"/>
            <w:vAlign w:val="center"/>
          </w:tcPr>
          <w:p w14:paraId="78AB8005">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3E601D2">
            <w:pPr>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82" w:type="dxa"/>
            <w:vAlign w:val="center"/>
          </w:tcPr>
          <w:p w14:paraId="0789C91B">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525" w:type="dxa"/>
            <w:vAlign w:val="center"/>
          </w:tcPr>
          <w:p w14:paraId="00B201D1">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6CE9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1212DC15">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5</w:t>
            </w:r>
          </w:p>
        </w:tc>
        <w:tc>
          <w:tcPr>
            <w:tcW w:w="987" w:type="dxa"/>
            <w:vAlign w:val="center"/>
          </w:tcPr>
          <w:p w14:paraId="56730122">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零售业</w:t>
            </w:r>
          </w:p>
        </w:tc>
        <w:tc>
          <w:tcPr>
            <w:tcW w:w="735" w:type="dxa"/>
            <w:vAlign w:val="center"/>
          </w:tcPr>
          <w:p w14:paraId="26BF034B">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≥20000</w:t>
            </w:r>
          </w:p>
        </w:tc>
        <w:tc>
          <w:tcPr>
            <w:tcW w:w="679" w:type="dxa"/>
            <w:vAlign w:val="center"/>
          </w:tcPr>
          <w:p w14:paraId="6B6DD68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3E77A75A">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1EF6EB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≥500</w:t>
            </w:r>
          </w:p>
        </w:tc>
        <w:tc>
          <w:tcPr>
            <w:tcW w:w="673" w:type="dxa"/>
            <w:vAlign w:val="center"/>
          </w:tcPr>
          <w:p w14:paraId="4178B79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615" w:type="dxa"/>
            <w:vAlign w:val="center"/>
          </w:tcPr>
          <w:p w14:paraId="08A1BA96">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75377DC">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1A2A000C">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31A1C71E">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2E2C2B98">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3C5D5531">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7CC1D66D">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438A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26ADE9A4">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6</w:t>
            </w:r>
          </w:p>
        </w:tc>
        <w:tc>
          <w:tcPr>
            <w:tcW w:w="987" w:type="dxa"/>
            <w:vAlign w:val="center"/>
          </w:tcPr>
          <w:p w14:paraId="4B2797DF">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交通运输业</w:t>
            </w:r>
          </w:p>
        </w:tc>
        <w:tc>
          <w:tcPr>
            <w:tcW w:w="735" w:type="dxa"/>
            <w:vAlign w:val="center"/>
          </w:tcPr>
          <w:p w14:paraId="7946D8E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≥30000</w:t>
            </w:r>
          </w:p>
        </w:tc>
        <w:tc>
          <w:tcPr>
            <w:tcW w:w="679" w:type="dxa"/>
            <w:vAlign w:val="center"/>
          </w:tcPr>
          <w:p w14:paraId="3049CBB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579" w:type="dxa"/>
            <w:vAlign w:val="center"/>
          </w:tcPr>
          <w:p w14:paraId="0893908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D321AC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≥3000</w:t>
            </w:r>
          </w:p>
        </w:tc>
        <w:tc>
          <w:tcPr>
            <w:tcW w:w="673" w:type="dxa"/>
            <w:vAlign w:val="center"/>
          </w:tcPr>
          <w:p w14:paraId="52F3D1B2">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15" w:type="dxa"/>
            <w:vAlign w:val="center"/>
          </w:tcPr>
          <w:p w14:paraId="373F3124">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00E1B4A">
            <w:pPr>
              <w:jc w:val="center"/>
              <w:rPr>
                <w:rFonts w:ascii="宋体" w:hAnsi="宋体" w:eastAsia="宋体" w:cs="宋体"/>
                <w:color w:val="auto"/>
                <w:highlight w:val="none"/>
              </w:rPr>
            </w:pPr>
            <w:r>
              <w:rPr>
                <w:rFonts w:hint="eastAsia" w:ascii="宋体" w:hAnsi="宋体" w:eastAsia="宋体" w:cs="宋体"/>
                <w:color w:val="auto"/>
                <w:highlight w:val="none"/>
              </w:rPr>
              <w:t>≥200</w:t>
            </w:r>
          </w:p>
        </w:tc>
        <w:tc>
          <w:tcPr>
            <w:tcW w:w="714" w:type="dxa"/>
            <w:vAlign w:val="center"/>
          </w:tcPr>
          <w:p w14:paraId="227E8ACF">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619" w:type="dxa"/>
            <w:vAlign w:val="center"/>
          </w:tcPr>
          <w:p w14:paraId="4BE71992">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4C57D0C5">
            <w:pPr>
              <w:jc w:val="center"/>
              <w:rPr>
                <w:rFonts w:ascii="宋体" w:hAnsi="宋体" w:eastAsia="宋体" w:cs="宋体"/>
                <w:color w:val="auto"/>
                <w:highlight w:val="none"/>
              </w:rPr>
            </w:pPr>
            <w:r>
              <w:rPr>
                <w:rFonts w:hint="eastAsia" w:ascii="宋体" w:hAnsi="宋体" w:eastAsia="宋体" w:cs="宋体"/>
                <w:color w:val="auto"/>
                <w:highlight w:val="none"/>
              </w:rPr>
              <w:t>＜200</w:t>
            </w:r>
          </w:p>
        </w:tc>
        <w:tc>
          <w:tcPr>
            <w:tcW w:w="682" w:type="dxa"/>
            <w:vAlign w:val="center"/>
          </w:tcPr>
          <w:p w14:paraId="2D18B146">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525" w:type="dxa"/>
            <w:vAlign w:val="center"/>
          </w:tcPr>
          <w:p w14:paraId="7FB5A40E">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49F2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324B2E2D">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7</w:t>
            </w:r>
          </w:p>
        </w:tc>
        <w:tc>
          <w:tcPr>
            <w:tcW w:w="987" w:type="dxa"/>
            <w:vAlign w:val="center"/>
          </w:tcPr>
          <w:p w14:paraId="2E5E65B3">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仓储业</w:t>
            </w:r>
          </w:p>
        </w:tc>
        <w:tc>
          <w:tcPr>
            <w:tcW w:w="735" w:type="dxa"/>
            <w:vAlign w:val="center"/>
          </w:tcPr>
          <w:p w14:paraId="312EBF6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≥30000</w:t>
            </w:r>
          </w:p>
        </w:tc>
        <w:tc>
          <w:tcPr>
            <w:tcW w:w="679" w:type="dxa"/>
            <w:vAlign w:val="center"/>
          </w:tcPr>
          <w:p w14:paraId="17008F82">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w:t>
            </w:r>
          </w:p>
        </w:tc>
        <w:tc>
          <w:tcPr>
            <w:tcW w:w="579" w:type="dxa"/>
            <w:vAlign w:val="center"/>
          </w:tcPr>
          <w:p w14:paraId="7C2C5AD0">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A0AD9D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2AF1885C">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44ACD84F">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D1C9E2C">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5DAED379">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619" w:type="dxa"/>
            <w:vAlign w:val="center"/>
          </w:tcPr>
          <w:p w14:paraId="7CEF4F2A">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05856E2">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116D092C">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525" w:type="dxa"/>
            <w:vAlign w:val="center"/>
          </w:tcPr>
          <w:p w14:paraId="117077F6">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3590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40AFFC99">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8</w:t>
            </w:r>
          </w:p>
        </w:tc>
        <w:tc>
          <w:tcPr>
            <w:tcW w:w="987" w:type="dxa"/>
            <w:vAlign w:val="center"/>
          </w:tcPr>
          <w:p w14:paraId="507FFD18">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邮政业</w:t>
            </w:r>
          </w:p>
        </w:tc>
        <w:tc>
          <w:tcPr>
            <w:tcW w:w="735" w:type="dxa"/>
            <w:vAlign w:val="center"/>
          </w:tcPr>
          <w:p w14:paraId="1BD0307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≥30000</w:t>
            </w:r>
          </w:p>
        </w:tc>
        <w:tc>
          <w:tcPr>
            <w:tcW w:w="679" w:type="dxa"/>
            <w:vAlign w:val="center"/>
          </w:tcPr>
          <w:p w14:paraId="1D08C314">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579" w:type="dxa"/>
            <w:vAlign w:val="center"/>
          </w:tcPr>
          <w:p w14:paraId="0B399B6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BC3E180">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w:t>
            </w:r>
          </w:p>
        </w:tc>
        <w:tc>
          <w:tcPr>
            <w:tcW w:w="673" w:type="dxa"/>
            <w:vAlign w:val="center"/>
          </w:tcPr>
          <w:p w14:paraId="36ADB0C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15" w:type="dxa"/>
            <w:vAlign w:val="center"/>
          </w:tcPr>
          <w:p w14:paraId="6C9A513E">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4B1A046A">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176FD139">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619" w:type="dxa"/>
            <w:vAlign w:val="center"/>
          </w:tcPr>
          <w:p w14:paraId="1C022716">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BC886A6">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20B6EDBE">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525" w:type="dxa"/>
            <w:vAlign w:val="center"/>
          </w:tcPr>
          <w:p w14:paraId="4FDDA13F">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7C70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0FE10246">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9</w:t>
            </w:r>
          </w:p>
        </w:tc>
        <w:tc>
          <w:tcPr>
            <w:tcW w:w="987" w:type="dxa"/>
            <w:vAlign w:val="center"/>
          </w:tcPr>
          <w:p w14:paraId="2B1DBA94">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住宿业</w:t>
            </w:r>
          </w:p>
        </w:tc>
        <w:tc>
          <w:tcPr>
            <w:tcW w:w="735" w:type="dxa"/>
            <w:vAlign w:val="center"/>
          </w:tcPr>
          <w:p w14:paraId="3189005E">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≥10000</w:t>
            </w:r>
          </w:p>
        </w:tc>
        <w:tc>
          <w:tcPr>
            <w:tcW w:w="679" w:type="dxa"/>
            <w:vAlign w:val="center"/>
          </w:tcPr>
          <w:p w14:paraId="7E3C7570">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1C63F6A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D532882">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w:t>
            </w:r>
          </w:p>
        </w:tc>
        <w:tc>
          <w:tcPr>
            <w:tcW w:w="673" w:type="dxa"/>
            <w:vAlign w:val="center"/>
          </w:tcPr>
          <w:p w14:paraId="79F0DEA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3210EBEF">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2FE541F">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495F26AB">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1F6A4103">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919A77D">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54575D67">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30392446">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7FF2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357A92C8">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10</w:t>
            </w:r>
          </w:p>
        </w:tc>
        <w:tc>
          <w:tcPr>
            <w:tcW w:w="987" w:type="dxa"/>
            <w:vAlign w:val="center"/>
          </w:tcPr>
          <w:p w14:paraId="48C811BF">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餐饮业</w:t>
            </w:r>
          </w:p>
        </w:tc>
        <w:tc>
          <w:tcPr>
            <w:tcW w:w="735" w:type="dxa"/>
            <w:vAlign w:val="center"/>
          </w:tcPr>
          <w:p w14:paraId="390DE23B">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≥10000</w:t>
            </w:r>
          </w:p>
        </w:tc>
        <w:tc>
          <w:tcPr>
            <w:tcW w:w="679" w:type="dxa"/>
            <w:vAlign w:val="center"/>
          </w:tcPr>
          <w:p w14:paraId="183BFABE">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277D981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1AC33A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w:t>
            </w:r>
          </w:p>
        </w:tc>
        <w:tc>
          <w:tcPr>
            <w:tcW w:w="673" w:type="dxa"/>
            <w:vAlign w:val="center"/>
          </w:tcPr>
          <w:p w14:paraId="10F1498A">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793BF4D5">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906A0A4">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1047D820">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3F71842E">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DAED8A1">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5F5D4A59">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5675122E">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1637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1D51461E">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11</w:t>
            </w:r>
          </w:p>
        </w:tc>
        <w:tc>
          <w:tcPr>
            <w:tcW w:w="987" w:type="dxa"/>
            <w:vAlign w:val="center"/>
          </w:tcPr>
          <w:p w14:paraId="18C0DF1A">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信息传输业</w:t>
            </w:r>
          </w:p>
        </w:tc>
        <w:tc>
          <w:tcPr>
            <w:tcW w:w="735" w:type="dxa"/>
            <w:vAlign w:val="center"/>
          </w:tcPr>
          <w:p w14:paraId="0ED098B4">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≥100000</w:t>
            </w:r>
          </w:p>
        </w:tc>
        <w:tc>
          <w:tcPr>
            <w:tcW w:w="679" w:type="dxa"/>
            <w:vAlign w:val="center"/>
          </w:tcPr>
          <w:p w14:paraId="0F1C316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w:t>
            </w:r>
          </w:p>
        </w:tc>
        <w:tc>
          <w:tcPr>
            <w:tcW w:w="579" w:type="dxa"/>
            <w:vAlign w:val="center"/>
          </w:tcPr>
          <w:p w14:paraId="708829C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9CA3AF0">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34E5B714">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4AA15970">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1B92D30">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760DB27B">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31843F4D">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70CA987">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341F4541">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35C9CF0C">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26A8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vAlign w:val="center"/>
          </w:tcPr>
          <w:p w14:paraId="21DAB52B">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12</w:t>
            </w:r>
          </w:p>
        </w:tc>
        <w:tc>
          <w:tcPr>
            <w:tcW w:w="987" w:type="dxa"/>
            <w:vAlign w:val="center"/>
          </w:tcPr>
          <w:p w14:paraId="7391B5B5">
            <w:pPr>
              <w:ind w:left="-27" w:leftChars="-13" w:right="-65" w:rightChars="-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软件和信息技术服务业</w:t>
            </w:r>
          </w:p>
        </w:tc>
        <w:tc>
          <w:tcPr>
            <w:tcW w:w="735" w:type="dxa"/>
            <w:vAlign w:val="center"/>
          </w:tcPr>
          <w:p w14:paraId="6BDFE18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≥10000</w:t>
            </w:r>
          </w:p>
        </w:tc>
        <w:tc>
          <w:tcPr>
            <w:tcW w:w="679" w:type="dxa"/>
            <w:vAlign w:val="center"/>
          </w:tcPr>
          <w:p w14:paraId="7285D4F1">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2DC34F3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4F9B7CB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3BDFE6A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53ABACEF">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7A33B0C">
            <w:pPr>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714" w:type="dxa"/>
            <w:vAlign w:val="center"/>
          </w:tcPr>
          <w:p w14:paraId="0C734C4F">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5C48D5B6">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21EAF109">
            <w:pPr>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682" w:type="dxa"/>
            <w:vAlign w:val="center"/>
          </w:tcPr>
          <w:p w14:paraId="52AD2DFA">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6E6277BD">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4177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vAlign w:val="center"/>
          </w:tcPr>
          <w:p w14:paraId="1F445BE2">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13</w:t>
            </w:r>
          </w:p>
        </w:tc>
        <w:tc>
          <w:tcPr>
            <w:tcW w:w="987" w:type="dxa"/>
            <w:vAlign w:val="center"/>
          </w:tcPr>
          <w:p w14:paraId="013A4A39">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房地产开发经营</w:t>
            </w:r>
          </w:p>
        </w:tc>
        <w:tc>
          <w:tcPr>
            <w:tcW w:w="735" w:type="dxa"/>
            <w:vAlign w:val="center"/>
          </w:tcPr>
          <w:p w14:paraId="4AF7BCE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≥200000</w:t>
            </w:r>
          </w:p>
        </w:tc>
        <w:tc>
          <w:tcPr>
            <w:tcW w:w="679" w:type="dxa"/>
            <w:vAlign w:val="center"/>
          </w:tcPr>
          <w:p w14:paraId="22DF11B1">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79" w:type="dxa"/>
            <w:vAlign w:val="center"/>
          </w:tcPr>
          <w:p w14:paraId="22870E61">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或,≥10000</w:t>
            </w:r>
          </w:p>
        </w:tc>
        <w:tc>
          <w:tcPr>
            <w:tcW w:w="679" w:type="dxa"/>
            <w:vAlign w:val="center"/>
          </w:tcPr>
          <w:p w14:paraId="5B215BA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24426E5B">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5" w:type="dxa"/>
            <w:vAlign w:val="center"/>
          </w:tcPr>
          <w:p w14:paraId="10F20715">
            <w:pPr>
              <w:jc w:val="center"/>
              <w:rPr>
                <w:rFonts w:ascii="宋体" w:hAnsi="宋体" w:eastAsia="宋体" w:cs="宋体"/>
                <w:color w:val="auto"/>
                <w:highlight w:val="none"/>
              </w:rPr>
            </w:pPr>
            <w:r>
              <w:rPr>
                <w:rFonts w:hint="eastAsia" w:ascii="宋体" w:hAnsi="宋体" w:eastAsia="宋体" w:cs="宋体"/>
                <w:color w:val="auto"/>
                <w:highlight w:val="none"/>
              </w:rPr>
              <w:t>且,≥5000</w:t>
            </w:r>
          </w:p>
        </w:tc>
        <w:tc>
          <w:tcPr>
            <w:tcW w:w="679" w:type="dxa"/>
            <w:vAlign w:val="center"/>
          </w:tcPr>
          <w:p w14:paraId="3A77AE05">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67209615">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9" w:type="dxa"/>
            <w:vAlign w:val="center"/>
          </w:tcPr>
          <w:p w14:paraId="33517F41">
            <w:pPr>
              <w:jc w:val="center"/>
              <w:rPr>
                <w:rFonts w:ascii="宋体" w:hAnsi="宋体" w:eastAsia="宋体" w:cs="宋体"/>
                <w:color w:val="auto"/>
                <w:highlight w:val="none"/>
              </w:rPr>
            </w:pPr>
            <w:r>
              <w:rPr>
                <w:rFonts w:hint="eastAsia" w:ascii="宋体" w:hAnsi="宋体" w:eastAsia="宋体" w:cs="宋体"/>
                <w:color w:val="auto"/>
                <w:highlight w:val="none"/>
              </w:rPr>
              <w:t>且,≥2000</w:t>
            </w:r>
          </w:p>
        </w:tc>
        <w:tc>
          <w:tcPr>
            <w:tcW w:w="679" w:type="dxa"/>
            <w:vAlign w:val="center"/>
          </w:tcPr>
          <w:p w14:paraId="5E4E12C3">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6BE2A7BB">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25" w:type="dxa"/>
            <w:vAlign w:val="center"/>
          </w:tcPr>
          <w:p w14:paraId="7D8E1CB0">
            <w:pPr>
              <w:jc w:val="center"/>
              <w:rPr>
                <w:rFonts w:ascii="宋体" w:hAnsi="宋体" w:eastAsia="宋体" w:cs="宋体"/>
                <w:color w:val="auto"/>
                <w:highlight w:val="none"/>
              </w:rPr>
            </w:pPr>
            <w:r>
              <w:rPr>
                <w:rFonts w:hint="eastAsia" w:ascii="宋体" w:hAnsi="宋体" w:eastAsia="宋体" w:cs="宋体"/>
                <w:color w:val="auto"/>
                <w:highlight w:val="none"/>
              </w:rPr>
              <w:t>或,＜2000</w:t>
            </w:r>
          </w:p>
        </w:tc>
      </w:tr>
      <w:tr w14:paraId="0890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1AA7C040">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14</w:t>
            </w:r>
          </w:p>
        </w:tc>
        <w:tc>
          <w:tcPr>
            <w:tcW w:w="987" w:type="dxa"/>
            <w:vAlign w:val="center"/>
          </w:tcPr>
          <w:p w14:paraId="0F69BF3E">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物业管理</w:t>
            </w:r>
          </w:p>
        </w:tc>
        <w:tc>
          <w:tcPr>
            <w:tcW w:w="735" w:type="dxa"/>
            <w:vAlign w:val="center"/>
          </w:tcPr>
          <w:p w14:paraId="171E38B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≥5000</w:t>
            </w:r>
          </w:p>
        </w:tc>
        <w:tc>
          <w:tcPr>
            <w:tcW w:w="679" w:type="dxa"/>
            <w:vAlign w:val="center"/>
          </w:tcPr>
          <w:p w14:paraId="5847BC5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579" w:type="dxa"/>
            <w:vAlign w:val="center"/>
          </w:tcPr>
          <w:p w14:paraId="1FBAAFB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480E974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52E27F9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15" w:type="dxa"/>
            <w:vAlign w:val="center"/>
          </w:tcPr>
          <w:p w14:paraId="0EF32FC3">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E96B34B">
            <w:pPr>
              <w:jc w:val="center"/>
              <w:rPr>
                <w:rFonts w:ascii="宋体" w:hAnsi="宋体" w:eastAsia="宋体" w:cs="宋体"/>
                <w:color w:val="auto"/>
                <w:highlight w:val="none"/>
              </w:rPr>
            </w:pPr>
            <w:r>
              <w:rPr>
                <w:rFonts w:hint="eastAsia" w:ascii="宋体" w:hAnsi="宋体" w:eastAsia="宋体" w:cs="宋体"/>
                <w:color w:val="auto"/>
                <w:highlight w:val="none"/>
              </w:rPr>
              <w:t>≥500</w:t>
            </w:r>
          </w:p>
        </w:tc>
        <w:tc>
          <w:tcPr>
            <w:tcW w:w="714" w:type="dxa"/>
            <w:vAlign w:val="center"/>
          </w:tcPr>
          <w:p w14:paraId="734C5EA8">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9" w:type="dxa"/>
            <w:vAlign w:val="center"/>
          </w:tcPr>
          <w:p w14:paraId="48D8EB59">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7452F70">
            <w:pPr>
              <w:jc w:val="center"/>
              <w:rPr>
                <w:rFonts w:ascii="宋体" w:hAnsi="宋体" w:eastAsia="宋体" w:cs="宋体"/>
                <w:color w:val="auto"/>
                <w:highlight w:val="none"/>
              </w:rPr>
            </w:pPr>
            <w:r>
              <w:rPr>
                <w:rFonts w:hint="eastAsia" w:ascii="宋体" w:hAnsi="宋体" w:eastAsia="宋体" w:cs="宋体"/>
                <w:color w:val="auto"/>
                <w:highlight w:val="none"/>
              </w:rPr>
              <w:t>＜500</w:t>
            </w:r>
          </w:p>
        </w:tc>
        <w:tc>
          <w:tcPr>
            <w:tcW w:w="682" w:type="dxa"/>
            <w:vAlign w:val="center"/>
          </w:tcPr>
          <w:p w14:paraId="61F9530E">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525" w:type="dxa"/>
            <w:vAlign w:val="center"/>
          </w:tcPr>
          <w:p w14:paraId="360F9DC4">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17AB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vAlign w:val="center"/>
          </w:tcPr>
          <w:p w14:paraId="77CCF112">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15</w:t>
            </w:r>
          </w:p>
        </w:tc>
        <w:tc>
          <w:tcPr>
            <w:tcW w:w="987" w:type="dxa"/>
            <w:vAlign w:val="center"/>
          </w:tcPr>
          <w:p w14:paraId="39573C8A">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租赁和商务服务业</w:t>
            </w:r>
          </w:p>
        </w:tc>
        <w:tc>
          <w:tcPr>
            <w:tcW w:w="735" w:type="dxa"/>
            <w:vAlign w:val="center"/>
          </w:tcPr>
          <w:p w14:paraId="4DDFF13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E916E4C">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2B08466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或,≥120000</w:t>
            </w:r>
          </w:p>
        </w:tc>
        <w:tc>
          <w:tcPr>
            <w:tcW w:w="679" w:type="dxa"/>
            <w:vAlign w:val="center"/>
          </w:tcPr>
          <w:p w14:paraId="0B1221BC">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3" w:type="dxa"/>
            <w:vAlign w:val="center"/>
          </w:tcPr>
          <w:p w14:paraId="4CBD396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179A601B">
            <w:pPr>
              <w:jc w:val="center"/>
              <w:rPr>
                <w:rFonts w:ascii="宋体" w:hAnsi="宋体" w:eastAsia="宋体" w:cs="宋体"/>
                <w:color w:val="auto"/>
                <w:highlight w:val="none"/>
              </w:rPr>
            </w:pPr>
            <w:r>
              <w:rPr>
                <w:rFonts w:hint="eastAsia" w:ascii="宋体" w:hAnsi="宋体" w:eastAsia="宋体" w:cs="宋体"/>
                <w:color w:val="auto"/>
                <w:highlight w:val="none"/>
              </w:rPr>
              <w:t>且,≥8000</w:t>
            </w:r>
          </w:p>
        </w:tc>
        <w:tc>
          <w:tcPr>
            <w:tcW w:w="679" w:type="dxa"/>
            <w:vAlign w:val="center"/>
          </w:tcPr>
          <w:p w14:paraId="3794A3E8">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714" w:type="dxa"/>
            <w:vAlign w:val="center"/>
          </w:tcPr>
          <w:p w14:paraId="5E0BBEEF">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09E86687">
            <w:pPr>
              <w:jc w:val="center"/>
              <w:rPr>
                <w:rFonts w:ascii="宋体" w:hAnsi="宋体" w:eastAsia="宋体" w:cs="宋体"/>
                <w:color w:val="auto"/>
                <w:highlight w:val="none"/>
              </w:rPr>
            </w:pPr>
            <w:r>
              <w:rPr>
                <w:rFonts w:hint="eastAsia" w:ascii="宋体" w:hAnsi="宋体" w:eastAsia="宋体" w:cs="宋体"/>
                <w:color w:val="auto"/>
                <w:highlight w:val="none"/>
              </w:rPr>
              <w:t>且,≥100</w:t>
            </w:r>
          </w:p>
        </w:tc>
        <w:tc>
          <w:tcPr>
            <w:tcW w:w="679" w:type="dxa"/>
            <w:vAlign w:val="center"/>
          </w:tcPr>
          <w:p w14:paraId="14756CA9">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82" w:type="dxa"/>
            <w:vAlign w:val="center"/>
          </w:tcPr>
          <w:p w14:paraId="0E1546AE">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27237733">
            <w:pPr>
              <w:jc w:val="center"/>
              <w:rPr>
                <w:rFonts w:ascii="宋体" w:hAnsi="宋体" w:eastAsia="宋体" w:cs="宋体"/>
                <w:color w:val="auto"/>
                <w:highlight w:val="none"/>
              </w:rPr>
            </w:pPr>
            <w:r>
              <w:rPr>
                <w:rFonts w:hint="eastAsia" w:ascii="宋体" w:hAnsi="宋体" w:eastAsia="宋体" w:cs="宋体"/>
                <w:color w:val="auto"/>
                <w:highlight w:val="none"/>
              </w:rPr>
              <w:t>或,＜100</w:t>
            </w:r>
          </w:p>
        </w:tc>
      </w:tr>
      <w:tr w14:paraId="206C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vAlign w:val="center"/>
          </w:tcPr>
          <w:p w14:paraId="19C5C073">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16</w:t>
            </w:r>
          </w:p>
        </w:tc>
        <w:tc>
          <w:tcPr>
            <w:tcW w:w="987" w:type="dxa"/>
            <w:vAlign w:val="center"/>
          </w:tcPr>
          <w:p w14:paraId="3E4499C2">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其他未列明行业</w:t>
            </w:r>
          </w:p>
        </w:tc>
        <w:tc>
          <w:tcPr>
            <w:tcW w:w="735" w:type="dxa"/>
            <w:vAlign w:val="center"/>
          </w:tcPr>
          <w:p w14:paraId="10587B3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E6F66AB">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1CC3157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F79A7B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3" w:type="dxa"/>
            <w:vAlign w:val="center"/>
          </w:tcPr>
          <w:p w14:paraId="298D575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2684E9FB">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19B5AD8">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714" w:type="dxa"/>
            <w:vAlign w:val="center"/>
          </w:tcPr>
          <w:p w14:paraId="3426308C">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122AAB35">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5C5CB4B">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82" w:type="dxa"/>
            <w:vAlign w:val="center"/>
          </w:tcPr>
          <w:p w14:paraId="67E61DA5">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21CC8EB4">
            <w:pPr>
              <w:jc w:val="center"/>
              <w:rPr>
                <w:rFonts w:ascii="宋体" w:hAnsi="宋体" w:eastAsia="宋体" w:cs="宋体"/>
                <w:color w:val="auto"/>
                <w:highlight w:val="none"/>
              </w:rPr>
            </w:pPr>
            <w:r>
              <w:rPr>
                <w:rFonts w:hint="eastAsia" w:ascii="宋体" w:hAnsi="宋体" w:eastAsia="宋体" w:cs="宋体"/>
                <w:color w:val="auto"/>
                <w:highlight w:val="none"/>
              </w:rPr>
              <w:t>　</w:t>
            </w:r>
          </w:p>
        </w:tc>
      </w:tr>
    </w:tbl>
    <w:p w14:paraId="675F78B7">
      <w:pP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p>
    <w:p w14:paraId="52C6D6FF">
      <w:pP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br w:type="page"/>
      </w:r>
    </w:p>
    <w:p w14:paraId="76BF3CEA">
      <w:pPr>
        <w:spacing w:before="182" w:line="220" w:lineRule="auto"/>
        <w:ind w:left="3332"/>
        <w:outlineLvl w:val="0"/>
        <w:rPr>
          <w:rFonts w:ascii="宋体" w:hAnsi="宋体" w:eastAsia="宋体" w:cs="宋体"/>
          <w:color w:val="auto"/>
          <w:sz w:val="24"/>
          <w:szCs w:val="24"/>
          <w:highlight w:val="none"/>
          <w:lang w:eastAsia="zh-CN"/>
        </w:rPr>
      </w:pPr>
      <w:bookmarkStart w:id="60" w:name="_Toc12055"/>
      <w:bookmarkStart w:id="61" w:name="_Toc6463"/>
      <w:bookmarkStart w:id="62" w:name="_Toc805"/>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残疾人福利性单位声明函</w:t>
      </w:r>
      <w:bookmarkEnd w:id="60"/>
      <w:bookmarkEnd w:id="61"/>
      <w:bookmarkEnd w:id="62"/>
    </w:p>
    <w:p w14:paraId="36EF11F3">
      <w:pPr>
        <w:pStyle w:val="8"/>
        <w:spacing w:line="283" w:lineRule="auto"/>
        <w:rPr>
          <w:rFonts w:ascii="宋体" w:hAnsi="宋体" w:eastAsia="宋体" w:cs="宋体"/>
          <w:color w:val="auto"/>
          <w:highlight w:val="none"/>
          <w:lang w:eastAsia="zh-CN"/>
        </w:rPr>
      </w:pPr>
    </w:p>
    <w:p w14:paraId="0C084616">
      <w:pPr>
        <w:pStyle w:val="8"/>
        <w:spacing w:line="283" w:lineRule="auto"/>
        <w:rPr>
          <w:rFonts w:ascii="宋体" w:hAnsi="宋体" w:eastAsia="宋体" w:cs="宋体"/>
          <w:color w:val="auto"/>
          <w:highlight w:val="none"/>
          <w:lang w:eastAsia="zh-CN"/>
        </w:rPr>
      </w:pPr>
    </w:p>
    <w:p w14:paraId="6702DC44">
      <w:pPr>
        <w:spacing w:before="78" w:line="465" w:lineRule="exact"/>
        <w:ind w:right="2"/>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4"/>
          <w:position w:val="17"/>
          <w:sz w:val="24"/>
          <w:szCs w:val="24"/>
          <w:highlight w:val="none"/>
          <w:lang w:eastAsia="zh-CN"/>
        </w:rPr>
        <w:t>本单位郑重声明，根据《财政部</w:t>
      </w:r>
      <w:r>
        <w:rPr>
          <w:rFonts w:hint="eastAsia" w:ascii="宋体" w:hAnsi="宋体" w:eastAsia="宋体" w:cs="宋体"/>
          <w:color w:val="auto"/>
          <w:spacing w:val="38"/>
          <w:position w:val="17"/>
          <w:sz w:val="24"/>
          <w:szCs w:val="24"/>
          <w:highlight w:val="none"/>
          <w:lang w:eastAsia="zh-CN"/>
        </w:rPr>
        <w:t xml:space="preserve"> </w:t>
      </w:r>
      <w:r>
        <w:rPr>
          <w:rFonts w:hint="eastAsia" w:ascii="宋体" w:hAnsi="宋体" w:eastAsia="宋体" w:cs="宋体"/>
          <w:color w:val="auto"/>
          <w:spacing w:val="-4"/>
          <w:position w:val="17"/>
          <w:sz w:val="24"/>
          <w:szCs w:val="24"/>
          <w:highlight w:val="none"/>
          <w:lang w:eastAsia="zh-CN"/>
        </w:rPr>
        <w:t>民政部</w:t>
      </w:r>
      <w:r>
        <w:rPr>
          <w:rFonts w:hint="eastAsia" w:ascii="宋体" w:hAnsi="宋体" w:eastAsia="宋体" w:cs="宋体"/>
          <w:color w:val="auto"/>
          <w:spacing w:val="32"/>
          <w:position w:val="17"/>
          <w:sz w:val="24"/>
          <w:szCs w:val="24"/>
          <w:highlight w:val="none"/>
          <w:lang w:eastAsia="zh-CN"/>
        </w:rPr>
        <w:t xml:space="preserve"> </w:t>
      </w:r>
      <w:r>
        <w:rPr>
          <w:rFonts w:hint="eastAsia" w:ascii="宋体" w:hAnsi="宋体" w:eastAsia="宋体" w:cs="宋体"/>
          <w:color w:val="auto"/>
          <w:spacing w:val="-4"/>
          <w:position w:val="17"/>
          <w:sz w:val="24"/>
          <w:szCs w:val="24"/>
          <w:highlight w:val="none"/>
          <w:lang w:eastAsia="zh-CN"/>
        </w:rPr>
        <w:t>中国残疾人联合会关于促进残疾人就业政府</w:t>
      </w:r>
    </w:p>
    <w:p w14:paraId="5D04913C">
      <w:pPr>
        <w:spacing w:line="219"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采购政策的通知》（财库〔2017〕141号）的规定</w:t>
      </w:r>
      <w:r>
        <w:rPr>
          <w:rFonts w:hint="eastAsia" w:ascii="宋体" w:hAnsi="宋体" w:eastAsia="宋体" w:cs="宋体"/>
          <w:color w:val="auto"/>
          <w:spacing w:val="-1"/>
          <w:sz w:val="24"/>
          <w:szCs w:val="24"/>
          <w:highlight w:val="none"/>
          <w:lang w:eastAsia="zh-CN"/>
        </w:rPr>
        <w:t>，本单位（请进行选择</w:t>
      </w:r>
      <w:r>
        <w:rPr>
          <w:rFonts w:hint="eastAsia" w:ascii="宋体" w:hAnsi="宋体" w:eastAsia="宋体" w:cs="宋体"/>
          <w:color w:val="auto"/>
          <w:sz w:val="24"/>
          <w:szCs w:val="24"/>
          <w:highlight w:val="none"/>
          <w:lang w:eastAsia="zh-CN"/>
        </w:rPr>
        <w:t>）：</w:t>
      </w:r>
    </w:p>
    <w:p w14:paraId="168E4B43">
      <w:pPr>
        <w:spacing w:before="182" w:line="220"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不属于符合条件的残疾人福利性单位。</w:t>
      </w:r>
    </w:p>
    <w:p w14:paraId="480E203C">
      <w:pPr>
        <w:spacing w:before="182" w:line="359" w:lineRule="auto"/>
        <w:ind w:left="1" w:firstLine="503"/>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highlight w:val="none"/>
          <w:lang w:eastAsia="zh-CN"/>
        </w:rPr>
        <w:t>且本单位参加</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2"/>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单位的</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项目采购活</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动提供本单位制造的货物（由本单位承担工程/提供货物</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1"/>
          <w:sz w:val="24"/>
          <w:szCs w:val="24"/>
          <w:highlight w:val="none"/>
          <w:lang w:eastAsia="zh-CN"/>
        </w:rPr>
        <w:t>或者提供其他</w:t>
      </w:r>
      <w:r>
        <w:rPr>
          <w:rFonts w:hint="eastAsia" w:ascii="宋体" w:hAnsi="宋体" w:eastAsia="宋体" w:cs="宋体"/>
          <w:color w:val="auto"/>
          <w:sz w:val="24"/>
          <w:szCs w:val="24"/>
          <w:highlight w:val="none"/>
          <w:lang w:eastAsia="zh-CN"/>
        </w:rPr>
        <w:t>残疾人福利性</w:t>
      </w:r>
    </w:p>
    <w:p w14:paraId="46E1BCE7">
      <w:pPr>
        <w:spacing w:line="219" w:lineRule="auto"/>
        <w:ind w:left="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单位制造的货物（不包括使用非残疾人福利性单位注册商标的货物）。</w:t>
      </w:r>
    </w:p>
    <w:p w14:paraId="27CEE63C">
      <w:pPr>
        <w:spacing w:before="181" w:line="219"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本单位对上述声明的真实性负责。如有虚假，将依法承担相应责任。</w:t>
      </w:r>
    </w:p>
    <w:p w14:paraId="22286ABF">
      <w:pPr>
        <w:pStyle w:val="8"/>
        <w:spacing w:line="249" w:lineRule="auto"/>
        <w:rPr>
          <w:rFonts w:ascii="宋体" w:hAnsi="宋体" w:eastAsia="宋体" w:cs="宋体"/>
          <w:color w:val="auto"/>
          <w:highlight w:val="none"/>
          <w:lang w:eastAsia="zh-CN"/>
        </w:rPr>
      </w:pPr>
    </w:p>
    <w:p w14:paraId="5D878656">
      <w:pPr>
        <w:pStyle w:val="8"/>
        <w:spacing w:line="249" w:lineRule="auto"/>
        <w:rPr>
          <w:rFonts w:ascii="宋体" w:hAnsi="宋体" w:eastAsia="宋体" w:cs="宋体"/>
          <w:color w:val="auto"/>
          <w:highlight w:val="none"/>
          <w:lang w:eastAsia="zh-CN"/>
        </w:rPr>
      </w:pPr>
    </w:p>
    <w:p w14:paraId="303C0FF1">
      <w:pPr>
        <w:pStyle w:val="8"/>
        <w:spacing w:line="249" w:lineRule="auto"/>
        <w:rPr>
          <w:rFonts w:ascii="宋体" w:hAnsi="宋体" w:eastAsia="宋体" w:cs="宋体"/>
          <w:color w:val="auto"/>
          <w:highlight w:val="none"/>
          <w:lang w:eastAsia="zh-CN"/>
        </w:rPr>
      </w:pPr>
    </w:p>
    <w:p w14:paraId="3AE71CAB">
      <w:pPr>
        <w:pStyle w:val="8"/>
        <w:spacing w:line="249" w:lineRule="auto"/>
        <w:rPr>
          <w:rFonts w:ascii="宋体" w:hAnsi="宋体" w:eastAsia="宋体" w:cs="宋体"/>
          <w:color w:val="auto"/>
          <w:highlight w:val="none"/>
          <w:lang w:eastAsia="zh-CN"/>
        </w:rPr>
      </w:pPr>
    </w:p>
    <w:p w14:paraId="4164327C">
      <w:pPr>
        <w:pStyle w:val="8"/>
        <w:spacing w:line="249" w:lineRule="auto"/>
        <w:rPr>
          <w:rFonts w:ascii="宋体" w:hAnsi="宋体" w:eastAsia="宋体" w:cs="宋体"/>
          <w:color w:val="auto"/>
          <w:highlight w:val="none"/>
          <w:lang w:eastAsia="zh-CN"/>
        </w:rPr>
      </w:pPr>
    </w:p>
    <w:p w14:paraId="5D86C5C1">
      <w:pPr>
        <w:pStyle w:val="8"/>
        <w:spacing w:line="250" w:lineRule="auto"/>
        <w:rPr>
          <w:rFonts w:ascii="宋体" w:hAnsi="宋体" w:eastAsia="宋体" w:cs="宋体"/>
          <w:color w:val="auto"/>
          <w:highlight w:val="none"/>
          <w:lang w:eastAsia="zh-CN"/>
        </w:rPr>
      </w:pPr>
    </w:p>
    <w:p w14:paraId="00F1A4DC">
      <w:pPr>
        <w:spacing w:before="78" w:line="219"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67853C73">
      <w:pPr>
        <w:spacing w:before="183" w:line="466" w:lineRule="exact"/>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法定代表人（单位负责人）</w:t>
      </w:r>
    </w:p>
    <w:p w14:paraId="442F2FC1">
      <w:pPr>
        <w:spacing w:line="220"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或授权代表（签字</w:t>
      </w:r>
      <w:r>
        <w:rPr>
          <w:rFonts w:hint="eastAsia" w:ascii="宋体" w:hAnsi="宋体" w:eastAsia="宋体" w:cs="宋体"/>
          <w:color w:val="auto"/>
          <w:spacing w:val="1"/>
          <w:sz w:val="24"/>
          <w:szCs w:val="24"/>
          <w:highlight w:val="none"/>
          <w:lang w:eastAsia="zh-CN"/>
        </w:rPr>
        <w:t>）：</w:t>
      </w:r>
    </w:p>
    <w:p w14:paraId="2EDB1322">
      <w:pPr>
        <w:pStyle w:val="8"/>
        <w:spacing w:line="257" w:lineRule="auto"/>
        <w:rPr>
          <w:rFonts w:ascii="宋体" w:hAnsi="宋体" w:eastAsia="宋体" w:cs="宋体"/>
          <w:color w:val="auto"/>
          <w:highlight w:val="none"/>
          <w:lang w:eastAsia="zh-CN"/>
        </w:rPr>
      </w:pPr>
    </w:p>
    <w:p w14:paraId="32CFBA67">
      <w:pPr>
        <w:pStyle w:val="8"/>
        <w:spacing w:line="258" w:lineRule="auto"/>
        <w:rPr>
          <w:rFonts w:ascii="宋体" w:hAnsi="宋体" w:eastAsia="宋体" w:cs="宋体"/>
          <w:color w:val="auto"/>
          <w:highlight w:val="none"/>
          <w:lang w:eastAsia="zh-CN"/>
        </w:rPr>
      </w:pPr>
    </w:p>
    <w:p w14:paraId="56288D25">
      <w:pPr>
        <w:pStyle w:val="8"/>
        <w:spacing w:line="258" w:lineRule="auto"/>
        <w:rPr>
          <w:rFonts w:ascii="宋体" w:hAnsi="宋体" w:eastAsia="宋体" w:cs="宋体"/>
          <w:color w:val="auto"/>
          <w:highlight w:val="none"/>
          <w:lang w:eastAsia="zh-CN"/>
        </w:rPr>
      </w:pPr>
    </w:p>
    <w:p w14:paraId="33ED820B">
      <w:pPr>
        <w:pStyle w:val="8"/>
        <w:spacing w:line="258" w:lineRule="auto"/>
        <w:rPr>
          <w:rFonts w:ascii="宋体" w:hAnsi="宋体" w:eastAsia="宋体" w:cs="宋体"/>
          <w:color w:val="auto"/>
          <w:highlight w:val="none"/>
          <w:lang w:eastAsia="zh-CN"/>
        </w:rPr>
      </w:pPr>
    </w:p>
    <w:p w14:paraId="2B9082F7">
      <w:pPr>
        <w:spacing w:before="78" w:line="220" w:lineRule="auto"/>
        <w:ind w:left="522"/>
        <w:rPr>
          <w:rFonts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lang w:eastAsia="zh-CN"/>
        </w:rPr>
        <w:t>日期:年月日</w:t>
      </w:r>
    </w:p>
    <w:p w14:paraId="46F0F293">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6F627234">
      <w:pPr>
        <w:spacing w:before="181" w:line="466" w:lineRule="exact"/>
        <w:ind w:left="1165"/>
        <w:rPr>
          <w:rFonts w:ascii="宋体" w:hAnsi="宋体" w:eastAsia="宋体" w:cs="宋体"/>
          <w:color w:val="auto"/>
          <w:sz w:val="24"/>
          <w:szCs w:val="24"/>
          <w:highlight w:val="none"/>
          <w:lang w:eastAsia="zh-CN"/>
        </w:rPr>
      </w:pPr>
      <w:r>
        <w:rPr>
          <w:rFonts w:hint="eastAsia"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省级以上监狱管理局、戒毒管理局（含新疆生产建设兵团）出具的</w:t>
      </w:r>
    </w:p>
    <w:p w14:paraId="421A7906">
      <w:pPr>
        <w:spacing w:line="220" w:lineRule="auto"/>
        <w:ind w:left="3333"/>
        <w:outlineLvl w:val="0"/>
        <w:rPr>
          <w:rFonts w:ascii="宋体" w:hAnsi="宋体" w:eastAsia="宋体" w:cs="宋体"/>
          <w:color w:val="auto"/>
          <w:sz w:val="24"/>
          <w:szCs w:val="24"/>
          <w:highlight w:val="none"/>
          <w:lang w:eastAsia="zh-CN"/>
        </w:rPr>
      </w:pPr>
      <w:bookmarkStart w:id="63" w:name="_Toc15465"/>
      <w:bookmarkStart w:id="64" w:name="_Toc18630"/>
      <w:bookmarkStart w:id="65" w:name="_Toc897"/>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属于监狱企业的证明文件</w:t>
      </w:r>
      <w:bookmarkEnd w:id="63"/>
      <w:bookmarkEnd w:id="64"/>
      <w:bookmarkEnd w:id="65"/>
    </w:p>
    <w:p w14:paraId="3F8344C1">
      <w:pPr>
        <w:spacing w:before="182" w:line="219" w:lineRule="auto"/>
        <w:ind w:left="370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（如果是，提供）</w:t>
      </w:r>
    </w:p>
    <w:p w14:paraId="2C466E96">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6EA03481">
      <w:pPr>
        <w:spacing w:before="48" w:line="220" w:lineRule="auto"/>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格式十：类似业绩一览表</w:t>
      </w:r>
    </w:p>
    <w:p w14:paraId="2088E87C">
      <w:pPr>
        <w:spacing w:before="48" w:line="220" w:lineRule="auto"/>
        <w:rPr>
          <w:rFonts w:ascii="宋体" w:hAnsi="宋体" w:eastAsia="宋体" w:cs="宋体"/>
          <w:color w:val="auto"/>
          <w:sz w:val="24"/>
          <w:szCs w:val="24"/>
          <w:highlight w:val="none"/>
          <w:lang w:eastAsia="zh-CN"/>
        </w:rPr>
      </w:pPr>
    </w:p>
    <w:tbl>
      <w:tblPr>
        <w:tblStyle w:val="33"/>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64688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textDirection w:val="tbRlV"/>
            <w:vAlign w:val="center"/>
          </w:tcPr>
          <w:p w14:paraId="20B6EAC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0" w:type="dxa"/>
            <w:vAlign w:val="center"/>
          </w:tcPr>
          <w:p w14:paraId="24C8A7F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12" w:type="dxa"/>
            <w:vAlign w:val="center"/>
          </w:tcPr>
          <w:p w14:paraId="3948BE0C">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663" w:type="dxa"/>
            <w:vAlign w:val="center"/>
          </w:tcPr>
          <w:p w14:paraId="1462AB1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项目金额</w:t>
            </w:r>
          </w:p>
        </w:tc>
        <w:tc>
          <w:tcPr>
            <w:tcW w:w="1562" w:type="dxa"/>
            <w:vAlign w:val="center"/>
          </w:tcPr>
          <w:p w14:paraId="548FEC2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1590" w:type="dxa"/>
            <w:vAlign w:val="center"/>
          </w:tcPr>
          <w:p w14:paraId="042C9B3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委托事项</w:t>
            </w:r>
          </w:p>
        </w:tc>
        <w:tc>
          <w:tcPr>
            <w:tcW w:w="669" w:type="dxa"/>
            <w:vAlign w:val="center"/>
          </w:tcPr>
          <w:p w14:paraId="5FCFBEC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7F8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34507CE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0" w:type="dxa"/>
            <w:vAlign w:val="center"/>
          </w:tcPr>
          <w:p w14:paraId="3738E420">
            <w:pPr>
              <w:jc w:val="center"/>
              <w:rPr>
                <w:rFonts w:ascii="宋体" w:hAnsi="宋体" w:eastAsia="宋体" w:cs="宋体"/>
                <w:color w:val="auto"/>
                <w:sz w:val="24"/>
                <w:szCs w:val="24"/>
                <w:highlight w:val="none"/>
              </w:rPr>
            </w:pPr>
          </w:p>
        </w:tc>
        <w:tc>
          <w:tcPr>
            <w:tcW w:w="1412" w:type="dxa"/>
            <w:vAlign w:val="center"/>
          </w:tcPr>
          <w:p w14:paraId="3FA1A485">
            <w:pPr>
              <w:jc w:val="center"/>
              <w:rPr>
                <w:rFonts w:ascii="宋体" w:hAnsi="宋体" w:eastAsia="宋体" w:cs="宋体"/>
                <w:color w:val="auto"/>
                <w:sz w:val="24"/>
                <w:szCs w:val="24"/>
                <w:highlight w:val="none"/>
              </w:rPr>
            </w:pPr>
          </w:p>
        </w:tc>
        <w:tc>
          <w:tcPr>
            <w:tcW w:w="1663" w:type="dxa"/>
            <w:vAlign w:val="center"/>
          </w:tcPr>
          <w:p w14:paraId="3516BDB5">
            <w:pPr>
              <w:jc w:val="center"/>
              <w:rPr>
                <w:rFonts w:ascii="宋体" w:hAnsi="宋体" w:eastAsia="宋体" w:cs="宋体"/>
                <w:color w:val="auto"/>
                <w:sz w:val="24"/>
                <w:szCs w:val="24"/>
                <w:highlight w:val="none"/>
              </w:rPr>
            </w:pPr>
          </w:p>
        </w:tc>
        <w:tc>
          <w:tcPr>
            <w:tcW w:w="1562" w:type="dxa"/>
            <w:vAlign w:val="center"/>
          </w:tcPr>
          <w:p w14:paraId="1A55EE30">
            <w:pPr>
              <w:jc w:val="center"/>
              <w:rPr>
                <w:rFonts w:ascii="宋体" w:hAnsi="宋体" w:eastAsia="宋体" w:cs="宋体"/>
                <w:color w:val="auto"/>
                <w:sz w:val="24"/>
                <w:szCs w:val="24"/>
                <w:highlight w:val="none"/>
              </w:rPr>
            </w:pPr>
          </w:p>
        </w:tc>
        <w:tc>
          <w:tcPr>
            <w:tcW w:w="1590" w:type="dxa"/>
            <w:vAlign w:val="center"/>
          </w:tcPr>
          <w:p w14:paraId="13EC9784">
            <w:pPr>
              <w:jc w:val="center"/>
              <w:rPr>
                <w:rFonts w:ascii="宋体" w:hAnsi="宋体" w:eastAsia="宋体" w:cs="宋体"/>
                <w:color w:val="auto"/>
                <w:sz w:val="24"/>
                <w:szCs w:val="24"/>
                <w:highlight w:val="none"/>
              </w:rPr>
            </w:pPr>
          </w:p>
        </w:tc>
        <w:tc>
          <w:tcPr>
            <w:tcW w:w="669" w:type="dxa"/>
            <w:vAlign w:val="center"/>
          </w:tcPr>
          <w:p w14:paraId="7BB133FA">
            <w:pPr>
              <w:jc w:val="center"/>
              <w:rPr>
                <w:rFonts w:ascii="宋体" w:hAnsi="宋体" w:eastAsia="宋体" w:cs="宋体"/>
                <w:color w:val="auto"/>
                <w:sz w:val="24"/>
                <w:szCs w:val="24"/>
                <w:highlight w:val="none"/>
              </w:rPr>
            </w:pPr>
          </w:p>
        </w:tc>
      </w:tr>
      <w:tr w14:paraId="2BB48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682407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0" w:type="dxa"/>
            <w:vAlign w:val="center"/>
          </w:tcPr>
          <w:p w14:paraId="20A5996D">
            <w:pPr>
              <w:jc w:val="center"/>
              <w:rPr>
                <w:rFonts w:ascii="宋体" w:hAnsi="宋体" w:eastAsia="宋体" w:cs="宋体"/>
                <w:color w:val="auto"/>
                <w:sz w:val="24"/>
                <w:szCs w:val="24"/>
                <w:highlight w:val="none"/>
              </w:rPr>
            </w:pPr>
          </w:p>
        </w:tc>
        <w:tc>
          <w:tcPr>
            <w:tcW w:w="1412" w:type="dxa"/>
            <w:vAlign w:val="center"/>
          </w:tcPr>
          <w:p w14:paraId="2150B3A8">
            <w:pPr>
              <w:jc w:val="center"/>
              <w:rPr>
                <w:rFonts w:ascii="宋体" w:hAnsi="宋体" w:eastAsia="宋体" w:cs="宋体"/>
                <w:color w:val="auto"/>
                <w:sz w:val="24"/>
                <w:szCs w:val="24"/>
                <w:highlight w:val="none"/>
              </w:rPr>
            </w:pPr>
          </w:p>
        </w:tc>
        <w:tc>
          <w:tcPr>
            <w:tcW w:w="1663" w:type="dxa"/>
            <w:vAlign w:val="center"/>
          </w:tcPr>
          <w:p w14:paraId="588B48F9">
            <w:pPr>
              <w:jc w:val="center"/>
              <w:rPr>
                <w:rFonts w:ascii="宋体" w:hAnsi="宋体" w:eastAsia="宋体" w:cs="宋体"/>
                <w:color w:val="auto"/>
                <w:sz w:val="24"/>
                <w:szCs w:val="24"/>
                <w:highlight w:val="none"/>
              </w:rPr>
            </w:pPr>
          </w:p>
        </w:tc>
        <w:tc>
          <w:tcPr>
            <w:tcW w:w="1562" w:type="dxa"/>
            <w:vAlign w:val="center"/>
          </w:tcPr>
          <w:p w14:paraId="0F69E284">
            <w:pPr>
              <w:jc w:val="center"/>
              <w:rPr>
                <w:rFonts w:ascii="宋体" w:hAnsi="宋体" w:eastAsia="宋体" w:cs="宋体"/>
                <w:color w:val="auto"/>
                <w:sz w:val="24"/>
                <w:szCs w:val="24"/>
                <w:highlight w:val="none"/>
              </w:rPr>
            </w:pPr>
          </w:p>
        </w:tc>
        <w:tc>
          <w:tcPr>
            <w:tcW w:w="1590" w:type="dxa"/>
            <w:vAlign w:val="center"/>
          </w:tcPr>
          <w:p w14:paraId="4C80395F">
            <w:pPr>
              <w:jc w:val="center"/>
              <w:rPr>
                <w:rFonts w:ascii="宋体" w:hAnsi="宋体" w:eastAsia="宋体" w:cs="宋体"/>
                <w:color w:val="auto"/>
                <w:sz w:val="24"/>
                <w:szCs w:val="24"/>
                <w:highlight w:val="none"/>
              </w:rPr>
            </w:pPr>
          </w:p>
        </w:tc>
        <w:tc>
          <w:tcPr>
            <w:tcW w:w="669" w:type="dxa"/>
            <w:vAlign w:val="center"/>
          </w:tcPr>
          <w:p w14:paraId="348736CD">
            <w:pPr>
              <w:jc w:val="center"/>
              <w:rPr>
                <w:rFonts w:ascii="宋体" w:hAnsi="宋体" w:eastAsia="宋体" w:cs="宋体"/>
                <w:color w:val="auto"/>
                <w:sz w:val="24"/>
                <w:szCs w:val="24"/>
                <w:highlight w:val="none"/>
              </w:rPr>
            </w:pPr>
          </w:p>
        </w:tc>
      </w:tr>
      <w:tr w14:paraId="5DD1C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6AB9EE4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0" w:type="dxa"/>
            <w:vAlign w:val="center"/>
          </w:tcPr>
          <w:p w14:paraId="5793F287">
            <w:pPr>
              <w:jc w:val="center"/>
              <w:rPr>
                <w:rFonts w:ascii="宋体" w:hAnsi="宋体" w:eastAsia="宋体" w:cs="宋体"/>
                <w:color w:val="auto"/>
                <w:sz w:val="24"/>
                <w:szCs w:val="24"/>
                <w:highlight w:val="none"/>
              </w:rPr>
            </w:pPr>
          </w:p>
        </w:tc>
        <w:tc>
          <w:tcPr>
            <w:tcW w:w="1412" w:type="dxa"/>
            <w:vAlign w:val="center"/>
          </w:tcPr>
          <w:p w14:paraId="18920F58">
            <w:pPr>
              <w:jc w:val="center"/>
              <w:rPr>
                <w:rFonts w:ascii="宋体" w:hAnsi="宋体" w:eastAsia="宋体" w:cs="宋体"/>
                <w:color w:val="auto"/>
                <w:sz w:val="24"/>
                <w:szCs w:val="24"/>
                <w:highlight w:val="none"/>
              </w:rPr>
            </w:pPr>
          </w:p>
        </w:tc>
        <w:tc>
          <w:tcPr>
            <w:tcW w:w="1663" w:type="dxa"/>
            <w:vAlign w:val="center"/>
          </w:tcPr>
          <w:p w14:paraId="19B15F0E">
            <w:pPr>
              <w:jc w:val="center"/>
              <w:rPr>
                <w:rFonts w:ascii="宋体" w:hAnsi="宋体" w:eastAsia="宋体" w:cs="宋体"/>
                <w:color w:val="auto"/>
                <w:sz w:val="24"/>
                <w:szCs w:val="24"/>
                <w:highlight w:val="none"/>
              </w:rPr>
            </w:pPr>
          </w:p>
        </w:tc>
        <w:tc>
          <w:tcPr>
            <w:tcW w:w="1562" w:type="dxa"/>
            <w:vAlign w:val="center"/>
          </w:tcPr>
          <w:p w14:paraId="0346E945">
            <w:pPr>
              <w:jc w:val="center"/>
              <w:rPr>
                <w:rFonts w:ascii="宋体" w:hAnsi="宋体" w:eastAsia="宋体" w:cs="宋体"/>
                <w:color w:val="auto"/>
                <w:sz w:val="24"/>
                <w:szCs w:val="24"/>
                <w:highlight w:val="none"/>
              </w:rPr>
            </w:pPr>
          </w:p>
        </w:tc>
        <w:tc>
          <w:tcPr>
            <w:tcW w:w="1590" w:type="dxa"/>
            <w:vAlign w:val="center"/>
          </w:tcPr>
          <w:p w14:paraId="339AADC7">
            <w:pPr>
              <w:jc w:val="center"/>
              <w:rPr>
                <w:rFonts w:ascii="宋体" w:hAnsi="宋体" w:eastAsia="宋体" w:cs="宋体"/>
                <w:color w:val="auto"/>
                <w:sz w:val="24"/>
                <w:szCs w:val="24"/>
                <w:highlight w:val="none"/>
              </w:rPr>
            </w:pPr>
          </w:p>
        </w:tc>
        <w:tc>
          <w:tcPr>
            <w:tcW w:w="669" w:type="dxa"/>
            <w:vAlign w:val="center"/>
          </w:tcPr>
          <w:p w14:paraId="344D4CB3">
            <w:pPr>
              <w:jc w:val="center"/>
              <w:rPr>
                <w:rFonts w:ascii="宋体" w:hAnsi="宋体" w:eastAsia="宋体" w:cs="宋体"/>
                <w:color w:val="auto"/>
                <w:sz w:val="24"/>
                <w:szCs w:val="24"/>
                <w:highlight w:val="none"/>
              </w:rPr>
            </w:pPr>
          </w:p>
        </w:tc>
      </w:tr>
      <w:tr w14:paraId="05E5D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2C3C1B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0" w:type="dxa"/>
            <w:vAlign w:val="center"/>
          </w:tcPr>
          <w:p w14:paraId="15679079">
            <w:pPr>
              <w:jc w:val="center"/>
              <w:rPr>
                <w:rFonts w:ascii="宋体" w:hAnsi="宋体" w:eastAsia="宋体" w:cs="宋体"/>
                <w:color w:val="auto"/>
                <w:sz w:val="24"/>
                <w:szCs w:val="24"/>
                <w:highlight w:val="none"/>
              </w:rPr>
            </w:pPr>
          </w:p>
        </w:tc>
        <w:tc>
          <w:tcPr>
            <w:tcW w:w="1412" w:type="dxa"/>
            <w:vAlign w:val="center"/>
          </w:tcPr>
          <w:p w14:paraId="3B6FE5DB">
            <w:pPr>
              <w:jc w:val="center"/>
              <w:rPr>
                <w:rFonts w:ascii="宋体" w:hAnsi="宋体" w:eastAsia="宋体" w:cs="宋体"/>
                <w:color w:val="auto"/>
                <w:sz w:val="24"/>
                <w:szCs w:val="24"/>
                <w:highlight w:val="none"/>
              </w:rPr>
            </w:pPr>
          </w:p>
        </w:tc>
        <w:tc>
          <w:tcPr>
            <w:tcW w:w="1663" w:type="dxa"/>
            <w:vAlign w:val="center"/>
          </w:tcPr>
          <w:p w14:paraId="1F4556DE">
            <w:pPr>
              <w:jc w:val="center"/>
              <w:rPr>
                <w:rFonts w:ascii="宋体" w:hAnsi="宋体" w:eastAsia="宋体" w:cs="宋体"/>
                <w:color w:val="auto"/>
                <w:sz w:val="24"/>
                <w:szCs w:val="24"/>
                <w:highlight w:val="none"/>
              </w:rPr>
            </w:pPr>
          </w:p>
        </w:tc>
        <w:tc>
          <w:tcPr>
            <w:tcW w:w="1562" w:type="dxa"/>
            <w:vAlign w:val="center"/>
          </w:tcPr>
          <w:p w14:paraId="41101987">
            <w:pPr>
              <w:jc w:val="center"/>
              <w:rPr>
                <w:rFonts w:ascii="宋体" w:hAnsi="宋体" w:eastAsia="宋体" w:cs="宋体"/>
                <w:color w:val="auto"/>
                <w:sz w:val="24"/>
                <w:szCs w:val="24"/>
                <w:highlight w:val="none"/>
              </w:rPr>
            </w:pPr>
          </w:p>
        </w:tc>
        <w:tc>
          <w:tcPr>
            <w:tcW w:w="1590" w:type="dxa"/>
            <w:vAlign w:val="center"/>
          </w:tcPr>
          <w:p w14:paraId="75DA74B6">
            <w:pPr>
              <w:jc w:val="center"/>
              <w:rPr>
                <w:rFonts w:ascii="宋体" w:hAnsi="宋体" w:eastAsia="宋体" w:cs="宋体"/>
                <w:color w:val="auto"/>
                <w:sz w:val="24"/>
                <w:szCs w:val="24"/>
                <w:highlight w:val="none"/>
              </w:rPr>
            </w:pPr>
          </w:p>
        </w:tc>
        <w:tc>
          <w:tcPr>
            <w:tcW w:w="669" w:type="dxa"/>
            <w:vAlign w:val="center"/>
          </w:tcPr>
          <w:p w14:paraId="0722534D">
            <w:pPr>
              <w:jc w:val="center"/>
              <w:rPr>
                <w:rFonts w:ascii="宋体" w:hAnsi="宋体" w:eastAsia="宋体" w:cs="宋体"/>
                <w:color w:val="auto"/>
                <w:sz w:val="24"/>
                <w:szCs w:val="24"/>
                <w:highlight w:val="none"/>
              </w:rPr>
            </w:pPr>
          </w:p>
        </w:tc>
      </w:tr>
      <w:tr w14:paraId="569A1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4382FB0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0" w:type="dxa"/>
            <w:vAlign w:val="center"/>
          </w:tcPr>
          <w:p w14:paraId="5F2645FA">
            <w:pPr>
              <w:jc w:val="center"/>
              <w:rPr>
                <w:rFonts w:ascii="宋体" w:hAnsi="宋体" w:eastAsia="宋体" w:cs="宋体"/>
                <w:color w:val="auto"/>
                <w:sz w:val="24"/>
                <w:szCs w:val="24"/>
                <w:highlight w:val="none"/>
              </w:rPr>
            </w:pPr>
          </w:p>
        </w:tc>
        <w:tc>
          <w:tcPr>
            <w:tcW w:w="1412" w:type="dxa"/>
            <w:vAlign w:val="center"/>
          </w:tcPr>
          <w:p w14:paraId="4EB9E74D">
            <w:pPr>
              <w:jc w:val="center"/>
              <w:rPr>
                <w:rFonts w:ascii="宋体" w:hAnsi="宋体" w:eastAsia="宋体" w:cs="宋体"/>
                <w:color w:val="auto"/>
                <w:sz w:val="24"/>
                <w:szCs w:val="24"/>
                <w:highlight w:val="none"/>
              </w:rPr>
            </w:pPr>
          </w:p>
        </w:tc>
        <w:tc>
          <w:tcPr>
            <w:tcW w:w="1663" w:type="dxa"/>
            <w:vAlign w:val="center"/>
          </w:tcPr>
          <w:p w14:paraId="76D30DCC">
            <w:pPr>
              <w:jc w:val="center"/>
              <w:rPr>
                <w:rFonts w:ascii="宋体" w:hAnsi="宋体" w:eastAsia="宋体" w:cs="宋体"/>
                <w:color w:val="auto"/>
                <w:sz w:val="24"/>
                <w:szCs w:val="24"/>
                <w:highlight w:val="none"/>
              </w:rPr>
            </w:pPr>
          </w:p>
        </w:tc>
        <w:tc>
          <w:tcPr>
            <w:tcW w:w="1562" w:type="dxa"/>
            <w:vAlign w:val="center"/>
          </w:tcPr>
          <w:p w14:paraId="01F43C23">
            <w:pPr>
              <w:jc w:val="center"/>
              <w:rPr>
                <w:rFonts w:ascii="宋体" w:hAnsi="宋体" w:eastAsia="宋体" w:cs="宋体"/>
                <w:color w:val="auto"/>
                <w:sz w:val="24"/>
                <w:szCs w:val="24"/>
                <w:highlight w:val="none"/>
              </w:rPr>
            </w:pPr>
          </w:p>
        </w:tc>
        <w:tc>
          <w:tcPr>
            <w:tcW w:w="1590" w:type="dxa"/>
            <w:vAlign w:val="center"/>
          </w:tcPr>
          <w:p w14:paraId="2C0D56A2">
            <w:pPr>
              <w:jc w:val="center"/>
              <w:rPr>
                <w:rFonts w:ascii="宋体" w:hAnsi="宋体" w:eastAsia="宋体" w:cs="宋体"/>
                <w:color w:val="auto"/>
                <w:sz w:val="24"/>
                <w:szCs w:val="24"/>
                <w:highlight w:val="none"/>
              </w:rPr>
            </w:pPr>
          </w:p>
        </w:tc>
        <w:tc>
          <w:tcPr>
            <w:tcW w:w="669" w:type="dxa"/>
            <w:vAlign w:val="center"/>
          </w:tcPr>
          <w:p w14:paraId="738DFFC4">
            <w:pPr>
              <w:jc w:val="center"/>
              <w:rPr>
                <w:rFonts w:ascii="宋体" w:hAnsi="宋体" w:eastAsia="宋体" w:cs="宋体"/>
                <w:color w:val="auto"/>
                <w:sz w:val="24"/>
                <w:szCs w:val="24"/>
                <w:highlight w:val="none"/>
              </w:rPr>
            </w:pPr>
          </w:p>
        </w:tc>
      </w:tr>
      <w:tr w14:paraId="7F297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6A506963">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0" w:type="dxa"/>
            <w:vAlign w:val="center"/>
          </w:tcPr>
          <w:p w14:paraId="5095C3C0">
            <w:pPr>
              <w:jc w:val="center"/>
              <w:rPr>
                <w:rFonts w:ascii="宋体" w:hAnsi="宋体" w:eastAsia="宋体" w:cs="宋体"/>
                <w:color w:val="auto"/>
                <w:sz w:val="24"/>
                <w:szCs w:val="24"/>
                <w:highlight w:val="none"/>
              </w:rPr>
            </w:pPr>
          </w:p>
        </w:tc>
        <w:tc>
          <w:tcPr>
            <w:tcW w:w="1412" w:type="dxa"/>
            <w:vAlign w:val="center"/>
          </w:tcPr>
          <w:p w14:paraId="1D6CFE0D">
            <w:pPr>
              <w:jc w:val="center"/>
              <w:rPr>
                <w:rFonts w:ascii="宋体" w:hAnsi="宋体" w:eastAsia="宋体" w:cs="宋体"/>
                <w:color w:val="auto"/>
                <w:sz w:val="24"/>
                <w:szCs w:val="24"/>
                <w:highlight w:val="none"/>
              </w:rPr>
            </w:pPr>
          </w:p>
        </w:tc>
        <w:tc>
          <w:tcPr>
            <w:tcW w:w="1663" w:type="dxa"/>
            <w:vAlign w:val="center"/>
          </w:tcPr>
          <w:p w14:paraId="0145AC7B">
            <w:pPr>
              <w:jc w:val="center"/>
              <w:rPr>
                <w:rFonts w:ascii="宋体" w:hAnsi="宋体" w:eastAsia="宋体" w:cs="宋体"/>
                <w:color w:val="auto"/>
                <w:sz w:val="24"/>
                <w:szCs w:val="24"/>
                <w:highlight w:val="none"/>
              </w:rPr>
            </w:pPr>
          </w:p>
        </w:tc>
        <w:tc>
          <w:tcPr>
            <w:tcW w:w="1562" w:type="dxa"/>
            <w:vAlign w:val="center"/>
          </w:tcPr>
          <w:p w14:paraId="11EA16B9">
            <w:pPr>
              <w:jc w:val="center"/>
              <w:rPr>
                <w:rFonts w:ascii="宋体" w:hAnsi="宋体" w:eastAsia="宋体" w:cs="宋体"/>
                <w:color w:val="auto"/>
                <w:sz w:val="24"/>
                <w:szCs w:val="24"/>
                <w:highlight w:val="none"/>
              </w:rPr>
            </w:pPr>
          </w:p>
        </w:tc>
        <w:tc>
          <w:tcPr>
            <w:tcW w:w="1590" w:type="dxa"/>
            <w:vAlign w:val="center"/>
          </w:tcPr>
          <w:p w14:paraId="46E75418">
            <w:pPr>
              <w:jc w:val="center"/>
              <w:rPr>
                <w:rFonts w:ascii="宋体" w:hAnsi="宋体" w:eastAsia="宋体" w:cs="宋体"/>
                <w:color w:val="auto"/>
                <w:sz w:val="24"/>
                <w:szCs w:val="24"/>
                <w:highlight w:val="none"/>
              </w:rPr>
            </w:pPr>
          </w:p>
        </w:tc>
        <w:tc>
          <w:tcPr>
            <w:tcW w:w="669" w:type="dxa"/>
            <w:vAlign w:val="center"/>
          </w:tcPr>
          <w:p w14:paraId="47CB7286">
            <w:pPr>
              <w:jc w:val="center"/>
              <w:rPr>
                <w:rFonts w:ascii="宋体" w:hAnsi="宋体" w:eastAsia="宋体" w:cs="宋体"/>
                <w:color w:val="auto"/>
                <w:sz w:val="24"/>
                <w:szCs w:val="24"/>
                <w:highlight w:val="none"/>
              </w:rPr>
            </w:pPr>
          </w:p>
        </w:tc>
      </w:tr>
      <w:tr w14:paraId="3A01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482EA93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0" w:type="dxa"/>
            <w:vAlign w:val="center"/>
          </w:tcPr>
          <w:p w14:paraId="3420240C">
            <w:pPr>
              <w:jc w:val="center"/>
              <w:rPr>
                <w:rFonts w:ascii="宋体" w:hAnsi="宋体" w:eastAsia="宋体" w:cs="宋体"/>
                <w:color w:val="auto"/>
                <w:sz w:val="24"/>
                <w:szCs w:val="24"/>
                <w:highlight w:val="none"/>
              </w:rPr>
            </w:pPr>
          </w:p>
        </w:tc>
        <w:tc>
          <w:tcPr>
            <w:tcW w:w="1412" w:type="dxa"/>
            <w:vAlign w:val="center"/>
          </w:tcPr>
          <w:p w14:paraId="04C938E2">
            <w:pPr>
              <w:jc w:val="center"/>
              <w:rPr>
                <w:rFonts w:ascii="宋体" w:hAnsi="宋体" w:eastAsia="宋体" w:cs="宋体"/>
                <w:color w:val="auto"/>
                <w:sz w:val="24"/>
                <w:szCs w:val="24"/>
                <w:highlight w:val="none"/>
              </w:rPr>
            </w:pPr>
          </w:p>
        </w:tc>
        <w:tc>
          <w:tcPr>
            <w:tcW w:w="1663" w:type="dxa"/>
            <w:vAlign w:val="center"/>
          </w:tcPr>
          <w:p w14:paraId="2168DAA4">
            <w:pPr>
              <w:jc w:val="center"/>
              <w:rPr>
                <w:rFonts w:ascii="宋体" w:hAnsi="宋体" w:eastAsia="宋体" w:cs="宋体"/>
                <w:color w:val="auto"/>
                <w:sz w:val="24"/>
                <w:szCs w:val="24"/>
                <w:highlight w:val="none"/>
              </w:rPr>
            </w:pPr>
          </w:p>
        </w:tc>
        <w:tc>
          <w:tcPr>
            <w:tcW w:w="1562" w:type="dxa"/>
            <w:vAlign w:val="center"/>
          </w:tcPr>
          <w:p w14:paraId="27FDEBFE">
            <w:pPr>
              <w:jc w:val="center"/>
              <w:rPr>
                <w:rFonts w:ascii="宋体" w:hAnsi="宋体" w:eastAsia="宋体" w:cs="宋体"/>
                <w:color w:val="auto"/>
                <w:sz w:val="24"/>
                <w:szCs w:val="24"/>
                <w:highlight w:val="none"/>
              </w:rPr>
            </w:pPr>
          </w:p>
        </w:tc>
        <w:tc>
          <w:tcPr>
            <w:tcW w:w="1590" w:type="dxa"/>
            <w:vAlign w:val="center"/>
          </w:tcPr>
          <w:p w14:paraId="179C0252">
            <w:pPr>
              <w:jc w:val="center"/>
              <w:rPr>
                <w:rFonts w:ascii="宋体" w:hAnsi="宋体" w:eastAsia="宋体" w:cs="宋体"/>
                <w:color w:val="auto"/>
                <w:sz w:val="24"/>
                <w:szCs w:val="24"/>
                <w:highlight w:val="none"/>
              </w:rPr>
            </w:pPr>
          </w:p>
        </w:tc>
        <w:tc>
          <w:tcPr>
            <w:tcW w:w="669" w:type="dxa"/>
            <w:vAlign w:val="center"/>
          </w:tcPr>
          <w:p w14:paraId="74013F7B">
            <w:pPr>
              <w:jc w:val="center"/>
              <w:rPr>
                <w:rFonts w:ascii="宋体" w:hAnsi="宋体" w:eastAsia="宋体" w:cs="宋体"/>
                <w:color w:val="auto"/>
                <w:sz w:val="24"/>
                <w:szCs w:val="24"/>
                <w:highlight w:val="none"/>
              </w:rPr>
            </w:pPr>
          </w:p>
        </w:tc>
      </w:tr>
      <w:tr w14:paraId="19681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14484EC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0" w:type="dxa"/>
            <w:vAlign w:val="center"/>
          </w:tcPr>
          <w:p w14:paraId="353BCD7F">
            <w:pPr>
              <w:jc w:val="center"/>
              <w:rPr>
                <w:rFonts w:ascii="宋体" w:hAnsi="宋体" w:eastAsia="宋体" w:cs="宋体"/>
                <w:color w:val="auto"/>
                <w:sz w:val="24"/>
                <w:szCs w:val="24"/>
                <w:highlight w:val="none"/>
              </w:rPr>
            </w:pPr>
          </w:p>
        </w:tc>
        <w:tc>
          <w:tcPr>
            <w:tcW w:w="1412" w:type="dxa"/>
            <w:vAlign w:val="center"/>
          </w:tcPr>
          <w:p w14:paraId="1781988D">
            <w:pPr>
              <w:jc w:val="center"/>
              <w:rPr>
                <w:rFonts w:ascii="宋体" w:hAnsi="宋体" w:eastAsia="宋体" w:cs="宋体"/>
                <w:color w:val="auto"/>
                <w:sz w:val="24"/>
                <w:szCs w:val="24"/>
                <w:highlight w:val="none"/>
              </w:rPr>
            </w:pPr>
          </w:p>
        </w:tc>
        <w:tc>
          <w:tcPr>
            <w:tcW w:w="1663" w:type="dxa"/>
            <w:vAlign w:val="center"/>
          </w:tcPr>
          <w:p w14:paraId="06A97486">
            <w:pPr>
              <w:jc w:val="center"/>
              <w:rPr>
                <w:rFonts w:ascii="宋体" w:hAnsi="宋体" w:eastAsia="宋体" w:cs="宋体"/>
                <w:color w:val="auto"/>
                <w:sz w:val="24"/>
                <w:szCs w:val="24"/>
                <w:highlight w:val="none"/>
              </w:rPr>
            </w:pPr>
          </w:p>
        </w:tc>
        <w:tc>
          <w:tcPr>
            <w:tcW w:w="1562" w:type="dxa"/>
            <w:vAlign w:val="center"/>
          </w:tcPr>
          <w:p w14:paraId="52B9503F">
            <w:pPr>
              <w:jc w:val="center"/>
              <w:rPr>
                <w:rFonts w:ascii="宋体" w:hAnsi="宋体" w:eastAsia="宋体" w:cs="宋体"/>
                <w:color w:val="auto"/>
                <w:sz w:val="24"/>
                <w:szCs w:val="24"/>
                <w:highlight w:val="none"/>
              </w:rPr>
            </w:pPr>
          </w:p>
        </w:tc>
        <w:tc>
          <w:tcPr>
            <w:tcW w:w="1590" w:type="dxa"/>
            <w:vAlign w:val="center"/>
          </w:tcPr>
          <w:p w14:paraId="3F00804A">
            <w:pPr>
              <w:jc w:val="center"/>
              <w:rPr>
                <w:rFonts w:ascii="宋体" w:hAnsi="宋体" w:eastAsia="宋体" w:cs="宋体"/>
                <w:color w:val="auto"/>
                <w:sz w:val="24"/>
                <w:szCs w:val="24"/>
                <w:highlight w:val="none"/>
              </w:rPr>
            </w:pPr>
          </w:p>
        </w:tc>
        <w:tc>
          <w:tcPr>
            <w:tcW w:w="669" w:type="dxa"/>
            <w:vAlign w:val="center"/>
          </w:tcPr>
          <w:p w14:paraId="4E42BD84">
            <w:pPr>
              <w:jc w:val="center"/>
              <w:rPr>
                <w:rFonts w:ascii="宋体" w:hAnsi="宋体" w:eastAsia="宋体" w:cs="宋体"/>
                <w:color w:val="auto"/>
                <w:sz w:val="24"/>
                <w:szCs w:val="24"/>
                <w:highlight w:val="none"/>
              </w:rPr>
            </w:pPr>
          </w:p>
        </w:tc>
      </w:tr>
      <w:tr w14:paraId="24AEA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6246E02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0" w:type="dxa"/>
            <w:vAlign w:val="center"/>
          </w:tcPr>
          <w:p w14:paraId="7E6256C5">
            <w:pPr>
              <w:jc w:val="center"/>
              <w:rPr>
                <w:rFonts w:ascii="宋体" w:hAnsi="宋体" w:eastAsia="宋体" w:cs="宋体"/>
                <w:color w:val="auto"/>
                <w:sz w:val="24"/>
                <w:szCs w:val="24"/>
                <w:highlight w:val="none"/>
              </w:rPr>
            </w:pPr>
          </w:p>
        </w:tc>
        <w:tc>
          <w:tcPr>
            <w:tcW w:w="1412" w:type="dxa"/>
            <w:vAlign w:val="center"/>
          </w:tcPr>
          <w:p w14:paraId="670D09BF">
            <w:pPr>
              <w:jc w:val="center"/>
              <w:rPr>
                <w:rFonts w:ascii="宋体" w:hAnsi="宋体" w:eastAsia="宋体" w:cs="宋体"/>
                <w:color w:val="auto"/>
                <w:sz w:val="24"/>
                <w:szCs w:val="24"/>
                <w:highlight w:val="none"/>
              </w:rPr>
            </w:pPr>
          </w:p>
        </w:tc>
        <w:tc>
          <w:tcPr>
            <w:tcW w:w="1663" w:type="dxa"/>
            <w:vAlign w:val="center"/>
          </w:tcPr>
          <w:p w14:paraId="363AE8F5">
            <w:pPr>
              <w:jc w:val="center"/>
              <w:rPr>
                <w:rFonts w:ascii="宋体" w:hAnsi="宋体" w:eastAsia="宋体" w:cs="宋体"/>
                <w:color w:val="auto"/>
                <w:sz w:val="24"/>
                <w:szCs w:val="24"/>
                <w:highlight w:val="none"/>
              </w:rPr>
            </w:pPr>
          </w:p>
        </w:tc>
        <w:tc>
          <w:tcPr>
            <w:tcW w:w="1562" w:type="dxa"/>
            <w:vAlign w:val="center"/>
          </w:tcPr>
          <w:p w14:paraId="76C51474">
            <w:pPr>
              <w:jc w:val="center"/>
              <w:rPr>
                <w:rFonts w:ascii="宋体" w:hAnsi="宋体" w:eastAsia="宋体" w:cs="宋体"/>
                <w:color w:val="auto"/>
                <w:sz w:val="24"/>
                <w:szCs w:val="24"/>
                <w:highlight w:val="none"/>
              </w:rPr>
            </w:pPr>
          </w:p>
        </w:tc>
        <w:tc>
          <w:tcPr>
            <w:tcW w:w="1590" w:type="dxa"/>
            <w:vAlign w:val="center"/>
          </w:tcPr>
          <w:p w14:paraId="0FA52684">
            <w:pPr>
              <w:jc w:val="center"/>
              <w:rPr>
                <w:rFonts w:ascii="宋体" w:hAnsi="宋体" w:eastAsia="宋体" w:cs="宋体"/>
                <w:color w:val="auto"/>
                <w:sz w:val="24"/>
                <w:szCs w:val="24"/>
                <w:highlight w:val="none"/>
              </w:rPr>
            </w:pPr>
          </w:p>
        </w:tc>
        <w:tc>
          <w:tcPr>
            <w:tcW w:w="669" w:type="dxa"/>
            <w:vAlign w:val="center"/>
          </w:tcPr>
          <w:p w14:paraId="2701F12B">
            <w:pPr>
              <w:jc w:val="center"/>
              <w:rPr>
                <w:rFonts w:ascii="宋体" w:hAnsi="宋体" w:eastAsia="宋体" w:cs="宋体"/>
                <w:color w:val="auto"/>
                <w:sz w:val="24"/>
                <w:szCs w:val="24"/>
                <w:highlight w:val="none"/>
              </w:rPr>
            </w:pPr>
          </w:p>
        </w:tc>
      </w:tr>
      <w:tr w14:paraId="76E44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66D59E1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0" w:type="dxa"/>
            <w:vAlign w:val="center"/>
          </w:tcPr>
          <w:p w14:paraId="31EC4A8B">
            <w:pPr>
              <w:jc w:val="center"/>
              <w:rPr>
                <w:rFonts w:ascii="宋体" w:hAnsi="宋体" w:eastAsia="宋体" w:cs="宋体"/>
                <w:color w:val="auto"/>
                <w:sz w:val="24"/>
                <w:szCs w:val="24"/>
                <w:highlight w:val="none"/>
              </w:rPr>
            </w:pPr>
          </w:p>
        </w:tc>
        <w:tc>
          <w:tcPr>
            <w:tcW w:w="1412" w:type="dxa"/>
            <w:vAlign w:val="center"/>
          </w:tcPr>
          <w:p w14:paraId="4F529652">
            <w:pPr>
              <w:jc w:val="center"/>
              <w:rPr>
                <w:rFonts w:ascii="宋体" w:hAnsi="宋体" w:eastAsia="宋体" w:cs="宋体"/>
                <w:color w:val="auto"/>
                <w:sz w:val="24"/>
                <w:szCs w:val="24"/>
                <w:highlight w:val="none"/>
              </w:rPr>
            </w:pPr>
          </w:p>
        </w:tc>
        <w:tc>
          <w:tcPr>
            <w:tcW w:w="1663" w:type="dxa"/>
            <w:vAlign w:val="center"/>
          </w:tcPr>
          <w:p w14:paraId="1B312D91">
            <w:pPr>
              <w:jc w:val="center"/>
              <w:rPr>
                <w:rFonts w:ascii="宋体" w:hAnsi="宋体" w:eastAsia="宋体" w:cs="宋体"/>
                <w:color w:val="auto"/>
                <w:sz w:val="24"/>
                <w:szCs w:val="24"/>
                <w:highlight w:val="none"/>
              </w:rPr>
            </w:pPr>
          </w:p>
        </w:tc>
        <w:tc>
          <w:tcPr>
            <w:tcW w:w="1562" w:type="dxa"/>
            <w:vAlign w:val="center"/>
          </w:tcPr>
          <w:p w14:paraId="1E327284">
            <w:pPr>
              <w:jc w:val="center"/>
              <w:rPr>
                <w:rFonts w:ascii="宋体" w:hAnsi="宋体" w:eastAsia="宋体" w:cs="宋体"/>
                <w:color w:val="auto"/>
                <w:sz w:val="24"/>
                <w:szCs w:val="24"/>
                <w:highlight w:val="none"/>
              </w:rPr>
            </w:pPr>
          </w:p>
        </w:tc>
        <w:tc>
          <w:tcPr>
            <w:tcW w:w="1590" w:type="dxa"/>
            <w:vAlign w:val="center"/>
          </w:tcPr>
          <w:p w14:paraId="337467C7">
            <w:pPr>
              <w:jc w:val="center"/>
              <w:rPr>
                <w:rFonts w:ascii="宋体" w:hAnsi="宋体" w:eastAsia="宋体" w:cs="宋体"/>
                <w:color w:val="auto"/>
                <w:sz w:val="24"/>
                <w:szCs w:val="24"/>
                <w:highlight w:val="none"/>
              </w:rPr>
            </w:pPr>
          </w:p>
        </w:tc>
        <w:tc>
          <w:tcPr>
            <w:tcW w:w="669" w:type="dxa"/>
            <w:vAlign w:val="center"/>
          </w:tcPr>
          <w:p w14:paraId="6F487FDE">
            <w:pPr>
              <w:jc w:val="center"/>
              <w:rPr>
                <w:rFonts w:ascii="宋体" w:hAnsi="宋体" w:eastAsia="宋体" w:cs="宋体"/>
                <w:color w:val="auto"/>
                <w:sz w:val="24"/>
                <w:szCs w:val="24"/>
                <w:highlight w:val="none"/>
              </w:rPr>
            </w:pPr>
          </w:p>
        </w:tc>
      </w:tr>
      <w:tr w14:paraId="024E7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vAlign w:val="center"/>
          </w:tcPr>
          <w:p w14:paraId="39126DD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AA017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0" w:type="dxa"/>
            <w:vAlign w:val="center"/>
          </w:tcPr>
          <w:p w14:paraId="7C6BFCC4">
            <w:pPr>
              <w:jc w:val="center"/>
              <w:rPr>
                <w:rFonts w:ascii="宋体" w:hAnsi="宋体" w:eastAsia="宋体" w:cs="宋体"/>
                <w:color w:val="auto"/>
                <w:sz w:val="24"/>
                <w:szCs w:val="24"/>
                <w:highlight w:val="none"/>
              </w:rPr>
            </w:pPr>
          </w:p>
        </w:tc>
        <w:tc>
          <w:tcPr>
            <w:tcW w:w="1412" w:type="dxa"/>
            <w:vAlign w:val="center"/>
          </w:tcPr>
          <w:p w14:paraId="421705BD">
            <w:pPr>
              <w:jc w:val="center"/>
              <w:rPr>
                <w:rFonts w:ascii="宋体" w:hAnsi="宋体" w:eastAsia="宋体" w:cs="宋体"/>
                <w:color w:val="auto"/>
                <w:sz w:val="24"/>
                <w:szCs w:val="24"/>
                <w:highlight w:val="none"/>
              </w:rPr>
            </w:pPr>
          </w:p>
        </w:tc>
        <w:tc>
          <w:tcPr>
            <w:tcW w:w="1663" w:type="dxa"/>
            <w:vAlign w:val="center"/>
          </w:tcPr>
          <w:p w14:paraId="718BA27B">
            <w:pPr>
              <w:jc w:val="center"/>
              <w:rPr>
                <w:rFonts w:ascii="宋体" w:hAnsi="宋体" w:eastAsia="宋体" w:cs="宋体"/>
                <w:color w:val="auto"/>
                <w:sz w:val="24"/>
                <w:szCs w:val="24"/>
                <w:highlight w:val="none"/>
              </w:rPr>
            </w:pPr>
          </w:p>
        </w:tc>
        <w:tc>
          <w:tcPr>
            <w:tcW w:w="1562" w:type="dxa"/>
            <w:vAlign w:val="center"/>
          </w:tcPr>
          <w:p w14:paraId="4AD7501B">
            <w:pPr>
              <w:jc w:val="center"/>
              <w:rPr>
                <w:rFonts w:ascii="宋体" w:hAnsi="宋体" w:eastAsia="宋体" w:cs="宋体"/>
                <w:color w:val="auto"/>
                <w:sz w:val="24"/>
                <w:szCs w:val="24"/>
                <w:highlight w:val="none"/>
              </w:rPr>
            </w:pPr>
          </w:p>
        </w:tc>
        <w:tc>
          <w:tcPr>
            <w:tcW w:w="1590" w:type="dxa"/>
            <w:vAlign w:val="center"/>
          </w:tcPr>
          <w:p w14:paraId="75AC744E">
            <w:pPr>
              <w:jc w:val="center"/>
              <w:rPr>
                <w:rFonts w:ascii="宋体" w:hAnsi="宋体" w:eastAsia="宋体" w:cs="宋体"/>
                <w:color w:val="auto"/>
                <w:sz w:val="24"/>
                <w:szCs w:val="24"/>
                <w:highlight w:val="none"/>
              </w:rPr>
            </w:pPr>
          </w:p>
        </w:tc>
        <w:tc>
          <w:tcPr>
            <w:tcW w:w="669" w:type="dxa"/>
            <w:vAlign w:val="center"/>
          </w:tcPr>
          <w:p w14:paraId="3F16BED2">
            <w:pPr>
              <w:jc w:val="center"/>
              <w:rPr>
                <w:rFonts w:ascii="宋体" w:hAnsi="宋体" w:eastAsia="宋体" w:cs="宋体"/>
                <w:color w:val="auto"/>
                <w:sz w:val="24"/>
                <w:szCs w:val="24"/>
                <w:highlight w:val="none"/>
              </w:rPr>
            </w:pPr>
          </w:p>
        </w:tc>
      </w:tr>
    </w:tbl>
    <w:p w14:paraId="61B070AA">
      <w:pPr>
        <w:rPr>
          <w:rFonts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7E773439">
      <w:pP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br w:type="page"/>
      </w:r>
    </w:p>
    <w:p w14:paraId="5FB9C031">
      <w:pPr>
        <w:spacing w:before="4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格式十</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承诺函</w:t>
      </w:r>
    </w:p>
    <w:p w14:paraId="37EBCABC">
      <w:pPr>
        <w:spacing w:before="182" w:line="220" w:lineRule="auto"/>
        <w:ind w:left="3334"/>
        <w:outlineLvl w:val="0"/>
        <w:rPr>
          <w:rFonts w:ascii="宋体" w:hAnsi="宋体" w:eastAsia="宋体" w:cs="宋体"/>
          <w:color w:val="auto"/>
          <w:sz w:val="24"/>
          <w:szCs w:val="24"/>
          <w:highlight w:val="none"/>
          <w:lang w:eastAsia="zh-CN"/>
        </w:rPr>
      </w:pPr>
      <w:bookmarkStart w:id="66" w:name="_Toc11972"/>
      <w:bookmarkStart w:id="67" w:name="_Toc27185"/>
      <w:bookmarkStart w:id="68" w:name="_Toc19855"/>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资格条件承诺函（格式）</w:t>
      </w:r>
      <w:bookmarkEnd w:id="66"/>
      <w:bookmarkEnd w:id="67"/>
      <w:bookmarkEnd w:id="68"/>
    </w:p>
    <w:p w14:paraId="116AE910">
      <w:pPr>
        <w:pStyle w:val="8"/>
        <w:spacing w:line="411" w:lineRule="auto"/>
        <w:rPr>
          <w:rFonts w:ascii="宋体" w:hAnsi="宋体" w:eastAsia="宋体" w:cs="宋体"/>
          <w:color w:val="auto"/>
          <w:highlight w:val="none"/>
          <w:lang w:eastAsia="zh-CN"/>
        </w:rPr>
      </w:pPr>
    </w:p>
    <w:p w14:paraId="37B2F638">
      <w:pPr>
        <w:spacing w:before="78" w:line="21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 xml:space="preserve">致: </w:t>
      </w:r>
      <w:r>
        <w:rPr>
          <w:rFonts w:hint="eastAsia" w:ascii="宋体" w:hAnsi="宋体" w:eastAsia="宋体" w:cs="宋体"/>
          <w:color w:val="auto"/>
          <w:spacing w:val="-1"/>
          <w:sz w:val="24"/>
          <w:szCs w:val="24"/>
          <w:highlight w:val="none"/>
          <w:u w:val="single"/>
          <w:lang w:eastAsia="zh-CN"/>
        </w:rPr>
        <w:t>（采购人、采购代理机构</w:t>
      </w:r>
      <w:r>
        <w:rPr>
          <w:rFonts w:hint="eastAsia" w:ascii="宋体" w:hAnsi="宋体" w:eastAsia="宋体" w:cs="宋体"/>
          <w:color w:val="auto"/>
          <w:spacing w:val="16"/>
          <w:sz w:val="24"/>
          <w:szCs w:val="24"/>
          <w:highlight w:val="none"/>
          <w:u w:val="single"/>
          <w:lang w:eastAsia="zh-CN"/>
        </w:rPr>
        <w:t>）；</w:t>
      </w:r>
    </w:p>
    <w:p w14:paraId="7AF364D6">
      <w:pPr>
        <w:spacing w:before="180"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我单位（公司）参与</w:t>
      </w:r>
      <w:r>
        <w:rPr>
          <w:rFonts w:hint="eastAsia" w:ascii="宋体" w:hAnsi="宋体" w:eastAsia="宋体" w:cs="宋体"/>
          <w:color w:val="auto"/>
          <w:spacing w:val="1"/>
          <w:sz w:val="24"/>
          <w:szCs w:val="24"/>
          <w:highlight w:val="none"/>
          <w:u w:val="single"/>
          <w:lang w:eastAsia="zh-CN"/>
        </w:rPr>
        <w:t>（采购项目名称   标段编号）</w:t>
      </w:r>
      <w:r>
        <w:rPr>
          <w:rFonts w:hint="eastAsia" w:ascii="宋体" w:hAnsi="宋体" w:eastAsia="宋体" w:cs="宋体"/>
          <w:color w:val="auto"/>
          <w:spacing w:val="1"/>
          <w:sz w:val="24"/>
          <w:szCs w:val="24"/>
          <w:highlight w:val="none"/>
          <w:lang w:eastAsia="zh-CN"/>
        </w:rPr>
        <w:t>采购项目的政府采购活动，现承</w:t>
      </w:r>
    </w:p>
    <w:p w14:paraId="4B691183">
      <w:pPr>
        <w:spacing w:before="1"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诺如下:</w:t>
      </w:r>
    </w:p>
    <w:p w14:paraId="0ECF82A3">
      <w:pPr>
        <w:spacing w:before="180" w:line="466" w:lineRule="exact"/>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1.具有良好的商业信誉和健全的财务会计制度；</w:t>
      </w:r>
    </w:p>
    <w:p w14:paraId="5EA91B99">
      <w:pPr>
        <w:spacing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2.具有依法缴纳税收的良好记录；</w:t>
      </w:r>
    </w:p>
    <w:p w14:paraId="342D0429">
      <w:pPr>
        <w:spacing w:before="183" w:line="219" w:lineRule="auto"/>
        <w:ind w:left="484"/>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3.具有依法缴纳社会保障金的良好记录；</w:t>
      </w:r>
    </w:p>
    <w:p w14:paraId="7482D5AA">
      <w:pPr>
        <w:spacing w:before="183" w:line="219" w:lineRule="auto"/>
        <w:ind w:left="484"/>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4.具有履行合同所必需的设备和专业技术能力。</w:t>
      </w:r>
    </w:p>
    <w:p w14:paraId="434769F3">
      <w:pPr>
        <w:spacing w:before="181" w:line="359" w:lineRule="auto"/>
        <w:ind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highlight w:val="none"/>
          <w:lang w:eastAsia="zh-CN"/>
        </w:rPr>
        <w:t>资格条件。</w:t>
      </w:r>
    </w:p>
    <w:p w14:paraId="5946CD22">
      <w:pPr>
        <w:spacing w:before="182" w:line="465" w:lineRule="exact"/>
        <w:ind w:left="481"/>
        <w:rPr>
          <w:rFonts w:ascii="宋体" w:hAnsi="宋体" w:eastAsia="宋体" w:cs="宋体"/>
          <w:color w:val="auto"/>
          <w:spacing w:val="-1"/>
          <w:position w:val="17"/>
          <w:sz w:val="24"/>
          <w:szCs w:val="24"/>
          <w:highlight w:val="none"/>
          <w:lang w:eastAsia="zh-CN"/>
        </w:rPr>
      </w:pPr>
      <w:r>
        <w:rPr>
          <w:rFonts w:hint="eastAsia" w:ascii="宋体" w:hAnsi="宋体" w:eastAsia="宋体" w:cs="宋体"/>
          <w:color w:val="auto"/>
          <w:position w:val="17"/>
          <w:sz w:val="24"/>
          <w:szCs w:val="24"/>
          <w:highlight w:val="none"/>
          <w:lang w:eastAsia="zh-CN"/>
        </w:rPr>
        <w:t>我单位（公司）对上述承诺的真实性负责。如有</w:t>
      </w:r>
      <w:r>
        <w:rPr>
          <w:rFonts w:hint="eastAsia" w:ascii="宋体" w:hAnsi="宋体" w:eastAsia="宋体" w:cs="宋体"/>
          <w:color w:val="auto"/>
          <w:spacing w:val="-1"/>
          <w:position w:val="17"/>
          <w:sz w:val="24"/>
          <w:szCs w:val="24"/>
          <w:highlight w:val="none"/>
          <w:lang w:eastAsia="zh-CN"/>
        </w:rPr>
        <w:t>虚假，将依法承担相应责任。</w:t>
      </w:r>
    </w:p>
    <w:p w14:paraId="2089EA28">
      <w:pPr>
        <w:spacing w:before="182" w:line="465" w:lineRule="exact"/>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特此承诺。</w:t>
      </w:r>
    </w:p>
    <w:p w14:paraId="352157CA">
      <w:pPr>
        <w:pStyle w:val="8"/>
        <w:spacing w:line="283" w:lineRule="auto"/>
        <w:rPr>
          <w:rFonts w:ascii="宋体" w:hAnsi="宋体" w:eastAsia="宋体" w:cs="宋体"/>
          <w:color w:val="auto"/>
          <w:highlight w:val="none"/>
          <w:lang w:eastAsia="zh-CN"/>
        </w:rPr>
      </w:pPr>
    </w:p>
    <w:p w14:paraId="5AADE3FC">
      <w:pPr>
        <w:pStyle w:val="8"/>
        <w:spacing w:line="283" w:lineRule="auto"/>
        <w:rPr>
          <w:rFonts w:ascii="宋体" w:hAnsi="宋体" w:eastAsia="宋体" w:cs="宋体"/>
          <w:color w:val="auto"/>
          <w:highlight w:val="none"/>
          <w:lang w:eastAsia="zh-CN"/>
        </w:rPr>
      </w:pPr>
    </w:p>
    <w:p w14:paraId="34E8CF5B">
      <w:pPr>
        <w:spacing w:before="78" w:line="468" w:lineRule="exact"/>
        <w:ind w:left="3600"/>
        <w:rPr>
          <w:rFonts w:ascii="宋体" w:hAnsi="宋体" w:eastAsia="宋体" w:cs="宋体"/>
          <w:color w:val="auto"/>
          <w:sz w:val="24"/>
          <w:szCs w:val="24"/>
          <w:highlight w:val="none"/>
          <w:lang w:eastAsia="zh-CN"/>
        </w:rPr>
      </w:pPr>
      <w:r>
        <w:rPr>
          <w:rFonts w:hint="eastAsia" w:ascii="宋体" w:hAnsi="宋体" w:eastAsia="宋体" w:cs="宋体"/>
          <w:color w:val="auto"/>
          <w:spacing w:val="-4"/>
          <w:position w:val="17"/>
          <w:sz w:val="24"/>
          <w:szCs w:val="24"/>
          <w:highlight w:val="none"/>
          <w:lang w:eastAsia="zh-CN"/>
        </w:rPr>
        <w:t>盖章：</w:t>
      </w:r>
    </w:p>
    <w:p w14:paraId="770F5952">
      <w:pPr>
        <w:spacing w:line="220" w:lineRule="auto"/>
        <w:ind w:left="36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签字：</w:t>
      </w:r>
    </w:p>
    <w:p w14:paraId="599FC68D">
      <w:pPr>
        <w:spacing w:before="182" w:line="221" w:lineRule="auto"/>
        <w:ind w:left="3641"/>
        <w:rPr>
          <w:rFonts w:ascii="宋体" w:hAnsi="宋体" w:eastAsia="宋体" w:cs="宋体"/>
          <w:color w:val="auto"/>
          <w:spacing w:val="-17"/>
          <w:sz w:val="24"/>
          <w:szCs w:val="24"/>
          <w:highlight w:val="none"/>
          <w:lang w:eastAsia="zh-CN"/>
        </w:rPr>
      </w:pPr>
      <w:r>
        <w:rPr>
          <w:rFonts w:hint="eastAsia" w:ascii="宋体" w:hAnsi="宋体" w:eastAsia="宋体" w:cs="宋体"/>
          <w:color w:val="auto"/>
          <w:spacing w:val="-17"/>
          <w:sz w:val="24"/>
          <w:szCs w:val="24"/>
          <w:highlight w:val="none"/>
          <w:lang w:eastAsia="zh-CN"/>
        </w:rPr>
        <w:t>日期：</w:t>
      </w:r>
    </w:p>
    <w:p w14:paraId="49840001">
      <w:pPr>
        <w:spacing w:before="182" w:line="220" w:lineRule="auto"/>
        <w:ind w:left="3334"/>
        <w:outlineLvl w:val="0"/>
        <w:rPr>
          <w:rFonts w:ascii="宋体" w:hAnsi="宋体" w:eastAsia="宋体" w:cs="宋体"/>
          <w:color w:val="auto"/>
          <w:sz w:val="24"/>
          <w:szCs w:val="24"/>
          <w:highlight w:val="none"/>
          <w:lang w:eastAsia="zh-CN"/>
        </w:rPr>
      </w:pPr>
      <w:r>
        <w:rPr>
          <w:rFonts w:hint="eastAsia" w:ascii="宋体" w:hAnsi="宋体" w:eastAsia="宋体" w:cs="宋体"/>
          <w:color w:val="auto"/>
          <w:spacing w:val="-17"/>
          <w:sz w:val="24"/>
          <w:szCs w:val="24"/>
          <w:highlight w:val="none"/>
          <w:lang w:eastAsia="zh-CN"/>
        </w:rPr>
        <w:br w:type="page"/>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关联关系承诺函（格式）</w:t>
      </w:r>
    </w:p>
    <w:p w14:paraId="2B3CD06D">
      <w:pPr>
        <w:pStyle w:val="8"/>
        <w:spacing w:line="411" w:lineRule="auto"/>
        <w:rPr>
          <w:rFonts w:ascii="宋体" w:hAnsi="宋体" w:eastAsia="宋体" w:cs="宋体"/>
          <w:color w:val="auto"/>
          <w:highlight w:val="none"/>
          <w:lang w:eastAsia="zh-CN"/>
        </w:rPr>
      </w:pPr>
    </w:p>
    <w:p w14:paraId="1C9EF4D9">
      <w:pPr>
        <w:spacing w:before="78" w:line="21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 xml:space="preserve">致: </w:t>
      </w:r>
      <w:r>
        <w:rPr>
          <w:rFonts w:hint="eastAsia" w:ascii="宋体" w:hAnsi="宋体" w:eastAsia="宋体" w:cs="宋体"/>
          <w:color w:val="auto"/>
          <w:spacing w:val="-1"/>
          <w:sz w:val="24"/>
          <w:szCs w:val="24"/>
          <w:highlight w:val="none"/>
          <w:u w:val="single"/>
          <w:lang w:eastAsia="zh-CN"/>
        </w:rPr>
        <w:t>（采购人、采购代理机构</w:t>
      </w:r>
      <w:r>
        <w:rPr>
          <w:rFonts w:hint="eastAsia" w:ascii="宋体" w:hAnsi="宋体" w:eastAsia="宋体" w:cs="宋体"/>
          <w:color w:val="auto"/>
          <w:spacing w:val="16"/>
          <w:sz w:val="24"/>
          <w:szCs w:val="24"/>
          <w:highlight w:val="none"/>
          <w:u w:val="single"/>
          <w:lang w:eastAsia="zh-CN"/>
        </w:rPr>
        <w:t>）；</w:t>
      </w:r>
    </w:p>
    <w:p w14:paraId="0F40B58C">
      <w:pPr>
        <w:spacing w:before="180"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我单位（公司）参与</w:t>
      </w:r>
      <w:r>
        <w:rPr>
          <w:rFonts w:hint="eastAsia" w:ascii="宋体" w:hAnsi="宋体" w:eastAsia="宋体" w:cs="宋体"/>
          <w:color w:val="auto"/>
          <w:spacing w:val="1"/>
          <w:sz w:val="24"/>
          <w:szCs w:val="24"/>
          <w:highlight w:val="none"/>
          <w:u w:val="single"/>
          <w:lang w:eastAsia="zh-CN"/>
        </w:rPr>
        <w:t>（采购项目名称   标段编号）</w:t>
      </w:r>
      <w:r>
        <w:rPr>
          <w:rFonts w:hint="eastAsia" w:ascii="宋体" w:hAnsi="宋体" w:eastAsia="宋体" w:cs="宋体"/>
          <w:color w:val="auto"/>
          <w:spacing w:val="1"/>
          <w:sz w:val="24"/>
          <w:szCs w:val="24"/>
          <w:highlight w:val="none"/>
          <w:lang w:eastAsia="zh-CN"/>
        </w:rPr>
        <w:t>采购项目的政府采购活动，现承</w:t>
      </w:r>
    </w:p>
    <w:p w14:paraId="28D4889E">
      <w:pPr>
        <w:spacing w:before="180" w:line="360" w:lineRule="auto"/>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诺如下:</w:t>
      </w:r>
    </w:p>
    <w:p w14:paraId="2EE766F9">
      <w:pPr>
        <w:spacing w:before="180" w:line="360" w:lineRule="auto"/>
        <w:ind w:firstLine="484" w:firstLineChars="200"/>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不属于与采购人存在利害关系可能影响采购公正性的法人、其它组织或者个人参加投标；不属于单位负责人为同一人或者存在直接控股、管理关系的不同供应商参加同一合同项下的政府采购活动。</w:t>
      </w:r>
    </w:p>
    <w:p w14:paraId="3633DED4">
      <w:pPr>
        <w:rPr>
          <w:rFonts w:ascii="宋体" w:hAnsi="宋体" w:eastAsia="宋体" w:cs="宋体"/>
          <w:color w:val="auto"/>
          <w:spacing w:val="-17"/>
          <w:sz w:val="24"/>
          <w:szCs w:val="24"/>
          <w:highlight w:val="none"/>
          <w:lang w:eastAsia="zh-CN"/>
        </w:rPr>
      </w:pPr>
    </w:p>
    <w:p w14:paraId="34E34974">
      <w:pPr>
        <w:rPr>
          <w:rFonts w:ascii="宋体" w:hAnsi="宋体" w:eastAsia="宋体" w:cs="宋体"/>
          <w:b/>
          <w:bCs/>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b/>
          <w:bCs/>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1CA039F5">
      <w:pPr>
        <w:spacing w:before="182" w:line="221" w:lineRule="auto"/>
        <w:rPr>
          <w:rFonts w:ascii="宋体" w:hAnsi="宋体" w:eastAsia="宋体" w:cs="宋体"/>
          <w:b/>
          <w:bCs/>
          <w:color w:val="auto"/>
          <w:spacing w:val="-17"/>
          <w:sz w:val="24"/>
          <w:szCs w:val="24"/>
          <w:highlight w:val="none"/>
          <w:lang w:eastAsia="zh-CN"/>
        </w:rPr>
      </w:pPr>
      <w:r>
        <w:rPr>
          <w:rFonts w:hint="eastAsia" w:ascii="宋体" w:hAnsi="宋体" w:eastAsia="宋体" w:cs="宋体"/>
          <w:b/>
          <w:bCs/>
          <w:color w:val="auto"/>
          <w:spacing w:val="-2"/>
          <w:sz w:val="24"/>
          <w:szCs w:val="24"/>
          <w:highlight w:val="none"/>
          <w:lang w:eastAsia="zh-CN"/>
          <w14:textOutline w14:w="4356" w14:cap="sq" w14:cmpd="sng" w14:algn="ctr">
            <w14:solidFill>
              <w14:srgbClr w14:val="000000"/>
            </w14:solidFill>
            <w14:prstDash w14:val="solid"/>
            <w14:bevel/>
          </w14:textOutline>
        </w:rPr>
        <w:t>格式十二：招标文件要求提供或供应商认为需要提供的其它材料</w:t>
      </w:r>
    </w:p>
    <w:bookmarkEnd w:id="69"/>
    <w:sectPr>
      <w:footerReference r:id="rId4" w:type="default"/>
      <w:pgSz w:w="11906" w:h="16839"/>
      <w:pgMar w:top="1440" w:right="1310" w:bottom="1440" w:left="1310" w:header="0" w:footer="88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B1CA">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7784">
    <w:pPr>
      <w:spacing w:line="169"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EBBF1">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371EBBF1">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7CD86"/>
    <w:multiLevelType w:val="singleLevel"/>
    <w:tmpl w:val="A7B7CD86"/>
    <w:lvl w:ilvl="0" w:tentative="0">
      <w:start w:val="17"/>
      <w:numFmt w:val="chineseCounting"/>
      <w:suff w:val="nothing"/>
      <w:lvlText w:val="%1、"/>
      <w:lvlJc w:val="left"/>
      <w:rPr>
        <w:rFonts w:hint="eastAsia"/>
      </w:rPr>
    </w:lvl>
  </w:abstractNum>
  <w:abstractNum w:abstractNumId="1">
    <w:nsid w:val="F05D4DB6"/>
    <w:multiLevelType w:val="singleLevel"/>
    <w:tmpl w:val="F05D4DB6"/>
    <w:lvl w:ilvl="0" w:tentative="0">
      <w:start w:val="5"/>
      <w:numFmt w:val="chineseCounting"/>
      <w:suff w:val="space"/>
      <w:lvlText w:val="第%1章"/>
      <w:lvlJc w:val="left"/>
      <w:rPr>
        <w:rFonts w:hint="eastAsia"/>
      </w:rPr>
    </w:lvl>
  </w:abstractNum>
  <w:abstractNum w:abstractNumId="2">
    <w:nsid w:val="1ADF1CDF"/>
    <w:multiLevelType w:val="multilevel"/>
    <w:tmpl w:val="1ADF1CDF"/>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1ODMxYjI1NzQzYjk2N2RjZDVjNDczZjIwNzJkYmEifQ=="/>
  </w:docVars>
  <w:rsids>
    <w:rsidRoot w:val="008D3828"/>
    <w:rsid w:val="000C1DB9"/>
    <w:rsid w:val="00337398"/>
    <w:rsid w:val="003408D1"/>
    <w:rsid w:val="007137AD"/>
    <w:rsid w:val="008D3828"/>
    <w:rsid w:val="00AA60ED"/>
    <w:rsid w:val="00B34BD2"/>
    <w:rsid w:val="00B35459"/>
    <w:rsid w:val="00BD1DB1"/>
    <w:rsid w:val="00CF26CC"/>
    <w:rsid w:val="00F42F5E"/>
    <w:rsid w:val="01205D5C"/>
    <w:rsid w:val="019F1067"/>
    <w:rsid w:val="01AF7DBD"/>
    <w:rsid w:val="01BF5575"/>
    <w:rsid w:val="01C0753F"/>
    <w:rsid w:val="01DD59FB"/>
    <w:rsid w:val="01F87C91"/>
    <w:rsid w:val="02BE582C"/>
    <w:rsid w:val="0305080A"/>
    <w:rsid w:val="034A39B5"/>
    <w:rsid w:val="034A7BCF"/>
    <w:rsid w:val="035D6855"/>
    <w:rsid w:val="03655C84"/>
    <w:rsid w:val="03734812"/>
    <w:rsid w:val="03831DEC"/>
    <w:rsid w:val="0397679F"/>
    <w:rsid w:val="03B4330C"/>
    <w:rsid w:val="03DA2032"/>
    <w:rsid w:val="03FB660C"/>
    <w:rsid w:val="043833BC"/>
    <w:rsid w:val="043A7831"/>
    <w:rsid w:val="04A0094D"/>
    <w:rsid w:val="04DE2623"/>
    <w:rsid w:val="04DF5F2E"/>
    <w:rsid w:val="04F50FAA"/>
    <w:rsid w:val="067A1543"/>
    <w:rsid w:val="067A5F0E"/>
    <w:rsid w:val="069C1A68"/>
    <w:rsid w:val="06CE625A"/>
    <w:rsid w:val="06E96BF0"/>
    <w:rsid w:val="070C1155"/>
    <w:rsid w:val="07361E74"/>
    <w:rsid w:val="08060567"/>
    <w:rsid w:val="08983D41"/>
    <w:rsid w:val="08B5322E"/>
    <w:rsid w:val="08C6173B"/>
    <w:rsid w:val="08EE00FB"/>
    <w:rsid w:val="0992356F"/>
    <w:rsid w:val="09FE6E56"/>
    <w:rsid w:val="0A570314"/>
    <w:rsid w:val="0A621193"/>
    <w:rsid w:val="0AB47515"/>
    <w:rsid w:val="0B285819"/>
    <w:rsid w:val="0BB023D2"/>
    <w:rsid w:val="0BC71D84"/>
    <w:rsid w:val="0BD40195"/>
    <w:rsid w:val="0C3B6140"/>
    <w:rsid w:val="0C63506B"/>
    <w:rsid w:val="0C686809"/>
    <w:rsid w:val="0CB67574"/>
    <w:rsid w:val="0D6945E7"/>
    <w:rsid w:val="0D921D8F"/>
    <w:rsid w:val="0D9D2160"/>
    <w:rsid w:val="0DF77E44"/>
    <w:rsid w:val="0E6C1257"/>
    <w:rsid w:val="0E8F4521"/>
    <w:rsid w:val="0EA6117F"/>
    <w:rsid w:val="0EC97A46"/>
    <w:rsid w:val="0EE24040"/>
    <w:rsid w:val="0F407486"/>
    <w:rsid w:val="0F713C26"/>
    <w:rsid w:val="0FBE7DA0"/>
    <w:rsid w:val="0FF90A42"/>
    <w:rsid w:val="105E1836"/>
    <w:rsid w:val="10B4201D"/>
    <w:rsid w:val="10E072B6"/>
    <w:rsid w:val="10F92232"/>
    <w:rsid w:val="10FE773C"/>
    <w:rsid w:val="11013E5F"/>
    <w:rsid w:val="116A6A33"/>
    <w:rsid w:val="11825E91"/>
    <w:rsid w:val="11E931F7"/>
    <w:rsid w:val="12107727"/>
    <w:rsid w:val="12252F91"/>
    <w:rsid w:val="124B075F"/>
    <w:rsid w:val="12B15EBF"/>
    <w:rsid w:val="12FA1C52"/>
    <w:rsid w:val="13124658"/>
    <w:rsid w:val="13206EE8"/>
    <w:rsid w:val="1323348A"/>
    <w:rsid w:val="136A0F31"/>
    <w:rsid w:val="13856BFE"/>
    <w:rsid w:val="13893C35"/>
    <w:rsid w:val="13C90089"/>
    <w:rsid w:val="13FF5CA5"/>
    <w:rsid w:val="146A2CD4"/>
    <w:rsid w:val="148562AE"/>
    <w:rsid w:val="14AF2A28"/>
    <w:rsid w:val="14B940A6"/>
    <w:rsid w:val="14D47131"/>
    <w:rsid w:val="14ED01F3"/>
    <w:rsid w:val="15363C11"/>
    <w:rsid w:val="155B7A5E"/>
    <w:rsid w:val="158F12AA"/>
    <w:rsid w:val="15BD5E17"/>
    <w:rsid w:val="15F85C97"/>
    <w:rsid w:val="163A0E2A"/>
    <w:rsid w:val="164D0F49"/>
    <w:rsid w:val="16832BBD"/>
    <w:rsid w:val="16842491"/>
    <w:rsid w:val="16A56DF3"/>
    <w:rsid w:val="16AE139D"/>
    <w:rsid w:val="16C60CFC"/>
    <w:rsid w:val="16FA66B9"/>
    <w:rsid w:val="179D1343"/>
    <w:rsid w:val="1890511D"/>
    <w:rsid w:val="18B87B08"/>
    <w:rsid w:val="18E54327"/>
    <w:rsid w:val="190660FA"/>
    <w:rsid w:val="196565AA"/>
    <w:rsid w:val="19771D42"/>
    <w:rsid w:val="19866520"/>
    <w:rsid w:val="19AF3CC9"/>
    <w:rsid w:val="19C1642A"/>
    <w:rsid w:val="19C71013"/>
    <w:rsid w:val="19C82314"/>
    <w:rsid w:val="1A07140F"/>
    <w:rsid w:val="1A1E5813"/>
    <w:rsid w:val="1A5D1977"/>
    <w:rsid w:val="1A700CC5"/>
    <w:rsid w:val="1AE01E2B"/>
    <w:rsid w:val="1B0D0CA7"/>
    <w:rsid w:val="1B5B2A1B"/>
    <w:rsid w:val="1BCF2401"/>
    <w:rsid w:val="1BE14A00"/>
    <w:rsid w:val="1C2A4944"/>
    <w:rsid w:val="1C4A5F2B"/>
    <w:rsid w:val="1C534D67"/>
    <w:rsid w:val="1C6455C1"/>
    <w:rsid w:val="1C99656B"/>
    <w:rsid w:val="1C9A095A"/>
    <w:rsid w:val="1CEE6A7A"/>
    <w:rsid w:val="1CFA3E40"/>
    <w:rsid w:val="1D3A1AFC"/>
    <w:rsid w:val="1D7019C1"/>
    <w:rsid w:val="1DBE7A88"/>
    <w:rsid w:val="1DCD2970"/>
    <w:rsid w:val="1E761256"/>
    <w:rsid w:val="1E827A99"/>
    <w:rsid w:val="1F385014"/>
    <w:rsid w:val="1F52137F"/>
    <w:rsid w:val="1F882F99"/>
    <w:rsid w:val="201D49BB"/>
    <w:rsid w:val="20607ACB"/>
    <w:rsid w:val="208714FC"/>
    <w:rsid w:val="20A976C4"/>
    <w:rsid w:val="20C0120F"/>
    <w:rsid w:val="20F3093F"/>
    <w:rsid w:val="213C22E6"/>
    <w:rsid w:val="215F5FD5"/>
    <w:rsid w:val="21B7196D"/>
    <w:rsid w:val="21BE0F4D"/>
    <w:rsid w:val="21E8421C"/>
    <w:rsid w:val="221A4255"/>
    <w:rsid w:val="222E3A8D"/>
    <w:rsid w:val="22502157"/>
    <w:rsid w:val="22573150"/>
    <w:rsid w:val="22715FC0"/>
    <w:rsid w:val="22791318"/>
    <w:rsid w:val="227B5090"/>
    <w:rsid w:val="22DF61BA"/>
    <w:rsid w:val="2311014A"/>
    <w:rsid w:val="233A0FC7"/>
    <w:rsid w:val="233D0598"/>
    <w:rsid w:val="23E0270B"/>
    <w:rsid w:val="23E67AE2"/>
    <w:rsid w:val="245071F2"/>
    <w:rsid w:val="246B5AAE"/>
    <w:rsid w:val="24F353B2"/>
    <w:rsid w:val="250424A4"/>
    <w:rsid w:val="250639AE"/>
    <w:rsid w:val="252E5396"/>
    <w:rsid w:val="25507DC8"/>
    <w:rsid w:val="256F255E"/>
    <w:rsid w:val="25855B00"/>
    <w:rsid w:val="25916979"/>
    <w:rsid w:val="25C94338"/>
    <w:rsid w:val="25D845A8"/>
    <w:rsid w:val="25FE400E"/>
    <w:rsid w:val="261F21D6"/>
    <w:rsid w:val="26FE231E"/>
    <w:rsid w:val="27037402"/>
    <w:rsid w:val="272C0707"/>
    <w:rsid w:val="275A1718"/>
    <w:rsid w:val="278C389C"/>
    <w:rsid w:val="27CC5901"/>
    <w:rsid w:val="27F154AD"/>
    <w:rsid w:val="27F751B9"/>
    <w:rsid w:val="27FF406E"/>
    <w:rsid w:val="28137B19"/>
    <w:rsid w:val="28673042"/>
    <w:rsid w:val="28833E80"/>
    <w:rsid w:val="28C809A4"/>
    <w:rsid w:val="29693E94"/>
    <w:rsid w:val="297840D8"/>
    <w:rsid w:val="29F80D74"/>
    <w:rsid w:val="2A1C0F07"/>
    <w:rsid w:val="2A3738D4"/>
    <w:rsid w:val="2A650ECF"/>
    <w:rsid w:val="2AC55FB0"/>
    <w:rsid w:val="2AD25A69"/>
    <w:rsid w:val="2ADC57EF"/>
    <w:rsid w:val="2B6A3EF4"/>
    <w:rsid w:val="2BBA5671"/>
    <w:rsid w:val="2BC01D66"/>
    <w:rsid w:val="2BEC66B7"/>
    <w:rsid w:val="2D071591"/>
    <w:rsid w:val="2D261EE1"/>
    <w:rsid w:val="2D317A4E"/>
    <w:rsid w:val="2D590C84"/>
    <w:rsid w:val="2D687FBF"/>
    <w:rsid w:val="2D6E7C78"/>
    <w:rsid w:val="2DB852A4"/>
    <w:rsid w:val="2DD6761F"/>
    <w:rsid w:val="2E185FB5"/>
    <w:rsid w:val="2E666BF4"/>
    <w:rsid w:val="2E903C71"/>
    <w:rsid w:val="2EB94E2E"/>
    <w:rsid w:val="2ED95AC9"/>
    <w:rsid w:val="2EF10397"/>
    <w:rsid w:val="2EF22236"/>
    <w:rsid w:val="2F1A5F95"/>
    <w:rsid w:val="2F1C72B3"/>
    <w:rsid w:val="2F1E127D"/>
    <w:rsid w:val="305B205D"/>
    <w:rsid w:val="306B4E7D"/>
    <w:rsid w:val="3082583C"/>
    <w:rsid w:val="313A63D7"/>
    <w:rsid w:val="316B62D0"/>
    <w:rsid w:val="317F1B79"/>
    <w:rsid w:val="31A17C21"/>
    <w:rsid w:val="31A43590"/>
    <w:rsid w:val="31B9528D"/>
    <w:rsid w:val="323D7C6C"/>
    <w:rsid w:val="33B273BE"/>
    <w:rsid w:val="33DF6B01"/>
    <w:rsid w:val="33F829BD"/>
    <w:rsid w:val="34052A0C"/>
    <w:rsid w:val="34565015"/>
    <w:rsid w:val="345D45F6"/>
    <w:rsid w:val="34632FD8"/>
    <w:rsid w:val="34C326EB"/>
    <w:rsid w:val="350902DA"/>
    <w:rsid w:val="35727C2D"/>
    <w:rsid w:val="364C66D0"/>
    <w:rsid w:val="364E1163"/>
    <w:rsid w:val="36504750"/>
    <w:rsid w:val="365E4655"/>
    <w:rsid w:val="36853990"/>
    <w:rsid w:val="36EC1900"/>
    <w:rsid w:val="37C417AA"/>
    <w:rsid w:val="37D0642B"/>
    <w:rsid w:val="38042FDA"/>
    <w:rsid w:val="38396895"/>
    <w:rsid w:val="38654816"/>
    <w:rsid w:val="38795776"/>
    <w:rsid w:val="388365F5"/>
    <w:rsid w:val="38D91C00"/>
    <w:rsid w:val="38E057F5"/>
    <w:rsid w:val="391E32EE"/>
    <w:rsid w:val="395104A1"/>
    <w:rsid w:val="39671A73"/>
    <w:rsid w:val="39882115"/>
    <w:rsid w:val="39EC3D26"/>
    <w:rsid w:val="39FD5F33"/>
    <w:rsid w:val="3A125076"/>
    <w:rsid w:val="3A145757"/>
    <w:rsid w:val="3A43603C"/>
    <w:rsid w:val="3A922B1F"/>
    <w:rsid w:val="3B040B5F"/>
    <w:rsid w:val="3B2C6AD0"/>
    <w:rsid w:val="3B3F5D3D"/>
    <w:rsid w:val="3B4E2A47"/>
    <w:rsid w:val="3B5D39DD"/>
    <w:rsid w:val="3B6B584A"/>
    <w:rsid w:val="3B7F12F6"/>
    <w:rsid w:val="3BFD5B44"/>
    <w:rsid w:val="3C102CEA"/>
    <w:rsid w:val="3C303861"/>
    <w:rsid w:val="3C666012"/>
    <w:rsid w:val="3CEA4D9C"/>
    <w:rsid w:val="3CFB6AD2"/>
    <w:rsid w:val="3D0C0967"/>
    <w:rsid w:val="3D430101"/>
    <w:rsid w:val="3D734E8A"/>
    <w:rsid w:val="3D934BE4"/>
    <w:rsid w:val="3DCB0822"/>
    <w:rsid w:val="3E077380"/>
    <w:rsid w:val="3E38578C"/>
    <w:rsid w:val="3E401741"/>
    <w:rsid w:val="3E704F26"/>
    <w:rsid w:val="3E802756"/>
    <w:rsid w:val="3EAE1B1D"/>
    <w:rsid w:val="3F4475DB"/>
    <w:rsid w:val="3F5034E9"/>
    <w:rsid w:val="3FB2368A"/>
    <w:rsid w:val="3FCC473B"/>
    <w:rsid w:val="3FEC0F24"/>
    <w:rsid w:val="3FEF6007"/>
    <w:rsid w:val="40FC1531"/>
    <w:rsid w:val="41197AF6"/>
    <w:rsid w:val="414138FB"/>
    <w:rsid w:val="4184563D"/>
    <w:rsid w:val="41874618"/>
    <w:rsid w:val="418D1221"/>
    <w:rsid w:val="41A44AB5"/>
    <w:rsid w:val="42075BA1"/>
    <w:rsid w:val="42310E70"/>
    <w:rsid w:val="424E2AAD"/>
    <w:rsid w:val="42621E31"/>
    <w:rsid w:val="42725710"/>
    <w:rsid w:val="42786A9F"/>
    <w:rsid w:val="42D77F06"/>
    <w:rsid w:val="42F206F4"/>
    <w:rsid w:val="43853221"/>
    <w:rsid w:val="43F32881"/>
    <w:rsid w:val="43FD54AD"/>
    <w:rsid w:val="43FF1225"/>
    <w:rsid w:val="444667B2"/>
    <w:rsid w:val="447B63D2"/>
    <w:rsid w:val="448E7C71"/>
    <w:rsid w:val="4493014A"/>
    <w:rsid w:val="44B55D88"/>
    <w:rsid w:val="44C818B0"/>
    <w:rsid w:val="44CD1324"/>
    <w:rsid w:val="44D1645F"/>
    <w:rsid w:val="44FF6697"/>
    <w:rsid w:val="457507D2"/>
    <w:rsid w:val="45796DB6"/>
    <w:rsid w:val="45941E41"/>
    <w:rsid w:val="463C2660"/>
    <w:rsid w:val="466730B2"/>
    <w:rsid w:val="46805F22"/>
    <w:rsid w:val="46923508"/>
    <w:rsid w:val="46BF2EEE"/>
    <w:rsid w:val="46F420A2"/>
    <w:rsid w:val="471A6376"/>
    <w:rsid w:val="472F1E22"/>
    <w:rsid w:val="473311E6"/>
    <w:rsid w:val="47392CA0"/>
    <w:rsid w:val="4780267D"/>
    <w:rsid w:val="47875211"/>
    <w:rsid w:val="47A85737"/>
    <w:rsid w:val="47EC06F2"/>
    <w:rsid w:val="480706A9"/>
    <w:rsid w:val="481334F1"/>
    <w:rsid w:val="482C45B3"/>
    <w:rsid w:val="483A1816"/>
    <w:rsid w:val="48741AB6"/>
    <w:rsid w:val="487B2E45"/>
    <w:rsid w:val="48C52312"/>
    <w:rsid w:val="48D5496B"/>
    <w:rsid w:val="48E50A71"/>
    <w:rsid w:val="49542533"/>
    <w:rsid w:val="497A24B2"/>
    <w:rsid w:val="49A06BE3"/>
    <w:rsid w:val="49BA4068"/>
    <w:rsid w:val="4A01737A"/>
    <w:rsid w:val="4A163063"/>
    <w:rsid w:val="4A6209BE"/>
    <w:rsid w:val="4ADE1AAA"/>
    <w:rsid w:val="4AE10A69"/>
    <w:rsid w:val="4AF313B8"/>
    <w:rsid w:val="4BCA58A8"/>
    <w:rsid w:val="4BE17747"/>
    <w:rsid w:val="4BFC67B1"/>
    <w:rsid w:val="4C416153"/>
    <w:rsid w:val="4C737BC7"/>
    <w:rsid w:val="4C7C6027"/>
    <w:rsid w:val="4CB47586"/>
    <w:rsid w:val="4D114C8F"/>
    <w:rsid w:val="4D1B69A4"/>
    <w:rsid w:val="4D381304"/>
    <w:rsid w:val="4D965582"/>
    <w:rsid w:val="4DB0533F"/>
    <w:rsid w:val="4DB841F3"/>
    <w:rsid w:val="4F18120D"/>
    <w:rsid w:val="4F1D04B5"/>
    <w:rsid w:val="4F22401A"/>
    <w:rsid w:val="50080E30"/>
    <w:rsid w:val="502C250B"/>
    <w:rsid w:val="502E62AD"/>
    <w:rsid w:val="503A35E5"/>
    <w:rsid w:val="50472057"/>
    <w:rsid w:val="50502E09"/>
    <w:rsid w:val="50B96C00"/>
    <w:rsid w:val="50DB5F91"/>
    <w:rsid w:val="51C222B6"/>
    <w:rsid w:val="52642B9B"/>
    <w:rsid w:val="52A03BD4"/>
    <w:rsid w:val="52B109C9"/>
    <w:rsid w:val="52B23907"/>
    <w:rsid w:val="52F21E12"/>
    <w:rsid w:val="52F24CC3"/>
    <w:rsid w:val="531225F7"/>
    <w:rsid w:val="538A03E0"/>
    <w:rsid w:val="54091C4C"/>
    <w:rsid w:val="5415414D"/>
    <w:rsid w:val="54260108"/>
    <w:rsid w:val="54411979"/>
    <w:rsid w:val="54491F0D"/>
    <w:rsid w:val="549D3F56"/>
    <w:rsid w:val="54D062C6"/>
    <w:rsid w:val="55304730"/>
    <w:rsid w:val="554C3B9F"/>
    <w:rsid w:val="556A0EF6"/>
    <w:rsid w:val="5586381E"/>
    <w:rsid w:val="55B81195"/>
    <w:rsid w:val="55F12998"/>
    <w:rsid w:val="55F668FC"/>
    <w:rsid w:val="55F81F79"/>
    <w:rsid w:val="56224F72"/>
    <w:rsid w:val="56270168"/>
    <w:rsid w:val="56300645"/>
    <w:rsid w:val="574207BF"/>
    <w:rsid w:val="57527466"/>
    <w:rsid w:val="57D367F9"/>
    <w:rsid w:val="58005A5A"/>
    <w:rsid w:val="582C7CB7"/>
    <w:rsid w:val="583059FA"/>
    <w:rsid w:val="58577D0A"/>
    <w:rsid w:val="58A36161"/>
    <w:rsid w:val="58B8511B"/>
    <w:rsid w:val="58D055D1"/>
    <w:rsid w:val="58F307D5"/>
    <w:rsid w:val="58F333FF"/>
    <w:rsid w:val="59525A01"/>
    <w:rsid w:val="59653481"/>
    <w:rsid w:val="596D0588"/>
    <w:rsid w:val="597476A0"/>
    <w:rsid w:val="59D32AE1"/>
    <w:rsid w:val="59E53357"/>
    <w:rsid w:val="5A201A9E"/>
    <w:rsid w:val="5AA7634B"/>
    <w:rsid w:val="5AB1171C"/>
    <w:rsid w:val="5C7659A5"/>
    <w:rsid w:val="5CC613FD"/>
    <w:rsid w:val="5D081F0B"/>
    <w:rsid w:val="5D25718A"/>
    <w:rsid w:val="5D2B164C"/>
    <w:rsid w:val="5D5850AB"/>
    <w:rsid w:val="5D6677C8"/>
    <w:rsid w:val="5D7F6ADB"/>
    <w:rsid w:val="5D902A97"/>
    <w:rsid w:val="5DAE61D8"/>
    <w:rsid w:val="5E391380"/>
    <w:rsid w:val="5E47584B"/>
    <w:rsid w:val="5E7F4FE5"/>
    <w:rsid w:val="5E9332C3"/>
    <w:rsid w:val="5EAB7FF3"/>
    <w:rsid w:val="5EC35698"/>
    <w:rsid w:val="5F04373C"/>
    <w:rsid w:val="5F30008D"/>
    <w:rsid w:val="5F4E6098"/>
    <w:rsid w:val="601243E7"/>
    <w:rsid w:val="603B318E"/>
    <w:rsid w:val="60661887"/>
    <w:rsid w:val="606917FE"/>
    <w:rsid w:val="60B41BD6"/>
    <w:rsid w:val="61447E20"/>
    <w:rsid w:val="61477910"/>
    <w:rsid w:val="61516038"/>
    <w:rsid w:val="615311BC"/>
    <w:rsid w:val="61620FE5"/>
    <w:rsid w:val="617E122D"/>
    <w:rsid w:val="61C40F61"/>
    <w:rsid w:val="61E41603"/>
    <w:rsid w:val="61EA57CF"/>
    <w:rsid w:val="61EE278A"/>
    <w:rsid w:val="62634C1E"/>
    <w:rsid w:val="62F15D85"/>
    <w:rsid w:val="63101DE8"/>
    <w:rsid w:val="631B2E02"/>
    <w:rsid w:val="633013C5"/>
    <w:rsid w:val="63422A85"/>
    <w:rsid w:val="63476B4A"/>
    <w:rsid w:val="63747A9A"/>
    <w:rsid w:val="63CE5BCA"/>
    <w:rsid w:val="63EF260C"/>
    <w:rsid w:val="63FF1893"/>
    <w:rsid w:val="641E0DFC"/>
    <w:rsid w:val="64803865"/>
    <w:rsid w:val="64E078AA"/>
    <w:rsid w:val="6589499B"/>
    <w:rsid w:val="65FD3A5C"/>
    <w:rsid w:val="662446C4"/>
    <w:rsid w:val="67584625"/>
    <w:rsid w:val="677879E5"/>
    <w:rsid w:val="67896ED4"/>
    <w:rsid w:val="67F02AB0"/>
    <w:rsid w:val="682664D1"/>
    <w:rsid w:val="68850E7E"/>
    <w:rsid w:val="68AB6EB0"/>
    <w:rsid w:val="69020CEC"/>
    <w:rsid w:val="69414646"/>
    <w:rsid w:val="69601EB7"/>
    <w:rsid w:val="699022E4"/>
    <w:rsid w:val="69D00DEB"/>
    <w:rsid w:val="69E93C5A"/>
    <w:rsid w:val="6A366774"/>
    <w:rsid w:val="6A4964A7"/>
    <w:rsid w:val="6B466EA6"/>
    <w:rsid w:val="6B6F6C1F"/>
    <w:rsid w:val="6BCE135A"/>
    <w:rsid w:val="6C2B3694"/>
    <w:rsid w:val="6C951E77"/>
    <w:rsid w:val="6CB14BC8"/>
    <w:rsid w:val="6CDE381E"/>
    <w:rsid w:val="6CF7668E"/>
    <w:rsid w:val="6D513FF0"/>
    <w:rsid w:val="6E98072C"/>
    <w:rsid w:val="6F280D81"/>
    <w:rsid w:val="6F443D25"/>
    <w:rsid w:val="6F67671B"/>
    <w:rsid w:val="6F773AB6"/>
    <w:rsid w:val="6F91409C"/>
    <w:rsid w:val="6FA7614A"/>
    <w:rsid w:val="6FEE2E3B"/>
    <w:rsid w:val="700E61C9"/>
    <w:rsid w:val="705C4D2F"/>
    <w:rsid w:val="70767C84"/>
    <w:rsid w:val="711041C2"/>
    <w:rsid w:val="71470015"/>
    <w:rsid w:val="71567EF9"/>
    <w:rsid w:val="717A163C"/>
    <w:rsid w:val="71947D00"/>
    <w:rsid w:val="71A76679"/>
    <w:rsid w:val="72277415"/>
    <w:rsid w:val="722F2BA9"/>
    <w:rsid w:val="728E539F"/>
    <w:rsid w:val="72B34E05"/>
    <w:rsid w:val="72B666A4"/>
    <w:rsid w:val="72DB610A"/>
    <w:rsid w:val="72F571CC"/>
    <w:rsid w:val="72F93721"/>
    <w:rsid w:val="73014803"/>
    <w:rsid w:val="73CF5B6F"/>
    <w:rsid w:val="749D3FBF"/>
    <w:rsid w:val="751F3575"/>
    <w:rsid w:val="756B03B2"/>
    <w:rsid w:val="75AE12AE"/>
    <w:rsid w:val="75E76FA0"/>
    <w:rsid w:val="75FD18AA"/>
    <w:rsid w:val="76277FE4"/>
    <w:rsid w:val="76BA6339"/>
    <w:rsid w:val="77037C1B"/>
    <w:rsid w:val="777976C2"/>
    <w:rsid w:val="777F175A"/>
    <w:rsid w:val="778A1F2E"/>
    <w:rsid w:val="77A47413"/>
    <w:rsid w:val="77C20A31"/>
    <w:rsid w:val="77CE623E"/>
    <w:rsid w:val="77DE2925"/>
    <w:rsid w:val="78250553"/>
    <w:rsid w:val="78A51694"/>
    <w:rsid w:val="78A771BA"/>
    <w:rsid w:val="798B5F81"/>
    <w:rsid w:val="79A272C8"/>
    <w:rsid w:val="79C142AC"/>
    <w:rsid w:val="7ABE5682"/>
    <w:rsid w:val="7AF233A5"/>
    <w:rsid w:val="7B114DBF"/>
    <w:rsid w:val="7BA63CB2"/>
    <w:rsid w:val="7BB045D8"/>
    <w:rsid w:val="7C3522B8"/>
    <w:rsid w:val="7C5066C5"/>
    <w:rsid w:val="7C5A4250"/>
    <w:rsid w:val="7C603CF6"/>
    <w:rsid w:val="7CBE2D25"/>
    <w:rsid w:val="7CDB5685"/>
    <w:rsid w:val="7CDC31AB"/>
    <w:rsid w:val="7D0D28D0"/>
    <w:rsid w:val="7DE1316F"/>
    <w:rsid w:val="7E6A73EB"/>
    <w:rsid w:val="7E7318ED"/>
    <w:rsid w:val="7EBC3294"/>
    <w:rsid w:val="7ED4682F"/>
    <w:rsid w:val="7EF0118F"/>
    <w:rsid w:val="7F833DB1"/>
    <w:rsid w:val="7FAC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before="340" w:after="33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3" w:lineRule="auto"/>
      <w:jc w:val="center"/>
      <w:outlineLvl w:val="1"/>
    </w:pPr>
    <w:rPr>
      <w:rFonts w:eastAsia="黑体"/>
      <w:b/>
      <w:bCs/>
      <w:sz w:val="28"/>
      <w:szCs w:val="32"/>
    </w:rPr>
  </w:style>
  <w:style w:type="paragraph" w:styleId="4">
    <w:name w:val="heading 3"/>
    <w:basedOn w:val="3"/>
    <w:next w:val="1"/>
    <w:unhideWhenUsed/>
    <w:qFormat/>
    <w:uiPriority w:val="0"/>
    <w:pPr>
      <w:numPr>
        <w:ilvl w:val="0"/>
        <w:numId w:val="1"/>
      </w:numPr>
      <w:outlineLvl w:val="2"/>
    </w:pPr>
  </w:style>
  <w:style w:type="paragraph" w:styleId="5">
    <w:name w:val="heading 4"/>
    <w:basedOn w:val="1"/>
    <w:next w:val="1"/>
    <w:link w:val="39"/>
    <w:unhideWhenUsed/>
    <w:qFormat/>
    <w:uiPriority w:val="0"/>
    <w:pPr>
      <w:keepNext/>
      <w:keepLines/>
      <w:spacing w:before="280" w:after="290" w:line="372" w:lineRule="auto"/>
      <w:outlineLvl w:val="3"/>
    </w:pPr>
    <w:rPr>
      <w:rFonts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99"/>
    <w:pPr>
      <w:spacing w:line="360" w:lineRule="atLeast"/>
      <w:ind w:firstLine="420"/>
    </w:pPr>
    <w:rPr>
      <w:rFonts w:ascii="宋体" w:cs="宋体"/>
      <w:sz w:val="24"/>
      <w:szCs w:val="24"/>
    </w:rPr>
  </w:style>
  <w:style w:type="paragraph" w:styleId="7">
    <w:name w:val="annotation text"/>
    <w:basedOn w:val="1"/>
    <w:link w:val="45"/>
    <w:qFormat/>
    <w:uiPriority w:val="0"/>
  </w:style>
  <w:style w:type="paragraph" w:styleId="8">
    <w:name w:val="Body Text"/>
    <w:basedOn w:val="1"/>
    <w:autoRedefine/>
    <w:semiHidden/>
    <w:qFormat/>
    <w:uiPriority w:val="0"/>
  </w:style>
  <w:style w:type="paragraph" w:styleId="9">
    <w:name w:val="Body Text Indent"/>
    <w:basedOn w:val="1"/>
    <w:next w:val="10"/>
    <w:link w:val="43"/>
    <w:autoRedefine/>
    <w:qFormat/>
    <w:uiPriority w:val="0"/>
    <w:pPr>
      <w:spacing w:after="120"/>
      <w:ind w:left="420" w:leftChars="200"/>
    </w:pPr>
    <w:rPr>
      <w:szCs w:val="24"/>
    </w:rPr>
  </w:style>
  <w:style w:type="paragraph" w:styleId="10">
    <w:name w:val="envelope return"/>
    <w:basedOn w:val="11"/>
    <w:qFormat/>
    <w:uiPriority w:val="0"/>
    <w:rPr>
      <w:rFonts w:ascii="Arial" w:hAnsi="Arial"/>
    </w:rPr>
  </w:style>
  <w:style w:type="paragraph" w:customStyle="1" w:styleId="11">
    <w:name w:val="Normal_4"/>
    <w:next w:val="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
    <w:name w:val="Body Text First Indent 21"/>
    <w:basedOn w:val="13"/>
    <w:next w:val="11"/>
    <w:qFormat/>
    <w:uiPriority w:val="0"/>
    <w:pPr>
      <w:tabs>
        <w:tab w:val="left" w:pos="5580"/>
      </w:tabs>
      <w:ind w:firstLine="420" w:firstLineChars="200"/>
    </w:pPr>
  </w:style>
  <w:style w:type="paragraph" w:customStyle="1" w:styleId="13">
    <w:name w:val="正文文本缩进1"/>
    <w:basedOn w:val="11"/>
    <w:next w:val="10"/>
    <w:qFormat/>
    <w:uiPriority w:val="0"/>
    <w:pPr>
      <w:spacing w:after="120"/>
      <w:ind w:left="420" w:leftChars="200"/>
    </w:pPr>
  </w:style>
  <w:style w:type="paragraph" w:styleId="14">
    <w:name w:val="Plain Text"/>
    <w:basedOn w:val="15"/>
    <w:next w:val="1"/>
    <w:qFormat/>
    <w:uiPriority w:val="0"/>
    <w:rPr>
      <w:rFonts w:hint="eastAsia" w:ascii="宋体" w:hAnsi="Courier New"/>
    </w:rPr>
  </w:style>
  <w:style w:type="paragraph" w:customStyle="1" w:styleId="15">
    <w:name w:val="Normal_6"/>
    <w:next w:val="14"/>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Date"/>
    <w:basedOn w:val="1"/>
    <w:next w:val="1"/>
    <w:autoRedefine/>
    <w:qFormat/>
    <w:uiPriority w:val="0"/>
    <w:pPr>
      <w:ind w:left="100" w:leftChars="2500"/>
    </w:pPr>
  </w:style>
  <w:style w:type="paragraph" w:styleId="17">
    <w:name w:val="Balloon Text"/>
    <w:basedOn w:val="1"/>
    <w:link w:val="44"/>
    <w:qFormat/>
    <w:uiPriority w:val="0"/>
    <w:rPr>
      <w:sz w:val="18"/>
      <w:szCs w:val="18"/>
    </w:rPr>
  </w:style>
  <w:style w:type="paragraph" w:styleId="18">
    <w:name w:val="footer"/>
    <w:basedOn w:val="1"/>
    <w:autoRedefine/>
    <w:qFormat/>
    <w:uiPriority w:val="0"/>
    <w:pPr>
      <w:tabs>
        <w:tab w:val="center" w:pos="4153"/>
        <w:tab w:val="right" w:pos="8306"/>
      </w:tabs>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20">
    <w:name w:val="toc 1"/>
    <w:basedOn w:val="1"/>
    <w:next w:val="1"/>
    <w:autoRedefine/>
    <w:qFormat/>
    <w:uiPriority w:val="0"/>
  </w:style>
  <w:style w:type="paragraph" w:styleId="21">
    <w:name w:val="toc 6"/>
    <w:basedOn w:val="1"/>
    <w:next w:val="1"/>
    <w:unhideWhenUsed/>
    <w:qFormat/>
    <w:uiPriority w:val="39"/>
    <w:pPr>
      <w:ind w:left="2100" w:leftChars="1000"/>
    </w:pPr>
  </w:style>
  <w:style w:type="paragraph" w:styleId="22">
    <w:name w:val="Normal (Web)"/>
    <w:basedOn w:val="1"/>
    <w:qFormat/>
    <w:uiPriority w:val="0"/>
    <w:pPr>
      <w:spacing w:beforeAutospacing="1" w:afterAutospacing="1"/>
    </w:pPr>
    <w:rPr>
      <w:rFonts w:cs="Times New Roman"/>
      <w:sz w:val="24"/>
      <w:lang w:eastAsia="zh-CN"/>
    </w:rPr>
  </w:style>
  <w:style w:type="paragraph" w:styleId="23">
    <w:name w:val="Title"/>
    <w:basedOn w:val="1"/>
    <w:autoRedefine/>
    <w:qFormat/>
    <w:uiPriority w:val="0"/>
    <w:pPr>
      <w:spacing w:before="240" w:after="60" w:line="420" w:lineRule="atLeast"/>
      <w:jc w:val="center"/>
      <w:outlineLvl w:val="0"/>
    </w:pPr>
    <w:rPr>
      <w:b/>
      <w:sz w:val="32"/>
    </w:rPr>
  </w:style>
  <w:style w:type="paragraph" w:styleId="24">
    <w:name w:val="annotation subject"/>
    <w:basedOn w:val="7"/>
    <w:next w:val="7"/>
    <w:link w:val="46"/>
    <w:qFormat/>
    <w:uiPriority w:val="0"/>
    <w:rPr>
      <w:b/>
      <w:bCs/>
    </w:rPr>
  </w:style>
  <w:style w:type="paragraph" w:styleId="25">
    <w:name w:val="Body Text First Indent"/>
    <w:basedOn w:val="8"/>
    <w:next w:val="21"/>
    <w:qFormat/>
    <w:uiPriority w:val="0"/>
    <w:pPr>
      <w:spacing w:line="312" w:lineRule="auto"/>
      <w:ind w:firstLine="42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Hyperlink"/>
    <w:basedOn w:val="28"/>
    <w:qFormat/>
    <w:uiPriority w:val="0"/>
    <w:rPr>
      <w:color w:val="0000FF"/>
      <w:u w:val="single"/>
    </w:rPr>
  </w:style>
  <w:style w:type="character" w:styleId="31">
    <w:name w:val="annotation reference"/>
    <w:basedOn w:val="28"/>
    <w:semiHidden/>
    <w:unhideWhenUsed/>
    <w:qFormat/>
    <w:uiPriority w:val="99"/>
    <w:rPr>
      <w:sz w:val="21"/>
      <w:szCs w:val="21"/>
    </w:rPr>
  </w:style>
  <w:style w:type="paragraph" w:customStyle="1" w:styleId="3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宋体" w:hAnsi="宋体" w:eastAsia="宋体" w:cs="宋体"/>
      <w:sz w:val="24"/>
      <w:szCs w:val="24"/>
    </w:rPr>
  </w:style>
  <w:style w:type="paragraph" w:customStyle="1" w:styleId="35">
    <w:name w:val="Default"/>
    <w:next w:val="1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WPSOffice手动目录 1"/>
    <w:autoRedefine/>
    <w:qFormat/>
    <w:uiPriority w:val="0"/>
    <w:rPr>
      <w:rFonts w:ascii="Times New Roman" w:hAnsi="Times New Roman" w:eastAsia="宋体" w:cs="Times New Roman"/>
      <w:lang w:val="en-US" w:eastAsia="zh-CN" w:bidi="ar-SA"/>
    </w:rPr>
  </w:style>
  <w:style w:type="paragraph" w:customStyle="1" w:styleId="37">
    <w:name w:val="Table Paragraph"/>
    <w:basedOn w:val="1"/>
    <w:autoRedefine/>
    <w:qFormat/>
    <w:uiPriority w:val="1"/>
    <w:rPr>
      <w:rFonts w:ascii="宋体" w:hAnsi="宋体" w:eastAsia="宋体" w:cs="宋体"/>
      <w:lang w:val="zh-CN" w:eastAsia="zh-CN" w:bidi="zh-CN"/>
    </w:rPr>
  </w:style>
  <w:style w:type="character" w:customStyle="1" w:styleId="38">
    <w:name w:val="NormalCharacter"/>
    <w:semiHidden/>
    <w:qFormat/>
    <w:uiPriority w:val="0"/>
  </w:style>
  <w:style w:type="character" w:customStyle="1" w:styleId="39">
    <w:name w:val="标题 4 字符"/>
    <w:link w:val="5"/>
    <w:qFormat/>
    <w:uiPriority w:val="0"/>
    <w:rPr>
      <w:rFonts w:ascii="Arial" w:hAnsi="Arial" w:eastAsia="黑体"/>
      <w:b/>
      <w:sz w:val="28"/>
    </w:rPr>
  </w:style>
  <w:style w:type="character" w:customStyle="1" w:styleId="40">
    <w:name w:val="font41"/>
    <w:basedOn w:val="28"/>
    <w:qFormat/>
    <w:uiPriority w:val="0"/>
    <w:rPr>
      <w:rFonts w:hint="eastAsia" w:ascii="宋体" w:hAnsi="宋体" w:eastAsia="宋体" w:cs="宋体"/>
      <w:color w:val="000000"/>
      <w:sz w:val="28"/>
      <w:szCs w:val="28"/>
      <w:u w:val="none"/>
    </w:rPr>
  </w:style>
  <w:style w:type="character" w:customStyle="1" w:styleId="41">
    <w:name w:val="font71"/>
    <w:basedOn w:val="28"/>
    <w:qFormat/>
    <w:uiPriority w:val="0"/>
    <w:rPr>
      <w:rFonts w:hint="eastAsia" w:ascii="宋体" w:hAnsi="宋体" w:eastAsia="宋体" w:cs="宋体"/>
      <w:color w:val="FF0000"/>
      <w:sz w:val="28"/>
      <w:szCs w:val="28"/>
      <w:u w:val="none"/>
    </w:rPr>
  </w:style>
  <w:style w:type="character" w:customStyle="1" w:styleId="42">
    <w:name w:val="font51"/>
    <w:basedOn w:val="28"/>
    <w:qFormat/>
    <w:uiPriority w:val="0"/>
    <w:rPr>
      <w:rFonts w:hint="eastAsia" w:ascii="宋体" w:hAnsi="宋体" w:eastAsia="宋体" w:cs="宋体"/>
      <w:color w:val="000000"/>
      <w:sz w:val="28"/>
      <w:szCs w:val="28"/>
      <w:u w:val="none"/>
    </w:rPr>
  </w:style>
  <w:style w:type="character" w:customStyle="1" w:styleId="43">
    <w:name w:val="正文文本缩进 字符"/>
    <w:basedOn w:val="28"/>
    <w:link w:val="9"/>
    <w:qFormat/>
    <w:uiPriority w:val="0"/>
    <w:rPr>
      <w:rFonts w:ascii="Arial" w:hAnsi="Arial" w:eastAsia="Arial" w:cs="Arial"/>
      <w:snapToGrid w:val="0"/>
      <w:color w:val="000000"/>
      <w:sz w:val="21"/>
      <w:szCs w:val="24"/>
      <w:lang w:eastAsia="en-US"/>
    </w:rPr>
  </w:style>
  <w:style w:type="character" w:customStyle="1" w:styleId="44">
    <w:name w:val="批注框文本 字符"/>
    <w:basedOn w:val="28"/>
    <w:link w:val="17"/>
    <w:qFormat/>
    <w:uiPriority w:val="0"/>
    <w:rPr>
      <w:rFonts w:ascii="Arial" w:hAnsi="Arial" w:eastAsia="Arial" w:cs="Arial"/>
      <w:snapToGrid w:val="0"/>
      <w:color w:val="000000"/>
      <w:sz w:val="18"/>
      <w:szCs w:val="18"/>
      <w:lang w:eastAsia="en-US"/>
    </w:rPr>
  </w:style>
  <w:style w:type="character" w:customStyle="1" w:styleId="45">
    <w:name w:val="批注文字 字符"/>
    <w:basedOn w:val="28"/>
    <w:link w:val="7"/>
    <w:qFormat/>
    <w:uiPriority w:val="0"/>
    <w:rPr>
      <w:rFonts w:ascii="Arial" w:hAnsi="Arial" w:eastAsia="Arial" w:cs="Arial"/>
      <w:snapToGrid w:val="0"/>
      <w:color w:val="000000"/>
      <w:sz w:val="21"/>
      <w:szCs w:val="21"/>
      <w:lang w:eastAsia="en-US"/>
    </w:rPr>
  </w:style>
  <w:style w:type="character" w:customStyle="1" w:styleId="46">
    <w:name w:val="批注主题 字符"/>
    <w:basedOn w:val="45"/>
    <w:link w:val="24"/>
    <w:qFormat/>
    <w:uiPriority w:val="0"/>
    <w:rPr>
      <w:rFonts w:ascii="Arial" w:hAnsi="Arial" w:eastAsia="Arial" w:cs="Arial"/>
      <w:b/>
      <w:bCs/>
      <w:snapToGrid w:val="0"/>
      <w:color w:val="000000"/>
      <w:sz w:val="21"/>
      <w:szCs w:val="21"/>
      <w:lang w:eastAsia="en-US"/>
    </w:rPr>
  </w:style>
  <w:style w:type="character" w:customStyle="1" w:styleId="47">
    <w:name w:val="font31"/>
    <w:basedOn w:val="28"/>
    <w:qFormat/>
    <w:uiPriority w:val="0"/>
    <w:rPr>
      <w:rFonts w:hint="eastAsia" w:ascii="宋体" w:hAnsi="宋体" w:eastAsia="宋体" w:cs="宋体"/>
      <w:color w:val="000000"/>
      <w:sz w:val="24"/>
      <w:szCs w:val="24"/>
      <w:u w:val="none"/>
    </w:rPr>
  </w:style>
  <w:style w:type="character" w:customStyle="1" w:styleId="48">
    <w:name w:val="font21"/>
    <w:basedOn w:val="28"/>
    <w:qFormat/>
    <w:uiPriority w:val="0"/>
    <w:rPr>
      <w:rFonts w:hint="eastAsia" w:ascii="宋体" w:hAnsi="宋体" w:eastAsia="宋体" w:cs="宋体"/>
      <w:b/>
      <w:bCs/>
      <w:color w:val="000000"/>
      <w:sz w:val="28"/>
      <w:szCs w:val="28"/>
      <w:u w:val="none"/>
    </w:rPr>
  </w:style>
  <w:style w:type="character" w:customStyle="1" w:styleId="49">
    <w:name w:val="font61"/>
    <w:basedOn w:val="28"/>
    <w:qFormat/>
    <w:uiPriority w:val="0"/>
    <w:rPr>
      <w:rFonts w:hint="eastAsia" w:ascii="宋体" w:hAnsi="宋体" w:eastAsia="宋体" w:cs="宋体"/>
      <w:b/>
      <w:bCs/>
      <w:color w:val="FF0000"/>
      <w:sz w:val="28"/>
      <w:szCs w:val="28"/>
      <w:u w:val="none"/>
    </w:rPr>
  </w:style>
  <w:style w:type="character" w:customStyle="1" w:styleId="50">
    <w:name w:val="font11"/>
    <w:basedOn w:val="28"/>
    <w:qFormat/>
    <w:uiPriority w:val="0"/>
    <w:rPr>
      <w:rFonts w:hint="eastAsia" w:ascii="宋体" w:hAnsi="宋体" w:eastAsia="宋体" w:cs="宋体"/>
      <w:color w:val="000000"/>
      <w:sz w:val="28"/>
      <w:szCs w:val="28"/>
      <w:u w:val="none"/>
    </w:rPr>
  </w:style>
  <w:style w:type="character" w:customStyle="1" w:styleId="51">
    <w:name w:val="font81"/>
    <w:basedOn w:val="28"/>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9235</Words>
  <Characters>10399</Characters>
  <Lines>363</Lines>
  <Paragraphs>102</Paragraphs>
  <TotalTime>41</TotalTime>
  <ScaleCrop>false</ScaleCrop>
  <LinksUpToDate>false</LinksUpToDate>
  <CharactersWithSpaces>10543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ZJ</cp:lastModifiedBy>
  <cp:lastPrinted>2024-11-27T08:32:00Z</cp:lastPrinted>
  <dcterms:modified xsi:type="dcterms:W3CDTF">2025-07-11T01:32:00Z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2052-12.1.0.21915</vt:lpwstr>
  </property>
  <property fmtid="{D5CDD505-2E9C-101B-9397-08002B2CF9AE}" pid="5" name="ICV">
    <vt:lpwstr>BBEF084C16764E56B8DF5952B6BF9EAD_13</vt:lpwstr>
  </property>
  <property fmtid="{D5CDD505-2E9C-101B-9397-08002B2CF9AE}" pid="6" name="KSOTemplateDocerSaveRecord">
    <vt:lpwstr>eyJoZGlkIjoiZDE1ODMxYjI1NzQzYjk2N2RjZDVjNDczZjIwNzJkYmEiLCJ1c2VySWQiOiIxNjM0MDIwNjcyIn0=</vt:lpwstr>
  </property>
</Properties>
</file>