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auto"/>
          <w:kern w:val="0"/>
          <w:sz w:val="52"/>
          <w:szCs w:val="52"/>
          <w:highlight w:val="none"/>
        </w:rPr>
      </w:pPr>
      <w:r>
        <w:rPr>
          <w:rFonts w:hint="eastAsia" w:ascii="宋体" w:hAnsi="宋体" w:eastAsia="宋体" w:cs="宋体"/>
          <w:b/>
          <w:color w:val="auto"/>
          <w:sz w:val="144"/>
          <w:szCs w:val="144"/>
          <w:highlight w:val="none"/>
        </w:rPr>
        <w:drawing>
          <wp:inline distT="0" distB="0" distL="114300" distR="114300">
            <wp:extent cx="1887855" cy="1798320"/>
            <wp:effectExtent l="0" t="0" r="17145" b="11430"/>
            <wp:docPr id="1" name="图片 4" descr="QQ图片2017051709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QQ图片20170517095905"/>
                    <pic:cNvPicPr>
                      <a:picLocks noChangeAspect="1"/>
                    </pic:cNvPicPr>
                  </pic:nvPicPr>
                  <pic:blipFill>
                    <a:blip r:embed="rId9"/>
                    <a:stretch>
                      <a:fillRect/>
                    </a:stretch>
                  </pic:blipFill>
                  <pic:spPr>
                    <a:xfrm>
                      <a:off x="0" y="0"/>
                      <a:ext cx="1887855" cy="1798320"/>
                    </a:xfrm>
                    <a:prstGeom prst="rect">
                      <a:avLst/>
                    </a:prstGeom>
                    <a:noFill/>
                    <a:ln>
                      <a:noFill/>
                    </a:ln>
                  </pic:spPr>
                </pic:pic>
              </a:graphicData>
            </a:graphic>
          </wp:inline>
        </w:drawing>
      </w:r>
    </w:p>
    <w:p>
      <w:pPr>
        <w:rPr>
          <w:rFonts w:ascii="宋体" w:hAnsi="宋体" w:eastAsia="宋体" w:cs="宋体"/>
          <w:color w:val="auto"/>
          <w:highlight w:val="none"/>
        </w:rPr>
      </w:pPr>
    </w:p>
    <w:p>
      <w:pPr>
        <w:rPr>
          <w:rFonts w:ascii="宋体" w:hAnsi="宋体" w:eastAsia="宋体" w:cs="宋体"/>
          <w:color w:val="auto"/>
          <w:highlight w:val="none"/>
        </w:rPr>
      </w:pPr>
      <w:r>
        <w:rPr>
          <w:rFonts w:ascii="宋体" w:hAnsi="宋体" w:eastAsia="宋体" w:cs="宋体"/>
          <w:color w:val="auto"/>
          <w:sz w:val="44"/>
          <w:szCs w:val="4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-24765</wp:posOffset>
                </wp:positionV>
                <wp:extent cx="5860415" cy="24765"/>
                <wp:effectExtent l="0" t="28575" r="6985" b="41910"/>
                <wp:wrapNone/>
                <wp:docPr id="4" name="Line 5"/>
                <wp:cNvGraphicFramePr/>
                <a:graphic xmlns:a="http://schemas.openxmlformats.org/drawingml/2006/main">
                  <a:graphicData uri="http://schemas.microsoft.com/office/word/2010/wordprocessingShape">
                    <wps:wsp>
                      <wps:cNvCnPr/>
                      <wps:spPr>
                        <a:xfrm flipV="1">
                          <a:off x="0" y="0"/>
                          <a:ext cx="5860415" cy="24765"/>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Line 5" o:spid="_x0000_s1026" o:spt="20" style="position:absolute;left:0pt;flip:y;margin-left:0pt;margin-top:-1.95pt;height:1.95pt;width:461.45pt;z-index:251659264;mso-width-relative:page;mso-height-relative:page;" filled="f" stroked="t" coordsize="21600,21600" o:gfxdata="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G0H3dIAAAAEAQAADwAAAAAAAAABACAAAAAiAAAAZHJzL2Rv&#10;d25yZXYueG1sUEsBAhQAFAAAAAgAh07iQE5lscTOAQAAogMAAA4AAAAAAAAAAQAgAAAAIQEAAGRy&#10;cy9lMm9Eb2MueG1sUEsFBgAAAAAGAAYAWQEAAGEFAAAAAA==&#10;">
                <v:fill on="f" focussize="0,0"/>
                <v:stroke weight="4.5pt" color="#000000" linestyle="thinThick" joinstyle="round"/>
                <v:imagedata o:title=""/>
                <o:lock v:ext="edit" aspectratio="f"/>
              </v:line>
            </w:pict>
          </mc:Fallback>
        </mc:AlternateContent>
      </w:r>
    </w:p>
    <w:p>
      <w:pPr>
        <w:rPr>
          <w:rFonts w:ascii="宋体" w:hAnsi="宋体" w:eastAsia="宋体" w:cs="宋体"/>
          <w:color w:val="auto"/>
          <w:highlight w:val="none"/>
        </w:rPr>
      </w:pPr>
    </w:p>
    <w:p>
      <w:pPr>
        <w:pStyle w:val="30"/>
        <w:rPr>
          <w:rFonts w:ascii="宋体" w:hAnsi="宋体" w:eastAsia="宋体" w:cs="宋体"/>
          <w:color w:val="auto"/>
          <w:highlight w:val="none"/>
        </w:rPr>
      </w:pPr>
    </w:p>
    <w:p>
      <w:pPr>
        <w:jc w:val="center"/>
        <w:rPr>
          <w:rFonts w:ascii="宋体" w:hAnsi="宋体" w:eastAsia="宋体" w:cs="宋体"/>
          <w:color w:val="auto"/>
          <w:sz w:val="96"/>
          <w:szCs w:val="96"/>
          <w:highlight w:val="none"/>
        </w:rPr>
      </w:pPr>
      <w:r>
        <w:rPr>
          <w:rFonts w:hint="eastAsia" w:ascii="宋体" w:hAnsi="宋体" w:eastAsia="宋体" w:cs="宋体"/>
          <w:bCs/>
          <w:color w:val="auto"/>
          <w:sz w:val="96"/>
          <w:szCs w:val="96"/>
          <w:highlight w:val="none"/>
        </w:rPr>
        <w:t>竞争性磋商文件</w:t>
      </w:r>
    </w:p>
    <w:p>
      <w:pPr>
        <w:rPr>
          <w:rFonts w:ascii="宋体" w:hAnsi="宋体" w:eastAsia="宋体" w:cs="宋体"/>
          <w:color w:val="auto"/>
          <w:highlight w:val="none"/>
        </w:rPr>
      </w:pPr>
    </w:p>
    <w:p>
      <w:pPr>
        <w:rPr>
          <w:rFonts w:ascii="宋体" w:hAnsi="宋体" w:eastAsia="宋体" w:cs="宋体"/>
          <w:color w:val="auto"/>
          <w:sz w:val="28"/>
          <w:highlight w:val="none"/>
        </w:rPr>
      </w:pPr>
    </w:p>
    <w:p>
      <w:pPr>
        <w:pStyle w:val="30"/>
        <w:rPr>
          <w:rFonts w:ascii="宋体" w:hAnsi="宋体" w:eastAsia="宋体" w:cs="宋体"/>
          <w:color w:val="auto"/>
          <w:highlight w:val="none"/>
        </w:rPr>
      </w:pPr>
    </w:p>
    <w:p>
      <w:pPr>
        <w:pStyle w:val="30"/>
        <w:rPr>
          <w:rFonts w:ascii="宋体" w:hAnsi="宋体" w:eastAsia="宋体" w:cs="宋体"/>
          <w:color w:val="auto"/>
          <w:sz w:val="28"/>
          <w:highlight w:val="none"/>
        </w:rPr>
      </w:pPr>
    </w:p>
    <w:p>
      <w:pPr>
        <w:pStyle w:val="30"/>
        <w:rPr>
          <w:rFonts w:ascii="宋体" w:hAnsi="宋体" w:eastAsia="宋体" w:cs="宋体"/>
          <w:color w:val="auto"/>
          <w:sz w:val="28"/>
          <w:highlight w:val="none"/>
        </w:rPr>
      </w:pPr>
    </w:p>
    <w:p>
      <w:pPr>
        <w:pStyle w:val="30"/>
        <w:rPr>
          <w:rFonts w:ascii="宋体" w:hAnsi="宋体" w:eastAsia="宋体" w:cs="宋体"/>
          <w:color w:val="auto"/>
          <w:sz w:val="28"/>
          <w:highlight w:val="none"/>
        </w:rPr>
      </w:pPr>
    </w:p>
    <w:p>
      <w:pPr>
        <w:ind w:right="22"/>
        <w:jc w:val="left"/>
        <w:rPr>
          <w:rFonts w:ascii="宋体" w:hAnsi="宋体" w:eastAsia="宋体" w:cs="宋体"/>
          <w:b/>
          <w:color w:val="auto"/>
          <w:sz w:val="32"/>
          <w:szCs w:val="30"/>
          <w:highlight w:val="none"/>
        </w:rPr>
      </w:pPr>
    </w:p>
    <w:p>
      <w:pPr>
        <w:ind w:right="22" w:firstLine="562" w:firstLineChars="200"/>
        <w:jc w:val="lef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项目名称：钦州市中级法院六专四室改造项目</w:t>
      </w:r>
    </w:p>
    <w:p>
      <w:pPr>
        <w:ind w:left="3011" w:leftChars="675" w:right="22" w:hanging="1593" w:hangingChars="496"/>
        <w:jc w:val="center"/>
        <w:rPr>
          <w:rFonts w:ascii="宋体" w:hAnsi="宋体" w:eastAsia="宋体" w:cs="宋体"/>
          <w:b/>
          <w:color w:val="auto"/>
          <w:sz w:val="32"/>
          <w:szCs w:val="30"/>
          <w:highlight w:val="none"/>
        </w:rPr>
      </w:pPr>
    </w:p>
    <w:p>
      <w:pPr>
        <w:ind w:right="22" w:firstLine="562" w:firstLineChars="200"/>
        <w:rPr>
          <w:rFonts w:ascii="宋体" w:hAnsi="宋体" w:eastAsia="宋体" w:cs="宋体"/>
          <w:color w:val="auto"/>
          <w:sz w:val="20"/>
          <w:szCs w:val="22"/>
          <w:highlight w:val="none"/>
        </w:rPr>
      </w:pPr>
      <w:r>
        <w:rPr>
          <w:rFonts w:hint="eastAsia" w:ascii="宋体" w:hAnsi="宋体" w:eastAsia="宋体" w:cs="宋体"/>
          <w:b/>
          <w:color w:val="auto"/>
          <w:sz w:val="28"/>
          <w:szCs w:val="28"/>
          <w:highlight w:val="none"/>
        </w:rPr>
        <w:t>项目编号：QZZC2020-C3-10008-CJXG</w:t>
      </w:r>
    </w:p>
    <w:p>
      <w:pPr>
        <w:rPr>
          <w:rFonts w:ascii="宋体" w:hAnsi="宋体" w:eastAsia="宋体" w:cs="宋体"/>
          <w:color w:val="auto"/>
          <w:sz w:val="28"/>
          <w:highlight w:val="none"/>
        </w:rPr>
      </w:pPr>
    </w:p>
    <w:p>
      <w:pPr>
        <w:pStyle w:val="30"/>
        <w:rPr>
          <w:rFonts w:ascii="宋体" w:hAnsi="宋体" w:eastAsia="宋体" w:cs="宋体"/>
          <w:color w:val="auto"/>
          <w:highlight w:val="none"/>
        </w:rPr>
      </w:pPr>
    </w:p>
    <w:p>
      <w:pPr>
        <w:rPr>
          <w:rFonts w:ascii="宋体" w:hAnsi="宋体" w:eastAsia="宋体" w:cs="宋体"/>
          <w:b/>
          <w:color w:val="auto"/>
          <w:sz w:val="28"/>
          <w:szCs w:val="28"/>
          <w:highlight w:val="none"/>
          <w:u w:val="single"/>
        </w:rPr>
      </w:pPr>
      <w:r>
        <w:rPr>
          <w:rFonts w:hint="eastAsia" w:ascii="宋体" w:hAnsi="宋体" w:eastAsia="宋体" w:cs="宋体"/>
          <w:color w:val="auto"/>
          <w:sz w:val="24"/>
          <w:highlight w:val="none"/>
        </w:rPr>
        <w:t xml:space="preserve">               </w:t>
      </w:r>
    </w:p>
    <w:p>
      <w:pPr>
        <w:spacing w:line="300" w:lineRule="exact"/>
        <w:rPr>
          <w:rFonts w:ascii="宋体" w:hAnsi="宋体" w:eastAsia="宋体" w:cs="宋体"/>
          <w:b/>
          <w:color w:val="auto"/>
          <w:sz w:val="28"/>
          <w:szCs w:val="28"/>
          <w:highlight w:val="none"/>
          <w:u w:val="single"/>
        </w:rPr>
      </w:pPr>
    </w:p>
    <w:p>
      <w:pPr>
        <w:spacing w:line="300" w:lineRule="exact"/>
        <w:rPr>
          <w:rFonts w:ascii="宋体" w:hAnsi="宋体" w:eastAsia="宋体" w:cs="宋体"/>
          <w:b/>
          <w:color w:val="auto"/>
          <w:sz w:val="28"/>
          <w:szCs w:val="28"/>
          <w:highlight w:val="none"/>
          <w:u w:val="single"/>
        </w:rPr>
      </w:pPr>
    </w:p>
    <w:p>
      <w:pPr>
        <w:rPr>
          <w:rFonts w:ascii="宋体" w:hAnsi="宋体" w:eastAsia="宋体" w:cs="宋体"/>
          <w:b/>
          <w:color w:val="auto"/>
          <w:sz w:val="32"/>
          <w:szCs w:val="32"/>
          <w:highlight w:val="none"/>
        </w:rPr>
      </w:pPr>
      <w:r>
        <w:rPr>
          <w:rFonts w:ascii="宋体" w:hAnsi="宋体" w:eastAsia="宋体" w:cs="宋体"/>
          <w:b/>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-1905</wp:posOffset>
                </wp:positionV>
                <wp:extent cx="5873750" cy="20955"/>
                <wp:effectExtent l="0" t="28575" r="12700" b="45720"/>
                <wp:wrapNone/>
                <wp:docPr id="3" name="Line 6"/>
                <wp:cNvGraphicFramePr/>
                <a:graphic xmlns:a="http://schemas.openxmlformats.org/drawingml/2006/main">
                  <a:graphicData uri="http://schemas.microsoft.com/office/word/2010/wordprocessingShape">
                    <wps:wsp>
                      <wps:cNvCnPr/>
                      <wps:spPr>
                        <a:xfrm>
                          <a:off x="0" y="0"/>
                          <a:ext cx="5873750" cy="20955"/>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Line 6" o:spid="_x0000_s1026" o:spt="20" style="position:absolute;left:0pt;margin-left:-0.25pt;margin-top:-0.15pt;height:1.65pt;width:462.5pt;z-index:251660288;mso-width-relative:page;mso-height-relative:page;" filled="f" stroked="t" coordsize="21600,21600" o:gfxdata="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swxvdYAAAAFAQAADwAAAAAAAAABACAAAAAiAAAAZHJzL2Rvd25yZXYu&#10;eG1sUEsBAhQAFAAAAAgAh07iQDeqlznEAQAAmAMAAA4AAAAAAAAAAQAgAAAAJQEAAGRycy9lMm9E&#10;b2MueG1sUEsFBgAAAAAGAAYAWQEAAFsFAAAAAA==&#10;">
                <v:fill on="f" focussize="0,0"/>
                <v:stroke weight="4.5pt" color="#000000" linestyle="thinThick" joinstyle="round"/>
                <v:imagedata o:title=""/>
                <o:lock v:ext="edit" aspectratio="f"/>
              </v:line>
            </w:pict>
          </mc:Fallback>
        </mc:AlternateContent>
      </w:r>
    </w:p>
    <w:p>
      <w:pPr>
        <w:spacing w:line="480" w:lineRule="auto"/>
        <w:jc w:val="center"/>
        <w:rPr>
          <w:rFonts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采购单位：钦州市中级人民法院</w:t>
      </w:r>
    </w:p>
    <w:p>
      <w:pPr>
        <w:spacing w:line="48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采购代理机构：北京诚佳信工程管理有限公司</w:t>
      </w:r>
    </w:p>
    <w:p>
      <w:pPr>
        <w:spacing w:line="480" w:lineRule="auto"/>
        <w:jc w:val="center"/>
        <w:rPr>
          <w:rFonts w:ascii="宋体" w:hAnsi="宋体" w:eastAsia="宋体" w:cs="宋体"/>
          <w:b/>
          <w:color w:val="auto"/>
          <w:sz w:val="32"/>
          <w:szCs w:val="32"/>
          <w:highlight w:val="none"/>
        </w:rPr>
        <w:sectPr>
          <w:headerReference r:id="rId4" w:type="first"/>
          <w:headerReference r:id="rId3" w:type="default"/>
          <w:footerReference r:id="rId5" w:type="even"/>
          <w:pgSz w:w="11906" w:h="16838"/>
          <w:pgMar w:top="1247" w:right="1361" w:bottom="1247" w:left="1361" w:header="680" w:footer="680" w:gutter="0"/>
          <w:pgNumType w:start="0"/>
          <w:cols w:space="720" w:num="1"/>
          <w:docGrid w:linePitch="331" w:charSpace="0"/>
        </w:sectPr>
      </w:pPr>
      <w:r>
        <w:rPr>
          <w:rFonts w:hint="eastAsia" w:ascii="宋体" w:hAnsi="宋体" w:eastAsia="宋体" w:cs="宋体"/>
          <w:b/>
          <w:color w:val="auto"/>
          <w:sz w:val="32"/>
          <w:szCs w:val="32"/>
          <w:highlight w:val="none"/>
        </w:rPr>
        <w:t>二O二0年九月</w:t>
      </w:r>
    </w:p>
    <w:p>
      <w:pPr>
        <w:spacing w:line="480" w:lineRule="auto"/>
        <w:jc w:val="center"/>
        <w:rPr>
          <w:rFonts w:ascii="宋体" w:hAnsi="宋体" w:eastAsia="宋体" w:cs="宋体"/>
          <w:b/>
          <w:color w:val="auto"/>
          <w:sz w:val="52"/>
          <w:szCs w:val="52"/>
          <w:highlight w:val="none"/>
        </w:rPr>
      </w:pPr>
    </w:p>
    <w:p>
      <w:pPr>
        <w:spacing w:line="480" w:lineRule="auto"/>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p>
      <w:pPr>
        <w:jc w:val="center"/>
        <w:rPr>
          <w:rFonts w:ascii="宋体" w:hAnsi="宋体" w:eastAsia="宋体" w:cs="宋体"/>
          <w:b/>
          <w:color w:val="auto"/>
          <w:sz w:val="52"/>
          <w:szCs w:val="52"/>
          <w:highlight w:val="none"/>
        </w:rPr>
      </w:pPr>
    </w:p>
    <w:p>
      <w:pPr>
        <w:pStyle w:val="15"/>
        <w:tabs>
          <w:tab w:val="right" w:leader="dot" w:pos="9184"/>
          <w:tab w:val="clear" w:pos="9628"/>
        </w:tabs>
        <w:spacing w:line="720" w:lineRule="auto"/>
        <w:rPr>
          <w:color w:val="auto"/>
          <w:highlight w:val="none"/>
        </w:rPr>
      </w:pPr>
      <w:r>
        <w:rPr>
          <w:rFonts w:hint="eastAsia" w:eastAsia="宋体" w:cs="宋体"/>
          <w:color w:val="auto"/>
          <w:highlight w:val="none"/>
        </w:rPr>
        <w:fldChar w:fldCharType="begin"/>
      </w:r>
      <w:r>
        <w:rPr>
          <w:rFonts w:hint="eastAsia" w:eastAsia="宋体" w:cs="宋体"/>
          <w:color w:val="auto"/>
          <w:highlight w:val="none"/>
        </w:rPr>
        <w:instrText xml:space="preserve"> TOC \o "1-3" \h \z \u \* MERGEFORMAT </w:instrText>
      </w:r>
      <w:r>
        <w:rPr>
          <w:rFonts w:hint="eastAsia" w:eastAsia="宋体" w:cs="宋体"/>
          <w:color w:val="auto"/>
          <w:highlight w:val="none"/>
        </w:rPr>
        <w:fldChar w:fldCharType="separate"/>
      </w:r>
      <w:r>
        <w:rPr>
          <w:color w:val="auto"/>
          <w:highlight w:val="none"/>
        </w:rPr>
        <w:fldChar w:fldCharType="begin"/>
      </w:r>
      <w:r>
        <w:rPr>
          <w:color w:val="auto"/>
          <w:highlight w:val="none"/>
        </w:rPr>
        <w:instrText xml:space="preserve"> HYPERLINK \l "_Toc18877" </w:instrText>
      </w:r>
      <w:r>
        <w:rPr>
          <w:color w:val="auto"/>
          <w:highlight w:val="none"/>
        </w:rPr>
        <w:fldChar w:fldCharType="separate"/>
      </w:r>
      <w:r>
        <w:rPr>
          <w:rFonts w:hint="eastAsia" w:eastAsia="宋体" w:cs="宋体"/>
          <w:color w:val="auto"/>
          <w:szCs w:val="28"/>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_Toc18877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5"/>
        <w:tabs>
          <w:tab w:val="right" w:leader="dot" w:pos="9184"/>
          <w:tab w:val="clear" w:pos="9628"/>
        </w:tabs>
        <w:spacing w:line="720" w:lineRule="auto"/>
        <w:rPr>
          <w:color w:val="auto"/>
          <w:highlight w:val="none"/>
        </w:rPr>
      </w:pPr>
      <w:r>
        <w:rPr>
          <w:color w:val="auto"/>
          <w:highlight w:val="none"/>
        </w:rPr>
        <w:fldChar w:fldCharType="begin"/>
      </w:r>
      <w:r>
        <w:rPr>
          <w:color w:val="auto"/>
          <w:highlight w:val="none"/>
        </w:rPr>
        <w:instrText xml:space="preserve"> HYPERLINK \l "_Toc22400" </w:instrText>
      </w:r>
      <w:r>
        <w:rPr>
          <w:color w:val="auto"/>
          <w:highlight w:val="none"/>
        </w:rPr>
        <w:fldChar w:fldCharType="separate"/>
      </w:r>
      <w:r>
        <w:rPr>
          <w:rFonts w:hint="eastAsia" w:eastAsia="宋体" w:cs="宋体"/>
          <w:color w:val="auto"/>
          <w:szCs w:val="28"/>
          <w:highlight w:val="none"/>
        </w:rPr>
        <w:t>第二章  供应商须知前附表</w:t>
      </w:r>
      <w:r>
        <w:rPr>
          <w:color w:val="auto"/>
          <w:highlight w:val="none"/>
        </w:rPr>
        <w:tab/>
      </w:r>
      <w:r>
        <w:rPr>
          <w:color w:val="auto"/>
          <w:highlight w:val="none"/>
        </w:rPr>
        <w:fldChar w:fldCharType="begin"/>
      </w:r>
      <w:r>
        <w:rPr>
          <w:color w:val="auto"/>
          <w:highlight w:val="none"/>
        </w:rPr>
        <w:instrText xml:space="preserve"> PAGEREF _Toc22400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5"/>
        <w:tabs>
          <w:tab w:val="right" w:leader="dot" w:pos="9184"/>
          <w:tab w:val="clear" w:pos="9628"/>
        </w:tabs>
        <w:spacing w:line="720" w:lineRule="auto"/>
        <w:rPr>
          <w:color w:val="auto"/>
          <w:highlight w:val="none"/>
        </w:rPr>
      </w:pPr>
      <w:r>
        <w:rPr>
          <w:color w:val="auto"/>
          <w:highlight w:val="none"/>
        </w:rPr>
        <w:fldChar w:fldCharType="begin"/>
      </w:r>
      <w:r>
        <w:rPr>
          <w:color w:val="auto"/>
          <w:highlight w:val="none"/>
        </w:rPr>
        <w:instrText xml:space="preserve"> HYPERLINK \l "_Toc3015" </w:instrText>
      </w:r>
      <w:r>
        <w:rPr>
          <w:color w:val="auto"/>
          <w:highlight w:val="none"/>
        </w:rPr>
        <w:fldChar w:fldCharType="separate"/>
      </w:r>
      <w:r>
        <w:rPr>
          <w:rFonts w:hint="eastAsia" w:eastAsia="宋体" w:cs="宋体"/>
          <w:color w:val="auto"/>
          <w:highlight w:val="none"/>
        </w:rPr>
        <w:t>第三章  项目需求一览表</w:t>
      </w:r>
      <w:r>
        <w:rPr>
          <w:color w:val="auto"/>
          <w:highlight w:val="none"/>
        </w:rPr>
        <w:tab/>
      </w:r>
      <w:r>
        <w:rPr>
          <w:color w:val="auto"/>
          <w:highlight w:val="none"/>
        </w:rPr>
        <w:fldChar w:fldCharType="begin"/>
      </w:r>
      <w:r>
        <w:rPr>
          <w:color w:val="auto"/>
          <w:highlight w:val="none"/>
        </w:rPr>
        <w:instrText xml:space="preserve"> PAGEREF _Toc3015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5"/>
        <w:tabs>
          <w:tab w:val="right" w:leader="dot" w:pos="9184"/>
          <w:tab w:val="clear" w:pos="9628"/>
        </w:tabs>
        <w:spacing w:line="720" w:lineRule="auto"/>
        <w:rPr>
          <w:rFonts w:hint="eastAsia" w:eastAsia="黑体"/>
          <w:color w:val="auto"/>
          <w:highlight w:val="none"/>
          <w:lang w:val="en-US" w:eastAsia="zh-CN"/>
        </w:rPr>
      </w:pPr>
      <w:r>
        <w:rPr>
          <w:color w:val="auto"/>
          <w:highlight w:val="none"/>
        </w:rPr>
        <w:fldChar w:fldCharType="begin"/>
      </w:r>
      <w:r>
        <w:rPr>
          <w:color w:val="auto"/>
          <w:highlight w:val="none"/>
        </w:rPr>
        <w:instrText xml:space="preserve"> HYPERLINK \l "_Toc30311" </w:instrText>
      </w:r>
      <w:r>
        <w:rPr>
          <w:color w:val="auto"/>
          <w:highlight w:val="none"/>
        </w:rPr>
        <w:fldChar w:fldCharType="separate"/>
      </w:r>
      <w:r>
        <w:rPr>
          <w:rFonts w:hint="eastAsia" w:eastAsia="宋体" w:cs="宋体"/>
          <w:color w:val="auto"/>
          <w:highlight w:val="none"/>
        </w:rPr>
        <w:t>第四章  响应文件格式</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0</w:t>
      </w:r>
    </w:p>
    <w:p>
      <w:pPr>
        <w:pStyle w:val="15"/>
        <w:tabs>
          <w:tab w:val="right" w:leader="dot" w:pos="9184"/>
          <w:tab w:val="clear" w:pos="9628"/>
        </w:tabs>
        <w:spacing w:line="720" w:lineRule="auto"/>
        <w:rPr>
          <w:rFonts w:hint="eastAsia" w:eastAsia="黑体"/>
          <w:color w:val="auto"/>
          <w:highlight w:val="none"/>
          <w:lang w:val="en-US" w:eastAsia="zh-CN"/>
        </w:rPr>
      </w:pPr>
      <w:r>
        <w:rPr>
          <w:color w:val="auto"/>
          <w:highlight w:val="none"/>
        </w:rPr>
        <w:fldChar w:fldCharType="begin"/>
      </w:r>
      <w:r>
        <w:rPr>
          <w:color w:val="auto"/>
          <w:highlight w:val="none"/>
        </w:rPr>
        <w:instrText xml:space="preserve"> HYPERLINK \l "_Toc29499" </w:instrText>
      </w:r>
      <w:r>
        <w:rPr>
          <w:color w:val="auto"/>
          <w:highlight w:val="none"/>
        </w:rPr>
        <w:fldChar w:fldCharType="separate"/>
      </w:r>
      <w:r>
        <w:rPr>
          <w:rFonts w:hint="eastAsia" w:eastAsia="宋体" w:cs="宋体"/>
          <w:color w:val="auto"/>
          <w:highlight w:val="none"/>
        </w:rPr>
        <w:t>第五章  合同主要条款及格式</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0</w:t>
      </w:r>
    </w:p>
    <w:p>
      <w:pPr>
        <w:pStyle w:val="15"/>
        <w:tabs>
          <w:tab w:val="right" w:leader="dot" w:pos="9184"/>
          <w:tab w:val="clear" w:pos="9628"/>
        </w:tabs>
        <w:spacing w:line="720" w:lineRule="auto"/>
        <w:rPr>
          <w:rFonts w:hint="eastAsia" w:eastAsia="黑体"/>
          <w:color w:val="auto"/>
          <w:highlight w:val="none"/>
          <w:lang w:val="en-US" w:eastAsia="zh-CN"/>
        </w:rPr>
      </w:pPr>
      <w:r>
        <w:rPr>
          <w:color w:val="auto"/>
          <w:highlight w:val="none"/>
        </w:rPr>
        <w:fldChar w:fldCharType="begin"/>
      </w:r>
      <w:r>
        <w:rPr>
          <w:color w:val="auto"/>
          <w:highlight w:val="none"/>
        </w:rPr>
        <w:instrText xml:space="preserve"> HYPERLINK \l "_Toc28965" </w:instrText>
      </w:r>
      <w:r>
        <w:rPr>
          <w:color w:val="auto"/>
          <w:highlight w:val="none"/>
        </w:rPr>
        <w:fldChar w:fldCharType="separate"/>
      </w:r>
      <w:r>
        <w:rPr>
          <w:rFonts w:hint="eastAsia" w:eastAsia="宋体" w:cs="宋体"/>
          <w:color w:val="auto"/>
          <w:highlight w:val="none"/>
        </w:rPr>
        <w:t>第六章  评审办法</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7</w:t>
      </w:r>
      <w:bookmarkStart w:id="60" w:name="_GoBack"/>
      <w:bookmarkEnd w:id="60"/>
    </w:p>
    <w:p>
      <w:pPr>
        <w:pStyle w:val="15"/>
        <w:tabs>
          <w:tab w:val="right" w:leader="dot" w:pos="9240"/>
          <w:tab w:val="clear" w:pos="9628"/>
        </w:tabs>
        <w:spacing w:line="800" w:lineRule="exact"/>
        <w:rPr>
          <w:rStyle w:val="27"/>
          <w:rFonts w:eastAsia="宋体" w:cs="宋体"/>
          <w:color w:val="auto"/>
          <w:highlight w:val="none"/>
        </w:rPr>
      </w:pPr>
      <w:r>
        <w:rPr>
          <w:rFonts w:hint="eastAsia" w:eastAsia="宋体" w:cs="宋体"/>
          <w:color w:val="auto"/>
          <w:highlight w:val="none"/>
        </w:rPr>
        <w:fldChar w:fldCharType="end"/>
      </w:r>
    </w:p>
    <w:p>
      <w:pPr>
        <w:pStyle w:val="10"/>
        <w:spacing w:line="700" w:lineRule="exact"/>
        <w:rPr>
          <w:rFonts w:hAnsi="宋体" w:eastAsia="宋体" w:cs="宋体"/>
          <w:color w:val="auto"/>
          <w:highlight w:val="none"/>
        </w:rPr>
      </w:pPr>
    </w:p>
    <w:p>
      <w:pPr>
        <w:pStyle w:val="10"/>
        <w:spacing w:line="700" w:lineRule="exact"/>
        <w:rPr>
          <w:rFonts w:hAnsi="宋体" w:eastAsia="宋体" w:cs="宋体"/>
          <w:color w:val="auto"/>
          <w:highlight w:val="none"/>
        </w:rPr>
      </w:pPr>
    </w:p>
    <w:p>
      <w:pPr>
        <w:pStyle w:val="10"/>
        <w:spacing w:line="700" w:lineRule="exact"/>
        <w:rPr>
          <w:rFonts w:hAnsi="宋体" w:eastAsia="宋体" w:cs="宋体"/>
          <w:color w:val="auto"/>
          <w:highlight w:val="none"/>
        </w:rPr>
      </w:pPr>
    </w:p>
    <w:p>
      <w:pPr>
        <w:spacing w:line="160" w:lineRule="exact"/>
        <w:rPr>
          <w:rFonts w:ascii="宋体" w:hAnsi="宋体" w:eastAsia="宋体" w:cs="宋体"/>
          <w:b/>
          <w:bCs/>
          <w:color w:val="auto"/>
          <w:highlight w:val="none"/>
        </w:rPr>
      </w:pPr>
      <w:r>
        <w:rPr>
          <w:rFonts w:hint="eastAsia" w:ascii="宋体" w:hAnsi="宋体" w:eastAsia="宋体" w:cs="宋体"/>
          <w:color w:val="auto"/>
          <w:sz w:val="36"/>
          <w:highlight w:val="none"/>
        </w:rPr>
        <w:br w:type="page"/>
      </w:r>
    </w:p>
    <w:p>
      <w:pPr>
        <w:spacing w:line="360" w:lineRule="auto"/>
        <w:jc w:val="center"/>
        <w:outlineLvl w:val="0"/>
        <w:rPr>
          <w:rFonts w:ascii="宋体" w:hAnsi="宋体" w:eastAsia="宋体" w:cs="宋体"/>
          <w:b/>
          <w:color w:val="auto"/>
          <w:sz w:val="28"/>
          <w:szCs w:val="28"/>
          <w:highlight w:val="none"/>
        </w:rPr>
      </w:pPr>
      <w:bookmarkStart w:id="0" w:name="_Toc419886371"/>
      <w:bookmarkStart w:id="1" w:name="_Toc18877"/>
      <w:r>
        <w:rPr>
          <w:rFonts w:hint="eastAsia" w:ascii="宋体" w:hAnsi="宋体" w:eastAsia="宋体" w:cs="宋体"/>
          <w:b/>
          <w:color w:val="auto"/>
          <w:sz w:val="28"/>
          <w:szCs w:val="28"/>
          <w:highlight w:val="none"/>
        </w:rPr>
        <w:t>第一章  竞争性磋商</w:t>
      </w:r>
      <w:bookmarkEnd w:id="0"/>
      <w:r>
        <w:rPr>
          <w:rFonts w:hint="eastAsia" w:ascii="宋体" w:hAnsi="宋体" w:eastAsia="宋体" w:cs="宋体"/>
          <w:b/>
          <w:color w:val="auto"/>
          <w:sz w:val="28"/>
          <w:szCs w:val="28"/>
          <w:highlight w:val="none"/>
        </w:rPr>
        <w:t>公告</w:t>
      </w:r>
      <w:bookmarkEnd w:id="1"/>
    </w:p>
    <w:p>
      <w:pPr>
        <w:spacing w:line="400" w:lineRule="exact"/>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北京诚佳信工程管理有限公司关于钦州市中级法院六专四室改造项目（QZZC2020-C3-10008-CJXG）竞争性磋商公告</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49"/>
              <w:spacing w:line="360" w:lineRule="exact"/>
              <w:jc w:val="both"/>
              <w:rPr>
                <w:rFonts w:ascii="宋体" w:hAnsi="宋体" w:cs="宋体"/>
                <w:color w:val="auto"/>
                <w:sz w:val="22"/>
                <w:szCs w:val="22"/>
                <w:highlight w:val="none"/>
              </w:rPr>
            </w:pPr>
            <w:r>
              <w:rPr>
                <w:rFonts w:hint="eastAsia" w:ascii="宋体" w:hAnsi="宋体" w:cs="宋体"/>
                <w:color w:val="auto"/>
                <w:sz w:val="22"/>
                <w:szCs w:val="22"/>
                <w:highlight w:val="none"/>
              </w:rPr>
              <w:t>项目概况</w:t>
            </w:r>
          </w:p>
          <w:p>
            <w:pPr>
              <w:pStyle w:val="49"/>
              <w:spacing w:line="360" w:lineRule="exact"/>
              <w:ind w:firstLine="440" w:firstLineChars="200"/>
              <w:jc w:val="both"/>
              <w:rPr>
                <w:rFonts w:ascii="宋体" w:hAnsi="宋体" w:cs="宋体"/>
                <w:color w:val="auto"/>
                <w:highlight w:val="none"/>
              </w:rPr>
            </w:pPr>
            <w:r>
              <w:rPr>
                <w:rFonts w:hint="eastAsia" w:ascii="宋体" w:hAnsi="宋体" w:cs="宋体"/>
                <w:color w:val="auto"/>
                <w:sz w:val="22"/>
                <w:szCs w:val="22"/>
                <w:highlight w:val="none"/>
              </w:rPr>
              <w:t>钦州市中级法院六专四室改造项目的潜在供应商应在北京诚佳信工程管理有限公司钦州分公司（钦州市粤桂北路银信小区西3巷3栋）获取采购文件，并于2020年</w:t>
            </w:r>
            <w:r>
              <w:rPr>
                <w:rFonts w:hint="eastAsia" w:ascii="宋体" w:hAnsi="宋体" w:cs="宋体"/>
                <w:color w:val="auto"/>
                <w:sz w:val="22"/>
                <w:szCs w:val="22"/>
                <w:highlight w:val="none"/>
                <w:lang w:val="en-US" w:eastAsia="zh-CN"/>
              </w:rPr>
              <w:t>09</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28</w:t>
            </w:r>
            <w:r>
              <w:rPr>
                <w:rFonts w:hint="eastAsia" w:ascii="宋体" w:hAnsi="宋体" w:cs="宋体"/>
                <w:color w:val="auto"/>
                <w:sz w:val="22"/>
                <w:szCs w:val="22"/>
                <w:highlight w:val="none"/>
              </w:rPr>
              <w:t>日09点</w:t>
            </w:r>
            <w:r>
              <w:rPr>
                <w:rFonts w:hint="eastAsia" w:ascii="宋体" w:hAnsi="宋体" w:cs="宋体"/>
                <w:color w:val="auto"/>
                <w:sz w:val="22"/>
                <w:szCs w:val="22"/>
                <w:highlight w:val="none"/>
                <w:lang w:val="en-US" w:eastAsia="zh-CN"/>
              </w:rPr>
              <w:t>0</w:t>
            </w:r>
            <w:r>
              <w:rPr>
                <w:rFonts w:hint="eastAsia" w:ascii="宋体" w:hAnsi="宋体" w:cs="宋体"/>
                <w:color w:val="auto"/>
                <w:sz w:val="22"/>
                <w:szCs w:val="22"/>
                <w:highlight w:val="none"/>
              </w:rPr>
              <w:t>0分（北京时间）前提交响应文件。</w:t>
            </w:r>
          </w:p>
        </w:tc>
      </w:tr>
    </w:tbl>
    <w:p>
      <w:pPr>
        <w:pStyle w:val="49"/>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一、项目基本情况</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项目编号：QZZC2020-C3-10008-CJXG</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项目名称：钦州市中级法院六专四室改造项目</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采购方式：竞争性磋商</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预算金额：</w:t>
      </w:r>
      <w:r>
        <w:rPr>
          <w:rFonts w:hint="eastAsia" w:ascii="宋体" w:hAnsi="宋体" w:cs="宋体"/>
          <w:bCs/>
          <w:color w:val="auto"/>
          <w:sz w:val="22"/>
          <w:szCs w:val="22"/>
          <w:highlight w:val="none"/>
        </w:rPr>
        <w:t>人民币柒拾贰万元整（¥720000.00）</w:t>
      </w:r>
      <w:r>
        <w:rPr>
          <w:rFonts w:hint="eastAsia" w:ascii="宋体" w:hAnsi="宋体" w:cs="宋体"/>
          <w:color w:val="auto"/>
          <w:sz w:val="22"/>
          <w:szCs w:val="22"/>
          <w:highlight w:val="none"/>
        </w:rPr>
        <w:t>。</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采购需求：钦州市中级法院六专四室改造项目包含信息化和基础设施改造等，如需进一步了解详细内容，详见竞争性磋商文件。</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合同履行期限：自合同签订之日起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15</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日历天内安装调试完成</w:t>
      </w:r>
      <w:r>
        <w:rPr>
          <w:rFonts w:hint="eastAsia" w:ascii="宋体" w:hAnsi="宋体" w:cs="宋体"/>
          <w:color w:val="auto"/>
          <w:sz w:val="22"/>
          <w:szCs w:val="22"/>
          <w:highlight w:val="none"/>
          <w:lang w:val="zh-TW"/>
        </w:rPr>
        <w:t xml:space="preserve">。 </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本项目不接受联合体。</w:t>
      </w:r>
    </w:p>
    <w:p>
      <w:pPr>
        <w:pStyle w:val="49"/>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二、申请人的资格要求：</w:t>
      </w:r>
    </w:p>
    <w:p>
      <w:pPr>
        <w:spacing w:line="360" w:lineRule="exact"/>
        <w:ind w:firstLine="440" w:firstLineChars="200"/>
        <w:rPr>
          <w:rFonts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1.符合《中华人民共和国政府采购法》第二十二条的规定。</w:t>
      </w:r>
    </w:p>
    <w:p>
      <w:pPr>
        <w:spacing w:line="360" w:lineRule="exact"/>
        <w:ind w:firstLine="440" w:firstLineChars="200"/>
        <w:rPr>
          <w:rFonts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2.未被“信用中国”（www.creditchina.gov.cn）、中国政府采购网（www.ccgp.gov.cn）列入失信被执行人、重大税收违法案件当事人名单、政府采购严重违法失信行为记录名单。</w:t>
      </w:r>
    </w:p>
    <w:p>
      <w:pPr>
        <w:spacing w:line="36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3.本项目的特定资格要求：</w:t>
      </w:r>
    </w:p>
    <w:p>
      <w:pPr>
        <w:spacing w:line="36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（1）国内注册、具有独立法人资格并在人员、设备、资金等方面具有相应的服务能力的企事业单位；</w:t>
      </w:r>
    </w:p>
    <w:p>
      <w:pPr>
        <w:spacing w:line="36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（2）单位负责人为同一人或者存在直接控股、管理关系的不同供应商，不得参加同一合同项下的政府采购活动；</w:t>
      </w:r>
    </w:p>
    <w:p>
      <w:pPr>
        <w:widowControl/>
        <w:shd w:val="clear" w:color="auto" w:fill="FFFFFF"/>
        <w:spacing w:before="25" w:after="25" w:line="360" w:lineRule="exact"/>
        <w:ind w:firstLine="440" w:firstLineChars="20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（3）供应商无行贿犯罪记录的承诺书或书面声明，有行贿犯罪记录的不得参与本次采购活动；</w:t>
      </w:r>
    </w:p>
    <w:p>
      <w:pPr>
        <w:spacing w:line="36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（4）本项目不接受未购买本项目竞争性磋商文件的供应商参标。</w:t>
      </w:r>
    </w:p>
    <w:p>
      <w:pPr>
        <w:pStyle w:val="49"/>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三、获取采购文件</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1.时间：2020年09月18日至2020年09月25日止，每日上午9：00时-11：30时；下午15：30时-17:30时（北京时间，法定节假日除外）。</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2.地点：北京诚佳信工程管理有限公司钦州分公司（钦州市粤桂北路银信小区西3巷3栋）。  </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3.售价：竞争性磋商文件工本费每本250元/本，售后不退。本项目不办理邮寄、不提供电子版竞争性磋商文件。</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4.方式：现场报名获取，由企业法定代表人或委托代理人持其本人有效身份证原件并携带以下材料到文件发售地点购买竞争性磋商文件：</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（1）单位介绍信；</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（2）有效的营业执照副本复印件（未“三证合一”的必须提供税务登记证副本复印件、组织机构代码证副本复印件）；</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（3）有效的企业法定代表人身份证正反面复印件</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（4）有效的企业法人授权委托书原件及有效的授权代理人身份证正反面复印件（明确委托权限及时间，委托代理时必须提供）。</w:t>
      </w:r>
    </w:p>
    <w:p>
      <w:pPr>
        <w:pStyle w:val="10"/>
        <w:spacing w:line="360" w:lineRule="exact"/>
        <w:ind w:firstLine="442" w:firstLineChars="200"/>
        <w:rPr>
          <w:rFonts w:hAnsi="宋体" w:eastAsia="宋体" w:cs="宋体"/>
          <w:b/>
          <w:bCs/>
          <w:color w:val="auto"/>
          <w:sz w:val="22"/>
          <w:szCs w:val="22"/>
          <w:highlight w:val="none"/>
        </w:rPr>
      </w:pPr>
      <w:r>
        <w:rPr>
          <w:rFonts w:hint="eastAsia" w:hAnsi="宋体" w:eastAsia="宋体" w:cs="宋体"/>
          <w:b/>
          <w:bCs/>
          <w:color w:val="auto"/>
          <w:sz w:val="22"/>
          <w:szCs w:val="22"/>
          <w:highlight w:val="none"/>
        </w:rPr>
        <w:t>以上材料须真实有效加盖单位公章交代理机构存档，</w:t>
      </w:r>
      <w:r>
        <w:rPr>
          <w:rFonts w:hint="eastAsia" w:hAnsi="宋体" w:eastAsia="宋体" w:cs="宋体"/>
          <w:b/>
          <w:color w:val="auto"/>
          <w:kern w:val="0"/>
          <w:szCs w:val="24"/>
          <w:highlight w:val="none"/>
        </w:rPr>
        <w:t>上述</w:t>
      </w:r>
      <w:r>
        <w:rPr>
          <w:rFonts w:hint="eastAsia" w:hAnsi="宋体" w:eastAsia="宋体" w:cs="宋体"/>
          <w:b/>
          <w:bCs/>
          <w:color w:val="auto"/>
          <w:sz w:val="22"/>
          <w:szCs w:val="22"/>
          <w:highlight w:val="none"/>
        </w:rPr>
        <w:t>材</w:t>
      </w:r>
      <w:r>
        <w:rPr>
          <w:rFonts w:hint="eastAsia" w:hAnsi="宋体" w:eastAsia="宋体" w:cs="宋体"/>
          <w:b/>
          <w:color w:val="auto"/>
          <w:kern w:val="0"/>
          <w:szCs w:val="24"/>
          <w:highlight w:val="none"/>
        </w:rPr>
        <w:t>料属复印件的原件核查</w:t>
      </w:r>
      <w:r>
        <w:rPr>
          <w:rFonts w:hint="eastAsia" w:hAnsi="宋体" w:eastAsia="宋体" w:cs="宋体"/>
          <w:b/>
          <w:bCs/>
          <w:color w:val="auto"/>
          <w:sz w:val="22"/>
          <w:szCs w:val="22"/>
          <w:highlight w:val="none"/>
        </w:rPr>
        <w:t>（非法定代表人报名时无需提供法定代表人身份证原件）</w:t>
      </w:r>
      <w:r>
        <w:rPr>
          <w:rFonts w:hint="eastAsia" w:hAnsi="宋体" w:eastAsia="宋体" w:cs="宋体"/>
          <w:b/>
          <w:color w:val="auto"/>
          <w:kern w:val="0"/>
          <w:szCs w:val="24"/>
          <w:highlight w:val="none"/>
        </w:rPr>
        <w:t>，</w:t>
      </w:r>
      <w:r>
        <w:rPr>
          <w:rFonts w:hint="eastAsia" w:hAnsi="宋体" w:eastAsia="宋体" w:cs="宋体"/>
          <w:b/>
          <w:bCs/>
          <w:color w:val="auto"/>
          <w:spacing w:val="-4"/>
          <w:sz w:val="22"/>
          <w:szCs w:val="22"/>
          <w:highlight w:val="none"/>
        </w:rPr>
        <w:t>材料合格且有效方可购买竞争性磋商文件（弄虚作假的，供应商自负后果）</w:t>
      </w:r>
      <w:r>
        <w:rPr>
          <w:rFonts w:hint="eastAsia" w:hAnsi="宋体" w:eastAsia="宋体" w:cs="宋体"/>
          <w:b/>
          <w:bCs/>
          <w:color w:val="auto"/>
          <w:sz w:val="22"/>
          <w:szCs w:val="22"/>
          <w:highlight w:val="none"/>
        </w:rPr>
        <w:t>。</w:t>
      </w:r>
    </w:p>
    <w:p>
      <w:pPr>
        <w:pStyle w:val="49"/>
        <w:spacing w:line="3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lang w:bidi="ar"/>
        </w:rPr>
        <w:t>5.为配合采购人进行政府采购项目执行和备案，未在政采云注册的供应商请在获取竞争性磋商文件后登录政采云（http://zfcg.gxzf.gov.cn/）进行注册，如在操作过程中遇到问题或者需要技术支持，请致电政采云客服热线：400-881-7190。</w:t>
      </w:r>
    </w:p>
    <w:p>
      <w:pPr>
        <w:pStyle w:val="49"/>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四、响应文件提交</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截止时间：2020年09月28日09点00分（北京时间）</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地点：北京诚佳信工程管理有限公司钦州分公司开标室（钦州市粤桂北路银信小区西3巷3栋）</w:t>
      </w:r>
    </w:p>
    <w:p>
      <w:pPr>
        <w:pStyle w:val="49"/>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五、开启</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时间：2020年09月28日09点00分（北京时间）响应文件递交截止后</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地点：北京诚佳信工程管理有限公司钦州分公司开标室（钦州市粤桂北路银信小区西3巷3栋）</w:t>
      </w:r>
    </w:p>
    <w:p>
      <w:pPr>
        <w:pStyle w:val="49"/>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六、公告期限</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pPr>
        <w:pStyle w:val="49"/>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七、其他补充事宜</w:t>
      </w:r>
    </w:p>
    <w:p>
      <w:pPr>
        <w:snapToGrid w:val="0"/>
        <w:spacing w:line="400" w:lineRule="exact"/>
        <w:ind w:firstLine="495" w:firstLineChars="225"/>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bCs/>
          <w:color w:val="auto"/>
          <w:spacing w:val="6"/>
          <w:kern w:val="48"/>
          <w:sz w:val="22"/>
          <w:szCs w:val="22"/>
          <w:highlight w:val="none"/>
        </w:rPr>
        <w:t>采购项目需要落实的政府采购政策：</w:t>
      </w:r>
      <w:r>
        <w:rPr>
          <w:rFonts w:hint="eastAsia" w:ascii="宋体" w:hAnsi="宋体" w:eastAsia="宋体" w:cs="宋体"/>
          <w:color w:val="auto"/>
          <w:sz w:val="22"/>
          <w:szCs w:val="22"/>
          <w:highlight w:val="none"/>
        </w:rPr>
        <w:t>政府采购促进中小企业发展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政府采购促进残疾人就业政策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《关于调整优化节能产品、环境标志产品政府采购执行机制的通知》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政府采购支持采用本国产品的政策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政府采购支持监狱企业发展。</w:t>
      </w:r>
    </w:p>
    <w:p>
      <w:pPr>
        <w:pStyle w:val="50"/>
        <w:spacing w:line="360" w:lineRule="exact"/>
        <w:ind w:firstLine="440" w:firstLineChars="200"/>
        <w:rPr>
          <w:rFonts w:hAnsi="宋体" w:eastAsia="宋体" w:cs="宋体"/>
          <w:color w:val="auto"/>
          <w:sz w:val="22"/>
          <w:szCs w:val="22"/>
          <w:highlight w:val="none"/>
        </w:rPr>
      </w:pPr>
      <w:r>
        <w:rPr>
          <w:rFonts w:hint="eastAsia" w:hAnsi="宋体" w:eastAsia="宋体" w:cs="宋体"/>
          <w:bCs/>
          <w:color w:val="auto"/>
          <w:sz w:val="22"/>
          <w:szCs w:val="22"/>
          <w:highlight w:val="none"/>
        </w:rPr>
        <w:t>2.发布媒介：</w:t>
      </w:r>
      <w:r>
        <w:rPr>
          <w:rFonts w:hint="eastAsia" w:hAnsi="宋体" w:eastAsia="宋体" w:cs="宋体"/>
          <w:color w:val="auto"/>
          <w:sz w:val="22"/>
          <w:szCs w:val="22"/>
          <w:highlight w:val="none"/>
        </w:rPr>
        <w:t>中国政府采购网、广西政府采购网。</w:t>
      </w:r>
    </w:p>
    <w:p>
      <w:pPr>
        <w:pStyle w:val="49"/>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八、凡对本次采购提出询问，请按以下方式联系。</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1、采购人名称：钦州市中级人民法院</w:t>
      </w:r>
    </w:p>
    <w:p>
      <w:pPr>
        <w:pStyle w:val="49"/>
        <w:spacing w:line="360" w:lineRule="exact"/>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地址：</w:t>
      </w:r>
      <w:r>
        <w:rPr>
          <w:rFonts w:hint="eastAsia" w:ascii="宋体" w:hAnsi="宋体" w:cs="宋体"/>
          <w:color w:val="auto"/>
          <w:sz w:val="22"/>
          <w:szCs w:val="22"/>
          <w:highlight w:val="none"/>
          <w:lang w:eastAsia="zh-CN"/>
        </w:rPr>
        <w:t>钦州市钦南区金海湾东大街和蓬莱南大道交汇处</w:t>
      </w:r>
    </w:p>
    <w:p>
      <w:pPr>
        <w:pStyle w:val="49"/>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联系人及电话：彭工  0777-3687128</w:t>
      </w:r>
    </w:p>
    <w:p>
      <w:pPr>
        <w:pStyle w:val="49"/>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2、采购代理机构名称：北京诚佳信工程管理有限公司</w:t>
      </w:r>
    </w:p>
    <w:p>
      <w:pPr>
        <w:pStyle w:val="49"/>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地址：钦州市粤桂北路银信小区西3巷3栋</w:t>
      </w:r>
    </w:p>
    <w:p>
      <w:pPr>
        <w:pStyle w:val="49"/>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项目联系人及电话：陈秋灵  0777-5988828</w:t>
      </w:r>
    </w:p>
    <w:p>
      <w:pPr>
        <w:pStyle w:val="49"/>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3、监督部门: 钦州市财政局政府采购监督管理科</w:t>
      </w:r>
    </w:p>
    <w:p>
      <w:pPr>
        <w:pStyle w:val="49"/>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联系电话：0777-289525 </w:t>
      </w:r>
    </w:p>
    <w:p>
      <w:pPr>
        <w:spacing w:line="360" w:lineRule="exact"/>
        <w:ind w:firstLine="5940" w:firstLineChars="27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北京诚佳信工程管理有限公司</w:t>
      </w:r>
    </w:p>
    <w:p>
      <w:pPr>
        <w:spacing w:line="360" w:lineRule="exact"/>
        <w:ind w:firstLine="440" w:firstLineChars="20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2020年09月18日</w:t>
      </w:r>
    </w:p>
    <w:p>
      <w:pPr>
        <w:spacing w:line="400" w:lineRule="exact"/>
        <w:jc w:val="center"/>
        <w:outlineLvl w:val="0"/>
        <w:rPr>
          <w:rFonts w:ascii="宋体" w:hAnsi="宋体" w:eastAsia="宋体" w:cs="宋体"/>
          <w:b/>
          <w:color w:val="auto"/>
          <w:sz w:val="28"/>
          <w:szCs w:val="28"/>
          <w:highlight w:val="none"/>
        </w:rPr>
      </w:pPr>
      <w:bookmarkStart w:id="2" w:name="_Toc419886372"/>
    </w:p>
    <w:p>
      <w:pPr>
        <w:spacing w:line="400" w:lineRule="exact"/>
        <w:jc w:val="center"/>
        <w:outlineLvl w:val="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pPr>
        <w:pStyle w:val="30"/>
        <w:rPr>
          <w:color w:val="auto"/>
          <w:highlight w:val="none"/>
        </w:rPr>
      </w:pPr>
    </w:p>
    <w:p>
      <w:pPr>
        <w:pStyle w:val="30"/>
        <w:rPr>
          <w:color w:val="auto"/>
          <w:highlight w:val="none"/>
        </w:rPr>
      </w:pPr>
    </w:p>
    <w:p>
      <w:pPr>
        <w:spacing w:line="400" w:lineRule="exact"/>
        <w:jc w:val="center"/>
        <w:outlineLvl w:val="0"/>
        <w:rPr>
          <w:rFonts w:ascii="宋体" w:hAnsi="宋体" w:eastAsia="宋体" w:cs="宋体"/>
          <w:b/>
          <w:color w:val="auto"/>
          <w:sz w:val="28"/>
          <w:szCs w:val="28"/>
          <w:highlight w:val="none"/>
        </w:rPr>
      </w:pPr>
      <w:bookmarkStart w:id="3" w:name="_Toc22400"/>
      <w:r>
        <w:rPr>
          <w:rFonts w:hint="eastAsia" w:ascii="宋体" w:hAnsi="宋体" w:eastAsia="宋体" w:cs="宋体"/>
          <w:b/>
          <w:color w:val="auto"/>
          <w:sz w:val="28"/>
          <w:szCs w:val="28"/>
          <w:highlight w:val="none"/>
        </w:rPr>
        <w:t>第二章  供应商须知前附表</w:t>
      </w:r>
      <w:bookmarkEnd w:id="2"/>
      <w:bookmarkEnd w:id="3"/>
    </w:p>
    <w:p>
      <w:pPr>
        <w:spacing w:line="400" w:lineRule="exact"/>
        <w:jc w:val="center"/>
        <w:rPr>
          <w:rFonts w:ascii="宋体" w:hAnsi="宋体" w:eastAsia="宋体" w:cs="宋体"/>
          <w:b/>
          <w:color w:val="auto"/>
          <w:sz w:val="32"/>
          <w:szCs w:val="32"/>
          <w:highlight w:val="none"/>
        </w:rPr>
      </w:pPr>
    </w:p>
    <w:tbl>
      <w:tblPr>
        <w:tblStyle w:val="18"/>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350"/>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350"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条款名称</w:t>
            </w:r>
          </w:p>
        </w:tc>
        <w:tc>
          <w:tcPr>
            <w:tcW w:w="7500"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50"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项目名称、编号</w:t>
            </w:r>
          </w:p>
        </w:tc>
        <w:tc>
          <w:tcPr>
            <w:tcW w:w="7500" w:type="dxa"/>
            <w:vAlign w:val="center"/>
          </w:tcPr>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项目名称：钦州市中级法院六专四室改造项目 </w:t>
            </w:r>
          </w:p>
          <w:p>
            <w:pPr>
              <w:spacing w:line="400" w:lineRule="exact"/>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项目编号：</w:t>
            </w:r>
            <w:r>
              <w:rPr>
                <w:rFonts w:hint="eastAsia" w:ascii="宋体" w:hAnsi="宋体" w:eastAsia="宋体" w:cs="宋体"/>
                <w:bCs/>
                <w:color w:val="auto"/>
                <w:sz w:val="22"/>
                <w:szCs w:val="22"/>
                <w:highlight w:val="none"/>
              </w:rPr>
              <w:t>QZZC2020-C3-10008-CJXG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50" w:type="dxa"/>
            <w:vAlign w:val="center"/>
          </w:tcPr>
          <w:p>
            <w:pPr>
              <w:spacing w:line="400" w:lineRule="exact"/>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供应商资格</w:t>
            </w:r>
          </w:p>
          <w:p>
            <w:pPr>
              <w:spacing w:line="400" w:lineRule="exact"/>
              <w:jc w:val="center"/>
              <w:rPr>
                <w:rFonts w:ascii="宋体" w:hAnsi="宋体" w:eastAsia="宋体" w:cs="宋体"/>
                <w:color w:val="auto"/>
                <w:sz w:val="22"/>
                <w:szCs w:val="22"/>
                <w:highlight w:val="none"/>
              </w:rPr>
            </w:pPr>
          </w:p>
        </w:tc>
        <w:tc>
          <w:tcPr>
            <w:tcW w:w="7500" w:type="dxa"/>
            <w:vAlign w:val="center"/>
          </w:tcPr>
          <w:p>
            <w:pPr>
              <w:spacing w:line="360" w:lineRule="exact"/>
              <w:ind w:firstLine="440" w:firstLineChars="200"/>
              <w:rPr>
                <w:rFonts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1.符合《中华人民共和国政府采购法》第二十二条的规定。</w:t>
            </w:r>
          </w:p>
          <w:p>
            <w:pPr>
              <w:spacing w:line="360" w:lineRule="exact"/>
              <w:ind w:firstLine="440" w:firstLineChars="200"/>
              <w:rPr>
                <w:rFonts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2.未被“信用中国”（www.creditchina.gov.cn）、中国政府采购网（www.ccgp.gov.cn）列入失信被执行人、重大税收违法案件当事人名单、政府采购严重违法失信行为记录名单。</w:t>
            </w:r>
          </w:p>
          <w:p>
            <w:pPr>
              <w:spacing w:line="36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3.本项目的特定资格要求：</w:t>
            </w:r>
          </w:p>
          <w:p>
            <w:pPr>
              <w:spacing w:line="36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（1）国内注册、具有独立法人资格并在人员、设备、资金等方面具有相应的服务能力的企事业单位；</w:t>
            </w:r>
          </w:p>
          <w:p>
            <w:pPr>
              <w:spacing w:line="36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（2）单位负责人为同一人或者存在直接控股、管理关系的不同供应商，不得参加同一合同项下的政府采购活动；</w:t>
            </w:r>
          </w:p>
          <w:p>
            <w:pPr>
              <w:widowControl/>
              <w:shd w:val="clear" w:color="auto" w:fill="FFFFFF"/>
              <w:spacing w:before="25" w:after="25" w:line="360" w:lineRule="exact"/>
              <w:ind w:firstLine="440" w:firstLineChars="20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（3）供应商无行贿犯罪记录的承诺书或书面声明，有行贿犯罪记录的不得参与本次采购活动；</w:t>
            </w:r>
          </w:p>
          <w:p>
            <w:pPr>
              <w:spacing w:line="36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（4）本项目不接受未购买本项目竞争性磋商文件的供应商参标。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350"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磋商报价</w:t>
            </w:r>
          </w:p>
        </w:tc>
        <w:tc>
          <w:tcPr>
            <w:tcW w:w="7500" w:type="dxa"/>
            <w:vAlign w:val="center"/>
          </w:tcPr>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供应商须就本项目采购内容及要求作完整唯一的报价。</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以最终成交报价为固定总价合同包干，不作调整。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350"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响应文件份数</w:t>
            </w:r>
          </w:p>
        </w:tc>
        <w:tc>
          <w:tcPr>
            <w:tcW w:w="7500" w:type="dxa"/>
            <w:vAlign w:val="center"/>
          </w:tcPr>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正本壹份，副本叁份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350"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磋商有效期</w:t>
            </w:r>
          </w:p>
        </w:tc>
        <w:tc>
          <w:tcPr>
            <w:tcW w:w="7500" w:type="dxa"/>
            <w:vAlign w:val="center"/>
          </w:tcPr>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350"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w:t>
            </w:r>
          </w:p>
        </w:tc>
        <w:tc>
          <w:tcPr>
            <w:tcW w:w="7500" w:type="dxa"/>
            <w:vAlign w:val="center"/>
          </w:tcPr>
          <w:p>
            <w:pPr>
              <w:spacing w:line="400" w:lineRule="exact"/>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磋商保证金（人民币）：</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 12000 \* CHINESENUM2 \* MERGEFORMAT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壹万</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元整（¥10000.00）。磋商保证金应在指定时间内须足额交纳并保持有效。</w:t>
            </w:r>
          </w:p>
          <w:p>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磋商保证金交到以下账户，并在磋商截止时间前到户。</w:t>
            </w:r>
          </w:p>
          <w:p>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开户名称：北京诚佳信工程管理有限公司钦州分公司 </w:t>
            </w:r>
          </w:p>
          <w:p>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开户银行：中国农业银行股份有限公司钦州明珠支行</w:t>
            </w:r>
          </w:p>
          <w:p>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银行账号： 2073 4101 0400 10232</w:t>
            </w:r>
          </w:p>
          <w:p>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注：1.供应商必须在磋商截止时间前持保证金银行凭证底单复印件到代理机构开具到账收据，且将银行凭证底单复印件和到账收据复印件放进磋商响应文件中，加盖单位公章，否则磋商无效。</w:t>
            </w:r>
          </w:p>
          <w:p>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2.办理磋商保证金手续时，请务必在银行单或电汇单的用途或空白栏上注明“项目名称或项目编号”保证金，以免耽误磋商。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350"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响应文件递交截止时间及地点</w:t>
            </w:r>
          </w:p>
        </w:tc>
        <w:tc>
          <w:tcPr>
            <w:tcW w:w="7500" w:type="dxa"/>
            <w:vAlign w:val="center"/>
          </w:tcPr>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响应文件递交截止时间：2020年09月28日09时00分</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响应文件递交截止地点：北京诚佳信工程管理有限公司钦州分公司开标室（钦州市粤桂北路银信小区西3巷3栋）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350"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磋商时间及地点</w:t>
            </w:r>
          </w:p>
        </w:tc>
        <w:tc>
          <w:tcPr>
            <w:tcW w:w="7500" w:type="dxa"/>
            <w:vAlign w:val="center"/>
          </w:tcPr>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磋商时间：2020年09月28日09时00分响应文件递交截止后</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磋商地点：北京诚佳信工程管理有限公司钦州分公司开标室（钦州市粤桂北路银信小区西3巷3栋），</w:t>
            </w:r>
            <w:r>
              <w:rPr>
                <w:rFonts w:hint="eastAsia" w:ascii="宋体" w:hAnsi="宋体" w:eastAsia="宋体" w:cs="宋体"/>
                <w:b/>
                <w:bCs/>
                <w:color w:val="auto"/>
                <w:sz w:val="22"/>
                <w:szCs w:val="22"/>
                <w:highlight w:val="none"/>
              </w:rPr>
              <w:t>参加磋商的法定代表人或委托代理人必须持本人有效身份证原件及以下材料[法定代表人身份证复印件；法人授权委托书原件和身份证复印件（委托时必须提供）；保证金收据原件及银行转账底单复印件；营业执照副本复印件（以上复印件材料均加盖公章）]依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350"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代理服务费</w:t>
            </w:r>
          </w:p>
        </w:tc>
        <w:tc>
          <w:tcPr>
            <w:tcW w:w="7500" w:type="dxa"/>
            <w:vAlign w:val="center"/>
          </w:tcPr>
          <w:p>
            <w:pPr>
              <w:pStyle w:val="10"/>
              <w:spacing w:line="400" w:lineRule="exact"/>
              <w:rPr>
                <w:rFonts w:hAnsi="宋体" w:eastAsia="宋体" w:cs="宋体"/>
                <w:color w:val="auto"/>
                <w:sz w:val="22"/>
                <w:szCs w:val="22"/>
                <w:highlight w:val="none"/>
              </w:rPr>
            </w:pPr>
            <w:r>
              <w:rPr>
                <w:rFonts w:hint="eastAsia" w:hAnsi="宋体" w:eastAsia="宋体" w:cs="宋体"/>
                <w:color w:val="auto"/>
                <w:sz w:val="22"/>
                <w:szCs w:val="22"/>
                <w:highlight w:val="none"/>
              </w:rPr>
              <w:t>按发改价格（2014）1573号文、财库[2018]2号“财政部关于印发《政府采购代理机构管理暂行办法》的通知”规定执行，本项目代理服务费参照国家发展计划委员会计价格[2002]1980号规定收费标准计取，</w:t>
            </w:r>
            <w:r>
              <w:rPr>
                <w:rFonts w:hint="eastAsia" w:hAnsi="宋体" w:eastAsia="宋体" w:cs="宋体"/>
                <w:bCs/>
                <w:color w:val="auto"/>
                <w:sz w:val="22"/>
                <w:szCs w:val="22"/>
                <w:highlight w:val="none"/>
              </w:rPr>
              <w:t>根据采购代理协议书的约定</w:t>
            </w:r>
            <w:r>
              <w:rPr>
                <w:rFonts w:hint="eastAsia" w:hAnsi="宋体" w:eastAsia="宋体" w:cs="宋体"/>
                <w:color w:val="auto"/>
                <w:sz w:val="22"/>
                <w:szCs w:val="22"/>
                <w:highlight w:val="none"/>
              </w:rPr>
              <w:t>向成交人收取。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350"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政策与其他规定</w:t>
            </w:r>
          </w:p>
        </w:tc>
        <w:tc>
          <w:tcPr>
            <w:tcW w:w="7500" w:type="dxa"/>
            <w:vAlign w:val="center"/>
          </w:tcPr>
          <w:p>
            <w:pPr>
              <w:spacing w:line="400" w:lineRule="exact"/>
              <w:rPr>
                <w:rFonts w:ascii="宋体" w:hAnsi="宋体" w:eastAsia="宋体" w:cs="宋体"/>
                <w:color w:val="auto"/>
                <w:sz w:val="22"/>
                <w:szCs w:val="22"/>
                <w:highlight w:val="none"/>
              </w:rPr>
            </w:pPr>
            <w:r>
              <w:rPr>
                <w:rFonts w:hint="eastAsia"/>
                <w:color w:val="auto"/>
                <w:sz w:val="22"/>
                <w:szCs w:val="22"/>
                <w:highlight w:val="none"/>
              </w:rPr>
              <w:t>供应商享受支持中小企业发展政策、促进残疾人就业政府采购政策优惠的（不重复享受），可用扣除后的最后报价参与价格比较。本项目价格扣除比例及相关要求见第六章“评审办法”。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350" w:type="dxa"/>
            <w:vAlign w:val="center"/>
          </w:tcPr>
          <w:p>
            <w:pPr>
              <w:widowControl/>
              <w:spacing w:line="400" w:lineRule="exact"/>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公章及签字</w:t>
            </w:r>
          </w:p>
        </w:tc>
        <w:tc>
          <w:tcPr>
            <w:tcW w:w="7500" w:type="dxa"/>
            <w:vAlign w:val="center"/>
          </w:tcPr>
          <w:p>
            <w:pPr>
              <w:widowControl/>
              <w:spacing w:line="400" w:lineRule="exac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本文件中描述供应商的“公章”是指根据我国对公章的管理规定，用供应商法定主体行为名称制作的印章，除本文件有特殊规定外，供应商的财务章、 部门章、分公司章、工会章、合同章、投标专用章、业务专用章及银行的转账 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350" w:type="dxa"/>
            <w:vAlign w:val="center"/>
          </w:tcPr>
          <w:p>
            <w:pPr>
              <w:tabs>
                <w:tab w:val="left" w:pos="720"/>
              </w:tabs>
              <w:spacing w:line="400" w:lineRule="exact"/>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500" w:type="dxa"/>
            <w:vAlign w:val="center"/>
          </w:tcPr>
          <w:p>
            <w:pPr>
              <w:tabs>
                <w:tab w:val="left" w:pos="720"/>
              </w:tabs>
              <w:spacing w:line="400" w:lineRule="exact"/>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一般公共预算资金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350" w:type="dxa"/>
            <w:vAlign w:val="center"/>
          </w:tcPr>
          <w:p>
            <w:pPr>
              <w:tabs>
                <w:tab w:val="left" w:pos="720"/>
              </w:tabs>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采购预算金额</w:t>
            </w:r>
          </w:p>
        </w:tc>
        <w:tc>
          <w:tcPr>
            <w:tcW w:w="7500" w:type="dxa"/>
            <w:vAlign w:val="center"/>
          </w:tcPr>
          <w:p>
            <w:pPr>
              <w:tabs>
                <w:tab w:val="left" w:pos="720"/>
              </w:tabs>
              <w:spacing w:line="400" w:lineRule="exact"/>
              <w:jc w:val="left"/>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人民币柒拾贰元整（¥720000.00）</w:t>
            </w:r>
          </w:p>
          <w:p>
            <w:pPr>
              <w:tabs>
                <w:tab w:val="left" w:pos="720"/>
              </w:tabs>
              <w:spacing w:line="400" w:lineRule="exact"/>
              <w:jc w:val="left"/>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注：供应商的总报价超出总预算的，磋商无效。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1350" w:type="dxa"/>
            <w:vAlign w:val="center"/>
          </w:tcPr>
          <w:p>
            <w:pPr>
              <w:tabs>
                <w:tab w:val="left" w:pos="720"/>
              </w:tabs>
              <w:spacing w:line="400" w:lineRule="exact"/>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评审办法</w:t>
            </w:r>
          </w:p>
        </w:tc>
        <w:tc>
          <w:tcPr>
            <w:tcW w:w="7500" w:type="dxa"/>
            <w:vAlign w:val="center"/>
          </w:tcPr>
          <w:p>
            <w:pPr>
              <w:tabs>
                <w:tab w:val="left" w:pos="720"/>
              </w:tabs>
              <w:spacing w:line="400" w:lineRule="exact"/>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703" w:type="dxa"/>
            <w:vAlign w:val="center"/>
          </w:tcPr>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350" w:type="dxa"/>
            <w:vAlign w:val="center"/>
          </w:tcPr>
          <w:p>
            <w:pPr>
              <w:tabs>
                <w:tab w:val="left" w:pos="720"/>
              </w:tabs>
              <w:spacing w:line="400" w:lineRule="exact"/>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现场踏勘</w:t>
            </w:r>
          </w:p>
        </w:tc>
        <w:tc>
          <w:tcPr>
            <w:tcW w:w="7500" w:type="dxa"/>
            <w:vAlign w:val="center"/>
          </w:tcPr>
          <w:p>
            <w:pPr>
              <w:tabs>
                <w:tab w:val="left" w:pos="720"/>
              </w:tabs>
              <w:spacing w:line="400" w:lineRule="exact"/>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 xml:space="preserve">组织 </w:t>
            </w: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不组织</w:t>
            </w:r>
          </w:p>
        </w:tc>
      </w:tr>
    </w:tbl>
    <w:p>
      <w:pPr>
        <w:spacing w:line="40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cr/>
      </w:r>
    </w:p>
    <w:p>
      <w:pPr>
        <w:spacing w:line="400" w:lineRule="exact"/>
        <w:jc w:val="center"/>
        <w:rPr>
          <w:rFonts w:ascii="宋体" w:hAnsi="宋体" w:eastAsia="宋体" w:cs="宋体"/>
          <w:color w:val="auto"/>
          <w:sz w:val="22"/>
          <w:szCs w:val="22"/>
          <w:highlight w:val="none"/>
        </w:rPr>
      </w:pPr>
    </w:p>
    <w:p>
      <w:pPr>
        <w:spacing w:line="400" w:lineRule="exact"/>
        <w:jc w:val="center"/>
        <w:rPr>
          <w:rFonts w:ascii="宋体" w:hAnsi="宋体" w:eastAsia="宋体" w:cs="宋体"/>
          <w:color w:val="auto"/>
          <w:sz w:val="22"/>
          <w:szCs w:val="22"/>
          <w:highlight w:val="none"/>
        </w:rPr>
      </w:pPr>
    </w:p>
    <w:p>
      <w:pPr>
        <w:spacing w:line="400" w:lineRule="exact"/>
        <w:jc w:val="center"/>
        <w:rPr>
          <w:rFonts w:ascii="宋体" w:hAnsi="宋体" w:eastAsia="宋体" w:cs="宋体"/>
          <w:color w:val="auto"/>
          <w:sz w:val="22"/>
          <w:szCs w:val="22"/>
          <w:highlight w:val="none"/>
        </w:rPr>
      </w:pPr>
    </w:p>
    <w:p>
      <w:pPr>
        <w:pStyle w:val="30"/>
        <w:rPr>
          <w:rFonts w:ascii="宋体" w:hAnsi="宋体" w:eastAsia="宋体" w:cs="宋体"/>
          <w:color w:val="auto"/>
          <w:sz w:val="22"/>
          <w:szCs w:val="22"/>
          <w:highlight w:val="none"/>
        </w:rPr>
      </w:pPr>
    </w:p>
    <w:p>
      <w:pPr>
        <w:pStyle w:val="30"/>
        <w:rPr>
          <w:rFonts w:ascii="宋体" w:hAnsi="宋体" w:eastAsia="宋体" w:cs="宋体"/>
          <w:color w:val="auto"/>
          <w:sz w:val="22"/>
          <w:szCs w:val="22"/>
          <w:highlight w:val="none"/>
        </w:rPr>
      </w:pPr>
    </w:p>
    <w:p>
      <w:pPr>
        <w:pStyle w:val="30"/>
        <w:rPr>
          <w:rFonts w:ascii="宋体" w:hAnsi="宋体" w:eastAsia="宋体" w:cs="宋体"/>
          <w:color w:val="auto"/>
          <w:sz w:val="22"/>
          <w:szCs w:val="22"/>
          <w:highlight w:val="none"/>
        </w:rPr>
      </w:pPr>
    </w:p>
    <w:p>
      <w:pPr>
        <w:pStyle w:val="30"/>
        <w:rPr>
          <w:rFonts w:ascii="宋体" w:hAnsi="宋体" w:eastAsia="宋体" w:cs="宋体"/>
          <w:color w:val="auto"/>
          <w:sz w:val="22"/>
          <w:szCs w:val="22"/>
          <w:highlight w:val="none"/>
        </w:rPr>
      </w:pPr>
    </w:p>
    <w:p>
      <w:pPr>
        <w:spacing w:line="400" w:lineRule="exact"/>
        <w:jc w:val="center"/>
        <w:rPr>
          <w:rFonts w:ascii="宋体" w:hAnsi="宋体" w:eastAsia="宋体" w:cs="宋体"/>
          <w:b/>
          <w:color w:val="auto"/>
          <w:sz w:val="22"/>
          <w:szCs w:val="22"/>
          <w:highlight w:val="none"/>
        </w:rPr>
      </w:pPr>
      <w:r>
        <w:rPr>
          <w:rFonts w:hint="eastAsia" w:ascii="宋体" w:hAnsi="宋体" w:eastAsia="宋体" w:cs="宋体"/>
          <w:b/>
          <w:color w:val="auto"/>
          <w:sz w:val="28"/>
          <w:szCs w:val="28"/>
          <w:highlight w:val="none"/>
        </w:rPr>
        <w:t>供 应 商 须 知</w:t>
      </w:r>
    </w:p>
    <w:p>
      <w:pPr>
        <w:spacing w:line="400" w:lineRule="exact"/>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一、总则</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 适用范围</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 本文件仅适用于本文件中所叙述的货物、服务类采购项目。</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 定义</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2.1“采购人、采购单位”是指：钦州市中级人民法院</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2.2“采购代理机构”是指：北京诚佳信工程管理有限公司</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2.3“供应商”是指响应本文件要求，参加磋商的法人或者其</w:t>
      </w:r>
      <w:r>
        <w:rPr>
          <w:rFonts w:hint="eastAsia" w:ascii="宋体" w:hAnsi="宋体" w:eastAsia="宋体" w:cs="宋体"/>
          <w:color w:val="auto"/>
          <w:sz w:val="22"/>
          <w:szCs w:val="22"/>
          <w:highlight w:val="none"/>
          <w:lang w:eastAsia="zh-CN"/>
        </w:rPr>
        <w:t>他</w:t>
      </w:r>
      <w:r>
        <w:rPr>
          <w:rFonts w:hint="eastAsia" w:ascii="宋体" w:hAnsi="宋体" w:eastAsia="宋体" w:cs="宋体"/>
          <w:color w:val="auto"/>
          <w:sz w:val="22"/>
          <w:szCs w:val="22"/>
          <w:highlight w:val="none"/>
        </w:rPr>
        <w:t>组织。如果该供应商在本次磋商中成交，即成为“成交供应商”。</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2.4“货物”是指各种形态和种类的物品，包括原材料、燃料、设备、产品等。</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2.5“服务”是指除货物和工程以外的其它采购对象。</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2.6“响应文件”是指：供应商根据本文件要求，编制包含报价、技术和服务等所有内容的文件。</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r>
        <w:rPr>
          <w:rFonts w:ascii="宋体" w:hAnsi="宋体" w:eastAsia="宋体" w:cs="宋体"/>
          <w:color w:val="auto"/>
          <w:sz w:val="22"/>
          <w:szCs w:val="22"/>
          <w:highlight w:val="none"/>
        </w:rPr>
        <w:t>本</w:t>
      </w:r>
      <w:r>
        <w:rPr>
          <w:rFonts w:hint="eastAsia" w:ascii="宋体" w:hAnsi="宋体" w:eastAsia="宋体" w:cs="宋体"/>
          <w:color w:val="auto"/>
          <w:sz w:val="22"/>
          <w:szCs w:val="22"/>
          <w:highlight w:val="none"/>
        </w:rPr>
        <w:t>项目需求一览表</w:t>
      </w:r>
      <w:r>
        <w:rPr>
          <w:rFonts w:ascii="宋体" w:hAnsi="宋体" w:eastAsia="宋体" w:cs="宋体"/>
          <w:color w:val="auto"/>
          <w:sz w:val="22"/>
          <w:szCs w:val="22"/>
          <w:highlight w:val="none"/>
        </w:rPr>
        <w:t>中标注“★”的技术参数为重要技术指标、功能项，将作为设备性能的评分依据。</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 供应商的基本条件：</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3.1 供应商资格：</w:t>
      </w:r>
    </w:p>
    <w:p>
      <w:pPr>
        <w:spacing w:line="360" w:lineRule="exact"/>
        <w:ind w:firstLine="440" w:firstLineChars="200"/>
        <w:rPr>
          <w:rFonts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3.1.1符合《中华人民共和国政府采购法》第二十二条的规定。</w:t>
      </w:r>
    </w:p>
    <w:p>
      <w:pPr>
        <w:spacing w:line="360" w:lineRule="exact"/>
        <w:ind w:firstLine="440" w:firstLineChars="200"/>
        <w:rPr>
          <w:rFonts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3.12未被“信用中国”（www.creditchina.gov.cn）、中国政府采购网（www.ccgp.gov.cn）列入失信被执行人、重大税收违法案件当事人名单、政府采购严重违法失信行为记录名单。</w:t>
      </w:r>
    </w:p>
    <w:p>
      <w:pPr>
        <w:spacing w:line="36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3.1.3本项目的特定资格要求：</w:t>
      </w:r>
    </w:p>
    <w:p>
      <w:pPr>
        <w:spacing w:line="36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（1）国内注册、具有独立法人资格并在人员、设备、资金等方面具有相应的服务能力的企事业单位；</w:t>
      </w:r>
    </w:p>
    <w:p>
      <w:pPr>
        <w:spacing w:line="36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（2）单位负责人为同一人或者存在直接控股、管理关系的不同供应商，不得参加同一合同项下的政府采购活动；</w:t>
      </w:r>
    </w:p>
    <w:p>
      <w:pPr>
        <w:widowControl/>
        <w:shd w:val="clear" w:color="auto" w:fill="FFFFFF"/>
        <w:spacing w:before="25" w:after="25" w:line="360" w:lineRule="exact"/>
        <w:ind w:firstLine="440" w:firstLineChars="20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（3）供应商无行贿犯罪记录的承诺书或书面声明，有行贿犯罪记录的不得参与本次采购活动；</w:t>
      </w:r>
    </w:p>
    <w:p>
      <w:pPr>
        <w:pStyle w:val="10"/>
        <w:spacing w:line="400" w:lineRule="exact"/>
        <w:ind w:firstLine="440" w:firstLineChars="200"/>
        <w:rPr>
          <w:rFonts w:hAnsi="宋体" w:eastAsia="宋体" w:cs="宋体"/>
          <w:color w:val="auto"/>
          <w:sz w:val="22"/>
          <w:szCs w:val="22"/>
          <w:highlight w:val="none"/>
        </w:rPr>
      </w:pPr>
      <w:r>
        <w:rPr>
          <w:rFonts w:hint="eastAsia" w:hAnsi="宋体" w:eastAsia="宋体" w:cs="宋体"/>
          <w:color w:val="auto"/>
          <w:sz w:val="22"/>
          <w:szCs w:val="22"/>
          <w:highlight w:val="none"/>
        </w:rPr>
        <w:t>（4）本项目不接受未购买本项目竞争性磋商文件的供应商参标。</w:t>
      </w:r>
    </w:p>
    <w:p>
      <w:pPr>
        <w:pStyle w:val="10"/>
        <w:spacing w:line="400" w:lineRule="exact"/>
        <w:rPr>
          <w:rFonts w:hAnsi="宋体" w:eastAsia="宋体" w:cs="宋体"/>
          <w:color w:val="auto"/>
          <w:sz w:val="22"/>
          <w:szCs w:val="22"/>
          <w:highlight w:val="none"/>
        </w:rPr>
      </w:pPr>
      <w:r>
        <w:rPr>
          <w:rFonts w:hint="eastAsia" w:hAnsi="宋体" w:eastAsia="宋体" w:cs="宋体"/>
          <w:color w:val="auto"/>
          <w:sz w:val="22"/>
          <w:szCs w:val="22"/>
          <w:highlight w:val="none"/>
        </w:rPr>
        <w:t>3.2符合供应商资格的供应商应承担投标及履约中应承担的全部责任与义务。</w:t>
      </w:r>
    </w:p>
    <w:p>
      <w:pPr>
        <w:pStyle w:val="10"/>
        <w:spacing w:line="400" w:lineRule="exact"/>
        <w:rPr>
          <w:rFonts w:hAnsi="宋体" w:eastAsia="宋体" w:cs="宋体"/>
          <w:bCs/>
          <w:color w:val="auto"/>
          <w:spacing w:val="-2"/>
          <w:sz w:val="22"/>
          <w:szCs w:val="22"/>
          <w:highlight w:val="none"/>
        </w:rPr>
      </w:pPr>
      <w:r>
        <w:rPr>
          <w:rFonts w:hint="eastAsia" w:hAnsi="宋体" w:eastAsia="宋体" w:cs="宋体"/>
          <w:color w:val="auto"/>
          <w:sz w:val="22"/>
          <w:szCs w:val="22"/>
          <w:highlight w:val="none"/>
        </w:rPr>
        <w:t>3.3项目如有开展现场踏勘工作，具体要求详见供应商须知前附表。</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 投标费用、竞争性磋商文件的澄清和修改：</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4.1供应商应自行承担所有与编写和提交竞争性磋商响应文件有关的费用，不论磋商结果如何，采购人和采购代理机构在任何情况下无义务和责任承担此类费用。</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4.2竞争性磋商文件的澄清和修改：</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4.2.1供应商应认真审核《项目需求一览表》中的技术参数、配置及要求，如发现表中技术参数、配置有误或要求不合理的，供应商必须在规定的时间前要求澄清，否则，由此产生的后果由供应商负责。</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4.2.2采购代理机构对已发出的响应文件进行必要澄清或者修改的，澄清或者修改的内容可能影响响应文件编制的，在竞争性磋商文件要求提交响应文件截止时间5日前（不足5日顺延），在采购公告同一媒介上发布更正公告，并以书面形式通知所有竞争性磋商文件收受人，书面答复和媒介发布的澄清方式及澄清内容均有效。该澄清或者修改的内容为竞争性磋商文件的组成部分。</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4.2.3采购代理机构可视具体情况，延长响应文件递交截止时间和开标时间。至少在竞争性磋商文件要求提交响应文件的截止时间前1个工作日，将变更时间书面通知所有竞争性磋商文件收受人，并在采购公告同一媒介上发布变更公告。</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4.3磋商保证金：</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4.3.1供应商须按规定提交磋商保证金，项目评审时，磋商小组会查验磋商保证金交纳情况，</w:t>
      </w:r>
      <w:r>
        <w:rPr>
          <w:rFonts w:hint="eastAsia" w:ascii="宋体" w:hAnsi="宋体" w:eastAsia="宋体" w:cs="宋体"/>
          <w:b/>
          <w:color w:val="auto"/>
          <w:sz w:val="22"/>
          <w:szCs w:val="22"/>
          <w:highlight w:val="none"/>
        </w:rPr>
        <w:t>以保证金到账为准，因此供应商在交纳磋商保证金时应充分考虑保证金到达北京诚佳信工程管理有限公司钦州分公司账户上的时间。</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4.3.2磋商保证金交纳形式：电汇、转账等非现金形式。</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4.3.3未成交人的磋商保证金在成交通知书发出后五个工作日内退还。</w:t>
      </w:r>
    </w:p>
    <w:p>
      <w:pPr>
        <w:spacing w:line="400" w:lineRule="exact"/>
        <w:rPr>
          <w:rFonts w:ascii="宋体" w:hAnsi="宋体" w:eastAsia="宋体" w:cs="宋体"/>
          <w:b/>
          <w:color w:val="auto"/>
          <w:sz w:val="22"/>
          <w:szCs w:val="22"/>
          <w:highlight w:val="none"/>
        </w:rPr>
      </w:pPr>
      <w:r>
        <w:rPr>
          <w:rFonts w:hint="eastAsia" w:ascii="宋体" w:hAnsi="宋体" w:eastAsia="宋体" w:cs="宋体"/>
          <w:color w:val="auto"/>
          <w:sz w:val="22"/>
          <w:szCs w:val="22"/>
          <w:highlight w:val="none"/>
        </w:rPr>
        <w:t>4.3.4磋商保证金不计息。</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4.3.5磋商保证金退还方式：电汇或转账至供应商账户。</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4.3.6已提交响应文件的供应商，在提交最后报价之前，可以根据磋商情况退出磋商。采购人、采购代理机构应当退还退出磋商的供应商的磋商保证金。</w:t>
      </w:r>
    </w:p>
    <w:p>
      <w:pPr>
        <w:spacing w:line="400" w:lineRule="exact"/>
        <w:rPr>
          <w:rFonts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4.3.7供应商有下列情形之一的，磋商保证金将不予退还：</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4.3.7.1除4.3.6条情形外，供应商在投标有效期内撤回响应文件的；</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4.3.7.2供应商在磋商过程中弄虚作假，提供虚假材料的；</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4.3.7.3成交人无正当理由不与采购人签订合同的；</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4.3.7.4</w:t>
      </w:r>
      <w:r>
        <w:rPr>
          <w:rFonts w:hint="eastAsia" w:ascii="宋体" w:hAnsi="宋体" w:eastAsia="宋体" w:cs="宋体"/>
          <w:bCs/>
          <w:color w:val="auto"/>
          <w:sz w:val="22"/>
          <w:szCs w:val="22"/>
          <w:highlight w:val="none"/>
        </w:rPr>
        <w:t>将成交项目转让给他人或者在响应文件中未说明且未经采购人同意，将成交项目分包给他人的；</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4.3.7.5拒绝履行合同义务的；</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4.3.7.6其他严重扰乱招投标程序的。</w:t>
      </w:r>
    </w:p>
    <w:p>
      <w:pPr>
        <w:spacing w:line="400" w:lineRule="exact"/>
        <w:rPr>
          <w:rFonts w:ascii="宋体" w:hAnsi="宋体" w:eastAsia="宋体" w:cs="宋体"/>
          <w:b/>
          <w:color w:val="auto"/>
          <w:sz w:val="22"/>
          <w:szCs w:val="22"/>
          <w:highlight w:val="none"/>
        </w:rPr>
      </w:pPr>
    </w:p>
    <w:p>
      <w:pPr>
        <w:spacing w:line="400" w:lineRule="exact"/>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二、响应文件的编制</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5.响应文件编制基本要求。</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5.1供应商对响应文件的编制应按要求签字、盖章、装订。</w:t>
      </w:r>
    </w:p>
    <w:p>
      <w:pPr>
        <w:pStyle w:val="10"/>
        <w:spacing w:line="400" w:lineRule="exact"/>
        <w:outlineLvl w:val="0"/>
        <w:rPr>
          <w:rFonts w:hAnsi="宋体" w:eastAsia="宋体" w:cs="宋体"/>
          <w:color w:val="auto"/>
          <w:sz w:val="22"/>
          <w:szCs w:val="22"/>
          <w:highlight w:val="none"/>
        </w:rPr>
      </w:pPr>
      <w:bookmarkStart w:id="4" w:name="_Toc11638"/>
      <w:r>
        <w:rPr>
          <w:rFonts w:hint="eastAsia" w:hAnsi="宋体" w:eastAsia="宋体" w:cs="宋体"/>
          <w:color w:val="auto"/>
          <w:sz w:val="22"/>
          <w:szCs w:val="22"/>
          <w:highlight w:val="none"/>
        </w:rPr>
        <w:t>5.1.1响应文件正本必须用不褪色的墨水书写或打印，文件正本除本竞争性磋商文件中规定的可提供复印件外均须提供原件；修改处应由法定代表人或委托代理人签字，响应文件内的法人身份证正反面复印件上由法定代表人本人签字确认，否则其响应文件无效。</w:t>
      </w:r>
      <w:bookmarkEnd w:id="4"/>
    </w:p>
    <w:p>
      <w:pPr>
        <w:pStyle w:val="10"/>
        <w:spacing w:line="400" w:lineRule="exact"/>
        <w:rPr>
          <w:rFonts w:hAnsi="宋体" w:eastAsia="宋体" w:cs="宋体"/>
          <w:color w:val="auto"/>
          <w:sz w:val="22"/>
          <w:szCs w:val="22"/>
          <w:highlight w:val="none"/>
        </w:rPr>
      </w:pPr>
      <w:r>
        <w:rPr>
          <w:rFonts w:hint="eastAsia" w:hAnsi="宋体" w:eastAsia="宋体" w:cs="宋体"/>
          <w:color w:val="auto"/>
          <w:sz w:val="22"/>
          <w:szCs w:val="22"/>
          <w:highlight w:val="none"/>
        </w:rPr>
        <w:t>5.1.2字迹潦草、表达不清或未按要求填写的响应文件可能将被认定为无效文件，所引起的后果由供应商负责。</w:t>
      </w:r>
    </w:p>
    <w:p>
      <w:pPr>
        <w:pStyle w:val="10"/>
        <w:spacing w:line="400" w:lineRule="exact"/>
        <w:rPr>
          <w:rFonts w:hAnsi="宋体" w:eastAsia="宋体" w:cs="宋体"/>
          <w:color w:val="auto"/>
          <w:sz w:val="22"/>
          <w:szCs w:val="22"/>
          <w:highlight w:val="none"/>
        </w:rPr>
      </w:pPr>
      <w:r>
        <w:rPr>
          <w:rFonts w:hint="eastAsia" w:hAnsi="宋体" w:eastAsia="宋体" w:cs="宋体"/>
          <w:color w:val="auto"/>
          <w:sz w:val="22"/>
          <w:szCs w:val="22"/>
          <w:highlight w:val="none"/>
        </w:rPr>
        <w:t>5.1.3响应文件应由法定代表人或委托代理人在规定位置盖章处签署且逐页加盖公章，否则其响应文件无效。</w:t>
      </w:r>
    </w:p>
    <w:p>
      <w:pPr>
        <w:pStyle w:val="10"/>
        <w:spacing w:line="400" w:lineRule="exact"/>
        <w:rPr>
          <w:rFonts w:hAnsi="宋体" w:eastAsia="宋体" w:cs="宋体"/>
          <w:color w:val="auto"/>
          <w:sz w:val="22"/>
          <w:szCs w:val="22"/>
          <w:highlight w:val="none"/>
        </w:rPr>
      </w:pPr>
      <w:r>
        <w:rPr>
          <w:rFonts w:hint="eastAsia" w:hAnsi="宋体" w:eastAsia="宋体" w:cs="宋体"/>
          <w:color w:val="auto"/>
          <w:sz w:val="22"/>
          <w:szCs w:val="22"/>
          <w:highlight w:val="none"/>
        </w:rPr>
        <w:t>5.1.4供应商应按供应商须知5.6条规定的内容、顺序编制及装订响应文件并自编目录及页码，响应文件内容不完整、编排混乱导致响应文件被误读、漏读或者查找不到相关内容的，是供应商的责任。响应</w:t>
      </w:r>
      <w:r>
        <w:rPr>
          <w:rFonts w:hint="eastAsia" w:hAnsi="宋体" w:eastAsia="宋体" w:cs="宋体"/>
          <w:b/>
          <w:bCs/>
          <w:color w:val="auto"/>
          <w:sz w:val="22"/>
          <w:szCs w:val="22"/>
          <w:highlight w:val="none"/>
        </w:rPr>
        <w:t>文件缺项、散落或脱页方式装订的将被视为无效响应文件。</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5.2供应商提交的响应文件以及供应商与北京诚佳信工程管理有限公司和采购人就有关投标的所有来往函电均应使用中文。供应商提交的支持文件和印刷的文献可以使用别的语言，但其相应内容必须附有中文翻译文本，在解释响应文件时以翻译文本为主。</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5.3供应商应认真阅读、并充分理解本文件的全部内容（包括所有的补充、修改内容），承诺并履行本文件中各项条款规定及要求。</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5.4响应文件必须按本文件全部内容，包括所有的补充通知及附件进行编制。</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5.5 如因供应商只填写和提供了本文件要求的部分内容和附件，而给评审造成困难，其可能导致的结果和责任由供应商自行承担。</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5.6响应文件的组成。响应文件应分为价格文件、资格证明文件、商务技术文件共三个部分组成装订成一册（标记</w:t>
      </w:r>
      <w:r>
        <w:rPr>
          <w:rFonts w:hint="eastAsia" w:ascii="宋体" w:hAnsi="宋体" w:eastAsia="宋体" w:cs="宋体"/>
          <w:color w:val="auto"/>
          <w:sz w:val="22"/>
          <w:szCs w:val="22"/>
          <w:highlight w:val="none"/>
          <w:lang w:val="zh-TW"/>
        </w:rPr>
        <w:t>★</w:t>
      </w:r>
      <w:r>
        <w:rPr>
          <w:rFonts w:hint="eastAsia" w:ascii="宋体" w:hAnsi="宋体" w:eastAsia="宋体" w:cs="宋体"/>
          <w:color w:val="auto"/>
          <w:sz w:val="22"/>
          <w:szCs w:val="22"/>
          <w:highlight w:val="none"/>
        </w:rPr>
        <w:t>的要求在提交的响应文件中必须提供且加盖单位公章，如未提供，评审小组有权拒绝其响应文件）。</w:t>
      </w:r>
    </w:p>
    <w:p>
      <w:pPr>
        <w:spacing w:line="400" w:lineRule="exact"/>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5.6.1 价格文件</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★1）磋商函；</w:t>
      </w:r>
    </w:p>
    <w:p>
      <w:pPr>
        <w:pStyle w:val="10"/>
        <w:spacing w:line="360" w:lineRule="exact"/>
        <w:rPr>
          <w:rFonts w:hAnsi="宋体" w:eastAsia="宋体" w:cs="宋体"/>
          <w:color w:val="auto"/>
          <w:sz w:val="22"/>
          <w:szCs w:val="22"/>
          <w:highlight w:val="none"/>
        </w:rPr>
      </w:pPr>
      <w:r>
        <w:rPr>
          <w:rFonts w:hint="eastAsia" w:hAnsi="宋体" w:eastAsia="宋体" w:cs="宋体"/>
          <w:color w:val="auto"/>
          <w:sz w:val="22"/>
          <w:szCs w:val="22"/>
          <w:highlight w:val="none"/>
        </w:rPr>
        <w:t>★2）报价表；</w:t>
      </w:r>
    </w:p>
    <w:p>
      <w:pPr>
        <w:pStyle w:val="10"/>
        <w:spacing w:line="360" w:lineRule="exact"/>
        <w:ind w:firstLine="220" w:firstLineChars="100"/>
        <w:rPr>
          <w:rFonts w:hAnsi="宋体" w:eastAsia="宋体" w:cs="宋体"/>
          <w:bCs/>
          <w:color w:val="auto"/>
          <w:sz w:val="22"/>
          <w:szCs w:val="22"/>
          <w:highlight w:val="none"/>
        </w:rPr>
      </w:pPr>
      <w:r>
        <w:rPr>
          <w:rFonts w:hint="eastAsia" w:hAnsi="宋体" w:eastAsia="宋体" w:cs="宋体"/>
          <w:color w:val="auto"/>
          <w:sz w:val="22"/>
          <w:szCs w:val="22"/>
          <w:highlight w:val="none"/>
        </w:rPr>
        <w:t>3）</w:t>
      </w:r>
      <w:r>
        <w:rPr>
          <w:rFonts w:hint="eastAsia" w:hAnsi="宋体" w:eastAsia="宋体" w:cs="宋体"/>
          <w:bCs/>
          <w:color w:val="auto"/>
          <w:sz w:val="22"/>
          <w:szCs w:val="22"/>
          <w:highlight w:val="none"/>
        </w:rPr>
        <w:t>中小企业声明函（如是，</w:t>
      </w:r>
      <w:r>
        <w:rPr>
          <w:rFonts w:hint="eastAsia" w:hAnsi="宋体" w:eastAsia="宋体" w:cs="宋体"/>
          <w:color w:val="auto"/>
          <w:sz w:val="22"/>
          <w:szCs w:val="22"/>
          <w:highlight w:val="none"/>
        </w:rPr>
        <w:t>格式见第四章</w:t>
      </w:r>
      <w:r>
        <w:rPr>
          <w:rFonts w:hint="eastAsia" w:hAnsi="宋体" w:eastAsia="宋体" w:cs="宋体"/>
          <w:bCs/>
          <w:color w:val="auto"/>
          <w:sz w:val="22"/>
          <w:szCs w:val="22"/>
          <w:highlight w:val="none"/>
        </w:rPr>
        <w:t>）；</w:t>
      </w:r>
    </w:p>
    <w:p>
      <w:pPr>
        <w:pStyle w:val="10"/>
        <w:spacing w:line="360" w:lineRule="exact"/>
        <w:ind w:firstLine="220" w:firstLineChars="100"/>
        <w:rPr>
          <w:rFonts w:hAnsi="宋体" w:eastAsia="宋体" w:cs="宋体"/>
          <w:color w:val="auto"/>
          <w:sz w:val="22"/>
          <w:szCs w:val="22"/>
          <w:highlight w:val="none"/>
        </w:rPr>
      </w:pPr>
      <w:r>
        <w:rPr>
          <w:rFonts w:hint="eastAsia" w:hAnsi="宋体" w:eastAsia="宋体" w:cs="宋体"/>
          <w:bCs/>
          <w:color w:val="auto"/>
          <w:sz w:val="22"/>
          <w:szCs w:val="22"/>
          <w:highlight w:val="none"/>
        </w:rPr>
        <w:t>4）残疾人福利性单位声明函（如是，</w:t>
      </w:r>
      <w:r>
        <w:rPr>
          <w:rFonts w:hint="eastAsia" w:hAnsi="宋体" w:eastAsia="宋体" w:cs="宋体"/>
          <w:color w:val="auto"/>
          <w:sz w:val="22"/>
          <w:szCs w:val="22"/>
          <w:highlight w:val="none"/>
        </w:rPr>
        <w:t>格式见第四章</w:t>
      </w:r>
      <w:r>
        <w:rPr>
          <w:rFonts w:hint="eastAsia" w:hAnsi="宋体" w:eastAsia="宋体" w:cs="宋体"/>
          <w:bCs/>
          <w:color w:val="auto"/>
          <w:sz w:val="22"/>
          <w:szCs w:val="22"/>
          <w:highlight w:val="none"/>
        </w:rPr>
        <w:t>）；</w:t>
      </w:r>
    </w:p>
    <w:p>
      <w:pPr>
        <w:tabs>
          <w:tab w:val="left" w:pos="3870"/>
          <w:tab w:val="left" w:pos="4085"/>
        </w:tabs>
        <w:adjustRightInd w:val="0"/>
        <w:snapToGrid w:val="0"/>
        <w:spacing w:line="400" w:lineRule="exact"/>
        <w:ind w:firstLine="220" w:firstLineChars="10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5）供应商针对报价需要说明的其他文件和说明；</w:t>
      </w:r>
    </w:p>
    <w:p>
      <w:pPr>
        <w:spacing w:line="400" w:lineRule="exact"/>
        <w:rPr>
          <w:rFonts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 xml:space="preserve">5.6.2 </w:t>
      </w:r>
      <w:r>
        <w:rPr>
          <w:rFonts w:hint="eastAsia" w:ascii="宋体" w:hAnsi="宋体" w:eastAsia="宋体" w:cs="宋体"/>
          <w:b/>
          <w:color w:val="auto"/>
          <w:sz w:val="22"/>
          <w:szCs w:val="22"/>
          <w:highlight w:val="none"/>
        </w:rPr>
        <w:t>资格证明文件</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★1）有效的营业执照副本复印件（未三证合一的必须提供组织机构代码证副本及税务登记证副本并加盖单位公章）；</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★2）法定代表人身份证正反面复印件；</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★3）法定代表人授权书原件、委托代理人身份证正反面复印件（委托代理时必须提供，格式详见</w:t>
      </w:r>
      <w:r>
        <w:rPr>
          <w:rFonts w:hint="eastAsia" w:ascii="宋体" w:hAnsi="宋体" w:eastAsia="宋体" w:cs="宋体"/>
          <w:b/>
          <w:color w:val="auto"/>
          <w:sz w:val="22"/>
          <w:szCs w:val="22"/>
          <w:highlight w:val="none"/>
        </w:rPr>
        <w:t>第四章</w:t>
      </w:r>
      <w:r>
        <w:rPr>
          <w:rFonts w:hint="eastAsia" w:ascii="宋体" w:hAnsi="宋体" w:eastAsia="宋体" w:cs="宋体"/>
          <w:color w:val="auto"/>
          <w:sz w:val="22"/>
          <w:szCs w:val="22"/>
          <w:highlight w:val="none"/>
        </w:rPr>
        <w:t>）</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★4）磋商保证金银行回执单复印件</w:t>
      </w:r>
      <w:r>
        <w:rPr>
          <w:rFonts w:hint="eastAsia" w:ascii="宋体" w:hAnsi="宋体" w:eastAsia="宋体" w:cs="宋体"/>
          <w:color w:val="auto"/>
          <w:sz w:val="22"/>
          <w:szCs w:val="22"/>
          <w:highlight w:val="none"/>
          <w:lang w:eastAsia="zh-CN"/>
        </w:rPr>
        <w:t>和</w:t>
      </w:r>
      <w:r>
        <w:rPr>
          <w:rFonts w:hint="eastAsia" w:ascii="宋体" w:hAnsi="宋体" w:eastAsia="宋体" w:cs="宋体"/>
          <w:color w:val="auto"/>
          <w:sz w:val="22"/>
          <w:szCs w:val="22"/>
          <w:highlight w:val="none"/>
        </w:rPr>
        <w:t>到账收据复印件；</w:t>
      </w:r>
    </w:p>
    <w:p>
      <w:pPr>
        <w:spacing w:line="400" w:lineRule="exac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★5）供应商无行贿犯罪记录的承诺书或书面声明（含供应商、法定代表人及委托代理人，格式自拟）；</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★6）在“信用中国”网站（www.creditchina.gov.cn）、中国政府采购网（www.ccgp.gov.cn）查询相关供应商主体信用记录的查询结果网页打印件（有不良记录的将被拒绝）；</w:t>
      </w:r>
    </w:p>
    <w:p>
      <w:pPr>
        <w:widowControl/>
        <w:spacing w:line="400" w:lineRule="exact"/>
        <w:ind w:firstLine="440" w:firstLineChars="2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a.信用信息记录查询渠道：供应商在“信用中国”网站（www.creditchina.gov.cn）及中国政府采购网（www.ccgp.gov.cn）查询相关供应商的主体信用记录，同时须将两个网站的查询结果网页打印件都加盖单位公章作为证据装订进响应文件中；</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b.信用信息记录查询截止时点：相关供应商单位主体信用记录查询时间应在本项目首次公告至磋商截止时间内任意时间有效；</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c.信用信息的使用规则：磋商小组核验供应商在响应文件中提供的主体信用记录，被列入失信被执行人、重大税收违法案件当事人名单、政府采购严重违法失信行为记录名单及其他不符合《中华人民共和国政府采购法》第二十二条规定条件的供应商，将被拒绝其参与本次政府采购活动。</w:t>
      </w:r>
    </w:p>
    <w:p>
      <w:pPr>
        <w:pStyle w:val="7"/>
        <w:spacing w:line="400" w:lineRule="exact"/>
        <w:rPr>
          <w:rFonts w:ascii="宋体" w:hAnsi="宋体" w:eastAsia="宋体" w:cs="宋体"/>
          <w:bCs/>
          <w:color w:val="auto"/>
          <w:sz w:val="22"/>
          <w:szCs w:val="22"/>
          <w:highlight w:val="none"/>
        </w:rPr>
      </w:pPr>
      <w:r>
        <w:rPr>
          <w:rFonts w:hint="eastAsia" w:ascii="宋体" w:hAnsi="宋体" w:eastAsia="宋体" w:cs="宋体"/>
          <w:color w:val="auto"/>
          <w:sz w:val="22"/>
          <w:szCs w:val="22"/>
          <w:highlight w:val="none"/>
        </w:rPr>
        <w:t>★7）供应商2020年任意三个月的</w:t>
      </w:r>
      <w:r>
        <w:rPr>
          <w:rFonts w:hint="eastAsia" w:ascii="宋体" w:hAnsi="宋体" w:eastAsia="宋体" w:cs="宋体"/>
          <w:color w:val="auto"/>
          <w:kern w:val="0"/>
          <w:sz w:val="22"/>
          <w:szCs w:val="22"/>
          <w:highlight w:val="none"/>
        </w:rPr>
        <w:t>依法缴纳税费或依法免缴税费的证明（复印件，格式自拟）；无纳税记录的，应提供由供应商所在地主管国税、地税部门出具的《依法纳税或依法免税证明》（新成立的按实际提供，格式自拟，复印件）</w:t>
      </w:r>
      <w:r>
        <w:rPr>
          <w:rFonts w:hint="eastAsia" w:ascii="宋体" w:hAnsi="宋体" w:eastAsia="宋体" w:cs="宋体"/>
          <w:bCs/>
          <w:color w:val="auto"/>
          <w:sz w:val="22"/>
          <w:szCs w:val="22"/>
          <w:highlight w:val="none"/>
        </w:rPr>
        <w:t>；</w:t>
      </w:r>
    </w:p>
    <w:p>
      <w:pPr>
        <w:pStyle w:val="7"/>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★8）供应商2020年任意三个月的</w:t>
      </w:r>
      <w:r>
        <w:rPr>
          <w:rFonts w:hint="eastAsia" w:ascii="宋体" w:hAnsi="宋体" w:eastAsia="宋体" w:cs="宋体"/>
          <w:color w:val="auto"/>
          <w:kern w:val="0"/>
          <w:sz w:val="22"/>
          <w:szCs w:val="22"/>
          <w:highlight w:val="none"/>
        </w:rPr>
        <w:t>依法缴纳社保费的缴费凭证（复印件，格式自拟）；无缴费记录的，应提供由供应商所在地社保部门出具的《依法缴纳或依法免缴社保费证明》（新成立的按实际提供，格式自拟，复印件）</w:t>
      </w:r>
      <w:r>
        <w:rPr>
          <w:rFonts w:hint="eastAsia" w:ascii="宋体" w:hAnsi="宋体" w:eastAsia="宋体" w:cs="宋体"/>
          <w:bCs/>
          <w:color w:val="auto"/>
          <w:sz w:val="22"/>
          <w:szCs w:val="22"/>
          <w:highlight w:val="none"/>
        </w:rPr>
        <w:t>；</w:t>
      </w:r>
    </w:p>
    <w:p>
      <w:pPr>
        <w:pStyle w:val="30"/>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近期财务状况报告（提供</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截标时间前半年内至少3个月能反映财务状况的报表；新成立的公司按实际情况提供财务报表）。</w:t>
      </w:r>
    </w:p>
    <w:p>
      <w:pPr>
        <w:spacing w:line="400" w:lineRule="exact"/>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5.6.3商务技术文件</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szCs w:val="22"/>
          <w:highlight w:val="none"/>
        </w:rPr>
        <w:t>售后服务承诺（结合第三章“项目需求一览表”自行编写）；</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★2）技术及商务响应情况表；</w:t>
      </w:r>
    </w:p>
    <w:p>
      <w:pPr>
        <w:tabs>
          <w:tab w:val="left" w:pos="824"/>
          <w:tab w:val="left" w:pos="1808"/>
        </w:tabs>
        <w:autoSpaceDE w:val="0"/>
        <w:autoSpaceDN w:val="0"/>
        <w:adjustRightInd w:val="0"/>
        <w:snapToGrid w:val="0"/>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3）实施方案；</w:t>
      </w:r>
    </w:p>
    <w:p>
      <w:pPr>
        <w:tabs>
          <w:tab w:val="left" w:pos="824"/>
          <w:tab w:val="left" w:pos="1808"/>
        </w:tabs>
        <w:autoSpaceDE w:val="0"/>
        <w:autoSpaceDN w:val="0"/>
        <w:adjustRightInd w:val="0"/>
        <w:snapToGrid w:val="0"/>
        <w:spacing w:line="400" w:lineRule="exac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lang w:eastAsia="zh-CN"/>
        </w:rPr>
        <w:t>实施</w:t>
      </w:r>
      <w:r>
        <w:rPr>
          <w:rFonts w:hint="eastAsia" w:ascii="宋体" w:hAnsi="宋体" w:eastAsia="宋体" w:cs="宋体"/>
          <w:color w:val="auto"/>
          <w:sz w:val="22"/>
          <w:szCs w:val="22"/>
          <w:highlight w:val="none"/>
        </w:rPr>
        <w:t>人员情况一览表</w:t>
      </w:r>
      <w:r>
        <w:rPr>
          <w:rFonts w:hint="eastAsia" w:ascii="宋体" w:hAnsi="宋体" w:eastAsia="宋体" w:cs="宋体"/>
          <w:color w:val="auto"/>
          <w:kern w:val="0"/>
          <w:sz w:val="22"/>
          <w:szCs w:val="22"/>
          <w:highlight w:val="none"/>
        </w:rPr>
        <w:t>；</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kern w:val="0"/>
          <w:sz w:val="22"/>
          <w:szCs w:val="22"/>
          <w:highlight w:val="none"/>
        </w:rPr>
        <w:t>类似业绩[请提供项目名称、中标（成交）通知书或合同等]</w:t>
      </w:r>
      <w:r>
        <w:rPr>
          <w:rFonts w:hint="eastAsia" w:ascii="宋体" w:hAnsi="宋体" w:eastAsia="宋体" w:cs="宋体"/>
          <w:color w:val="auto"/>
          <w:sz w:val="22"/>
          <w:szCs w:val="22"/>
          <w:highlight w:val="none"/>
        </w:rPr>
        <w:t>；</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6）供应商获奖证书；</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7）供应商认为需要提供的有关资料和需要说明的问题。</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 计量单位</w:t>
      </w:r>
    </w:p>
    <w:p>
      <w:pPr>
        <w:spacing w:line="400" w:lineRule="exact"/>
        <w:rPr>
          <w:rFonts w:ascii="宋体" w:hAnsi="宋体" w:eastAsia="宋体" w:cs="宋体"/>
          <w:b/>
          <w:color w:val="auto"/>
          <w:sz w:val="22"/>
          <w:szCs w:val="22"/>
          <w:highlight w:val="none"/>
        </w:rPr>
      </w:pPr>
      <w:r>
        <w:rPr>
          <w:rFonts w:hint="eastAsia" w:ascii="宋体" w:hAnsi="宋体" w:eastAsia="宋体" w:cs="宋体"/>
          <w:color w:val="auto"/>
          <w:sz w:val="22"/>
          <w:szCs w:val="22"/>
          <w:highlight w:val="none"/>
        </w:rPr>
        <w:t>6.1 除技术要求中另有规定外，本文件所要求使用的计量单位均应采用国家法定计量单位。</w:t>
      </w:r>
    </w:p>
    <w:p>
      <w:pPr>
        <w:spacing w:line="400" w:lineRule="exact"/>
        <w:rPr>
          <w:rFonts w:ascii="宋体" w:hAnsi="宋体" w:eastAsia="宋体" w:cs="宋体"/>
          <w:b/>
          <w:color w:val="auto"/>
          <w:sz w:val="22"/>
          <w:szCs w:val="22"/>
          <w:highlight w:val="none"/>
        </w:rPr>
      </w:pPr>
    </w:p>
    <w:p>
      <w:pPr>
        <w:spacing w:line="400" w:lineRule="exact"/>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三、报价要求</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7.1对于本文件中未列明，而供应商认为必需的费用也需列入总报价。在合同实施时，采购人将不予支付成交供应商没有列入的项目费用，并认为此项目的费用已包括在总报价中。</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7.2 成交供应商负责本项目所需货物的制造、运输、售后服务等全部工作。</w:t>
      </w:r>
    </w:p>
    <w:p>
      <w:pPr>
        <w:spacing w:line="400" w:lineRule="exact"/>
        <w:rPr>
          <w:rFonts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7.3</w:t>
      </w:r>
      <w:r>
        <w:rPr>
          <w:rFonts w:hint="eastAsia" w:ascii="宋体" w:hAnsi="宋体" w:eastAsia="宋体" w:cs="宋体"/>
          <w:color w:val="auto"/>
          <w:sz w:val="22"/>
          <w:szCs w:val="22"/>
          <w:highlight w:val="none"/>
        </w:rPr>
        <w:t>本项目采购代理服务费</w:t>
      </w:r>
      <w:r>
        <w:rPr>
          <w:rFonts w:hint="eastAsia" w:ascii="宋体" w:hAnsi="宋体" w:eastAsia="宋体" w:cs="宋体"/>
          <w:bCs/>
          <w:color w:val="auto"/>
          <w:sz w:val="22"/>
          <w:szCs w:val="22"/>
          <w:highlight w:val="none"/>
        </w:rPr>
        <w:t>由成交人向采购代理机构支付</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请各供应商在报价时应综合考虑该成本。</w:t>
      </w:r>
    </w:p>
    <w:p>
      <w:pPr>
        <w:spacing w:line="400" w:lineRule="exact"/>
        <w:rPr>
          <w:rFonts w:ascii="宋体" w:hAnsi="宋体" w:eastAsia="宋体" w:cs="宋体"/>
          <w:b/>
          <w:color w:val="auto"/>
          <w:sz w:val="22"/>
          <w:szCs w:val="22"/>
          <w:highlight w:val="none"/>
        </w:rPr>
      </w:pPr>
    </w:p>
    <w:p>
      <w:pPr>
        <w:spacing w:line="400" w:lineRule="exact"/>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四、响应文件的份数、封装和递交</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8.响应文件的份数和封装</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8.1供应商应将响应文件正本壹份，副本叁份，并在每份文件封面右上角注明“正本”、“副本”字样，一旦正本和副本不符，以正本为准。全部一并装入文件袋（盒、箱）中。</w:t>
      </w:r>
    </w:p>
    <w:p>
      <w:pPr>
        <w:tabs>
          <w:tab w:val="left" w:pos="1305"/>
        </w:tabs>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8.2响应文件的密封以文件袋（盒、箱）无明显缝隙露出袋内文件且封口处有密封签章[公章、密封章、法定代表人或其委托代理人签字]为合格。</w:t>
      </w:r>
    </w:p>
    <w:p>
      <w:pPr>
        <w:tabs>
          <w:tab w:val="left" w:pos="1305"/>
        </w:tabs>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8.3供应商在递交响应文件时未按本须知要求密封、标记的，采购代理机构有权拒收。由此造成响应文件被误投或提前拆封的风险由供应商承担。</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8.4响应文件的信封上应写明：</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1）项目编号；</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2）项目名称；</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3）供应商名称；</w:t>
      </w:r>
    </w:p>
    <w:p>
      <w:pPr>
        <w:pStyle w:val="10"/>
        <w:spacing w:line="400" w:lineRule="exact"/>
        <w:rPr>
          <w:rFonts w:hAnsi="宋体" w:eastAsia="宋体" w:cs="宋体"/>
          <w:color w:val="auto"/>
          <w:sz w:val="22"/>
          <w:szCs w:val="22"/>
          <w:highlight w:val="none"/>
        </w:rPr>
      </w:pPr>
      <w:r>
        <w:rPr>
          <w:rFonts w:hint="eastAsia" w:hAnsi="宋体" w:eastAsia="宋体" w:cs="宋体"/>
          <w:color w:val="auto"/>
          <w:sz w:val="22"/>
          <w:szCs w:val="22"/>
          <w:highlight w:val="none"/>
        </w:rPr>
        <w:t>4）注明“开标时才能启封”</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 响应文件的递交</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9.1 所有响应文件应于竞争性磋商文件中规定的时间前递交到竞争性磋商文件中指定地点。</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10. 迟交的响应文件</w:t>
      </w:r>
    </w:p>
    <w:p>
      <w:pPr>
        <w:spacing w:line="400" w:lineRule="exact"/>
        <w:ind w:firstLine="440" w:firstLineChars="200"/>
        <w:rPr>
          <w:rFonts w:ascii="宋体" w:hAnsi="宋体" w:eastAsia="宋体" w:cs="宋体"/>
          <w:b/>
          <w:color w:val="auto"/>
          <w:sz w:val="22"/>
          <w:szCs w:val="22"/>
          <w:highlight w:val="none"/>
        </w:rPr>
      </w:pPr>
      <w:r>
        <w:rPr>
          <w:rFonts w:hint="eastAsia" w:ascii="宋体" w:hAnsi="宋体" w:eastAsia="宋体" w:cs="宋体"/>
          <w:color w:val="auto"/>
          <w:sz w:val="22"/>
          <w:szCs w:val="22"/>
          <w:highlight w:val="none"/>
        </w:rPr>
        <w:t>北京诚佳信工程管理有限公司将拒绝或原封退回在其规定的递交响应文件截止时间之后收到的响应文件。</w:t>
      </w:r>
    </w:p>
    <w:p>
      <w:pPr>
        <w:spacing w:line="400" w:lineRule="exact"/>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五、磋商</w:t>
      </w:r>
    </w:p>
    <w:p>
      <w:pPr>
        <w:spacing w:line="400" w:lineRule="exact"/>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11.1</w:t>
      </w:r>
      <w:r>
        <w:rPr>
          <w:rFonts w:hint="eastAsia" w:ascii="宋体" w:hAnsi="宋体" w:eastAsia="宋体" w:cs="宋体"/>
          <w:color w:val="auto"/>
          <w:sz w:val="22"/>
          <w:szCs w:val="22"/>
          <w:highlight w:val="none"/>
        </w:rPr>
        <w:t>磋商小组所有成员应当集中与单一供应商分别进行磋商，并给予所有参加磋商的供应商平等的磋商机会。</w:t>
      </w:r>
    </w:p>
    <w:p>
      <w:pPr>
        <w:spacing w:line="400" w:lineRule="exact"/>
        <w:ind w:firstLine="440" w:firstLineChars="20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磋商小组与供应商就符合采购需求、质量和服务等进行磋商，并了解其报价组成情况。</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采购代理机构对磋商过程和重要磋商内容进行记录，磋商双方在记录上签字确认。</w:t>
      </w:r>
    </w:p>
    <w:p>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在磋商过程中，磋商小组可以根据响应文件和磋商情况实质性变动采购需求中的技术、服务要求以及合同草案条款，但不得变动响应文件中的其他内容。实质性变动的内容，须经采购人代表确认。</w:t>
      </w:r>
    </w:p>
    <w:p>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对响应文件作出的实质性变动是响应文件的有效组成部分，磋商小组应当及时以书面形式同时通知所有参加磋商的供应商。</w:t>
      </w:r>
    </w:p>
    <w:p>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当按照响应文件的变动情况和磋商小组的要求重新提交响应文件，并由其法定代表人或授权代表签字或者加盖公章。由授权代表签字的，应当附法定代表人授权书。供应商为自然人的，应当由本人签字并附身份证明。逾时不交的，视同放弃磋商。</w:t>
      </w:r>
    </w:p>
    <w:p>
      <w:pPr>
        <w:pStyle w:val="30"/>
        <w:spacing w:line="400" w:lineRule="exact"/>
        <w:ind w:firstLine="442" w:firstLineChars="200"/>
        <w:rPr>
          <w:rFonts w:ascii="宋体" w:hAnsi="宋体" w:eastAsia="宋体" w:cs="宋体"/>
          <w:bCs w:val="0"/>
          <w:color w:val="auto"/>
          <w:spacing w:val="0"/>
          <w:sz w:val="22"/>
          <w:szCs w:val="22"/>
          <w:highlight w:val="none"/>
        </w:rPr>
      </w:pPr>
      <w:r>
        <w:rPr>
          <w:rFonts w:hint="eastAsia" w:ascii="宋体" w:hAnsi="宋体" w:eastAsia="宋体" w:cs="宋体"/>
          <w:b/>
          <w:color w:val="auto"/>
          <w:spacing w:val="0"/>
          <w:sz w:val="22"/>
          <w:szCs w:val="22"/>
          <w:highlight w:val="none"/>
        </w:rPr>
        <w:t>11.2组织磋商</w:t>
      </w:r>
      <w:r>
        <w:rPr>
          <w:rFonts w:hint="eastAsia" w:ascii="宋体" w:hAnsi="宋体" w:eastAsia="宋体" w:cs="宋体"/>
          <w:bCs w:val="0"/>
          <w:color w:val="auto"/>
          <w:spacing w:val="0"/>
          <w:sz w:val="22"/>
          <w:szCs w:val="22"/>
          <w:highlight w:val="none"/>
        </w:rPr>
        <w:t>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11.2.1磋商小组由采购人代表和有关技术、经济等方面的专家组成，成员人数为3人或以上单数，其中专家不得少于成员总人数的三分之二。采用集中办公、封闭磋商的方式进行磋商。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①磋商前，采购代理机构工作人员向磋商小组成员宣布和印发磋商纪律和磋商工作规则，并遵照执行。磋商小组成员签署《政府采购项目评审专家承诺书》。磋商小组成员对与自己有利害关系的磋商项目应当主动提出回避。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②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③采购代理机构指定专人负责对磋商过程和重要磋商内容进行记录，采购代理机构、采购人代表、磋商小组所有成员在记录上签字确认，并存档备查。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11.2.2磋商小组对所有响应文件进行资格性和符合性审查。</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 </w:t>
      </w:r>
      <w:r>
        <w:rPr>
          <w:rFonts w:hint="eastAsia" w:ascii="宋体" w:hAnsi="宋体" w:eastAsia="宋体" w:cs="宋体"/>
          <w:b/>
          <w:color w:val="auto"/>
          <w:spacing w:val="0"/>
          <w:sz w:val="22"/>
          <w:szCs w:val="22"/>
          <w:highlight w:val="none"/>
        </w:rPr>
        <w:t>11.2.2.1资格性审查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依据有关法律和竞争性磋商文件的规定</w:t>
      </w:r>
      <w:r>
        <w:rPr>
          <w:rFonts w:hint="eastAsia" w:ascii="宋体" w:hAnsi="宋体" w:eastAsia="宋体" w:cs="宋体"/>
          <w:bCs w:val="0"/>
          <w:color w:val="auto"/>
          <w:spacing w:val="0"/>
          <w:sz w:val="22"/>
          <w:szCs w:val="22"/>
          <w:highlight w:val="none"/>
          <w:lang w:eastAsia="zh-CN"/>
        </w:rPr>
        <w:t>，</w:t>
      </w:r>
      <w:r>
        <w:rPr>
          <w:rFonts w:hint="eastAsia" w:ascii="宋体" w:hAnsi="宋体" w:eastAsia="宋体" w:cs="宋体"/>
          <w:bCs w:val="0"/>
          <w:color w:val="auto"/>
          <w:spacing w:val="0"/>
          <w:sz w:val="22"/>
          <w:szCs w:val="22"/>
          <w:highlight w:val="none"/>
        </w:rPr>
        <w:t>对响应文件提供的资格证明文件进行审查，以确定供应商是否具备有效的磋商资格。在资格性检查时</w:t>
      </w:r>
      <w:r>
        <w:rPr>
          <w:rFonts w:hint="eastAsia" w:ascii="宋体" w:hAnsi="宋体" w:eastAsia="宋体" w:cs="宋体"/>
          <w:bCs w:val="0"/>
          <w:color w:val="auto"/>
          <w:spacing w:val="0"/>
          <w:sz w:val="22"/>
          <w:szCs w:val="22"/>
          <w:highlight w:val="none"/>
          <w:lang w:eastAsia="zh-CN"/>
        </w:rPr>
        <w:t>，</w:t>
      </w:r>
      <w:r>
        <w:rPr>
          <w:rFonts w:hint="eastAsia" w:ascii="宋体" w:hAnsi="宋体" w:eastAsia="宋体" w:cs="宋体"/>
          <w:bCs w:val="0"/>
          <w:color w:val="auto"/>
          <w:spacing w:val="0"/>
          <w:sz w:val="22"/>
          <w:szCs w:val="22"/>
          <w:highlight w:val="none"/>
        </w:rPr>
        <w:t>如有下列情况之一的，经磋商小组认定，视为非实质性响应，将视为无效磋商：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①供应商未提供磋商保证金或金额不足的；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②供应商资格证明文件不满足磋商文件要求和过期失效的；</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 </w:t>
      </w:r>
      <w:r>
        <w:rPr>
          <w:rFonts w:hint="eastAsia" w:ascii="宋体" w:hAnsi="宋体" w:eastAsia="宋体" w:cs="宋体"/>
          <w:b/>
          <w:color w:val="auto"/>
          <w:spacing w:val="0"/>
          <w:sz w:val="22"/>
          <w:szCs w:val="22"/>
          <w:highlight w:val="none"/>
        </w:rPr>
        <w:t>11.2.2.2符合性审查</w:t>
      </w:r>
      <w:r>
        <w:rPr>
          <w:rFonts w:hint="eastAsia" w:ascii="宋体" w:hAnsi="宋体" w:eastAsia="宋体" w:cs="宋体"/>
          <w:bCs w:val="0"/>
          <w:color w:val="auto"/>
          <w:spacing w:val="0"/>
          <w:sz w:val="22"/>
          <w:szCs w:val="22"/>
          <w:highlight w:val="none"/>
        </w:rPr>
        <w:t>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磋商小组从供应商递交的响应性文件的有效性、完整性和对竞争性磋商文件的响应程度进行审查。经审查，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递交响应文件供应商法定代表或其委托授权人身份与响应文件不符的；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或未按照竞争性磋商文件规定装订、密封、签署、盖章的；投标有效期不足的；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磋商（首轮）报价已超出采购预算的；附有采购人不能接受的条件的。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对无效响应文件须由采购代理机构进行复核确认，确认为无效响应文件的供应商不予进行磋商。</w:t>
      </w:r>
    </w:p>
    <w:p>
      <w:pPr>
        <w:pStyle w:val="30"/>
        <w:spacing w:line="400" w:lineRule="exact"/>
        <w:rPr>
          <w:rFonts w:ascii="宋体" w:hAnsi="宋体" w:eastAsia="宋体" w:cs="宋体"/>
          <w:b/>
          <w:color w:val="auto"/>
          <w:spacing w:val="0"/>
          <w:sz w:val="22"/>
          <w:szCs w:val="22"/>
          <w:highlight w:val="none"/>
        </w:rPr>
      </w:pPr>
      <w:r>
        <w:rPr>
          <w:rFonts w:hint="eastAsia" w:ascii="宋体" w:hAnsi="宋体" w:eastAsia="宋体" w:cs="宋体"/>
          <w:b/>
          <w:color w:val="auto"/>
          <w:spacing w:val="0"/>
          <w:sz w:val="22"/>
          <w:szCs w:val="22"/>
          <w:highlight w:val="none"/>
        </w:rPr>
        <w:t>11.3磋商</w:t>
      </w:r>
    </w:p>
    <w:p>
      <w:pPr>
        <w:pStyle w:val="30"/>
        <w:spacing w:line="400" w:lineRule="exact"/>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 xml:space="preserve">   </w:t>
      </w:r>
      <w:r>
        <w:rPr>
          <w:rFonts w:hint="eastAsia" w:ascii="宋体" w:hAnsi="宋体" w:eastAsia="宋体" w:cs="宋体"/>
          <w:b/>
          <w:color w:val="auto"/>
          <w:spacing w:val="0"/>
          <w:sz w:val="22"/>
          <w:szCs w:val="22"/>
          <w:highlight w:val="none"/>
        </w:rPr>
        <w:t>11.3.1第一轮磋商</w:t>
      </w:r>
      <w:r>
        <w:rPr>
          <w:rFonts w:hint="eastAsia" w:ascii="宋体" w:hAnsi="宋体" w:eastAsia="宋体" w:cs="宋体"/>
          <w:bCs w:val="0"/>
          <w:color w:val="auto"/>
          <w:spacing w:val="0"/>
          <w:sz w:val="22"/>
          <w:szCs w:val="22"/>
          <w:highlight w:val="none"/>
        </w:rPr>
        <w:t>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磋商小组对实质性响应文件从技术、服务要求、合同草案条款等方面进行全面比较与评价，了解和掌握各实质性响应供应商的响应程度，做好磋商准备。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磋商小组应当通过随机方式确定参加磋商供应商的磋商顺序，所有磋商小组成员集体从以下几方面与每位实质性响应供应商分别进行单独磋商：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①竞争性磋商文件中对某些事项有规定要求，而响应文件表述不清楚或没有提供相关资料的事项；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②竞争性磋商文件中对某些事项没有提供具体规定要求或者表述不清楚，造成实质性响应供应商对此项要求模糊不清或理解上有差异的条款或事项；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③需要质疑、询问供应商的事项；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④价格和交付期的磋商；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⑤其它需要磋商的事项。 </w:t>
      </w:r>
    </w:p>
    <w:p>
      <w:pPr>
        <w:pStyle w:val="30"/>
        <w:spacing w:line="400" w:lineRule="exact"/>
        <w:ind w:firstLine="442" w:firstLineChars="200"/>
        <w:rPr>
          <w:rFonts w:ascii="宋体" w:hAnsi="宋体" w:eastAsia="宋体" w:cs="宋体"/>
          <w:bCs w:val="0"/>
          <w:color w:val="auto"/>
          <w:spacing w:val="0"/>
          <w:sz w:val="22"/>
          <w:szCs w:val="22"/>
          <w:highlight w:val="none"/>
        </w:rPr>
      </w:pPr>
      <w:r>
        <w:rPr>
          <w:rFonts w:hint="eastAsia" w:ascii="宋体" w:hAnsi="宋体" w:eastAsia="宋体" w:cs="宋体"/>
          <w:b/>
          <w:color w:val="auto"/>
          <w:spacing w:val="0"/>
          <w:sz w:val="22"/>
          <w:szCs w:val="22"/>
          <w:highlight w:val="none"/>
        </w:rPr>
        <w:t>11.3.2竞争性磋商文件和响应文件的澄清或修正</w:t>
      </w:r>
      <w:r>
        <w:rPr>
          <w:rFonts w:hint="eastAsia" w:ascii="宋体" w:hAnsi="宋体" w:eastAsia="宋体" w:cs="宋体"/>
          <w:bCs w:val="0"/>
          <w:color w:val="auto"/>
          <w:spacing w:val="0"/>
          <w:sz w:val="22"/>
          <w:szCs w:val="22"/>
          <w:highlight w:val="none"/>
        </w:rPr>
        <w:t>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根据第一轮磋商掌握的情况，采购人和采购代理机构可以对竞争性磋商文件进行澄清或修正，确定采购内容的具体要求，优化采购方案。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①除技术、服务要求、合同草案条款等方面以外，不得改变竞争性磋商文件其他要求；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②实质性变动是磋商文件的有效组成部分，磋商小组应及时以书面形式通知所有参加磋商的供应商；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③实质性变动，须经采购人代表确认；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④不能超出政府采购预算，造成采购人不能支付。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⑤竞争性磋商文件澄清或修正的事项作为竞争性磋商文件的组成部分，与竞争性磋商文件同具法律效应。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实质性响应供应商可以对竞争性磋商文件中对某些事项有规定要求，而响应文件表述不清楚或没有提供相关资料的事项或磋商小组根据竞争性磋商文件有关规定要求澄清或修正的事项进行澄清或修正。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实质性响应供应商澄清或修正的事项以书面形式须由法定代表人或其授权人签字确认后密封送交磋商小组，并作为响应文件的组成部分，与响应文件同具法律效应。 </w:t>
      </w:r>
    </w:p>
    <w:p>
      <w:pPr>
        <w:pStyle w:val="30"/>
        <w:spacing w:line="400" w:lineRule="exact"/>
        <w:ind w:firstLine="442" w:firstLineChars="200"/>
        <w:rPr>
          <w:rFonts w:ascii="宋体" w:hAnsi="宋体" w:eastAsia="宋体" w:cs="宋体"/>
          <w:bCs w:val="0"/>
          <w:color w:val="auto"/>
          <w:spacing w:val="0"/>
          <w:sz w:val="22"/>
          <w:szCs w:val="22"/>
          <w:highlight w:val="none"/>
        </w:rPr>
      </w:pPr>
      <w:r>
        <w:rPr>
          <w:rFonts w:hint="eastAsia" w:ascii="宋体" w:hAnsi="宋体" w:eastAsia="宋体" w:cs="宋体"/>
          <w:b/>
          <w:color w:val="auto"/>
          <w:spacing w:val="0"/>
          <w:sz w:val="22"/>
          <w:szCs w:val="22"/>
          <w:highlight w:val="none"/>
        </w:rPr>
        <w:t>11.3.3第二轮磋商</w:t>
      </w:r>
      <w:r>
        <w:rPr>
          <w:rFonts w:hint="eastAsia" w:ascii="宋体" w:hAnsi="宋体" w:eastAsia="宋体" w:cs="宋体"/>
          <w:bCs w:val="0"/>
          <w:color w:val="auto"/>
          <w:spacing w:val="0"/>
          <w:sz w:val="22"/>
          <w:szCs w:val="22"/>
          <w:highlight w:val="none"/>
        </w:rPr>
        <w:t>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采购代理机构将竞争性磋商文件澄清或修正的事项以书面形式或集中通知的方式通知全部实质性响应供应商，并要求实质性响应供应商对响应文件进行澄清或修正。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①供应商应当按照磋商文件的变动情况和磋商小组的要求重新提交响应文件，以书面形式须由法定代表人或其授权人签字确认后密封送交磋商小组，并作为响应文件的组成部分，与响应文件同具法律效应。根据澄清或修正的情况和磋商的需要，可继续进行有关事项和价格的磋商。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②磋商文件能够详细列明采购标的的技术、服务要求的，磋商结束后，磋商小组应当要求所有实质性响应的供应商在规定时间内提交最后报价，提交最后报价的供应商不得少于3家。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③符合相关法律规定“市场竞争不充分的科研项目，以及需要扶持的科技成果转化项目”情形的，提交最后报价的供应商可以为2家。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④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⑤已提交响应文件的供应商，在提交最后报价之前，可以根据磋商情况退出磋商。采购人、采购代理机构应当退还退出磋商的供应商的磋商保证金。</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⑥政府购买服务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 </w:t>
      </w:r>
    </w:p>
    <w:p>
      <w:pPr>
        <w:pStyle w:val="30"/>
        <w:spacing w:line="400" w:lineRule="exact"/>
        <w:ind w:firstLine="442" w:firstLineChars="200"/>
        <w:rPr>
          <w:rFonts w:ascii="宋体" w:hAnsi="宋体" w:eastAsia="宋体" w:cs="宋体"/>
          <w:bCs w:val="0"/>
          <w:color w:val="auto"/>
          <w:spacing w:val="0"/>
          <w:sz w:val="22"/>
          <w:szCs w:val="22"/>
          <w:highlight w:val="none"/>
        </w:rPr>
      </w:pPr>
      <w:r>
        <w:rPr>
          <w:rFonts w:hint="eastAsia" w:ascii="宋体" w:hAnsi="宋体" w:eastAsia="宋体" w:cs="宋体"/>
          <w:b/>
          <w:color w:val="auto"/>
          <w:spacing w:val="0"/>
          <w:sz w:val="22"/>
          <w:szCs w:val="22"/>
          <w:highlight w:val="none"/>
        </w:rPr>
        <w:t>11.3.4最终报价</w:t>
      </w:r>
      <w:r>
        <w:rPr>
          <w:rFonts w:hint="eastAsia" w:ascii="宋体" w:hAnsi="宋体" w:eastAsia="宋体" w:cs="宋体"/>
          <w:bCs w:val="0"/>
          <w:color w:val="auto"/>
          <w:spacing w:val="0"/>
          <w:sz w:val="22"/>
          <w:szCs w:val="22"/>
          <w:highlight w:val="none"/>
        </w:rPr>
        <w:t>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最终报价以书面形式须由法定代表人或其授权人签字确认后，在规定的时间内密封送交磋商小组。</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待所有实质性响应供应商最终报价交齐后，工作人员统一拆封、公布每位实质性响应供应商的最终价格。 </w:t>
      </w:r>
    </w:p>
    <w:p>
      <w:pPr>
        <w:pStyle w:val="30"/>
        <w:spacing w:line="40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最终报价逾时不交的，可视同供应商自动放弃。 </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11.4 所有供应商最终报价均超出采购预算的，采购人不能支付的，竞争性磋商采购活动应停止采购。</w:t>
      </w:r>
    </w:p>
    <w:p>
      <w:pPr>
        <w:pStyle w:val="30"/>
        <w:spacing w:line="400" w:lineRule="exact"/>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11.5 详细评审</w:t>
      </w:r>
    </w:p>
    <w:p>
      <w:pPr>
        <w:pStyle w:val="30"/>
        <w:spacing w:line="400" w:lineRule="exact"/>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11.5.1 磋商小组按第六章“评审办法”规定对响应文件进行综合比较和评价，按得分从高到低的顺序排列供应商，并编写评审报告。</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11.6有下列情形之一的视为供应商相互串通投标，响应文件将被视为无效。</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(1）不同供应商的响应文件由同一单位或者个人编制；或不同供应商报名的IP地址一致的；</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(2）不同供应商委托同一单位或者个人办理投标事宜；</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(3）不同的供应商的响应文件载明的项目管理员为同一个人；</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(4）不同供应商的响应文件异常一致或报价呈规律性差异；</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(5）不同供应商的响应文件相互混装；</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(6）不同供应商的保证金从同一单位或者个人账户转出。</w:t>
      </w:r>
    </w:p>
    <w:p>
      <w:pPr>
        <w:spacing w:line="400" w:lineRule="exact"/>
        <w:rPr>
          <w:rFonts w:ascii="宋体" w:hAnsi="宋体" w:eastAsia="宋体" w:cs="宋体"/>
          <w:b/>
          <w:color w:val="auto"/>
          <w:sz w:val="22"/>
          <w:szCs w:val="22"/>
          <w:highlight w:val="none"/>
        </w:rPr>
      </w:pPr>
    </w:p>
    <w:p>
      <w:pPr>
        <w:spacing w:line="400" w:lineRule="exact"/>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六、确定成交供应商办法</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12.1经磋商确定最终采购需求和提交最后报价的供应商后，由磋商小组采用综合评分法对提交最后报价的供应商的响应文件和最后报价进行评审。</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12.2  根据以下原则推荐和确定成交供应商：</w:t>
      </w:r>
    </w:p>
    <w:p>
      <w:pPr>
        <w:spacing w:line="400" w:lineRule="exact"/>
        <w:rPr>
          <w:rFonts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实质上响应磋商文件要求，具备履行合同能力，综合评分排名第一的供应商。</w:t>
      </w:r>
    </w:p>
    <w:p>
      <w:pPr>
        <w:spacing w:line="400" w:lineRule="exact"/>
        <w:jc w:val="left"/>
        <w:rPr>
          <w:rFonts w:ascii="宋体" w:hAnsi="宋体" w:eastAsia="宋体" w:cs="宋体"/>
          <w:b/>
          <w:bCs/>
          <w:color w:val="auto"/>
          <w:sz w:val="22"/>
          <w:szCs w:val="22"/>
          <w:highlight w:val="none"/>
        </w:rPr>
      </w:pPr>
    </w:p>
    <w:p>
      <w:pPr>
        <w:spacing w:line="400" w:lineRule="exact"/>
        <w:jc w:val="left"/>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七、询问、质疑和投诉</w:t>
      </w:r>
    </w:p>
    <w:p>
      <w:pPr>
        <w:pStyle w:val="10"/>
        <w:spacing w:line="400" w:lineRule="exact"/>
        <w:rPr>
          <w:rFonts w:hAnsi="宋体" w:eastAsia="宋体" w:cs="宋体"/>
          <w:bCs/>
          <w:color w:val="auto"/>
          <w:sz w:val="22"/>
          <w:szCs w:val="22"/>
          <w:highlight w:val="none"/>
        </w:rPr>
      </w:pPr>
      <w:r>
        <w:rPr>
          <w:rFonts w:hint="eastAsia" w:hAnsi="宋体" w:eastAsia="宋体" w:cs="宋体"/>
          <w:bCs/>
          <w:color w:val="auto"/>
          <w:sz w:val="22"/>
          <w:szCs w:val="22"/>
          <w:highlight w:val="none"/>
        </w:rPr>
        <w:t>13.1供应商对政府采购活动事项有疑问的，可以向采购人、采购代理机构提出询问。</w:t>
      </w:r>
    </w:p>
    <w:p>
      <w:pPr>
        <w:pStyle w:val="10"/>
        <w:spacing w:line="400" w:lineRule="exact"/>
        <w:rPr>
          <w:rFonts w:hAnsi="宋体" w:eastAsia="宋体" w:cs="宋体"/>
          <w:bCs/>
          <w:color w:val="auto"/>
          <w:sz w:val="22"/>
          <w:szCs w:val="22"/>
          <w:highlight w:val="none"/>
        </w:rPr>
      </w:pPr>
      <w:r>
        <w:rPr>
          <w:rFonts w:hint="eastAsia" w:hAnsi="宋体" w:eastAsia="宋体" w:cs="宋体"/>
          <w:b/>
          <w:color w:val="auto"/>
          <w:sz w:val="22"/>
          <w:szCs w:val="22"/>
          <w:highlight w:val="none"/>
        </w:rPr>
        <w:t>14.质疑与答复</w:t>
      </w:r>
    </w:p>
    <w:p>
      <w:pPr>
        <w:pStyle w:val="10"/>
        <w:spacing w:line="400" w:lineRule="exact"/>
        <w:ind w:hanging="10"/>
        <w:rPr>
          <w:rFonts w:hAnsi="宋体" w:eastAsia="宋体" w:cs="宋体"/>
          <w:bCs/>
          <w:color w:val="auto"/>
          <w:sz w:val="22"/>
          <w:szCs w:val="22"/>
          <w:highlight w:val="none"/>
        </w:rPr>
      </w:pPr>
      <w:r>
        <w:rPr>
          <w:rFonts w:hint="eastAsia" w:hAnsi="宋体" w:eastAsia="宋体" w:cs="宋体"/>
          <w:bCs/>
          <w:color w:val="auto"/>
          <w:sz w:val="22"/>
          <w:szCs w:val="22"/>
          <w:highlight w:val="none"/>
        </w:rPr>
        <w:t xml:space="preserve">14.1  </w:t>
      </w:r>
      <w:r>
        <w:rPr>
          <w:rFonts w:hint="eastAsia" w:hAnsi="宋体" w:eastAsia="宋体" w:cs="宋体"/>
          <w:color w:val="auto"/>
          <w:sz w:val="22"/>
          <w:szCs w:val="22"/>
          <w:highlight w:val="none"/>
        </w:rPr>
        <w:t>供应商</w:t>
      </w:r>
      <w:r>
        <w:rPr>
          <w:rFonts w:hint="eastAsia" w:hAnsi="宋体" w:eastAsia="宋体" w:cs="宋体"/>
          <w:bCs/>
          <w:color w:val="auto"/>
          <w:sz w:val="22"/>
          <w:szCs w:val="22"/>
          <w:highlight w:val="none"/>
        </w:rPr>
        <w:t>认为磋商文件、磋商过程和成交结果使自己的合法权益受到损害的，应当在知道或者应知其权益受到损害之日起七个工作日内，以书面形式向采购人、采购代理机构提出质疑并及时索要书面回执。</w:t>
      </w:r>
    </w:p>
    <w:p>
      <w:pPr>
        <w:pStyle w:val="10"/>
        <w:snapToGrid w:val="0"/>
        <w:spacing w:before="120" w:after="120" w:line="400" w:lineRule="exact"/>
        <w:rPr>
          <w:rFonts w:hAnsi="宋体" w:eastAsia="宋体" w:cs="宋体"/>
          <w:color w:val="auto"/>
          <w:sz w:val="22"/>
          <w:szCs w:val="22"/>
          <w:highlight w:val="none"/>
        </w:rPr>
      </w:pPr>
      <w:r>
        <w:rPr>
          <w:rFonts w:hint="eastAsia" w:hAnsi="宋体" w:eastAsia="宋体" w:cs="宋体"/>
          <w:color w:val="auto"/>
          <w:sz w:val="22"/>
          <w:szCs w:val="22"/>
          <w:highlight w:val="none"/>
        </w:rPr>
        <w:t>具体计算时间如下：</w:t>
      </w:r>
    </w:p>
    <w:p>
      <w:pPr>
        <w:pStyle w:val="10"/>
        <w:spacing w:line="400" w:lineRule="exact"/>
        <w:ind w:hanging="10"/>
        <w:rPr>
          <w:rFonts w:hAnsi="宋体" w:eastAsia="宋体" w:cs="宋体"/>
          <w:bCs/>
          <w:color w:val="auto"/>
          <w:sz w:val="22"/>
          <w:szCs w:val="22"/>
          <w:highlight w:val="none"/>
        </w:rPr>
      </w:pPr>
      <w:r>
        <w:rPr>
          <w:rFonts w:hint="eastAsia" w:hAnsi="宋体" w:eastAsia="宋体" w:cs="宋体"/>
          <w:color w:val="auto"/>
          <w:sz w:val="22"/>
          <w:szCs w:val="22"/>
          <w:highlight w:val="none"/>
        </w:rPr>
        <w:t>（一）对可以</w:t>
      </w:r>
      <w:r>
        <w:rPr>
          <w:rFonts w:hint="eastAsia" w:hAnsi="宋体" w:eastAsia="宋体" w:cs="宋体"/>
          <w:bCs/>
          <w:color w:val="auto"/>
          <w:sz w:val="22"/>
          <w:szCs w:val="22"/>
          <w:highlight w:val="none"/>
        </w:rPr>
        <w:t>质疑的采购文件提出质疑的，为依法获取采购文件之日；</w:t>
      </w:r>
    </w:p>
    <w:p>
      <w:pPr>
        <w:pStyle w:val="10"/>
        <w:spacing w:line="400" w:lineRule="exact"/>
        <w:ind w:hanging="10"/>
        <w:rPr>
          <w:rFonts w:hAnsi="宋体" w:eastAsia="宋体" w:cs="宋体"/>
          <w:bCs/>
          <w:color w:val="auto"/>
          <w:sz w:val="22"/>
          <w:szCs w:val="22"/>
          <w:highlight w:val="none"/>
        </w:rPr>
      </w:pPr>
      <w:r>
        <w:rPr>
          <w:rFonts w:hint="eastAsia" w:hAnsi="宋体" w:eastAsia="宋体" w:cs="宋体"/>
          <w:bCs/>
          <w:color w:val="auto"/>
          <w:sz w:val="22"/>
          <w:szCs w:val="22"/>
          <w:highlight w:val="none"/>
        </w:rPr>
        <w:t>（二）对采购过程提出质疑的，为各采购程序环节结束之日；</w:t>
      </w:r>
    </w:p>
    <w:p>
      <w:pPr>
        <w:pStyle w:val="10"/>
        <w:spacing w:line="400" w:lineRule="exact"/>
        <w:ind w:hanging="10"/>
        <w:rPr>
          <w:rFonts w:hAnsi="宋体" w:eastAsia="宋体" w:cs="宋体"/>
          <w:color w:val="auto"/>
          <w:sz w:val="22"/>
          <w:szCs w:val="22"/>
          <w:highlight w:val="none"/>
        </w:rPr>
      </w:pPr>
      <w:r>
        <w:rPr>
          <w:rFonts w:hint="eastAsia" w:hAnsi="宋体" w:eastAsia="宋体" w:cs="宋体"/>
          <w:bCs/>
          <w:color w:val="auto"/>
          <w:sz w:val="22"/>
          <w:szCs w:val="22"/>
          <w:highlight w:val="none"/>
        </w:rPr>
        <w:t>（三）对成交结果提出</w:t>
      </w:r>
      <w:r>
        <w:rPr>
          <w:rFonts w:hint="eastAsia" w:hAnsi="宋体" w:eastAsia="宋体" w:cs="宋体"/>
          <w:color w:val="auto"/>
          <w:sz w:val="22"/>
          <w:szCs w:val="22"/>
          <w:highlight w:val="none"/>
        </w:rPr>
        <w:t>质疑的，为成交结果公告期限届满之日。</w:t>
      </w:r>
    </w:p>
    <w:p>
      <w:pPr>
        <w:pStyle w:val="10"/>
        <w:spacing w:line="400" w:lineRule="exact"/>
        <w:ind w:hanging="10"/>
        <w:rPr>
          <w:rFonts w:hAnsi="宋体" w:eastAsia="宋体" w:cs="宋体"/>
          <w:bCs/>
          <w:color w:val="auto"/>
          <w:sz w:val="22"/>
          <w:szCs w:val="22"/>
          <w:highlight w:val="none"/>
        </w:rPr>
      </w:pPr>
      <w:r>
        <w:rPr>
          <w:rFonts w:hint="eastAsia" w:hAnsi="宋体" w:eastAsia="宋体" w:cs="宋体"/>
          <w:color w:val="auto"/>
          <w:sz w:val="22"/>
          <w:szCs w:val="22"/>
          <w:highlight w:val="none"/>
        </w:rPr>
        <w:t>注：供应商应在法定质疑期内一次性提出针对同一采购程序环节的质疑。</w:t>
      </w:r>
    </w:p>
    <w:p>
      <w:pPr>
        <w:pStyle w:val="10"/>
        <w:spacing w:line="400" w:lineRule="exact"/>
        <w:ind w:hanging="10"/>
        <w:rPr>
          <w:color w:val="auto"/>
          <w:highlight w:val="none"/>
        </w:rPr>
      </w:pPr>
      <w:r>
        <w:rPr>
          <w:rFonts w:hint="eastAsia" w:hAnsi="宋体" w:eastAsia="宋体" w:cs="宋体"/>
          <w:bCs/>
          <w:color w:val="auto"/>
          <w:sz w:val="22"/>
          <w:szCs w:val="22"/>
          <w:highlight w:val="none"/>
        </w:rPr>
        <w:t>14.2  采购人、采购代理机构应当在收到供应商的书面质疑后七个工作日内做出答复，但答复的内容不得涉及商业秘密。</w:t>
      </w:r>
    </w:p>
    <w:p>
      <w:pPr>
        <w:pStyle w:val="10"/>
        <w:spacing w:line="400" w:lineRule="exact"/>
        <w:rPr>
          <w:rFonts w:hAnsi="宋体" w:eastAsia="宋体" w:cs="宋体"/>
          <w:b/>
          <w:color w:val="auto"/>
          <w:sz w:val="22"/>
          <w:szCs w:val="22"/>
          <w:highlight w:val="none"/>
        </w:rPr>
      </w:pPr>
      <w:r>
        <w:rPr>
          <w:rFonts w:hint="eastAsia" w:hAnsi="宋体" w:eastAsia="宋体" w:cs="宋体"/>
          <w:b/>
          <w:color w:val="auto"/>
          <w:sz w:val="22"/>
          <w:szCs w:val="22"/>
          <w:highlight w:val="none"/>
        </w:rPr>
        <w:t>15.　投诉</w:t>
      </w:r>
    </w:p>
    <w:p>
      <w:pPr>
        <w:pStyle w:val="10"/>
        <w:spacing w:line="400" w:lineRule="exact"/>
        <w:ind w:left="18" w:hanging="17" w:hangingChars="8"/>
        <w:rPr>
          <w:rFonts w:hAnsi="宋体" w:eastAsia="宋体" w:cs="宋体"/>
          <w:bCs/>
          <w:color w:val="auto"/>
          <w:sz w:val="22"/>
          <w:szCs w:val="22"/>
          <w:highlight w:val="none"/>
        </w:rPr>
      </w:pPr>
      <w:r>
        <w:rPr>
          <w:rFonts w:hint="eastAsia" w:hAnsi="宋体" w:eastAsia="宋体" w:cs="宋体"/>
          <w:bCs/>
          <w:color w:val="auto"/>
          <w:sz w:val="22"/>
          <w:szCs w:val="22"/>
          <w:highlight w:val="none"/>
        </w:rPr>
        <w:t>15.1  投诉人必须首先经过质疑程序，在对采购人、采购代理机构的答复不满意，或者采购人、采购代理机构未在规定的时间内做出答复的，可以在答复期满后十五个工作日内书面向当地监管部门投诉。</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15.2 质疑、投诉采用书面形式，质疑书、投诉书均应明确阐述竞争性磋商文件、磋商过程或成交结果中使自己合法权益受到损害的实质性内容，提供相关事实、明确的请求、依据和证据及其来源或线索，便于有关单位调查、答复和处理。</w:t>
      </w:r>
    </w:p>
    <w:p>
      <w:pPr>
        <w:spacing w:line="400" w:lineRule="exact"/>
        <w:rPr>
          <w:rFonts w:ascii="宋体" w:hAnsi="宋体" w:eastAsia="宋体" w:cs="宋体"/>
          <w:b/>
          <w:bCs/>
          <w:color w:val="auto"/>
          <w:sz w:val="22"/>
          <w:szCs w:val="22"/>
          <w:highlight w:val="none"/>
        </w:rPr>
      </w:pPr>
    </w:p>
    <w:p>
      <w:pPr>
        <w:spacing w:line="400" w:lineRule="exact"/>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八、成交结果</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16.1成交结果公告 </w:t>
      </w:r>
    </w:p>
    <w:p>
      <w:pPr>
        <w:spacing w:line="400" w:lineRule="exact"/>
        <w:ind w:firstLine="442" w:firstLineChars="201"/>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成交结果应当自交供应商确定之日起2个工作日内在采购公告同一媒介上公告，公告期限为1个工作日，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以上信息查询记录及相关证据与采购文件一并保存。</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16.2成交供应商在收到成交通知书后，按规定与采购人签订合同。</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16.3</w:t>
      </w:r>
      <w:r>
        <w:rPr>
          <w:rFonts w:hint="eastAsia" w:ascii="宋体" w:hAnsi="宋体" w:eastAsia="宋体" w:cs="宋体"/>
          <w:color w:val="auto"/>
          <w:kern w:val="0"/>
          <w:sz w:val="22"/>
          <w:szCs w:val="22"/>
          <w:highlight w:val="none"/>
        </w:rPr>
        <w:t>成交供应商拒绝签订政府采购合同的</w:t>
      </w:r>
      <w:r>
        <w:rPr>
          <w:rFonts w:hint="eastAsia" w:ascii="宋体" w:hAnsi="宋体" w:eastAsia="宋体" w:cs="宋体"/>
          <w:color w:val="auto"/>
          <w:sz w:val="22"/>
          <w:szCs w:val="22"/>
          <w:highlight w:val="none"/>
        </w:rPr>
        <w:t>，采购人可以根据磋商评审报告确定成交供应商之后排名第一的成交候选人</w:t>
      </w:r>
      <w:r>
        <w:rPr>
          <w:rFonts w:hint="eastAsia" w:ascii="宋体" w:hAnsi="宋体" w:eastAsia="宋体" w:cs="宋体"/>
          <w:color w:val="auto"/>
          <w:kern w:val="0"/>
          <w:sz w:val="22"/>
          <w:szCs w:val="22"/>
          <w:highlight w:val="none"/>
        </w:rPr>
        <w:t>作为</w:t>
      </w:r>
      <w:r>
        <w:rPr>
          <w:rFonts w:hint="eastAsia" w:ascii="宋体" w:hAnsi="宋体" w:eastAsia="宋体" w:cs="宋体"/>
          <w:color w:val="auto"/>
          <w:sz w:val="22"/>
          <w:szCs w:val="22"/>
          <w:highlight w:val="none"/>
        </w:rPr>
        <w:t>成交供应商</w:t>
      </w:r>
      <w:r>
        <w:rPr>
          <w:rFonts w:hint="eastAsia" w:ascii="宋体" w:hAnsi="宋体" w:eastAsia="宋体" w:cs="宋体"/>
          <w:color w:val="auto"/>
          <w:kern w:val="0"/>
          <w:sz w:val="22"/>
          <w:szCs w:val="22"/>
          <w:highlight w:val="none"/>
        </w:rPr>
        <w:t>并签订政府采购合同，也可以重新开展采购活动。拒绝签订政府采购合同的成交供应商不得参加对该项目重新开展的采购活动。</w:t>
      </w:r>
    </w:p>
    <w:p>
      <w:pPr>
        <w:spacing w:line="400" w:lineRule="exact"/>
        <w:rPr>
          <w:rFonts w:ascii="宋体" w:hAnsi="宋体" w:eastAsia="宋体" w:cs="宋体"/>
          <w:b/>
          <w:color w:val="auto"/>
          <w:sz w:val="22"/>
          <w:szCs w:val="22"/>
          <w:highlight w:val="none"/>
        </w:rPr>
      </w:pPr>
      <w:r>
        <w:rPr>
          <w:rFonts w:hint="eastAsia" w:ascii="宋体" w:hAnsi="宋体" w:eastAsia="宋体" w:cs="宋体"/>
          <w:color w:val="auto"/>
          <w:sz w:val="22"/>
          <w:szCs w:val="22"/>
          <w:highlight w:val="none"/>
        </w:rPr>
        <w:t>16.4</w:t>
      </w:r>
      <w:r>
        <w:rPr>
          <w:rFonts w:hint="eastAsia" w:ascii="宋体" w:hAnsi="宋体" w:eastAsia="宋体" w:cs="宋体"/>
          <w:color w:val="auto"/>
          <w:kern w:val="0"/>
          <w:sz w:val="22"/>
          <w:szCs w:val="22"/>
          <w:highlight w:val="none"/>
        </w:rPr>
        <w:t>成交供应商拒绝签订政府采购合同的</w:t>
      </w:r>
      <w:r>
        <w:rPr>
          <w:rFonts w:hint="eastAsia" w:ascii="宋体" w:hAnsi="宋体" w:eastAsia="宋体" w:cs="宋体"/>
          <w:b/>
          <w:color w:val="auto"/>
          <w:sz w:val="22"/>
          <w:szCs w:val="22"/>
          <w:highlight w:val="none"/>
        </w:rPr>
        <w:t>，其保证金将不予退还，并上缴国库，给采购人造成其损失的，还应当赔偿损失，并作为不良行为记录在案。同时，已缴纳的成交服务费不予退还。</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16.5政府采购合同公告</w:t>
      </w:r>
    </w:p>
    <w:p>
      <w:pPr>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实施条例》第五十条规定，采购人应当自政府采购合同签订之日起2个工作日内，将政府采购合同交到代理机构备案且在省级以上人民政府财政部门指定的媒体上公告，但政府采购合同中涉及国家秘密、商业秘密的内容除外。</w:t>
      </w:r>
    </w:p>
    <w:p>
      <w:pPr>
        <w:pStyle w:val="5"/>
        <w:rPr>
          <w:color w:val="auto"/>
          <w:highlight w:val="none"/>
        </w:rPr>
      </w:pPr>
    </w:p>
    <w:p>
      <w:pPr>
        <w:pStyle w:val="10"/>
        <w:spacing w:line="400" w:lineRule="exact"/>
        <w:rPr>
          <w:rFonts w:hAnsi="宋体" w:eastAsia="宋体" w:cs="宋体"/>
          <w:b/>
          <w:color w:val="auto"/>
          <w:sz w:val="22"/>
          <w:szCs w:val="22"/>
          <w:highlight w:val="none"/>
        </w:rPr>
      </w:pPr>
      <w:r>
        <w:rPr>
          <w:rFonts w:hint="eastAsia" w:hAnsi="宋体" w:eastAsia="宋体" w:cs="宋体"/>
          <w:b/>
          <w:color w:val="auto"/>
          <w:sz w:val="22"/>
          <w:szCs w:val="22"/>
          <w:highlight w:val="none"/>
        </w:rPr>
        <w:t>九、其他事项</w:t>
      </w:r>
    </w:p>
    <w:p>
      <w:pPr>
        <w:spacing w:line="400" w:lineRule="exact"/>
        <w:rPr>
          <w:rFonts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17.1采购代理服务费</w:t>
      </w:r>
    </w:p>
    <w:p>
      <w:pPr>
        <w:spacing w:line="400" w:lineRule="exact"/>
        <w:ind w:firstLine="405"/>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按发改价格（2014）1573号文、财库[2018]2号“财政部关于印发《政府采购代理机构管理暂行办法》的通知”规定执行，本项目的采购代理服务收费标准参照计价格[2002]1980号《采购代理服务收费管理暂行办法》服务类收费标准向成交（中标）供应商收取。领取成交通知书前，向北京诚佳信工程管理有限公司钦州分公司一次性付清采购代理服务费。</w:t>
      </w:r>
    </w:p>
    <w:p>
      <w:pPr>
        <w:spacing w:line="400" w:lineRule="exact"/>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采购代理服务收费标准</w:t>
      </w:r>
    </w:p>
    <w:tbl>
      <w:tblPr>
        <w:tblStyle w:val="18"/>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2719" w:type="dxa"/>
          </w:tcPr>
          <w:p>
            <w:pPr>
              <w:pStyle w:val="10"/>
              <w:spacing w:line="360" w:lineRule="exact"/>
              <w:ind w:left="25"/>
              <w:rPr>
                <w:rFonts w:hAnsi="宋体" w:eastAsia="宋体" w:cs="宋体"/>
                <w:color w:val="auto"/>
                <w:sz w:val="22"/>
                <w:szCs w:val="22"/>
                <w:highlight w:val="none"/>
              </w:rPr>
            </w:pPr>
            <w:r>
              <w:rPr>
                <w:rFonts w:hAnsi="宋体" w:eastAsia="宋体" w:cs="宋体"/>
                <w:color w:val="auto"/>
                <w:sz w:val="22"/>
                <w:szCs w:val="22"/>
                <w:highlight w:val="none"/>
              </w:rPr>
              <mc:AlternateContent>
                <mc:Choice Requires="wps">
                  <w:drawing>
                    <wp:anchor distT="0" distB="0" distL="114300" distR="114300" simplePos="0" relativeHeight="251664384"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2" name="直接连接符 1"/>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23.35pt;margin-top:0.85pt;height:49.7pt;width:106.5pt;z-index:251664384;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gPkV1AAAAAgBAAAPAAAAAAAAAAEA&#10;IAAAACIAAABkcnMvZG93bnJldi54bWxQSwECFAAUAAAACACHTuJAFCuE0NoBAACdAwAADgAAAAAA&#10;AAABACAAAAAjAQAAZHJzL2Uyb0RvYy54bWxQSwUGAAAAAAYABgBZAQAAbwUAAAAA&#10;">
                      <v:fill on="f" focussize="0,0"/>
                      <v:stroke color="#000000" joinstyle="round"/>
                      <v:imagedata o:title=""/>
                      <o:lock v:ext="edit" aspectratio="f"/>
                    </v:line>
                  </w:pict>
                </mc:Fallback>
              </mc:AlternateContent>
            </w:r>
            <w:r>
              <w:rPr>
                <w:rFonts w:hint="eastAsia" w:hAnsi="宋体" w:eastAsia="宋体" w:cs="宋体"/>
                <w:color w:val="auto"/>
                <w:sz w:val="22"/>
                <w:szCs w:val="22"/>
                <w:highlight w:val="none"/>
              </w:rPr>
              <w:t>费率          服务类型</w:t>
            </w:r>
          </w:p>
          <w:p>
            <w:pPr>
              <w:pStyle w:val="10"/>
              <w:spacing w:line="360" w:lineRule="exact"/>
              <w:ind w:left="25"/>
              <w:rPr>
                <w:rFonts w:hAnsi="宋体" w:eastAsia="宋体" w:cs="宋体"/>
                <w:color w:val="auto"/>
                <w:sz w:val="22"/>
                <w:szCs w:val="22"/>
                <w:highlight w:val="none"/>
              </w:rPr>
            </w:pPr>
            <w:r>
              <w:rPr>
                <w:rFonts w:hAnsi="宋体" w:eastAsia="宋体" w:cs="宋体"/>
                <w:color w:val="auto"/>
                <w:sz w:val="22"/>
                <w:szCs w:val="22"/>
                <w:highlight w:val="none"/>
              </w:rPr>
              <mc:AlternateContent>
                <mc:Choice Requires="wps">
                  <w:drawing>
                    <wp:anchor distT="0" distB="0" distL="114300" distR="114300" simplePos="0" relativeHeight="251665408"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7" name="直接连接符 7"/>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5pt;margin-top:3.55pt;height:31.2pt;width:135pt;z-index:251665408;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rrGJ3YAAAACAEAAA8A&#10;AAAAAAAAAQAgAAAAIgAAAGRycy9kb3ducmV2LnhtbFBLAQIUABQAAAAIAIdO4kCrgM5p3gEAAJ0D&#10;AAAOAAAAAAAAAAEAIAAAACcBAABkcnMvZTJvRG9jLnhtbFBLBQYAAAAABgAGAFkBAAB3BQAAAAA=&#10;">
                      <v:fill on="f" focussize="0,0"/>
                      <v:stroke color="#000000" joinstyle="round"/>
                      <v:imagedata o:title=""/>
                      <o:lock v:ext="edit" aspectratio="f"/>
                    </v:line>
                  </w:pict>
                </mc:Fallback>
              </mc:AlternateContent>
            </w:r>
          </w:p>
          <w:p>
            <w:pPr>
              <w:pStyle w:val="10"/>
              <w:spacing w:line="360" w:lineRule="exact"/>
              <w:ind w:left="25"/>
              <w:rPr>
                <w:rFonts w:hAnsi="宋体" w:eastAsia="宋体" w:cs="宋体"/>
                <w:color w:val="auto"/>
                <w:sz w:val="22"/>
                <w:szCs w:val="22"/>
                <w:highlight w:val="none"/>
              </w:rPr>
            </w:pPr>
            <w:r>
              <w:rPr>
                <w:rFonts w:hint="eastAsia" w:hAnsi="宋体" w:eastAsia="宋体" w:cs="宋体"/>
                <w:color w:val="auto"/>
                <w:sz w:val="22"/>
                <w:szCs w:val="22"/>
                <w:highlight w:val="none"/>
              </w:rPr>
              <w:t>中标金额（万元）</w:t>
            </w:r>
          </w:p>
        </w:tc>
        <w:tc>
          <w:tcPr>
            <w:tcW w:w="2002" w:type="dxa"/>
            <w:vAlign w:val="center"/>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货物招标</w:t>
            </w:r>
          </w:p>
        </w:tc>
        <w:tc>
          <w:tcPr>
            <w:tcW w:w="1992" w:type="dxa"/>
            <w:vAlign w:val="center"/>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服务招标</w:t>
            </w:r>
          </w:p>
        </w:tc>
        <w:tc>
          <w:tcPr>
            <w:tcW w:w="2293" w:type="dxa"/>
            <w:vAlign w:val="center"/>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2719" w:type="dxa"/>
          </w:tcPr>
          <w:p>
            <w:pPr>
              <w:pStyle w:val="10"/>
              <w:spacing w:line="360" w:lineRule="exact"/>
              <w:ind w:left="25"/>
              <w:rPr>
                <w:rFonts w:hAnsi="宋体" w:eastAsia="宋体" w:cs="宋体"/>
                <w:color w:val="auto"/>
                <w:sz w:val="22"/>
                <w:szCs w:val="22"/>
                <w:highlight w:val="none"/>
              </w:rPr>
            </w:pPr>
            <w:r>
              <w:rPr>
                <w:rFonts w:hint="eastAsia" w:hAnsi="宋体" w:eastAsia="宋体" w:cs="宋体"/>
                <w:color w:val="auto"/>
                <w:sz w:val="22"/>
                <w:szCs w:val="22"/>
                <w:highlight w:val="none"/>
              </w:rPr>
              <w:t>100以下</w:t>
            </w:r>
          </w:p>
        </w:tc>
        <w:tc>
          <w:tcPr>
            <w:tcW w:w="200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1.5%</w:t>
            </w:r>
          </w:p>
        </w:tc>
        <w:tc>
          <w:tcPr>
            <w:tcW w:w="199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1.5%</w:t>
            </w:r>
          </w:p>
        </w:tc>
        <w:tc>
          <w:tcPr>
            <w:tcW w:w="2293"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trPr>
        <w:tc>
          <w:tcPr>
            <w:tcW w:w="2719" w:type="dxa"/>
          </w:tcPr>
          <w:p>
            <w:pPr>
              <w:pStyle w:val="10"/>
              <w:spacing w:line="360" w:lineRule="exact"/>
              <w:ind w:left="25"/>
              <w:rPr>
                <w:rFonts w:hAnsi="宋体" w:eastAsia="宋体" w:cs="宋体"/>
                <w:color w:val="auto"/>
                <w:sz w:val="22"/>
                <w:szCs w:val="22"/>
                <w:highlight w:val="none"/>
              </w:rPr>
            </w:pPr>
            <w:r>
              <w:rPr>
                <w:rFonts w:hint="eastAsia" w:hAnsi="宋体" w:eastAsia="宋体" w:cs="宋体"/>
                <w:color w:val="auto"/>
                <w:sz w:val="22"/>
                <w:szCs w:val="22"/>
                <w:highlight w:val="none"/>
              </w:rPr>
              <w:t>100-500</w:t>
            </w:r>
          </w:p>
        </w:tc>
        <w:tc>
          <w:tcPr>
            <w:tcW w:w="200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1.1%</w:t>
            </w:r>
          </w:p>
        </w:tc>
        <w:tc>
          <w:tcPr>
            <w:tcW w:w="199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0.8%</w:t>
            </w:r>
          </w:p>
        </w:tc>
        <w:tc>
          <w:tcPr>
            <w:tcW w:w="2293"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719" w:type="dxa"/>
          </w:tcPr>
          <w:p>
            <w:pPr>
              <w:pStyle w:val="10"/>
              <w:spacing w:line="360" w:lineRule="exact"/>
              <w:ind w:left="25"/>
              <w:rPr>
                <w:rFonts w:hAnsi="宋体" w:eastAsia="宋体" w:cs="宋体"/>
                <w:color w:val="auto"/>
                <w:sz w:val="22"/>
                <w:szCs w:val="22"/>
                <w:highlight w:val="none"/>
              </w:rPr>
            </w:pPr>
            <w:r>
              <w:rPr>
                <w:rFonts w:hint="eastAsia" w:hAnsi="宋体" w:eastAsia="宋体" w:cs="宋体"/>
                <w:color w:val="auto"/>
                <w:sz w:val="22"/>
                <w:szCs w:val="22"/>
                <w:highlight w:val="none"/>
              </w:rPr>
              <w:t>500-1000</w:t>
            </w:r>
          </w:p>
        </w:tc>
        <w:tc>
          <w:tcPr>
            <w:tcW w:w="200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0.8%</w:t>
            </w:r>
          </w:p>
        </w:tc>
        <w:tc>
          <w:tcPr>
            <w:tcW w:w="199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0.45%</w:t>
            </w:r>
          </w:p>
        </w:tc>
        <w:tc>
          <w:tcPr>
            <w:tcW w:w="2293"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719" w:type="dxa"/>
          </w:tcPr>
          <w:p>
            <w:pPr>
              <w:pStyle w:val="10"/>
              <w:spacing w:line="360" w:lineRule="exact"/>
              <w:ind w:left="25"/>
              <w:rPr>
                <w:rFonts w:hAnsi="宋体" w:eastAsia="宋体" w:cs="宋体"/>
                <w:color w:val="auto"/>
                <w:sz w:val="22"/>
                <w:szCs w:val="22"/>
                <w:highlight w:val="none"/>
              </w:rPr>
            </w:pPr>
            <w:r>
              <w:rPr>
                <w:rFonts w:hint="eastAsia" w:hAnsi="宋体" w:eastAsia="宋体" w:cs="宋体"/>
                <w:color w:val="auto"/>
                <w:sz w:val="22"/>
                <w:szCs w:val="22"/>
                <w:highlight w:val="none"/>
              </w:rPr>
              <w:t>1000-5000</w:t>
            </w:r>
          </w:p>
        </w:tc>
        <w:tc>
          <w:tcPr>
            <w:tcW w:w="200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0.5%</w:t>
            </w:r>
          </w:p>
        </w:tc>
        <w:tc>
          <w:tcPr>
            <w:tcW w:w="199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0.25%</w:t>
            </w:r>
          </w:p>
        </w:tc>
        <w:tc>
          <w:tcPr>
            <w:tcW w:w="2293"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719" w:type="dxa"/>
          </w:tcPr>
          <w:p>
            <w:pPr>
              <w:pStyle w:val="10"/>
              <w:spacing w:line="360" w:lineRule="exact"/>
              <w:ind w:left="25"/>
              <w:rPr>
                <w:rFonts w:hAnsi="宋体" w:eastAsia="宋体" w:cs="宋体"/>
                <w:color w:val="auto"/>
                <w:sz w:val="22"/>
                <w:szCs w:val="22"/>
                <w:highlight w:val="none"/>
              </w:rPr>
            </w:pPr>
            <w:r>
              <w:rPr>
                <w:rFonts w:hint="eastAsia" w:hAnsi="宋体" w:eastAsia="宋体" w:cs="宋体"/>
                <w:color w:val="auto"/>
                <w:sz w:val="22"/>
                <w:szCs w:val="22"/>
                <w:highlight w:val="none"/>
              </w:rPr>
              <w:t>5000-10000</w:t>
            </w:r>
          </w:p>
        </w:tc>
        <w:tc>
          <w:tcPr>
            <w:tcW w:w="200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0.25%</w:t>
            </w:r>
          </w:p>
        </w:tc>
        <w:tc>
          <w:tcPr>
            <w:tcW w:w="199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0.1%</w:t>
            </w:r>
          </w:p>
        </w:tc>
        <w:tc>
          <w:tcPr>
            <w:tcW w:w="2293"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2719" w:type="dxa"/>
          </w:tcPr>
          <w:p>
            <w:pPr>
              <w:pStyle w:val="10"/>
              <w:spacing w:line="360" w:lineRule="exact"/>
              <w:ind w:left="25"/>
              <w:rPr>
                <w:rFonts w:hAnsi="宋体" w:eastAsia="宋体" w:cs="宋体"/>
                <w:color w:val="auto"/>
                <w:sz w:val="22"/>
                <w:szCs w:val="22"/>
                <w:highlight w:val="none"/>
              </w:rPr>
            </w:pPr>
            <w:r>
              <w:rPr>
                <w:rFonts w:hint="eastAsia" w:hAnsi="宋体" w:eastAsia="宋体" w:cs="宋体"/>
                <w:color w:val="auto"/>
                <w:sz w:val="22"/>
                <w:szCs w:val="22"/>
                <w:highlight w:val="none"/>
              </w:rPr>
              <w:t>10000-100000</w:t>
            </w:r>
          </w:p>
        </w:tc>
        <w:tc>
          <w:tcPr>
            <w:tcW w:w="200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0.05%</w:t>
            </w:r>
          </w:p>
        </w:tc>
        <w:tc>
          <w:tcPr>
            <w:tcW w:w="199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0.05%</w:t>
            </w:r>
          </w:p>
        </w:tc>
        <w:tc>
          <w:tcPr>
            <w:tcW w:w="2293"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2719" w:type="dxa"/>
          </w:tcPr>
          <w:p>
            <w:pPr>
              <w:pStyle w:val="10"/>
              <w:spacing w:line="360" w:lineRule="exact"/>
              <w:ind w:left="25"/>
              <w:rPr>
                <w:rFonts w:hAnsi="宋体" w:eastAsia="宋体" w:cs="宋体"/>
                <w:color w:val="auto"/>
                <w:sz w:val="22"/>
                <w:szCs w:val="22"/>
                <w:highlight w:val="none"/>
              </w:rPr>
            </w:pPr>
            <w:r>
              <w:rPr>
                <w:rFonts w:hint="eastAsia" w:hAnsi="宋体" w:eastAsia="宋体" w:cs="宋体"/>
                <w:color w:val="auto"/>
                <w:sz w:val="22"/>
                <w:szCs w:val="22"/>
                <w:highlight w:val="none"/>
              </w:rPr>
              <w:t>100000以上</w:t>
            </w:r>
          </w:p>
        </w:tc>
        <w:tc>
          <w:tcPr>
            <w:tcW w:w="200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0.01%</w:t>
            </w:r>
          </w:p>
        </w:tc>
        <w:tc>
          <w:tcPr>
            <w:tcW w:w="1992"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0.01%</w:t>
            </w:r>
          </w:p>
        </w:tc>
        <w:tc>
          <w:tcPr>
            <w:tcW w:w="2293" w:type="dxa"/>
          </w:tcPr>
          <w:p>
            <w:pPr>
              <w:pStyle w:val="10"/>
              <w:spacing w:line="360" w:lineRule="exact"/>
              <w:ind w:left="25"/>
              <w:jc w:val="center"/>
              <w:rPr>
                <w:rFonts w:hAnsi="宋体" w:eastAsia="宋体" w:cs="宋体"/>
                <w:color w:val="auto"/>
                <w:sz w:val="22"/>
                <w:szCs w:val="22"/>
                <w:highlight w:val="none"/>
              </w:rPr>
            </w:pPr>
            <w:r>
              <w:rPr>
                <w:rFonts w:hint="eastAsia" w:hAnsi="宋体" w:eastAsia="宋体" w:cs="宋体"/>
                <w:color w:val="auto"/>
                <w:sz w:val="22"/>
                <w:szCs w:val="22"/>
                <w:highlight w:val="none"/>
              </w:rPr>
              <w:t>0.01%</w:t>
            </w:r>
          </w:p>
        </w:tc>
      </w:tr>
    </w:tbl>
    <w:p>
      <w:pPr>
        <w:pStyle w:val="10"/>
        <w:spacing w:line="400" w:lineRule="exact"/>
        <w:ind w:left="25"/>
        <w:rPr>
          <w:rFonts w:hAnsi="宋体" w:eastAsia="宋体" w:cs="宋体"/>
          <w:color w:val="auto"/>
          <w:sz w:val="22"/>
          <w:szCs w:val="22"/>
          <w:highlight w:val="none"/>
        </w:rPr>
      </w:pPr>
      <w:r>
        <w:rPr>
          <w:rFonts w:hint="eastAsia" w:hAnsi="宋体" w:eastAsia="宋体" w:cs="宋体"/>
          <w:color w:val="auto"/>
          <w:sz w:val="22"/>
          <w:szCs w:val="22"/>
          <w:highlight w:val="none"/>
        </w:rPr>
        <w:t>注：采购代理服务收费按差额定率累进法计算。</w:t>
      </w:r>
    </w:p>
    <w:p>
      <w:pPr>
        <w:spacing w:line="400" w:lineRule="exact"/>
        <w:ind w:firstLine="440" w:firstLineChars="200"/>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17.2 解释权</w:t>
      </w:r>
    </w:p>
    <w:p>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最终磋商结束后，磋商小组不得再与供应商进行任何形式的商谈。</w:t>
      </w:r>
    </w:p>
    <w:p>
      <w:pPr>
        <w:pStyle w:val="10"/>
        <w:spacing w:line="400" w:lineRule="exact"/>
        <w:rPr>
          <w:rFonts w:hAnsi="宋体" w:eastAsia="宋体" w:cs="宋体"/>
          <w:b/>
          <w:color w:val="auto"/>
          <w:sz w:val="32"/>
          <w:szCs w:val="32"/>
          <w:highlight w:val="none"/>
        </w:rPr>
      </w:pPr>
      <w:r>
        <w:rPr>
          <w:rFonts w:hint="eastAsia" w:hAnsi="宋体" w:eastAsia="宋体" w:cs="宋体"/>
          <w:b/>
          <w:bCs/>
          <w:color w:val="auto"/>
          <w:sz w:val="22"/>
          <w:szCs w:val="22"/>
          <w:highlight w:val="none"/>
        </w:rPr>
        <w:br w:type="page"/>
      </w:r>
      <w:bookmarkStart w:id="5" w:name="_Toc419886373"/>
      <w:bookmarkStart w:id="6" w:name="_Toc3015"/>
    </w:p>
    <w:p>
      <w:pPr>
        <w:numPr>
          <w:ilvl w:val="0"/>
          <w:numId w:val="1"/>
        </w:numPr>
        <w:spacing w:line="400" w:lineRule="exact"/>
        <w:jc w:val="center"/>
        <w:outlineLvl w:val="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bookmarkEnd w:id="5"/>
      <w:bookmarkEnd w:id="6"/>
      <w:r>
        <w:rPr>
          <w:rFonts w:hint="eastAsia" w:ascii="宋体" w:hAnsi="宋体" w:eastAsia="宋体" w:cs="宋体"/>
          <w:b/>
          <w:color w:val="auto"/>
          <w:sz w:val="32"/>
          <w:szCs w:val="32"/>
          <w:highlight w:val="none"/>
        </w:rPr>
        <w:t>项目需求一览表</w:t>
      </w:r>
    </w:p>
    <w:p>
      <w:pPr>
        <w:spacing w:line="380" w:lineRule="exact"/>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说  明：</w:t>
      </w:r>
    </w:p>
    <w:p>
      <w:pPr>
        <w:spacing w:line="380" w:lineRule="exact"/>
        <w:ind w:firstLine="440" w:firstLineChars="200"/>
        <w:rPr>
          <w:rFonts w:ascii="宋体" w:hAnsi="宋体" w:eastAsia="宋体" w:cs="宋体"/>
          <w:color w:val="auto"/>
          <w:sz w:val="22"/>
          <w:szCs w:val="22"/>
          <w:highlight w:val="none"/>
        </w:rPr>
      </w:pPr>
      <w:bookmarkStart w:id="7" w:name="_Toc168825183"/>
      <w:bookmarkStart w:id="8" w:name="_Toc171129619"/>
      <w:r>
        <w:rPr>
          <w:rFonts w:hint="eastAsia" w:ascii="宋体" w:hAnsi="宋体" w:eastAsia="宋体" w:cs="宋体"/>
          <w:color w:val="auto"/>
          <w:sz w:val="22"/>
          <w:szCs w:val="22"/>
          <w:highlight w:val="none"/>
        </w:rPr>
        <w:t>一、本一览表中的品牌型号、技术参数及其性能（配置）仅起参考作用，供应商可选用其他品牌型号替代，但这些替代的品牌型号要实质上相当于或优于参考品牌型号及其技术参数性能（配置）要求</w:t>
      </w:r>
      <w:bookmarkEnd w:id="7"/>
      <w:bookmarkEnd w:id="8"/>
      <w:r>
        <w:rPr>
          <w:rFonts w:hint="eastAsia" w:ascii="宋体" w:hAnsi="宋体" w:eastAsia="宋体" w:cs="宋体"/>
          <w:color w:val="auto"/>
          <w:sz w:val="22"/>
          <w:szCs w:val="22"/>
          <w:highlight w:val="none"/>
        </w:rPr>
        <w:t>。</w:t>
      </w:r>
    </w:p>
    <w:p>
      <w:pPr>
        <w:spacing w:line="400" w:lineRule="exact"/>
        <w:ind w:firstLine="440" w:firstLineChars="200"/>
        <w:rPr>
          <w:rFonts w:ascii="宋体" w:hAnsi="宋体" w:eastAsia="宋体" w:cs="宋体"/>
          <w:color w:val="auto"/>
          <w:sz w:val="22"/>
          <w:szCs w:val="22"/>
          <w:highlight w:val="none"/>
        </w:rPr>
      </w:pPr>
      <w:bookmarkStart w:id="9" w:name="_Toc168825184"/>
      <w:bookmarkStart w:id="10" w:name="_Toc171129620"/>
      <w:r>
        <w:rPr>
          <w:rFonts w:hint="eastAsia" w:ascii="宋体" w:hAnsi="宋体" w:eastAsia="宋体" w:cs="宋体"/>
          <w:color w:val="auto"/>
          <w:sz w:val="22"/>
          <w:szCs w:val="22"/>
          <w:highlight w:val="none"/>
        </w:rPr>
        <w:t>二、本一览表中参考品牌型号及技术参数性能（配置）不明确或有误的，或供应商选用其他品牌型号替代的，请以详细、正确的品牌型号、技术参数性能（配置）同时填写报价表和技术规格偏离表。</w:t>
      </w:r>
      <w:bookmarkEnd w:id="9"/>
      <w:bookmarkEnd w:id="10"/>
    </w:p>
    <w:p>
      <w:pPr>
        <w:spacing w:line="400" w:lineRule="exact"/>
        <w:ind w:firstLine="440" w:firstLineChars="200"/>
        <w:rPr>
          <w:rFonts w:ascii="宋体" w:hAnsi="宋体" w:eastAsia="宋体" w:cs="宋体"/>
          <w:color w:val="auto"/>
          <w:sz w:val="22"/>
          <w:szCs w:val="22"/>
          <w:highlight w:val="none"/>
        </w:rPr>
      </w:pPr>
      <w:bookmarkStart w:id="11" w:name="_Toc171129621"/>
      <w:bookmarkStart w:id="12" w:name="_Toc168825185"/>
      <w:r>
        <w:rPr>
          <w:rFonts w:hint="eastAsia" w:ascii="宋体" w:hAnsi="宋体" w:eastAsia="宋体" w:cs="宋体"/>
          <w:color w:val="auto"/>
          <w:sz w:val="22"/>
          <w:szCs w:val="22"/>
          <w:highlight w:val="none"/>
        </w:rPr>
        <w:t>三、凡在“技术参数及性能（配置）要求”中表述为“标配”或“标准配置”的设备，供应商应在报价表中将其标配参数详细列明，否则该磋商无效。</w:t>
      </w:r>
      <w:bookmarkEnd w:id="11"/>
      <w:bookmarkEnd w:id="12"/>
    </w:p>
    <w:p>
      <w:pPr>
        <w:widowControl/>
        <w:spacing w:line="360" w:lineRule="auto"/>
        <w:ind w:firstLine="440" w:firstLineChars="200"/>
        <w:jc w:val="left"/>
        <w:rPr>
          <w:rFonts w:ascii="宋体" w:hAnsi="宋体" w:eastAsia="宋体"/>
          <w:color w:val="auto"/>
          <w:sz w:val="22"/>
          <w:szCs w:val="22"/>
          <w:highlight w:val="none"/>
        </w:rPr>
      </w:pPr>
      <w:r>
        <w:rPr>
          <w:rFonts w:hint="eastAsia" w:ascii="宋体" w:hAnsi="宋体" w:eastAsia="宋体" w:cs="宋体"/>
          <w:color w:val="auto"/>
          <w:sz w:val="22"/>
          <w:szCs w:val="22"/>
          <w:highlight w:val="none"/>
        </w:rPr>
        <w:t>四、提供相同品牌产品且通过资格审查、符合性审查的不同供应商参加同一合同项下投标的，按一家供应商计算，评审后得分最高的同品牌投标人获得成交人推荐资格；评审得分相同的，由采购人或者采购人委托评委按照采购文件规定的方式确定一个供应商获得成交人推荐资格，采购文件未规定的采取随机抽取方式确定，其他同品牌供应商不作为成交候选人。</w:t>
      </w:r>
      <w:r>
        <w:rPr>
          <w:rFonts w:hint="eastAsia" w:ascii="宋体" w:hAnsi="宋体" w:eastAsia="宋体" w:cs="宋体"/>
          <w:b/>
          <w:bCs/>
          <w:color w:val="auto"/>
          <w:sz w:val="22"/>
          <w:szCs w:val="22"/>
          <w:highlight w:val="none"/>
        </w:rPr>
        <w:t>本项目核心产品为：</w:t>
      </w:r>
      <w:r>
        <w:rPr>
          <w:rFonts w:hint="eastAsia" w:ascii="宋体" w:hAnsi="宋体" w:eastAsia="宋体"/>
          <w:b/>
          <w:color w:val="auto"/>
          <w:sz w:val="22"/>
          <w:szCs w:val="22"/>
          <w:highlight w:val="none"/>
        </w:rPr>
        <w:t>监控摄像设备。</w:t>
      </w:r>
      <w:r>
        <w:rPr>
          <w:rFonts w:ascii="宋体" w:hAnsi="宋体" w:eastAsia="宋体"/>
          <w:color w:val="auto"/>
          <w:sz w:val="22"/>
          <w:szCs w:val="22"/>
          <w:highlight w:val="none"/>
        </w:rPr>
        <w:t xml:space="preserve"> </w:t>
      </w:r>
    </w:p>
    <w:p>
      <w:pPr>
        <w:widowControl/>
        <w:spacing w:line="360" w:lineRule="auto"/>
        <w:ind w:firstLine="440" w:firstLineChars="20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五、</w:t>
      </w:r>
      <w:r>
        <w:rPr>
          <w:rFonts w:ascii="宋体" w:hAnsi="宋体" w:eastAsia="宋体" w:cs="宋体"/>
          <w:color w:val="auto"/>
          <w:sz w:val="22"/>
          <w:szCs w:val="22"/>
          <w:highlight w:val="none"/>
        </w:rPr>
        <w:t>本</w:t>
      </w:r>
      <w:r>
        <w:rPr>
          <w:rFonts w:hint="eastAsia" w:ascii="宋体" w:hAnsi="宋体" w:eastAsia="宋体" w:cs="宋体"/>
          <w:color w:val="auto"/>
          <w:sz w:val="22"/>
          <w:szCs w:val="22"/>
          <w:highlight w:val="none"/>
          <w:lang w:eastAsia="zh-CN"/>
        </w:rPr>
        <w:t>项目需求一览表</w:t>
      </w:r>
      <w:r>
        <w:rPr>
          <w:rFonts w:ascii="宋体" w:hAnsi="宋体" w:eastAsia="宋体" w:cs="宋体"/>
          <w:color w:val="auto"/>
          <w:sz w:val="22"/>
          <w:szCs w:val="22"/>
          <w:highlight w:val="none"/>
        </w:rPr>
        <w:t>中标注“★”的技术参数为重要技术指标、功能项，将作为设备性能的评分依据。</w:t>
      </w:r>
    </w:p>
    <w:tbl>
      <w:tblPr>
        <w:tblStyle w:val="18"/>
        <w:tblW w:w="9427" w:type="dxa"/>
        <w:tblInd w:w="0" w:type="dxa"/>
        <w:tblLayout w:type="fixed"/>
        <w:tblCellMar>
          <w:top w:w="0" w:type="dxa"/>
          <w:left w:w="0" w:type="dxa"/>
          <w:bottom w:w="0" w:type="dxa"/>
          <w:right w:w="0" w:type="dxa"/>
        </w:tblCellMar>
      </w:tblPr>
      <w:tblGrid>
        <w:gridCol w:w="769"/>
        <w:gridCol w:w="762"/>
        <w:gridCol w:w="752"/>
        <w:gridCol w:w="5261"/>
        <w:gridCol w:w="550"/>
        <w:gridCol w:w="710"/>
        <w:gridCol w:w="623"/>
      </w:tblGrid>
      <w:tr>
        <w:tblPrEx>
          <w:tblLayout w:type="fixed"/>
          <w:tblCellMar>
            <w:top w:w="0" w:type="dxa"/>
            <w:left w:w="0" w:type="dxa"/>
            <w:bottom w:w="0" w:type="dxa"/>
            <w:right w:w="0"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序号</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货物名称</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参数配置</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单位</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数量</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tblPrEx>
          <w:tblLayout w:type="fixed"/>
          <w:tblCellMar>
            <w:top w:w="0" w:type="dxa"/>
            <w:left w:w="0" w:type="dxa"/>
            <w:bottom w:w="0" w:type="dxa"/>
            <w:right w:w="0" w:type="dxa"/>
          </w:tblCellMar>
        </w:tblPrEx>
        <w:trPr>
          <w:trHeight w:val="270" w:hRule="atLeast"/>
        </w:trPr>
        <w:tc>
          <w:tcPr>
            <w:tcW w:w="942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一、专用囚车</w:t>
            </w:r>
          </w:p>
        </w:tc>
      </w:tr>
      <w:tr>
        <w:tblPrEx>
          <w:tblLayout w:type="fixed"/>
          <w:tblCellMar>
            <w:top w:w="0" w:type="dxa"/>
            <w:left w:w="0" w:type="dxa"/>
            <w:bottom w:w="0" w:type="dxa"/>
            <w:right w:w="0" w:type="dxa"/>
          </w:tblCellMar>
        </w:tblPrEx>
        <w:trPr>
          <w:trHeight w:val="150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音视频监控主机</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【车载NVR】【8路PON  IPC】【标配1T机械硬盘】视频输入：8路PON(6芯航空头) IPC接入，可支持1080P及以上录像分辨率；硬盘存储：支持2块2.5寸硬盘；SD卡存储：1个，标准SD卡插槽；（标配不带SD卡）；通信模块：全网通（支持移动、联通、电信）；定位模块：支持GPS/GLONASS/北斗三模定位；WiFi模块：不支持；电源输入：DC+8V～+36V ；承诺与广西高院囚车监控平台无缝对接</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18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车载视频显示屏</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【7寸车载显示屏】【1路】【TVI、AHD、CVBS】【自带30cm转接线】【延长线需另配】配合车载主机输出显示；使用含显示屏(带30cm转接线)、立式支架 ；产品类型：车载7寸液晶显示屏(带遮阳板)(非触摸屏)；分辨率：800*480；背光模式：LED背光；视频输入：1路，航空头，支持TVI、AHD以及标清CVBS；供电方式：车载主机供电，DC12V；安装方式：支架式安装（后装）；产品尺寸：181(宽)*128(高)*58(厚)(不含支架尺寸)；默认带有30cm的转接线，不带延长线</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48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车前视频监控（行车记录仪）</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1080驾驶台车载IP网络摄像机  1920*1080P 2.1mm</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46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车内视频监控</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车厢内半球形车载摄像机  1920*1080P   半球  车内2.1mm 超宽视角 无音频</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6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车后视频监控</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倒车专用防水形车载摄像机  1920*1080P  到硬盘 半球  车外2.1mm 防水IP68 防水</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拾音器</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用于车内音频监控</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40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半双工对讲手柄</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用于远程对讲，放在驾驶台线</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4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高速闪存卡</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内存512G，存储本地音视频</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张</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6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流量卡</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每月高速流量不少于150G。用于音视频数字信息传输（每个摄像头需要流量0.2G/小时，变码率，满足150小时的传输）。两辆车购买9-12月份流量卡，单辆车4个月</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月</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40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辅材</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航空头连接线，航空头转接线，胶贴，其它</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批</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120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改造专用囚车</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2"/>
              </w:numPr>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驾驶舱与押解舱之间加装单向启闭装置（在驾驶舱的一侧）的应急门2扇；</w:t>
            </w:r>
          </w:p>
          <w:p>
            <w:pPr>
              <w:widowControl/>
              <w:numPr>
                <w:ilvl w:val="0"/>
                <w:numId w:val="2"/>
              </w:numPr>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押解舱座椅加装两点式安全带6条；</w:t>
            </w:r>
          </w:p>
          <w:p>
            <w:pPr>
              <w:widowControl/>
              <w:numPr>
                <w:ilvl w:val="0"/>
                <w:numId w:val="2"/>
              </w:numPr>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手铐固定装置10个；</w:t>
            </w:r>
          </w:p>
          <w:p>
            <w:pPr>
              <w:widowControl/>
              <w:numPr>
                <w:ilvl w:val="0"/>
                <w:numId w:val="2"/>
              </w:numPr>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后栏式隔离门2扇；</w:t>
            </w:r>
          </w:p>
          <w:p>
            <w:pPr>
              <w:widowControl/>
              <w:numPr>
                <w:ilvl w:val="0"/>
                <w:numId w:val="2"/>
              </w:numPr>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车体加装前后保险杠2辆车；</w:t>
            </w:r>
          </w:p>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6、改造驾驶舱后排座椅（改成前后可坐）</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942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二、专用车库</w:t>
            </w:r>
          </w:p>
        </w:tc>
      </w:tr>
      <w:tr>
        <w:tblPrEx>
          <w:tblLayout w:type="fixed"/>
          <w:tblCellMar>
            <w:top w:w="0" w:type="dxa"/>
            <w:left w:w="0" w:type="dxa"/>
            <w:bottom w:w="0" w:type="dxa"/>
            <w:right w:w="0" w:type="dxa"/>
          </w:tblCellMar>
        </w:tblPrEx>
        <w:trPr>
          <w:trHeight w:val="968"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人脸识别门禁</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1、采用≥7英寸LCD触摸显示屏，屏幕流明度≥350cd/㎡，分辨率≥1024*600。</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2、支持视频对讲功能，支持与平台或客户端中心、室内机、管理机、手机APP进行对讲。</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3、采用≥200万像素双目摄像头，适应强光、逆光、弱光等条件下的人脸识别，支持双码流，主码流≥1280*720@25fps，子码流≥1280*720@25fps。</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4、设备刷卡时，设备有蜂鸣器提示，支持比对结果语音提示，支持语音音量调节，支持指纹容量≥5000枚。</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设备本地支持≥50000个用户，本地人脸库存储容量≥5000张，本地卡存储容量≥5000张，本地记录（刷脸刷卡）存储容量≥5000条，支持≥5000个密码，支持红外及白光灯补光，支持在≤0.001lux低照度无补光环境下正常实现人脸识别。</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6、设备支持IC卡及身份证卡号读取，CPU卡内容读取及开启/关闭NFC刷卡功能。</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7、★人脸识别距离：0.2m～3m，人脸比对误识率和准确率：误识率≤0.01%的条件下，准确率≥99%，人脸比对平均时间≤300ms。</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8、设备支持人脸注册功能，支持设备本地人脸注册，支持远程中心下发人脸，支持通过APP采集人脸并注册下发，支持本地U盘导入人员信息。</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9、支持防假体攻击功能，对视频、电子照片、打印照片中的人脸应不能进行人脸识别。</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10、★根据设定事件的联动关系，当检测到该事件发生时，可触发对应的动作，支持Web配置功能，支持通过Web进行设备信息查询、用户信息管理、设备时间管理、系统维护、安全操作管理、图像参数配置等。</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11、支持节能功能，支持在没有用户使用时自动切换到屏保或息屏待机状态，支持物体靠近自动唤醒待机设备，支持不开启白光补光灯实现人脸识别。</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12、★支持局域网、互联网环境的网络通信，支持云平台通信，实现视频、对讲及权限管控功能，支持被≥4个客户端软件同时实时监听，在线状态下实时上传比对记录。</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13、支持在没有用户使用时自动切换到屏保或息屏待机状态，支持物体靠近自动唤醒待机设备。</w:t>
            </w:r>
          </w:p>
          <w:p>
            <w:pPr>
              <w:widowControl/>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14、支持人脸识别功能，现场抓拍人脸照片与本地人脸库照片进行比对，进行人员身份核验。</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15、支持本地黑名单信息比对，支持本地黑名单报警功能，报警信息可上传平台。</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9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门禁系统</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1、支持RS485通讯传输方式。</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2、设备内置Mifare卡读卡模块，读卡频率约13.56MHz，支持读取Mifare卡号、Mifare卡内容、CPU卡号，设备读卡距离：3～8厘米。</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3、支持指纹、刷卡、指纹+刷卡三种验证方式，支持防拆报警。</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4、内置光学式CMOS指纹识别模块，可存储≥5000枚指纹信息，指纹比对时间1:1≤1.5秒，1:1000≤1.5秒，指纹辨识拒认率≤0.05%，指纹识别误认率≤0.005%。</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5、设备具有防水设计，防水等级≥IP65。</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6、支持DC12V供电。</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7、设备在温度：-20℃～+65℃、湿度：10%～85%环境下能正常工作。</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电动卷闸门（A门）</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电动卷帘门7米X2.5米，不锈钢材质，电动遥控控制</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扇</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81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羁押室（B门）及部分防护网</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B门尺寸4.2米X2.5米，防护网尺寸3.4X1.6，不锈钢材质</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扇</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车库软包</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材质：PU+海绵+木板，厚度：10cm;3面墙长27米*软包高度2.6米</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平方</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942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三、羁押通道</w:t>
            </w:r>
          </w:p>
        </w:tc>
      </w:tr>
      <w:tr>
        <w:tblPrEx>
          <w:tblLayout w:type="fixed"/>
          <w:tblCellMar>
            <w:top w:w="0" w:type="dxa"/>
            <w:left w:w="0" w:type="dxa"/>
            <w:bottom w:w="0" w:type="dxa"/>
            <w:right w:w="0"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羁押通道软包</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材质：PU+海绵+木板，厚度：10cm;负一楼至一楼通道长80米*高2米</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平方</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160</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605"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羁押通道防护栏</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铝合金材质；楼梯防护栏尺寸16X2.5；铁门3，尺寸3X1.8 、尺寸3X2 尺寸4.5X1.6</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平方</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门禁系统</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记录容量：80000条，电源规格：12V1.5A，识别方式：指纹、密码、电锁控制：3A12VDC继电器输出</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942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四、专业电梯</w:t>
            </w:r>
          </w:p>
        </w:tc>
      </w:tr>
      <w:tr>
        <w:tblPrEx>
          <w:tblLayout w:type="fixed"/>
          <w:tblCellMar>
            <w:top w:w="0" w:type="dxa"/>
            <w:left w:w="0" w:type="dxa"/>
            <w:bottom w:w="0" w:type="dxa"/>
            <w:right w:w="0"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电梯软包</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材质：PU+海绵+木板，厚度：10cm；电梯3面长6米*2.2米</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平方</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942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五、专用桌椅</w:t>
            </w:r>
          </w:p>
        </w:tc>
      </w:tr>
      <w:tr>
        <w:tblPrEx>
          <w:tblLayout w:type="fixed"/>
          <w:tblCellMar>
            <w:top w:w="0" w:type="dxa"/>
            <w:left w:w="0" w:type="dxa"/>
            <w:bottom w:w="0" w:type="dxa"/>
            <w:right w:w="0"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囚椅</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1、材质：木质带软包</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2、座椅的底板应当设置为活动式，便于被告人在座椅内站立</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张</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囚桌</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1、尺寸：长度1200MMｘ宽度547MMｘ高度900MM</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张</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942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六、专用卫生间</w:t>
            </w:r>
          </w:p>
        </w:tc>
      </w:tr>
      <w:tr>
        <w:tblPrEx>
          <w:tblLayout w:type="fixed"/>
          <w:tblCellMar>
            <w:top w:w="0" w:type="dxa"/>
            <w:left w:w="0" w:type="dxa"/>
            <w:bottom w:w="0" w:type="dxa"/>
            <w:right w:w="0"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卫生间软包</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材质：PU+海绵+木板，厚度：10cm；3面墙包含门，长7.2米*2米</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平方</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14.4</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电子感应冲便器</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电子感应冲便器</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电子感应手龙头</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全自动电子感应水龙头、铜主体材质</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942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七、羁押室</w:t>
            </w:r>
          </w:p>
        </w:tc>
      </w:tr>
      <w:tr>
        <w:tblPrEx>
          <w:tblLayout w:type="fixed"/>
          <w:tblCellMar>
            <w:top w:w="0" w:type="dxa"/>
            <w:left w:w="0" w:type="dxa"/>
            <w:bottom w:w="0" w:type="dxa"/>
            <w:right w:w="0"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羁押室软包</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材质：PU+海绵+木板，厚度：10cm；9扇门软包及部分通道，单扇门1.2米*2.2米；通道部分4.5X1.2</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平方</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羁押囚室门</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外拉式铁门单个尺寸1.2X2.2</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扇</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108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门禁系统</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1、支持RS485通讯传输方式。</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2、设备内置Mifare卡读卡模块，读卡频率约13.56MHz，支持读取Mifare卡号、Mifare卡内容、CPU卡号，设备读卡距离：3～8厘米。</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3、支持指纹、刷卡、指纹+刷卡三种验证方式，支持防拆报警。</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4、内置光学式CMOS指纹识别模块，可存储≥5000枚指纹信息，指纹比对时间1:1≤1.5秒，1:1000≤1.5秒，指纹辨识拒认率≤0.05%，指纹识别误认率≤0.005%。</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5、设备具有防水设计，防水等级≥IP65。</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6、支持DC12V供电。</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7、设备在温度：-20℃～+65℃、湿度10%～85%环境下能正常工作。</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9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羁押室对讲系统（分机）</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1、采用嵌入式Linux操作系统,高性能嵌入式SOC处理器，系统运行稳定可靠。</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2、支持网口链路传输，支持将防拆报警、防区报警等报警信息通过网线传送到管理中心，并形成日志文件。</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3、支持呼叫转移功能，设备呼叫中心管理机时，可通过呼叫转移功能将呼叫信息转移到其他中心管理机上。</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4、支持对讲功能，按下紧急求助按键后呼叫中心管理机，呼叫过程中能听到相应提示音，支持实时全双工双向语音对讲功能。</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5、支持同时进行多方实时对讲通话，多台前端设备与多台中心管理机实时多方通话。</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6、支持将音频同步存储到设备SD卡中，当在双向对讲通话时存储。</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7、支持中心管理机控制前端设备警灯打开和关闭功能。</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8、支持语音播报、分组广播功能，支持系统校时功能。</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189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羁押室对讲系统（主机）</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1、具有约10.1寸高清触摸屏，集成≥200万高清摄像头，摄像头支持角度调节。</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2、设备支持通过HDMI和VGA接口扩展显示关联视频通道。</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3、支持H.264/H.265解码显示。</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4、支持≥256G SD卡，支持存储双向对讲通话时录像的双向混音音视频复合流。</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5、支持管理机本地SD卡存储的音视频文件回放。</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6、管理机可对前端设备进行实时语音广播，支持可分区域和分组广播。</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7、中心管理机可监听前端设备声音，中心管理机在监听同时可查看前端设备的视频图像。</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8、前端设备与管理机对讲通话时，前端设备视频和通话时双向混音音频可被管理机存储录像。</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9、支持双界面显示多路视频，支持多路视频弹窗复核功能。</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10、支持通话变声功能开启和关闭，保护人员隐私。</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9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监控摄像设备</w:t>
            </w:r>
          </w:p>
        </w:tc>
        <w:tc>
          <w:tcPr>
            <w:tcW w:w="52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1、分辨率≥2560×1440，采用高灵敏度传感器，满足星光级监控需求。</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2、★具有≥2颗白光灯，白光灯关闭情况下，最低照度彩色≤0.0005 lx，在彩色模式下，当照度降低至一定值时，设备可自动开启白光补光。</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3、宽动态≥102dB，支持三码流技术，主码流≥2560×1440@30fps。</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4、支持H.264、H.265视频编码格式，均满足High Profile编码能力。</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5、具有≥20路取流路数能力，可连续实时不间断采集视频流满足实时视频预览要求。</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6、★可在视频图像上遮盖设定的区域，区域的大小可设，具有≥4个视频遮挡区域，能看清距设备≥15米处的人体轮廓，回放录像时可设置播放时间，并可实现抓图、剪辑、电子放大、下载录像功能。</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7、支持通过客户端软件可以发起语音对讲，对讲声音无回声，具备≥1路音频输入/输出、≥1路报警输入/输出。</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8、★分辨力不小于1400线，在静止场景下，相同图像参数时，设备在H.264或H.265编码方式时，开启智能编码功能和不开启智能编码相比，码率节约≥80%。</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9、具备区域入侵检测、越界检测、进入区域、离开区域、停车、徘徊、人员聚集等功能。</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10、具有电子快门、ROI感兴趣区域、自动增益、强光抑制、防红外过曝等功能。</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11、温度范围-30℃～60℃，支持DC12V供电，且在不大于DC12V±25%范围内变化时可以正常工作。</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81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落地空调</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风管机、制冷量 12000W、制冷功率 4600W、制热量 14000W、制热功率 4300W、电辅加热功率 3400W、循环风量 2000m3/h、室内机噪音 36-32dB、室外机噪音 61dB</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942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八、监控室</w:t>
            </w:r>
          </w:p>
        </w:tc>
      </w:tr>
      <w:tr>
        <w:tblPrEx>
          <w:tblLayout w:type="fixed"/>
          <w:tblCellMar>
            <w:top w:w="0" w:type="dxa"/>
            <w:left w:w="0" w:type="dxa"/>
            <w:bottom w:w="0" w:type="dxa"/>
            <w:right w:w="0" w:type="dxa"/>
          </w:tblCellMar>
        </w:tblPrEx>
        <w:trPr>
          <w:trHeight w:val="1352"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LCD拼接屏</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1、约46寸超窄边液晶屏，物理分辨率≥1920×1080，物理拼缝≤3.5mm。</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2、★亮度≥600cd/㎡，对比度≥6000:1，亮度鉴别等级≥11级，可通过遥控器或自带控制软件，读取和调节单元位置码ID号、信号源类型、分辨率、系统运行时间、软件版本、当前温度等信息。</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3、输入接口：≥1路VGA，≥1路DVI，≥1路HDMI，≥1个USB接口。</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4、图像重显率≥95%，无灰阶反转可视角度水平状态≥160°，垂直状态≥160°。</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5、★支持红外控制、网络控制，红外遥控可在距离≥4m、角度45°处控制，支持风扇工作状态异常报警，在OSD菜单关闭、设备工作温度超过预设阀值时，会弹出对话框，提示温度异常。</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6、图像显示清晰度≥950TVL，亮度均匀性≥75%，几何失真率≤3%。</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7、★亮点、暗点数各≤1，电源插头或电源引入端与外壳裸露金属部件之间，应能承受≥1.5kV交流电压，历时≥1min的抗电强度试验，应无击穿和飞弧现象。</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8、设备的风扇具备良好的散热效果，风扇散热性能≥30%。</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9、具有色坐标一致性，根据CIE1931标准色度系统，液晶显示单元色坐标误差在±0.01以内。</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10、具有阔屏技术，在图像亮度调节过程中，通过Gamma变化不丢失灰阶保证图像细节。</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11、支持100～240 VAC电源电压供电，功耗≤ 120 W，寿命≥60000 小时。</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块</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81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壁挂支架</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支架均采用SPCC优质冷轧钢板保障质量的源头；表面采用静电喷塑工艺，喷塑固化温度180-210度，涂层厚度80-100微米，对高防腐要求产品还可选择阴极电泳底漆工艺，防腐耐锈。</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管理终端</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（不低于i5-6500 8G 500G  DVD 千兆网卡 Win7,，不小于20寸显示器等配置）</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045"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平台管理服务器</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1、实现本级平台组织机构资源、解码/编码资源、平台服务器资源等各种资源的监控、管理、配置。</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2、提供权限认证服务，包括资源、权限、用户、角色，支持资源分配和权限管理。</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3、提供设备故障管理服务，可记录故障信息，支持的故障类型有视频丢失、磁盘已满、磁盘损坏等。</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4、提供平台的对接服务接口，便于第三方平台对视频业务的接入集成。</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5、系统可灵活配置，包括设备的接入管理、实时监控、报警联动、日志管理、录像存储、检索回放、等管理功能。</w:t>
            </w:r>
          </w:p>
          <w:p>
            <w:pPr>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6、硬件性能不低于：HG3189(8核3.5GHz)×1/32GB DDR4/600G 10K SAS×2(RAID_1)/SAS_HBA/1GbE×2/350W/1U。</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152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网络存储设备</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1、采用Linux存储专用操作系统，控制器架构，单控制器应配置≥64位多核处理器，≥4GB内存，可扩展至≥8GB，支持≥16块硬盘。</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2、支持双系统，具备≥2个千兆网口，可增扩≥2个万兆口或≥4个光纤接口。</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3、支持FCSAN、IPSAN、NAS存储功能，支持磁盘漫游，支持硬盘的交错启动，并支持在线热插拔。</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4、应能对视音频、图片、智能分析录像的混合直存，无需存储服务器和图片服务器参与。</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5、支持不低于200MBps的图片并发输入，同时不低于200MBps图片并发输出。</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6、应能在RAID内丢失2块（含）以上硬盘时，无需等待丢失盘恢复，保留盘数据可正常读取，新数据可正常写入。</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7、可支持对单前端设备≥10路多流冗余存储，可根据数据对象的重要性、访问频率等属性对数据进行自动分层存储。</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8、支持MPEG4、H.264、H.265、SVAC、4K编码格式的前端设备接入并存储录像。</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9、可在视频画面上绘制区域或界线，检索指定范围内的报警录像，输入车牌号码可检索出相关图片和视频，可按照报警事件进行检索。</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10、应能接入并存储≥512Mbps视频图像，同时转发≥256Mbps的视频图像，同时回放≥96Mbps的视频图像。</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11、应能提供RAID0、1、3、5、6、10、50，60、JBOD模式，支持全局、局部等多种热备选择，支持坏盘自动重构。</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12、支持RAID误操作恢复，当RAID组中某块硬盘被误拔掉之后，35秒钟内再插回，该硬盘能恢复到原RAID组中，并进行增量数据恢复。</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045"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高清解码器</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1、采用嵌入式架构，专用Linux操作系统，支持对实时视频流以及录像文件进行解码输出。</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2、具备丰富的接口：≥4路HDMI输出，≥2路BNC输出，≥8路报警输入/输出，≥4路音频输出，≥1路对讲输入/输出，≥1个RS485接口。</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3、具有开窗漫游功能，任意一路信号显示画面可进行任意漫游、缩放，可在单屏或者多屏的任意位置上叠加显示，图层不少于64层。</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支持黑白名单功能，可设置≥256个黑白名单，当设置白名单时，只允许白名单IP访问设备，当设置黑名单时，黑名单内IP无法访问设备，支持1、2、4、6、8、9、10、12、16、25、36画面分割显示，支持平均分割，支持分割线开启/关闭设置，支持底色设置。</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5、支持客户端软件设置底色，当无解码画面时，设置输出显示该底色，支持场景切换，各个大屏可同时切换，切换时间不大于1秒。</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6、可通过客户端软件将显示窗口在多个显示屏间进行拖动或跨屏显示，并可调节显示窗口大小。</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7、支持NTP校时及客户端软件手动校时两种校时方式，可通过客户端软件对设备进行恢复出厂设置。</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8、★输入信号接入解码器后上墙显示，支持YUV422上墙显示，可将设备当前的解码输出模式设置为一个场景，设备可保存多个场景，并可通过客户端软件切换设备场景。</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解码能力支持≥2路分辨率为8000*3000（25fps）的H.264、H.265视频图像，≥4路分辨率为4000*3000（20fps）的H.264、H.265视频图像，≥8路分辨率为3840*2160（30fps）的H.264、H.265视频图像，≥12路分辨率为2592*1944（30fps）的H.264、H.265视频图像，≥36路分辨率为1920*1080（30/25fps）的H.264、H.265视频图像。</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10、支持在超出设备解码能力时，在显示输出窗口叠加提示信息,支持回形拼接，支持对解码的IPC输出的画面进行旋转，支持≥90°、≥180°左旋和≥90°、≥180°右旋。</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11、★音频解码格式支持G.722、G.711A、G.726、G.711U、MPEG2-L2、AAC，支持对输入的视频画面进行≥90°、≥180°、≥270°旋转显示，支持通过IE浏览器进行网络模式设置，包括设置为流畅性优先/实时性优先。</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12、支持实时视频流及录像文件同时解码输出显示，历史解码能力与实时流解码能力一致。</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13、★通过设备抓屏软件，可将远程电脑桌面实时解码上墙显示，画面帧率≥30fps，支持PC软件客户端、WEB浏览器客户端、平台客户端、IPAD、可视化触控平台方式访问管理。</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14、可通过有线网络模式访问设备，通过客户端软件导入和导出设备配置参数。</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15、具有图层叠加功能，支持将任意≥1路视频信号在显示屏的任意位置与其他视频信号叠加显示，图层可叠加≥18层。</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16、设备在不小于-10℃～50℃温度变化范围内，可保持正常工作。</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防弹玻璃</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4m×2m</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平方</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文件柜</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项目定制</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个</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空调</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变频、冷暖、三级能效、2匹、上下左右扫风、7200w制冷量、8900w制热量、1800w电辅加热功率、制冷齐R410/机身955*700*396</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942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九、装备室</w:t>
            </w:r>
          </w:p>
        </w:tc>
      </w:tr>
      <w:tr>
        <w:tblPrEx>
          <w:tblLayout w:type="fixed"/>
          <w:tblCellMar>
            <w:top w:w="0" w:type="dxa"/>
            <w:left w:w="0" w:type="dxa"/>
            <w:bottom w:w="0" w:type="dxa"/>
            <w:right w:w="0"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防盗安全门</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项目定制</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窗口防护栏（2扇窗）</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不锈钢材质，单个窗口尺寸1.6X3</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平方</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9.6</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盾牌架</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项目定制</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81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报警系统</w:t>
            </w:r>
          </w:p>
        </w:tc>
        <w:tc>
          <w:tcPr>
            <w:tcW w:w="5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1、支持本地≥8路防区+总线扩展≥248路防区，共计≥256路防区报警输入。</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2、支持≥4路本地防区报警输出，可扩展至≥256路。</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3、支持触发器时控输出，支持定时布撤防，每天≥8个时段。</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4、支持主机防拆报警，支持≥1路受控警号输出。</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5、支持防区报警、系统状态事件联动输出，发生/恢复事件和时间可灵活配置。</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6、支持≥4个独立中心组，可灵活配置报警数据上传策略、冗余备份策略。</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7、支持≥8000条报警事件记录，≥2000条操作事件和≥1500条管理操作记录，支持远程搜索查询事件日志。</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8、支持AC220V电源供电,主辅电源可自动切换。</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9、支持网络远程升级,且配置数据导入导出。</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10、支持远程搜索事件日志，支持≥16个远程管理用户，≥1个远程数据通道。</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942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十、枪弹室</w:t>
            </w:r>
          </w:p>
        </w:tc>
      </w:tr>
      <w:tr>
        <w:tblPrEx>
          <w:tblLayout w:type="fixed"/>
          <w:tblCellMar>
            <w:top w:w="0" w:type="dxa"/>
            <w:left w:w="0" w:type="dxa"/>
            <w:bottom w:w="0" w:type="dxa"/>
            <w:right w:w="0"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防盗安全门</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项目定制</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扇</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双锁</w:t>
            </w:r>
          </w:p>
        </w:tc>
      </w:tr>
      <w:tr>
        <w:tblPrEx>
          <w:tblLayout w:type="fixed"/>
          <w:tblCellMar>
            <w:top w:w="0" w:type="dxa"/>
            <w:left w:w="0" w:type="dxa"/>
            <w:bottom w:w="0" w:type="dxa"/>
            <w:right w:w="0"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枪库门及弹药库门</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项目定制</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扇</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湿度调控设备</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室内加湿器</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942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十、安检室</w:t>
            </w:r>
          </w:p>
        </w:tc>
      </w:tr>
      <w:tr>
        <w:tblPrEx>
          <w:tblLayout w:type="fixed"/>
          <w:tblCellMar>
            <w:top w:w="0" w:type="dxa"/>
            <w:left w:w="0" w:type="dxa"/>
            <w:bottom w:w="0" w:type="dxa"/>
            <w:right w:w="0"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改造安检室通道</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拆墙一项、安装自动门一扇</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270" w:hRule="atLeast"/>
        </w:trPr>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5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w:t>
            </w:r>
          </w:p>
        </w:tc>
        <w:tc>
          <w:tcPr>
            <w:tcW w:w="5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运输及安装调试</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auto"/>
                <w:sz w:val="22"/>
                <w:szCs w:val="22"/>
                <w:highlight w:val="none"/>
              </w:rPr>
            </w:pPr>
          </w:p>
        </w:tc>
      </w:tr>
      <w:tr>
        <w:tblPrEx>
          <w:tblLayout w:type="fixed"/>
          <w:tblCellMar>
            <w:top w:w="0" w:type="dxa"/>
            <w:left w:w="0" w:type="dxa"/>
            <w:bottom w:w="0" w:type="dxa"/>
            <w:right w:w="0" w:type="dxa"/>
          </w:tblCellMar>
        </w:tblPrEx>
        <w:trPr>
          <w:trHeight w:val="595" w:hRule="atLeast"/>
        </w:trPr>
        <w:tc>
          <w:tcPr>
            <w:tcW w:w="942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adjustRightInd w:val="0"/>
              <w:spacing w:line="340" w:lineRule="exact"/>
              <w:jc w:val="left"/>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val="zh-CN"/>
              </w:rPr>
              <w:t>商务要求表</w:t>
            </w:r>
          </w:p>
        </w:tc>
      </w:tr>
      <w:tr>
        <w:tblPrEx>
          <w:tblLayout w:type="fixed"/>
          <w:tblCellMar>
            <w:top w:w="0" w:type="dxa"/>
            <w:left w:w="0" w:type="dxa"/>
            <w:bottom w:w="0" w:type="dxa"/>
            <w:right w:w="0" w:type="dxa"/>
          </w:tblCellMar>
        </w:tblPrEx>
        <w:trPr>
          <w:trHeight w:val="270" w:hRule="atLeast"/>
        </w:trPr>
        <w:tc>
          <w:tcPr>
            <w:tcW w:w="153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autoSpaceDE w:val="0"/>
              <w:autoSpaceDN w:val="0"/>
              <w:adjustRightInd w:val="0"/>
              <w:spacing w:line="34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zh-CN"/>
              </w:rPr>
              <w:t>报价要求</w:t>
            </w:r>
          </w:p>
        </w:tc>
        <w:tc>
          <w:tcPr>
            <w:tcW w:w="7896" w:type="dxa"/>
            <w:gridSpan w:val="5"/>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autoSpaceDE w:val="0"/>
              <w:autoSpaceDN w:val="0"/>
              <w:adjustRightInd w:val="0"/>
              <w:spacing w:line="340" w:lineRule="exact"/>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本项目实行总承包报价；包括货物、标准附件、专用工具、运输、保管、安装、调试、验收、培训等各种费用和售后服务、税金及其它所有成本费用的总和。供应商应对本项目所有内容范围的货物及服务进行总承包报价。</w:t>
            </w:r>
          </w:p>
        </w:tc>
      </w:tr>
      <w:tr>
        <w:tblPrEx>
          <w:tblLayout w:type="fixed"/>
          <w:tblCellMar>
            <w:top w:w="0" w:type="dxa"/>
            <w:left w:w="0" w:type="dxa"/>
            <w:bottom w:w="0" w:type="dxa"/>
            <w:right w:w="0" w:type="dxa"/>
          </w:tblCellMar>
        </w:tblPrEx>
        <w:trPr>
          <w:trHeight w:val="270" w:hRule="atLeast"/>
        </w:trPr>
        <w:tc>
          <w:tcPr>
            <w:tcW w:w="15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质保期</w:t>
            </w:r>
          </w:p>
        </w:tc>
        <w:tc>
          <w:tcPr>
            <w:tcW w:w="7896"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国家有关产品“三包”规定执行“三包”，质保期不少于1年（自验收合格之日起计）。保修期内出现故障，需派出技术工程师到达现场处理故障，并承担一切费用。保修期外发生维修只收材料成本费，免服务费；质保期外免费上门维护，定期进行回访。</w:t>
            </w:r>
          </w:p>
        </w:tc>
      </w:tr>
      <w:tr>
        <w:tblPrEx>
          <w:tblLayout w:type="fixed"/>
          <w:tblCellMar>
            <w:top w:w="0" w:type="dxa"/>
            <w:left w:w="0" w:type="dxa"/>
            <w:bottom w:w="0" w:type="dxa"/>
            <w:right w:w="0" w:type="dxa"/>
          </w:tblCellMar>
        </w:tblPrEx>
        <w:trPr>
          <w:trHeight w:val="270" w:hRule="atLeast"/>
        </w:trPr>
        <w:tc>
          <w:tcPr>
            <w:tcW w:w="15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zh-CN"/>
              </w:rPr>
              <w:t>售后服务要求</w:t>
            </w:r>
          </w:p>
        </w:tc>
        <w:tc>
          <w:tcPr>
            <w:tcW w:w="789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1、响应文件中应注明维修保养期及维保范围，提供免费保修年限、上门保修服务及货物保养服务说明，超过免费保修期之后，紧急情况下如何处理问题的说明。</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质量保证期内货物非因人为及不可抗拒因素的原因而引起损坏或质量问题，中标供应商应免费予以技术服务、维修或货物更换，并承担相应费用和零部件的费用。中标供应商须负责设备的免费安装调试和免费的技术培训，解决货物的使用过程出现的各种问题及提供技术指导。</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供应商应提供7×24 小时咨询服务，对于系统设备在使用过程中出现的问题，在4 小时内响应，如遇与所供产品有关的问题无法远程解决的，在接用户通知后,10小时赶到现场提供免费服务；12小时内未解决的</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人应提供详细的应急解决方案，24小时内修复使用，若48 小时内无法排除故障的，则应提供相应的备用设备以保证采购方的正常使用，因</w:t>
            </w:r>
            <w:r>
              <w:rPr>
                <w:rFonts w:hint="eastAsia" w:ascii="宋体" w:hAnsi="宋体" w:eastAsia="宋体" w:cs="宋体"/>
                <w:color w:val="auto"/>
                <w:sz w:val="22"/>
                <w:szCs w:val="22"/>
                <w:highlight w:val="none"/>
                <w:lang w:eastAsia="zh-CN"/>
              </w:rPr>
              <w:t>成交供应商</w:t>
            </w:r>
            <w:r>
              <w:rPr>
                <w:rFonts w:hint="eastAsia" w:ascii="宋体" w:hAnsi="宋体" w:eastAsia="宋体" w:cs="宋体"/>
                <w:color w:val="auto"/>
                <w:sz w:val="22"/>
                <w:szCs w:val="22"/>
                <w:highlight w:val="none"/>
              </w:rPr>
              <w:t>工作延误，造成采购人损失的，</w:t>
            </w:r>
            <w:r>
              <w:rPr>
                <w:rFonts w:hint="eastAsia" w:ascii="宋体" w:hAnsi="宋体" w:eastAsia="宋体" w:cs="宋体"/>
                <w:color w:val="auto"/>
                <w:sz w:val="22"/>
                <w:szCs w:val="22"/>
                <w:highlight w:val="none"/>
                <w:lang w:eastAsia="zh-CN"/>
              </w:rPr>
              <w:t>成交供应商</w:t>
            </w:r>
            <w:r>
              <w:rPr>
                <w:rFonts w:hint="eastAsia" w:ascii="宋体" w:hAnsi="宋体" w:eastAsia="宋体" w:cs="宋体"/>
                <w:color w:val="auto"/>
                <w:sz w:val="22"/>
                <w:szCs w:val="22"/>
                <w:highlight w:val="none"/>
              </w:rPr>
              <w:t>应负赔偿责任。</w:t>
            </w:r>
          </w:p>
        </w:tc>
      </w:tr>
      <w:tr>
        <w:tblPrEx>
          <w:tblLayout w:type="fixed"/>
          <w:tblCellMar>
            <w:top w:w="0" w:type="dxa"/>
            <w:left w:w="0" w:type="dxa"/>
            <w:bottom w:w="0" w:type="dxa"/>
            <w:right w:w="0" w:type="dxa"/>
          </w:tblCellMar>
        </w:tblPrEx>
        <w:trPr>
          <w:trHeight w:val="270" w:hRule="atLeast"/>
        </w:trPr>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安装调试及技术服务（含培训）要求</w:t>
            </w:r>
          </w:p>
        </w:tc>
        <w:tc>
          <w:tcPr>
            <w:tcW w:w="7896"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安装调试：成交供应商货物运输到指定地点后，成交供应商应派专业技术人员对系统（设备）进行安装调试，如此期间发生的货物损毁或影响使用的情况由成交供应商负责更换同型号同规格的产品，产生的一切费用由成交供应商承担。</w:t>
            </w:r>
          </w:p>
          <w:p>
            <w:pPr>
              <w:pStyle w:val="30"/>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2、培训：系统（设备）安装完成后，成交供应商需现场培训人员熟练掌握使用设备。时间、地点由采购人安排。</w:t>
            </w:r>
          </w:p>
          <w:p>
            <w:pPr>
              <w:pStyle w:val="30"/>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3、伴随服务：成交供应商应提供系统（设备）的随机附件、技术资料，可包括相应的安装配件、图纸、操作手册、维护手册、质量保证文件、服务指南等，这些文件应随设备一起发运至采购人指定地点。</w:t>
            </w:r>
          </w:p>
        </w:tc>
      </w:tr>
      <w:tr>
        <w:tblPrEx>
          <w:tblLayout w:type="fixed"/>
          <w:tblCellMar>
            <w:top w:w="0" w:type="dxa"/>
            <w:left w:w="0" w:type="dxa"/>
            <w:bottom w:w="0" w:type="dxa"/>
            <w:right w:w="0" w:type="dxa"/>
          </w:tblCellMar>
        </w:tblPrEx>
        <w:trPr>
          <w:trHeight w:val="1467" w:hRule="atLeast"/>
        </w:trPr>
        <w:tc>
          <w:tcPr>
            <w:tcW w:w="15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交付要求</w:t>
            </w:r>
          </w:p>
        </w:tc>
        <w:tc>
          <w:tcPr>
            <w:tcW w:w="7896" w:type="dxa"/>
            <w:gridSpan w:val="5"/>
            <w:tcBorders>
              <w:top w:val="single" w:color="auto" w:sz="4" w:space="0"/>
              <w:left w:val="single" w:color="auto" w:sz="4" w:space="0"/>
              <w:bottom w:val="single" w:color="auto" w:sz="4" w:space="0"/>
              <w:right w:val="single" w:color="auto" w:sz="4" w:space="0"/>
            </w:tcBorders>
            <w:vAlign w:val="center"/>
          </w:tcPr>
          <w:p>
            <w:pPr>
              <w:pStyle w:val="40"/>
              <w:widowControl w:val="0"/>
              <w:pBdr>
                <w:left w:val="none" w:color="auto" w:sz="0" w:space="0"/>
                <w:bottom w:val="none" w:color="auto" w:sz="0" w:space="0"/>
                <w:right w:val="none" w:color="auto" w:sz="0" w:space="0"/>
              </w:pBdr>
              <w:adjustRightInd w:val="0"/>
              <w:snapToGrid w:val="0"/>
              <w:spacing w:beforeAutospacing="0" w:afterAutospacing="0" w:line="340" w:lineRule="exact"/>
              <w:jc w:val="both"/>
              <w:rPr>
                <w:rFonts w:hint="eastAsia" w:ascii="宋体" w:hAnsi="宋体" w:eastAsia="宋体" w:cs="宋体"/>
                <w:color w:val="auto"/>
                <w:kern w:val="2"/>
                <w:sz w:val="22"/>
                <w:szCs w:val="22"/>
                <w:highlight w:val="none"/>
              </w:rPr>
            </w:pPr>
            <w:r>
              <w:rPr>
                <w:rFonts w:hint="eastAsia" w:ascii="宋体" w:hAnsi="宋体" w:eastAsia="宋体" w:cs="宋体"/>
                <w:color w:val="auto"/>
                <w:sz w:val="22"/>
                <w:szCs w:val="22"/>
                <w:highlight w:val="none"/>
              </w:rPr>
              <w:t>1、交付时间：自合同签订之日起</w:t>
            </w:r>
            <w:r>
              <w:rPr>
                <w:rFonts w:hint="eastAsia" w:ascii="宋体" w:hAnsi="宋体" w:eastAsia="宋体" w:cs="宋体"/>
                <w:color w:val="auto"/>
                <w:sz w:val="22"/>
                <w:szCs w:val="22"/>
                <w:highlight w:val="none"/>
                <w:u w:val="single"/>
                <w:lang w:val="en-US" w:eastAsia="zh-CN"/>
              </w:rPr>
              <w:t>15</w:t>
            </w:r>
            <w:r>
              <w:rPr>
                <w:rFonts w:hint="eastAsia" w:ascii="宋体" w:hAnsi="宋体" w:eastAsia="宋体" w:cs="宋体"/>
                <w:color w:val="auto"/>
                <w:sz w:val="22"/>
                <w:szCs w:val="22"/>
                <w:highlight w:val="none"/>
              </w:rPr>
              <w:t>日历天内安装调试完成</w:t>
            </w:r>
            <w:r>
              <w:rPr>
                <w:rFonts w:hint="eastAsia" w:ascii="宋体" w:hAnsi="宋体" w:eastAsia="宋体" w:cs="宋体"/>
                <w:color w:val="auto"/>
                <w:kern w:val="2"/>
                <w:sz w:val="22"/>
                <w:szCs w:val="22"/>
                <w:highlight w:val="none"/>
              </w:rPr>
              <w:t>。</w:t>
            </w:r>
          </w:p>
          <w:p>
            <w:pPr>
              <w:pStyle w:val="40"/>
              <w:widowControl w:val="0"/>
              <w:pBdr>
                <w:left w:val="none" w:color="auto" w:sz="0" w:space="0"/>
                <w:bottom w:val="none" w:color="auto" w:sz="0" w:space="0"/>
                <w:right w:val="none" w:color="auto" w:sz="0" w:space="0"/>
              </w:pBdr>
              <w:adjustRightInd w:val="0"/>
              <w:snapToGrid w:val="0"/>
              <w:spacing w:beforeAutospacing="0" w:afterAutospacing="0" w:line="340" w:lineRule="exact"/>
              <w:jc w:val="both"/>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rPr>
              <w:t>2、逾期交</w:t>
            </w:r>
            <w:r>
              <w:rPr>
                <w:rFonts w:hint="eastAsia" w:ascii="宋体" w:hAnsi="宋体" w:eastAsia="宋体" w:cs="宋体"/>
                <w:color w:val="auto"/>
                <w:sz w:val="22"/>
                <w:szCs w:val="22"/>
                <w:highlight w:val="none"/>
              </w:rPr>
              <w:t>付的，采购人有权拒绝验收并取消成交供应商资格，所造成的一切损失由成交供应商负责。</w:t>
            </w:r>
          </w:p>
          <w:p>
            <w:pPr>
              <w:pStyle w:val="40"/>
              <w:widowControl w:val="0"/>
              <w:pBdr>
                <w:left w:val="none" w:color="auto" w:sz="0" w:space="0"/>
                <w:bottom w:val="none" w:color="auto" w:sz="0" w:space="0"/>
                <w:right w:val="none" w:color="auto" w:sz="0" w:space="0"/>
              </w:pBdr>
              <w:adjustRightInd w:val="0"/>
              <w:snapToGrid w:val="0"/>
              <w:spacing w:beforeAutospacing="0" w:afterAutospacing="0" w:line="34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3、交货地点：采购人指定地点。</w:t>
            </w:r>
          </w:p>
        </w:tc>
      </w:tr>
      <w:tr>
        <w:tblPrEx>
          <w:tblLayout w:type="fixed"/>
          <w:tblCellMar>
            <w:top w:w="0" w:type="dxa"/>
            <w:left w:w="0" w:type="dxa"/>
            <w:bottom w:w="0" w:type="dxa"/>
            <w:right w:w="0" w:type="dxa"/>
          </w:tblCellMar>
        </w:tblPrEx>
        <w:trPr>
          <w:trHeight w:val="637" w:hRule="atLeast"/>
        </w:trPr>
        <w:tc>
          <w:tcPr>
            <w:tcW w:w="15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zh-CN"/>
              </w:rPr>
              <w:t>付款方式</w:t>
            </w:r>
          </w:p>
        </w:tc>
        <w:tc>
          <w:tcPr>
            <w:tcW w:w="7896"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由甲乙双方在签订合同时具体商定，并在合同中明确。</w:t>
            </w:r>
          </w:p>
        </w:tc>
      </w:tr>
      <w:tr>
        <w:tblPrEx>
          <w:tblLayout w:type="fixed"/>
          <w:tblCellMar>
            <w:top w:w="0" w:type="dxa"/>
            <w:left w:w="0" w:type="dxa"/>
            <w:bottom w:w="0" w:type="dxa"/>
            <w:right w:w="0" w:type="dxa"/>
          </w:tblCellMar>
        </w:tblPrEx>
        <w:trPr>
          <w:trHeight w:val="773" w:hRule="atLeast"/>
        </w:trPr>
        <w:tc>
          <w:tcPr>
            <w:tcW w:w="153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合同签订</w:t>
            </w:r>
          </w:p>
        </w:tc>
        <w:tc>
          <w:tcPr>
            <w:tcW w:w="7896"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自成交通知书发出之日起3个工作日内与采购人签订合同，逾期视为放弃成交资格。</w:t>
            </w:r>
          </w:p>
        </w:tc>
      </w:tr>
    </w:tbl>
    <w:p>
      <w:pPr>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30"/>
        <w:rPr>
          <w:rFonts w:ascii="宋体" w:hAnsi="宋体" w:eastAsia="宋体" w:cs="宋体"/>
          <w:color w:val="auto"/>
          <w:sz w:val="22"/>
          <w:szCs w:val="22"/>
          <w:highlight w:val="none"/>
        </w:rPr>
      </w:pPr>
      <w:bookmarkStart w:id="13" w:name="_Toc419886376"/>
    </w:p>
    <w:p>
      <w:pPr>
        <w:pStyle w:val="30"/>
        <w:rPr>
          <w:rFonts w:ascii="宋体" w:hAnsi="宋体" w:eastAsia="宋体" w:cs="宋体"/>
          <w:color w:val="auto"/>
          <w:sz w:val="22"/>
          <w:szCs w:val="22"/>
          <w:highlight w:val="none"/>
        </w:rPr>
      </w:pPr>
    </w:p>
    <w:p>
      <w:pPr>
        <w:spacing w:line="400" w:lineRule="exact"/>
        <w:ind w:firstLine="482" w:firstLineChars="150"/>
        <w:jc w:val="center"/>
        <w:outlineLvl w:val="0"/>
        <w:rPr>
          <w:rFonts w:ascii="宋体" w:hAnsi="宋体" w:eastAsia="宋体" w:cs="宋体"/>
          <w:b/>
          <w:color w:val="auto"/>
          <w:sz w:val="32"/>
          <w:szCs w:val="32"/>
          <w:highlight w:val="none"/>
        </w:rPr>
      </w:pPr>
      <w:bookmarkStart w:id="14" w:name="_Toc30311"/>
      <w:r>
        <w:rPr>
          <w:rFonts w:hint="eastAsia" w:ascii="宋体" w:hAnsi="宋体" w:eastAsia="宋体" w:cs="宋体"/>
          <w:b/>
          <w:color w:val="auto"/>
          <w:sz w:val="32"/>
          <w:szCs w:val="32"/>
          <w:highlight w:val="none"/>
        </w:rPr>
        <w:t>第四章 响应文件格式</w:t>
      </w:r>
      <w:bookmarkEnd w:id="13"/>
      <w:bookmarkEnd w:id="14"/>
    </w:p>
    <w:p>
      <w:pPr>
        <w:pStyle w:val="10"/>
        <w:spacing w:line="380" w:lineRule="exact"/>
        <w:jc w:val="center"/>
        <w:rPr>
          <w:rFonts w:hAnsi="宋体" w:eastAsia="宋体" w:cs="宋体"/>
          <w:b/>
          <w:color w:val="auto"/>
          <w:sz w:val="32"/>
          <w:szCs w:val="32"/>
          <w:highlight w:val="none"/>
        </w:rPr>
      </w:pPr>
    </w:p>
    <w:p>
      <w:pPr>
        <w:pStyle w:val="10"/>
        <w:spacing w:line="380" w:lineRule="exact"/>
        <w:jc w:val="center"/>
        <w:rPr>
          <w:rFonts w:hAnsi="宋体" w:eastAsia="宋体" w:cs="宋体"/>
          <w:b/>
          <w:color w:val="auto"/>
          <w:sz w:val="32"/>
          <w:szCs w:val="32"/>
          <w:highlight w:val="none"/>
        </w:rPr>
      </w:pPr>
    </w:p>
    <w:p>
      <w:pPr>
        <w:pStyle w:val="10"/>
        <w:spacing w:line="380" w:lineRule="exact"/>
        <w:jc w:val="center"/>
        <w:rPr>
          <w:rFonts w:hAnsi="宋体" w:eastAsia="宋体" w:cs="宋体"/>
          <w:b/>
          <w:color w:val="auto"/>
          <w:sz w:val="32"/>
          <w:szCs w:val="32"/>
          <w:highlight w:val="none"/>
        </w:rPr>
      </w:pPr>
    </w:p>
    <w:p>
      <w:pPr>
        <w:pStyle w:val="10"/>
        <w:spacing w:line="380" w:lineRule="exact"/>
        <w:jc w:val="center"/>
        <w:rPr>
          <w:rFonts w:hAnsi="宋体" w:eastAsia="宋体" w:cs="宋体"/>
          <w:b/>
          <w:color w:val="auto"/>
          <w:sz w:val="32"/>
          <w:szCs w:val="32"/>
          <w:highlight w:val="none"/>
        </w:rPr>
      </w:pPr>
    </w:p>
    <w:p>
      <w:pPr>
        <w:pStyle w:val="10"/>
        <w:spacing w:line="380" w:lineRule="exact"/>
        <w:jc w:val="center"/>
        <w:rPr>
          <w:rFonts w:hAnsi="宋体" w:eastAsia="宋体" w:cs="宋体"/>
          <w:b/>
          <w:color w:val="auto"/>
          <w:sz w:val="32"/>
          <w:szCs w:val="32"/>
          <w:highlight w:val="none"/>
        </w:rPr>
      </w:pPr>
      <w:r>
        <w:rPr>
          <w:rFonts w:hint="eastAsia" w:hAnsi="宋体" w:eastAsia="宋体" w:cs="宋体"/>
          <w:b/>
          <w:color w:val="auto"/>
          <w:sz w:val="32"/>
          <w:szCs w:val="32"/>
          <w:highlight w:val="none"/>
        </w:rPr>
        <w:t xml:space="preserve">                             正/副</w:t>
      </w:r>
    </w:p>
    <w:p>
      <w:pPr>
        <w:pStyle w:val="10"/>
        <w:spacing w:line="380" w:lineRule="exact"/>
        <w:jc w:val="center"/>
        <w:rPr>
          <w:rFonts w:hAnsi="宋体" w:eastAsia="宋体" w:cs="宋体"/>
          <w:b/>
          <w:color w:val="auto"/>
          <w:sz w:val="32"/>
          <w:szCs w:val="32"/>
          <w:highlight w:val="none"/>
        </w:rPr>
      </w:pPr>
    </w:p>
    <w:p>
      <w:pPr>
        <w:pStyle w:val="10"/>
        <w:spacing w:line="380" w:lineRule="exact"/>
        <w:jc w:val="center"/>
        <w:rPr>
          <w:rFonts w:hAnsi="宋体" w:eastAsia="宋体" w:cs="宋体"/>
          <w:b/>
          <w:color w:val="auto"/>
          <w:sz w:val="32"/>
          <w:szCs w:val="32"/>
          <w:highlight w:val="none"/>
        </w:rPr>
      </w:pPr>
    </w:p>
    <w:p>
      <w:pPr>
        <w:spacing w:line="400" w:lineRule="exact"/>
        <w:ind w:left="441" w:leftChars="172" w:hanging="80" w:hangingChars="25"/>
        <w:jc w:val="center"/>
        <w:rPr>
          <w:rFonts w:ascii="宋体" w:hAnsi="宋体" w:eastAsia="宋体" w:cs="宋体"/>
          <w:b/>
          <w:color w:val="auto"/>
          <w:sz w:val="28"/>
          <w:szCs w:val="28"/>
          <w:highlight w:val="none"/>
        </w:rPr>
      </w:pPr>
      <w:r>
        <w:rPr>
          <w:rFonts w:hint="eastAsia" w:ascii="宋体" w:hAnsi="宋体" w:eastAsia="宋体" w:cs="宋体"/>
          <w:b/>
          <w:color w:val="auto"/>
          <w:sz w:val="32"/>
          <w:szCs w:val="32"/>
          <w:highlight w:val="none"/>
        </w:rPr>
        <w:t>响应文件</w:t>
      </w:r>
      <w:r>
        <w:rPr>
          <w:rFonts w:hint="eastAsia" w:ascii="宋体" w:hAnsi="宋体" w:eastAsia="宋体" w:cs="宋体"/>
          <w:b/>
          <w:color w:val="auto"/>
          <w:sz w:val="28"/>
          <w:szCs w:val="28"/>
          <w:highlight w:val="none"/>
        </w:rPr>
        <w:t>（封面）</w:t>
      </w:r>
    </w:p>
    <w:p>
      <w:pPr>
        <w:spacing w:line="360" w:lineRule="auto"/>
        <w:ind w:left="413" w:leftChars="172" w:hanging="52" w:hangingChars="25"/>
        <w:jc w:val="left"/>
        <w:rPr>
          <w:rFonts w:ascii="宋体" w:hAnsi="宋体" w:eastAsia="宋体" w:cs="宋体"/>
          <w:color w:val="auto"/>
          <w:szCs w:val="21"/>
          <w:highlight w:val="none"/>
        </w:rPr>
      </w:pPr>
    </w:p>
    <w:p>
      <w:pPr>
        <w:pStyle w:val="2"/>
        <w:ind w:left="-269" w:firstLine="544"/>
        <w:rPr>
          <w:rFonts w:ascii="宋体" w:hAnsi="宋体" w:eastAsia="宋体" w:cs="宋体"/>
          <w:color w:val="auto"/>
          <w:szCs w:val="21"/>
          <w:highlight w:val="none"/>
        </w:rPr>
      </w:pPr>
    </w:p>
    <w:p>
      <w:pPr>
        <w:pStyle w:val="2"/>
        <w:ind w:left="-269" w:firstLine="544"/>
        <w:rPr>
          <w:rFonts w:ascii="宋体" w:hAnsi="宋体" w:eastAsia="宋体" w:cs="宋体"/>
          <w:color w:val="auto"/>
          <w:szCs w:val="21"/>
          <w:highlight w:val="none"/>
        </w:rPr>
      </w:pPr>
    </w:p>
    <w:p>
      <w:pPr>
        <w:pStyle w:val="2"/>
        <w:ind w:left="-269" w:firstLine="544"/>
        <w:rPr>
          <w:rFonts w:ascii="宋体" w:hAnsi="宋体" w:eastAsia="宋体" w:cs="宋体"/>
          <w:color w:val="auto"/>
          <w:szCs w:val="21"/>
          <w:highlight w:val="none"/>
        </w:rPr>
      </w:pPr>
    </w:p>
    <w:p>
      <w:pPr>
        <w:spacing w:line="360" w:lineRule="auto"/>
        <w:ind w:left="413" w:leftChars="172" w:hanging="52" w:hangingChars="25"/>
        <w:jc w:val="left"/>
        <w:rPr>
          <w:rFonts w:ascii="宋体" w:hAnsi="宋体" w:eastAsia="宋体" w:cs="宋体"/>
          <w:color w:val="auto"/>
          <w:szCs w:val="21"/>
          <w:highlight w:val="none"/>
        </w:rPr>
      </w:pPr>
    </w:p>
    <w:p>
      <w:pPr>
        <w:spacing w:line="360" w:lineRule="auto"/>
        <w:ind w:left="413" w:leftChars="172" w:hanging="52" w:hangingChars="25"/>
        <w:jc w:val="left"/>
        <w:rPr>
          <w:rFonts w:ascii="宋体" w:hAnsi="宋体" w:eastAsia="宋体" w:cs="宋体"/>
          <w:color w:val="auto"/>
          <w:szCs w:val="21"/>
          <w:highlight w:val="none"/>
        </w:rPr>
      </w:pP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 xml:space="preserve">                                                         </w:t>
      </w:r>
    </w:p>
    <w:p>
      <w:pPr>
        <w:spacing w:line="360" w:lineRule="auto"/>
        <w:ind w:left="413" w:leftChars="172" w:hanging="52" w:hangingChars="25"/>
        <w:jc w:val="left"/>
        <w:rPr>
          <w:rFonts w:ascii="宋体" w:hAnsi="宋体" w:eastAsia="宋体" w:cs="宋体"/>
          <w:color w:val="auto"/>
          <w:szCs w:val="21"/>
          <w:highlight w:val="non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pPr>
        <w:spacing w:line="360" w:lineRule="auto"/>
        <w:ind w:left="413" w:leftChars="172" w:hanging="52" w:hangingChars="25"/>
        <w:jc w:val="left"/>
        <w:rPr>
          <w:rFonts w:ascii="宋体" w:hAnsi="宋体" w:eastAsia="宋体" w:cs="宋体"/>
          <w:color w:val="auto"/>
          <w:szCs w:val="21"/>
          <w:highlight w:val="none"/>
        </w:rPr>
      </w:pPr>
    </w:p>
    <w:p>
      <w:pPr>
        <w:pStyle w:val="2"/>
        <w:ind w:left="-269" w:firstLine="544"/>
        <w:rPr>
          <w:rFonts w:ascii="宋体" w:hAnsi="宋体" w:eastAsia="宋体" w:cs="宋体"/>
          <w:color w:val="auto"/>
          <w:szCs w:val="21"/>
          <w:highlight w:val="none"/>
        </w:rPr>
      </w:pPr>
    </w:p>
    <w:p>
      <w:pPr>
        <w:pStyle w:val="2"/>
        <w:ind w:left="-269" w:firstLine="544"/>
        <w:rPr>
          <w:rFonts w:ascii="宋体" w:hAnsi="宋体" w:eastAsia="宋体" w:cs="宋体"/>
          <w:color w:val="auto"/>
          <w:szCs w:val="21"/>
          <w:highlight w:val="none"/>
        </w:rPr>
      </w:pPr>
    </w:p>
    <w:p>
      <w:pPr>
        <w:pStyle w:val="2"/>
        <w:ind w:left="-269" w:firstLine="544"/>
        <w:rPr>
          <w:rFonts w:ascii="宋体" w:hAnsi="宋体" w:eastAsia="宋体" w:cs="宋体"/>
          <w:color w:val="auto"/>
          <w:szCs w:val="21"/>
          <w:highlight w:val="none"/>
        </w:rPr>
      </w:pPr>
    </w:p>
    <w:p>
      <w:pPr>
        <w:pStyle w:val="2"/>
        <w:ind w:left="-269" w:firstLine="544"/>
        <w:rPr>
          <w:rFonts w:ascii="宋体" w:hAnsi="宋体" w:eastAsia="宋体" w:cs="宋体"/>
          <w:color w:val="auto"/>
          <w:szCs w:val="21"/>
          <w:highlight w:val="none"/>
        </w:rPr>
      </w:pPr>
    </w:p>
    <w:p>
      <w:pPr>
        <w:spacing w:line="360" w:lineRule="auto"/>
        <w:ind w:left="413" w:leftChars="172" w:hanging="52" w:hangingChars="25"/>
        <w:jc w:val="left"/>
        <w:rPr>
          <w:rFonts w:ascii="宋体" w:hAnsi="宋体" w:eastAsia="宋体" w:cs="宋体"/>
          <w:color w:val="auto"/>
          <w:szCs w:val="21"/>
          <w:highlight w:val="none"/>
        </w:rPr>
      </w:pPr>
    </w:p>
    <w:p>
      <w:pPr>
        <w:pStyle w:val="10"/>
        <w:spacing w:line="500" w:lineRule="exact"/>
        <w:ind w:firstLine="420" w:firstLineChars="200"/>
        <w:rPr>
          <w:rFonts w:hAnsi="宋体" w:eastAsia="宋体" w:cs="宋体"/>
          <w:color w:val="auto"/>
          <w:highlight w:val="none"/>
          <w:u w:val="single"/>
        </w:rPr>
      </w:pPr>
      <w:r>
        <w:rPr>
          <w:rFonts w:hint="eastAsia" w:hAnsi="宋体" w:eastAsia="宋体" w:cs="宋体"/>
          <w:color w:val="auto"/>
          <w:highlight w:val="none"/>
        </w:rPr>
        <w:t>供应商名称（盖章）：</w:t>
      </w:r>
      <w:r>
        <w:rPr>
          <w:rFonts w:hint="eastAsia" w:hAnsi="宋体" w:eastAsia="宋体" w:cs="宋体"/>
          <w:color w:val="auto"/>
          <w:highlight w:val="none"/>
          <w:u w:val="single"/>
        </w:rPr>
        <w:t xml:space="preserve">                                                   </w:t>
      </w:r>
    </w:p>
    <w:p>
      <w:pPr>
        <w:spacing w:line="360" w:lineRule="auto"/>
        <w:jc w:val="left"/>
        <w:rPr>
          <w:rFonts w:ascii="宋体" w:hAnsi="宋体" w:eastAsia="宋体" w:cs="宋体"/>
          <w:color w:val="auto"/>
          <w:szCs w:val="21"/>
          <w:highlight w:val="none"/>
        </w:rPr>
      </w:pPr>
    </w:p>
    <w:p>
      <w:pPr>
        <w:pStyle w:val="10"/>
        <w:spacing w:line="380" w:lineRule="exact"/>
        <w:jc w:val="center"/>
        <w:rPr>
          <w:rFonts w:hAnsi="宋体" w:eastAsia="宋体" w:cs="宋体"/>
          <w:color w:val="auto"/>
          <w:szCs w:val="21"/>
          <w:highlight w:val="none"/>
        </w:rPr>
      </w:pPr>
      <w:r>
        <w:rPr>
          <w:rFonts w:hint="eastAsia" w:hAnsi="宋体" w:eastAsia="宋体" w:cs="宋体"/>
          <w:color w:val="auto"/>
          <w:szCs w:val="21"/>
          <w:highlight w:val="none"/>
        </w:rPr>
        <w:t>年   月    日</w:t>
      </w:r>
    </w:p>
    <w:p>
      <w:pPr>
        <w:pStyle w:val="10"/>
        <w:spacing w:line="380" w:lineRule="exact"/>
        <w:jc w:val="center"/>
        <w:rPr>
          <w:rFonts w:hAnsi="宋体" w:eastAsia="宋体" w:cs="宋体"/>
          <w:color w:val="auto"/>
          <w:szCs w:val="21"/>
          <w:highlight w:val="none"/>
        </w:rPr>
      </w:pPr>
    </w:p>
    <w:p>
      <w:pPr>
        <w:pStyle w:val="10"/>
        <w:spacing w:line="380" w:lineRule="exact"/>
        <w:jc w:val="center"/>
        <w:rPr>
          <w:rFonts w:hAnsi="宋体" w:eastAsia="宋体" w:cs="宋体"/>
          <w:color w:val="auto"/>
          <w:szCs w:val="21"/>
          <w:highlight w:val="none"/>
        </w:rPr>
      </w:pPr>
    </w:p>
    <w:p>
      <w:pPr>
        <w:spacing w:line="430" w:lineRule="exact"/>
        <w:rPr>
          <w:rFonts w:ascii="宋体" w:hAnsi="宋体" w:eastAsia="宋体" w:cs="宋体"/>
          <w:color w:val="auto"/>
          <w:szCs w:val="21"/>
          <w:highlight w:val="none"/>
        </w:rPr>
      </w:pPr>
      <w:r>
        <w:rPr>
          <w:rFonts w:hint="eastAsia" w:ascii="宋体" w:hAnsi="宋体" w:eastAsia="宋体" w:cs="宋体"/>
          <w:b/>
          <w:color w:val="auto"/>
          <w:sz w:val="28"/>
          <w:szCs w:val="28"/>
          <w:highlight w:val="none"/>
        </w:rPr>
        <w:br w:type="page"/>
      </w: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 录</w:t>
      </w:r>
    </w:p>
    <w:p>
      <w:pPr>
        <w:pStyle w:val="30"/>
        <w:jc w:val="center"/>
        <w:rPr>
          <w:rFonts w:ascii="宋体" w:hAnsi="宋体" w:eastAsia="宋体" w:cs="宋体"/>
          <w:color w:val="auto"/>
          <w:highlight w:val="none"/>
        </w:rPr>
      </w:pPr>
      <w:r>
        <w:rPr>
          <w:rFonts w:hint="eastAsia" w:ascii="宋体" w:hAnsi="宋体" w:eastAsia="宋体" w:cs="宋体"/>
          <w:b/>
          <w:color w:val="auto"/>
          <w:sz w:val="28"/>
          <w:szCs w:val="28"/>
          <w:highlight w:val="none"/>
        </w:rPr>
        <w:t>（</w:t>
      </w:r>
      <w:r>
        <w:rPr>
          <w:rFonts w:hint="eastAsia" w:ascii="宋体" w:hAnsi="宋体" w:eastAsia="宋体" w:cs="宋体"/>
          <w:bCs w:val="0"/>
          <w:color w:val="auto"/>
          <w:sz w:val="22"/>
          <w:szCs w:val="22"/>
          <w:highlight w:val="none"/>
        </w:rPr>
        <w:t>由供应商根据采购文件要求的响应文件构成，结合自身响应文件构成情况自行编制，采购文件中有要求但无格式提供的则由供应商自拟</w:t>
      </w:r>
      <w:r>
        <w:rPr>
          <w:rFonts w:hint="eastAsia" w:ascii="宋体" w:hAnsi="宋体" w:eastAsia="宋体" w:cs="宋体"/>
          <w:b/>
          <w:color w:val="auto"/>
          <w:sz w:val="28"/>
          <w:szCs w:val="28"/>
          <w:highlight w:val="none"/>
        </w:rPr>
        <w:t>）</w:t>
      </w: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pStyle w:val="9"/>
        <w:rPr>
          <w:rFonts w:hAnsi="宋体" w:eastAsia="宋体" w:cs="宋体"/>
          <w:b/>
          <w:color w:val="auto"/>
          <w:sz w:val="28"/>
          <w:szCs w:val="28"/>
          <w:highlight w:val="none"/>
        </w:rPr>
      </w:pPr>
    </w:p>
    <w:p>
      <w:pPr>
        <w:pStyle w:val="9"/>
        <w:rPr>
          <w:rFonts w:hAnsi="宋体" w:eastAsia="宋体" w:cs="宋体"/>
          <w:b/>
          <w:color w:val="auto"/>
          <w:sz w:val="28"/>
          <w:szCs w:val="28"/>
          <w:highlight w:val="none"/>
        </w:rPr>
      </w:pPr>
    </w:p>
    <w:p>
      <w:pPr>
        <w:pStyle w:val="9"/>
        <w:rPr>
          <w:rFonts w:hAnsi="宋体" w:eastAsia="宋体" w:cs="宋体"/>
          <w:b/>
          <w:color w:val="auto"/>
          <w:sz w:val="28"/>
          <w:szCs w:val="28"/>
          <w:highlight w:val="none"/>
        </w:rPr>
      </w:pPr>
    </w:p>
    <w:p>
      <w:pPr>
        <w:pStyle w:val="9"/>
        <w:rPr>
          <w:rFonts w:hAnsi="宋体" w:eastAsia="宋体" w:cs="宋体"/>
          <w:b/>
          <w:color w:val="auto"/>
          <w:sz w:val="28"/>
          <w:szCs w:val="28"/>
          <w:highlight w:val="none"/>
        </w:rPr>
      </w:pPr>
    </w:p>
    <w:p>
      <w:pPr>
        <w:pStyle w:val="9"/>
        <w:rPr>
          <w:rFonts w:hAnsi="宋体" w:eastAsia="宋体" w:cs="宋体"/>
          <w:b/>
          <w:color w:val="auto"/>
          <w:sz w:val="28"/>
          <w:szCs w:val="28"/>
          <w:highlight w:val="none"/>
        </w:rPr>
      </w:pPr>
    </w:p>
    <w:p>
      <w:pPr>
        <w:spacing w:line="360" w:lineRule="auto"/>
        <w:jc w:val="center"/>
        <w:rPr>
          <w:rFonts w:ascii="宋体" w:hAnsi="宋体" w:eastAsia="宋体" w:cs="宋体"/>
          <w:b/>
          <w:color w:val="auto"/>
          <w:sz w:val="28"/>
          <w:szCs w:val="28"/>
          <w:highlight w:val="none"/>
        </w:rPr>
      </w:pPr>
    </w:p>
    <w:p>
      <w:pPr>
        <w:spacing w:line="360" w:lineRule="auto"/>
        <w:rPr>
          <w:rFonts w:ascii="宋体" w:hAnsi="宋体" w:eastAsia="宋体" w:cs="宋体"/>
          <w:b/>
          <w:color w:val="auto"/>
          <w:sz w:val="28"/>
          <w:szCs w:val="28"/>
          <w:highlight w:val="none"/>
        </w:rPr>
      </w:pPr>
    </w:p>
    <w:p>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磋  商  函（格式）</w:t>
      </w:r>
    </w:p>
    <w:p>
      <w:pPr>
        <w:spacing w:line="440" w:lineRule="exact"/>
        <w:ind w:firstLine="431" w:firstLineChars="196"/>
        <w:rPr>
          <w:rFonts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（采购人）                    ：</w:t>
      </w:r>
    </w:p>
    <w:p>
      <w:pPr>
        <w:pStyle w:val="10"/>
        <w:spacing w:line="440" w:lineRule="exact"/>
        <w:ind w:firstLine="420"/>
        <w:rPr>
          <w:rFonts w:hAnsi="宋体" w:eastAsia="宋体" w:cs="宋体"/>
          <w:bCs/>
          <w:color w:val="auto"/>
          <w:sz w:val="22"/>
          <w:szCs w:val="22"/>
          <w:highlight w:val="none"/>
        </w:rPr>
      </w:pPr>
      <w:r>
        <w:rPr>
          <w:rFonts w:hint="eastAsia" w:hAnsi="宋体" w:eastAsia="宋体" w:cs="宋体"/>
          <w:bCs/>
          <w:color w:val="auto"/>
          <w:sz w:val="22"/>
          <w:szCs w:val="22"/>
          <w:highlight w:val="none"/>
        </w:rPr>
        <w:t>1、根据已收到的</w:t>
      </w:r>
      <w:r>
        <w:rPr>
          <w:rFonts w:hint="eastAsia" w:hAnsi="宋体" w:eastAsia="宋体" w:cs="宋体"/>
          <w:bCs/>
          <w:color w:val="auto"/>
          <w:sz w:val="22"/>
          <w:szCs w:val="22"/>
          <w:highlight w:val="none"/>
          <w:u w:val="single"/>
        </w:rPr>
        <w:t xml:space="preserve">                                  </w:t>
      </w:r>
      <w:r>
        <w:rPr>
          <w:rFonts w:hint="eastAsia" w:hAnsi="宋体" w:eastAsia="宋体" w:cs="宋体"/>
          <w:bCs/>
          <w:color w:val="auto"/>
          <w:sz w:val="22"/>
          <w:szCs w:val="22"/>
          <w:highlight w:val="none"/>
        </w:rPr>
        <w:t>（项目名称）的竞争性磋商文件，遵相关法律的规定，我单位经研究上述竞争性磋商文件的供应商须知、合同条件、技术规范其他有关文件后，我方愿以总报价人民币（大写）</w:t>
      </w:r>
      <w:r>
        <w:rPr>
          <w:rFonts w:hint="eastAsia" w:hAnsi="宋体" w:eastAsia="宋体" w:cs="宋体"/>
          <w:bCs/>
          <w:color w:val="auto"/>
          <w:sz w:val="22"/>
          <w:szCs w:val="22"/>
          <w:highlight w:val="none"/>
          <w:u w:val="single"/>
        </w:rPr>
        <w:t xml:space="preserve">              </w:t>
      </w:r>
      <w:r>
        <w:rPr>
          <w:rFonts w:hint="eastAsia" w:hAnsi="宋体" w:eastAsia="宋体" w:cs="宋体"/>
          <w:bCs/>
          <w:color w:val="auto"/>
          <w:sz w:val="22"/>
          <w:szCs w:val="22"/>
          <w:highlight w:val="none"/>
        </w:rPr>
        <w:t xml:space="preserve">元整（¥ </w:t>
      </w:r>
      <w:r>
        <w:rPr>
          <w:rFonts w:hint="eastAsia" w:hAnsi="宋体" w:eastAsia="宋体" w:cs="宋体"/>
          <w:bCs/>
          <w:color w:val="auto"/>
          <w:sz w:val="22"/>
          <w:szCs w:val="22"/>
          <w:highlight w:val="none"/>
          <w:u w:val="single"/>
        </w:rPr>
        <w:t xml:space="preserve">      </w:t>
      </w:r>
      <w:r>
        <w:rPr>
          <w:rFonts w:hint="eastAsia" w:hAnsi="宋体" w:eastAsia="宋体" w:cs="宋体"/>
          <w:bCs/>
          <w:color w:val="auto"/>
          <w:sz w:val="22"/>
          <w:szCs w:val="22"/>
          <w:highlight w:val="none"/>
        </w:rPr>
        <w:t>），</w:t>
      </w:r>
      <w:r>
        <w:rPr>
          <w:rFonts w:hint="eastAsia" w:hAnsi="宋体" w:eastAsia="宋体" w:cs="宋体"/>
          <w:color w:val="auto"/>
          <w:kern w:val="0"/>
          <w:sz w:val="22"/>
          <w:szCs w:val="22"/>
          <w:highlight w:val="none"/>
        </w:rPr>
        <w:t>交付时间</w:t>
      </w:r>
      <w:r>
        <w:rPr>
          <w:rFonts w:hint="eastAsia" w:hAnsi="宋体" w:eastAsia="宋体" w:cs="宋体"/>
          <w:bCs/>
          <w:color w:val="auto"/>
          <w:sz w:val="22"/>
          <w:szCs w:val="22"/>
          <w:highlight w:val="none"/>
        </w:rPr>
        <w:t>：</w:t>
      </w:r>
      <w:r>
        <w:rPr>
          <w:rFonts w:hint="eastAsia" w:hAnsi="宋体" w:eastAsia="宋体" w:cs="宋体"/>
          <w:bCs/>
          <w:color w:val="auto"/>
          <w:sz w:val="22"/>
          <w:szCs w:val="22"/>
          <w:highlight w:val="none"/>
          <w:u w:val="single"/>
        </w:rPr>
        <w:t xml:space="preserve">                     </w:t>
      </w:r>
      <w:r>
        <w:rPr>
          <w:rFonts w:hint="eastAsia" w:hAnsi="宋体" w:eastAsia="宋体" w:cs="宋体"/>
          <w:bCs/>
          <w:color w:val="auto"/>
          <w:sz w:val="22"/>
          <w:szCs w:val="22"/>
          <w:highlight w:val="none"/>
        </w:rPr>
        <w:t>。</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2、一旦我方成交，我方保证在合同生效后，承诺</w:t>
      </w:r>
      <w:r>
        <w:rPr>
          <w:rFonts w:hint="eastAsia" w:ascii="宋体" w:hAnsi="宋体" w:eastAsia="宋体" w:cs="宋体"/>
          <w:bCs/>
          <w:color w:val="auto"/>
          <w:sz w:val="22"/>
          <w:szCs w:val="22"/>
          <w:highlight w:val="none"/>
          <w:lang w:val="zh-CN"/>
        </w:rPr>
        <w:t>在规定的时间内完成本</w:t>
      </w:r>
      <w:r>
        <w:rPr>
          <w:rFonts w:hint="eastAsia" w:ascii="宋体" w:hAnsi="宋体" w:eastAsia="宋体" w:cs="宋体"/>
          <w:bCs/>
          <w:color w:val="auto"/>
          <w:sz w:val="22"/>
          <w:szCs w:val="22"/>
          <w:highlight w:val="none"/>
        </w:rPr>
        <w:t>项目所有服务内容，并通过采购单位及审核部门验收。</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3、我方已详细审核全部磋商文件，包括项目补遗文件及有关附件。</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4、我方承认商务标部分、技术标部分以及附件成为我公司响应文件的组成部分。</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5、一旦成交，我方保证按照磋商文件的要求和与采购人签订的委托合同，成立本项目的项目部，派响应文件拟定的工作人员实地考察并进行开展工作。</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6、我方同意所提交的响应文件在“供应商须知”规定的磋商有效期内有效，在此期间内如果成交，我方将受此约束。</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7、除非另外达成协议并生效，你方的成交通知书和本响应文件将成为约束双方的合同文件的组成部分。</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8、我方将与本磋商函一起，提交人民币</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元的磋商保证金。</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9、如果我公司成交后没有正当理由而拒绝签订合同或没有按磋商文件规定的期限内开始本项目的工作，我们愿意补偿贵方因该项目工作延误造成的经济损失，并由贵方没收我方的磋商保证金。</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与本磋商有关的正式通讯地址为：</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地址：                                 邮政编码：                   </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电话、电报、传真或电传：                                            </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开户名称：                                                          </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开户银行：                                                          </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账号：                                                              </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法定代表人或委托代理人签名：                                        </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供应商盖公章：                                                      </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日   期 ：     年    月    日</w:t>
      </w:r>
    </w:p>
    <w:p>
      <w:pPr>
        <w:spacing w:line="440" w:lineRule="exact"/>
        <w:ind w:firstLine="431" w:firstLineChars="196"/>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注：若此函由多页构成的，需逐页加盖供应商单位公章并由法定代表人</w:t>
      </w:r>
      <w:r>
        <w:rPr>
          <w:rFonts w:hint="eastAsia" w:ascii="宋体" w:hAnsi="宋体" w:eastAsia="宋体" w:cs="宋体"/>
          <w:color w:val="auto"/>
          <w:sz w:val="22"/>
          <w:szCs w:val="22"/>
          <w:highlight w:val="none"/>
        </w:rPr>
        <w:t>（企业负责人）</w:t>
      </w:r>
      <w:r>
        <w:rPr>
          <w:rFonts w:hint="eastAsia" w:ascii="宋体" w:hAnsi="宋体" w:eastAsia="宋体" w:cs="宋体"/>
          <w:bCs/>
          <w:color w:val="auto"/>
          <w:sz w:val="22"/>
          <w:szCs w:val="22"/>
          <w:highlight w:val="none"/>
        </w:rPr>
        <w:t>或被授权人签字，否则磋商无效。</w:t>
      </w:r>
    </w:p>
    <w:p>
      <w:pPr>
        <w:pStyle w:val="30"/>
        <w:rPr>
          <w:rFonts w:ascii="宋体" w:hAnsi="宋体" w:eastAsia="宋体" w:cs="宋体"/>
          <w:color w:val="auto"/>
          <w:highlight w:val="none"/>
          <w:lang w:bidi="ar"/>
        </w:rPr>
      </w:pPr>
    </w:p>
    <w:p>
      <w:pPr>
        <w:spacing w:line="360" w:lineRule="auto"/>
        <w:jc w:val="center"/>
        <w:rPr>
          <w:rFonts w:ascii="宋体" w:hAnsi="宋体"/>
          <w:color w:val="auto"/>
          <w:szCs w:val="21"/>
          <w:highlight w:val="none"/>
        </w:rPr>
      </w:pPr>
      <w:r>
        <w:rPr>
          <w:rFonts w:hint="eastAsia" w:ascii="宋体" w:hAnsi="宋体" w:eastAsia="宋体" w:cs="宋体"/>
          <w:b/>
          <w:color w:val="auto"/>
          <w:sz w:val="32"/>
          <w:szCs w:val="32"/>
          <w:highlight w:val="none"/>
        </w:rPr>
        <w:t>报价表（格式）</w:t>
      </w:r>
    </w:p>
    <w:p>
      <w:pPr>
        <w:spacing w:line="360" w:lineRule="auto"/>
        <w:rPr>
          <w:rFonts w:ascii="宋体" w:hAnsi="宋体"/>
          <w:color w:val="auto"/>
          <w:szCs w:val="21"/>
          <w:highlight w:val="none"/>
        </w:rPr>
      </w:pPr>
      <w:r>
        <w:rPr>
          <w:rFonts w:hint="eastAsia" w:ascii="宋体" w:hAnsi="宋体"/>
          <w:color w:val="auto"/>
          <w:szCs w:val="21"/>
          <w:highlight w:val="none"/>
        </w:rPr>
        <w:t xml:space="preserve">                                                                           币种：人民币                                                     </w:t>
      </w:r>
    </w:p>
    <w:tbl>
      <w:tblPr>
        <w:tblStyle w:val="18"/>
        <w:tblW w:w="9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413"/>
        <w:gridCol w:w="589"/>
        <w:gridCol w:w="816"/>
        <w:gridCol w:w="2102"/>
        <w:gridCol w:w="737"/>
        <w:gridCol w:w="761"/>
        <w:gridCol w:w="938"/>
        <w:gridCol w:w="1184"/>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5" w:hRule="atLeast"/>
          <w:jc w:val="center"/>
        </w:trPr>
        <w:tc>
          <w:tcPr>
            <w:tcW w:w="391" w:type="dxa"/>
            <w:vAlign w:val="center"/>
          </w:tcPr>
          <w:p>
            <w:pPr>
              <w:pStyle w:val="10"/>
              <w:jc w:val="center"/>
              <w:rPr>
                <w:rFonts w:hAnsi="宋体" w:cs="宋体"/>
                <w:color w:val="auto"/>
                <w:spacing w:val="-20"/>
                <w:sz w:val="24"/>
                <w:szCs w:val="24"/>
                <w:highlight w:val="none"/>
              </w:rPr>
            </w:pPr>
            <w:r>
              <w:rPr>
                <w:rFonts w:hint="eastAsia" w:hAnsi="宋体" w:cs="宋体"/>
                <w:color w:val="auto"/>
                <w:spacing w:val="-20"/>
                <w:sz w:val="24"/>
                <w:szCs w:val="24"/>
                <w:highlight w:val="none"/>
              </w:rPr>
              <w:t>项号</w:t>
            </w:r>
          </w:p>
        </w:tc>
        <w:tc>
          <w:tcPr>
            <w:tcW w:w="1413" w:type="dxa"/>
            <w:vAlign w:val="center"/>
          </w:tcPr>
          <w:p>
            <w:pPr>
              <w:pStyle w:val="10"/>
              <w:jc w:val="center"/>
              <w:rPr>
                <w:rFonts w:hAnsi="宋体" w:cs="宋体"/>
                <w:color w:val="auto"/>
                <w:spacing w:val="-20"/>
                <w:sz w:val="24"/>
                <w:szCs w:val="24"/>
                <w:highlight w:val="none"/>
              </w:rPr>
            </w:pPr>
            <w:r>
              <w:rPr>
                <w:rFonts w:hint="eastAsia" w:hAnsi="宋体" w:cs="宋体"/>
                <w:color w:val="auto"/>
                <w:spacing w:val="-20"/>
                <w:sz w:val="24"/>
                <w:szCs w:val="24"/>
                <w:highlight w:val="none"/>
              </w:rPr>
              <w:t>名称</w:t>
            </w:r>
          </w:p>
        </w:tc>
        <w:tc>
          <w:tcPr>
            <w:tcW w:w="589" w:type="dxa"/>
            <w:vAlign w:val="center"/>
          </w:tcPr>
          <w:p>
            <w:pPr>
              <w:pStyle w:val="10"/>
              <w:jc w:val="center"/>
              <w:rPr>
                <w:rFonts w:hAnsi="宋体" w:cs="宋体"/>
                <w:color w:val="auto"/>
                <w:spacing w:val="-20"/>
                <w:sz w:val="24"/>
                <w:szCs w:val="24"/>
                <w:highlight w:val="none"/>
              </w:rPr>
            </w:pPr>
            <w:r>
              <w:rPr>
                <w:rFonts w:hint="eastAsia" w:hAnsi="宋体" w:cs="宋体"/>
                <w:color w:val="auto"/>
                <w:sz w:val="24"/>
                <w:szCs w:val="24"/>
                <w:highlight w:val="none"/>
              </w:rPr>
              <w:t>品牌、型号</w:t>
            </w:r>
          </w:p>
        </w:tc>
        <w:tc>
          <w:tcPr>
            <w:tcW w:w="816" w:type="dxa"/>
            <w:vAlign w:val="center"/>
          </w:tcPr>
          <w:p>
            <w:pPr>
              <w:pStyle w:val="10"/>
              <w:jc w:val="center"/>
              <w:rPr>
                <w:rFonts w:hAnsi="宋体" w:cs="宋体"/>
                <w:color w:val="auto"/>
                <w:sz w:val="24"/>
                <w:szCs w:val="24"/>
                <w:highlight w:val="none"/>
              </w:rPr>
            </w:pPr>
            <w:r>
              <w:rPr>
                <w:rFonts w:hint="eastAsia" w:hAnsi="宋体" w:cs="宋体"/>
                <w:color w:val="auto"/>
                <w:sz w:val="24"/>
                <w:szCs w:val="24"/>
                <w:highlight w:val="none"/>
              </w:rPr>
              <w:t>生产厂家</w:t>
            </w:r>
          </w:p>
        </w:tc>
        <w:tc>
          <w:tcPr>
            <w:tcW w:w="2102" w:type="dxa"/>
            <w:vAlign w:val="center"/>
          </w:tcPr>
          <w:p>
            <w:pPr>
              <w:pStyle w:val="10"/>
              <w:jc w:val="center"/>
              <w:rPr>
                <w:rFonts w:hAnsi="宋体" w:cs="宋体"/>
                <w:color w:val="auto"/>
                <w:sz w:val="24"/>
                <w:szCs w:val="24"/>
                <w:highlight w:val="none"/>
              </w:rPr>
            </w:pPr>
            <w:r>
              <w:rPr>
                <w:rFonts w:hint="eastAsia" w:hAnsi="宋体" w:cs="宋体"/>
                <w:color w:val="auto"/>
                <w:sz w:val="24"/>
                <w:szCs w:val="24"/>
                <w:highlight w:val="none"/>
              </w:rPr>
              <w:t>技术参数</w:t>
            </w:r>
          </w:p>
        </w:tc>
        <w:tc>
          <w:tcPr>
            <w:tcW w:w="737" w:type="dxa"/>
            <w:vAlign w:val="center"/>
          </w:tcPr>
          <w:p>
            <w:pPr>
              <w:pStyle w:val="10"/>
              <w:jc w:val="center"/>
              <w:rPr>
                <w:rFonts w:hAnsi="宋体" w:cs="宋体"/>
                <w:color w:val="auto"/>
                <w:spacing w:val="-20"/>
                <w:sz w:val="24"/>
                <w:szCs w:val="24"/>
                <w:highlight w:val="none"/>
              </w:rPr>
            </w:pPr>
            <w:r>
              <w:rPr>
                <w:rFonts w:hint="eastAsia" w:hAnsi="宋体" w:cs="宋体"/>
                <w:color w:val="auto"/>
                <w:spacing w:val="-20"/>
                <w:sz w:val="24"/>
                <w:szCs w:val="24"/>
                <w:highlight w:val="none"/>
              </w:rPr>
              <w:t>数量</w:t>
            </w:r>
          </w:p>
          <w:p>
            <w:pPr>
              <w:pStyle w:val="10"/>
              <w:jc w:val="center"/>
              <w:rPr>
                <w:rFonts w:hAnsi="宋体" w:cs="宋体"/>
                <w:color w:val="auto"/>
                <w:sz w:val="24"/>
                <w:szCs w:val="24"/>
                <w:highlight w:val="none"/>
              </w:rPr>
            </w:pPr>
            <w:r>
              <w:rPr>
                <w:rFonts w:hint="eastAsia" w:hAnsi="宋体" w:cs="宋体"/>
                <w:color w:val="auto"/>
                <w:spacing w:val="-20"/>
                <w:sz w:val="24"/>
                <w:szCs w:val="24"/>
                <w:highlight w:val="none"/>
              </w:rPr>
              <w:t>①</w:t>
            </w:r>
          </w:p>
        </w:tc>
        <w:tc>
          <w:tcPr>
            <w:tcW w:w="761" w:type="dxa"/>
            <w:vAlign w:val="center"/>
          </w:tcPr>
          <w:p>
            <w:pPr>
              <w:pStyle w:val="10"/>
              <w:jc w:val="center"/>
              <w:rPr>
                <w:rFonts w:hAnsi="宋体" w:cs="宋体"/>
                <w:color w:val="auto"/>
                <w:sz w:val="24"/>
                <w:szCs w:val="24"/>
                <w:highlight w:val="none"/>
              </w:rPr>
            </w:pPr>
            <w:r>
              <w:rPr>
                <w:rFonts w:hint="eastAsia" w:hAnsi="宋体" w:cs="宋体"/>
                <w:color w:val="auto"/>
                <w:sz w:val="24"/>
                <w:szCs w:val="24"/>
                <w:highlight w:val="none"/>
              </w:rPr>
              <w:t>单位</w:t>
            </w:r>
          </w:p>
        </w:tc>
        <w:tc>
          <w:tcPr>
            <w:tcW w:w="938" w:type="dxa"/>
            <w:vAlign w:val="center"/>
          </w:tcPr>
          <w:p>
            <w:pPr>
              <w:pStyle w:val="10"/>
              <w:jc w:val="center"/>
              <w:rPr>
                <w:rFonts w:hAnsi="宋体" w:cs="宋体"/>
                <w:color w:val="auto"/>
                <w:sz w:val="24"/>
                <w:szCs w:val="24"/>
                <w:highlight w:val="none"/>
              </w:rPr>
            </w:pPr>
            <w:r>
              <w:rPr>
                <w:rFonts w:hint="eastAsia" w:hAnsi="宋体" w:cs="宋体"/>
                <w:color w:val="auto"/>
                <w:sz w:val="24"/>
                <w:szCs w:val="24"/>
                <w:highlight w:val="none"/>
              </w:rPr>
              <w:t>单价</w:t>
            </w:r>
          </w:p>
          <w:p>
            <w:pPr>
              <w:pStyle w:val="10"/>
              <w:jc w:val="center"/>
              <w:rPr>
                <w:rFonts w:hAnsi="宋体" w:cs="宋体"/>
                <w:color w:val="auto"/>
                <w:sz w:val="24"/>
                <w:szCs w:val="24"/>
                <w:highlight w:val="none"/>
              </w:rPr>
            </w:pPr>
            <w:r>
              <w:rPr>
                <w:rFonts w:hint="eastAsia" w:hAnsi="宋体" w:cs="宋体"/>
                <w:color w:val="auto"/>
                <w:sz w:val="24"/>
                <w:szCs w:val="24"/>
                <w:highlight w:val="none"/>
              </w:rPr>
              <w:t>（元）</w:t>
            </w:r>
          </w:p>
          <w:p>
            <w:pPr>
              <w:pStyle w:val="10"/>
              <w:jc w:val="center"/>
              <w:rPr>
                <w:rFonts w:hAnsi="宋体" w:cs="宋体"/>
                <w:color w:val="auto"/>
                <w:sz w:val="24"/>
                <w:szCs w:val="24"/>
                <w:highlight w:val="none"/>
              </w:rPr>
            </w:pPr>
            <w:r>
              <w:rPr>
                <w:rFonts w:hint="eastAsia" w:hAnsi="宋体" w:cs="宋体"/>
                <w:color w:val="auto"/>
                <w:sz w:val="24"/>
                <w:szCs w:val="24"/>
                <w:highlight w:val="none"/>
              </w:rPr>
              <w:t>②</w:t>
            </w:r>
          </w:p>
        </w:tc>
        <w:tc>
          <w:tcPr>
            <w:tcW w:w="1184" w:type="dxa"/>
            <w:vAlign w:val="center"/>
          </w:tcPr>
          <w:p>
            <w:pPr>
              <w:pStyle w:val="10"/>
              <w:jc w:val="center"/>
              <w:rPr>
                <w:rFonts w:hAnsi="宋体" w:cs="宋体"/>
                <w:color w:val="auto"/>
                <w:sz w:val="24"/>
                <w:szCs w:val="24"/>
                <w:highlight w:val="none"/>
              </w:rPr>
            </w:pPr>
            <w:r>
              <w:rPr>
                <w:rFonts w:hint="eastAsia" w:hAnsi="宋体" w:cs="宋体"/>
                <w:color w:val="auto"/>
                <w:sz w:val="24"/>
                <w:szCs w:val="24"/>
                <w:highlight w:val="none"/>
              </w:rPr>
              <w:t>单项合价</w:t>
            </w:r>
          </w:p>
          <w:p>
            <w:pPr>
              <w:pStyle w:val="10"/>
              <w:jc w:val="center"/>
              <w:rPr>
                <w:rFonts w:hAnsi="宋体" w:cs="宋体"/>
                <w:color w:val="auto"/>
                <w:sz w:val="24"/>
                <w:szCs w:val="24"/>
                <w:highlight w:val="none"/>
              </w:rPr>
            </w:pPr>
            <w:r>
              <w:rPr>
                <w:rFonts w:hint="eastAsia" w:hAnsi="宋体" w:cs="宋体"/>
                <w:color w:val="auto"/>
                <w:sz w:val="24"/>
                <w:szCs w:val="24"/>
                <w:highlight w:val="none"/>
              </w:rPr>
              <w:t>（元）</w:t>
            </w:r>
          </w:p>
          <w:p>
            <w:pPr>
              <w:pStyle w:val="10"/>
              <w:jc w:val="center"/>
              <w:rPr>
                <w:rFonts w:hAnsi="宋体" w:cs="宋体"/>
                <w:color w:val="auto"/>
                <w:sz w:val="24"/>
                <w:szCs w:val="24"/>
                <w:highlight w:val="none"/>
              </w:rPr>
            </w:pPr>
            <w:r>
              <w:rPr>
                <w:rFonts w:hint="eastAsia" w:hAnsi="宋体" w:cs="宋体"/>
                <w:color w:val="auto"/>
                <w:sz w:val="24"/>
                <w:szCs w:val="24"/>
                <w:highlight w:val="none"/>
              </w:rPr>
              <w:t>③=①×②</w:t>
            </w:r>
          </w:p>
        </w:tc>
        <w:tc>
          <w:tcPr>
            <w:tcW w:w="862" w:type="dxa"/>
            <w:vAlign w:val="center"/>
          </w:tcPr>
          <w:p>
            <w:pPr>
              <w:pStyle w:val="10"/>
              <w:jc w:val="center"/>
              <w:rPr>
                <w:rFonts w:hAnsi="宋体" w:cs="宋体"/>
                <w:color w:val="auto"/>
                <w:sz w:val="24"/>
                <w:szCs w:val="24"/>
                <w:highlight w:val="none"/>
              </w:rPr>
            </w:pPr>
            <w:r>
              <w:rPr>
                <w:rFonts w:hint="eastAsia"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391" w:type="dxa"/>
            <w:vAlign w:val="center"/>
          </w:tcPr>
          <w:p>
            <w:pPr>
              <w:jc w:val="center"/>
              <w:rPr>
                <w:rFonts w:ascii="宋体" w:hAnsi="宋体" w:eastAsia="宋体" w:cs="宋体"/>
                <w:color w:val="auto"/>
                <w:highlight w:val="none"/>
              </w:rPr>
            </w:pPr>
          </w:p>
        </w:tc>
        <w:tc>
          <w:tcPr>
            <w:tcW w:w="1413" w:type="dxa"/>
            <w:vAlign w:val="center"/>
          </w:tcPr>
          <w:p>
            <w:pPr>
              <w:jc w:val="center"/>
              <w:rPr>
                <w:rFonts w:ascii="宋体" w:hAnsi="宋体" w:eastAsia="宋体" w:cs="宋体"/>
                <w:color w:val="auto"/>
                <w:highlight w:val="none"/>
              </w:rPr>
            </w:pPr>
          </w:p>
        </w:tc>
        <w:tc>
          <w:tcPr>
            <w:tcW w:w="589" w:type="dxa"/>
            <w:vAlign w:val="center"/>
          </w:tcPr>
          <w:p>
            <w:pPr>
              <w:jc w:val="center"/>
              <w:rPr>
                <w:rFonts w:ascii="宋体" w:hAnsi="宋体" w:eastAsia="宋体" w:cs="宋体"/>
                <w:color w:val="auto"/>
                <w:highlight w:val="none"/>
              </w:rPr>
            </w:pPr>
          </w:p>
        </w:tc>
        <w:tc>
          <w:tcPr>
            <w:tcW w:w="816" w:type="dxa"/>
            <w:vAlign w:val="center"/>
          </w:tcPr>
          <w:p>
            <w:pPr>
              <w:pStyle w:val="10"/>
              <w:jc w:val="center"/>
              <w:rPr>
                <w:rFonts w:hAnsi="宋体" w:cs="宋体"/>
                <w:color w:val="auto"/>
                <w:sz w:val="24"/>
                <w:szCs w:val="24"/>
                <w:highlight w:val="none"/>
              </w:rPr>
            </w:pPr>
          </w:p>
        </w:tc>
        <w:tc>
          <w:tcPr>
            <w:tcW w:w="2102" w:type="dxa"/>
            <w:vAlign w:val="center"/>
          </w:tcPr>
          <w:p>
            <w:pPr>
              <w:pStyle w:val="10"/>
              <w:jc w:val="center"/>
              <w:rPr>
                <w:rFonts w:hAnsi="宋体" w:cs="宋体"/>
                <w:color w:val="auto"/>
                <w:sz w:val="24"/>
                <w:szCs w:val="24"/>
                <w:highlight w:val="none"/>
              </w:rPr>
            </w:pPr>
          </w:p>
        </w:tc>
        <w:tc>
          <w:tcPr>
            <w:tcW w:w="737" w:type="dxa"/>
            <w:vAlign w:val="center"/>
          </w:tcPr>
          <w:p>
            <w:pPr>
              <w:pStyle w:val="10"/>
              <w:jc w:val="center"/>
              <w:rPr>
                <w:rFonts w:hAnsi="宋体" w:cs="宋体"/>
                <w:color w:val="auto"/>
                <w:sz w:val="24"/>
                <w:szCs w:val="24"/>
                <w:highlight w:val="none"/>
              </w:rPr>
            </w:pPr>
          </w:p>
        </w:tc>
        <w:tc>
          <w:tcPr>
            <w:tcW w:w="761" w:type="dxa"/>
            <w:vAlign w:val="center"/>
          </w:tcPr>
          <w:p>
            <w:pPr>
              <w:pStyle w:val="10"/>
              <w:rPr>
                <w:rFonts w:hAnsi="宋体" w:cs="宋体"/>
                <w:color w:val="auto"/>
                <w:sz w:val="24"/>
                <w:szCs w:val="24"/>
                <w:highlight w:val="none"/>
              </w:rPr>
            </w:pPr>
          </w:p>
        </w:tc>
        <w:tc>
          <w:tcPr>
            <w:tcW w:w="938" w:type="dxa"/>
            <w:vAlign w:val="center"/>
          </w:tcPr>
          <w:p>
            <w:pPr>
              <w:pStyle w:val="10"/>
              <w:rPr>
                <w:rFonts w:hAnsi="宋体" w:cs="宋体"/>
                <w:color w:val="auto"/>
                <w:sz w:val="24"/>
                <w:szCs w:val="24"/>
                <w:highlight w:val="none"/>
              </w:rPr>
            </w:pPr>
          </w:p>
        </w:tc>
        <w:tc>
          <w:tcPr>
            <w:tcW w:w="1184" w:type="dxa"/>
            <w:vAlign w:val="center"/>
          </w:tcPr>
          <w:p>
            <w:pPr>
              <w:pStyle w:val="10"/>
              <w:rPr>
                <w:rFonts w:hAnsi="宋体" w:cs="宋体"/>
                <w:color w:val="auto"/>
                <w:spacing w:val="-6"/>
                <w:sz w:val="24"/>
                <w:szCs w:val="24"/>
                <w:highlight w:val="none"/>
              </w:rPr>
            </w:pPr>
          </w:p>
        </w:tc>
        <w:tc>
          <w:tcPr>
            <w:tcW w:w="862" w:type="dxa"/>
            <w:vAlign w:val="center"/>
          </w:tcPr>
          <w:p>
            <w:pPr>
              <w:pStyle w:val="10"/>
              <w:rPr>
                <w:rFonts w:hAnsi="宋体" w:cs="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391" w:type="dxa"/>
            <w:vAlign w:val="center"/>
          </w:tcPr>
          <w:p>
            <w:pPr>
              <w:jc w:val="center"/>
              <w:rPr>
                <w:rFonts w:ascii="宋体" w:hAnsi="宋体" w:eastAsia="宋体" w:cs="宋体"/>
                <w:color w:val="auto"/>
                <w:highlight w:val="none"/>
              </w:rPr>
            </w:pPr>
          </w:p>
        </w:tc>
        <w:tc>
          <w:tcPr>
            <w:tcW w:w="1413" w:type="dxa"/>
            <w:vAlign w:val="center"/>
          </w:tcPr>
          <w:p>
            <w:pPr>
              <w:jc w:val="center"/>
              <w:rPr>
                <w:rFonts w:ascii="宋体" w:hAnsi="宋体" w:eastAsia="宋体" w:cs="宋体"/>
                <w:color w:val="auto"/>
                <w:highlight w:val="none"/>
              </w:rPr>
            </w:pPr>
          </w:p>
        </w:tc>
        <w:tc>
          <w:tcPr>
            <w:tcW w:w="589" w:type="dxa"/>
            <w:vAlign w:val="center"/>
          </w:tcPr>
          <w:p>
            <w:pPr>
              <w:jc w:val="center"/>
              <w:rPr>
                <w:rFonts w:ascii="宋体" w:hAnsi="宋体" w:eastAsia="宋体" w:cs="宋体"/>
                <w:color w:val="auto"/>
                <w:highlight w:val="none"/>
              </w:rPr>
            </w:pPr>
          </w:p>
        </w:tc>
        <w:tc>
          <w:tcPr>
            <w:tcW w:w="816" w:type="dxa"/>
            <w:vAlign w:val="center"/>
          </w:tcPr>
          <w:p>
            <w:pPr>
              <w:pStyle w:val="10"/>
              <w:rPr>
                <w:rFonts w:hAnsi="宋体" w:cs="宋体"/>
                <w:color w:val="auto"/>
                <w:sz w:val="24"/>
                <w:szCs w:val="24"/>
                <w:highlight w:val="none"/>
              </w:rPr>
            </w:pPr>
          </w:p>
        </w:tc>
        <w:tc>
          <w:tcPr>
            <w:tcW w:w="2102" w:type="dxa"/>
            <w:vAlign w:val="center"/>
          </w:tcPr>
          <w:p>
            <w:pPr>
              <w:pStyle w:val="10"/>
              <w:rPr>
                <w:rFonts w:hAnsi="宋体" w:cs="宋体"/>
                <w:color w:val="auto"/>
                <w:sz w:val="24"/>
                <w:szCs w:val="24"/>
                <w:highlight w:val="none"/>
              </w:rPr>
            </w:pPr>
          </w:p>
        </w:tc>
        <w:tc>
          <w:tcPr>
            <w:tcW w:w="737" w:type="dxa"/>
            <w:vAlign w:val="center"/>
          </w:tcPr>
          <w:p>
            <w:pPr>
              <w:pStyle w:val="10"/>
              <w:rPr>
                <w:rFonts w:hAnsi="宋体" w:cs="宋体"/>
                <w:color w:val="auto"/>
                <w:sz w:val="24"/>
                <w:szCs w:val="24"/>
                <w:highlight w:val="none"/>
              </w:rPr>
            </w:pPr>
          </w:p>
        </w:tc>
        <w:tc>
          <w:tcPr>
            <w:tcW w:w="761" w:type="dxa"/>
            <w:vAlign w:val="center"/>
          </w:tcPr>
          <w:p>
            <w:pPr>
              <w:pStyle w:val="10"/>
              <w:rPr>
                <w:rFonts w:hAnsi="宋体" w:cs="宋体"/>
                <w:color w:val="auto"/>
                <w:sz w:val="24"/>
                <w:szCs w:val="24"/>
                <w:highlight w:val="none"/>
              </w:rPr>
            </w:pPr>
          </w:p>
        </w:tc>
        <w:tc>
          <w:tcPr>
            <w:tcW w:w="938" w:type="dxa"/>
            <w:vAlign w:val="center"/>
          </w:tcPr>
          <w:p>
            <w:pPr>
              <w:pStyle w:val="10"/>
              <w:rPr>
                <w:rFonts w:hAnsi="宋体" w:cs="宋体"/>
                <w:color w:val="auto"/>
                <w:sz w:val="24"/>
                <w:szCs w:val="24"/>
                <w:highlight w:val="none"/>
              </w:rPr>
            </w:pPr>
          </w:p>
        </w:tc>
        <w:tc>
          <w:tcPr>
            <w:tcW w:w="1184" w:type="dxa"/>
            <w:vAlign w:val="center"/>
          </w:tcPr>
          <w:p>
            <w:pPr>
              <w:pStyle w:val="10"/>
              <w:rPr>
                <w:rFonts w:hAnsi="宋体" w:cs="宋体"/>
                <w:color w:val="auto"/>
                <w:spacing w:val="-6"/>
                <w:sz w:val="24"/>
                <w:szCs w:val="24"/>
                <w:highlight w:val="none"/>
              </w:rPr>
            </w:pPr>
          </w:p>
        </w:tc>
        <w:tc>
          <w:tcPr>
            <w:tcW w:w="862" w:type="dxa"/>
            <w:vAlign w:val="center"/>
          </w:tcPr>
          <w:p>
            <w:pPr>
              <w:pStyle w:val="10"/>
              <w:rPr>
                <w:rFonts w:hAnsi="宋体" w:cs="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391" w:type="dxa"/>
            <w:vAlign w:val="center"/>
          </w:tcPr>
          <w:p>
            <w:pPr>
              <w:jc w:val="center"/>
              <w:rPr>
                <w:rFonts w:ascii="宋体" w:hAnsi="宋体" w:eastAsia="宋体" w:cs="宋体"/>
                <w:color w:val="auto"/>
                <w:highlight w:val="none"/>
              </w:rPr>
            </w:pPr>
          </w:p>
        </w:tc>
        <w:tc>
          <w:tcPr>
            <w:tcW w:w="1413" w:type="dxa"/>
            <w:vAlign w:val="center"/>
          </w:tcPr>
          <w:p>
            <w:pPr>
              <w:jc w:val="center"/>
              <w:rPr>
                <w:rFonts w:ascii="宋体" w:hAnsi="宋体" w:eastAsia="宋体" w:cs="宋体"/>
                <w:color w:val="auto"/>
                <w:highlight w:val="none"/>
              </w:rPr>
            </w:pPr>
          </w:p>
        </w:tc>
        <w:tc>
          <w:tcPr>
            <w:tcW w:w="589" w:type="dxa"/>
            <w:vAlign w:val="center"/>
          </w:tcPr>
          <w:p>
            <w:pPr>
              <w:jc w:val="center"/>
              <w:rPr>
                <w:rFonts w:ascii="宋体" w:hAnsi="宋体" w:eastAsia="宋体" w:cs="宋体"/>
                <w:color w:val="auto"/>
                <w:highlight w:val="none"/>
              </w:rPr>
            </w:pPr>
          </w:p>
        </w:tc>
        <w:tc>
          <w:tcPr>
            <w:tcW w:w="816" w:type="dxa"/>
            <w:vAlign w:val="center"/>
          </w:tcPr>
          <w:p>
            <w:pPr>
              <w:pStyle w:val="10"/>
              <w:rPr>
                <w:rFonts w:hAnsi="宋体" w:cs="宋体"/>
                <w:color w:val="auto"/>
                <w:sz w:val="24"/>
                <w:szCs w:val="24"/>
                <w:highlight w:val="none"/>
              </w:rPr>
            </w:pPr>
          </w:p>
        </w:tc>
        <w:tc>
          <w:tcPr>
            <w:tcW w:w="2102" w:type="dxa"/>
            <w:vAlign w:val="center"/>
          </w:tcPr>
          <w:p>
            <w:pPr>
              <w:pStyle w:val="10"/>
              <w:rPr>
                <w:rFonts w:hAnsi="宋体" w:cs="宋体"/>
                <w:color w:val="auto"/>
                <w:sz w:val="24"/>
                <w:szCs w:val="24"/>
                <w:highlight w:val="none"/>
              </w:rPr>
            </w:pPr>
          </w:p>
        </w:tc>
        <w:tc>
          <w:tcPr>
            <w:tcW w:w="737" w:type="dxa"/>
            <w:vAlign w:val="center"/>
          </w:tcPr>
          <w:p>
            <w:pPr>
              <w:pStyle w:val="10"/>
              <w:rPr>
                <w:rFonts w:hAnsi="宋体" w:cs="宋体"/>
                <w:color w:val="auto"/>
                <w:sz w:val="24"/>
                <w:szCs w:val="24"/>
                <w:highlight w:val="none"/>
              </w:rPr>
            </w:pPr>
          </w:p>
        </w:tc>
        <w:tc>
          <w:tcPr>
            <w:tcW w:w="761" w:type="dxa"/>
            <w:vAlign w:val="center"/>
          </w:tcPr>
          <w:p>
            <w:pPr>
              <w:pStyle w:val="10"/>
              <w:rPr>
                <w:rFonts w:hAnsi="宋体" w:cs="宋体"/>
                <w:color w:val="auto"/>
                <w:sz w:val="24"/>
                <w:szCs w:val="24"/>
                <w:highlight w:val="none"/>
              </w:rPr>
            </w:pPr>
          </w:p>
        </w:tc>
        <w:tc>
          <w:tcPr>
            <w:tcW w:w="938" w:type="dxa"/>
            <w:vAlign w:val="center"/>
          </w:tcPr>
          <w:p>
            <w:pPr>
              <w:pStyle w:val="10"/>
              <w:rPr>
                <w:rFonts w:hAnsi="宋体" w:cs="宋体"/>
                <w:color w:val="auto"/>
                <w:sz w:val="24"/>
                <w:szCs w:val="24"/>
                <w:highlight w:val="none"/>
              </w:rPr>
            </w:pPr>
          </w:p>
        </w:tc>
        <w:tc>
          <w:tcPr>
            <w:tcW w:w="1184" w:type="dxa"/>
            <w:vAlign w:val="center"/>
          </w:tcPr>
          <w:p>
            <w:pPr>
              <w:pStyle w:val="10"/>
              <w:rPr>
                <w:rFonts w:hAnsi="宋体" w:cs="宋体"/>
                <w:color w:val="auto"/>
                <w:spacing w:val="-6"/>
                <w:sz w:val="24"/>
                <w:szCs w:val="24"/>
                <w:highlight w:val="none"/>
              </w:rPr>
            </w:pPr>
          </w:p>
        </w:tc>
        <w:tc>
          <w:tcPr>
            <w:tcW w:w="862" w:type="dxa"/>
            <w:vAlign w:val="center"/>
          </w:tcPr>
          <w:p>
            <w:pPr>
              <w:pStyle w:val="10"/>
              <w:rPr>
                <w:rFonts w:hAnsi="宋体" w:cs="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793" w:type="dxa"/>
            <w:gridSpan w:val="10"/>
            <w:vAlign w:val="center"/>
          </w:tcPr>
          <w:p>
            <w:pPr>
              <w:pStyle w:val="10"/>
              <w:rPr>
                <w:rFonts w:hAnsi="宋体" w:cs="宋体"/>
                <w:b/>
                <w:color w:val="auto"/>
                <w:spacing w:val="-6"/>
                <w:sz w:val="24"/>
                <w:szCs w:val="24"/>
                <w:highlight w:val="none"/>
              </w:rPr>
            </w:pPr>
            <w:r>
              <w:rPr>
                <w:rFonts w:hint="eastAsia" w:hAnsi="宋体" w:cs="宋体"/>
                <w:b/>
                <w:color w:val="auto"/>
                <w:spacing w:val="-6"/>
                <w:sz w:val="24"/>
                <w:szCs w:val="24"/>
                <w:highlight w:val="none"/>
              </w:rPr>
              <w:t>总报价</w:t>
            </w:r>
            <w:r>
              <w:rPr>
                <w:rFonts w:hint="eastAsia" w:hAnsi="宋体" w:cs="宋体"/>
                <w:color w:val="auto"/>
                <w:spacing w:val="-6"/>
                <w:sz w:val="24"/>
                <w:szCs w:val="24"/>
                <w:highlight w:val="none"/>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793" w:type="dxa"/>
            <w:gridSpan w:val="10"/>
            <w:vAlign w:val="center"/>
          </w:tcPr>
          <w:p>
            <w:pPr>
              <w:pStyle w:val="10"/>
              <w:rPr>
                <w:rFonts w:hAnsi="宋体" w:cs="宋体"/>
                <w:b/>
                <w:color w:val="auto"/>
                <w:spacing w:val="-6"/>
                <w:sz w:val="24"/>
                <w:szCs w:val="24"/>
                <w:highlight w:val="none"/>
              </w:rPr>
            </w:pPr>
            <w:r>
              <w:rPr>
                <w:rFonts w:hint="eastAsia" w:hAnsi="宋体" w:cs="宋体"/>
                <w:b/>
                <w:color w:val="auto"/>
                <w:spacing w:val="-6"/>
                <w:sz w:val="24"/>
                <w:szCs w:val="24"/>
                <w:highlight w:val="none"/>
              </w:rPr>
              <w:t>交付时间：</w:t>
            </w:r>
          </w:p>
        </w:tc>
      </w:tr>
    </w:tbl>
    <w:p>
      <w:pPr>
        <w:spacing w:line="400" w:lineRule="exact"/>
        <w:rPr>
          <w:rFonts w:ascii="宋体" w:hAnsi="宋体" w:eastAsia="宋体" w:cs="宋体"/>
          <w:bCs/>
          <w:color w:val="auto"/>
          <w:kern w:val="0"/>
          <w:highlight w:val="none"/>
        </w:rPr>
      </w:pPr>
    </w:p>
    <w:p>
      <w:pPr>
        <w:pStyle w:val="30"/>
        <w:rPr>
          <w:rFonts w:ascii="宋体" w:hAnsi="宋体" w:eastAsia="宋体" w:cs="宋体"/>
          <w:b/>
          <w:color w:val="auto"/>
          <w:highlight w:val="none"/>
        </w:rPr>
      </w:pPr>
    </w:p>
    <w:p>
      <w:pPr>
        <w:pStyle w:val="30"/>
        <w:rPr>
          <w:rFonts w:ascii="宋体" w:hAnsi="宋体" w:eastAsia="宋体" w:cs="宋体"/>
          <w:b/>
          <w:color w:val="auto"/>
          <w:highlight w:val="none"/>
        </w:rPr>
      </w:pPr>
    </w:p>
    <w:p>
      <w:pPr>
        <w:pStyle w:val="30"/>
        <w:rPr>
          <w:rFonts w:ascii="宋体" w:hAnsi="宋体" w:eastAsia="宋体" w:cs="宋体"/>
          <w:b/>
          <w:color w:val="auto"/>
          <w:highlight w:val="none"/>
        </w:rPr>
      </w:pPr>
    </w:p>
    <w:p>
      <w:pPr>
        <w:pStyle w:val="30"/>
        <w:rPr>
          <w:rFonts w:ascii="宋体" w:hAnsi="宋体" w:eastAsia="宋体" w:cs="宋体"/>
          <w:b/>
          <w:color w:val="auto"/>
          <w:highlight w:val="none"/>
        </w:rPr>
      </w:pPr>
    </w:p>
    <w:p>
      <w:pPr>
        <w:pStyle w:val="30"/>
        <w:rPr>
          <w:rFonts w:ascii="宋体" w:hAnsi="宋体" w:eastAsia="宋体" w:cs="宋体"/>
          <w:b/>
          <w:color w:val="auto"/>
          <w:highlight w:val="none"/>
        </w:rPr>
      </w:pPr>
    </w:p>
    <w:p>
      <w:pPr>
        <w:pStyle w:val="30"/>
        <w:rPr>
          <w:rFonts w:ascii="宋体" w:hAnsi="宋体" w:eastAsia="宋体" w:cs="宋体"/>
          <w:b/>
          <w:color w:val="auto"/>
          <w:sz w:val="22"/>
          <w:szCs w:val="22"/>
          <w:highlight w:val="none"/>
        </w:rPr>
      </w:pPr>
    </w:p>
    <w:p>
      <w:pPr>
        <w:pStyle w:val="10"/>
        <w:spacing w:line="500" w:lineRule="exact"/>
        <w:rPr>
          <w:rFonts w:hAnsi="宋体" w:eastAsia="宋体" w:cs="宋体"/>
          <w:b/>
          <w:color w:val="auto"/>
          <w:kern w:val="0"/>
          <w:sz w:val="22"/>
          <w:szCs w:val="22"/>
          <w:highlight w:val="none"/>
        </w:rPr>
      </w:pPr>
      <w:r>
        <w:rPr>
          <w:rFonts w:hint="eastAsia" w:hAnsi="宋体" w:eastAsia="宋体" w:cs="宋体"/>
          <w:color w:val="auto"/>
          <w:sz w:val="22"/>
          <w:szCs w:val="22"/>
          <w:highlight w:val="none"/>
        </w:rPr>
        <w:t>供应商名称（盖章）：</w:t>
      </w:r>
      <w:r>
        <w:rPr>
          <w:rFonts w:hint="eastAsia" w:hAnsi="宋体" w:eastAsia="宋体" w:cs="宋体"/>
          <w:color w:val="auto"/>
          <w:sz w:val="22"/>
          <w:szCs w:val="22"/>
          <w:highlight w:val="none"/>
          <w:u w:val="single"/>
        </w:rPr>
        <w:t xml:space="preserve">                              </w:t>
      </w:r>
    </w:p>
    <w:p>
      <w:pPr>
        <w:pStyle w:val="10"/>
        <w:spacing w:line="500" w:lineRule="exact"/>
        <w:rPr>
          <w:rFonts w:hAnsi="宋体" w:eastAsia="宋体" w:cs="宋体"/>
          <w:color w:val="auto"/>
          <w:sz w:val="22"/>
          <w:szCs w:val="22"/>
          <w:highlight w:val="none"/>
          <w:u w:val="single"/>
        </w:rPr>
      </w:pPr>
      <w:r>
        <w:rPr>
          <w:rFonts w:hint="eastAsia" w:hAnsi="宋体" w:eastAsia="宋体" w:cs="宋体"/>
          <w:bCs/>
          <w:color w:val="auto"/>
          <w:sz w:val="22"/>
          <w:szCs w:val="22"/>
          <w:highlight w:val="none"/>
        </w:rPr>
        <w:t>法定代表人或委托代理人签名</w:t>
      </w:r>
      <w:r>
        <w:rPr>
          <w:rFonts w:hint="eastAsia" w:hAnsi="宋体" w:eastAsia="宋体" w:cs="宋体"/>
          <w:color w:val="auto"/>
          <w:sz w:val="22"/>
          <w:szCs w:val="22"/>
          <w:highlight w:val="none"/>
        </w:rPr>
        <w:t>:</w:t>
      </w:r>
      <w:r>
        <w:rPr>
          <w:rFonts w:hint="eastAsia" w:hAnsi="宋体" w:eastAsia="宋体" w:cs="宋体"/>
          <w:color w:val="auto"/>
          <w:sz w:val="22"/>
          <w:szCs w:val="22"/>
          <w:highlight w:val="none"/>
          <w:u w:val="single"/>
        </w:rPr>
        <w:t xml:space="preserve">              </w:t>
      </w:r>
    </w:p>
    <w:p>
      <w:pPr>
        <w:pStyle w:val="10"/>
        <w:spacing w:line="500" w:lineRule="exact"/>
        <w:rPr>
          <w:rFonts w:hAnsi="宋体" w:eastAsia="宋体" w:cs="宋体"/>
          <w:color w:val="auto"/>
          <w:sz w:val="22"/>
          <w:szCs w:val="22"/>
          <w:highlight w:val="none"/>
          <w:u w:val="single"/>
        </w:rPr>
      </w:pPr>
      <w:r>
        <w:rPr>
          <w:rFonts w:hint="eastAsia" w:hAnsi="宋体" w:eastAsia="宋体" w:cs="宋体"/>
          <w:color w:val="auto"/>
          <w:sz w:val="22"/>
          <w:szCs w:val="22"/>
          <w:highlight w:val="none"/>
        </w:rPr>
        <w:t>日期：</w:t>
      </w:r>
      <w:r>
        <w:rPr>
          <w:rFonts w:hint="eastAsia" w:hAnsi="宋体" w:eastAsia="宋体" w:cs="宋体"/>
          <w:color w:val="auto"/>
          <w:sz w:val="22"/>
          <w:szCs w:val="22"/>
          <w:highlight w:val="none"/>
          <w:u w:val="single"/>
        </w:rPr>
        <w:t xml:space="preserve">     </w:t>
      </w:r>
      <w:r>
        <w:rPr>
          <w:rFonts w:hint="eastAsia" w:hAnsi="宋体" w:eastAsia="宋体" w:cs="宋体"/>
          <w:color w:val="auto"/>
          <w:sz w:val="22"/>
          <w:szCs w:val="22"/>
          <w:highlight w:val="none"/>
        </w:rPr>
        <w:t>年</w:t>
      </w:r>
      <w:r>
        <w:rPr>
          <w:rFonts w:hint="eastAsia" w:hAnsi="宋体" w:eastAsia="宋体" w:cs="宋体"/>
          <w:color w:val="auto"/>
          <w:sz w:val="22"/>
          <w:szCs w:val="22"/>
          <w:highlight w:val="none"/>
          <w:u w:val="single"/>
        </w:rPr>
        <w:t xml:space="preserve">     </w:t>
      </w:r>
      <w:r>
        <w:rPr>
          <w:rFonts w:hint="eastAsia" w:hAnsi="宋体" w:eastAsia="宋体" w:cs="宋体"/>
          <w:color w:val="auto"/>
          <w:sz w:val="22"/>
          <w:szCs w:val="22"/>
          <w:highlight w:val="none"/>
        </w:rPr>
        <w:t>月</w:t>
      </w:r>
      <w:r>
        <w:rPr>
          <w:rFonts w:hint="eastAsia" w:hAnsi="宋体" w:eastAsia="宋体" w:cs="宋体"/>
          <w:color w:val="auto"/>
          <w:sz w:val="22"/>
          <w:szCs w:val="22"/>
          <w:highlight w:val="none"/>
          <w:u w:val="single"/>
        </w:rPr>
        <w:t xml:space="preserve">    </w:t>
      </w:r>
      <w:r>
        <w:rPr>
          <w:rFonts w:hint="eastAsia" w:hAnsi="宋体" w:eastAsia="宋体" w:cs="宋体"/>
          <w:color w:val="auto"/>
          <w:sz w:val="22"/>
          <w:szCs w:val="22"/>
          <w:highlight w:val="none"/>
        </w:rPr>
        <w:t xml:space="preserve">日 </w:t>
      </w:r>
    </w:p>
    <w:p>
      <w:pPr>
        <w:spacing w:line="400" w:lineRule="exact"/>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2"/>
        <w:ind w:left="-269" w:firstLine="426"/>
        <w:rPr>
          <w:rFonts w:ascii="宋体" w:hAnsi="宋体" w:eastAsia="宋体" w:cs="宋体"/>
          <w:b/>
          <w:color w:val="auto"/>
          <w:sz w:val="22"/>
          <w:highlight w:val="none"/>
        </w:rPr>
      </w:pPr>
    </w:p>
    <w:p>
      <w:pPr>
        <w:pStyle w:val="2"/>
        <w:ind w:left="-269" w:firstLine="426"/>
        <w:rPr>
          <w:rFonts w:ascii="宋体" w:hAnsi="宋体" w:eastAsia="宋体" w:cs="宋体"/>
          <w:b/>
          <w:color w:val="auto"/>
          <w:sz w:val="22"/>
          <w:highlight w:val="none"/>
        </w:rPr>
      </w:pPr>
    </w:p>
    <w:p>
      <w:pPr>
        <w:snapToGrid w:val="0"/>
        <w:spacing w:before="165" w:beforeLines="50" w:after="50"/>
        <w:jc w:val="left"/>
        <w:rPr>
          <w:rFonts w:ascii="宋体" w:hAnsi="宋体" w:eastAsia="宋体" w:cs="宋体"/>
          <w:color w:val="auto"/>
          <w:sz w:val="20"/>
          <w:highlight w:val="none"/>
        </w:rPr>
      </w:pPr>
      <w:r>
        <w:rPr>
          <w:rFonts w:hint="eastAsia" w:ascii="宋体" w:hAnsi="宋体" w:eastAsia="宋体" w:cs="宋体"/>
          <w:b/>
          <w:color w:val="auto"/>
          <w:sz w:val="22"/>
          <w:highlight w:val="none"/>
        </w:rPr>
        <w:t>中小企业声明函格式（如是，请填写提供）</w:t>
      </w:r>
    </w:p>
    <w:p>
      <w:pPr>
        <w:rPr>
          <w:rFonts w:ascii="宋体" w:hAnsi="宋体" w:eastAsia="宋体" w:cs="宋体"/>
          <w:color w:val="auto"/>
          <w:sz w:val="20"/>
          <w:highlight w:val="none"/>
        </w:rPr>
      </w:pPr>
    </w:p>
    <w:p>
      <w:pPr>
        <w:spacing w:line="588" w:lineRule="exact"/>
        <w:jc w:val="center"/>
        <w:rPr>
          <w:rFonts w:ascii="宋体" w:hAnsi="宋体" w:eastAsia="宋体" w:cs="宋体"/>
          <w:b/>
          <w:color w:val="auto"/>
          <w:spacing w:val="6"/>
          <w:sz w:val="28"/>
          <w:szCs w:val="32"/>
          <w:highlight w:val="none"/>
        </w:rPr>
      </w:pPr>
      <w:r>
        <w:rPr>
          <w:rFonts w:hint="eastAsia" w:ascii="宋体" w:hAnsi="宋体" w:eastAsia="宋体" w:cs="宋体"/>
          <w:b/>
          <w:color w:val="auto"/>
          <w:spacing w:val="6"/>
          <w:sz w:val="28"/>
          <w:szCs w:val="32"/>
          <w:highlight w:val="none"/>
        </w:rPr>
        <w:t>中小企业声明函</w:t>
      </w:r>
      <w:r>
        <w:rPr>
          <w:rFonts w:hint="eastAsia" w:ascii="宋体" w:hAnsi="宋体" w:eastAsia="宋体" w:cs="宋体"/>
          <w:b/>
          <w:color w:val="auto"/>
          <w:sz w:val="32"/>
          <w:szCs w:val="32"/>
          <w:highlight w:val="none"/>
        </w:rPr>
        <w:t>（格式）</w:t>
      </w:r>
    </w:p>
    <w:p>
      <w:pPr>
        <w:spacing w:line="588" w:lineRule="exact"/>
        <w:rPr>
          <w:rFonts w:ascii="宋体" w:hAnsi="宋体" w:eastAsia="宋体" w:cs="宋体"/>
          <w:b/>
          <w:color w:val="auto"/>
          <w:spacing w:val="6"/>
          <w:sz w:val="28"/>
          <w:szCs w:val="30"/>
          <w:highlight w:val="none"/>
        </w:rPr>
      </w:pPr>
    </w:p>
    <w:p>
      <w:pPr>
        <w:spacing w:line="588" w:lineRule="exact"/>
        <w:ind w:firstLine="504" w:firstLineChars="200"/>
        <w:rPr>
          <w:rFonts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本公司郑重声明，根据《政府采购促进中小企业发展暂行办法》（财库[2011]181号）的规定，本公司为______（请填写：中型、小型、微型）企业。即，本公司同时满足以下条件：</w:t>
      </w:r>
    </w:p>
    <w:p>
      <w:pPr>
        <w:spacing w:line="588" w:lineRule="exact"/>
        <w:ind w:firstLine="504" w:firstLineChars="200"/>
        <w:rPr>
          <w:rFonts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504" w:firstLineChars="200"/>
        <w:rPr>
          <w:rFonts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本公司对上述声明的真实性负责。如有虚假，将依法承担相应责任。</w:t>
      </w:r>
    </w:p>
    <w:p>
      <w:pPr>
        <w:spacing w:line="588" w:lineRule="exact"/>
        <w:ind w:firstLine="504" w:firstLineChars="200"/>
        <w:rPr>
          <w:rFonts w:ascii="宋体" w:hAnsi="宋体" w:eastAsia="宋体" w:cs="宋体"/>
          <w:color w:val="auto"/>
          <w:spacing w:val="6"/>
          <w:sz w:val="24"/>
          <w:szCs w:val="30"/>
          <w:highlight w:val="none"/>
        </w:rPr>
      </w:pPr>
    </w:p>
    <w:p>
      <w:pPr>
        <w:spacing w:line="588" w:lineRule="exact"/>
        <w:ind w:firstLine="504" w:firstLineChars="200"/>
        <w:rPr>
          <w:rFonts w:ascii="宋体" w:hAnsi="宋体" w:eastAsia="宋体" w:cs="宋体"/>
          <w:color w:val="auto"/>
          <w:spacing w:val="6"/>
          <w:sz w:val="24"/>
          <w:szCs w:val="30"/>
          <w:highlight w:val="none"/>
        </w:rPr>
      </w:pPr>
    </w:p>
    <w:p>
      <w:pPr>
        <w:tabs>
          <w:tab w:val="left" w:pos="4860"/>
        </w:tabs>
        <w:spacing w:line="588" w:lineRule="exact"/>
        <w:ind w:right="1560" w:firstLine="504" w:firstLineChars="200"/>
        <w:jc w:val="center"/>
        <w:rPr>
          <w:rFonts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 xml:space="preserve">               企业名称（盖章）： </w:t>
      </w:r>
    </w:p>
    <w:p>
      <w:pPr>
        <w:pStyle w:val="10"/>
        <w:spacing w:line="300" w:lineRule="auto"/>
        <w:rPr>
          <w:rFonts w:hAnsi="宋体" w:eastAsia="宋体" w:cs="宋体"/>
          <w:color w:val="auto"/>
          <w:spacing w:val="6"/>
          <w:sz w:val="24"/>
          <w:szCs w:val="30"/>
          <w:highlight w:val="none"/>
        </w:rPr>
      </w:pPr>
      <w:r>
        <w:rPr>
          <w:rFonts w:hint="eastAsia" w:hAnsi="宋体" w:eastAsia="宋体" w:cs="宋体"/>
          <w:color w:val="auto"/>
          <w:spacing w:val="6"/>
          <w:sz w:val="24"/>
          <w:szCs w:val="30"/>
          <w:highlight w:val="none"/>
        </w:rPr>
        <w:t xml:space="preserve">                                   日  期：</w:t>
      </w:r>
    </w:p>
    <w:p>
      <w:pPr>
        <w:pStyle w:val="10"/>
        <w:spacing w:line="300" w:lineRule="auto"/>
        <w:rPr>
          <w:rFonts w:hAnsi="宋体" w:eastAsia="宋体" w:cs="宋体"/>
          <w:color w:val="auto"/>
          <w:spacing w:val="6"/>
          <w:sz w:val="30"/>
          <w:szCs w:val="30"/>
          <w:highlight w:val="none"/>
        </w:rPr>
      </w:pPr>
    </w:p>
    <w:p>
      <w:pPr>
        <w:pStyle w:val="10"/>
        <w:spacing w:line="300" w:lineRule="auto"/>
        <w:rPr>
          <w:rFonts w:hAnsi="宋体" w:eastAsia="宋体" w:cs="宋体"/>
          <w:color w:val="auto"/>
          <w:spacing w:val="6"/>
          <w:sz w:val="30"/>
          <w:szCs w:val="30"/>
          <w:highlight w:val="none"/>
        </w:rPr>
      </w:pPr>
    </w:p>
    <w:p>
      <w:pPr>
        <w:pStyle w:val="10"/>
        <w:spacing w:line="300" w:lineRule="auto"/>
        <w:rPr>
          <w:rFonts w:hAnsi="宋体" w:eastAsia="宋体" w:cs="宋体"/>
          <w:color w:val="auto"/>
          <w:spacing w:val="6"/>
          <w:sz w:val="30"/>
          <w:szCs w:val="30"/>
          <w:highlight w:val="none"/>
        </w:rPr>
      </w:pPr>
    </w:p>
    <w:p>
      <w:pPr>
        <w:spacing w:line="430" w:lineRule="exact"/>
        <w:rPr>
          <w:rFonts w:ascii="宋体" w:hAnsi="宋体" w:eastAsia="宋体" w:cs="宋体"/>
          <w:color w:val="auto"/>
          <w:highlight w:val="none"/>
        </w:rPr>
      </w:pPr>
      <w:r>
        <w:rPr>
          <w:rFonts w:hint="eastAsia" w:ascii="宋体" w:hAnsi="宋体" w:eastAsia="宋体" w:cs="宋体"/>
          <w:b/>
          <w:color w:val="auto"/>
          <w:sz w:val="28"/>
          <w:szCs w:val="28"/>
          <w:highlight w:val="none"/>
        </w:rPr>
        <w:br w:type="page"/>
      </w:r>
    </w:p>
    <w:p>
      <w:pPr>
        <w:widowControl/>
        <w:jc w:val="left"/>
        <w:rPr>
          <w:rFonts w:ascii="宋体" w:hAnsi="宋体" w:eastAsia="宋体" w:cs="宋体"/>
          <w:b/>
          <w:color w:val="auto"/>
          <w:szCs w:val="21"/>
          <w:highlight w:val="none"/>
        </w:rPr>
      </w:pPr>
    </w:p>
    <w:p>
      <w:pPr>
        <w:widowControl/>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残疾人福利性单位声明格式</w:t>
      </w:r>
      <w:r>
        <w:rPr>
          <w:rFonts w:hint="eastAsia" w:ascii="宋体" w:hAnsi="宋体" w:eastAsia="宋体" w:cs="宋体"/>
          <w:b/>
          <w:color w:val="auto"/>
          <w:sz w:val="22"/>
          <w:highlight w:val="none"/>
        </w:rPr>
        <w:t>（如是，请填写提供）</w:t>
      </w:r>
    </w:p>
    <w:p>
      <w:pPr>
        <w:widowControl/>
        <w:spacing w:before="100" w:beforeAutospacing="1" w:after="100" w:afterAutospacing="1" w:line="425" w:lineRule="atLeast"/>
        <w:jc w:val="center"/>
        <w:rPr>
          <w:rFonts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残疾人福利性单位声明函</w:t>
      </w:r>
      <w:r>
        <w:rPr>
          <w:rFonts w:hint="eastAsia" w:ascii="宋体" w:hAnsi="宋体" w:eastAsia="宋体" w:cs="宋体"/>
          <w:b/>
          <w:color w:val="auto"/>
          <w:sz w:val="32"/>
          <w:szCs w:val="32"/>
          <w:highlight w:val="none"/>
        </w:rPr>
        <w:t>（格式）</w:t>
      </w:r>
    </w:p>
    <w:p>
      <w:pPr>
        <w:widowControl/>
        <w:spacing w:before="100" w:beforeAutospacing="1" w:after="100" w:afterAutospacing="1" w:line="425" w:lineRule="atLeast"/>
        <w:jc w:val="left"/>
        <w:rPr>
          <w:rFonts w:ascii="宋体" w:hAnsi="宋体" w:eastAsia="宋体" w:cs="宋体"/>
          <w:color w:val="auto"/>
          <w:kern w:val="0"/>
          <w:sz w:val="24"/>
          <w:highlight w:val="none"/>
        </w:rPr>
      </w:pPr>
    </w:p>
    <w:p>
      <w:pPr>
        <w:spacing w:line="588" w:lineRule="exact"/>
        <w:ind w:firstLine="504" w:firstLineChars="200"/>
        <w:rPr>
          <w:rFonts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pacing w:val="6"/>
          <w:sz w:val="24"/>
          <w:szCs w:val="30"/>
          <w:highlight w:val="none"/>
          <w:u w:val="single"/>
        </w:rPr>
        <w:t xml:space="preserve">             </w:t>
      </w:r>
      <w:r>
        <w:rPr>
          <w:rFonts w:hint="eastAsia" w:ascii="宋体" w:hAnsi="宋体" w:eastAsia="宋体" w:cs="宋体"/>
          <w:color w:val="auto"/>
          <w:spacing w:val="6"/>
          <w:sz w:val="24"/>
          <w:szCs w:val="30"/>
          <w:highlight w:val="none"/>
        </w:rPr>
        <w:t>单位的</w:t>
      </w:r>
      <w:r>
        <w:rPr>
          <w:rFonts w:hint="eastAsia" w:ascii="宋体" w:hAnsi="宋体" w:eastAsia="宋体" w:cs="宋体"/>
          <w:color w:val="auto"/>
          <w:spacing w:val="6"/>
          <w:sz w:val="24"/>
          <w:szCs w:val="30"/>
          <w:highlight w:val="none"/>
          <w:u w:val="single"/>
        </w:rPr>
        <w:t xml:space="preserve">                  </w:t>
      </w:r>
      <w:r>
        <w:rPr>
          <w:rFonts w:hint="eastAsia" w:ascii="宋体" w:hAnsi="宋体" w:eastAsia="宋体" w:cs="宋体"/>
          <w:color w:val="auto"/>
          <w:spacing w:val="6"/>
          <w:sz w:val="24"/>
          <w:szCs w:val="30"/>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本单位对上述声明的真实性负责。如有虚假，将依法承担相应责任。</w:t>
      </w:r>
    </w:p>
    <w:p>
      <w:pPr>
        <w:spacing w:line="588" w:lineRule="exact"/>
        <w:ind w:firstLine="504" w:firstLineChars="200"/>
        <w:rPr>
          <w:rFonts w:ascii="宋体" w:hAnsi="宋体" w:eastAsia="宋体" w:cs="宋体"/>
          <w:color w:val="auto"/>
          <w:spacing w:val="6"/>
          <w:sz w:val="24"/>
          <w:szCs w:val="30"/>
          <w:highlight w:val="none"/>
        </w:rPr>
      </w:pPr>
    </w:p>
    <w:p>
      <w:pPr>
        <w:spacing w:line="588" w:lineRule="exact"/>
        <w:ind w:firstLine="504" w:firstLineChars="200"/>
        <w:rPr>
          <w:rFonts w:ascii="宋体" w:hAnsi="宋体" w:eastAsia="宋体" w:cs="宋体"/>
          <w:color w:val="auto"/>
          <w:spacing w:val="6"/>
          <w:sz w:val="24"/>
          <w:szCs w:val="30"/>
          <w:highlight w:val="none"/>
        </w:rPr>
      </w:pPr>
    </w:p>
    <w:p>
      <w:pPr>
        <w:spacing w:line="588" w:lineRule="exact"/>
        <w:ind w:firstLine="504" w:firstLineChars="200"/>
        <w:rPr>
          <w:rFonts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 xml:space="preserve">                                                   单位名称（盖章）：</w:t>
      </w:r>
    </w:p>
    <w:p>
      <w:pPr>
        <w:spacing w:line="588" w:lineRule="exact"/>
        <w:ind w:firstLine="504" w:firstLineChars="200"/>
        <w:rPr>
          <w:rFonts w:ascii="宋体" w:hAnsi="宋体" w:eastAsia="宋体" w:cs="宋体"/>
          <w:color w:val="auto"/>
          <w:spacing w:val="6"/>
          <w:sz w:val="24"/>
          <w:szCs w:val="30"/>
          <w:highlight w:val="none"/>
        </w:rPr>
      </w:pPr>
      <w:r>
        <w:rPr>
          <w:rFonts w:hint="eastAsia" w:ascii="宋体" w:hAnsi="宋体" w:eastAsia="宋体" w:cs="宋体"/>
          <w:color w:val="auto"/>
          <w:spacing w:val="6"/>
          <w:sz w:val="24"/>
          <w:szCs w:val="30"/>
          <w:highlight w:val="none"/>
        </w:rPr>
        <w:t xml:space="preserve">                                                    日  期</w:t>
      </w:r>
    </w:p>
    <w:p>
      <w:pPr>
        <w:spacing w:line="430" w:lineRule="exact"/>
        <w:rPr>
          <w:rFonts w:ascii="宋体" w:hAnsi="宋体" w:eastAsia="宋体" w:cs="宋体"/>
          <w:color w:val="auto"/>
          <w:szCs w:val="21"/>
          <w:highlight w:val="none"/>
        </w:rPr>
      </w:pPr>
    </w:p>
    <w:p>
      <w:pPr>
        <w:pStyle w:val="2"/>
        <w:ind w:left="-269" w:firstLine="544"/>
        <w:rPr>
          <w:rFonts w:ascii="宋体" w:hAnsi="宋体" w:eastAsia="宋体" w:cs="宋体"/>
          <w:color w:val="auto"/>
          <w:szCs w:val="21"/>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rPr>
          <w:rFonts w:ascii="宋体" w:hAnsi="宋体" w:eastAsia="宋体" w:cs="宋体"/>
          <w:color w:val="auto"/>
          <w:highlight w:val="none"/>
        </w:rPr>
      </w:pPr>
    </w:p>
    <w:p>
      <w:pPr>
        <w:pStyle w:val="30"/>
        <w:jc w:val="center"/>
        <w:rPr>
          <w:rFonts w:ascii="宋体" w:hAnsi="宋体" w:eastAsia="宋体" w:cs="宋体"/>
          <w:b/>
          <w:bCs w:val="0"/>
          <w:color w:val="auto"/>
          <w:spacing w:val="0"/>
          <w:kern w:val="2"/>
          <w:sz w:val="32"/>
          <w:szCs w:val="32"/>
          <w:highlight w:val="none"/>
        </w:rPr>
      </w:pPr>
      <w:r>
        <w:rPr>
          <w:rFonts w:hint="eastAsia" w:ascii="宋体" w:hAnsi="宋体" w:eastAsia="宋体" w:cs="宋体"/>
          <w:b/>
          <w:bCs w:val="0"/>
          <w:color w:val="auto"/>
          <w:spacing w:val="0"/>
          <w:kern w:val="2"/>
          <w:sz w:val="32"/>
          <w:szCs w:val="32"/>
          <w:highlight w:val="none"/>
        </w:rPr>
        <w:t>资格证明文件</w:t>
      </w:r>
    </w:p>
    <w:p>
      <w:pPr>
        <w:pStyle w:val="30"/>
        <w:jc w:val="center"/>
        <w:rPr>
          <w:rFonts w:ascii="宋体" w:hAnsi="宋体" w:eastAsia="宋体" w:cs="宋体"/>
          <w:b/>
          <w:bCs w:val="0"/>
          <w:color w:val="auto"/>
          <w:spacing w:val="0"/>
          <w:kern w:val="2"/>
          <w:sz w:val="28"/>
          <w:szCs w:val="28"/>
          <w:highlight w:val="none"/>
        </w:rPr>
      </w:pPr>
      <w:r>
        <w:rPr>
          <w:rFonts w:hint="eastAsia" w:ascii="宋体" w:hAnsi="宋体" w:eastAsia="宋体" w:cs="宋体"/>
          <w:b/>
          <w:bCs w:val="0"/>
          <w:color w:val="auto"/>
          <w:spacing w:val="0"/>
          <w:kern w:val="2"/>
          <w:sz w:val="28"/>
          <w:szCs w:val="28"/>
          <w:highlight w:val="none"/>
        </w:rPr>
        <w:t>（按本竞争性磋商文件中“第二章 供应商须知”的5.6.2点要求提供）</w:t>
      </w:r>
    </w:p>
    <w:p>
      <w:pPr>
        <w:pStyle w:val="30"/>
        <w:jc w:val="center"/>
        <w:rPr>
          <w:rFonts w:ascii="宋体" w:hAnsi="宋体" w:eastAsia="宋体" w:cs="宋体"/>
          <w:b/>
          <w:bCs w:val="0"/>
          <w:color w:val="auto"/>
          <w:spacing w:val="0"/>
          <w:kern w:val="2"/>
          <w:sz w:val="28"/>
          <w:szCs w:val="28"/>
          <w:highlight w:val="none"/>
        </w:rPr>
      </w:pPr>
    </w:p>
    <w:p>
      <w:pPr>
        <w:pStyle w:val="30"/>
        <w:jc w:val="center"/>
        <w:rPr>
          <w:rFonts w:ascii="宋体" w:hAnsi="宋体" w:eastAsia="宋体" w:cs="宋体"/>
          <w:b/>
          <w:bCs w:val="0"/>
          <w:color w:val="auto"/>
          <w:spacing w:val="0"/>
          <w:kern w:val="2"/>
          <w:sz w:val="28"/>
          <w:szCs w:val="28"/>
          <w:highlight w:val="none"/>
        </w:rPr>
      </w:pPr>
    </w:p>
    <w:p>
      <w:pPr>
        <w:adjustRightInd w:val="0"/>
        <w:snapToGrid w:val="0"/>
        <w:spacing w:line="30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法定代表人授权书（格式）</w:t>
      </w:r>
    </w:p>
    <w:p>
      <w:pPr>
        <w:spacing w:line="460" w:lineRule="exact"/>
        <w:ind w:firstLine="431" w:firstLineChars="196"/>
        <w:rPr>
          <w:rFonts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（采购人）                    ：</w:t>
      </w:r>
    </w:p>
    <w:p>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兹授权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同志为我公司参加贵单位组织的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）采购活动的磋商代表人，全权代表我公司处理在该项目采购活动中的一切事宜。代理期限从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日起至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日止。 </w:t>
      </w:r>
    </w:p>
    <w:p>
      <w:pPr>
        <w:spacing w:line="52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授权单位（盖章）：</w:t>
      </w:r>
      <w:r>
        <w:rPr>
          <w:rFonts w:hint="eastAsia" w:ascii="宋体" w:hAnsi="宋体" w:eastAsia="宋体" w:cs="宋体"/>
          <w:color w:val="auto"/>
          <w:sz w:val="22"/>
          <w:szCs w:val="22"/>
          <w:highlight w:val="none"/>
          <w:u w:val="single"/>
        </w:rPr>
        <w:t xml:space="preserve">                         </w:t>
      </w:r>
    </w:p>
    <w:p>
      <w:pPr>
        <w:spacing w:line="52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法定代表人（签字或盖章）：</w:t>
      </w:r>
      <w:r>
        <w:rPr>
          <w:rFonts w:hint="eastAsia" w:ascii="宋体" w:hAnsi="宋体" w:eastAsia="宋体" w:cs="宋体"/>
          <w:color w:val="auto"/>
          <w:sz w:val="22"/>
          <w:szCs w:val="22"/>
          <w:highlight w:val="none"/>
          <w:u w:val="single"/>
        </w:rPr>
        <w:t xml:space="preserve">                 </w:t>
      </w:r>
    </w:p>
    <w:p>
      <w:pPr>
        <w:spacing w:line="52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签发日期：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spacing w:line="520" w:lineRule="exact"/>
        <w:rPr>
          <w:rFonts w:ascii="宋体" w:hAnsi="宋体" w:eastAsia="宋体" w:cs="宋体"/>
          <w:color w:val="auto"/>
          <w:sz w:val="22"/>
          <w:szCs w:val="22"/>
          <w:highlight w:val="none"/>
        </w:rPr>
      </w:pPr>
    </w:p>
    <w:p>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附：代理人工作单位：</w:t>
      </w:r>
      <w:r>
        <w:rPr>
          <w:rFonts w:hint="eastAsia" w:ascii="宋体" w:hAnsi="宋体" w:eastAsia="宋体" w:cs="宋体"/>
          <w:color w:val="auto"/>
          <w:sz w:val="22"/>
          <w:szCs w:val="22"/>
          <w:highlight w:val="none"/>
          <w:u w:val="single"/>
        </w:rPr>
        <w:t xml:space="preserve">                     </w:t>
      </w:r>
    </w:p>
    <w:p>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w:t>
      </w:r>
      <w:r>
        <w:rPr>
          <w:rFonts w:hint="eastAsia" w:ascii="宋体" w:hAnsi="宋体" w:eastAsia="宋体" w:cs="宋体"/>
          <w:color w:val="auto"/>
          <w:sz w:val="22"/>
          <w:szCs w:val="22"/>
          <w:highlight w:val="none"/>
          <w:u w:val="single"/>
        </w:rPr>
        <w:t xml:space="preserve">    </w:t>
      </w:r>
    </w:p>
    <w:p>
      <w:pPr>
        <w:adjustRightInd w:val="0"/>
        <w:snapToGrid w:val="0"/>
        <w:spacing w:line="52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u w:val="single"/>
        </w:rPr>
        <w:t xml:space="preserve">                              </w:t>
      </w:r>
    </w:p>
    <w:tbl>
      <w:tblPr>
        <w:tblStyle w:val="18"/>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8861" w:type="dxa"/>
          </w:tcPr>
          <w:p>
            <w:pPr>
              <w:spacing w:line="30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粘贴被授权人身份证（正反面复印件）</w:t>
            </w:r>
          </w:p>
        </w:tc>
      </w:tr>
    </w:tbl>
    <w:p>
      <w:pPr>
        <w:adjustRightInd w:val="0"/>
        <w:snapToGrid w:val="0"/>
        <w:spacing w:line="520" w:lineRule="exact"/>
        <w:rPr>
          <w:rFonts w:ascii="宋体" w:hAnsi="宋体" w:eastAsia="宋体" w:cs="宋体"/>
          <w:color w:val="auto"/>
          <w:sz w:val="22"/>
          <w:szCs w:val="22"/>
          <w:highlight w:val="none"/>
          <w:u w:val="single"/>
        </w:rPr>
      </w:pPr>
    </w:p>
    <w:tbl>
      <w:tblPr>
        <w:tblStyle w:val="18"/>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trPr>
        <w:tc>
          <w:tcPr>
            <w:tcW w:w="8861" w:type="dxa"/>
          </w:tcPr>
          <w:p>
            <w:pPr>
              <w:spacing w:line="30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粘贴法定代表人身份证（正反面复印件）</w:t>
            </w:r>
          </w:p>
        </w:tc>
      </w:tr>
    </w:tbl>
    <w:p>
      <w:pPr>
        <w:pStyle w:val="30"/>
        <w:rPr>
          <w:rFonts w:ascii="宋体" w:hAnsi="宋体" w:eastAsia="宋体" w:cs="宋体"/>
          <w:color w:val="auto"/>
          <w:highlight w:val="none"/>
        </w:rPr>
      </w:pPr>
    </w:p>
    <w:p>
      <w:pPr>
        <w:pStyle w:val="30"/>
        <w:jc w:val="center"/>
        <w:rPr>
          <w:rFonts w:ascii="宋体" w:hAnsi="宋体" w:eastAsia="宋体" w:cs="宋体"/>
          <w:b/>
          <w:bCs w:val="0"/>
          <w:color w:val="auto"/>
          <w:spacing w:val="0"/>
          <w:kern w:val="2"/>
          <w:sz w:val="32"/>
          <w:szCs w:val="32"/>
          <w:highlight w:val="none"/>
        </w:rPr>
      </w:pPr>
      <w:r>
        <w:rPr>
          <w:rFonts w:hint="eastAsia" w:ascii="宋体" w:hAnsi="宋体" w:eastAsia="宋体" w:cs="宋体"/>
          <w:b/>
          <w:bCs w:val="0"/>
          <w:color w:val="auto"/>
          <w:spacing w:val="0"/>
          <w:kern w:val="2"/>
          <w:sz w:val="32"/>
          <w:szCs w:val="32"/>
          <w:highlight w:val="none"/>
        </w:rPr>
        <w:t>商务技术文件</w:t>
      </w:r>
    </w:p>
    <w:p>
      <w:pPr>
        <w:pStyle w:val="30"/>
        <w:jc w:val="center"/>
        <w:rPr>
          <w:rFonts w:ascii="宋体" w:hAnsi="宋体" w:eastAsia="宋体" w:cs="宋体"/>
          <w:b/>
          <w:bCs w:val="0"/>
          <w:color w:val="auto"/>
          <w:spacing w:val="0"/>
          <w:kern w:val="2"/>
          <w:sz w:val="28"/>
          <w:szCs w:val="28"/>
          <w:highlight w:val="none"/>
        </w:rPr>
      </w:pPr>
      <w:r>
        <w:rPr>
          <w:rFonts w:hint="eastAsia" w:ascii="宋体" w:hAnsi="宋体" w:eastAsia="宋体" w:cs="宋体"/>
          <w:b/>
          <w:bCs w:val="0"/>
          <w:color w:val="auto"/>
          <w:spacing w:val="0"/>
          <w:kern w:val="2"/>
          <w:sz w:val="28"/>
          <w:szCs w:val="28"/>
          <w:highlight w:val="none"/>
        </w:rPr>
        <w:t>（按本竞争性磋商文件中“第二章 供应商须知”的5.6.3点要求提供）</w:t>
      </w:r>
    </w:p>
    <w:p>
      <w:pPr>
        <w:pStyle w:val="30"/>
        <w:rPr>
          <w:color w:val="auto"/>
          <w:highlight w:val="none"/>
        </w:rPr>
      </w:pPr>
    </w:p>
    <w:p>
      <w:pPr>
        <w:adjustRightInd w:val="0"/>
        <w:snapToGrid w:val="0"/>
        <w:spacing w:line="300" w:lineRule="auto"/>
        <w:jc w:val="center"/>
        <w:rPr>
          <w:rFonts w:ascii="宋体" w:hAnsi="宋体"/>
          <w:b/>
          <w:color w:val="auto"/>
          <w:sz w:val="28"/>
          <w:szCs w:val="28"/>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269" w:firstLine="544"/>
        <w:rPr>
          <w:color w:val="auto"/>
          <w:highlight w:val="none"/>
        </w:rPr>
      </w:pPr>
    </w:p>
    <w:p>
      <w:pPr>
        <w:pStyle w:val="2"/>
        <w:ind w:left="0" w:leftChars="0" w:firstLine="0" w:firstLineChars="0"/>
        <w:rPr>
          <w:color w:val="auto"/>
          <w:highlight w:val="none"/>
        </w:rPr>
      </w:pPr>
    </w:p>
    <w:p>
      <w:pPr>
        <w:adjustRightInd w:val="0"/>
        <w:snapToGrid w:val="0"/>
        <w:spacing w:line="300" w:lineRule="auto"/>
        <w:jc w:val="center"/>
        <w:rPr>
          <w:rFonts w:ascii="宋体" w:hAnsi="宋体"/>
          <w:b/>
          <w:color w:val="auto"/>
          <w:sz w:val="28"/>
          <w:szCs w:val="28"/>
          <w:highlight w:val="none"/>
        </w:rPr>
      </w:pPr>
    </w:p>
    <w:p>
      <w:pPr>
        <w:adjustRightInd w:val="0"/>
        <w:snapToGrid w:val="0"/>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技术及商务响应情况表（格式）</w:t>
      </w: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413"/>
        <w:gridCol w:w="2193"/>
        <w:gridCol w:w="2379"/>
        <w:gridCol w:w="1571"/>
        <w:gridCol w:w="1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15" w:name="_Toc334609962"/>
            <w:bookmarkStart w:id="16" w:name="_Toc419886377"/>
            <w:bookmarkStart w:id="17" w:name="_Toc291581941"/>
            <w:bookmarkStart w:id="18" w:name="_Toc327254905"/>
            <w:r>
              <w:rPr>
                <w:rFonts w:hint="eastAsia" w:ascii="宋体" w:hAnsi="宋体"/>
                <w:color w:val="auto"/>
                <w:szCs w:val="21"/>
                <w:highlight w:val="none"/>
              </w:rPr>
              <w:t>序号</w:t>
            </w:r>
            <w:bookmarkEnd w:id="15"/>
            <w:bookmarkEnd w:id="16"/>
            <w:bookmarkEnd w:id="17"/>
            <w:bookmarkEnd w:id="18"/>
          </w:p>
        </w:tc>
        <w:tc>
          <w:tcPr>
            <w:tcW w:w="1413" w:type="dxa"/>
            <w:vAlign w:val="center"/>
          </w:tcPr>
          <w:p>
            <w:pPr>
              <w:adjustRightInd w:val="0"/>
              <w:snapToGrid w:val="0"/>
              <w:spacing w:line="300" w:lineRule="auto"/>
              <w:jc w:val="center"/>
              <w:outlineLvl w:val="0"/>
              <w:rPr>
                <w:rFonts w:ascii="宋体" w:hAnsi="宋体"/>
                <w:color w:val="auto"/>
                <w:szCs w:val="21"/>
                <w:highlight w:val="none"/>
              </w:rPr>
            </w:pPr>
            <w:r>
              <w:rPr>
                <w:rFonts w:hint="eastAsia" w:ascii="宋体" w:hAnsi="宋体"/>
                <w:color w:val="auto"/>
                <w:szCs w:val="21"/>
                <w:highlight w:val="none"/>
              </w:rPr>
              <w:t>名称</w:t>
            </w:r>
          </w:p>
        </w:tc>
        <w:tc>
          <w:tcPr>
            <w:tcW w:w="2193" w:type="dxa"/>
            <w:vAlign w:val="center"/>
          </w:tcPr>
          <w:p>
            <w:pPr>
              <w:adjustRightInd w:val="0"/>
              <w:snapToGrid w:val="0"/>
              <w:spacing w:line="300" w:lineRule="auto"/>
              <w:jc w:val="center"/>
              <w:outlineLvl w:val="0"/>
              <w:rPr>
                <w:rFonts w:ascii="宋体" w:hAnsi="宋体"/>
                <w:color w:val="auto"/>
                <w:szCs w:val="21"/>
                <w:highlight w:val="none"/>
              </w:rPr>
            </w:pPr>
            <w:bookmarkStart w:id="19" w:name="_Toc334609963"/>
            <w:bookmarkStart w:id="20" w:name="_Toc291581942"/>
            <w:bookmarkStart w:id="21" w:name="_Toc419886378"/>
            <w:bookmarkStart w:id="22" w:name="_Toc327254906"/>
            <w:bookmarkStart w:id="23" w:name="_Toc419886379"/>
            <w:bookmarkStart w:id="24" w:name="_Toc334609964"/>
            <w:bookmarkStart w:id="25" w:name="_Toc291581943"/>
            <w:bookmarkStart w:id="26" w:name="_Toc327254907"/>
            <w:r>
              <w:rPr>
                <w:rFonts w:hint="eastAsia" w:ascii="宋体" w:hAnsi="宋体"/>
                <w:color w:val="auto"/>
                <w:szCs w:val="21"/>
                <w:highlight w:val="none"/>
              </w:rPr>
              <w:t>竞争性磋商文件要求</w:t>
            </w:r>
            <w:bookmarkEnd w:id="19"/>
            <w:bookmarkEnd w:id="20"/>
            <w:bookmarkEnd w:id="21"/>
            <w:bookmarkEnd w:id="22"/>
          </w:p>
        </w:tc>
        <w:tc>
          <w:tcPr>
            <w:tcW w:w="2379" w:type="dxa"/>
            <w:vAlign w:val="center"/>
          </w:tcPr>
          <w:p>
            <w:pPr>
              <w:adjustRightInd w:val="0"/>
              <w:snapToGrid w:val="0"/>
              <w:spacing w:line="300" w:lineRule="auto"/>
              <w:jc w:val="center"/>
              <w:outlineLvl w:val="0"/>
              <w:rPr>
                <w:rFonts w:ascii="宋体" w:hAnsi="宋体"/>
                <w:color w:val="auto"/>
                <w:szCs w:val="21"/>
                <w:highlight w:val="none"/>
              </w:rPr>
            </w:pPr>
            <w:r>
              <w:rPr>
                <w:rFonts w:hint="eastAsia" w:ascii="宋体" w:hAnsi="宋体"/>
                <w:color w:val="auto"/>
                <w:szCs w:val="21"/>
                <w:highlight w:val="none"/>
              </w:rPr>
              <w:t>响应文件具体响应</w:t>
            </w:r>
            <w:bookmarkEnd w:id="23"/>
            <w:bookmarkEnd w:id="24"/>
            <w:bookmarkEnd w:id="25"/>
            <w:bookmarkEnd w:id="26"/>
          </w:p>
        </w:tc>
        <w:tc>
          <w:tcPr>
            <w:tcW w:w="1571" w:type="dxa"/>
            <w:vAlign w:val="center"/>
          </w:tcPr>
          <w:p>
            <w:pPr>
              <w:adjustRightInd w:val="0"/>
              <w:snapToGrid w:val="0"/>
              <w:spacing w:line="300" w:lineRule="auto"/>
              <w:jc w:val="center"/>
              <w:outlineLvl w:val="0"/>
              <w:rPr>
                <w:rFonts w:ascii="宋体" w:hAnsi="宋体"/>
                <w:color w:val="auto"/>
                <w:szCs w:val="21"/>
                <w:highlight w:val="none"/>
              </w:rPr>
            </w:pPr>
            <w:bookmarkStart w:id="27" w:name="_Toc291581944"/>
            <w:bookmarkStart w:id="28" w:name="_Toc334609965"/>
            <w:bookmarkStart w:id="29" w:name="_Toc419886380"/>
            <w:bookmarkStart w:id="30" w:name="_Toc327254908"/>
            <w:r>
              <w:rPr>
                <w:rFonts w:hint="eastAsia" w:ascii="宋体" w:hAnsi="宋体"/>
                <w:color w:val="auto"/>
                <w:szCs w:val="21"/>
                <w:highlight w:val="none"/>
              </w:rPr>
              <w:t>响应/偏离</w:t>
            </w:r>
            <w:bookmarkEnd w:id="27"/>
            <w:bookmarkEnd w:id="28"/>
            <w:bookmarkEnd w:id="29"/>
            <w:bookmarkEnd w:id="30"/>
          </w:p>
        </w:tc>
        <w:tc>
          <w:tcPr>
            <w:tcW w:w="1460" w:type="dxa"/>
            <w:vAlign w:val="center"/>
          </w:tcPr>
          <w:p>
            <w:pPr>
              <w:adjustRightInd w:val="0"/>
              <w:snapToGrid w:val="0"/>
              <w:spacing w:line="300" w:lineRule="auto"/>
              <w:jc w:val="center"/>
              <w:outlineLvl w:val="0"/>
              <w:rPr>
                <w:rFonts w:ascii="宋体" w:hAnsi="宋体"/>
                <w:color w:val="auto"/>
                <w:szCs w:val="21"/>
                <w:highlight w:val="none"/>
              </w:rPr>
            </w:pPr>
            <w:bookmarkStart w:id="31" w:name="_Toc291581945"/>
            <w:bookmarkStart w:id="32" w:name="_Toc327254909"/>
            <w:bookmarkStart w:id="33" w:name="_Toc334609966"/>
            <w:bookmarkStart w:id="34" w:name="_Toc419886381"/>
            <w:r>
              <w:rPr>
                <w:rFonts w:hint="eastAsia" w:ascii="宋体" w:hAnsi="宋体"/>
                <w:color w:val="auto"/>
                <w:szCs w:val="21"/>
                <w:highlight w:val="none"/>
              </w:rPr>
              <w:t>说明</w:t>
            </w:r>
            <w:bookmarkEnd w:id="31"/>
            <w:bookmarkEnd w:id="32"/>
            <w:bookmarkEnd w:id="33"/>
            <w:bookmarkEnd w:id="3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35" w:name="_Toc419886382"/>
            <w:bookmarkStart w:id="36" w:name="_Toc334609967"/>
            <w:bookmarkStart w:id="37" w:name="_Toc291581946"/>
            <w:bookmarkStart w:id="38" w:name="_Toc327254910"/>
            <w:r>
              <w:rPr>
                <w:rFonts w:hint="eastAsia" w:ascii="宋体" w:hAnsi="宋体"/>
                <w:color w:val="auto"/>
                <w:szCs w:val="21"/>
                <w:highlight w:val="none"/>
              </w:rPr>
              <w:t>1</w:t>
            </w:r>
            <w:bookmarkEnd w:id="35"/>
            <w:bookmarkEnd w:id="36"/>
            <w:bookmarkEnd w:id="37"/>
            <w:bookmarkEnd w:id="38"/>
          </w:p>
        </w:tc>
        <w:tc>
          <w:tcPr>
            <w:tcW w:w="1413" w:type="dxa"/>
            <w:vAlign w:val="center"/>
          </w:tcPr>
          <w:p>
            <w:pPr>
              <w:adjustRightInd w:val="0"/>
              <w:snapToGrid w:val="0"/>
              <w:spacing w:line="300" w:lineRule="auto"/>
              <w:jc w:val="center"/>
              <w:outlineLvl w:val="0"/>
              <w:rPr>
                <w:rFonts w:ascii="宋体" w:hAnsi="宋体"/>
                <w:color w:val="auto"/>
                <w:szCs w:val="21"/>
                <w:highlight w:val="none"/>
              </w:rPr>
            </w:pPr>
          </w:p>
        </w:tc>
        <w:tc>
          <w:tcPr>
            <w:tcW w:w="2193" w:type="dxa"/>
            <w:vAlign w:val="center"/>
          </w:tcPr>
          <w:p>
            <w:pPr>
              <w:adjustRightInd w:val="0"/>
              <w:snapToGrid w:val="0"/>
              <w:spacing w:line="300" w:lineRule="auto"/>
              <w:jc w:val="center"/>
              <w:outlineLvl w:val="0"/>
              <w:rPr>
                <w:rFonts w:ascii="宋体" w:hAnsi="宋体"/>
                <w:color w:val="auto"/>
                <w:szCs w:val="21"/>
                <w:highlight w:val="none"/>
              </w:rPr>
            </w:pPr>
          </w:p>
        </w:tc>
        <w:tc>
          <w:tcPr>
            <w:tcW w:w="2379" w:type="dxa"/>
            <w:vAlign w:val="center"/>
          </w:tcPr>
          <w:p>
            <w:pPr>
              <w:adjustRightInd w:val="0"/>
              <w:snapToGrid w:val="0"/>
              <w:spacing w:line="300" w:lineRule="auto"/>
              <w:jc w:val="center"/>
              <w:outlineLvl w:val="0"/>
              <w:rPr>
                <w:rFonts w:ascii="宋体" w:hAnsi="宋体"/>
                <w:color w:val="auto"/>
                <w:szCs w:val="21"/>
                <w:highlight w:val="none"/>
              </w:rPr>
            </w:pPr>
          </w:p>
        </w:tc>
        <w:tc>
          <w:tcPr>
            <w:tcW w:w="1571" w:type="dxa"/>
            <w:vAlign w:val="center"/>
          </w:tcPr>
          <w:p>
            <w:pPr>
              <w:adjustRightInd w:val="0"/>
              <w:snapToGrid w:val="0"/>
              <w:spacing w:line="300" w:lineRule="auto"/>
              <w:jc w:val="center"/>
              <w:outlineLvl w:val="0"/>
              <w:rPr>
                <w:rFonts w:ascii="宋体" w:hAnsi="宋体"/>
                <w:color w:val="auto"/>
                <w:szCs w:val="21"/>
                <w:highlight w:val="none"/>
              </w:rPr>
            </w:pPr>
          </w:p>
        </w:tc>
        <w:tc>
          <w:tcPr>
            <w:tcW w:w="1460"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39" w:name="_Toc419886383"/>
            <w:bookmarkStart w:id="40" w:name="_Toc291581947"/>
            <w:bookmarkStart w:id="41" w:name="_Toc334609968"/>
            <w:bookmarkStart w:id="42" w:name="_Toc327254911"/>
            <w:r>
              <w:rPr>
                <w:rFonts w:hint="eastAsia" w:ascii="宋体" w:hAnsi="宋体"/>
                <w:color w:val="auto"/>
                <w:szCs w:val="21"/>
                <w:highlight w:val="none"/>
              </w:rPr>
              <w:t>2</w:t>
            </w:r>
            <w:bookmarkEnd w:id="39"/>
            <w:bookmarkEnd w:id="40"/>
            <w:bookmarkEnd w:id="41"/>
            <w:bookmarkEnd w:id="42"/>
          </w:p>
        </w:tc>
        <w:tc>
          <w:tcPr>
            <w:tcW w:w="1413" w:type="dxa"/>
            <w:vAlign w:val="center"/>
          </w:tcPr>
          <w:p>
            <w:pPr>
              <w:adjustRightInd w:val="0"/>
              <w:snapToGrid w:val="0"/>
              <w:spacing w:line="300" w:lineRule="auto"/>
              <w:jc w:val="center"/>
              <w:outlineLvl w:val="0"/>
              <w:rPr>
                <w:rFonts w:ascii="宋体" w:hAnsi="宋体"/>
                <w:color w:val="auto"/>
                <w:szCs w:val="21"/>
                <w:highlight w:val="none"/>
              </w:rPr>
            </w:pPr>
          </w:p>
        </w:tc>
        <w:tc>
          <w:tcPr>
            <w:tcW w:w="2193" w:type="dxa"/>
            <w:vAlign w:val="center"/>
          </w:tcPr>
          <w:p>
            <w:pPr>
              <w:adjustRightInd w:val="0"/>
              <w:snapToGrid w:val="0"/>
              <w:spacing w:line="300" w:lineRule="auto"/>
              <w:jc w:val="center"/>
              <w:outlineLvl w:val="0"/>
              <w:rPr>
                <w:rFonts w:ascii="宋体" w:hAnsi="宋体"/>
                <w:color w:val="auto"/>
                <w:szCs w:val="21"/>
                <w:highlight w:val="none"/>
              </w:rPr>
            </w:pPr>
          </w:p>
        </w:tc>
        <w:tc>
          <w:tcPr>
            <w:tcW w:w="2379" w:type="dxa"/>
            <w:vAlign w:val="center"/>
          </w:tcPr>
          <w:p>
            <w:pPr>
              <w:adjustRightInd w:val="0"/>
              <w:snapToGrid w:val="0"/>
              <w:spacing w:line="300" w:lineRule="auto"/>
              <w:jc w:val="center"/>
              <w:outlineLvl w:val="0"/>
              <w:rPr>
                <w:rFonts w:ascii="宋体" w:hAnsi="宋体"/>
                <w:color w:val="auto"/>
                <w:szCs w:val="21"/>
                <w:highlight w:val="none"/>
              </w:rPr>
            </w:pPr>
          </w:p>
        </w:tc>
        <w:tc>
          <w:tcPr>
            <w:tcW w:w="1571" w:type="dxa"/>
            <w:vAlign w:val="center"/>
          </w:tcPr>
          <w:p>
            <w:pPr>
              <w:adjustRightInd w:val="0"/>
              <w:snapToGrid w:val="0"/>
              <w:spacing w:line="300" w:lineRule="auto"/>
              <w:jc w:val="center"/>
              <w:outlineLvl w:val="0"/>
              <w:rPr>
                <w:rFonts w:ascii="宋体" w:hAnsi="宋体"/>
                <w:color w:val="auto"/>
                <w:szCs w:val="21"/>
                <w:highlight w:val="none"/>
              </w:rPr>
            </w:pPr>
          </w:p>
        </w:tc>
        <w:tc>
          <w:tcPr>
            <w:tcW w:w="1460"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43" w:name="_Toc327254912"/>
            <w:bookmarkStart w:id="44" w:name="_Toc334609969"/>
            <w:bookmarkStart w:id="45" w:name="_Toc291581948"/>
            <w:bookmarkStart w:id="46" w:name="_Toc419886384"/>
            <w:r>
              <w:rPr>
                <w:rFonts w:hint="eastAsia" w:ascii="宋体" w:hAnsi="宋体"/>
                <w:color w:val="auto"/>
                <w:szCs w:val="21"/>
                <w:highlight w:val="none"/>
              </w:rPr>
              <w:t>3</w:t>
            </w:r>
            <w:bookmarkEnd w:id="43"/>
            <w:bookmarkEnd w:id="44"/>
            <w:bookmarkEnd w:id="45"/>
            <w:bookmarkEnd w:id="46"/>
          </w:p>
        </w:tc>
        <w:tc>
          <w:tcPr>
            <w:tcW w:w="1413" w:type="dxa"/>
            <w:vAlign w:val="center"/>
          </w:tcPr>
          <w:p>
            <w:pPr>
              <w:adjustRightInd w:val="0"/>
              <w:snapToGrid w:val="0"/>
              <w:spacing w:line="300" w:lineRule="auto"/>
              <w:jc w:val="center"/>
              <w:outlineLvl w:val="0"/>
              <w:rPr>
                <w:rFonts w:ascii="宋体" w:hAnsi="宋体"/>
                <w:color w:val="auto"/>
                <w:szCs w:val="21"/>
                <w:highlight w:val="none"/>
              </w:rPr>
            </w:pPr>
          </w:p>
        </w:tc>
        <w:tc>
          <w:tcPr>
            <w:tcW w:w="2193" w:type="dxa"/>
            <w:vAlign w:val="center"/>
          </w:tcPr>
          <w:p>
            <w:pPr>
              <w:adjustRightInd w:val="0"/>
              <w:snapToGrid w:val="0"/>
              <w:spacing w:line="300" w:lineRule="auto"/>
              <w:jc w:val="center"/>
              <w:outlineLvl w:val="0"/>
              <w:rPr>
                <w:rFonts w:ascii="宋体" w:hAnsi="宋体"/>
                <w:color w:val="auto"/>
                <w:szCs w:val="21"/>
                <w:highlight w:val="none"/>
              </w:rPr>
            </w:pPr>
          </w:p>
        </w:tc>
        <w:tc>
          <w:tcPr>
            <w:tcW w:w="2379" w:type="dxa"/>
            <w:vAlign w:val="center"/>
          </w:tcPr>
          <w:p>
            <w:pPr>
              <w:adjustRightInd w:val="0"/>
              <w:snapToGrid w:val="0"/>
              <w:spacing w:line="300" w:lineRule="auto"/>
              <w:jc w:val="center"/>
              <w:outlineLvl w:val="0"/>
              <w:rPr>
                <w:rFonts w:ascii="宋体" w:hAnsi="宋体"/>
                <w:color w:val="auto"/>
                <w:szCs w:val="21"/>
                <w:highlight w:val="none"/>
              </w:rPr>
            </w:pPr>
          </w:p>
        </w:tc>
        <w:tc>
          <w:tcPr>
            <w:tcW w:w="1571" w:type="dxa"/>
            <w:vAlign w:val="center"/>
          </w:tcPr>
          <w:p>
            <w:pPr>
              <w:adjustRightInd w:val="0"/>
              <w:snapToGrid w:val="0"/>
              <w:spacing w:line="300" w:lineRule="auto"/>
              <w:jc w:val="center"/>
              <w:outlineLvl w:val="0"/>
              <w:rPr>
                <w:rFonts w:ascii="宋体" w:hAnsi="宋体"/>
                <w:color w:val="auto"/>
                <w:szCs w:val="21"/>
                <w:highlight w:val="none"/>
              </w:rPr>
            </w:pPr>
          </w:p>
        </w:tc>
        <w:tc>
          <w:tcPr>
            <w:tcW w:w="1460"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47" w:name="_Toc327254913"/>
            <w:bookmarkStart w:id="48" w:name="_Toc291581949"/>
            <w:bookmarkStart w:id="49" w:name="_Toc419886385"/>
            <w:bookmarkStart w:id="50" w:name="_Toc334609970"/>
            <w:r>
              <w:rPr>
                <w:rFonts w:hint="eastAsia" w:ascii="宋体" w:hAnsi="宋体"/>
                <w:color w:val="auto"/>
                <w:szCs w:val="21"/>
                <w:highlight w:val="none"/>
              </w:rPr>
              <w:t>4</w:t>
            </w:r>
            <w:bookmarkEnd w:id="47"/>
            <w:bookmarkEnd w:id="48"/>
            <w:bookmarkEnd w:id="49"/>
            <w:bookmarkEnd w:id="50"/>
          </w:p>
        </w:tc>
        <w:tc>
          <w:tcPr>
            <w:tcW w:w="1413" w:type="dxa"/>
            <w:vAlign w:val="center"/>
          </w:tcPr>
          <w:p>
            <w:pPr>
              <w:adjustRightInd w:val="0"/>
              <w:snapToGrid w:val="0"/>
              <w:spacing w:line="300" w:lineRule="auto"/>
              <w:jc w:val="center"/>
              <w:outlineLvl w:val="0"/>
              <w:rPr>
                <w:rFonts w:ascii="宋体" w:hAnsi="宋体"/>
                <w:color w:val="auto"/>
                <w:szCs w:val="21"/>
                <w:highlight w:val="none"/>
              </w:rPr>
            </w:pPr>
          </w:p>
        </w:tc>
        <w:tc>
          <w:tcPr>
            <w:tcW w:w="2193" w:type="dxa"/>
            <w:vAlign w:val="center"/>
          </w:tcPr>
          <w:p>
            <w:pPr>
              <w:adjustRightInd w:val="0"/>
              <w:snapToGrid w:val="0"/>
              <w:spacing w:line="300" w:lineRule="auto"/>
              <w:jc w:val="center"/>
              <w:outlineLvl w:val="0"/>
              <w:rPr>
                <w:rFonts w:ascii="宋体" w:hAnsi="宋体"/>
                <w:color w:val="auto"/>
                <w:szCs w:val="21"/>
                <w:highlight w:val="none"/>
              </w:rPr>
            </w:pPr>
          </w:p>
        </w:tc>
        <w:tc>
          <w:tcPr>
            <w:tcW w:w="2379" w:type="dxa"/>
            <w:vAlign w:val="center"/>
          </w:tcPr>
          <w:p>
            <w:pPr>
              <w:adjustRightInd w:val="0"/>
              <w:snapToGrid w:val="0"/>
              <w:spacing w:line="300" w:lineRule="auto"/>
              <w:jc w:val="center"/>
              <w:outlineLvl w:val="0"/>
              <w:rPr>
                <w:rFonts w:ascii="宋体" w:hAnsi="宋体"/>
                <w:color w:val="auto"/>
                <w:szCs w:val="21"/>
                <w:highlight w:val="none"/>
              </w:rPr>
            </w:pPr>
          </w:p>
        </w:tc>
        <w:tc>
          <w:tcPr>
            <w:tcW w:w="1571" w:type="dxa"/>
            <w:vAlign w:val="center"/>
          </w:tcPr>
          <w:p>
            <w:pPr>
              <w:adjustRightInd w:val="0"/>
              <w:snapToGrid w:val="0"/>
              <w:spacing w:line="300" w:lineRule="auto"/>
              <w:jc w:val="center"/>
              <w:outlineLvl w:val="0"/>
              <w:rPr>
                <w:rFonts w:ascii="宋体" w:hAnsi="宋体"/>
                <w:color w:val="auto"/>
                <w:szCs w:val="21"/>
                <w:highlight w:val="none"/>
              </w:rPr>
            </w:pPr>
          </w:p>
        </w:tc>
        <w:tc>
          <w:tcPr>
            <w:tcW w:w="1460"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51" w:name="_Toc291581950"/>
            <w:bookmarkStart w:id="52" w:name="_Toc334609971"/>
            <w:bookmarkStart w:id="53" w:name="_Toc327254914"/>
            <w:bookmarkStart w:id="54" w:name="_Toc419886386"/>
            <w:r>
              <w:rPr>
                <w:rFonts w:hint="eastAsia" w:ascii="宋体" w:hAnsi="宋体"/>
                <w:color w:val="auto"/>
                <w:szCs w:val="21"/>
                <w:highlight w:val="none"/>
              </w:rPr>
              <w:t>5</w:t>
            </w:r>
            <w:bookmarkEnd w:id="51"/>
            <w:bookmarkEnd w:id="52"/>
            <w:bookmarkEnd w:id="53"/>
            <w:bookmarkEnd w:id="54"/>
          </w:p>
        </w:tc>
        <w:tc>
          <w:tcPr>
            <w:tcW w:w="1413" w:type="dxa"/>
            <w:vAlign w:val="center"/>
          </w:tcPr>
          <w:p>
            <w:pPr>
              <w:adjustRightInd w:val="0"/>
              <w:snapToGrid w:val="0"/>
              <w:spacing w:line="300" w:lineRule="auto"/>
              <w:jc w:val="center"/>
              <w:outlineLvl w:val="0"/>
              <w:rPr>
                <w:rFonts w:ascii="宋体" w:hAnsi="宋体"/>
                <w:color w:val="auto"/>
                <w:szCs w:val="21"/>
                <w:highlight w:val="none"/>
              </w:rPr>
            </w:pPr>
          </w:p>
        </w:tc>
        <w:tc>
          <w:tcPr>
            <w:tcW w:w="2193" w:type="dxa"/>
            <w:vAlign w:val="center"/>
          </w:tcPr>
          <w:p>
            <w:pPr>
              <w:adjustRightInd w:val="0"/>
              <w:snapToGrid w:val="0"/>
              <w:spacing w:line="300" w:lineRule="auto"/>
              <w:jc w:val="center"/>
              <w:outlineLvl w:val="0"/>
              <w:rPr>
                <w:rFonts w:ascii="宋体" w:hAnsi="宋体"/>
                <w:color w:val="auto"/>
                <w:szCs w:val="21"/>
                <w:highlight w:val="none"/>
              </w:rPr>
            </w:pPr>
          </w:p>
        </w:tc>
        <w:tc>
          <w:tcPr>
            <w:tcW w:w="2379" w:type="dxa"/>
            <w:vAlign w:val="center"/>
          </w:tcPr>
          <w:p>
            <w:pPr>
              <w:adjustRightInd w:val="0"/>
              <w:snapToGrid w:val="0"/>
              <w:spacing w:line="300" w:lineRule="auto"/>
              <w:jc w:val="center"/>
              <w:outlineLvl w:val="0"/>
              <w:rPr>
                <w:rFonts w:ascii="宋体" w:hAnsi="宋体"/>
                <w:color w:val="auto"/>
                <w:szCs w:val="21"/>
                <w:highlight w:val="none"/>
              </w:rPr>
            </w:pPr>
          </w:p>
        </w:tc>
        <w:tc>
          <w:tcPr>
            <w:tcW w:w="1571" w:type="dxa"/>
            <w:vAlign w:val="center"/>
          </w:tcPr>
          <w:p>
            <w:pPr>
              <w:adjustRightInd w:val="0"/>
              <w:snapToGrid w:val="0"/>
              <w:spacing w:line="300" w:lineRule="auto"/>
              <w:jc w:val="center"/>
              <w:outlineLvl w:val="0"/>
              <w:rPr>
                <w:rFonts w:ascii="宋体" w:hAnsi="宋体"/>
                <w:color w:val="auto"/>
                <w:szCs w:val="21"/>
                <w:highlight w:val="none"/>
              </w:rPr>
            </w:pPr>
          </w:p>
        </w:tc>
        <w:tc>
          <w:tcPr>
            <w:tcW w:w="1460" w:type="dxa"/>
            <w:vAlign w:val="center"/>
          </w:tcPr>
          <w:p>
            <w:pPr>
              <w:adjustRightInd w:val="0"/>
              <w:snapToGrid w:val="0"/>
              <w:spacing w:line="300" w:lineRule="auto"/>
              <w:jc w:val="center"/>
              <w:outlineLvl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838" w:type="dxa"/>
            <w:vAlign w:val="center"/>
          </w:tcPr>
          <w:p>
            <w:pPr>
              <w:adjustRightInd w:val="0"/>
              <w:snapToGrid w:val="0"/>
              <w:spacing w:line="300" w:lineRule="auto"/>
              <w:jc w:val="center"/>
              <w:outlineLvl w:val="0"/>
              <w:rPr>
                <w:rFonts w:ascii="宋体" w:hAnsi="宋体"/>
                <w:color w:val="auto"/>
                <w:szCs w:val="21"/>
                <w:highlight w:val="none"/>
              </w:rPr>
            </w:pPr>
            <w:bookmarkStart w:id="55" w:name="_Toc419886387"/>
            <w:bookmarkStart w:id="56" w:name="_Toc334609972"/>
            <w:bookmarkStart w:id="57" w:name="_Toc291581951"/>
            <w:bookmarkStart w:id="58" w:name="_Toc327254915"/>
            <w:r>
              <w:rPr>
                <w:rFonts w:hint="eastAsia" w:ascii="宋体" w:hAnsi="宋体"/>
                <w:color w:val="auto"/>
                <w:szCs w:val="21"/>
                <w:highlight w:val="none"/>
              </w:rPr>
              <w:t>…</w:t>
            </w:r>
            <w:bookmarkEnd w:id="55"/>
            <w:bookmarkEnd w:id="56"/>
            <w:bookmarkEnd w:id="57"/>
            <w:bookmarkEnd w:id="58"/>
          </w:p>
        </w:tc>
        <w:tc>
          <w:tcPr>
            <w:tcW w:w="1413" w:type="dxa"/>
            <w:vAlign w:val="center"/>
          </w:tcPr>
          <w:p>
            <w:pPr>
              <w:adjustRightInd w:val="0"/>
              <w:snapToGrid w:val="0"/>
              <w:spacing w:line="300" w:lineRule="auto"/>
              <w:jc w:val="center"/>
              <w:outlineLvl w:val="0"/>
              <w:rPr>
                <w:rFonts w:ascii="宋体" w:hAnsi="宋体"/>
                <w:color w:val="auto"/>
                <w:szCs w:val="21"/>
                <w:highlight w:val="none"/>
              </w:rPr>
            </w:pPr>
          </w:p>
        </w:tc>
        <w:tc>
          <w:tcPr>
            <w:tcW w:w="2193" w:type="dxa"/>
            <w:vAlign w:val="center"/>
          </w:tcPr>
          <w:p>
            <w:pPr>
              <w:adjustRightInd w:val="0"/>
              <w:snapToGrid w:val="0"/>
              <w:spacing w:line="300" w:lineRule="auto"/>
              <w:jc w:val="center"/>
              <w:outlineLvl w:val="0"/>
              <w:rPr>
                <w:rFonts w:ascii="宋体" w:hAnsi="宋体"/>
                <w:color w:val="auto"/>
                <w:szCs w:val="21"/>
                <w:highlight w:val="none"/>
              </w:rPr>
            </w:pPr>
          </w:p>
        </w:tc>
        <w:tc>
          <w:tcPr>
            <w:tcW w:w="2379" w:type="dxa"/>
            <w:vAlign w:val="center"/>
          </w:tcPr>
          <w:p>
            <w:pPr>
              <w:adjustRightInd w:val="0"/>
              <w:snapToGrid w:val="0"/>
              <w:spacing w:line="300" w:lineRule="auto"/>
              <w:jc w:val="center"/>
              <w:outlineLvl w:val="0"/>
              <w:rPr>
                <w:rFonts w:ascii="宋体" w:hAnsi="宋体"/>
                <w:color w:val="auto"/>
                <w:szCs w:val="21"/>
                <w:highlight w:val="none"/>
              </w:rPr>
            </w:pPr>
          </w:p>
        </w:tc>
        <w:tc>
          <w:tcPr>
            <w:tcW w:w="1571" w:type="dxa"/>
            <w:tcBorders>
              <w:righ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c>
          <w:tcPr>
            <w:tcW w:w="1460" w:type="dxa"/>
            <w:tcBorders>
              <w:left w:val="single" w:color="auto" w:sz="4" w:space="0"/>
            </w:tcBorders>
            <w:vAlign w:val="center"/>
          </w:tcPr>
          <w:p>
            <w:pPr>
              <w:adjustRightInd w:val="0"/>
              <w:snapToGrid w:val="0"/>
              <w:spacing w:line="300" w:lineRule="auto"/>
              <w:jc w:val="center"/>
              <w:outlineLvl w:val="0"/>
              <w:rPr>
                <w:rFonts w:ascii="宋体" w:hAnsi="宋体"/>
                <w:color w:val="auto"/>
                <w:szCs w:val="21"/>
                <w:highlight w:val="none"/>
              </w:rPr>
            </w:pPr>
          </w:p>
        </w:tc>
      </w:tr>
    </w:tbl>
    <w:p>
      <w:pPr>
        <w:pStyle w:val="3"/>
        <w:spacing w:line="500" w:lineRule="exact"/>
        <w:ind w:firstLine="0"/>
        <w:rPr>
          <w:rFonts w:hint="eastAsia" w:hAnsi="宋体" w:eastAsia="宋体" w:cs="宋体"/>
          <w:color w:val="auto"/>
          <w:sz w:val="22"/>
          <w:szCs w:val="22"/>
          <w:highlight w:val="none"/>
          <w:lang w:eastAsia="zh-CN"/>
        </w:rPr>
      </w:pPr>
      <w:r>
        <w:rPr>
          <w:rFonts w:hint="eastAsia" w:hAnsi="宋体" w:eastAsia="宋体" w:cs="宋体"/>
          <w:color w:val="auto"/>
          <w:sz w:val="22"/>
          <w:szCs w:val="22"/>
          <w:highlight w:val="none"/>
        </w:rPr>
        <w:t>说明：应对照竞争性磋商文件“第三章”项目需求一览表，磋商人根据投标设备的性能指标</w:t>
      </w:r>
      <w:r>
        <w:rPr>
          <w:rFonts w:hint="eastAsia" w:hAnsi="宋体" w:eastAsia="宋体" w:cs="宋体"/>
          <w:color w:val="auto"/>
          <w:sz w:val="22"/>
          <w:szCs w:val="22"/>
          <w:highlight w:val="none"/>
          <w:lang w:eastAsia="zh-CN"/>
        </w:rPr>
        <w:t>及商务条款</w:t>
      </w:r>
      <w:r>
        <w:rPr>
          <w:rFonts w:hint="eastAsia" w:hAnsi="宋体" w:eastAsia="宋体" w:cs="宋体"/>
          <w:color w:val="auto"/>
          <w:sz w:val="22"/>
          <w:szCs w:val="22"/>
          <w:highlight w:val="none"/>
        </w:rPr>
        <w:t>对照磋商文件要求在“响应/偏离”栏注明“正偏离”、“负偏离”或“响应”</w:t>
      </w:r>
      <w:r>
        <w:rPr>
          <w:rFonts w:hint="eastAsia" w:hAnsi="宋体" w:eastAsia="宋体" w:cs="宋体"/>
          <w:color w:val="auto"/>
          <w:sz w:val="22"/>
          <w:szCs w:val="22"/>
          <w:highlight w:val="none"/>
          <w:lang w:eastAsia="zh-CN"/>
        </w:rPr>
        <w:t>。</w:t>
      </w:r>
    </w:p>
    <w:p>
      <w:pPr>
        <w:pStyle w:val="10"/>
        <w:spacing w:line="300" w:lineRule="auto"/>
        <w:rPr>
          <w:rFonts w:hAnsi="宋体"/>
          <w:color w:val="auto"/>
          <w:highlight w:val="none"/>
        </w:rPr>
      </w:pPr>
    </w:p>
    <w:p>
      <w:pPr>
        <w:pStyle w:val="10"/>
        <w:spacing w:line="300" w:lineRule="auto"/>
        <w:rPr>
          <w:rFonts w:hAnsi="宋体"/>
          <w:color w:val="auto"/>
          <w:sz w:val="28"/>
          <w:szCs w:val="28"/>
          <w:highlight w:val="none"/>
        </w:rPr>
      </w:pPr>
    </w:p>
    <w:p>
      <w:pPr>
        <w:rPr>
          <w:rFonts w:hAnsi="宋体"/>
          <w:color w:val="auto"/>
          <w:sz w:val="28"/>
          <w:szCs w:val="28"/>
          <w:highlight w:val="none"/>
        </w:rPr>
      </w:pPr>
    </w:p>
    <w:p>
      <w:pPr>
        <w:pStyle w:val="30"/>
        <w:rPr>
          <w:rFonts w:hAnsi="宋体"/>
          <w:color w:val="auto"/>
          <w:sz w:val="28"/>
          <w:szCs w:val="28"/>
          <w:highlight w:val="none"/>
        </w:rPr>
      </w:pPr>
    </w:p>
    <w:p>
      <w:pPr>
        <w:pStyle w:val="30"/>
        <w:rPr>
          <w:rFonts w:hAnsi="宋体"/>
          <w:color w:val="auto"/>
          <w:sz w:val="28"/>
          <w:szCs w:val="28"/>
          <w:highlight w:val="none"/>
        </w:rPr>
      </w:pPr>
    </w:p>
    <w:p>
      <w:pPr>
        <w:pStyle w:val="10"/>
        <w:spacing w:line="300" w:lineRule="auto"/>
        <w:rPr>
          <w:rFonts w:hAnsi="宋体"/>
          <w:color w:val="auto"/>
          <w:sz w:val="28"/>
          <w:szCs w:val="28"/>
          <w:highlight w:val="none"/>
        </w:rPr>
      </w:pPr>
    </w:p>
    <w:p>
      <w:pPr>
        <w:pStyle w:val="10"/>
        <w:spacing w:line="360" w:lineRule="auto"/>
        <w:rPr>
          <w:rFonts w:hAnsi="宋体"/>
          <w:b/>
          <w:color w:val="auto"/>
          <w:kern w:val="0"/>
          <w:highlight w:val="none"/>
        </w:rPr>
      </w:pPr>
      <w:r>
        <w:rPr>
          <w:rFonts w:hint="eastAsia" w:hAnsi="宋体"/>
          <w:color w:val="auto"/>
          <w:highlight w:val="none"/>
        </w:rPr>
        <w:t>供应商名称（盖章）：</w:t>
      </w:r>
      <w:r>
        <w:rPr>
          <w:rFonts w:hint="eastAsia" w:hAnsi="宋体"/>
          <w:color w:val="auto"/>
          <w:highlight w:val="none"/>
          <w:u w:val="single"/>
        </w:rPr>
        <w:t xml:space="preserve">                              </w:t>
      </w:r>
    </w:p>
    <w:p>
      <w:pPr>
        <w:pStyle w:val="10"/>
        <w:spacing w:line="360" w:lineRule="auto"/>
        <w:rPr>
          <w:rFonts w:hAnsi="宋体"/>
          <w:color w:val="auto"/>
          <w:highlight w:val="none"/>
          <w:u w:val="single"/>
        </w:rPr>
      </w:pPr>
      <w:r>
        <w:rPr>
          <w:rFonts w:hint="eastAsia" w:hAnsi="宋体" w:eastAsia="宋体"/>
          <w:bCs/>
          <w:color w:val="auto"/>
          <w:szCs w:val="21"/>
          <w:highlight w:val="none"/>
        </w:rPr>
        <w:t>法定代表人或委托代理人签名</w:t>
      </w:r>
      <w:r>
        <w:rPr>
          <w:rFonts w:hint="eastAsia" w:hAnsi="宋体" w:eastAsia="宋体"/>
          <w:color w:val="auto"/>
          <w:highlight w:val="none"/>
        </w:rPr>
        <w:t>：</w:t>
      </w:r>
      <w:r>
        <w:rPr>
          <w:rFonts w:hint="eastAsia" w:hAnsi="宋体"/>
          <w:color w:val="auto"/>
          <w:highlight w:val="none"/>
          <w:u w:val="single"/>
        </w:rPr>
        <w:t xml:space="preserve">              </w:t>
      </w:r>
    </w:p>
    <w:p>
      <w:pPr>
        <w:spacing w:line="360" w:lineRule="auto"/>
        <w:rPr>
          <w:rFonts w:ascii="宋体" w:hAnsi="宋体"/>
          <w:color w:val="auto"/>
          <w:szCs w:val="21"/>
          <w:highlight w:val="none"/>
        </w:rPr>
      </w:pPr>
      <w:r>
        <w:rPr>
          <w:rFonts w:hint="eastAsia" w:hAnsi="宋体"/>
          <w:color w:val="auto"/>
          <w:szCs w:val="21"/>
          <w:highlight w:val="none"/>
        </w:rPr>
        <w:t>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adjustRightInd w:val="0"/>
        <w:snapToGrid w:val="0"/>
        <w:spacing w:line="500" w:lineRule="exact"/>
        <w:rPr>
          <w:rFonts w:ascii="宋体" w:hAnsi="宋体" w:eastAsia="宋体" w:cs="宋体"/>
          <w:color w:val="auto"/>
          <w:sz w:val="28"/>
          <w:szCs w:val="28"/>
          <w:highlight w:val="none"/>
        </w:rPr>
      </w:pPr>
    </w:p>
    <w:p>
      <w:pPr>
        <w:pStyle w:val="30"/>
        <w:rPr>
          <w:rFonts w:ascii="宋体" w:hAnsi="宋体" w:eastAsia="宋体" w:cs="宋体"/>
          <w:color w:val="auto"/>
          <w:sz w:val="28"/>
          <w:szCs w:val="28"/>
          <w:highlight w:val="none"/>
        </w:rPr>
      </w:pPr>
    </w:p>
    <w:p>
      <w:pPr>
        <w:pStyle w:val="30"/>
        <w:rPr>
          <w:rFonts w:ascii="宋体" w:hAnsi="宋体" w:eastAsia="宋体" w:cs="宋体"/>
          <w:color w:val="auto"/>
          <w:sz w:val="28"/>
          <w:szCs w:val="28"/>
          <w:highlight w:val="none"/>
        </w:rPr>
      </w:pPr>
    </w:p>
    <w:p>
      <w:pPr>
        <w:pStyle w:val="30"/>
        <w:rPr>
          <w:rFonts w:ascii="宋体" w:hAnsi="宋体" w:eastAsia="宋体" w:cs="宋体"/>
          <w:color w:val="auto"/>
          <w:sz w:val="28"/>
          <w:szCs w:val="28"/>
          <w:highlight w:val="none"/>
        </w:rPr>
      </w:pPr>
    </w:p>
    <w:p>
      <w:pPr>
        <w:pStyle w:val="30"/>
        <w:rPr>
          <w:rFonts w:ascii="宋体" w:hAnsi="宋体" w:eastAsia="宋体" w:cs="宋体"/>
          <w:color w:val="auto"/>
          <w:sz w:val="28"/>
          <w:szCs w:val="28"/>
          <w:highlight w:val="none"/>
        </w:rPr>
      </w:pPr>
    </w:p>
    <w:p>
      <w:pPr>
        <w:pStyle w:val="30"/>
        <w:rPr>
          <w:color w:val="auto"/>
          <w:highlight w:val="none"/>
        </w:rPr>
      </w:pPr>
    </w:p>
    <w:p>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项目实施人员一览表</w:t>
      </w:r>
      <w:r>
        <w:rPr>
          <w:rFonts w:hint="eastAsia" w:ascii="宋体" w:hAnsi="宋体" w:eastAsia="宋体" w:cs="宋体"/>
          <w:b/>
          <w:color w:val="auto"/>
          <w:sz w:val="28"/>
          <w:szCs w:val="28"/>
          <w:highlight w:val="none"/>
        </w:rPr>
        <w:t>（格式）</w:t>
      </w:r>
    </w:p>
    <w:p>
      <w:pPr>
        <w:autoSpaceDE w:val="0"/>
        <w:autoSpaceDN w:val="0"/>
        <w:adjustRightInd w:val="0"/>
        <w:jc w:val="center"/>
        <w:rPr>
          <w:rFonts w:ascii="宋体" w:hAnsi="宋体" w:cs="宋体"/>
          <w:b/>
          <w:color w:val="auto"/>
          <w:sz w:val="32"/>
          <w:szCs w:val="32"/>
          <w:highlight w:val="none"/>
        </w:rPr>
      </w:pPr>
    </w:p>
    <w:p>
      <w:pPr>
        <w:autoSpaceDE w:val="0"/>
        <w:autoSpaceDN w:val="0"/>
        <w:adjustRightInd w:val="0"/>
        <w:spacing w:line="360" w:lineRule="auto"/>
        <w:jc w:val="left"/>
        <w:rPr>
          <w:rFonts w:ascii="宋体" w:hAnsi="宋体" w:cs="宋体"/>
          <w:color w:val="auto"/>
          <w:szCs w:val="21"/>
          <w:highlight w:val="none"/>
        </w:rPr>
      </w:pPr>
    </w:p>
    <w:tbl>
      <w:tblPr>
        <w:tblStyle w:val="18"/>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884"/>
        <w:gridCol w:w="2123"/>
        <w:gridCol w:w="243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884"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w:t>
            </w:r>
          </w:p>
        </w:tc>
        <w:tc>
          <w:tcPr>
            <w:tcW w:w="2438"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2933"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r>
              <w:rPr>
                <w:rFonts w:hint="eastAsia" w:ascii="宋体" w:hAnsi="宋体"/>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c>
          <w:tcPr>
            <w:tcW w:w="884"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c>
          <w:tcPr>
            <w:tcW w:w="2438"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c>
          <w:tcPr>
            <w:tcW w:w="884"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c>
          <w:tcPr>
            <w:tcW w:w="2438"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c>
          <w:tcPr>
            <w:tcW w:w="884"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c>
          <w:tcPr>
            <w:tcW w:w="2438"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c>
          <w:tcPr>
            <w:tcW w:w="2933" w:type="dxa"/>
            <w:tcBorders>
              <w:top w:val="single" w:color="auto" w:sz="4" w:space="0"/>
              <w:left w:val="single" w:color="auto" w:sz="4" w:space="0"/>
              <w:bottom w:val="single" w:color="auto" w:sz="4" w:space="0"/>
              <w:right w:val="single" w:color="auto" w:sz="4" w:space="0"/>
            </w:tcBorders>
            <w:vAlign w:val="center"/>
          </w:tcPr>
          <w:p>
            <w:pPr>
              <w:snapToGrid w:val="0"/>
              <w:spacing w:before="50" w:after="165" w:afterLines="50"/>
              <w:jc w:val="center"/>
              <w:rPr>
                <w:rFonts w:ascii="宋体" w:hAnsi="宋体"/>
                <w:color w:val="auto"/>
                <w:sz w:val="24"/>
                <w:szCs w:val="20"/>
                <w:highlight w:val="none"/>
              </w:rPr>
            </w:pPr>
          </w:p>
        </w:tc>
      </w:tr>
    </w:tbl>
    <w:p>
      <w:pPr>
        <w:pStyle w:val="30"/>
        <w:rPr>
          <w:color w:val="auto"/>
          <w:highlight w:val="none"/>
        </w:rPr>
      </w:pPr>
    </w:p>
    <w:p>
      <w:pPr>
        <w:autoSpaceDE w:val="0"/>
        <w:autoSpaceDN w:val="0"/>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注：以上表格如不能满足供应商单位实际情况要求，可自拟格式。</w:t>
      </w:r>
    </w:p>
    <w:p>
      <w:pPr>
        <w:pStyle w:val="30"/>
        <w:rPr>
          <w:color w:val="auto"/>
          <w:highlight w:val="none"/>
        </w:rPr>
      </w:pPr>
    </w:p>
    <w:p>
      <w:pPr>
        <w:pStyle w:val="30"/>
        <w:rPr>
          <w:color w:val="auto"/>
          <w:highlight w:val="none"/>
        </w:rPr>
      </w:pPr>
    </w:p>
    <w:p>
      <w:pPr>
        <w:pStyle w:val="30"/>
        <w:rPr>
          <w:color w:val="auto"/>
          <w:highlight w:val="none"/>
        </w:rPr>
      </w:pPr>
    </w:p>
    <w:p>
      <w:pPr>
        <w:pStyle w:val="10"/>
        <w:spacing w:line="300" w:lineRule="auto"/>
        <w:rPr>
          <w:rFonts w:hAnsi="宋体" w:eastAsia="宋体" w:cs="宋体"/>
          <w:color w:val="auto"/>
          <w:sz w:val="22"/>
          <w:szCs w:val="22"/>
          <w:highlight w:val="none"/>
        </w:rPr>
      </w:pPr>
    </w:p>
    <w:p>
      <w:pPr>
        <w:pStyle w:val="10"/>
        <w:spacing w:line="300" w:lineRule="auto"/>
        <w:rPr>
          <w:rFonts w:hAnsi="宋体" w:eastAsia="宋体" w:cs="宋体"/>
          <w:color w:val="auto"/>
          <w:sz w:val="22"/>
          <w:szCs w:val="22"/>
          <w:highlight w:val="none"/>
        </w:rPr>
      </w:pPr>
    </w:p>
    <w:p>
      <w:pPr>
        <w:rPr>
          <w:rFonts w:ascii="宋体" w:hAnsi="宋体" w:eastAsia="宋体" w:cs="宋体"/>
          <w:color w:val="auto"/>
          <w:sz w:val="22"/>
          <w:szCs w:val="22"/>
          <w:highlight w:val="none"/>
        </w:rPr>
      </w:pPr>
    </w:p>
    <w:p>
      <w:pPr>
        <w:pStyle w:val="30"/>
        <w:rPr>
          <w:rFonts w:ascii="宋体" w:hAnsi="宋体" w:eastAsia="宋体" w:cs="宋体"/>
          <w:color w:val="auto"/>
          <w:highlight w:val="none"/>
        </w:rPr>
      </w:pPr>
    </w:p>
    <w:p>
      <w:pPr>
        <w:pStyle w:val="10"/>
        <w:spacing w:line="300" w:lineRule="auto"/>
        <w:rPr>
          <w:rFonts w:hAnsi="宋体" w:eastAsia="宋体" w:cs="宋体"/>
          <w:color w:val="auto"/>
          <w:sz w:val="22"/>
          <w:szCs w:val="22"/>
          <w:highlight w:val="none"/>
        </w:rPr>
      </w:pPr>
    </w:p>
    <w:p>
      <w:pPr>
        <w:pStyle w:val="10"/>
        <w:spacing w:line="360" w:lineRule="auto"/>
        <w:rPr>
          <w:rFonts w:hAnsi="宋体" w:eastAsia="宋体" w:cs="宋体"/>
          <w:b/>
          <w:color w:val="auto"/>
          <w:kern w:val="0"/>
          <w:sz w:val="22"/>
          <w:szCs w:val="22"/>
          <w:highlight w:val="none"/>
        </w:rPr>
      </w:pPr>
      <w:r>
        <w:rPr>
          <w:rFonts w:hint="eastAsia" w:hAnsi="宋体" w:eastAsia="宋体" w:cs="宋体"/>
          <w:color w:val="auto"/>
          <w:sz w:val="22"/>
          <w:szCs w:val="22"/>
          <w:highlight w:val="none"/>
        </w:rPr>
        <w:t>供应商名称（盖章）：</w:t>
      </w:r>
      <w:r>
        <w:rPr>
          <w:rFonts w:hint="eastAsia" w:hAnsi="宋体" w:eastAsia="宋体" w:cs="宋体"/>
          <w:color w:val="auto"/>
          <w:sz w:val="22"/>
          <w:szCs w:val="22"/>
          <w:highlight w:val="none"/>
          <w:u w:val="single"/>
        </w:rPr>
        <w:t xml:space="preserve">                              </w:t>
      </w:r>
    </w:p>
    <w:p>
      <w:pPr>
        <w:pStyle w:val="10"/>
        <w:spacing w:line="360" w:lineRule="auto"/>
        <w:rPr>
          <w:rFonts w:hAnsi="宋体" w:eastAsia="宋体" w:cs="宋体"/>
          <w:color w:val="auto"/>
          <w:sz w:val="22"/>
          <w:szCs w:val="22"/>
          <w:highlight w:val="none"/>
          <w:u w:val="single"/>
        </w:rPr>
      </w:pPr>
      <w:r>
        <w:rPr>
          <w:rFonts w:hint="eastAsia" w:hAnsi="宋体" w:eastAsia="宋体" w:cs="宋体"/>
          <w:bCs/>
          <w:color w:val="auto"/>
          <w:sz w:val="22"/>
          <w:szCs w:val="22"/>
          <w:highlight w:val="none"/>
        </w:rPr>
        <w:t>法定代表人或委托代理人签字</w:t>
      </w:r>
      <w:r>
        <w:rPr>
          <w:rFonts w:hint="eastAsia" w:hAnsi="宋体" w:eastAsia="宋体" w:cs="宋体"/>
          <w:color w:val="auto"/>
          <w:sz w:val="22"/>
          <w:szCs w:val="22"/>
          <w:highlight w:val="none"/>
        </w:rPr>
        <w:t>:</w:t>
      </w:r>
      <w:r>
        <w:rPr>
          <w:rFonts w:hint="eastAsia" w:hAnsi="宋体" w:eastAsia="宋体" w:cs="宋体"/>
          <w:color w:val="auto"/>
          <w:sz w:val="22"/>
          <w:szCs w:val="22"/>
          <w:highlight w:val="none"/>
          <w:u w:val="single"/>
        </w:rPr>
        <w:t xml:space="preserve">              </w:t>
      </w:r>
    </w:p>
    <w:p>
      <w:pPr>
        <w:spacing w:line="36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pStyle w:val="30"/>
        <w:rPr>
          <w:rFonts w:ascii="宋体" w:hAnsi="宋体" w:eastAsia="宋体" w:cs="宋体"/>
          <w:color w:val="auto"/>
          <w:highlight w:val="none"/>
        </w:rPr>
      </w:pPr>
    </w:p>
    <w:p>
      <w:pPr>
        <w:pStyle w:val="30"/>
        <w:rPr>
          <w:rFonts w:ascii="宋体" w:hAnsi="宋体" w:eastAsia="宋体" w:cs="宋体"/>
          <w:color w:val="auto"/>
          <w:spacing w:val="6"/>
          <w:sz w:val="30"/>
          <w:szCs w:val="30"/>
          <w:highlight w:val="none"/>
        </w:rPr>
      </w:pPr>
    </w:p>
    <w:p>
      <w:pPr>
        <w:spacing w:line="430" w:lineRule="exact"/>
        <w:rPr>
          <w:rFonts w:ascii="宋体" w:hAnsi="宋体" w:eastAsia="宋体" w:cs="宋体"/>
          <w:color w:val="auto"/>
          <w:sz w:val="24"/>
          <w:highlight w:val="none"/>
        </w:rPr>
      </w:pPr>
      <w:r>
        <w:rPr>
          <w:rFonts w:hint="eastAsia" w:ascii="宋体" w:hAnsi="宋体" w:eastAsia="宋体" w:cs="宋体"/>
          <w:b/>
          <w:color w:val="auto"/>
          <w:sz w:val="28"/>
          <w:szCs w:val="28"/>
          <w:highlight w:val="none"/>
        </w:rPr>
        <w:br w:type="page"/>
      </w:r>
    </w:p>
    <w:p>
      <w:pPr>
        <w:spacing w:line="360" w:lineRule="auto"/>
        <w:jc w:val="center"/>
        <w:outlineLvl w:val="0"/>
        <w:rPr>
          <w:rFonts w:ascii="宋体" w:hAnsi="宋体" w:eastAsia="宋体" w:cs="宋体"/>
          <w:b/>
          <w:bCs/>
          <w:color w:val="auto"/>
          <w:sz w:val="52"/>
          <w:szCs w:val="52"/>
          <w:highlight w:val="none"/>
        </w:rPr>
      </w:pPr>
      <w:bookmarkStart w:id="59" w:name="_Toc29499"/>
      <w:r>
        <w:rPr>
          <w:rFonts w:hint="eastAsia" w:ascii="宋体" w:hAnsi="宋体" w:eastAsia="宋体" w:cs="宋体"/>
          <w:b/>
          <w:color w:val="auto"/>
          <w:sz w:val="32"/>
          <w:szCs w:val="32"/>
          <w:highlight w:val="none"/>
        </w:rPr>
        <w:t>第五章  合同主要条款及格式</w:t>
      </w:r>
      <w:bookmarkEnd w:id="59"/>
    </w:p>
    <w:p>
      <w:pPr>
        <w:snapToGrid w:val="0"/>
        <w:jc w:val="center"/>
        <w:rPr>
          <w:rFonts w:ascii="宋体" w:hAnsi="宋体" w:eastAsia="宋体" w:cs="宋体"/>
          <w:b/>
          <w:bCs/>
          <w:color w:val="auto"/>
          <w:sz w:val="32"/>
          <w:szCs w:val="32"/>
          <w:highlight w:val="none"/>
        </w:rPr>
      </w:pPr>
    </w:p>
    <w:p>
      <w:pPr>
        <w:snapToGrid w:val="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政府采购合同</w:t>
      </w:r>
    </w:p>
    <w:p>
      <w:pPr>
        <w:spacing w:line="400" w:lineRule="exact"/>
        <w:ind w:left="798"/>
        <w:rPr>
          <w:rFonts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2"/>
          <w:highlight w:val="none"/>
        </w:rPr>
        <w:t xml:space="preserve"> </w:t>
      </w:r>
      <w:r>
        <w:rPr>
          <w:rFonts w:hint="eastAsia" w:ascii="宋体" w:hAnsi="宋体" w:eastAsia="宋体" w:cs="宋体"/>
          <w:color w:val="auto"/>
          <w:highlight w:val="none"/>
        </w:rPr>
        <w:t>合同编号：</w:t>
      </w:r>
    </w:p>
    <w:p>
      <w:pPr>
        <w:spacing w:line="400" w:lineRule="exact"/>
        <w:ind w:left="225" w:leftChars="107" w:firstLine="514" w:firstLineChars="245"/>
        <w:rPr>
          <w:rFonts w:ascii="宋体" w:hAnsi="宋体" w:eastAsia="宋体" w:cs="宋体"/>
          <w:color w:val="auto"/>
          <w:highlight w:val="none"/>
        </w:rPr>
      </w:pPr>
      <w:r>
        <w:rPr>
          <w:rFonts w:hint="eastAsia" w:ascii="宋体" w:hAnsi="宋体" w:eastAsia="宋体" w:cs="宋体"/>
          <w:color w:val="auto"/>
          <w:highlight w:val="none"/>
        </w:rPr>
        <w:t xml:space="preserve">采购人（甲方）：                            采 购 计 划 号：                         </w:t>
      </w:r>
    </w:p>
    <w:p>
      <w:pPr>
        <w:spacing w:line="400" w:lineRule="exact"/>
        <w:ind w:left="225" w:leftChars="107" w:firstLine="514" w:firstLineChars="245"/>
        <w:rPr>
          <w:rFonts w:ascii="宋体" w:hAnsi="宋体" w:eastAsia="宋体" w:cs="宋体"/>
          <w:color w:val="auto"/>
          <w:highlight w:val="none"/>
        </w:rPr>
      </w:pPr>
      <w:r>
        <w:rPr>
          <w:rFonts w:hint="eastAsia" w:ascii="宋体" w:hAnsi="宋体" w:eastAsia="宋体" w:cs="宋体"/>
          <w:color w:val="auto"/>
          <w:highlight w:val="none"/>
        </w:rPr>
        <w:t xml:space="preserve">供应商（乙方）：                            采购项目名称和编号：                       </w:t>
      </w:r>
    </w:p>
    <w:p>
      <w:pPr>
        <w:spacing w:line="400" w:lineRule="exact"/>
        <w:ind w:left="225" w:leftChars="107" w:firstLine="514" w:firstLineChars="245"/>
        <w:rPr>
          <w:rFonts w:ascii="宋体" w:hAnsi="宋体" w:eastAsia="宋体" w:cs="宋体"/>
          <w:color w:val="auto"/>
          <w:highlight w:val="none"/>
        </w:rPr>
      </w:pPr>
      <w:r>
        <w:rPr>
          <w:rFonts w:hint="eastAsia" w:ascii="宋体" w:hAnsi="宋体" w:eastAsia="宋体" w:cs="宋体"/>
          <w:color w:val="auto"/>
          <w:highlight w:val="none"/>
        </w:rPr>
        <w:t xml:space="preserve">签  订  地  点：                            签 订 时 间：                       </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根据《中华人民共和国政府采购法》、《中华人民共和国合同法》等法律、法规规定，按照竞争性磋商文件（以下简称“磋商文件”）规定条款和成交供应商竞争性磋商响应文件（以下简称“响应文件”）及其承诺，甲乙双方签订本合同。</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第一条　合同标的</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1、供货一览表</w:t>
      </w:r>
    </w:p>
    <w:tbl>
      <w:tblPr>
        <w:tblStyle w:val="18"/>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17"/>
        <w:gridCol w:w="868"/>
        <w:gridCol w:w="1228"/>
        <w:gridCol w:w="1182"/>
        <w:gridCol w:w="912"/>
        <w:gridCol w:w="825"/>
        <w:gridCol w:w="126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0" w:hRule="atLeast"/>
          <w:jc w:val="center"/>
        </w:trPr>
        <w:tc>
          <w:tcPr>
            <w:tcW w:w="683"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917" w:type="dxa"/>
          </w:tcPr>
          <w:p>
            <w:pPr>
              <w:tabs>
                <w:tab w:val="left" w:pos="0"/>
              </w:tabs>
              <w:spacing w:line="440" w:lineRule="exact"/>
              <w:rPr>
                <w:rFonts w:ascii="宋体" w:hAnsi="宋体" w:eastAsia="宋体" w:cs="宋体"/>
                <w:color w:val="auto"/>
                <w:highlight w:val="none"/>
              </w:rPr>
            </w:pPr>
            <w:r>
              <w:rPr>
                <w:rFonts w:hint="eastAsia" w:ascii="宋体" w:hAnsi="宋体" w:eastAsia="宋体" w:cs="宋体"/>
                <w:color w:val="auto"/>
                <w:highlight w:val="none"/>
              </w:rPr>
              <w:t>产品名称</w:t>
            </w:r>
          </w:p>
        </w:tc>
        <w:tc>
          <w:tcPr>
            <w:tcW w:w="868"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商标品牌</w:t>
            </w:r>
          </w:p>
        </w:tc>
        <w:tc>
          <w:tcPr>
            <w:tcW w:w="1228"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规格型号</w:t>
            </w:r>
          </w:p>
        </w:tc>
        <w:tc>
          <w:tcPr>
            <w:tcW w:w="1182"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生产厂家</w:t>
            </w:r>
          </w:p>
        </w:tc>
        <w:tc>
          <w:tcPr>
            <w:tcW w:w="912"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数量</w:t>
            </w:r>
          </w:p>
        </w:tc>
        <w:tc>
          <w:tcPr>
            <w:tcW w:w="825" w:type="dxa"/>
            <w:vAlign w:val="center"/>
          </w:tcPr>
          <w:p>
            <w:pPr>
              <w:spacing w:line="440" w:lineRule="exact"/>
              <w:rPr>
                <w:rFonts w:ascii="宋体" w:hAnsi="宋体" w:eastAsia="宋体" w:cs="宋体"/>
                <w:color w:val="auto"/>
                <w:highlight w:val="none"/>
              </w:rPr>
            </w:pPr>
            <w:r>
              <w:rPr>
                <w:rFonts w:hint="eastAsia" w:ascii="宋体" w:hAnsi="宋体" w:eastAsia="宋体" w:cs="宋体"/>
                <w:color w:val="auto"/>
                <w:highlight w:val="none"/>
              </w:rPr>
              <w:t>单位</w:t>
            </w:r>
          </w:p>
        </w:tc>
        <w:tc>
          <w:tcPr>
            <w:tcW w:w="1260"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单价（元）</w:t>
            </w:r>
          </w:p>
        </w:tc>
        <w:tc>
          <w:tcPr>
            <w:tcW w:w="1238"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683" w:type="dxa"/>
            <w:vAlign w:val="center"/>
          </w:tcPr>
          <w:p>
            <w:pPr>
              <w:spacing w:line="440" w:lineRule="exact"/>
              <w:rPr>
                <w:rFonts w:ascii="宋体" w:hAnsi="宋体" w:eastAsia="宋体" w:cs="宋体"/>
                <w:color w:val="auto"/>
                <w:highlight w:val="none"/>
              </w:rPr>
            </w:pPr>
            <w:r>
              <w:rPr>
                <w:rFonts w:hint="eastAsia" w:ascii="宋体" w:hAnsi="宋体" w:eastAsia="宋体" w:cs="宋体"/>
                <w:color w:val="auto"/>
                <w:highlight w:val="none"/>
              </w:rPr>
              <w:t>1</w:t>
            </w:r>
          </w:p>
        </w:tc>
        <w:tc>
          <w:tcPr>
            <w:tcW w:w="917" w:type="dxa"/>
            <w:vAlign w:val="center"/>
          </w:tcPr>
          <w:p>
            <w:pPr>
              <w:spacing w:line="440" w:lineRule="exact"/>
              <w:ind w:left="225" w:leftChars="107" w:firstLine="514" w:firstLineChars="245"/>
              <w:rPr>
                <w:rFonts w:ascii="宋体" w:hAnsi="宋体" w:eastAsia="宋体" w:cs="宋体"/>
                <w:color w:val="auto"/>
                <w:highlight w:val="none"/>
              </w:rPr>
            </w:pPr>
          </w:p>
        </w:tc>
        <w:tc>
          <w:tcPr>
            <w:tcW w:w="868" w:type="dxa"/>
            <w:vAlign w:val="center"/>
          </w:tcPr>
          <w:p>
            <w:pPr>
              <w:spacing w:line="440" w:lineRule="exact"/>
              <w:ind w:left="225" w:leftChars="107" w:firstLine="514" w:firstLineChars="245"/>
              <w:rPr>
                <w:rFonts w:ascii="宋体" w:hAnsi="宋体" w:eastAsia="宋体" w:cs="宋体"/>
                <w:color w:val="auto"/>
                <w:highlight w:val="none"/>
              </w:rPr>
            </w:pPr>
          </w:p>
        </w:tc>
        <w:tc>
          <w:tcPr>
            <w:tcW w:w="1228" w:type="dxa"/>
            <w:vAlign w:val="center"/>
          </w:tcPr>
          <w:p>
            <w:pPr>
              <w:spacing w:line="440" w:lineRule="exact"/>
              <w:ind w:left="225" w:leftChars="107" w:firstLine="514" w:firstLineChars="245"/>
              <w:rPr>
                <w:rFonts w:ascii="宋体" w:hAnsi="宋体" w:eastAsia="宋体" w:cs="宋体"/>
                <w:color w:val="auto"/>
                <w:highlight w:val="none"/>
              </w:rPr>
            </w:pPr>
          </w:p>
        </w:tc>
        <w:tc>
          <w:tcPr>
            <w:tcW w:w="1182" w:type="dxa"/>
            <w:vAlign w:val="center"/>
          </w:tcPr>
          <w:p>
            <w:pPr>
              <w:spacing w:line="440" w:lineRule="exact"/>
              <w:ind w:left="225" w:leftChars="107" w:firstLine="514" w:firstLineChars="245"/>
              <w:rPr>
                <w:rFonts w:ascii="宋体" w:hAnsi="宋体" w:eastAsia="宋体" w:cs="宋体"/>
                <w:color w:val="auto"/>
                <w:highlight w:val="none"/>
              </w:rPr>
            </w:pPr>
          </w:p>
        </w:tc>
        <w:tc>
          <w:tcPr>
            <w:tcW w:w="912" w:type="dxa"/>
            <w:vAlign w:val="center"/>
          </w:tcPr>
          <w:p>
            <w:pPr>
              <w:spacing w:line="440" w:lineRule="exact"/>
              <w:ind w:left="225" w:leftChars="107" w:firstLine="514" w:firstLineChars="245"/>
              <w:rPr>
                <w:rFonts w:ascii="宋体" w:hAnsi="宋体" w:eastAsia="宋体" w:cs="宋体"/>
                <w:color w:val="auto"/>
                <w:highlight w:val="none"/>
              </w:rPr>
            </w:pPr>
          </w:p>
        </w:tc>
        <w:tc>
          <w:tcPr>
            <w:tcW w:w="825" w:type="dxa"/>
            <w:vAlign w:val="center"/>
          </w:tcPr>
          <w:p>
            <w:pPr>
              <w:spacing w:line="440" w:lineRule="exact"/>
              <w:ind w:left="225" w:leftChars="107" w:firstLine="514" w:firstLineChars="245"/>
              <w:rPr>
                <w:rFonts w:ascii="宋体" w:hAnsi="宋体" w:eastAsia="宋体" w:cs="宋体"/>
                <w:color w:val="auto"/>
                <w:highlight w:val="none"/>
              </w:rPr>
            </w:pPr>
          </w:p>
        </w:tc>
        <w:tc>
          <w:tcPr>
            <w:tcW w:w="1260" w:type="dxa"/>
            <w:vAlign w:val="center"/>
          </w:tcPr>
          <w:p>
            <w:pPr>
              <w:spacing w:line="440" w:lineRule="exact"/>
              <w:ind w:left="225" w:leftChars="107" w:firstLine="514" w:firstLineChars="245"/>
              <w:rPr>
                <w:rFonts w:ascii="宋体" w:hAnsi="宋体" w:eastAsia="宋体" w:cs="宋体"/>
                <w:color w:val="auto"/>
                <w:highlight w:val="none"/>
              </w:rPr>
            </w:pPr>
          </w:p>
        </w:tc>
        <w:tc>
          <w:tcPr>
            <w:tcW w:w="1238" w:type="dxa"/>
            <w:vAlign w:val="center"/>
          </w:tcPr>
          <w:p>
            <w:pPr>
              <w:spacing w:line="440" w:lineRule="exact"/>
              <w:ind w:left="225" w:leftChars="107" w:firstLine="514" w:firstLineChars="245"/>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jc w:val="center"/>
        </w:trPr>
        <w:tc>
          <w:tcPr>
            <w:tcW w:w="683" w:type="dxa"/>
            <w:vAlign w:val="center"/>
          </w:tcPr>
          <w:p>
            <w:pPr>
              <w:spacing w:line="440" w:lineRule="exact"/>
              <w:rPr>
                <w:rFonts w:ascii="宋体" w:hAnsi="宋体" w:eastAsia="宋体" w:cs="宋体"/>
                <w:color w:val="auto"/>
                <w:highlight w:val="none"/>
              </w:rPr>
            </w:pPr>
            <w:r>
              <w:rPr>
                <w:rFonts w:hint="eastAsia" w:ascii="宋体" w:hAnsi="宋体" w:eastAsia="宋体" w:cs="宋体"/>
                <w:color w:val="auto"/>
                <w:highlight w:val="none"/>
              </w:rPr>
              <w:t>2</w:t>
            </w:r>
          </w:p>
        </w:tc>
        <w:tc>
          <w:tcPr>
            <w:tcW w:w="917" w:type="dxa"/>
            <w:vAlign w:val="center"/>
          </w:tcPr>
          <w:p>
            <w:pPr>
              <w:spacing w:line="440" w:lineRule="exact"/>
              <w:ind w:left="225" w:leftChars="107" w:firstLine="514" w:firstLineChars="245"/>
              <w:rPr>
                <w:rFonts w:ascii="宋体" w:hAnsi="宋体" w:eastAsia="宋体" w:cs="宋体"/>
                <w:color w:val="auto"/>
                <w:highlight w:val="none"/>
              </w:rPr>
            </w:pPr>
          </w:p>
        </w:tc>
        <w:tc>
          <w:tcPr>
            <w:tcW w:w="868" w:type="dxa"/>
            <w:vAlign w:val="center"/>
          </w:tcPr>
          <w:p>
            <w:pPr>
              <w:spacing w:line="440" w:lineRule="exact"/>
              <w:ind w:left="225" w:leftChars="107" w:firstLine="514" w:firstLineChars="245"/>
              <w:rPr>
                <w:rFonts w:ascii="宋体" w:hAnsi="宋体" w:eastAsia="宋体" w:cs="宋体"/>
                <w:color w:val="auto"/>
                <w:highlight w:val="none"/>
              </w:rPr>
            </w:pPr>
          </w:p>
        </w:tc>
        <w:tc>
          <w:tcPr>
            <w:tcW w:w="1228" w:type="dxa"/>
            <w:vAlign w:val="center"/>
          </w:tcPr>
          <w:p>
            <w:pPr>
              <w:spacing w:line="440" w:lineRule="exact"/>
              <w:ind w:left="225" w:leftChars="107" w:firstLine="514" w:firstLineChars="245"/>
              <w:rPr>
                <w:rFonts w:ascii="宋体" w:hAnsi="宋体" w:eastAsia="宋体" w:cs="宋体"/>
                <w:color w:val="auto"/>
                <w:highlight w:val="none"/>
              </w:rPr>
            </w:pPr>
          </w:p>
        </w:tc>
        <w:tc>
          <w:tcPr>
            <w:tcW w:w="1182" w:type="dxa"/>
            <w:vAlign w:val="center"/>
          </w:tcPr>
          <w:p>
            <w:pPr>
              <w:spacing w:line="440" w:lineRule="exact"/>
              <w:ind w:left="225" w:leftChars="107" w:firstLine="514" w:firstLineChars="245"/>
              <w:rPr>
                <w:rFonts w:ascii="宋体" w:hAnsi="宋体" w:eastAsia="宋体" w:cs="宋体"/>
                <w:color w:val="auto"/>
                <w:highlight w:val="none"/>
              </w:rPr>
            </w:pPr>
          </w:p>
        </w:tc>
        <w:tc>
          <w:tcPr>
            <w:tcW w:w="912" w:type="dxa"/>
            <w:vAlign w:val="center"/>
          </w:tcPr>
          <w:p>
            <w:pPr>
              <w:spacing w:line="440" w:lineRule="exact"/>
              <w:ind w:left="225" w:leftChars="107" w:firstLine="514" w:firstLineChars="245"/>
              <w:rPr>
                <w:rFonts w:ascii="宋体" w:hAnsi="宋体" w:eastAsia="宋体" w:cs="宋体"/>
                <w:color w:val="auto"/>
                <w:highlight w:val="none"/>
              </w:rPr>
            </w:pPr>
          </w:p>
        </w:tc>
        <w:tc>
          <w:tcPr>
            <w:tcW w:w="825" w:type="dxa"/>
            <w:vAlign w:val="center"/>
          </w:tcPr>
          <w:p>
            <w:pPr>
              <w:spacing w:line="440" w:lineRule="exact"/>
              <w:ind w:left="225" w:leftChars="107" w:firstLine="514" w:firstLineChars="245"/>
              <w:rPr>
                <w:rFonts w:ascii="宋体" w:hAnsi="宋体" w:eastAsia="宋体" w:cs="宋体"/>
                <w:color w:val="auto"/>
                <w:highlight w:val="none"/>
              </w:rPr>
            </w:pPr>
          </w:p>
        </w:tc>
        <w:tc>
          <w:tcPr>
            <w:tcW w:w="1260" w:type="dxa"/>
            <w:vAlign w:val="center"/>
          </w:tcPr>
          <w:p>
            <w:pPr>
              <w:spacing w:line="440" w:lineRule="exact"/>
              <w:ind w:left="225" w:leftChars="107" w:firstLine="514" w:firstLineChars="245"/>
              <w:rPr>
                <w:rFonts w:ascii="宋体" w:hAnsi="宋体" w:eastAsia="宋体" w:cs="宋体"/>
                <w:color w:val="auto"/>
                <w:highlight w:val="none"/>
              </w:rPr>
            </w:pPr>
          </w:p>
        </w:tc>
        <w:tc>
          <w:tcPr>
            <w:tcW w:w="1238" w:type="dxa"/>
            <w:vAlign w:val="center"/>
          </w:tcPr>
          <w:p>
            <w:pPr>
              <w:spacing w:line="440" w:lineRule="exact"/>
              <w:ind w:left="225" w:leftChars="107" w:firstLine="514" w:firstLineChars="245"/>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 w:hRule="atLeast"/>
          <w:jc w:val="center"/>
        </w:trPr>
        <w:tc>
          <w:tcPr>
            <w:tcW w:w="683" w:type="dxa"/>
            <w:vAlign w:val="center"/>
          </w:tcPr>
          <w:p>
            <w:pPr>
              <w:spacing w:line="440" w:lineRule="exact"/>
              <w:rPr>
                <w:rFonts w:ascii="宋体" w:hAnsi="宋体" w:eastAsia="宋体" w:cs="宋体"/>
                <w:color w:val="auto"/>
                <w:highlight w:val="none"/>
              </w:rPr>
            </w:pPr>
            <w:r>
              <w:rPr>
                <w:rFonts w:hint="eastAsia" w:ascii="宋体" w:hAnsi="宋体" w:eastAsia="宋体" w:cs="宋体"/>
                <w:color w:val="auto"/>
                <w:highlight w:val="none"/>
              </w:rPr>
              <w:t>3</w:t>
            </w:r>
          </w:p>
        </w:tc>
        <w:tc>
          <w:tcPr>
            <w:tcW w:w="917" w:type="dxa"/>
            <w:vAlign w:val="center"/>
          </w:tcPr>
          <w:p>
            <w:pPr>
              <w:spacing w:line="440" w:lineRule="exact"/>
              <w:ind w:left="225" w:leftChars="107" w:firstLine="514" w:firstLineChars="245"/>
              <w:rPr>
                <w:rFonts w:ascii="宋体" w:hAnsi="宋体" w:eastAsia="宋体" w:cs="宋体"/>
                <w:color w:val="auto"/>
                <w:highlight w:val="none"/>
              </w:rPr>
            </w:pPr>
          </w:p>
        </w:tc>
        <w:tc>
          <w:tcPr>
            <w:tcW w:w="868" w:type="dxa"/>
            <w:vAlign w:val="center"/>
          </w:tcPr>
          <w:p>
            <w:pPr>
              <w:spacing w:line="440" w:lineRule="exact"/>
              <w:ind w:left="225" w:leftChars="107" w:firstLine="514" w:firstLineChars="245"/>
              <w:rPr>
                <w:rFonts w:ascii="宋体" w:hAnsi="宋体" w:eastAsia="宋体" w:cs="宋体"/>
                <w:color w:val="auto"/>
                <w:highlight w:val="none"/>
              </w:rPr>
            </w:pPr>
          </w:p>
        </w:tc>
        <w:tc>
          <w:tcPr>
            <w:tcW w:w="1228" w:type="dxa"/>
            <w:vAlign w:val="center"/>
          </w:tcPr>
          <w:p>
            <w:pPr>
              <w:spacing w:line="440" w:lineRule="exact"/>
              <w:ind w:left="225" w:leftChars="107" w:firstLine="514" w:firstLineChars="245"/>
              <w:rPr>
                <w:rFonts w:ascii="宋体" w:hAnsi="宋体" w:eastAsia="宋体" w:cs="宋体"/>
                <w:color w:val="auto"/>
                <w:highlight w:val="none"/>
              </w:rPr>
            </w:pPr>
          </w:p>
        </w:tc>
        <w:tc>
          <w:tcPr>
            <w:tcW w:w="1182" w:type="dxa"/>
            <w:vAlign w:val="center"/>
          </w:tcPr>
          <w:p>
            <w:pPr>
              <w:spacing w:line="440" w:lineRule="exact"/>
              <w:ind w:left="225" w:leftChars="107" w:firstLine="514" w:firstLineChars="245"/>
              <w:rPr>
                <w:rFonts w:ascii="宋体" w:hAnsi="宋体" w:eastAsia="宋体" w:cs="宋体"/>
                <w:color w:val="auto"/>
                <w:highlight w:val="none"/>
              </w:rPr>
            </w:pPr>
          </w:p>
        </w:tc>
        <w:tc>
          <w:tcPr>
            <w:tcW w:w="912" w:type="dxa"/>
            <w:vAlign w:val="center"/>
          </w:tcPr>
          <w:p>
            <w:pPr>
              <w:spacing w:line="440" w:lineRule="exact"/>
              <w:ind w:left="225" w:leftChars="107" w:firstLine="514" w:firstLineChars="245"/>
              <w:rPr>
                <w:rFonts w:ascii="宋体" w:hAnsi="宋体" w:eastAsia="宋体" w:cs="宋体"/>
                <w:color w:val="auto"/>
                <w:highlight w:val="none"/>
              </w:rPr>
            </w:pPr>
          </w:p>
        </w:tc>
        <w:tc>
          <w:tcPr>
            <w:tcW w:w="825" w:type="dxa"/>
            <w:vAlign w:val="center"/>
          </w:tcPr>
          <w:p>
            <w:pPr>
              <w:spacing w:line="440" w:lineRule="exact"/>
              <w:ind w:left="225" w:leftChars="107" w:firstLine="514" w:firstLineChars="245"/>
              <w:rPr>
                <w:rFonts w:ascii="宋体" w:hAnsi="宋体" w:eastAsia="宋体" w:cs="宋体"/>
                <w:color w:val="auto"/>
                <w:highlight w:val="none"/>
              </w:rPr>
            </w:pPr>
          </w:p>
        </w:tc>
        <w:tc>
          <w:tcPr>
            <w:tcW w:w="1260" w:type="dxa"/>
            <w:vAlign w:val="center"/>
          </w:tcPr>
          <w:p>
            <w:pPr>
              <w:spacing w:line="440" w:lineRule="exact"/>
              <w:ind w:left="225" w:leftChars="107" w:firstLine="514" w:firstLineChars="245"/>
              <w:rPr>
                <w:rFonts w:ascii="宋体" w:hAnsi="宋体" w:eastAsia="宋体" w:cs="宋体"/>
                <w:color w:val="auto"/>
                <w:highlight w:val="none"/>
              </w:rPr>
            </w:pPr>
          </w:p>
        </w:tc>
        <w:tc>
          <w:tcPr>
            <w:tcW w:w="1238" w:type="dxa"/>
            <w:vAlign w:val="center"/>
          </w:tcPr>
          <w:p>
            <w:pPr>
              <w:spacing w:line="440" w:lineRule="exact"/>
              <w:ind w:left="225" w:leftChars="107" w:firstLine="514" w:firstLineChars="245"/>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 w:hRule="atLeast"/>
          <w:jc w:val="center"/>
        </w:trPr>
        <w:tc>
          <w:tcPr>
            <w:tcW w:w="683" w:type="dxa"/>
            <w:vAlign w:val="center"/>
          </w:tcPr>
          <w:p>
            <w:pPr>
              <w:spacing w:line="440" w:lineRule="exact"/>
              <w:rPr>
                <w:rFonts w:ascii="宋体" w:hAnsi="宋体" w:eastAsia="宋体" w:cs="宋体"/>
                <w:color w:val="auto"/>
                <w:highlight w:val="none"/>
              </w:rPr>
            </w:pPr>
            <w:r>
              <w:rPr>
                <w:rFonts w:hint="eastAsia" w:ascii="宋体" w:hAnsi="宋体" w:eastAsia="宋体" w:cs="宋体"/>
                <w:color w:val="auto"/>
                <w:highlight w:val="none"/>
              </w:rPr>
              <w:t>4</w:t>
            </w:r>
          </w:p>
        </w:tc>
        <w:tc>
          <w:tcPr>
            <w:tcW w:w="917" w:type="dxa"/>
            <w:vAlign w:val="center"/>
          </w:tcPr>
          <w:p>
            <w:pPr>
              <w:spacing w:line="440" w:lineRule="exact"/>
              <w:ind w:left="225" w:leftChars="107" w:firstLine="514" w:firstLineChars="245"/>
              <w:rPr>
                <w:rFonts w:ascii="宋体" w:hAnsi="宋体" w:eastAsia="宋体" w:cs="宋体"/>
                <w:color w:val="auto"/>
                <w:highlight w:val="none"/>
              </w:rPr>
            </w:pPr>
          </w:p>
        </w:tc>
        <w:tc>
          <w:tcPr>
            <w:tcW w:w="868" w:type="dxa"/>
            <w:vAlign w:val="center"/>
          </w:tcPr>
          <w:p>
            <w:pPr>
              <w:spacing w:line="440" w:lineRule="exact"/>
              <w:ind w:left="225" w:leftChars="107" w:firstLine="514" w:firstLineChars="245"/>
              <w:rPr>
                <w:rFonts w:ascii="宋体" w:hAnsi="宋体" w:eastAsia="宋体" w:cs="宋体"/>
                <w:color w:val="auto"/>
                <w:highlight w:val="none"/>
              </w:rPr>
            </w:pPr>
          </w:p>
        </w:tc>
        <w:tc>
          <w:tcPr>
            <w:tcW w:w="1228" w:type="dxa"/>
            <w:vAlign w:val="center"/>
          </w:tcPr>
          <w:p>
            <w:pPr>
              <w:spacing w:line="440" w:lineRule="exact"/>
              <w:ind w:left="225" w:leftChars="107" w:firstLine="514" w:firstLineChars="245"/>
              <w:rPr>
                <w:rFonts w:ascii="宋体" w:hAnsi="宋体" w:eastAsia="宋体" w:cs="宋体"/>
                <w:color w:val="auto"/>
                <w:highlight w:val="none"/>
              </w:rPr>
            </w:pPr>
          </w:p>
        </w:tc>
        <w:tc>
          <w:tcPr>
            <w:tcW w:w="1182" w:type="dxa"/>
            <w:vAlign w:val="center"/>
          </w:tcPr>
          <w:p>
            <w:pPr>
              <w:spacing w:line="440" w:lineRule="exact"/>
              <w:ind w:left="225" w:leftChars="107" w:firstLine="514" w:firstLineChars="245"/>
              <w:rPr>
                <w:rFonts w:ascii="宋体" w:hAnsi="宋体" w:eastAsia="宋体" w:cs="宋体"/>
                <w:color w:val="auto"/>
                <w:highlight w:val="none"/>
              </w:rPr>
            </w:pPr>
          </w:p>
        </w:tc>
        <w:tc>
          <w:tcPr>
            <w:tcW w:w="912" w:type="dxa"/>
            <w:vAlign w:val="center"/>
          </w:tcPr>
          <w:p>
            <w:pPr>
              <w:spacing w:line="440" w:lineRule="exact"/>
              <w:ind w:left="225" w:leftChars="107" w:firstLine="514" w:firstLineChars="245"/>
              <w:rPr>
                <w:rFonts w:ascii="宋体" w:hAnsi="宋体" w:eastAsia="宋体" w:cs="宋体"/>
                <w:color w:val="auto"/>
                <w:highlight w:val="none"/>
              </w:rPr>
            </w:pPr>
          </w:p>
        </w:tc>
        <w:tc>
          <w:tcPr>
            <w:tcW w:w="825" w:type="dxa"/>
            <w:vAlign w:val="center"/>
          </w:tcPr>
          <w:p>
            <w:pPr>
              <w:spacing w:line="440" w:lineRule="exact"/>
              <w:ind w:left="225" w:leftChars="107" w:firstLine="514" w:firstLineChars="245"/>
              <w:rPr>
                <w:rFonts w:ascii="宋体" w:hAnsi="宋体" w:eastAsia="宋体" w:cs="宋体"/>
                <w:color w:val="auto"/>
                <w:highlight w:val="none"/>
              </w:rPr>
            </w:pPr>
          </w:p>
        </w:tc>
        <w:tc>
          <w:tcPr>
            <w:tcW w:w="1260" w:type="dxa"/>
            <w:vAlign w:val="center"/>
          </w:tcPr>
          <w:p>
            <w:pPr>
              <w:spacing w:line="440" w:lineRule="exact"/>
              <w:ind w:left="225" w:leftChars="107" w:firstLine="514" w:firstLineChars="245"/>
              <w:rPr>
                <w:rFonts w:ascii="宋体" w:hAnsi="宋体" w:eastAsia="宋体" w:cs="宋体"/>
                <w:color w:val="auto"/>
                <w:highlight w:val="none"/>
              </w:rPr>
            </w:pPr>
          </w:p>
        </w:tc>
        <w:tc>
          <w:tcPr>
            <w:tcW w:w="1238" w:type="dxa"/>
            <w:vAlign w:val="center"/>
          </w:tcPr>
          <w:p>
            <w:pPr>
              <w:spacing w:line="440" w:lineRule="exact"/>
              <w:ind w:left="225" w:leftChars="107" w:firstLine="514" w:firstLineChars="245"/>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9113" w:type="dxa"/>
            <w:gridSpan w:val="9"/>
            <w:vAlign w:val="center"/>
          </w:tcPr>
          <w:p>
            <w:pPr>
              <w:spacing w:line="440" w:lineRule="exact"/>
              <w:ind w:left="225" w:leftChars="107" w:firstLine="514" w:firstLineChars="245"/>
              <w:rPr>
                <w:rFonts w:ascii="宋体" w:hAnsi="宋体" w:eastAsia="宋体" w:cs="宋体"/>
                <w:color w:val="auto"/>
                <w:highlight w:val="none"/>
              </w:rPr>
            </w:pPr>
            <w:r>
              <w:rPr>
                <w:rFonts w:hint="eastAsia" w:ascii="宋体" w:hAnsi="宋体" w:eastAsia="宋体" w:cs="宋体"/>
                <w:color w:val="auto"/>
                <w:highlight w:val="none"/>
              </w:rPr>
              <w:t xml:space="preserve">人民币合计金额（大写）                          （小写）                 </w:t>
            </w:r>
          </w:p>
        </w:tc>
      </w:tr>
    </w:tbl>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2、合同合计金额包括货物价款，备件、专用工具、安装、调试、检验、技术培训及技术资料和包装、运输等全部费用。如磋商文件、响应文件对其另有规定的，从其规定。</w:t>
      </w:r>
    </w:p>
    <w:p>
      <w:pPr>
        <w:spacing w:line="440" w:lineRule="exact"/>
        <w:ind w:left="244" w:hanging="243" w:hangingChars="116"/>
        <w:rPr>
          <w:rFonts w:ascii="宋体" w:hAnsi="宋体" w:eastAsia="宋体" w:cs="宋体"/>
          <w:color w:val="auto"/>
          <w:highlight w:val="none"/>
        </w:rPr>
      </w:pPr>
      <w:r>
        <w:rPr>
          <w:rFonts w:hint="eastAsia" w:ascii="宋体" w:hAnsi="宋体" w:eastAsia="宋体" w:cs="宋体"/>
          <w:color w:val="auto"/>
          <w:highlight w:val="none"/>
        </w:rPr>
        <w:t xml:space="preserve">    第二条　质量保证</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1、乙方所提供的货物型号、技术规格、技术参数等质量必须与磋商文件、响应文件和承诺相一致。乙方提供的节能和环保产品必须是列入政府采购清单的产品。</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2、乙方所提供的货物必须是全新、未经使用的原装产品，且在正常安装、使用和保养条件下，其使用寿命期内各项指标均达到质量要求。</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第三条　权力保证</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1、乙方应保证所提供货物在使用时不会侵犯任何第三方的专利权、商标权、工业设计权或其他权利。</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2、乙方应按磋商文件规定的时间或响应文件承诺的时间向甲方提供使用货物的有关技术资料。</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4、乙方保证所交付的货物的所有权完全属于乙方且无任何抵押、质押、查封等产权瑕疵。</w:t>
      </w:r>
    </w:p>
    <w:p>
      <w:pPr>
        <w:spacing w:line="440" w:lineRule="exact"/>
        <w:ind w:left="244" w:hanging="243" w:hangingChars="116"/>
        <w:rPr>
          <w:rFonts w:ascii="宋体" w:hAnsi="宋体" w:eastAsia="宋体" w:cs="宋体"/>
          <w:color w:val="auto"/>
          <w:highlight w:val="none"/>
        </w:rPr>
      </w:pPr>
      <w:r>
        <w:rPr>
          <w:rFonts w:hint="eastAsia" w:ascii="宋体" w:hAnsi="宋体" w:eastAsia="宋体" w:cs="宋体"/>
          <w:color w:val="auto"/>
          <w:highlight w:val="none"/>
        </w:rPr>
        <w:t xml:space="preserve">    第四条　包装和运输</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1、乙方提供的货物均应按磋商文件、响应文件要求的包装材料、包装标准、包装方式进行包装，每一包装单元内应附详细的装箱单和质量合格证。</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2、货物的运输方式：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3、乙方负责货物运输，货物运输合理损耗及计算方法：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第五条　交付和验收</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1、交付使用时间：</w:t>
      </w:r>
      <w:r>
        <w:rPr>
          <w:rFonts w:hint="eastAsia" w:ascii="宋体" w:hAnsi="宋体" w:eastAsia="宋体" w:cs="宋体"/>
          <w:color w:val="auto"/>
          <w:highlight w:val="none"/>
          <w:u w:val="single"/>
        </w:rPr>
        <w:t>按乙方响应文件中所承诺的时间</w:t>
      </w:r>
      <w:r>
        <w:rPr>
          <w:rFonts w:hint="eastAsia" w:ascii="宋体" w:hAnsi="宋体" w:eastAsia="宋体" w:cs="宋体"/>
          <w:color w:val="auto"/>
          <w:highlight w:val="none"/>
        </w:rPr>
        <w:t>、</w:t>
      </w:r>
      <w:r>
        <w:rPr>
          <w:rFonts w:hint="eastAsia" w:ascii="宋体" w:hAnsi="宋体" w:eastAsia="宋体" w:cs="宋体"/>
          <w:color w:val="auto"/>
          <w:highlight w:val="none"/>
          <w:u w:val="single"/>
        </w:rPr>
        <w:t>地点：采购人指定地点 。</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2、乙方提供不符合磋商文件、响应文件和本合同规定的货物，甲方有权拒绝接受。</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3、乙方应将所提供货物的装箱清单、用户手册、原厂保修卡、随机资料、工具和备品、备件等交付给甲方，如有缺失应及时补齐，否则视为逾期交货。</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4、甲方应当在到货（安装、调试完）后七个工作日内进行验收，逾期不验收的，乙方可视同验收合格。验收合格后由甲乙双方签署货物验收单并加盖采购人公章，甲乙双方各执一份。</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6、甲方对验收有异议的，在验收后五个工作日内以书面形式向乙方提出，乙方应自收到甲方书面异议后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日内及时予以解决。</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第六条　安装和培训</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1、甲方应提供必要安装条件（如场地、电源、水源等）。</w:t>
      </w:r>
    </w:p>
    <w:p>
      <w:pPr>
        <w:spacing w:line="440" w:lineRule="exact"/>
        <w:rPr>
          <w:rFonts w:ascii="宋体" w:hAnsi="宋体" w:eastAsia="宋体" w:cs="宋体"/>
          <w:color w:val="auto"/>
          <w:highlight w:val="none"/>
          <w:u w:val="single"/>
        </w:rPr>
      </w:pPr>
      <w:r>
        <w:rPr>
          <w:rFonts w:hint="eastAsia" w:ascii="宋体" w:hAnsi="宋体" w:eastAsia="宋体" w:cs="宋体"/>
          <w:color w:val="auto"/>
          <w:highlight w:val="none"/>
        </w:rPr>
        <w:t xml:space="preserve">    2、乙方负责甲方有关人员的培训。培训时间、地点</w:t>
      </w:r>
      <w:r>
        <w:rPr>
          <w:rFonts w:hint="eastAsia" w:ascii="宋体" w:hAnsi="宋体" w:eastAsia="宋体" w:cs="宋体"/>
          <w:color w:val="auto"/>
          <w:highlight w:val="none"/>
          <w:u w:val="single"/>
        </w:rPr>
        <w:t xml:space="preserve">：由甲方根据情况合理安排 </w:t>
      </w:r>
      <w:r>
        <w:rPr>
          <w:rFonts w:hint="eastAsia" w:ascii="宋体" w:hAnsi="宋体" w:eastAsia="宋体" w:cs="宋体"/>
          <w:color w:val="auto"/>
          <w:highlight w:val="none"/>
        </w:rPr>
        <w:t>。</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第七条  售后服务、保修期</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1、乙方应按照国家有关法律法规和“三包”规定以及磋商文件、响应文件和本合同所附的《服务承诺》，为甲方提供售后服务。</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2、货物保修期：</w:t>
      </w:r>
      <w:r>
        <w:rPr>
          <w:rFonts w:hint="eastAsia" w:ascii="宋体" w:hAnsi="宋体" w:eastAsia="宋体" w:cs="宋体"/>
          <w:color w:val="auto"/>
          <w:highlight w:val="none"/>
          <w:u w:val="single"/>
        </w:rPr>
        <w:t xml:space="preserve">按响应文件的承诺 </w:t>
      </w:r>
      <w:r>
        <w:rPr>
          <w:rFonts w:hint="eastAsia" w:ascii="宋体" w:hAnsi="宋体" w:eastAsia="宋体" w:cs="宋体"/>
          <w:color w:val="auto"/>
          <w:highlight w:val="none"/>
        </w:rPr>
        <w:t>。</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3、乙方提供的服务承诺和售后服务及保修期责任等其它具体约定事项。（见合同附件）</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第八条　付款方式和保证金</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1、当采购数量与实际使用数量不一致时，乙方应根据实际使用量供货，合同的最终结算金额按实际使用量乘以成交单价进行计算。</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2、资金性质：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3、付款方式：</w:t>
      </w:r>
      <w:r>
        <w:rPr>
          <w:rFonts w:hint="eastAsia" w:ascii="宋体" w:hAnsi="宋体" w:eastAsia="宋体" w:cs="宋体"/>
          <w:color w:val="auto"/>
          <w:highlight w:val="none"/>
          <w:u w:val="single"/>
        </w:rPr>
        <w:t xml:space="preserve"> 双方协商并在合同中明确。</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第九条　履约保证金</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无。</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第十条  税费</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本合同执行中相关的一切税费均由乙方负担。</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第十一条  质量保证及售后服务</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乙方应按磋商文件规定及响应文件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（1）更换：由乙方承担所发生的全部费用。</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（2）贬值处理：由甲乙双方合议定价。</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（3）退货处理：乙方应退还甲方支付的合同款，同时应承担该货物的直接费用（运输、保险、检验、货款利息及银行手续费等）。</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2、如在使用过程中发生质量问题，乙方在接到甲方通知后在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小时内到达甲方现场。</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3、在质保期内，乙方应对货物出现的质量及安全问题负责处理解决并承担一切费用。</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4、产品质量保证期应当包括但不限于：质保期不少于1年，质保期内，成交供应商负责对其提供的设备进行上门维修，不收取额外费用，所涉及的小件部分质保期内免费更换。</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第十二条  调试和验收</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甲方对乙方提交的货物依据磋商文件上的技术规格要求和国家有关质量标准进行现场初步验收，外观、说明书符合磋商文件技术要求的，给予签收，初步验收不合格的不予签收。货到后，甲方应当在到货（安装、调试完）后七个工作日内进行验收。</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2、乙方交货前应对产品作出全面检查和对验收文件进行整理，并列出清单，作为甲方收货验收和使用的技术条件依据，检验的结果应随货物交甲方。</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3、甲方对乙方提供的货物在使用前进行调试时，乙方需负责安装并培训甲方的使用操作人员，并协助甲方一起调试，直到符合技术要求，甲方才做最终验收。</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4、对技术复杂的货物，甲方应请国家认可的专业检测机构参与初步验收及最终验收，并由其出具质量检测报告。</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5、验收时乙方必须在现场，验收完毕后作出验收结果报告；验收费用由乙方负责。</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第十三条  货物包装、发运及运输</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1、乙方应在货物发运前对其进行满足运输距离、防潮、防震、防锈和防破损装卸等要求包装，以保证货物安全运达甲方指定地点。</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2、成交供应商应提供设备的随机附件、技术资料，可包括相应的安装配件、图纸、操作手册、维护手册、质量保证文件、服务指南、清单等一并附于货物内。</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3、乙方在货物发运手续办理完毕后二十四小时内或货到甲方四十八小时前通知甲方，以准备接货。</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4、货物在交付甲方前发生的风险均由乙方负责。</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5、货物在规定的交付期限内由乙方送达甲方指定的地点视为交付，乙方同时需通知甲方货物已送达。</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第十四条　 违约责任</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2、乙方提供的货物如侵犯了第三方合法权益而引发的任何纠纷或诉讼，均由乙方负责交涉并承担全部责任。</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3、因包装、运输引起的货物损坏，按质量不合格处罚。</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4、甲方无故延期接收货物、乙方逾期交货的，每天向对方偿付违约货款额3‰违约金，但违约金累计不得超过违约货款额5%，超过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天对方有权解除合同，违约方承担因此给对方造成经济损失；甲方延期付货款的，每天向乙方偿付延期货款额3‰ 滞纳金，但滞纳金累计不得超过延期货款额5%。</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5、乙方未按本合同和响应文件中规定的服务承诺提供服务的，乙方应按本合同合计金额 5%向甲方支付违约金，甲方有权解除合同。</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6、乙方提供的货物在质量保证期内，因设计、工艺或材料的缺陷和其它质量原因造成的问题，由乙方负责，费用从履约保证金中扣除，不足另补。</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7、其它违约行为按违约货款额5%收取违约金。</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8、乙方支付的违约金不足以弥补甲方损失的，还应承担赔偿责任。</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第十五条  不可抗力事件处理</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1、在合同有效期内，任何一方因不可抗力事件导致不能履行合同，则合同履行期可延长，其延长期与不可抗力影响期相同。</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2、不可抗力事件发生后，应立即通知对方，并寄送有关权威机构出具的证明。</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3、不可抗力事件延续一百二十天以上，双方应通过友好协商，确定是否继续履行合同。</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第十六条  合同争议解决</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1、因货物质量问题发生争议的，应邀请国家认可的质量检测机构对货物质量进行鉴定。货物符合标准的，鉴定费由甲方承担；货物不符合标准的，鉴定费由乙方承担。</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2、因履行本合同引起的或与本合同有关的争议，甲乙双方应首先通过友好协商解决，如果协商不能解决，可向仲裁委员会申请仲裁或向人民法院提起诉讼。</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3、诉讼期间，本合同继续履行。</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第十七条  诉讼</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双方在执行合同中所发生的一切争议，应通过协商解决。如果协商不能解决，可向仲裁委员会申请</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仲裁或向人民法院提起诉讼。</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第十八条  合同生效及其它</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1、合同经双方法定代</w:t>
      </w:r>
      <w:r>
        <w:rPr>
          <w:rFonts w:hint="eastAsia" w:ascii="宋体" w:hAnsi="宋体" w:eastAsia="宋体" w:cs="宋体"/>
          <w:color w:val="auto"/>
          <w:szCs w:val="21"/>
          <w:highlight w:val="none"/>
        </w:rPr>
        <w:t>表人（企业负责人）或</w:t>
      </w:r>
      <w:r>
        <w:rPr>
          <w:rFonts w:hint="eastAsia" w:ascii="宋体" w:hAnsi="宋体" w:eastAsia="宋体" w:cs="宋体"/>
          <w:color w:val="auto"/>
          <w:highlight w:val="none"/>
        </w:rPr>
        <w:t>授权代表（委托代理人）签字并加盖单位公章后生效。</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2、合同执行中涉及采购资金和采购内容修改或补充的，须经同级政府采购监督管理科审批，并签书面补充协议报同级政府采购监督管理科备案，方可作为主合同不可分割的一部分。</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3、本合同未尽事宜，遵照《合同法》有关条文执行。</w:t>
      </w:r>
    </w:p>
    <w:p>
      <w:pPr>
        <w:spacing w:line="440" w:lineRule="exact"/>
        <w:rPr>
          <w:rFonts w:ascii="宋体" w:hAnsi="宋体" w:eastAsia="宋体" w:cs="宋体"/>
          <w:color w:val="auto"/>
          <w:highlight w:val="none"/>
        </w:rPr>
      </w:pPr>
      <w:r>
        <w:rPr>
          <w:rFonts w:hint="eastAsia" w:ascii="宋体" w:hAnsi="宋体" w:eastAsia="宋体" w:cs="宋体"/>
          <w:color w:val="auto"/>
          <w:highlight w:val="none"/>
        </w:rPr>
        <w:t xml:space="preserve">    第十九条　 合同的变更、终止与转让</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1、除《中华人民共和国政府采购法》第五十条规定的情形外，本合同一经签订，甲乙双方不得擅自变更、中止或终止。</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2、乙方不得擅自转让（无进口资格的供应商委托进口货物除外）其应履行的合同义务。</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第二十条　 签订本合同依据</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1、磋商文件；</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2、乙方提供的响应文件；</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3、谈判书； </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4、成交通知书。</w:t>
      </w:r>
    </w:p>
    <w:p>
      <w:pPr>
        <w:spacing w:line="4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第二十一条　本合同一式五份，具有同等法律效力，同级政府采购监督管理部门、采购代理机构各一份，甲方两份，乙方一份。</w:t>
      </w:r>
    </w:p>
    <w:p>
      <w:pPr>
        <w:spacing w:line="440" w:lineRule="exact"/>
        <w:ind w:firstLine="420" w:firstLineChars="200"/>
        <w:rPr>
          <w:rFonts w:ascii="宋体" w:hAnsi="宋体" w:eastAsia="宋体" w:cs="宋体"/>
          <w:b/>
          <w:color w:val="auto"/>
          <w:sz w:val="32"/>
          <w:szCs w:val="32"/>
          <w:highlight w:val="none"/>
        </w:rPr>
      </w:pPr>
      <w:r>
        <w:rPr>
          <w:rFonts w:hint="eastAsia" w:ascii="宋体" w:hAnsi="宋体" w:eastAsia="宋体" w:cs="宋体"/>
          <w:color w:val="auto"/>
          <w:highlight w:val="none"/>
        </w:rPr>
        <w:t>本合同甲乙双方签字盖章后生效，自签订之日起七个工作日内，采购人或采购代理机构应当将合同副本报同级政府采购监督管理部门备案。</w:t>
      </w:r>
    </w:p>
    <w:tbl>
      <w:tblPr>
        <w:tblStyle w:val="1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甲方（章）           </w:t>
            </w:r>
          </w:p>
          <w:p>
            <w:pPr>
              <w:snapToGrid w:val="0"/>
              <w:spacing w:line="360" w:lineRule="exact"/>
              <w:rPr>
                <w:rFonts w:ascii="宋体" w:hAnsi="宋体" w:eastAsia="宋体" w:cs="宋体"/>
                <w:color w:val="auto"/>
                <w:sz w:val="22"/>
                <w:szCs w:val="22"/>
                <w:highlight w:val="none"/>
              </w:rPr>
            </w:pPr>
          </w:p>
          <w:p>
            <w:pPr>
              <w:snapToGrid w:val="0"/>
              <w:spacing w:line="360" w:lineRule="exact"/>
              <w:rPr>
                <w:rFonts w:ascii="宋体" w:hAnsi="宋体" w:eastAsia="宋体" w:cs="宋体"/>
                <w:color w:val="auto"/>
                <w:sz w:val="22"/>
                <w:szCs w:val="22"/>
                <w:highlight w:val="none"/>
              </w:rPr>
            </w:pPr>
          </w:p>
          <w:p>
            <w:pPr>
              <w:snapToGrid w:val="0"/>
              <w:spacing w:line="360" w:lineRule="exact"/>
              <w:ind w:firstLine="990" w:firstLineChars="450"/>
              <w:jc w:val="righ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w:t>
            </w:r>
          </w:p>
        </w:tc>
        <w:tc>
          <w:tcPr>
            <w:tcW w:w="4772"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乙方（章）              </w:t>
            </w:r>
          </w:p>
          <w:p>
            <w:pPr>
              <w:snapToGrid w:val="0"/>
              <w:spacing w:line="360" w:lineRule="exact"/>
              <w:rPr>
                <w:rFonts w:ascii="宋体" w:hAnsi="宋体" w:eastAsia="宋体" w:cs="宋体"/>
                <w:color w:val="auto"/>
                <w:sz w:val="22"/>
                <w:szCs w:val="22"/>
                <w:highlight w:val="none"/>
              </w:rPr>
            </w:pPr>
          </w:p>
          <w:p>
            <w:pPr>
              <w:snapToGrid w:val="0"/>
              <w:spacing w:line="360" w:lineRule="exact"/>
              <w:rPr>
                <w:rFonts w:ascii="宋体" w:hAnsi="宋体" w:eastAsia="宋体" w:cs="宋体"/>
                <w:color w:val="auto"/>
                <w:sz w:val="22"/>
                <w:szCs w:val="22"/>
                <w:highlight w:val="none"/>
              </w:rPr>
            </w:pPr>
          </w:p>
          <w:p>
            <w:pPr>
              <w:snapToGrid w:val="0"/>
              <w:spacing w:line="360" w:lineRule="exact"/>
              <w:jc w:val="righ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4516"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单位地址：</w:t>
            </w:r>
          </w:p>
        </w:tc>
        <w:tc>
          <w:tcPr>
            <w:tcW w:w="4772"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9" w:hRule="atLeast"/>
        </w:trPr>
        <w:tc>
          <w:tcPr>
            <w:tcW w:w="4516"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tc>
        <w:tc>
          <w:tcPr>
            <w:tcW w:w="4772"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7" w:hRule="atLeast"/>
        </w:trPr>
        <w:tc>
          <w:tcPr>
            <w:tcW w:w="4516"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p>
        </w:tc>
        <w:tc>
          <w:tcPr>
            <w:tcW w:w="4772"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0" w:hRule="atLeast"/>
        </w:trPr>
        <w:tc>
          <w:tcPr>
            <w:tcW w:w="4516"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4772"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1" w:hRule="atLeast"/>
        </w:trPr>
        <w:tc>
          <w:tcPr>
            <w:tcW w:w="4516"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电子邮箱：</w:t>
            </w:r>
          </w:p>
        </w:tc>
        <w:tc>
          <w:tcPr>
            <w:tcW w:w="4772"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4516"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tc>
        <w:tc>
          <w:tcPr>
            <w:tcW w:w="4772"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4516"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tc>
        <w:tc>
          <w:tcPr>
            <w:tcW w:w="4772"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4516"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4772" w:type="dxa"/>
            <w:vAlign w:val="center"/>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r>
    </w:tbl>
    <w:p>
      <w:pPr>
        <w:pStyle w:val="30"/>
        <w:spacing w:line="320" w:lineRule="exact"/>
        <w:rPr>
          <w:rFonts w:ascii="宋体" w:hAnsi="宋体" w:eastAsia="宋体" w:cs="宋体"/>
          <w:color w:val="auto"/>
          <w:sz w:val="22"/>
          <w:szCs w:val="22"/>
          <w:highlight w:val="none"/>
        </w:rPr>
      </w:pPr>
    </w:p>
    <w:p>
      <w:pPr>
        <w:snapToGrid w:val="0"/>
        <w:spacing w:line="360" w:lineRule="exact"/>
        <w:jc w:val="center"/>
        <w:rPr>
          <w:rFonts w:ascii="宋体" w:hAnsi="宋体" w:eastAsia="宋体" w:cs="宋体"/>
          <w:b/>
          <w:color w:val="auto"/>
          <w:sz w:val="22"/>
          <w:szCs w:val="22"/>
          <w:highlight w:val="none"/>
        </w:rPr>
      </w:pPr>
    </w:p>
    <w:p>
      <w:pPr>
        <w:snapToGrid w:val="0"/>
        <w:spacing w:line="360" w:lineRule="exact"/>
        <w:jc w:val="center"/>
        <w:rPr>
          <w:rFonts w:ascii="宋体" w:hAnsi="宋体" w:eastAsia="宋体" w:cs="宋体"/>
          <w:b/>
          <w:color w:val="auto"/>
          <w:sz w:val="22"/>
          <w:szCs w:val="22"/>
          <w:highlight w:val="none"/>
        </w:rPr>
      </w:pPr>
    </w:p>
    <w:p>
      <w:pPr>
        <w:snapToGrid w:val="0"/>
        <w:spacing w:line="360" w:lineRule="exact"/>
        <w:jc w:val="center"/>
        <w:rPr>
          <w:rFonts w:ascii="宋体" w:hAnsi="宋体" w:eastAsia="宋体" w:cs="宋体"/>
          <w:b/>
          <w:color w:val="auto"/>
          <w:sz w:val="22"/>
          <w:szCs w:val="22"/>
          <w:highlight w:val="none"/>
        </w:rPr>
      </w:pPr>
    </w:p>
    <w:p>
      <w:pPr>
        <w:snapToGrid w:val="0"/>
        <w:spacing w:line="360" w:lineRule="exact"/>
        <w:jc w:val="center"/>
        <w:rPr>
          <w:rFonts w:ascii="宋体" w:hAnsi="宋体" w:eastAsia="宋体" w:cs="宋体"/>
          <w:b/>
          <w:color w:val="auto"/>
          <w:sz w:val="22"/>
          <w:szCs w:val="22"/>
          <w:highlight w:val="none"/>
        </w:rPr>
      </w:pPr>
    </w:p>
    <w:p>
      <w:pPr>
        <w:pStyle w:val="30"/>
        <w:rPr>
          <w:rFonts w:ascii="宋体" w:hAnsi="宋体" w:eastAsia="宋体" w:cs="宋体"/>
          <w:b/>
          <w:color w:val="auto"/>
          <w:sz w:val="22"/>
          <w:szCs w:val="22"/>
          <w:highlight w:val="none"/>
        </w:rPr>
      </w:pPr>
    </w:p>
    <w:p>
      <w:pPr>
        <w:pStyle w:val="30"/>
        <w:rPr>
          <w:rFonts w:ascii="宋体" w:hAnsi="宋体" w:eastAsia="宋体" w:cs="宋体"/>
          <w:b/>
          <w:color w:val="auto"/>
          <w:sz w:val="22"/>
          <w:szCs w:val="22"/>
          <w:highlight w:val="none"/>
        </w:rPr>
      </w:pPr>
    </w:p>
    <w:p>
      <w:pPr>
        <w:pStyle w:val="30"/>
        <w:rPr>
          <w:rFonts w:ascii="宋体" w:hAnsi="宋体" w:eastAsia="宋体" w:cs="宋体"/>
          <w:b/>
          <w:color w:val="auto"/>
          <w:sz w:val="22"/>
          <w:szCs w:val="22"/>
          <w:highlight w:val="none"/>
        </w:rPr>
      </w:pPr>
    </w:p>
    <w:p>
      <w:pPr>
        <w:pStyle w:val="30"/>
        <w:rPr>
          <w:rFonts w:ascii="宋体" w:hAnsi="宋体" w:eastAsia="宋体" w:cs="宋体"/>
          <w:b/>
          <w:color w:val="auto"/>
          <w:sz w:val="22"/>
          <w:szCs w:val="22"/>
          <w:highlight w:val="none"/>
        </w:rPr>
      </w:pPr>
    </w:p>
    <w:p>
      <w:pPr>
        <w:pStyle w:val="30"/>
        <w:rPr>
          <w:rFonts w:ascii="宋体" w:hAnsi="宋体" w:eastAsia="宋体" w:cs="宋体"/>
          <w:b/>
          <w:color w:val="auto"/>
          <w:sz w:val="22"/>
          <w:szCs w:val="22"/>
          <w:highlight w:val="none"/>
        </w:rPr>
      </w:pPr>
    </w:p>
    <w:p>
      <w:pPr>
        <w:pStyle w:val="30"/>
        <w:rPr>
          <w:rFonts w:ascii="宋体" w:hAnsi="宋体" w:eastAsia="宋体" w:cs="宋体"/>
          <w:b/>
          <w:color w:val="auto"/>
          <w:sz w:val="22"/>
          <w:szCs w:val="22"/>
          <w:highlight w:val="none"/>
        </w:rPr>
      </w:pPr>
    </w:p>
    <w:p>
      <w:pPr>
        <w:pStyle w:val="30"/>
        <w:rPr>
          <w:rFonts w:ascii="宋体" w:hAnsi="宋体" w:eastAsia="宋体" w:cs="宋体"/>
          <w:b/>
          <w:color w:val="auto"/>
          <w:sz w:val="22"/>
          <w:szCs w:val="22"/>
          <w:highlight w:val="none"/>
        </w:rPr>
      </w:pPr>
    </w:p>
    <w:p>
      <w:pPr>
        <w:pStyle w:val="30"/>
        <w:rPr>
          <w:rFonts w:ascii="宋体" w:hAnsi="宋体" w:eastAsia="宋体" w:cs="宋体"/>
          <w:b/>
          <w:color w:val="auto"/>
          <w:sz w:val="22"/>
          <w:szCs w:val="22"/>
          <w:highlight w:val="none"/>
        </w:rPr>
      </w:pPr>
    </w:p>
    <w:p>
      <w:pPr>
        <w:pStyle w:val="30"/>
        <w:rPr>
          <w:rFonts w:ascii="宋体" w:hAnsi="宋体" w:eastAsia="宋体" w:cs="宋体"/>
          <w:b/>
          <w:color w:val="auto"/>
          <w:sz w:val="22"/>
          <w:szCs w:val="22"/>
          <w:highlight w:val="none"/>
        </w:rPr>
      </w:pPr>
    </w:p>
    <w:p>
      <w:pPr>
        <w:pStyle w:val="30"/>
        <w:rPr>
          <w:rFonts w:ascii="宋体" w:hAnsi="宋体" w:eastAsia="宋体" w:cs="宋体"/>
          <w:b/>
          <w:color w:val="auto"/>
          <w:sz w:val="22"/>
          <w:szCs w:val="22"/>
          <w:highlight w:val="none"/>
        </w:rPr>
      </w:pPr>
    </w:p>
    <w:p>
      <w:pPr>
        <w:snapToGrid w:val="0"/>
        <w:spacing w:line="360" w:lineRule="exact"/>
        <w:jc w:val="both"/>
        <w:rPr>
          <w:rFonts w:ascii="宋体" w:hAnsi="宋体" w:eastAsia="宋体" w:cs="宋体"/>
          <w:b/>
          <w:color w:val="auto"/>
          <w:sz w:val="22"/>
          <w:szCs w:val="22"/>
          <w:highlight w:val="none"/>
        </w:rPr>
      </w:pPr>
    </w:p>
    <w:p>
      <w:pPr>
        <w:snapToGrid w:val="0"/>
        <w:spacing w:line="360" w:lineRule="exact"/>
        <w:jc w:val="center"/>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 同 附 件</w:t>
      </w:r>
    </w:p>
    <w:p>
      <w:pPr>
        <w:snapToGrid w:val="0"/>
        <w:spacing w:line="360" w:lineRule="exact"/>
        <w:jc w:val="center"/>
        <w:rPr>
          <w:rFonts w:ascii="宋体" w:hAnsi="宋体" w:eastAsia="宋体" w:cs="宋体"/>
          <w:b/>
          <w:color w:val="auto"/>
          <w:sz w:val="22"/>
          <w:szCs w:val="22"/>
          <w:highlight w:val="none"/>
        </w:rPr>
      </w:pPr>
    </w:p>
    <w:tbl>
      <w:tblPr>
        <w:tblStyle w:val="18"/>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jc w:val="center"/>
        </w:trPr>
        <w:tc>
          <w:tcPr>
            <w:tcW w:w="9468" w:type="dxa"/>
            <w:gridSpan w:val="2"/>
            <w:tcBorders>
              <w:top w:val="single" w:color="auto" w:sz="4" w:space="0"/>
              <w:left w:val="single" w:color="auto" w:sz="4" w:space="0"/>
              <w:right w:val="single" w:color="auto" w:sz="4" w:space="0"/>
            </w:tcBorders>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1、供应商承诺具体事项：</w:t>
            </w:r>
          </w:p>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（详见响应文件）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9468" w:type="dxa"/>
            <w:gridSpan w:val="2"/>
            <w:tcBorders>
              <w:top w:val="single" w:color="auto" w:sz="4" w:space="0"/>
              <w:left w:val="single" w:color="auto" w:sz="4" w:space="0"/>
              <w:right w:val="single" w:color="auto" w:sz="4" w:space="0"/>
            </w:tcBorders>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2、售后服务具体事项：</w:t>
            </w:r>
          </w:p>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（详见响应文件）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7" w:hRule="atLeast"/>
          <w:jc w:val="center"/>
        </w:trPr>
        <w:tc>
          <w:tcPr>
            <w:tcW w:w="9468" w:type="dxa"/>
            <w:gridSpan w:val="2"/>
            <w:tcBorders>
              <w:top w:val="single" w:color="auto" w:sz="4" w:space="0"/>
              <w:left w:val="single" w:color="auto" w:sz="4" w:space="0"/>
              <w:right w:val="single" w:color="auto" w:sz="4" w:space="0"/>
            </w:tcBorders>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3、保修期责任：</w:t>
            </w:r>
          </w:p>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（详见响应文件）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2" w:hRule="atLeast"/>
          <w:jc w:val="center"/>
        </w:trPr>
        <w:tc>
          <w:tcPr>
            <w:tcW w:w="9468" w:type="dxa"/>
            <w:gridSpan w:val="2"/>
            <w:tcBorders>
              <w:top w:val="single" w:color="auto" w:sz="4" w:space="0"/>
              <w:left w:val="single" w:color="auto" w:sz="4" w:space="0"/>
              <w:right w:val="single" w:color="auto" w:sz="4" w:space="0"/>
            </w:tcBorders>
          </w:tcPr>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4、其他具体事项：</w:t>
            </w:r>
          </w:p>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（详见响应文件）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jc w:val="center"/>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甲方（章）</w:t>
            </w:r>
          </w:p>
          <w:p>
            <w:pPr>
              <w:snapToGrid w:val="0"/>
              <w:spacing w:line="360" w:lineRule="exact"/>
              <w:ind w:firstLine="422"/>
              <w:rPr>
                <w:rFonts w:ascii="宋体" w:hAnsi="宋体" w:eastAsia="宋体" w:cs="宋体"/>
                <w:color w:val="auto"/>
                <w:sz w:val="22"/>
                <w:szCs w:val="22"/>
                <w:highlight w:val="none"/>
              </w:rPr>
            </w:pPr>
          </w:p>
          <w:p>
            <w:pPr>
              <w:snapToGrid w:val="0"/>
              <w:spacing w:line="360" w:lineRule="exact"/>
              <w:ind w:firstLine="422"/>
              <w:rPr>
                <w:rFonts w:ascii="宋体" w:hAnsi="宋体" w:eastAsia="宋体" w:cs="宋体"/>
                <w:color w:val="auto"/>
                <w:sz w:val="22"/>
                <w:szCs w:val="22"/>
                <w:highlight w:val="none"/>
              </w:rPr>
            </w:pPr>
          </w:p>
          <w:p>
            <w:pPr>
              <w:snapToGrid w:val="0"/>
              <w:spacing w:line="360" w:lineRule="exact"/>
              <w:ind w:firstLine="422"/>
              <w:rPr>
                <w:rFonts w:ascii="宋体" w:hAnsi="宋体" w:eastAsia="宋体" w:cs="宋体"/>
                <w:color w:val="auto"/>
                <w:sz w:val="22"/>
                <w:szCs w:val="22"/>
                <w:highlight w:val="none"/>
              </w:rPr>
            </w:pPr>
          </w:p>
          <w:p>
            <w:pPr>
              <w:snapToGrid w:val="0"/>
              <w:spacing w:line="360" w:lineRule="exact"/>
              <w:ind w:firstLine="422"/>
              <w:rPr>
                <w:rFonts w:ascii="宋体" w:hAnsi="宋体" w:eastAsia="宋体" w:cs="宋体"/>
                <w:color w:val="auto"/>
                <w:sz w:val="22"/>
                <w:szCs w:val="22"/>
                <w:highlight w:val="none"/>
              </w:rPr>
            </w:pPr>
          </w:p>
          <w:p>
            <w:pPr>
              <w:snapToGrid w:val="0"/>
              <w:spacing w:line="360" w:lineRule="exact"/>
              <w:ind w:firstLine="422"/>
              <w:rPr>
                <w:rFonts w:ascii="宋体" w:hAnsi="宋体" w:eastAsia="宋体" w:cs="宋体"/>
                <w:color w:val="auto"/>
                <w:sz w:val="22"/>
                <w:szCs w:val="22"/>
                <w:highlight w:val="none"/>
              </w:rPr>
            </w:pPr>
          </w:p>
          <w:p>
            <w:pPr>
              <w:snapToGrid w:val="0"/>
              <w:spacing w:line="360" w:lineRule="exact"/>
              <w:ind w:firstLine="422"/>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乙方（章）</w:t>
            </w:r>
          </w:p>
          <w:p>
            <w:pPr>
              <w:snapToGrid w:val="0"/>
              <w:spacing w:line="360" w:lineRule="exact"/>
              <w:ind w:firstLine="422"/>
              <w:rPr>
                <w:rFonts w:ascii="宋体" w:hAnsi="宋体" w:eastAsia="宋体" w:cs="宋体"/>
                <w:color w:val="auto"/>
                <w:sz w:val="22"/>
                <w:szCs w:val="22"/>
                <w:highlight w:val="none"/>
              </w:rPr>
            </w:pPr>
          </w:p>
          <w:p>
            <w:pPr>
              <w:snapToGrid w:val="0"/>
              <w:spacing w:line="360" w:lineRule="exact"/>
              <w:ind w:firstLine="422"/>
              <w:rPr>
                <w:rFonts w:ascii="宋体" w:hAnsi="宋体" w:eastAsia="宋体" w:cs="宋体"/>
                <w:color w:val="auto"/>
                <w:sz w:val="22"/>
                <w:szCs w:val="22"/>
                <w:highlight w:val="none"/>
              </w:rPr>
            </w:pPr>
          </w:p>
          <w:p>
            <w:pPr>
              <w:snapToGrid w:val="0"/>
              <w:spacing w:line="360" w:lineRule="exact"/>
              <w:ind w:firstLine="422"/>
              <w:rPr>
                <w:rFonts w:ascii="宋体" w:hAnsi="宋体" w:eastAsia="宋体" w:cs="宋体"/>
                <w:color w:val="auto"/>
                <w:sz w:val="22"/>
                <w:szCs w:val="22"/>
                <w:highlight w:val="none"/>
              </w:rPr>
            </w:pPr>
          </w:p>
          <w:p>
            <w:pPr>
              <w:snapToGrid w:val="0"/>
              <w:spacing w:line="360" w:lineRule="exact"/>
              <w:ind w:firstLine="422"/>
              <w:rPr>
                <w:rFonts w:ascii="宋体" w:hAnsi="宋体" w:eastAsia="宋体" w:cs="宋体"/>
                <w:color w:val="auto"/>
                <w:sz w:val="22"/>
                <w:szCs w:val="22"/>
                <w:highlight w:val="none"/>
              </w:rPr>
            </w:pPr>
          </w:p>
          <w:p>
            <w:pPr>
              <w:snapToGrid w:val="0"/>
              <w:spacing w:line="360" w:lineRule="exact"/>
              <w:ind w:firstLine="422"/>
              <w:rPr>
                <w:rFonts w:ascii="宋体" w:hAnsi="宋体" w:eastAsia="宋体" w:cs="宋体"/>
                <w:color w:val="auto"/>
                <w:sz w:val="22"/>
                <w:szCs w:val="22"/>
                <w:highlight w:val="none"/>
              </w:rPr>
            </w:pPr>
          </w:p>
          <w:p>
            <w:pPr>
              <w:snapToGrid w:val="0"/>
              <w:spacing w:line="360" w:lineRule="exact"/>
              <w:ind w:firstLine="422"/>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tc>
      </w:tr>
    </w:tbl>
    <w:p>
      <w:pPr>
        <w:snapToGrid w:val="0"/>
        <w:spacing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注：售后服务事项填不下时可另加附页</w:t>
      </w:r>
    </w:p>
    <w:p>
      <w:pPr>
        <w:spacing w:line="320" w:lineRule="exact"/>
        <w:ind w:firstLine="440" w:firstLineChars="200"/>
        <w:rPr>
          <w:rFonts w:ascii="宋体" w:hAnsi="宋体" w:eastAsia="宋体" w:cs="宋体"/>
          <w:color w:val="auto"/>
          <w:sz w:val="22"/>
          <w:szCs w:val="22"/>
          <w:highlight w:val="none"/>
        </w:rPr>
      </w:pPr>
    </w:p>
    <w:p>
      <w:pPr>
        <w:pStyle w:val="9"/>
        <w:rPr>
          <w:rFonts w:hAnsi="宋体" w:eastAsia="宋体" w:cs="宋体"/>
          <w:color w:val="auto"/>
          <w:sz w:val="22"/>
          <w:szCs w:val="22"/>
          <w:highlight w:val="none"/>
        </w:rPr>
      </w:pPr>
    </w:p>
    <w:p>
      <w:pPr>
        <w:pStyle w:val="9"/>
        <w:rPr>
          <w:rFonts w:hAnsi="宋体" w:eastAsia="宋体" w:cs="宋体"/>
          <w:color w:val="auto"/>
          <w:sz w:val="22"/>
          <w:szCs w:val="22"/>
          <w:highlight w:val="none"/>
        </w:rPr>
      </w:pPr>
    </w:p>
    <w:p>
      <w:pPr>
        <w:pStyle w:val="9"/>
        <w:rPr>
          <w:rFonts w:hAnsi="宋体" w:eastAsia="宋体" w:cs="宋体"/>
          <w:color w:val="auto"/>
          <w:sz w:val="22"/>
          <w:szCs w:val="22"/>
          <w:highlight w:val="none"/>
        </w:rPr>
      </w:pPr>
    </w:p>
    <w:p>
      <w:pPr>
        <w:pStyle w:val="9"/>
        <w:rPr>
          <w:rFonts w:hAnsi="宋体" w:eastAsia="宋体" w:cs="宋体"/>
          <w:color w:val="auto"/>
          <w:sz w:val="22"/>
          <w:szCs w:val="22"/>
          <w:highlight w:val="none"/>
        </w:rPr>
      </w:pPr>
    </w:p>
    <w:p>
      <w:pPr>
        <w:pStyle w:val="9"/>
        <w:rPr>
          <w:rFonts w:hAnsi="宋体" w:eastAsia="宋体" w:cs="宋体"/>
          <w:color w:val="auto"/>
          <w:sz w:val="22"/>
          <w:szCs w:val="22"/>
          <w:highlight w:val="none"/>
        </w:rPr>
      </w:pPr>
    </w:p>
    <w:p>
      <w:pPr>
        <w:pStyle w:val="9"/>
        <w:rPr>
          <w:rFonts w:hAnsi="宋体" w:eastAsia="宋体" w:cs="宋体"/>
          <w:color w:val="auto"/>
          <w:sz w:val="22"/>
          <w:szCs w:val="22"/>
          <w:highlight w:val="none"/>
        </w:rPr>
      </w:pPr>
    </w:p>
    <w:p>
      <w:pPr>
        <w:pStyle w:val="9"/>
        <w:rPr>
          <w:rFonts w:hAnsi="宋体" w:eastAsia="宋体" w:cs="宋体"/>
          <w:color w:val="auto"/>
          <w:sz w:val="22"/>
          <w:szCs w:val="22"/>
          <w:highlight w:val="none"/>
        </w:rPr>
      </w:pPr>
    </w:p>
    <w:p>
      <w:pPr>
        <w:numPr>
          <w:ilvl w:val="0"/>
          <w:numId w:val="3"/>
        </w:numPr>
        <w:spacing w:line="360" w:lineRule="auto"/>
        <w:ind w:left="620"/>
        <w:jc w:val="center"/>
        <w:outlineLvl w:val="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评审办法</w:t>
      </w:r>
    </w:p>
    <w:p>
      <w:pPr>
        <w:pStyle w:val="30"/>
        <w:spacing w:line="38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磋商前，采购代理机构工作人员向磋商小组成员宣布和印发磋商纪律和磋商工作规则，并遵照执行。磋商小组成员签署《政府采购项目评审专家承诺书》。磋商小组成员对与自己有利害关系的磋商项目应当主动提出回避。 </w:t>
      </w:r>
    </w:p>
    <w:p>
      <w:pPr>
        <w:pStyle w:val="30"/>
        <w:spacing w:line="380" w:lineRule="exact"/>
        <w:ind w:firstLine="440" w:firstLineChars="200"/>
        <w:rPr>
          <w:rFonts w:ascii="宋体" w:hAnsi="宋体" w:eastAsia="宋体" w:cs="宋体"/>
          <w:bCs w:val="0"/>
          <w:color w:val="auto"/>
          <w:spacing w:val="0"/>
          <w:sz w:val="22"/>
          <w:szCs w:val="22"/>
          <w:highlight w:val="none"/>
        </w:rPr>
      </w:pPr>
      <w:r>
        <w:rPr>
          <w:rFonts w:hint="eastAsia" w:ascii="宋体" w:hAnsi="宋体" w:eastAsia="宋体" w:cs="宋体"/>
          <w:bCs w:val="0"/>
          <w:color w:val="auto"/>
          <w:spacing w:val="0"/>
          <w:sz w:val="22"/>
          <w:szCs w:val="22"/>
          <w:highlight w:val="none"/>
        </w:rPr>
        <w:t>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 </w:t>
      </w:r>
    </w:p>
    <w:p>
      <w:pPr>
        <w:pStyle w:val="30"/>
        <w:spacing w:line="380" w:lineRule="exact"/>
        <w:ind w:firstLine="440" w:firstLineChars="200"/>
        <w:rPr>
          <w:rFonts w:ascii="宋体" w:hAnsi="宋体" w:eastAsia="宋体" w:cs="宋体"/>
          <w:color w:val="auto"/>
          <w:sz w:val="22"/>
          <w:szCs w:val="22"/>
          <w:highlight w:val="none"/>
        </w:rPr>
      </w:pPr>
      <w:r>
        <w:rPr>
          <w:rFonts w:hint="eastAsia" w:ascii="宋体" w:hAnsi="宋体" w:eastAsia="宋体" w:cs="宋体"/>
          <w:bCs w:val="0"/>
          <w:color w:val="auto"/>
          <w:spacing w:val="0"/>
          <w:sz w:val="22"/>
          <w:szCs w:val="22"/>
          <w:highlight w:val="none"/>
        </w:rPr>
        <w:t>采购代理机构指定专人负责对磋商过程和重要磋商内容进行记录，采购人代表、磋商小组所有成员在记录上签字确认，并存档备查。 </w:t>
      </w:r>
    </w:p>
    <w:p>
      <w:pPr>
        <w:spacing w:line="360" w:lineRule="auto"/>
        <w:ind w:firstLine="440" w:firstLineChars="200"/>
        <w:jc w:val="left"/>
        <w:rPr>
          <w:rFonts w:ascii="宋体" w:hAnsi="宋体" w:eastAsia="宋体"/>
          <w:color w:val="auto"/>
          <w:sz w:val="22"/>
          <w:szCs w:val="22"/>
          <w:highlight w:val="none"/>
        </w:rPr>
      </w:pPr>
      <w:r>
        <w:rPr>
          <w:rFonts w:hint="eastAsia" w:ascii="宋体" w:hAnsi="宋体" w:eastAsia="宋体"/>
          <w:color w:val="auto"/>
          <w:sz w:val="22"/>
          <w:szCs w:val="22"/>
          <w:highlight w:val="none"/>
        </w:rPr>
        <w:t>一、评标原则</w:t>
      </w:r>
    </w:p>
    <w:p>
      <w:pPr>
        <w:spacing w:line="360" w:lineRule="auto"/>
        <w:ind w:firstLine="440" w:firstLineChars="200"/>
        <w:jc w:val="left"/>
        <w:rPr>
          <w:rFonts w:ascii="宋体" w:hAnsi="宋体" w:eastAsia="宋体"/>
          <w:color w:val="auto"/>
          <w:sz w:val="22"/>
          <w:szCs w:val="22"/>
          <w:highlight w:val="none"/>
        </w:rPr>
      </w:pPr>
      <w:r>
        <w:rPr>
          <w:rFonts w:hint="eastAsia" w:ascii="宋体" w:hAnsi="宋体" w:eastAsia="宋体"/>
          <w:color w:val="auto"/>
          <w:sz w:val="22"/>
          <w:szCs w:val="22"/>
          <w:highlight w:val="none"/>
        </w:rPr>
        <w:t>（一）磋商小组构成：本项目的磋商小组由采购人代表和评审专家组成。成员人数应当为</w:t>
      </w:r>
      <w:r>
        <w:rPr>
          <w:rFonts w:ascii="宋体" w:hAnsi="宋体" w:eastAsia="宋体"/>
          <w:color w:val="auto"/>
          <w:sz w:val="22"/>
          <w:szCs w:val="22"/>
          <w:highlight w:val="none"/>
        </w:rPr>
        <w:t>3人以上单数。其中评审专家不得少于成员总数的三分之二。</w:t>
      </w:r>
    </w:p>
    <w:p>
      <w:pPr>
        <w:spacing w:line="360" w:lineRule="auto"/>
        <w:ind w:firstLine="440" w:firstLineChars="200"/>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rPr>
        <w:t>（二）评标依据：磋商小组将以竞争性磋商文件和响应文件为评定依据进行评审，对供应商的报价、技术及商务等内容按百分制打分</w:t>
      </w:r>
      <w:r>
        <w:rPr>
          <w:rFonts w:hint="eastAsia" w:ascii="宋体" w:hAnsi="宋体" w:eastAsia="宋体"/>
          <w:color w:val="auto"/>
          <w:sz w:val="22"/>
          <w:szCs w:val="22"/>
          <w:highlight w:val="none"/>
          <w:lang w:eastAsia="zh-CN"/>
        </w:rPr>
        <w:t>，在符合采购需求、质量和服务相等的前提下，以综合评分最高的供应商作为成交候选供应商。</w:t>
      </w:r>
    </w:p>
    <w:p>
      <w:pPr>
        <w:spacing w:line="360" w:lineRule="auto"/>
        <w:ind w:firstLine="440" w:firstLineChars="200"/>
        <w:jc w:val="left"/>
        <w:rPr>
          <w:rFonts w:ascii="宋体" w:hAnsi="宋体" w:eastAsia="宋体"/>
          <w:color w:val="auto"/>
          <w:sz w:val="22"/>
          <w:szCs w:val="22"/>
          <w:highlight w:val="none"/>
        </w:rPr>
      </w:pPr>
      <w:r>
        <w:rPr>
          <w:rFonts w:hint="eastAsia" w:ascii="宋体" w:hAnsi="宋体" w:eastAsia="宋体"/>
          <w:color w:val="auto"/>
          <w:sz w:val="22"/>
          <w:szCs w:val="22"/>
          <w:highlight w:val="none"/>
        </w:rPr>
        <w:t>（三）评标方法：综合评分法。</w:t>
      </w:r>
    </w:p>
    <w:p>
      <w:pPr>
        <w:spacing w:line="360" w:lineRule="auto"/>
        <w:ind w:firstLine="440" w:firstLineChars="200"/>
        <w:jc w:val="left"/>
        <w:rPr>
          <w:rFonts w:ascii="宋体" w:hAnsi="宋体" w:eastAsia="宋体"/>
          <w:color w:val="auto"/>
          <w:sz w:val="22"/>
          <w:szCs w:val="22"/>
          <w:highlight w:val="none"/>
        </w:rPr>
      </w:pPr>
      <w:r>
        <w:rPr>
          <w:rFonts w:hint="eastAsia" w:ascii="宋体" w:hAnsi="宋体" w:eastAsia="宋体"/>
          <w:color w:val="auto"/>
          <w:sz w:val="22"/>
          <w:szCs w:val="22"/>
          <w:highlight w:val="none"/>
          <w:lang w:eastAsia="zh-CN"/>
        </w:rPr>
        <w:t>二</w:t>
      </w:r>
      <w:r>
        <w:rPr>
          <w:rFonts w:hint="eastAsia" w:ascii="宋体" w:hAnsi="宋体" w:eastAsia="宋体"/>
          <w:color w:val="auto"/>
          <w:sz w:val="22"/>
          <w:szCs w:val="22"/>
          <w:highlight w:val="none"/>
        </w:rPr>
        <w:t>、评定方法</w:t>
      </w:r>
    </w:p>
    <w:p>
      <w:pPr>
        <w:spacing w:line="360" w:lineRule="auto"/>
        <w:ind w:firstLine="440" w:firstLineChars="200"/>
        <w:jc w:val="left"/>
        <w:rPr>
          <w:rFonts w:ascii="宋体" w:hAnsi="宋体" w:eastAsia="宋体"/>
          <w:color w:val="auto"/>
          <w:sz w:val="22"/>
          <w:szCs w:val="22"/>
          <w:highlight w:val="none"/>
        </w:rPr>
      </w:pPr>
      <w:r>
        <w:rPr>
          <w:rFonts w:hint="eastAsia" w:ascii="宋体" w:hAnsi="宋体" w:eastAsia="宋体"/>
          <w:color w:val="auto"/>
          <w:sz w:val="22"/>
          <w:szCs w:val="22"/>
          <w:highlight w:val="none"/>
          <w:lang w:eastAsia="zh-CN"/>
        </w:rPr>
        <w:t>（一）</w:t>
      </w:r>
      <w:r>
        <w:rPr>
          <w:rFonts w:ascii="宋体" w:hAnsi="宋体" w:eastAsia="宋体"/>
          <w:color w:val="auto"/>
          <w:sz w:val="22"/>
          <w:szCs w:val="22"/>
          <w:highlight w:val="none"/>
        </w:rPr>
        <w:t>对资格性和符合性审查合格的响应文件，采用综合评分法进行评审。</w:t>
      </w:r>
    </w:p>
    <w:p>
      <w:pPr>
        <w:spacing w:line="360" w:lineRule="auto"/>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w:t>
      </w:r>
      <w:r>
        <w:rPr>
          <w:rFonts w:hint="eastAsia" w:ascii="宋体" w:hAnsi="宋体" w:eastAsia="宋体"/>
          <w:color w:val="auto"/>
          <w:sz w:val="22"/>
          <w:szCs w:val="22"/>
          <w:highlight w:val="none"/>
          <w:lang w:eastAsia="zh-CN"/>
        </w:rPr>
        <w:t>二</w:t>
      </w:r>
      <w:r>
        <w:rPr>
          <w:rFonts w:ascii="宋体" w:hAnsi="宋体" w:eastAsia="宋体"/>
          <w:color w:val="auto"/>
          <w:sz w:val="22"/>
          <w:szCs w:val="22"/>
          <w:highlight w:val="none"/>
        </w:rPr>
        <w:t>) 计分办法（按四舍五入取至小数点后二位）</w:t>
      </w:r>
    </w:p>
    <w:p>
      <w:pPr>
        <w:spacing w:line="360" w:lineRule="auto"/>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1、价格分………………………………………………………</w:t>
      </w:r>
      <w:r>
        <w:rPr>
          <w:rFonts w:hint="eastAsia" w:ascii="宋体" w:hAnsi="宋体" w:eastAsia="宋体"/>
          <w:color w:val="auto"/>
          <w:sz w:val="22"/>
          <w:szCs w:val="22"/>
          <w:highlight w:val="none"/>
          <w:lang w:val="en-US" w:eastAsia="zh-CN"/>
        </w:rPr>
        <w:t>2</w:t>
      </w:r>
      <w:r>
        <w:rPr>
          <w:rFonts w:ascii="宋体" w:hAnsi="宋体" w:eastAsia="宋体"/>
          <w:color w:val="auto"/>
          <w:sz w:val="22"/>
          <w:szCs w:val="22"/>
          <w:highlight w:val="none"/>
        </w:rPr>
        <w:t>0分</w:t>
      </w:r>
    </w:p>
    <w:p>
      <w:pPr>
        <w:spacing w:line="360" w:lineRule="auto"/>
        <w:ind w:firstLine="440" w:firstLineChars="200"/>
        <w:jc w:val="left"/>
        <w:rPr>
          <w:rFonts w:ascii="宋体" w:hAnsi="宋体" w:eastAsia="宋体"/>
          <w:color w:val="auto"/>
          <w:sz w:val="22"/>
          <w:szCs w:val="22"/>
          <w:highlight w:val="none"/>
        </w:rPr>
      </w:pPr>
      <w:r>
        <w:rPr>
          <w:rFonts w:hint="eastAsia" w:ascii="宋体" w:hAnsi="宋体" w:eastAsia="宋体"/>
          <w:color w:val="auto"/>
          <w:sz w:val="22"/>
          <w:szCs w:val="22"/>
          <w:highlight w:val="none"/>
        </w:rPr>
        <w:t>（</w:t>
      </w:r>
      <w:r>
        <w:rPr>
          <w:rFonts w:ascii="宋体" w:hAnsi="宋体" w:eastAsia="宋体"/>
          <w:color w:val="auto"/>
          <w:sz w:val="22"/>
          <w:szCs w:val="22"/>
          <w:highlight w:val="none"/>
        </w:rPr>
        <w:t>1）公式计算：</w:t>
      </w:r>
    </w:p>
    <w:p>
      <w:pPr>
        <w:spacing w:line="360" w:lineRule="auto"/>
        <w:ind w:firstLine="440" w:firstLineChars="200"/>
        <w:jc w:val="left"/>
        <w:rPr>
          <w:rFonts w:ascii="宋体" w:hAnsi="宋体" w:eastAsia="宋体"/>
          <w:color w:val="auto"/>
          <w:sz w:val="22"/>
          <w:szCs w:val="22"/>
          <w:highlight w:val="none"/>
        </w:rPr>
      </w:pPr>
      <w:r>
        <w:rPr>
          <w:rFonts w:hint="eastAsia" w:ascii="宋体" w:hAnsi="宋体" w:eastAsia="宋体"/>
          <w:color w:val="auto"/>
          <w:sz w:val="22"/>
          <w:szCs w:val="22"/>
          <w:highlight w:val="none"/>
        </w:rPr>
        <w:t>价格分统一采用低价优先法计算，即满足磋商文件要求且最后报价最低的供应商的</w:t>
      </w:r>
      <w:r>
        <w:rPr>
          <w:rFonts w:hint="eastAsia" w:ascii="宋体" w:hAnsi="宋体" w:eastAsia="宋体"/>
          <w:color w:val="auto"/>
          <w:sz w:val="22"/>
          <w:szCs w:val="22"/>
          <w:highlight w:val="none"/>
          <w:lang w:eastAsia="zh-CN"/>
        </w:rPr>
        <w:t>评标价</w:t>
      </w:r>
      <w:r>
        <w:rPr>
          <w:rFonts w:hint="eastAsia" w:ascii="宋体" w:hAnsi="宋体" w:eastAsia="宋体"/>
          <w:color w:val="auto"/>
          <w:sz w:val="22"/>
          <w:szCs w:val="22"/>
          <w:highlight w:val="none"/>
        </w:rPr>
        <w:t>为</w:t>
      </w:r>
      <w:r>
        <w:rPr>
          <w:rFonts w:hint="eastAsia" w:ascii="宋体" w:hAnsi="宋体" w:eastAsia="宋体"/>
          <w:color w:val="auto"/>
          <w:sz w:val="22"/>
          <w:szCs w:val="22"/>
          <w:highlight w:val="none"/>
          <w:lang w:eastAsia="zh-CN"/>
        </w:rPr>
        <w:t>评标</w:t>
      </w:r>
      <w:r>
        <w:rPr>
          <w:rFonts w:hint="eastAsia" w:ascii="宋体" w:hAnsi="宋体" w:eastAsia="宋体"/>
          <w:color w:val="auto"/>
          <w:sz w:val="22"/>
          <w:szCs w:val="22"/>
          <w:highlight w:val="none"/>
        </w:rPr>
        <w:t>基准价，其价格分为</w:t>
      </w:r>
      <w:r>
        <w:rPr>
          <w:rFonts w:hint="eastAsia" w:ascii="宋体" w:hAnsi="宋体" w:eastAsia="宋体"/>
          <w:color w:val="auto"/>
          <w:sz w:val="22"/>
          <w:szCs w:val="22"/>
          <w:highlight w:val="none"/>
          <w:lang w:val="en-US" w:eastAsia="zh-CN"/>
        </w:rPr>
        <w:t>20分</w:t>
      </w:r>
      <w:r>
        <w:rPr>
          <w:rFonts w:hint="eastAsia" w:ascii="宋体" w:hAnsi="宋体" w:eastAsia="宋体"/>
          <w:color w:val="auto"/>
          <w:sz w:val="22"/>
          <w:szCs w:val="22"/>
          <w:highlight w:val="none"/>
        </w:rPr>
        <w:t>满分。其他供应商的价格分统一按照下列公式计算：</w:t>
      </w:r>
    </w:p>
    <w:p>
      <w:pPr>
        <w:spacing w:line="360" w:lineRule="auto"/>
        <w:ind w:firstLine="2860" w:firstLineChars="1300"/>
        <w:jc w:val="left"/>
        <w:rPr>
          <w:rFonts w:ascii="宋体" w:hAnsi="宋体" w:eastAsia="宋体"/>
          <w:color w:val="auto"/>
          <w:sz w:val="22"/>
          <w:szCs w:val="22"/>
          <w:highlight w:val="none"/>
        </w:rPr>
      </w:pPr>
      <w:r>
        <w:rPr>
          <w:rFonts w:hint="eastAsia" w:ascii="宋体" w:hAnsi="宋体" w:eastAsia="宋体"/>
          <w:color w:val="auto"/>
          <w:sz w:val="22"/>
          <w:szCs w:val="22"/>
          <w:highlight w:val="none"/>
          <w:lang w:eastAsia="zh-CN"/>
        </w:rPr>
        <w:t>评标</w:t>
      </w:r>
      <w:r>
        <w:rPr>
          <w:rFonts w:hint="eastAsia" w:ascii="宋体" w:hAnsi="宋体" w:eastAsia="宋体"/>
          <w:color w:val="auto"/>
          <w:sz w:val="22"/>
          <w:szCs w:val="22"/>
          <w:highlight w:val="none"/>
        </w:rPr>
        <w:t>基准价</w:t>
      </w:r>
    </w:p>
    <w:p>
      <w:pPr>
        <w:spacing w:line="360" w:lineRule="auto"/>
        <w:ind w:firstLine="660" w:firstLineChars="300"/>
        <w:jc w:val="left"/>
        <w:rPr>
          <w:rFonts w:ascii="宋体" w:hAnsi="宋体" w:eastAsia="宋体"/>
          <w:color w:val="auto"/>
          <w:sz w:val="22"/>
          <w:szCs w:val="22"/>
          <w:highlight w:val="none"/>
        </w:rPr>
      </w:pPr>
      <w:r>
        <w:rPr>
          <w:rFonts w:hint="eastAsia" w:ascii="宋体" w:hAnsi="宋体" w:eastAsia="宋体"/>
          <w:color w:val="auto"/>
          <w:sz w:val="22"/>
          <w:szCs w:val="22"/>
          <w:highlight w:val="none"/>
        </w:rPr>
        <w:t>磋商报价得分</w:t>
      </w:r>
      <w:r>
        <w:rPr>
          <w:rFonts w:ascii="宋体" w:hAnsi="宋体" w:eastAsia="宋体"/>
          <w:color w:val="auto"/>
          <w:sz w:val="22"/>
          <w:szCs w:val="22"/>
          <w:highlight w:val="none"/>
        </w:rPr>
        <w:t>=  ---------------------- ×</w:t>
      </w:r>
      <w:r>
        <w:rPr>
          <w:rFonts w:hint="eastAsia" w:ascii="宋体" w:hAnsi="宋体" w:eastAsia="宋体"/>
          <w:color w:val="auto"/>
          <w:sz w:val="22"/>
          <w:szCs w:val="22"/>
          <w:highlight w:val="none"/>
          <w:lang w:val="en-US" w:eastAsia="zh-CN"/>
        </w:rPr>
        <w:t>20</w:t>
      </w:r>
      <w:r>
        <w:rPr>
          <w:rFonts w:ascii="宋体" w:hAnsi="宋体" w:eastAsia="宋体"/>
          <w:color w:val="auto"/>
          <w:sz w:val="22"/>
          <w:szCs w:val="22"/>
          <w:highlight w:val="none"/>
        </w:rPr>
        <w:t>分</w:t>
      </w:r>
    </w:p>
    <w:p>
      <w:pPr>
        <w:spacing w:line="360" w:lineRule="auto"/>
        <w:ind w:firstLine="440" w:firstLineChars="200"/>
        <w:jc w:val="left"/>
        <w:rPr>
          <w:rFonts w:ascii="宋体" w:hAnsi="宋体" w:eastAsia="宋体"/>
          <w:color w:val="auto"/>
          <w:sz w:val="22"/>
          <w:szCs w:val="22"/>
          <w:highlight w:val="none"/>
        </w:rPr>
      </w:pPr>
      <w:r>
        <w:rPr>
          <w:rFonts w:ascii="宋体" w:hAnsi="宋体" w:eastAsia="宋体"/>
          <w:color w:val="auto"/>
          <w:sz w:val="22"/>
          <w:szCs w:val="22"/>
          <w:highlight w:val="none"/>
        </w:rPr>
        <w:t xml:space="preserve">                    最后评标磋商报价</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olor w:val="auto"/>
          <w:sz w:val="22"/>
          <w:szCs w:val="22"/>
          <w:highlight w:val="none"/>
        </w:rPr>
        <w:t>（</w:t>
      </w:r>
      <w:r>
        <w:rPr>
          <w:rFonts w:ascii="宋体" w:hAnsi="宋体" w:eastAsia="宋体"/>
          <w:color w:val="auto"/>
          <w:sz w:val="22"/>
          <w:szCs w:val="22"/>
          <w:highlight w:val="none"/>
        </w:rPr>
        <w:t>2）根据财政部关于印发</w:t>
      </w:r>
      <w:r>
        <w:rPr>
          <w:rFonts w:hint="eastAsia" w:ascii="宋体" w:hAnsi="宋体" w:eastAsia="宋体" w:cs="宋体"/>
          <w:color w:val="auto"/>
          <w:sz w:val="22"/>
          <w:szCs w:val="22"/>
          <w:highlight w:val="none"/>
        </w:rPr>
        <w:t>《政府采购促进中小企业发展暂行办法》（财库[2011]181号）</w:t>
      </w:r>
      <w:r>
        <w:rPr>
          <w:rFonts w:hint="eastAsia" w:ascii="宋体" w:hAnsi="宋体" w:eastAsia="宋体" w:cs="宋体"/>
          <w:color w:val="auto"/>
          <w:sz w:val="22"/>
          <w:szCs w:val="22"/>
          <w:highlight w:val="none"/>
          <w:lang w:eastAsia="zh-CN"/>
        </w:rPr>
        <w:t>第五条的规定，</w:t>
      </w:r>
      <w:r>
        <w:rPr>
          <w:rFonts w:hint="eastAsia" w:ascii="宋体" w:hAnsi="宋体" w:eastAsia="宋体" w:cs="宋体"/>
          <w:color w:val="auto"/>
          <w:sz w:val="22"/>
          <w:szCs w:val="22"/>
          <w:highlight w:val="none"/>
        </w:rPr>
        <w:t>认定为小型和微型企业的对其最终报价给予6%的扣除</w:t>
      </w:r>
      <w:r>
        <w:rPr>
          <w:rFonts w:ascii="宋体" w:hAnsi="宋体" w:eastAsia="宋体"/>
          <w:color w:val="auto"/>
          <w:sz w:val="22"/>
          <w:szCs w:val="22"/>
          <w:highlight w:val="none"/>
        </w:rPr>
        <w:t>[</w:t>
      </w:r>
      <w:r>
        <w:rPr>
          <w:rFonts w:hint="eastAsia" w:ascii="宋体" w:hAnsi="宋体" w:eastAsia="宋体"/>
          <w:color w:val="auto"/>
          <w:sz w:val="22"/>
          <w:szCs w:val="22"/>
          <w:highlight w:val="none"/>
          <w:lang w:eastAsia="zh-CN"/>
        </w:rPr>
        <w:t>磋商</w:t>
      </w:r>
      <w:r>
        <w:rPr>
          <w:rFonts w:ascii="宋体" w:hAnsi="宋体" w:eastAsia="宋体"/>
          <w:color w:val="auto"/>
          <w:sz w:val="22"/>
          <w:szCs w:val="22"/>
          <w:highlight w:val="none"/>
        </w:rPr>
        <w:t>人在磋商文件中须提供所竞产品（服务）企业所在地的行政主管部门</w:t>
      </w:r>
      <w:r>
        <w:rPr>
          <w:rFonts w:hint="eastAsia" w:ascii="宋体" w:hAnsi="宋体" w:eastAsia="宋体"/>
          <w:color w:val="auto"/>
          <w:sz w:val="22"/>
          <w:szCs w:val="22"/>
          <w:highlight w:val="none"/>
        </w:rPr>
        <w:t>相关证明材料复印件，并对证明材料的真实性负</w:t>
      </w:r>
      <w:r>
        <w:rPr>
          <w:rFonts w:hint="eastAsia" w:ascii="宋体" w:hAnsi="宋体" w:eastAsia="宋体" w:cs="宋体"/>
          <w:color w:val="auto"/>
          <w:sz w:val="22"/>
          <w:szCs w:val="22"/>
          <w:highlight w:val="none"/>
        </w:rPr>
        <w:t>责，并如实填写中小企业声明函，否则不予价格扣除]，该扣除后报价仅作为评审排序，不作为合同签订报价，合同将按实际最终报价签订，即评标价=最终报价×（1-6%）.</w:t>
      </w:r>
      <w:r>
        <w:rPr>
          <w:rFonts w:hint="eastAsia" w:ascii="宋体" w:hAnsi="宋体" w:eastAsia="宋体" w:cs="宋体"/>
          <w:color w:val="auto"/>
          <w:sz w:val="22"/>
          <w:szCs w:val="22"/>
          <w:highlight w:val="none"/>
          <w:shd w:val="clear" w:color="auto" w:fill="FFFFFF"/>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r>
        <w:rPr>
          <w:rFonts w:hint="eastAsia" w:ascii="宋体" w:hAnsi="宋体" w:eastAsia="宋体" w:cs="宋体"/>
          <w:color w:val="auto"/>
          <w:sz w:val="22"/>
          <w:szCs w:val="22"/>
          <w:highlight w:val="none"/>
        </w:rPr>
        <w:t>除上述情况外，评标价=最终报价。</w:t>
      </w:r>
    </w:p>
    <w:p>
      <w:pPr>
        <w:spacing w:line="360" w:lineRule="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eastAsia="zh-CN"/>
        </w:rPr>
        <w:t>技术分</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68</w:t>
      </w:r>
      <w:r>
        <w:rPr>
          <w:rFonts w:hint="eastAsia" w:ascii="宋体" w:hAnsi="宋体" w:eastAsia="宋体" w:cs="宋体"/>
          <w:b/>
          <w:color w:val="auto"/>
          <w:sz w:val="22"/>
          <w:szCs w:val="22"/>
          <w:highlight w:val="none"/>
        </w:rPr>
        <w:t>分</w:t>
      </w:r>
    </w:p>
    <w:p>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设备性能分………………………………………………………………</w:t>
      </w:r>
      <w:r>
        <w:rPr>
          <w:rFonts w:hint="eastAsia" w:ascii="宋体" w:hAnsi="宋体" w:eastAsia="宋体" w:cs="宋体"/>
          <w:b/>
          <w:color w:val="auto"/>
          <w:sz w:val="22"/>
          <w:szCs w:val="22"/>
          <w:highlight w:val="none"/>
          <w:lang w:val="en-US" w:eastAsia="zh-CN"/>
        </w:rPr>
        <w:t>20</w:t>
      </w:r>
      <w:r>
        <w:rPr>
          <w:rFonts w:hint="eastAsia" w:ascii="宋体" w:hAnsi="宋体" w:eastAsia="宋体" w:cs="宋体"/>
          <w:b/>
          <w:color w:val="auto"/>
          <w:sz w:val="22"/>
          <w:szCs w:val="22"/>
          <w:highlight w:val="none"/>
        </w:rPr>
        <w:t>分</w:t>
      </w:r>
    </w:p>
    <w:p>
      <w:pPr>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项目需求一览表</w:t>
      </w:r>
      <w:r>
        <w:rPr>
          <w:rFonts w:hint="eastAsia" w:ascii="宋体" w:hAnsi="宋体" w:eastAsia="宋体" w:cs="宋体"/>
          <w:color w:val="auto"/>
          <w:sz w:val="22"/>
          <w:szCs w:val="22"/>
          <w:highlight w:val="none"/>
          <w:lang w:eastAsia="zh-CN"/>
        </w:rPr>
        <w:t>中</w:t>
      </w:r>
      <w:r>
        <w:rPr>
          <w:rFonts w:hint="eastAsia" w:ascii="宋体" w:hAnsi="宋体" w:eastAsia="宋体" w:cs="宋体"/>
          <w:bCs/>
          <w:color w:val="auto"/>
          <w:sz w:val="22"/>
          <w:szCs w:val="22"/>
          <w:highlight w:val="none"/>
        </w:rPr>
        <w:t>标注“★”的技术参数为重要技术指标、功能项，标注“★”的技术参数均能提供由公安部权威检验机构出具的检验报告复印件并加盖单位公章的（标注“★”的内容在响应文件中逐点应答出检验报告具体位置），得满分</w:t>
      </w:r>
      <w:r>
        <w:rPr>
          <w:rFonts w:hint="eastAsia" w:ascii="宋体" w:hAnsi="宋体" w:eastAsia="宋体" w:cs="宋体"/>
          <w:bCs/>
          <w:color w:val="auto"/>
          <w:sz w:val="22"/>
          <w:szCs w:val="22"/>
          <w:highlight w:val="none"/>
          <w:lang w:val="en-US" w:eastAsia="zh-CN"/>
        </w:rPr>
        <w:t>20</w:t>
      </w:r>
      <w:r>
        <w:rPr>
          <w:rFonts w:hint="eastAsia" w:ascii="宋体" w:hAnsi="宋体" w:eastAsia="宋体" w:cs="宋体"/>
          <w:bCs/>
          <w:color w:val="auto"/>
          <w:sz w:val="22"/>
          <w:szCs w:val="22"/>
          <w:highlight w:val="none"/>
        </w:rPr>
        <w:t>分；标注“★”的技术指标、功能项目条款未能提供检验报告或检验报告中无体现的，每存在一项扣3分，直到扣完</w:t>
      </w:r>
      <w:r>
        <w:rPr>
          <w:rStyle w:val="52"/>
          <w:rFonts w:hint="eastAsia" w:ascii="宋体" w:hAnsi="宋体" w:eastAsia="宋体" w:cs="宋体"/>
          <w:color w:val="auto"/>
          <w:sz w:val="22"/>
          <w:szCs w:val="22"/>
          <w:highlight w:val="none"/>
        </w:rPr>
        <w:t>设备性能分</w:t>
      </w:r>
      <w:r>
        <w:rPr>
          <w:rFonts w:hint="eastAsia" w:ascii="宋体" w:hAnsi="宋体" w:eastAsia="宋体" w:cs="宋体"/>
          <w:bCs/>
          <w:color w:val="auto"/>
          <w:sz w:val="22"/>
          <w:szCs w:val="22"/>
          <w:highlight w:val="none"/>
        </w:rPr>
        <w:t>为止，不计负分。</w:t>
      </w:r>
    </w:p>
    <w:p>
      <w:pPr>
        <w:spacing w:line="360" w:lineRule="auto"/>
        <w:rPr>
          <w:rFonts w:ascii="宋体" w:hAnsi="宋体" w:eastAsia="宋体"/>
          <w:b/>
          <w:color w:val="auto"/>
          <w:sz w:val="22"/>
          <w:szCs w:val="22"/>
          <w:highlight w:val="none"/>
        </w:rPr>
      </w:pPr>
      <w:r>
        <w:rPr>
          <w:rFonts w:hint="eastAsia" w:ascii="宋体" w:hAnsi="宋体" w:eastAsia="宋体"/>
          <w:b/>
          <w:color w:val="auto"/>
          <w:sz w:val="22"/>
          <w:szCs w:val="22"/>
          <w:highlight w:val="none"/>
          <w:lang w:eastAsia="zh-CN"/>
        </w:rPr>
        <w:t>（</w:t>
      </w:r>
      <w:r>
        <w:rPr>
          <w:rFonts w:hint="eastAsia" w:ascii="宋体" w:hAnsi="宋体" w:eastAsia="宋体"/>
          <w:b/>
          <w:color w:val="auto"/>
          <w:sz w:val="22"/>
          <w:szCs w:val="22"/>
          <w:highlight w:val="none"/>
          <w:lang w:val="en-US" w:eastAsia="zh-CN"/>
        </w:rPr>
        <w:t>2</w:t>
      </w:r>
      <w:r>
        <w:rPr>
          <w:rFonts w:hint="eastAsia" w:ascii="宋体" w:hAnsi="宋体" w:eastAsia="宋体"/>
          <w:b/>
          <w:color w:val="auto"/>
          <w:sz w:val="22"/>
          <w:szCs w:val="22"/>
          <w:highlight w:val="none"/>
          <w:lang w:eastAsia="zh-CN"/>
        </w:rPr>
        <w:t>）</w:t>
      </w:r>
      <w:r>
        <w:rPr>
          <w:rFonts w:hint="eastAsia" w:ascii="宋体" w:hAnsi="宋体" w:eastAsia="宋体"/>
          <w:b/>
          <w:color w:val="auto"/>
          <w:sz w:val="22"/>
          <w:szCs w:val="22"/>
          <w:highlight w:val="none"/>
        </w:rPr>
        <w:t>项目</w:t>
      </w:r>
      <w:r>
        <w:rPr>
          <w:rFonts w:ascii="宋体" w:hAnsi="宋体" w:eastAsia="宋体"/>
          <w:b/>
          <w:color w:val="auto"/>
          <w:sz w:val="22"/>
          <w:szCs w:val="22"/>
          <w:highlight w:val="none"/>
        </w:rPr>
        <w:t>实施方案分……………………………………………………………</w:t>
      </w:r>
      <w:r>
        <w:rPr>
          <w:rFonts w:hint="eastAsia" w:ascii="宋体" w:hAnsi="宋体" w:eastAsia="宋体"/>
          <w:b/>
          <w:color w:val="auto"/>
          <w:sz w:val="22"/>
          <w:szCs w:val="22"/>
          <w:highlight w:val="none"/>
          <w:lang w:val="en-US" w:eastAsia="zh-CN"/>
        </w:rPr>
        <w:t>30</w:t>
      </w:r>
      <w:r>
        <w:rPr>
          <w:rFonts w:ascii="宋体" w:hAnsi="宋体" w:eastAsia="宋体"/>
          <w:b/>
          <w:color w:val="auto"/>
          <w:sz w:val="22"/>
          <w:szCs w:val="22"/>
          <w:highlight w:val="none"/>
        </w:rPr>
        <w:t>分</w:t>
      </w:r>
    </w:p>
    <w:p>
      <w:pPr>
        <w:spacing w:line="360" w:lineRule="auto"/>
        <w:ind w:firstLine="420"/>
        <w:rPr>
          <w:rFonts w:ascii="宋体" w:hAnsi="宋体" w:eastAsia="宋体"/>
          <w:color w:val="auto"/>
          <w:sz w:val="22"/>
          <w:szCs w:val="22"/>
          <w:highlight w:val="none"/>
        </w:rPr>
      </w:pPr>
      <w:r>
        <w:rPr>
          <w:rFonts w:hint="eastAsia" w:ascii="宋体" w:hAnsi="宋体" w:eastAsia="宋体"/>
          <w:color w:val="auto"/>
          <w:sz w:val="22"/>
          <w:szCs w:val="22"/>
          <w:highlight w:val="none"/>
        </w:rPr>
        <w:t>由评委在打分前根据响应文件中的保证项目实施的技术力量、技术服务、技术培训的服务内容和措施、建议的安装、调试、验收方法或方案等所属档次，然后评委在各档次内独立打分。</w:t>
      </w:r>
    </w:p>
    <w:p>
      <w:pPr>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一档（0-</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分）：项目实施方案简单，保证项目实施的技术力量基本满足要求，技术服务、技术培训的服务内容和措施同比一般的，进入一档。</w:t>
      </w:r>
    </w:p>
    <w:p>
      <w:pPr>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二档（</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分）：满足一档的情况下，项目实施方案较详细，保证项目实施的技术力量安排满足项目实施要求，技术服务、技术培训的服务内容和措施同比较完善，且磋商人或磋商人所提供的磋商产品厂商具备音视频集成工程企业资质壹级的，提供相关证明复印件并加盖单位公章，满足以上相关要求的，进入二档。</w:t>
      </w:r>
    </w:p>
    <w:p>
      <w:pPr>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三档（</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满足二档的情况下，项目实施方案详实，方案能清楚的表明对本项目的熟悉程度，技术路线清晰可信，保证项目实施的技术力量安排充足，技术服务、技术培训的服务内容和措施完善，建议的安装、调试、验收方法或方案同比更完善有效、更优化、切实可行的，满足以上相关要求的，且为保证安防系统集成及安防工程建设水平，磋商人或磋商人所提供的磋商产品厂商应符合具备较强的运维技术服务，提供信息技术服务运行维护标准壹级证书的有效证明材料复印件并加盖公章，进入三档。</w:t>
      </w:r>
    </w:p>
    <w:p>
      <w:pPr>
        <w:spacing w:line="360" w:lineRule="auto"/>
        <w:rPr>
          <w:rFonts w:ascii="宋体" w:hAnsi="宋体" w:eastAsia="宋体"/>
          <w:b/>
          <w:color w:val="auto"/>
          <w:sz w:val="22"/>
          <w:szCs w:val="22"/>
          <w:highlight w:val="none"/>
        </w:rPr>
      </w:pPr>
      <w:r>
        <w:rPr>
          <w:rFonts w:hint="eastAsia" w:ascii="宋体" w:hAnsi="宋体" w:eastAsia="宋体"/>
          <w:b/>
          <w:color w:val="auto"/>
          <w:sz w:val="22"/>
          <w:szCs w:val="22"/>
          <w:highlight w:val="none"/>
          <w:lang w:eastAsia="zh-CN"/>
        </w:rPr>
        <w:t>（</w:t>
      </w:r>
      <w:r>
        <w:rPr>
          <w:rFonts w:hint="eastAsia" w:ascii="宋体" w:hAnsi="宋体" w:eastAsia="宋体"/>
          <w:b/>
          <w:color w:val="auto"/>
          <w:sz w:val="22"/>
          <w:szCs w:val="22"/>
          <w:highlight w:val="none"/>
          <w:lang w:val="en-US" w:eastAsia="zh-CN"/>
        </w:rPr>
        <w:t>3</w:t>
      </w:r>
      <w:r>
        <w:rPr>
          <w:rFonts w:hint="eastAsia" w:ascii="宋体" w:hAnsi="宋体" w:eastAsia="宋体"/>
          <w:b/>
          <w:color w:val="auto"/>
          <w:sz w:val="22"/>
          <w:szCs w:val="22"/>
          <w:highlight w:val="none"/>
          <w:lang w:eastAsia="zh-CN"/>
        </w:rPr>
        <w:t>）</w:t>
      </w:r>
      <w:r>
        <w:rPr>
          <w:rFonts w:hint="eastAsia" w:ascii="宋体" w:hAnsi="宋体" w:eastAsia="宋体"/>
          <w:b/>
          <w:color w:val="auto"/>
          <w:sz w:val="22"/>
          <w:szCs w:val="22"/>
          <w:highlight w:val="none"/>
        </w:rPr>
        <w:t>售后服务方案</w:t>
      </w:r>
      <w:r>
        <w:rPr>
          <w:rFonts w:ascii="宋体" w:hAnsi="宋体" w:eastAsia="宋体"/>
          <w:b/>
          <w:color w:val="auto"/>
          <w:sz w:val="22"/>
          <w:szCs w:val="22"/>
          <w:highlight w:val="none"/>
        </w:rPr>
        <w:t>分……………………………………………………………1</w:t>
      </w:r>
      <w:r>
        <w:rPr>
          <w:rFonts w:hint="eastAsia" w:ascii="宋体" w:hAnsi="宋体" w:eastAsia="宋体"/>
          <w:b/>
          <w:color w:val="auto"/>
          <w:sz w:val="22"/>
          <w:szCs w:val="22"/>
          <w:highlight w:val="none"/>
          <w:lang w:val="en-US" w:eastAsia="zh-CN"/>
        </w:rPr>
        <w:t>8</w:t>
      </w:r>
      <w:r>
        <w:rPr>
          <w:rFonts w:ascii="宋体" w:hAnsi="宋体" w:eastAsia="宋体"/>
          <w:b/>
          <w:color w:val="auto"/>
          <w:sz w:val="22"/>
          <w:szCs w:val="22"/>
          <w:highlight w:val="none"/>
        </w:rPr>
        <w:t>分</w:t>
      </w:r>
    </w:p>
    <w:p>
      <w:pPr>
        <w:spacing w:line="360" w:lineRule="auto"/>
        <w:ind w:firstLine="420"/>
        <w:rPr>
          <w:rFonts w:ascii="宋体" w:hAnsi="宋体" w:eastAsia="宋体"/>
          <w:color w:val="auto"/>
          <w:sz w:val="22"/>
          <w:szCs w:val="22"/>
          <w:highlight w:val="none"/>
        </w:rPr>
      </w:pPr>
      <w:r>
        <w:rPr>
          <w:rFonts w:hint="eastAsia" w:ascii="宋体" w:hAnsi="宋体" w:eastAsia="宋体"/>
          <w:color w:val="auto"/>
          <w:sz w:val="22"/>
          <w:szCs w:val="22"/>
          <w:highlight w:val="none"/>
        </w:rPr>
        <w:t>由评委根据磋商文件售后服务要求并结合磋商人售后服务方案内容的保质期、到达故障现场时间、故障出现解决方案、技术培训方案等由评委集体讨论确定各磋商人所属档次，由评委在相应档次内独立打分。</w:t>
      </w:r>
    </w:p>
    <w:p>
      <w:pPr>
        <w:spacing w:line="360" w:lineRule="auto"/>
        <w:ind w:firstLine="420"/>
        <w:rPr>
          <w:rFonts w:ascii="宋体" w:hAnsi="宋体" w:eastAsia="宋体"/>
          <w:color w:val="auto"/>
          <w:sz w:val="22"/>
          <w:szCs w:val="22"/>
          <w:highlight w:val="none"/>
        </w:rPr>
      </w:pPr>
      <w:r>
        <w:rPr>
          <w:rFonts w:ascii="宋体" w:hAnsi="宋体" w:eastAsia="宋体"/>
          <w:color w:val="auto"/>
          <w:sz w:val="22"/>
          <w:szCs w:val="22"/>
          <w:highlight w:val="none"/>
        </w:rPr>
        <w:t>一档（</w:t>
      </w:r>
      <w:r>
        <w:rPr>
          <w:rFonts w:hint="eastAsia" w:ascii="宋体" w:hAnsi="宋体" w:eastAsia="宋体"/>
          <w:color w:val="auto"/>
          <w:sz w:val="22"/>
          <w:szCs w:val="22"/>
          <w:highlight w:val="none"/>
        </w:rPr>
        <w:t>0</w:t>
      </w:r>
      <w:r>
        <w:rPr>
          <w:rFonts w:ascii="宋体" w:hAnsi="宋体" w:eastAsia="宋体"/>
          <w:color w:val="auto"/>
          <w:sz w:val="22"/>
          <w:szCs w:val="22"/>
          <w:highlight w:val="none"/>
        </w:rPr>
        <w:t>-</w:t>
      </w:r>
      <w:r>
        <w:rPr>
          <w:rFonts w:hint="eastAsia" w:ascii="宋体" w:hAnsi="宋体" w:eastAsia="宋体"/>
          <w:color w:val="auto"/>
          <w:sz w:val="22"/>
          <w:szCs w:val="22"/>
          <w:highlight w:val="none"/>
          <w:lang w:val="en-US" w:eastAsia="zh-CN"/>
        </w:rPr>
        <w:t>6</w:t>
      </w:r>
      <w:r>
        <w:rPr>
          <w:rFonts w:ascii="宋体" w:hAnsi="宋体" w:eastAsia="宋体"/>
          <w:color w:val="auto"/>
          <w:sz w:val="22"/>
          <w:szCs w:val="22"/>
          <w:highlight w:val="none"/>
        </w:rPr>
        <w:t>分）：售后服务方案基本合理、可行，保障响应措施、服务经验一般，方案一般的，进入一档。</w:t>
      </w:r>
    </w:p>
    <w:p>
      <w:pPr>
        <w:spacing w:line="360" w:lineRule="auto"/>
        <w:ind w:firstLine="420"/>
        <w:rPr>
          <w:rFonts w:ascii="宋体" w:hAnsi="宋体" w:eastAsia="宋体"/>
          <w:color w:val="auto"/>
          <w:sz w:val="22"/>
          <w:szCs w:val="22"/>
          <w:highlight w:val="none"/>
        </w:rPr>
      </w:pPr>
      <w:r>
        <w:rPr>
          <w:rFonts w:hint="eastAsia" w:ascii="宋体" w:hAnsi="宋体" w:eastAsia="宋体"/>
          <w:color w:val="auto"/>
          <w:sz w:val="22"/>
          <w:szCs w:val="22"/>
          <w:highlight w:val="none"/>
        </w:rPr>
        <w:t>二档（</w:t>
      </w:r>
      <w:r>
        <w:rPr>
          <w:rFonts w:hint="eastAsia" w:ascii="宋体" w:hAnsi="宋体" w:eastAsia="宋体"/>
          <w:color w:val="auto"/>
          <w:sz w:val="22"/>
          <w:szCs w:val="22"/>
          <w:highlight w:val="none"/>
          <w:lang w:val="en-US" w:eastAsia="zh-CN"/>
        </w:rPr>
        <w:t>6</w:t>
      </w:r>
      <w:r>
        <w:rPr>
          <w:rFonts w:hint="eastAsia" w:ascii="宋体" w:hAnsi="宋体" w:eastAsia="宋体"/>
          <w:color w:val="auto"/>
          <w:sz w:val="22"/>
          <w:szCs w:val="22"/>
          <w:highlight w:val="none"/>
        </w:rPr>
        <w:t>.1</w:t>
      </w:r>
      <w:r>
        <w:rPr>
          <w:rFonts w:ascii="宋体" w:hAnsi="宋体" w:eastAsia="宋体"/>
          <w:color w:val="auto"/>
          <w:sz w:val="22"/>
          <w:szCs w:val="22"/>
          <w:highlight w:val="none"/>
        </w:rPr>
        <w:t>-</w:t>
      </w:r>
      <w:r>
        <w:rPr>
          <w:rFonts w:hint="eastAsia" w:ascii="宋体" w:hAnsi="宋体" w:eastAsia="宋体"/>
          <w:color w:val="auto"/>
          <w:sz w:val="22"/>
          <w:szCs w:val="22"/>
          <w:highlight w:val="none"/>
          <w:lang w:val="en-US" w:eastAsia="zh-CN"/>
        </w:rPr>
        <w:t>12</w:t>
      </w:r>
      <w:r>
        <w:rPr>
          <w:rFonts w:ascii="宋体" w:hAnsi="宋体" w:eastAsia="宋体"/>
          <w:color w:val="auto"/>
          <w:sz w:val="22"/>
          <w:szCs w:val="22"/>
          <w:highlight w:val="none"/>
        </w:rPr>
        <w:t>分）</w:t>
      </w:r>
      <w:r>
        <w:rPr>
          <w:rFonts w:hint="eastAsia" w:ascii="宋体" w:hAnsi="宋体" w:eastAsia="宋体"/>
          <w:color w:val="auto"/>
          <w:sz w:val="22"/>
          <w:szCs w:val="22"/>
          <w:highlight w:val="none"/>
        </w:rPr>
        <w:t>：满足一档的情况下，</w:t>
      </w:r>
      <w:r>
        <w:rPr>
          <w:rFonts w:ascii="宋体" w:hAnsi="宋体" w:eastAsia="宋体"/>
          <w:color w:val="auto"/>
          <w:sz w:val="22"/>
          <w:szCs w:val="22"/>
          <w:highlight w:val="none"/>
        </w:rPr>
        <w:t>售后服务方案比较细致、合理、可行，人员配置较好，保障响应措施较有力，服务经验较丰富</w:t>
      </w:r>
      <w:r>
        <w:rPr>
          <w:rFonts w:hint="eastAsia" w:ascii="宋体" w:hAnsi="宋体" w:eastAsia="宋体"/>
          <w:color w:val="auto"/>
          <w:sz w:val="22"/>
          <w:szCs w:val="22"/>
          <w:highlight w:val="none"/>
        </w:rPr>
        <w:t>，磋商人或磋商人所提供的磋商产品厂商</w:t>
      </w:r>
      <w:r>
        <w:rPr>
          <w:rFonts w:ascii="宋体" w:hAnsi="宋体" w:eastAsia="宋体"/>
          <w:color w:val="auto"/>
          <w:sz w:val="22"/>
          <w:szCs w:val="22"/>
          <w:highlight w:val="none"/>
        </w:rPr>
        <w:t>具备较强的合同执行诚信度和执行能力，获得省级</w:t>
      </w:r>
      <w:r>
        <w:rPr>
          <w:rFonts w:hint="eastAsia" w:ascii="宋体" w:hAnsi="宋体" w:eastAsia="宋体"/>
          <w:color w:val="auto"/>
          <w:sz w:val="22"/>
          <w:szCs w:val="22"/>
          <w:highlight w:val="none"/>
        </w:rPr>
        <w:t>（或以上）</w:t>
      </w:r>
      <w:r>
        <w:rPr>
          <w:rFonts w:ascii="宋体" w:hAnsi="宋体" w:eastAsia="宋体"/>
          <w:color w:val="auto"/>
          <w:sz w:val="22"/>
          <w:szCs w:val="22"/>
          <w:highlight w:val="none"/>
        </w:rPr>
        <w:t>信用管理示范企业证书，能提供相关证明复印件并加盖单位公章，进入二档。</w:t>
      </w:r>
    </w:p>
    <w:p>
      <w:pPr>
        <w:spacing w:line="360" w:lineRule="auto"/>
        <w:ind w:firstLine="420"/>
        <w:rPr>
          <w:rFonts w:ascii="宋体" w:hAnsi="宋体" w:eastAsia="宋体"/>
          <w:color w:val="auto"/>
          <w:sz w:val="22"/>
          <w:szCs w:val="22"/>
          <w:highlight w:val="none"/>
        </w:rPr>
      </w:pPr>
      <w:r>
        <w:rPr>
          <w:rFonts w:hint="eastAsia" w:ascii="宋体" w:hAnsi="宋体" w:eastAsia="宋体"/>
          <w:color w:val="auto"/>
          <w:sz w:val="22"/>
          <w:szCs w:val="22"/>
          <w:highlight w:val="none"/>
        </w:rPr>
        <w:t>三档（</w:t>
      </w:r>
      <w:r>
        <w:rPr>
          <w:rFonts w:hint="eastAsia" w:ascii="宋体" w:hAnsi="宋体" w:eastAsia="宋体"/>
          <w:color w:val="auto"/>
          <w:sz w:val="22"/>
          <w:szCs w:val="22"/>
          <w:highlight w:val="none"/>
          <w:lang w:val="en-US" w:eastAsia="zh-CN"/>
        </w:rPr>
        <w:t>12</w:t>
      </w:r>
      <w:r>
        <w:rPr>
          <w:rFonts w:hint="eastAsia" w:ascii="宋体" w:hAnsi="宋体" w:eastAsia="宋体"/>
          <w:color w:val="auto"/>
          <w:sz w:val="22"/>
          <w:szCs w:val="22"/>
          <w:highlight w:val="none"/>
        </w:rPr>
        <w:t>.1</w:t>
      </w:r>
      <w:r>
        <w:rPr>
          <w:rFonts w:ascii="宋体" w:hAnsi="宋体" w:eastAsia="宋体"/>
          <w:color w:val="auto"/>
          <w:sz w:val="22"/>
          <w:szCs w:val="22"/>
          <w:highlight w:val="none"/>
        </w:rPr>
        <w:t>-1</w:t>
      </w:r>
      <w:r>
        <w:rPr>
          <w:rFonts w:hint="eastAsia" w:ascii="宋体" w:hAnsi="宋体" w:eastAsia="宋体"/>
          <w:color w:val="auto"/>
          <w:sz w:val="22"/>
          <w:szCs w:val="22"/>
          <w:highlight w:val="none"/>
          <w:lang w:val="en-US" w:eastAsia="zh-CN"/>
        </w:rPr>
        <w:t>8</w:t>
      </w:r>
      <w:r>
        <w:rPr>
          <w:rFonts w:ascii="宋体" w:hAnsi="宋体" w:eastAsia="宋体"/>
          <w:color w:val="auto"/>
          <w:sz w:val="22"/>
          <w:szCs w:val="22"/>
          <w:highlight w:val="none"/>
        </w:rPr>
        <w:t>分）</w:t>
      </w:r>
      <w:r>
        <w:rPr>
          <w:rFonts w:hint="eastAsia" w:ascii="宋体" w:hAnsi="宋体" w:eastAsia="宋体"/>
          <w:color w:val="auto"/>
          <w:sz w:val="22"/>
          <w:szCs w:val="22"/>
          <w:highlight w:val="none"/>
        </w:rPr>
        <w:t>：满足二档的情况下，</w:t>
      </w:r>
      <w:r>
        <w:rPr>
          <w:rFonts w:ascii="宋体" w:hAnsi="宋体" w:eastAsia="宋体"/>
          <w:color w:val="auto"/>
          <w:sz w:val="22"/>
          <w:szCs w:val="22"/>
          <w:highlight w:val="none"/>
        </w:rPr>
        <w:t>售后服务方案论述准确，售后保障措施具体有效</w:t>
      </w:r>
      <w:r>
        <w:rPr>
          <w:rFonts w:hint="eastAsia" w:ascii="宋体" w:hAnsi="宋体" w:eastAsia="宋体"/>
          <w:color w:val="auto"/>
          <w:sz w:val="22"/>
          <w:szCs w:val="22"/>
          <w:highlight w:val="none"/>
        </w:rPr>
        <w:t>，</w:t>
      </w:r>
      <w:r>
        <w:rPr>
          <w:rFonts w:ascii="宋体" w:hAnsi="宋体" w:eastAsia="宋体"/>
          <w:color w:val="auto"/>
          <w:sz w:val="22"/>
          <w:szCs w:val="22"/>
          <w:highlight w:val="none"/>
        </w:rPr>
        <w:t>故障响应及达到故障现场时间优于采购要求，对系统的维护提供整体维护解决方案和运行维护应急预案，提供一站式、全面、专业的本地化维护服务，有良好的培训计划和定期回访计划，方案优秀，</w:t>
      </w:r>
      <w:r>
        <w:rPr>
          <w:rFonts w:hint="eastAsia" w:ascii="宋体" w:hAnsi="宋体" w:eastAsia="宋体"/>
          <w:color w:val="auto"/>
          <w:sz w:val="22"/>
          <w:szCs w:val="22"/>
          <w:highlight w:val="none"/>
        </w:rPr>
        <w:t>具有完善可靠的售后服务保障团队，磋商人或磋商人所提供的磋商产品厂商具备工业信息安全应急服务支撑单位证书复印件</w:t>
      </w:r>
      <w:r>
        <w:rPr>
          <w:rFonts w:ascii="宋体" w:hAnsi="宋体" w:eastAsia="宋体"/>
          <w:color w:val="auto"/>
          <w:sz w:val="22"/>
          <w:szCs w:val="22"/>
          <w:highlight w:val="none"/>
        </w:rPr>
        <w:t>并加盖单位公章的</w:t>
      </w:r>
      <w:r>
        <w:rPr>
          <w:rFonts w:hint="eastAsia" w:ascii="宋体" w:hAnsi="宋体" w:eastAsia="宋体"/>
          <w:color w:val="auto"/>
          <w:sz w:val="22"/>
          <w:szCs w:val="22"/>
          <w:highlight w:val="none"/>
        </w:rPr>
        <w:t>，进入三档。</w:t>
      </w:r>
    </w:p>
    <w:p>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综合实力分…………………………………………………………………10分</w:t>
      </w:r>
    </w:p>
    <w:p>
      <w:pPr>
        <w:pStyle w:val="10"/>
        <w:adjustRightInd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（1）磋商人或磋商人所提供的磋商产品厂商获得中国信息安全测评中心颁发的国家信息安全漏洞库（CNNVD）技术支撑单位等级证书（一级）的，提供相关证明复印件并加盖单位公章，得2分。</w:t>
      </w:r>
    </w:p>
    <w:p>
      <w:pPr>
        <w:pStyle w:val="10"/>
        <w:adjustRightInd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（2）磋商人或磋商人所提供的磋商产品厂商获得国家计算机网络应急技术处理协调中心颁发的网络安全应急服务支撑单位证书的，提供相关证明复印件并加盖单位公章，得2分。</w:t>
      </w:r>
    </w:p>
    <w:p>
      <w:pPr>
        <w:pStyle w:val="10"/>
        <w:adjustRightInd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磋商人或磋商人所提供的磋商产品厂商具备较强的技术研发实力，能同时具备国家级科学技术进步奖二等奖（或以上）和国家级技术发明奖二等奖（或以上）的，提供相关证明复印件并加盖单位公章，得2分。</w:t>
      </w:r>
    </w:p>
    <w:p>
      <w:pPr>
        <w:pStyle w:val="10"/>
        <w:adjustRightInd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（4）为保证磋商人或磋商人所提供的磋商产品厂商的生产应符合智能制造标准化，可提供省智能制造标准化工作先进奖证书的相关证明复印件并加盖单位公章，得2分。</w:t>
      </w:r>
    </w:p>
    <w:p>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（5）磋商人或磋商人所提供的磋商产品厂商具备较好的系统集成能力、系统服务能力以及提供关键性技术支撑，能提供省发展和改革委员会印发的国家地方联合工程研究中心证明复印件并加盖单位公章，得2分。</w:t>
      </w:r>
    </w:p>
    <w:p>
      <w:pPr>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、政策分……………………………………………………………………2分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（1）磋商产品纳入《财政部 发展改革委 生态环境部 市场监管总局关于调整优化节能产品 环境标志产品政府采购执行机制的通知》（财库〔2019〕9号）中节能产品政府采购品目清单的（适用于非强制采购节能产品，提供磋商产品所属节能产品认证证书复印件并加盖单位公章），得0.5分。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（2）磋商产品纳入《财政部发展改革委 生态环境部 市场监管总局关于调整优化节能产品 环境标志产品政府采购执行机制的通知》（财库〔2019〕9号）中环境标志产品政府采购品目清单的（提供磋商产品所属环境标志产品认证证书复印件并加盖单位公章），得0.5分。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（3）采用广西工业产品的金额占本次投标总金额的80%以上（含）的加1分。</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总得分 = 1 + 2 + 3 + 4 。</w:t>
      </w:r>
    </w:p>
    <w:p>
      <w:pPr>
        <w:keepNext w:val="0"/>
        <w:keepLines w:val="0"/>
        <w:pageBreakBefore w:val="0"/>
        <w:tabs>
          <w:tab w:val="left" w:pos="3255"/>
        </w:tabs>
        <w:kinsoku/>
        <w:wordWrap/>
        <w:overflowPunct/>
        <w:topLinePunct w:val="0"/>
        <w:bidi w:val="0"/>
        <w:spacing w:line="380" w:lineRule="exact"/>
        <w:ind w:firstLine="442" w:firstLineChars="200"/>
        <w:textAlignment w:val="auto"/>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三</w:t>
      </w:r>
      <w:r>
        <w:rPr>
          <w:rFonts w:hint="eastAsia" w:ascii="宋体" w:hAnsi="宋体" w:eastAsia="宋体" w:cs="宋体"/>
          <w:b/>
          <w:color w:val="auto"/>
          <w:sz w:val="22"/>
          <w:szCs w:val="22"/>
          <w:highlight w:val="none"/>
        </w:rPr>
        <w:t>、确定成交供应商</w:t>
      </w:r>
    </w:p>
    <w:p>
      <w:pPr>
        <w:pStyle w:val="10"/>
        <w:keepNext w:val="0"/>
        <w:keepLines w:val="0"/>
        <w:pageBreakBefore w:val="0"/>
        <w:tabs>
          <w:tab w:val="left" w:pos="8460"/>
        </w:tabs>
        <w:kinsoku/>
        <w:wordWrap/>
        <w:overflowPunct/>
        <w:topLinePunct w:val="0"/>
        <w:bidi w:val="0"/>
        <w:spacing w:line="380" w:lineRule="exact"/>
        <w:ind w:right="-55" w:rightChars="-26"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将通过磋商、澄清，在满足竞争性磋商文件全部条款的基础上，磋商小组按照实质性响应供应商的最终得分由高到低排列供应商顺序，磋商小组按排列顺序推荐成交供应商。根据得分由高到低排列次序（得分相同时，以磋商报价由低到高顺序排列；得分相同且磋商报价相同的，按实施方案优劣顺序排列）并推荐三名成交候选供应商。采购单位应当确定评审委员会推荐排名第一的成交候选供应商为成交人。排名第一的成交候选供应商放弃成交的、因不可抗力提出不能履行合同，采购单位可以确定排名第二的成交候选供应商为成交人。排名第二的成交候选人因前款规定的同样原因不能签订合同的，采购单位可以确定排名第三的成交候选供应商为成交人。采购人也可以决定重新采购。</w:t>
      </w: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jc w:val="left"/>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附件：</w:t>
      </w:r>
    </w:p>
    <w:p>
      <w:pPr>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退保证金申请书（格式）</w:t>
      </w:r>
    </w:p>
    <w:p>
      <w:pPr>
        <w:rPr>
          <w:rFonts w:ascii="宋体" w:hAnsi="宋体" w:eastAsia="宋体" w:cs="宋体"/>
          <w:b/>
          <w:color w:val="auto"/>
          <w:sz w:val="36"/>
          <w:szCs w:val="36"/>
          <w:highlight w:val="none"/>
        </w:rPr>
      </w:pPr>
    </w:p>
    <w:p>
      <w:pPr>
        <w:pStyle w:val="30"/>
        <w:rPr>
          <w:rFonts w:ascii="宋体" w:hAnsi="宋体" w:eastAsia="宋体" w:cs="宋体"/>
          <w:color w:val="auto"/>
          <w:highlight w:val="none"/>
        </w:rPr>
      </w:pPr>
    </w:p>
    <w:p>
      <w:pPr>
        <w:spacing w:line="360" w:lineRule="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line="360" w:lineRule="auto"/>
        <w:rPr>
          <w:rFonts w:ascii="宋体" w:hAnsi="宋体" w:eastAsia="宋体" w:cs="宋体"/>
          <w:color w:val="auto"/>
          <w:sz w:val="22"/>
          <w:szCs w:val="22"/>
          <w:highlight w:val="none"/>
        </w:rPr>
      </w:pPr>
    </w:p>
    <w:p>
      <w:pPr>
        <w:spacing w:line="360" w:lineRule="auto"/>
        <w:ind w:firstLine="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我公司参与磋商的</w:t>
      </w:r>
      <w:r>
        <w:rPr>
          <w:rFonts w:hint="eastAsia" w:ascii="宋体" w:hAnsi="宋体" w:eastAsia="宋体" w:cs="宋体"/>
          <w:color w:val="auto"/>
          <w:sz w:val="22"/>
          <w:szCs w:val="22"/>
          <w:highlight w:val="none"/>
          <w:u w:val="single"/>
        </w:rPr>
        <w:t xml:space="preserve"> </w:t>
      </w:r>
      <w:r>
        <w:rPr>
          <w:color w:val="auto"/>
          <w:highlight w:val="none"/>
        </w:rPr>
        <w:fldChar w:fldCharType="begin"/>
      </w:r>
      <w:r>
        <w:rPr>
          <w:color w:val="auto"/>
          <w:highlight w:val="none"/>
        </w:rPr>
        <w:instrText xml:space="preserve"> HYPERLINK "http://www.nnjs.net/tenderview.aspx?NewsId=214fdb08622-6a27-4060-8412-79323156f058" \t "_blank" \o "江南区苏圩镇佳棉小学教学综合楼" </w:instrText>
      </w:r>
      <w:r>
        <w:rPr>
          <w:color w:val="auto"/>
          <w:highlight w:val="none"/>
        </w:rPr>
        <w:fldChar w:fldCharType="separate"/>
      </w:r>
      <w:r>
        <w:rPr>
          <w:color w:val="auto"/>
          <w:highlight w:val="none"/>
        </w:rPr>
        <w:fldChar w:fldCharType="end"/>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Cs/>
          <w:color w:val="auto"/>
          <w:sz w:val="22"/>
          <w:szCs w:val="22"/>
          <w:highlight w:val="none"/>
        </w:rPr>
        <w:t>项目,</w:t>
      </w:r>
      <w:r>
        <w:rPr>
          <w:rFonts w:hint="eastAsia" w:ascii="宋体" w:hAnsi="宋体" w:eastAsia="宋体" w:cs="宋体"/>
          <w:color w:val="auto"/>
          <w:sz w:val="22"/>
          <w:szCs w:val="22"/>
          <w:highlight w:val="none"/>
        </w:rPr>
        <w:t>我公司在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日已交磋商保证金，我公司</w:t>
      </w:r>
      <w:r>
        <w:rPr>
          <w:rFonts w:hint="eastAsia" w:ascii="宋体" w:hAnsi="宋体" w:eastAsia="宋体" w:cs="宋体"/>
          <w:color w:val="auto"/>
          <w:sz w:val="22"/>
          <w:szCs w:val="22"/>
          <w:highlight w:val="none"/>
          <w:u w:val="single"/>
        </w:rPr>
        <w:t>成交/未成交</w:t>
      </w:r>
      <w:r>
        <w:rPr>
          <w:rFonts w:hint="eastAsia" w:ascii="宋体" w:hAnsi="宋体" w:eastAsia="宋体" w:cs="宋体"/>
          <w:color w:val="auto"/>
          <w:sz w:val="22"/>
          <w:szCs w:val="22"/>
          <w:highlight w:val="none"/>
        </w:rPr>
        <w:t>（服务费在</w:t>
      </w:r>
      <w:r>
        <w:rPr>
          <w:rFonts w:hint="eastAsia" w:ascii="宋体" w:hAnsi="宋体" w:eastAsia="宋体" w:cs="宋体"/>
          <w:color w:val="auto"/>
          <w:sz w:val="22"/>
          <w:szCs w:val="22"/>
          <w:highlight w:val="none"/>
          <w:u w:val="single"/>
        </w:rPr>
        <w:t xml:space="preserve">    年   月   日</w:t>
      </w:r>
      <w:r>
        <w:rPr>
          <w:rFonts w:hint="eastAsia" w:ascii="宋体" w:hAnsi="宋体" w:eastAsia="宋体" w:cs="宋体"/>
          <w:color w:val="auto"/>
          <w:sz w:val="22"/>
          <w:szCs w:val="22"/>
          <w:highlight w:val="none"/>
        </w:rPr>
        <w:t>已交），现我公司申请退回磋商保证金,金额为人民币</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）,请给予办理为盼。</w:t>
      </w:r>
    </w:p>
    <w:p>
      <w:pPr>
        <w:spacing w:line="360" w:lineRule="auto"/>
        <w:rPr>
          <w:rFonts w:ascii="宋体" w:hAnsi="宋体" w:eastAsia="宋体" w:cs="宋体"/>
          <w:color w:val="auto"/>
          <w:sz w:val="22"/>
          <w:szCs w:val="22"/>
          <w:highlight w:val="none"/>
        </w:rPr>
      </w:pPr>
    </w:p>
    <w:p>
      <w:pPr>
        <w:spacing w:line="360" w:lineRule="auto"/>
        <w:ind w:firstLine="550" w:firstLineChars="2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保证金请退到（转入的原账户）银行账号如下：</w:t>
      </w:r>
    </w:p>
    <w:p>
      <w:pPr>
        <w:spacing w:line="360" w:lineRule="auto"/>
        <w:ind w:firstLine="550" w:firstLineChars="2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开户名称： </w:t>
      </w:r>
    </w:p>
    <w:p>
      <w:pPr>
        <w:spacing w:line="360" w:lineRule="auto"/>
        <w:ind w:firstLine="550" w:firstLineChars="2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账    号： </w:t>
      </w:r>
    </w:p>
    <w:p>
      <w:pPr>
        <w:spacing w:line="360" w:lineRule="auto"/>
        <w:ind w:firstLine="550" w:firstLineChars="2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w:t>
      </w:r>
    </w:p>
    <w:p>
      <w:pPr>
        <w:spacing w:line="360" w:lineRule="auto"/>
        <w:ind w:firstLine="550" w:firstLineChars="2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联 系 人：</w:t>
      </w:r>
    </w:p>
    <w:p>
      <w:pPr>
        <w:spacing w:line="360" w:lineRule="auto"/>
        <w:ind w:firstLine="550" w:firstLineChars="2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p>
      <w:pPr>
        <w:spacing w:line="360" w:lineRule="auto"/>
        <w:rPr>
          <w:rFonts w:ascii="宋体" w:hAnsi="宋体" w:eastAsia="宋体" w:cs="宋体"/>
          <w:color w:val="auto"/>
          <w:sz w:val="22"/>
          <w:szCs w:val="22"/>
          <w:highlight w:val="none"/>
        </w:rPr>
      </w:pPr>
    </w:p>
    <w:p>
      <w:pPr>
        <w:pStyle w:val="30"/>
        <w:rPr>
          <w:rFonts w:ascii="宋体" w:hAnsi="宋体" w:eastAsia="宋体" w:cs="宋体"/>
          <w:color w:val="auto"/>
          <w:sz w:val="22"/>
          <w:szCs w:val="22"/>
          <w:highlight w:val="none"/>
        </w:rPr>
      </w:pPr>
    </w:p>
    <w:p>
      <w:pPr>
        <w:pStyle w:val="30"/>
        <w:rPr>
          <w:rFonts w:ascii="宋体" w:hAnsi="宋体" w:eastAsia="宋体" w:cs="宋体"/>
          <w:color w:val="auto"/>
          <w:sz w:val="22"/>
          <w:szCs w:val="22"/>
          <w:highlight w:val="none"/>
        </w:rPr>
      </w:pPr>
    </w:p>
    <w:p>
      <w:pPr>
        <w:spacing w:line="36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（注：附开户许可证复印件，到账收据原件，如是成交单位的还需附与业主签订的合同一份。）</w:t>
      </w:r>
    </w:p>
    <w:p>
      <w:pPr>
        <w:spacing w:line="360" w:lineRule="auto"/>
        <w:rPr>
          <w:rFonts w:ascii="宋体" w:hAnsi="宋体" w:eastAsia="宋体" w:cs="宋体"/>
          <w:color w:val="auto"/>
          <w:sz w:val="22"/>
          <w:szCs w:val="22"/>
          <w:highlight w:val="none"/>
        </w:rPr>
      </w:pPr>
    </w:p>
    <w:p>
      <w:pPr>
        <w:spacing w:line="360" w:lineRule="auto"/>
        <w:ind w:firstLine="550" w:firstLineChars="2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申请单位（盖章）：</w:t>
      </w:r>
    </w:p>
    <w:p>
      <w:pPr>
        <w:spacing w:line="360" w:lineRule="auto"/>
        <w:ind w:firstLine="550" w:firstLineChars="25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w:t>
      </w:r>
    </w:p>
    <w:p>
      <w:pPr>
        <w:spacing w:line="360" w:lineRule="auto"/>
        <w:rPr>
          <w:rFonts w:ascii="宋体" w:hAnsi="宋体" w:eastAsia="宋体" w:cs="宋体"/>
          <w:color w:val="auto"/>
          <w:sz w:val="22"/>
          <w:szCs w:val="22"/>
          <w:highlight w:val="none"/>
        </w:rPr>
      </w:pPr>
    </w:p>
    <w:p>
      <w:pPr>
        <w:pStyle w:val="30"/>
        <w:spacing w:line="360" w:lineRule="auto"/>
        <w:rPr>
          <w:rFonts w:ascii="宋体" w:hAnsi="宋体" w:eastAsia="宋体" w:cs="宋体"/>
          <w:color w:val="auto"/>
          <w:sz w:val="22"/>
          <w:szCs w:val="22"/>
          <w:highlight w:val="none"/>
        </w:rPr>
      </w:pPr>
    </w:p>
    <w:sectPr>
      <w:footerReference r:id="rId7" w:type="first"/>
      <w:footerReference r:id="rId6" w:type="default"/>
      <w:pgSz w:w="11906" w:h="16838"/>
      <w:pgMar w:top="1304" w:right="1361" w:bottom="1247" w:left="1361" w:header="680" w:footer="680" w:gutter="0"/>
      <w:cols w:space="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013YU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zTXdhQCAAAVBAAADgAAAAAAAAAB&#10;ACAAAAAfAQAAZHJzL2Uyb0RvYy54bWxQSwUGAAAAAAYABgBZAQAAp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RZhw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RZhwVAgAAFQQAAA4AAAAAAAAA&#10;AQAgAAAAHwEAAGRycy9lMm9Eb2MueG1sUEsFBgAAAAAGAAYAWQEAAKY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rPr>
        <w:rFonts w:hAnsi="宋体" w:eastAsia="宋体" w:cs="宋体"/>
        <w:szCs w:val="18"/>
      </w:rPr>
    </w:pPr>
    <w:r>
      <w:rPr>
        <w:rFonts w:hint="eastAsia" w:hAnsi="宋体" w:eastAsia="宋体" w:cs="宋体"/>
        <w:szCs w:val="18"/>
      </w:rPr>
      <w:t xml:space="preserve">北京诚佳信工程管理有限公司                                          </w:t>
    </w:r>
    <w:r>
      <w:rPr>
        <w:rFonts w:hint="eastAsia" w:hAnsi="宋体" w:eastAsia="宋体" w:cs="宋体"/>
        <w:color w:val="000000"/>
        <w:szCs w:val="18"/>
      </w:rPr>
      <w:t>钦州市中级法院六专四室改造项目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rPr>
        <w:rFonts w:hAnsi="宋体" w:eastAsia="宋体" w:cs="宋体"/>
        <w:szCs w:val="18"/>
      </w:rPr>
    </w:pPr>
    <w:r>
      <w:rPr>
        <w:rFonts w:hint="eastAsia" w:hAnsi="宋体" w:eastAsia="宋体" w:cs="宋体"/>
        <w:szCs w:val="18"/>
      </w:rPr>
      <w:t xml:space="preserve">北京诚佳信工程管理有限公司                                         </w:t>
    </w:r>
    <w:r>
      <w:rPr>
        <w:rFonts w:hint="eastAsia" w:hAnsi="宋体" w:eastAsia="宋体" w:cs="宋体"/>
        <w:color w:val="000000"/>
        <w:szCs w:val="18"/>
      </w:rPr>
      <w:t>钦州市中级法院六专四室改造项目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39986"/>
    <w:multiLevelType w:val="singleLevel"/>
    <w:tmpl w:val="97239986"/>
    <w:lvl w:ilvl="0" w:tentative="0">
      <w:start w:val="3"/>
      <w:numFmt w:val="chineseCounting"/>
      <w:suff w:val="space"/>
      <w:lvlText w:val="第%1章"/>
      <w:lvlJc w:val="left"/>
      <w:rPr>
        <w:rFonts w:hint="eastAsia"/>
      </w:rPr>
    </w:lvl>
  </w:abstractNum>
  <w:abstractNum w:abstractNumId="1">
    <w:nsid w:val="5A45B0DF"/>
    <w:multiLevelType w:val="singleLevel"/>
    <w:tmpl w:val="5A45B0DF"/>
    <w:lvl w:ilvl="0" w:tentative="0">
      <w:start w:val="6"/>
      <w:numFmt w:val="chineseCounting"/>
      <w:suff w:val="space"/>
      <w:lvlText w:val="第%1章"/>
      <w:lvlJc w:val="left"/>
    </w:lvl>
  </w:abstractNum>
  <w:abstractNum w:abstractNumId="2">
    <w:nsid w:val="620A1A62"/>
    <w:multiLevelType w:val="singleLevel"/>
    <w:tmpl w:val="620A1A62"/>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A8"/>
    <w:rsid w:val="00004220"/>
    <w:rsid w:val="00012998"/>
    <w:rsid w:val="00024E83"/>
    <w:rsid w:val="000379EA"/>
    <w:rsid w:val="0007058B"/>
    <w:rsid w:val="000923CE"/>
    <w:rsid w:val="000A3EA2"/>
    <w:rsid w:val="000A6C12"/>
    <w:rsid w:val="000F50E8"/>
    <w:rsid w:val="00113F39"/>
    <w:rsid w:val="001401CB"/>
    <w:rsid w:val="00177971"/>
    <w:rsid w:val="001C7A55"/>
    <w:rsid w:val="001D5441"/>
    <w:rsid w:val="001D6FF8"/>
    <w:rsid w:val="001F219C"/>
    <w:rsid w:val="00214C5C"/>
    <w:rsid w:val="00224F32"/>
    <w:rsid w:val="00230CCE"/>
    <w:rsid w:val="00262838"/>
    <w:rsid w:val="00285192"/>
    <w:rsid w:val="00297F07"/>
    <w:rsid w:val="002B73CF"/>
    <w:rsid w:val="002C25AD"/>
    <w:rsid w:val="002F7C4C"/>
    <w:rsid w:val="00321562"/>
    <w:rsid w:val="00331B6B"/>
    <w:rsid w:val="00342A3C"/>
    <w:rsid w:val="00347D5D"/>
    <w:rsid w:val="0037414F"/>
    <w:rsid w:val="00390788"/>
    <w:rsid w:val="003C3B88"/>
    <w:rsid w:val="003F5D11"/>
    <w:rsid w:val="004076B8"/>
    <w:rsid w:val="00411568"/>
    <w:rsid w:val="004224B4"/>
    <w:rsid w:val="004766C6"/>
    <w:rsid w:val="00483318"/>
    <w:rsid w:val="00493702"/>
    <w:rsid w:val="00495079"/>
    <w:rsid w:val="00507001"/>
    <w:rsid w:val="0055322D"/>
    <w:rsid w:val="00576F1C"/>
    <w:rsid w:val="0058269F"/>
    <w:rsid w:val="00584FDF"/>
    <w:rsid w:val="005912B8"/>
    <w:rsid w:val="005978CB"/>
    <w:rsid w:val="005C5485"/>
    <w:rsid w:val="00641743"/>
    <w:rsid w:val="00662D9B"/>
    <w:rsid w:val="00665E38"/>
    <w:rsid w:val="00676EE9"/>
    <w:rsid w:val="006850C3"/>
    <w:rsid w:val="00691E09"/>
    <w:rsid w:val="006B2CA5"/>
    <w:rsid w:val="0071080E"/>
    <w:rsid w:val="007225FF"/>
    <w:rsid w:val="00743F7E"/>
    <w:rsid w:val="007620FC"/>
    <w:rsid w:val="0076376B"/>
    <w:rsid w:val="007C6355"/>
    <w:rsid w:val="007D786C"/>
    <w:rsid w:val="00811A08"/>
    <w:rsid w:val="008431C4"/>
    <w:rsid w:val="008971DA"/>
    <w:rsid w:val="00963D19"/>
    <w:rsid w:val="009C72E5"/>
    <w:rsid w:val="009D2929"/>
    <w:rsid w:val="009F37DF"/>
    <w:rsid w:val="00A01592"/>
    <w:rsid w:val="00A12D87"/>
    <w:rsid w:val="00A26BA8"/>
    <w:rsid w:val="00A41B4D"/>
    <w:rsid w:val="00A42245"/>
    <w:rsid w:val="00A54F99"/>
    <w:rsid w:val="00AA7509"/>
    <w:rsid w:val="00B2109E"/>
    <w:rsid w:val="00B42E03"/>
    <w:rsid w:val="00B45AA6"/>
    <w:rsid w:val="00B467F9"/>
    <w:rsid w:val="00B65851"/>
    <w:rsid w:val="00BB1CD2"/>
    <w:rsid w:val="00BB70D4"/>
    <w:rsid w:val="00BD3D29"/>
    <w:rsid w:val="00BE7ECC"/>
    <w:rsid w:val="00C12338"/>
    <w:rsid w:val="00C330CC"/>
    <w:rsid w:val="00C4164B"/>
    <w:rsid w:val="00C81FC7"/>
    <w:rsid w:val="00CB1F4F"/>
    <w:rsid w:val="00CC0CD9"/>
    <w:rsid w:val="00D054E7"/>
    <w:rsid w:val="00D24780"/>
    <w:rsid w:val="00D417FE"/>
    <w:rsid w:val="00D52E26"/>
    <w:rsid w:val="00D71281"/>
    <w:rsid w:val="00D72764"/>
    <w:rsid w:val="00DA19F5"/>
    <w:rsid w:val="00DE51C1"/>
    <w:rsid w:val="00DE6BCD"/>
    <w:rsid w:val="00DF2738"/>
    <w:rsid w:val="00E0731A"/>
    <w:rsid w:val="00E5488C"/>
    <w:rsid w:val="00EB3FF7"/>
    <w:rsid w:val="00EC11C3"/>
    <w:rsid w:val="00EE7E5A"/>
    <w:rsid w:val="00EF6C71"/>
    <w:rsid w:val="00F17524"/>
    <w:rsid w:val="00F30C3C"/>
    <w:rsid w:val="00F565D9"/>
    <w:rsid w:val="00F744C9"/>
    <w:rsid w:val="00FD320A"/>
    <w:rsid w:val="00FE7A79"/>
    <w:rsid w:val="00FF1FB3"/>
    <w:rsid w:val="00FF259F"/>
    <w:rsid w:val="016F30D6"/>
    <w:rsid w:val="01B25F42"/>
    <w:rsid w:val="0243248E"/>
    <w:rsid w:val="024F0203"/>
    <w:rsid w:val="02636041"/>
    <w:rsid w:val="02660728"/>
    <w:rsid w:val="02717954"/>
    <w:rsid w:val="027A5050"/>
    <w:rsid w:val="02907743"/>
    <w:rsid w:val="02924E8A"/>
    <w:rsid w:val="02BD4DB8"/>
    <w:rsid w:val="02D9466F"/>
    <w:rsid w:val="032132EB"/>
    <w:rsid w:val="03746BB0"/>
    <w:rsid w:val="03CC503B"/>
    <w:rsid w:val="03D96FAD"/>
    <w:rsid w:val="041E6AEE"/>
    <w:rsid w:val="043360A6"/>
    <w:rsid w:val="046B40C2"/>
    <w:rsid w:val="04733EC8"/>
    <w:rsid w:val="04772B5B"/>
    <w:rsid w:val="0489225D"/>
    <w:rsid w:val="04983FC9"/>
    <w:rsid w:val="04AD79D6"/>
    <w:rsid w:val="04F3372F"/>
    <w:rsid w:val="05425BA0"/>
    <w:rsid w:val="054B4432"/>
    <w:rsid w:val="059C0756"/>
    <w:rsid w:val="059C2F02"/>
    <w:rsid w:val="05AA2834"/>
    <w:rsid w:val="05CE1996"/>
    <w:rsid w:val="05D46B43"/>
    <w:rsid w:val="0610298E"/>
    <w:rsid w:val="062F656D"/>
    <w:rsid w:val="064414F2"/>
    <w:rsid w:val="064F5CD9"/>
    <w:rsid w:val="06570130"/>
    <w:rsid w:val="0679682F"/>
    <w:rsid w:val="07D932F6"/>
    <w:rsid w:val="08245355"/>
    <w:rsid w:val="083066C5"/>
    <w:rsid w:val="090F0BCC"/>
    <w:rsid w:val="094179D1"/>
    <w:rsid w:val="0970459F"/>
    <w:rsid w:val="09B67942"/>
    <w:rsid w:val="0A072AE8"/>
    <w:rsid w:val="0AB17D53"/>
    <w:rsid w:val="0AB22620"/>
    <w:rsid w:val="0B055D09"/>
    <w:rsid w:val="0B061901"/>
    <w:rsid w:val="0B113219"/>
    <w:rsid w:val="0B1B1698"/>
    <w:rsid w:val="0B220112"/>
    <w:rsid w:val="0B3E606B"/>
    <w:rsid w:val="0B7C2836"/>
    <w:rsid w:val="0B981BBE"/>
    <w:rsid w:val="0BBA2B09"/>
    <w:rsid w:val="0BE0120F"/>
    <w:rsid w:val="0BE73C7B"/>
    <w:rsid w:val="0C2114B3"/>
    <w:rsid w:val="0C7C0EEB"/>
    <w:rsid w:val="0C87191C"/>
    <w:rsid w:val="0C943096"/>
    <w:rsid w:val="0CB23434"/>
    <w:rsid w:val="0CD7537D"/>
    <w:rsid w:val="0CEE24CF"/>
    <w:rsid w:val="0D175A2D"/>
    <w:rsid w:val="0D1D7C13"/>
    <w:rsid w:val="0D5D2E34"/>
    <w:rsid w:val="0D785D74"/>
    <w:rsid w:val="0D8566B9"/>
    <w:rsid w:val="0DF7610C"/>
    <w:rsid w:val="0E0C4456"/>
    <w:rsid w:val="0E581E35"/>
    <w:rsid w:val="0EAF0A89"/>
    <w:rsid w:val="0EB61B83"/>
    <w:rsid w:val="0EC20863"/>
    <w:rsid w:val="0F2F474F"/>
    <w:rsid w:val="0F3044BB"/>
    <w:rsid w:val="0F3A566D"/>
    <w:rsid w:val="0F465C82"/>
    <w:rsid w:val="0F786275"/>
    <w:rsid w:val="0FD91284"/>
    <w:rsid w:val="0FE57D82"/>
    <w:rsid w:val="107A06C8"/>
    <w:rsid w:val="108E79D5"/>
    <w:rsid w:val="10CB47B8"/>
    <w:rsid w:val="10D543FB"/>
    <w:rsid w:val="10E02D49"/>
    <w:rsid w:val="112E24F4"/>
    <w:rsid w:val="11627740"/>
    <w:rsid w:val="117E17B7"/>
    <w:rsid w:val="11806E56"/>
    <w:rsid w:val="1182662D"/>
    <w:rsid w:val="11AE0D79"/>
    <w:rsid w:val="11B23E6C"/>
    <w:rsid w:val="120E1066"/>
    <w:rsid w:val="12271F66"/>
    <w:rsid w:val="125C4633"/>
    <w:rsid w:val="128152D7"/>
    <w:rsid w:val="129F626B"/>
    <w:rsid w:val="12C5536A"/>
    <w:rsid w:val="13543BD1"/>
    <w:rsid w:val="13963534"/>
    <w:rsid w:val="13B66DDF"/>
    <w:rsid w:val="140F3EEC"/>
    <w:rsid w:val="14393FFE"/>
    <w:rsid w:val="145B03DE"/>
    <w:rsid w:val="1485255E"/>
    <w:rsid w:val="148C2563"/>
    <w:rsid w:val="14AE7A20"/>
    <w:rsid w:val="14EC2AC5"/>
    <w:rsid w:val="14F808D6"/>
    <w:rsid w:val="14F97CF2"/>
    <w:rsid w:val="153554E4"/>
    <w:rsid w:val="15430A6D"/>
    <w:rsid w:val="161371FF"/>
    <w:rsid w:val="16544663"/>
    <w:rsid w:val="1662733E"/>
    <w:rsid w:val="16781ED5"/>
    <w:rsid w:val="16801F55"/>
    <w:rsid w:val="169E1311"/>
    <w:rsid w:val="16B22D20"/>
    <w:rsid w:val="16C94D9A"/>
    <w:rsid w:val="171603D9"/>
    <w:rsid w:val="172A5CF1"/>
    <w:rsid w:val="174B2162"/>
    <w:rsid w:val="1763697D"/>
    <w:rsid w:val="176F72FF"/>
    <w:rsid w:val="178F5CCF"/>
    <w:rsid w:val="179A7016"/>
    <w:rsid w:val="17CA2DA1"/>
    <w:rsid w:val="17EB7412"/>
    <w:rsid w:val="182B4E94"/>
    <w:rsid w:val="184D0A73"/>
    <w:rsid w:val="187F06D9"/>
    <w:rsid w:val="18BB45CA"/>
    <w:rsid w:val="18D277FB"/>
    <w:rsid w:val="19376FDF"/>
    <w:rsid w:val="194A0920"/>
    <w:rsid w:val="19570AFD"/>
    <w:rsid w:val="195851E0"/>
    <w:rsid w:val="196546A5"/>
    <w:rsid w:val="19762697"/>
    <w:rsid w:val="19AA21F3"/>
    <w:rsid w:val="19B2316A"/>
    <w:rsid w:val="1A654EEA"/>
    <w:rsid w:val="1A7D648A"/>
    <w:rsid w:val="1B00492F"/>
    <w:rsid w:val="1B193ECB"/>
    <w:rsid w:val="1B36442D"/>
    <w:rsid w:val="1B7B28BD"/>
    <w:rsid w:val="1B7C0354"/>
    <w:rsid w:val="1B8B4672"/>
    <w:rsid w:val="1B9F5F5A"/>
    <w:rsid w:val="1BA02CF5"/>
    <w:rsid w:val="1C0C4708"/>
    <w:rsid w:val="1CB40B02"/>
    <w:rsid w:val="1D024DF1"/>
    <w:rsid w:val="1D3E0695"/>
    <w:rsid w:val="1D4227D1"/>
    <w:rsid w:val="1D4F4140"/>
    <w:rsid w:val="1D533D72"/>
    <w:rsid w:val="1D6E67EB"/>
    <w:rsid w:val="1DA00A6C"/>
    <w:rsid w:val="1DF343D5"/>
    <w:rsid w:val="1E133A5B"/>
    <w:rsid w:val="1E153D43"/>
    <w:rsid w:val="1E6F157B"/>
    <w:rsid w:val="1EB44EA0"/>
    <w:rsid w:val="1EE978A8"/>
    <w:rsid w:val="1F0B34F7"/>
    <w:rsid w:val="1F337A5B"/>
    <w:rsid w:val="1F7164E8"/>
    <w:rsid w:val="1F7B7F45"/>
    <w:rsid w:val="1F8E4F65"/>
    <w:rsid w:val="1FDD138B"/>
    <w:rsid w:val="20561532"/>
    <w:rsid w:val="209A09D2"/>
    <w:rsid w:val="20DA6340"/>
    <w:rsid w:val="20E2085E"/>
    <w:rsid w:val="216D1A80"/>
    <w:rsid w:val="21844DA3"/>
    <w:rsid w:val="21FC4CF2"/>
    <w:rsid w:val="21FD4559"/>
    <w:rsid w:val="226245C0"/>
    <w:rsid w:val="22653B40"/>
    <w:rsid w:val="226D4828"/>
    <w:rsid w:val="22794E3A"/>
    <w:rsid w:val="2283745B"/>
    <w:rsid w:val="22995B80"/>
    <w:rsid w:val="22AF0E82"/>
    <w:rsid w:val="22C2079C"/>
    <w:rsid w:val="22F6626F"/>
    <w:rsid w:val="22FA4B26"/>
    <w:rsid w:val="230126E1"/>
    <w:rsid w:val="230246E8"/>
    <w:rsid w:val="230D692C"/>
    <w:rsid w:val="231D24E2"/>
    <w:rsid w:val="23893BC1"/>
    <w:rsid w:val="23B93D2F"/>
    <w:rsid w:val="23BB51AE"/>
    <w:rsid w:val="23C342BE"/>
    <w:rsid w:val="23CA13CA"/>
    <w:rsid w:val="23D466EC"/>
    <w:rsid w:val="24036EB0"/>
    <w:rsid w:val="24413FE5"/>
    <w:rsid w:val="24445C25"/>
    <w:rsid w:val="244F684E"/>
    <w:rsid w:val="24D40D42"/>
    <w:rsid w:val="24DA776E"/>
    <w:rsid w:val="24DB3B5E"/>
    <w:rsid w:val="24F0529E"/>
    <w:rsid w:val="253265B3"/>
    <w:rsid w:val="258A08E6"/>
    <w:rsid w:val="25C80ACC"/>
    <w:rsid w:val="25D4693B"/>
    <w:rsid w:val="25DA19A9"/>
    <w:rsid w:val="26305775"/>
    <w:rsid w:val="26711A20"/>
    <w:rsid w:val="26794573"/>
    <w:rsid w:val="268233FF"/>
    <w:rsid w:val="26860C0D"/>
    <w:rsid w:val="269036F1"/>
    <w:rsid w:val="27107C61"/>
    <w:rsid w:val="2789661B"/>
    <w:rsid w:val="27A73059"/>
    <w:rsid w:val="27A95568"/>
    <w:rsid w:val="27D537C4"/>
    <w:rsid w:val="28134FB8"/>
    <w:rsid w:val="2830034A"/>
    <w:rsid w:val="28453098"/>
    <w:rsid w:val="285757A5"/>
    <w:rsid w:val="291246EF"/>
    <w:rsid w:val="29221789"/>
    <w:rsid w:val="29234F2C"/>
    <w:rsid w:val="292C7AD1"/>
    <w:rsid w:val="29337280"/>
    <w:rsid w:val="294812FF"/>
    <w:rsid w:val="296B0E12"/>
    <w:rsid w:val="299F7072"/>
    <w:rsid w:val="2A013DFF"/>
    <w:rsid w:val="2A843FD0"/>
    <w:rsid w:val="2A9F4083"/>
    <w:rsid w:val="2AA42BF4"/>
    <w:rsid w:val="2AB32D88"/>
    <w:rsid w:val="2AD24E60"/>
    <w:rsid w:val="2B006AA7"/>
    <w:rsid w:val="2B276B60"/>
    <w:rsid w:val="2B3E168C"/>
    <w:rsid w:val="2BAE381F"/>
    <w:rsid w:val="2BED32B5"/>
    <w:rsid w:val="2C2361BF"/>
    <w:rsid w:val="2C4D13BD"/>
    <w:rsid w:val="2C610D41"/>
    <w:rsid w:val="2C8E0582"/>
    <w:rsid w:val="2D271EA2"/>
    <w:rsid w:val="2DBE6C04"/>
    <w:rsid w:val="2DC83BE4"/>
    <w:rsid w:val="2DE01850"/>
    <w:rsid w:val="2DFD2404"/>
    <w:rsid w:val="2E58797A"/>
    <w:rsid w:val="2E5D1D84"/>
    <w:rsid w:val="2E752195"/>
    <w:rsid w:val="2E956685"/>
    <w:rsid w:val="2EDA5F58"/>
    <w:rsid w:val="2EFA6C16"/>
    <w:rsid w:val="2F1C7D37"/>
    <w:rsid w:val="2F493801"/>
    <w:rsid w:val="2F495E77"/>
    <w:rsid w:val="2F9155A1"/>
    <w:rsid w:val="2F95633C"/>
    <w:rsid w:val="2F9B2A12"/>
    <w:rsid w:val="30525C61"/>
    <w:rsid w:val="312666C7"/>
    <w:rsid w:val="31274C34"/>
    <w:rsid w:val="316F6C40"/>
    <w:rsid w:val="317B732E"/>
    <w:rsid w:val="31A12530"/>
    <w:rsid w:val="31DF6FB1"/>
    <w:rsid w:val="31FA60A1"/>
    <w:rsid w:val="323A3657"/>
    <w:rsid w:val="324B4DF6"/>
    <w:rsid w:val="324E2471"/>
    <w:rsid w:val="328C6268"/>
    <w:rsid w:val="32BC044B"/>
    <w:rsid w:val="32D4074A"/>
    <w:rsid w:val="33205287"/>
    <w:rsid w:val="332D1C27"/>
    <w:rsid w:val="333E3843"/>
    <w:rsid w:val="334F1C01"/>
    <w:rsid w:val="33571316"/>
    <w:rsid w:val="337C19DF"/>
    <w:rsid w:val="33C855F8"/>
    <w:rsid w:val="33D745BC"/>
    <w:rsid w:val="33FB3F9F"/>
    <w:rsid w:val="34091BAB"/>
    <w:rsid w:val="343C3383"/>
    <w:rsid w:val="34615F63"/>
    <w:rsid w:val="347D3CDC"/>
    <w:rsid w:val="34DD1784"/>
    <w:rsid w:val="351A0A24"/>
    <w:rsid w:val="35210062"/>
    <w:rsid w:val="354949A9"/>
    <w:rsid w:val="357A1BF1"/>
    <w:rsid w:val="35881B85"/>
    <w:rsid w:val="358F5B38"/>
    <w:rsid w:val="359578F1"/>
    <w:rsid w:val="35CF73B5"/>
    <w:rsid w:val="362C6C8C"/>
    <w:rsid w:val="362E4AC4"/>
    <w:rsid w:val="364C43F7"/>
    <w:rsid w:val="364D3BA5"/>
    <w:rsid w:val="36B71F73"/>
    <w:rsid w:val="36D93C74"/>
    <w:rsid w:val="36E536FB"/>
    <w:rsid w:val="371C5B83"/>
    <w:rsid w:val="373B3D0A"/>
    <w:rsid w:val="375E12FD"/>
    <w:rsid w:val="37720441"/>
    <w:rsid w:val="37F14A0F"/>
    <w:rsid w:val="38001018"/>
    <w:rsid w:val="380827E2"/>
    <w:rsid w:val="380D6894"/>
    <w:rsid w:val="38311A38"/>
    <w:rsid w:val="385D2DBF"/>
    <w:rsid w:val="3884544C"/>
    <w:rsid w:val="388B20DE"/>
    <w:rsid w:val="3891616C"/>
    <w:rsid w:val="38A15B31"/>
    <w:rsid w:val="38AC5B60"/>
    <w:rsid w:val="38F51328"/>
    <w:rsid w:val="39375407"/>
    <w:rsid w:val="39496533"/>
    <w:rsid w:val="39610AE7"/>
    <w:rsid w:val="39631618"/>
    <w:rsid w:val="39767196"/>
    <w:rsid w:val="3984225C"/>
    <w:rsid w:val="39B41DEF"/>
    <w:rsid w:val="39C55F5F"/>
    <w:rsid w:val="39D32D58"/>
    <w:rsid w:val="39DC7721"/>
    <w:rsid w:val="3A1717E3"/>
    <w:rsid w:val="3A1B7E49"/>
    <w:rsid w:val="3A3624CF"/>
    <w:rsid w:val="3A4C0203"/>
    <w:rsid w:val="3A733B7C"/>
    <w:rsid w:val="3A90664C"/>
    <w:rsid w:val="3AC731CD"/>
    <w:rsid w:val="3AE77F4B"/>
    <w:rsid w:val="3B044E34"/>
    <w:rsid w:val="3B477937"/>
    <w:rsid w:val="3B713FA3"/>
    <w:rsid w:val="3C1A3ADF"/>
    <w:rsid w:val="3C333ECB"/>
    <w:rsid w:val="3C36274F"/>
    <w:rsid w:val="3C41538C"/>
    <w:rsid w:val="3C761390"/>
    <w:rsid w:val="3C843F28"/>
    <w:rsid w:val="3CC727F3"/>
    <w:rsid w:val="3CF32666"/>
    <w:rsid w:val="3CF96804"/>
    <w:rsid w:val="3CF96836"/>
    <w:rsid w:val="3D1E0825"/>
    <w:rsid w:val="3D2524FE"/>
    <w:rsid w:val="3D434687"/>
    <w:rsid w:val="3D5128E3"/>
    <w:rsid w:val="3D6D2C51"/>
    <w:rsid w:val="3D84219A"/>
    <w:rsid w:val="3DA608E9"/>
    <w:rsid w:val="3DE010E9"/>
    <w:rsid w:val="3E374C3E"/>
    <w:rsid w:val="3E3E44B6"/>
    <w:rsid w:val="3E735093"/>
    <w:rsid w:val="3E7B64D4"/>
    <w:rsid w:val="3E9308F3"/>
    <w:rsid w:val="3ECF069D"/>
    <w:rsid w:val="3ED8797D"/>
    <w:rsid w:val="3EF17161"/>
    <w:rsid w:val="3F5C463D"/>
    <w:rsid w:val="3F6636BC"/>
    <w:rsid w:val="3F9E348D"/>
    <w:rsid w:val="4078074D"/>
    <w:rsid w:val="40911E36"/>
    <w:rsid w:val="409E1C3E"/>
    <w:rsid w:val="40E437E4"/>
    <w:rsid w:val="411108EA"/>
    <w:rsid w:val="41142319"/>
    <w:rsid w:val="41346947"/>
    <w:rsid w:val="41476553"/>
    <w:rsid w:val="418C790F"/>
    <w:rsid w:val="41B14697"/>
    <w:rsid w:val="42163F56"/>
    <w:rsid w:val="42194654"/>
    <w:rsid w:val="42273E0B"/>
    <w:rsid w:val="422B0697"/>
    <w:rsid w:val="4239594E"/>
    <w:rsid w:val="424F0157"/>
    <w:rsid w:val="427B6293"/>
    <w:rsid w:val="42854318"/>
    <w:rsid w:val="42A33B7E"/>
    <w:rsid w:val="42C0416D"/>
    <w:rsid w:val="42C20766"/>
    <w:rsid w:val="42C22F8B"/>
    <w:rsid w:val="432D19A1"/>
    <w:rsid w:val="432F7565"/>
    <w:rsid w:val="43626C13"/>
    <w:rsid w:val="43D573A8"/>
    <w:rsid w:val="43E0153B"/>
    <w:rsid w:val="440344F2"/>
    <w:rsid w:val="440C62DB"/>
    <w:rsid w:val="4435527A"/>
    <w:rsid w:val="443F4A49"/>
    <w:rsid w:val="44487D16"/>
    <w:rsid w:val="4499407F"/>
    <w:rsid w:val="451F3D6F"/>
    <w:rsid w:val="457C2B26"/>
    <w:rsid w:val="45D80B17"/>
    <w:rsid w:val="461A3E23"/>
    <w:rsid w:val="465A6C64"/>
    <w:rsid w:val="469D45DA"/>
    <w:rsid w:val="46A61890"/>
    <w:rsid w:val="46AB7D06"/>
    <w:rsid w:val="46AC5FDD"/>
    <w:rsid w:val="46B27969"/>
    <w:rsid w:val="46C67D25"/>
    <w:rsid w:val="46D11CC6"/>
    <w:rsid w:val="46ED4E28"/>
    <w:rsid w:val="46F32585"/>
    <w:rsid w:val="470C7AB4"/>
    <w:rsid w:val="4750504E"/>
    <w:rsid w:val="475B0387"/>
    <w:rsid w:val="476E1521"/>
    <w:rsid w:val="4772538E"/>
    <w:rsid w:val="47772EDD"/>
    <w:rsid w:val="47792875"/>
    <w:rsid w:val="47813929"/>
    <w:rsid w:val="48205736"/>
    <w:rsid w:val="486575A4"/>
    <w:rsid w:val="48894D75"/>
    <w:rsid w:val="48FF2FB9"/>
    <w:rsid w:val="49583E32"/>
    <w:rsid w:val="495C41CA"/>
    <w:rsid w:val="497154D0"/>
    <w:rsid w:val="497C47A8"/>
    <w:rsid w:val="49BA4E13"/>
    <w:rsid w:val="49FC026D"/>
    <w:rsid w:val="4A830039"/>
    <w:rsid w:val="4A9E032A"/>
    <w:rsid w:val="4A9F227B"/>
    <w:rsid w:val="4AA67B0D"/>
    <w:rsid w:val="4AB73A6F"/>
    <w:rsid w:val="4AD13614"/>
    <w:rsid w:val="4AE41280"/>
    <w:rsid w:val="4B1E3117"/>
    <w:rsid w:val="4B4A546B"/>
    <w:rsid w:val="4B854E90"/>
    <w:rsid w:val="4B8A028D"/>
    <w:rsid w:val="4BD00314"/>
    <w:rsid w:val="4BDD3DC8"/>
    <w:rsid w:val="4C6D594C"/>
    <w:rsid w:val="4CA21E66"/>
    <w:rsid w:val="4D3F0D38"/>
    <w:rsid w:val="4D4B29D1"/>
    <w:rsid w:val="4D7C6EF3"/>
    <w:rsid w:val="4DBE503F"/>
    <w:rsid w:val="4DC72E4B"/>
    <w:rsid w:val="4DCD32D7"/>
    <w:rsid w:val="4DDD0317"/>
    <w:rsid w:val="4DF560B0"/>
    <w:rsid w:val="4E26044F"/>
    <w:rsid w:val="4E3801DD"/>
    <w:rsid w:val="4EEC137E"/>
    <w:rsid w:val="4FCA0CFB"/>
    <w:rsid w:val="4FEF0248"/>
    <w:rsid w:val="502B79E2"/>
    <w:rsid w:val="5032749E"/>
    <w:rsid w:val="5053545B"/>
    <w:rsid w:val="50667D30"/>
    <w:rsid w:val="50AB6D69"/>
    <w:rsid w:val="50BF744D"/>
    <w:rsid w:val="50DE5D3E"/>
    <w:rsid w:val="50F31A02"/>
    <w:rsid w:val="516321AC"/>
    <w:rsid w:val="51693DAB"/>
    <w:rsid w:val="517B43DA"/>
    <w:rsid w:val="51B150EA"/>
    <w:rsid w:val="51D17586"/>
    <w:rsid w:val="51ED160C"/>
    <w:rsid w:val="52040692"/>
    <w:rsid w:val="522E6685"/>
    <w:rsid w:val="523E6951"/>
    <w:rsid w:val="528226AA"/>
    <w:rsid w:val="52C00D6D"/>
    <w:rsid w:val="52FC3CED"/>
    <w:rsid w:val="52FE240D"/>
    <w:rsid w:val="530448F0"/>
    <w:rsid w:val="53197C70"/>
    <w:rsid w:val="53336F17"/>
    <w:rsid w:val="533C21CA"/>
    <w:rsid w:val="537E0E70"/>
    <w:rsid w:val="53FA0F82"/>
    <w:rsid w:val="54766D1D"/>
    <w:rsid w:val="54AC58D0"/>
    <w:rsid w:val="54AC5B86"/>
    <w:rsid w:val="550F29F4"/>
    <w:rsid w:val="56201220"/>
    <w:rsid w:val="56324EC8"/>
    <w:rsid w:val="56376974"/>
    <w:rsid w:val="56DB396B"/>
    <w:rsid w:val="570D6393"/>
    <w:rsid w:val="57471AF2"/>
    <w:rsid w:val="57586C18"/>
    <w:rsid w:val="575F2436"/>
    <w:rsid w:val="577C48E4"/>
    <w:rsid w:val="581026CC"/>
    <w:rsid w:val="58226C0A"/>
    <w:rsid w:val="583B7BE6"/>
    <w:rsid w:val="5845415A"/>
    <w:rsid w:val="58A01AA5"/>
    <w:rsid w:val="58D8057F"/>
    <w:rsid w:val="59121BA2"/>
    <w:rsid w:val="591E10ED"/>
    <w:rsid w:val="594B1E3F"/>
    <w:rsid w:val="597E49FD"/>
    <w:rsid w:val="597F6FB3"/>
    <w:rsid w:val="59993BAC"/>
    <w:rsid w:val="59DE31D4"/>
    <w:rsid w:val="59E32033"/>
    <w:rsid w:val="59E345DC"/>
    <w:rsid w:val="5A1330F5"/>
    <w:rsid w:val="5A2A3E2B"/>
    <w:rsid w:val="5A737E45"/>
    <w:rsid w:val="5AF91448"/>
    <w:rsid w:val="5AFF118D"/>
    <w:rsid w:val="5B556313"/>
    <w:rsid w:val="5B8A439F"/>
    <w:rsid w:val="5BB52E7B"/>
    <w:rsid w:val="5BB706C5"/>
    <w:rsid w:val="5C1608C6"/>
    <w:rsid w:val="5C30104B"/>
    <w:rsid w:val="5C3C18D5"/>
    <w:rsid w:val="5C50617A"/>
    <w:rsid w:val="5C687247"/>
    <w:rsid w:val="5C830C8E"/>
    <w:rsid w:val="5CB60023"/>
    <w:rsid w:val="5CE96DE2"/>
    <w:rsid w:val="5D202C76"/>
    <w:rsid w:val="5D2D58E8"/>
    <w:rsid w:val="5D5656C9"/>
    <w:rsid w:val="5DC91344"/>
    <w:rsid w:val="5DC968E9"/>
    <w:rsid w:val="5E444ABD"/>
    <w:rsid w:val="5E965F50"/>
    <w:rsid w:val="5ED66476"/>
    <w:rsid w:val="5F1B1F55"/>
    <w:rsid w:val="5F2F5B92"/>
    <w:rsid w:val="5F800F83"/>
    <w:rsid w:val="5FC27AD3"/>
    <w:rsid w:val="5FC35C6A"/>
    <w:rsid w:val="5FCB1FEB"/>
    <w:rsid w:val="5FCD1385"/>
    <w:rsid w:val="5FDB677B"/>
    <w:rsid w:val="5FF35F1B"/>
    <w:rsid w:val="60065CEB"/>
    <w:rsid w:val="603E4E4A"/>
    <w:rsid w:val="61884921"/>
    <w:rsid w:val="61A27D6C"/>
    <w:rsid w:val="61B56086"/>
    <w:rsid w:val="61B75521"/>
    <w:rsid w:val="61D61129"/>
    <w:rsid w:val="61E22F4F"/>
    <w:rsid w:val="62397486"/>
    <w:rsid w:val="626350A8"/>
    <w:rsid w:val="628F1237"/>
    <w:rsid w:val="62C57FCA"/>
    <w:rsid w:val="637F2E87"/>
    <w:rsid w:val="63BD417D"/>
    <w:rsid w:val="644F47B5"/>
    <w:rsid w:val="6450794C"/>
    <w:rsid w:val="645C05FE"/>
    <w:rsid w:val="649B6BBE"/>
    <w:rsid w:val="64C755E1"/>
    <w:rsid w:val="64DC4944"/>
    <w:rsid w:val="652D0F7A"/>
    <w:rsid w:val="65616D48"/>
    <w:rsid w:val="656236F1"/>
    <w:rsid w:val="65D4041A"/>
    <w:rsid w:val="65F22413"/>
    <w:rsid w:val="662A7BCF"/>
    <w:rsid w:val="662C243B"/>
    <w:rsid w:val="66524608"/>
    <w:rsid w:val="66606522"/>
    <w:rsid w:val="667C55D8"/>
    <w:rsid w:val="667F5D57"/>
    <w:rsid w:val="66A83600"/>
    <w:rsid w:val="66D8075B"/>
    <w:rsid w:val="672F5C93"/>
    <w:rsid w:val="67322B74"/>
    <w:rsid w:val="67764267"/>
    <w:rsid w:val="686F1F71"/>
    <w:rsid w:val="687F4BD8"/>
    <w:rsid w:val="688D4E23"/>
    <w:rsid w:val="68B040C6"/>
    <w:rsid w:val="68B2175D"/>
    <w:rsid w:val="68E60760"/>
    <w:rsid w:val="699C270A"/>
    <w:rsid w:val="69AD3D98"/>
    <w:rsid w:val="69B33775"/>
    <w:rsid w:val="6A0520AF"/>
    <w:rsid w:val="6A1E1849"/>
    <w:rsid w:val="6A373929"/>
    <w:rsid w:val="6A591A05"/>
    <w:rsid w:val="6AC453A0"/>
    <w:rsid w:val="6ACF0648"/>
    <w:rsid w:val="6AED2B35"/>
    <w:rsid w:val="6B0B183A"/>
    <w:rsid w:val="6B8D4787"/>
    <w:rsid w:val="6B960768"/>
    <w:rsid w:val="6BAA13A7"/>
    <w:rsid w:val="6BBA3356"/>
    <w:rsid w:val="6C1F1E80"/>
    <w:rsid w:val="6C2E66E6"/>
    <w:rsid w:val="6CF7202D"/>
    <w:rsid w:val="6D5D4B7B"/>
    <w:rsid w:val="6D6447CF"/>
    <w:rsid w:val="6D714B19"/>
    <w:rsid w:val="6DE53590"/>
    <w:rsid w:val="6E54554C"/>
    <w:rsid w:val="6E6704AF"/>
    <w:rsid w:val="6F0F589A"/>
    <w:rsid w:val="6F2122C3"/>
    <w:rsid w:val="6F4B31D7"/>
    <w:rsid w:val="6FCD2BA1"/>
    <w:rsid w:val="6FDA46F8"/>
    <w:rsid w:val="6FDC1509"/>
    <w:rsid w:val="6FFC1880"/>
    <w:rsid w:val="700372DF"/>
    <w:rsid w:val="702477BD"/>
    <w:rsid w:val="702A0FAA"/>
    <w:rsid w:val="70461351"/>
    <w:rsid w:val="705C26EE"/>
    <w:rsid w:val="70F63181"/>
    <w:rsid w:val="7145683E"/>
    <w:rsid w:val="71885B5D"/>
    <w:rsid w:val="71C25B44"/>
    <w:rsid w:val="71CB5EC8"/>
    <w:rsid w:val="7247369A"/>
    <w:rsid w:val="728A1BDC"/>
    <w:rsid w:val="72C2608A"/>
    <w:rsid w:val="72C83E2E"/>
    <w:rsid w:val="72D7515E"/>
    <w:rsid w:val="72E765E1"/>
    <w:rsid w:val="733D01E3"/>
    <w:rsid w:val="734037E1"/>
    <w:rsid w:val="73443C99"/>
    <w:rsid w:val="737675C7"/>
    <w:rsid w:val="74056FF2"/>
    <w:rsid w:val="741F7EEC"/>
    <w:rsid w:val="746A4F6C"/>
    <w:rsid w:val="748C04B6"/>
    <w:rsid w:val="74B47867"/>
    <w:rsid w:val="752112F9"/>
    <w:rsid w:val="756F424F"/>
    <w:rsid w:val="758B0F66"/>
    <w:rsid w:val="759B1A63"/>
    <w:rsid w:val="759E300A"/>
    <w:rsid w:val="75B45B76"/>
    <w:rsid w:val="75CC79C4"/>
    <w:rsid w:val="75DF2D82"/>
    <w:rsid w:val="75EC3CD2"/>
    <w:rsid w:val="76032751"/>
    <w:rsid w:val="76393D11"/>
    <w:rsid w:val="76DB64B9"/>
    <w:rsid w:val="76E261E3"/>
    <w:rsid w:val="7702147A"/>
    <w:rsid w:val="77241683"/>
    <w:rsid w:val="77261C60"/>
    <w:rsid w:val="7793013B"/>
    <w:rsid w:val="779332ED"/>
    <w:rsid w:val="77F4507D"/>
    <w:rsid w:val="780630E6"/>
    <w:rsid w:val="78294B08"/>
    <w:rsid w:val="782F111A"/>
    <w:rsid w:val="789E37C9"/>
    <w:rsid w:val="78B807C5"/>
    <w:rsid w:val="78D559CA"/>
    <w:rsid w:val="799553E0"/>
    <w:rsid w:val="79F31FE7"/>
    <w:rsid w:val="79FD3A31"/>
    <w:rsid w:val="7A247CA7"/>
    <w:rsid w:val="7A4876CA"/>
    <w:rsid w:val="7A840A82"/>
    <w:rsid w:val="7A910503"/>
    <w:rsid w:val="7AAB41D5"/>
    <w:rsid w:val="7BA6043B"/>
    <w:rsid w:val="7BA82478"/>
    <w:rsid w:val="7BB82865"/>
    <w:rsid w:val="7BBD20F5"/>
    <w:rsid w:val="7BCB532A"/>
    <w:rsid w:val="7C4674D9"/>
    <w:rsid w:val="7C537B7B"/>
    <w:rsid w:val="7C6D5E48"/>
    <w:rsid w:val="7CA53BBE"/>
    <w:rsid w:val="7CD46CB6"/>
    <w:rsid w:val="7D34480B"/>
    <w:rsid w:val="7D37602A"/>
    <w:rsid w:val="7DB47272"/>
    <w:rsid w:val="7DC3796A"/>
    <w:rsid w:val="7DDA57E3"/>
    <w:rsid w:val="7DE24EC5"/>
    <w:rsid w:val="7DFE17A9"/>
    <w:rsid w:val="7E986FAA"/>
    <w:rsid w:val="7EA05150"/>
    <w:rsid w:val="7EB160BF"/>
    <w:rsid w:val="7EBC0134"/>
    <w:rsid w:val="7EBD71B4"/>
    <w:rsid w:val="7F185121"/>
    <w:rsid w:val="7F1A1C37"/>
    <w:rsid w:val="7F292F49"/>
    <w:rsid w:val="7F801066"/>
    <w:rsid w:val="7FA55DF8"/>
    <w:rsid w:val="7FE7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outlineLvl w:val="0"/>
    </w:pPr>
    <w:rPr>
      <w:b/>
    </w:rPr>
  </w:style>
  <w:style w:type="paragraph" w:styleId="6">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widowControl/>
      <w:spacing w:line="360" w:lineRule="auto"/>
      <w:ind w:left="-358" w:leftChars="-128" w:firstLine="560" w:firstLineChars="200"/>
      <w:jc w:val="left"/>
    </w:pPr>
    <w:rPr>
      <w:rFonts w:ascii="Times New Roman" w:hAnsi="Times New Roman"/>
      <w:sz w:val="28"/>
    </w:rPr>
  </w:style>
  <w:style w:type="paragraph" w:styleId="3">
    <w:name w:val="Body Text Indent"/>
    <w:basedOn w:val="1"/>
    <w:next w:val="4"/>
    <w:qFormat/>
    <w:uiPriority w:val="0"/>
    <w:pPr>
      <w:spacing w:line="200" w:lineRule="exact"/>
      <w:ind w:firstLine="301"/>
    </w:pPr>
    <w:rPr>
      <w:rFonts w:ascii="宋体" w:hAnsi="Courier New"/>
      <w:spacing w:val="-4"/>
      <w:sz w:val="18"/>
      <w:szCs w:val="20"/>
    </w:rPr>
  </w:style>
  <w:style w:type="paragraph" w:customStyle="1" w:styleId="4">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7">
    <w:name w:val="annotation text"/>
    <w:basedOn w:val="1"/>
    <w:qFormat/>
    <w:uiPriority w:val="0"/>
    <w:pPr>
      <w:jc w:val="left"/>
    </w:pPr>
  </w:style>
  <w:style w:type="paragraph" w:styleId="8">
    <w:name w:val="Body Text 3"/>
    <w:basedOn w:val="1"/>
    <w:qFormat/>
    <w:uiPriority w:val="0"/>
    <w:pPr>
      <w:spacing w:line="500" w:lineRule="exact"/>
    </w:pPr>
    <w:rPr>
      <w:b/>
      <w:bCs/>
      <w:sz w:val="24"/>
    </w:rPr>
  </w:style>
  <w:style w:type="paragraph" w:styleId="9">
    <w:name w:val="Body Text"/>
    <w:basedOn w:val="1"/>
    <w:qFormat/>
    <w:uiPriority w:val="0"/>
    <w:pPr>
      <w:autoSpaceDE w:val="0"/>
      <w:autoSpaceDN w:val="0"/>
      <w:adjustRightInd w:val="0"/>
      <w:jc w:val="left"/>
    </w:pPr>
    <w:rPr>
      <w:rFonts w:ascii="宋体"/>
      <w:kern w:val="0"/>
      <w:sz w:val="34"/>
      <w:szCs w:val="20"/>
    </w:rPr>
  </w:style>
  <w:style w:type="paragraph" w:styleId="10">
    <w:name w:val="Plain Text"/>
    <w:basedOn w:val="1"/>
    <w:next w:val="1"/>
    <w:link w:val="51"/>
    <w:qFormat/>
    <w:uiPriority w:val="0"/>
    <w:rPr>
      <w:rFonts w:ascii="宋体" w:hAnsi="Courier New"/>
      <w:szCs w:val="20"/>
    </w:rPr>
  </w:style>
  <w:style w:type="paragraph" w:styleId="11">
    <w:name w:val="Date"/>
    <w:basedOn w:val="1"/>
    <w:next w:val="1"/>
    <w:qFormat/>
    <w:uiPriority w:val="0"/>
    <w:pPr>
      <w:ind w:left="100" w:leftChars="2500"/>
    </w:pPr>
    <w:rPr>
      <w:spacing w:val="30"/>
      <w:sz w:val="28"/>
    </w:rPr>
  </w:style>
  <w:style w:type="paragraph" w:styleId="12">
    <w:name w:val="footer"/>
    <w:basedOn w:val="1"/>
    <w:qFormat/>
    <w:uiPriority w:val="0"/>
    <w:pPr>
      <w:tabs>
        <w:tab w:val="center" w:pos="4153"/>
        <w:tab w:val="right" w:pos="8306"/>
      </w:tabs>
      <w:snapToGrid w:val="0"/>
      <w:jc w:val="left"/>
    </w:pPr>
    <w:rPr>
      <w:rFonts w:ascii="宋体" w:hAnsi="Courier New"/>
      <w:sz w:val="18"/>
      <w:szCs w:val="20"/>
    </w:rPr>
  </w:style>
  <w:style w:type="paragraph" w:styleId="13">
    <w:name w:val="envelope return"/>
    <w:basedOn w:val="1"/>
    <w:qFormat/>
    <w:uiPriority w:val="99"/>
    <w:pPr>
      <w:snapToGrid w:val="0"/>
    </w:pPr>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5">
    <w:name w:val="toc 1"/>
    <w:basedOn w:val="1"/>
    <w:next w:val="1"/>
    <w:qFormat/>
    <w:uiPriority w:val="0"/>
    <w:pPr>
      <w:tabs>
        <w:tab w:val="right" w:leader="dot" w:pos="9628"/>
      </w:tabs>
      <w:spacing w:line="640" w:lineRule="exact"/>
    </w:pPr>
    <w:rPr>
      <w:rFonts w:ascii="宋体" w:hAnsi="宋体" w:eastAsia="黑体"/>
      <w:b/>
      <w:color w:val="FF0000"/>
      <w:sz w:val="32"/>
      <w:szCs w:val="32"/>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Title"/>
    <w:basedOn w:val="1"/>
    <w:next w:val="1"/>
    <w:qFormat/>
    <w:uiPriority w:val="0"/>
    <w:pPr>
      <w:jc w:val="center"/>
    </w:pPr>
    <w:rPr>
      <w:rFonts w:ascii="Arial" w:hAnsi="Arial"/>
      <w:b/>
      <w:kern w:val="0"/>
      <w:sz w:val="36"/>
      <w:lang w:eastAsia="en-U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FollowedHyperlink"/>
    <w:basedOn w:val="20"/>
    <w:qFormat/>
    <w:uiPriority w:val="0"/>
    <w:rPr>
      <w:color w:val="333333"/>
      <w:u w:val="none"/>
    </w:rPr>
  </w:style>
  <w:style w:type="character" w:styleId="23">
    <w:name w:val="Emphasis"/>
    <w:basedOn w:val="20"/>
    <w:qFormat/>
    <w:uiPriority w:val="0"/>
  </w:style>
  <w:style w:type="character" w:styleId="24">
    <w:name w:val="HTML Definition"/>
    <w:basedOn w:val="20"/>
    <w:qFormat/>
    <w:uiPriority w:val="0"/>
  </w:style>
  <w:style w:type="character" w:styleId="25">
    <w:name w:val="HTML Acronym"/>
    <w:basedOn w:val="20"/>
    <w:qFormat/>
    <w:uiPriority w:val="0"/>
  </w:style>
  <w:style w:type="character" w:styleId="26">
    <w:name w:val="HTML Variable"/>
    <w:basedOn w:val="20"/>
    <w:qFormat/>
    <w:uiPriority w:val="0"/>
  </w:style>
  <w:style w:type="character" w:styleId="27">
    <w:name w:val="Hyperlink"/>
    <w:qFormat/>
    <w:uiPriority w:val="0"/>
    <w:rPr>
      <w:color w:val="0000FF"/>
      <w:u w:val="single"/>
    </w:rPr>
  </w:style>
  <w:style w:type="character" w:styleId="28">
    <w:name w:val="HTML Code"/>
    <w:basedOn w:val="20"/>
    <w:qFormat/>
    <w:uiPriority w:val="0"/>
    <w:rPr>
      <w:rFonts w:ascii="Courier New" w:hAnsi="Courier New"/>
      <w:color w:val="505050"/>
      <w:sz w:val="24"/>
      <w:szCs w:val="24"/>
    </w:rPr>
  </w:style>
  <w:style w:type="character" w:styleId="29">
    <w:name w:val="HTML Cite"/>
    <w:basedOn w:val="20"/>
    <w:qFormat/>
    <w:uiPriority w:val="0"/>
  </w:style>
  <w:style w:type="paragraph" w:customStyle="1" w:styleId="30">
    <w:name w:val="表格文字"/>
    <w:basedOn w:val="1"/>
    <w:qFormat/>
    <w:uiPriority w:val="0"/>
    <w:pPr>
      <w:jc w:val="left"/>
    </w:pPr>
    <w:rPr>
      <w:bCs/>
      <w:spacing w:val="10"/>
      <w:kern w:val="0"/>
      <w:sz w:val="24"/>
    </w:rPr>
  </w:style>
  <w:style w:type="paragraph" w:customStyle="1" w:styleId="31">
    <w:name w:val="列表段落1"/>
    <w:basedOn w:val="1"/>
    <w:qFormat/>
    <w:uiPriority w:val="0"/>
    <w:pPr>
      <w:ind w:firstLine="420" w:firstLineChars="200"/>
    </w:pPr>
  </w:style>
  <w:style w:type="paragraph" w:customStyle="1" w:styleId="32">
    <w:name w:val="正文-2字符首行缩进"/>
    <w:basedOn w:val="1"/>
    <w:qFormat/>
    <w:uiPriority w:val="0"/>
    <w:pPr>
      <w:spacing w:line="360" w:lineRule="auto"/>
      <w:ind w:firstLine="200" w:firstLineChars="200"/>
    </w:pPr>
    <w:rPr>
      <w:rFonts w:ascii="仿宋_GB2312" w:hAnsi="Calibri" w:eastAsia="仿宋_GB2312"/>
      <w:kern w:val="0"/>
      <w:sz w:val="28"/>
      <w:szCs w:val="22"/>
    </w:rPr>
  </w:style>
  <w:style w:type="paragraph" w:customStyle="1" w:styleId="33">
    <w:name w:val="_Style 4"/>
    <w:basedOn w:val="1"/>
    <w:qFormat/>
    <w:uiPriority w:val="0"/>
    <w:pPr>
      <w:ind w:firstLine="420" w:firstLineChars="200"/>
    </w:pPr>
    <w:rPr>
      <w:rFonts w:ascii="Calibri" w:hAnsi="Calibri"/>
      <w:szCs w:val="22"/>
    </w:rPr>
  </w:style>
  <w:style w:type="paragraph" w:customStyle="1" w:styleId="34">
    <w:name w:val="gb"/>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纯文本1"/>
    <w:basedOn w:val="1"/>
    <w:qFormat/>
    <w:uiPriority w:val="0"/>
    <w:pPr>
      <w:adjustRightInd w:val="0"/>
      <w:textAlignment w:val="baseline"/>
    </w:pPr>
    <w:rPr>
      <w:rFonts w:ascii="宋体" w:hAnsi="Courier New"/>
      <w:szCs w:val="20"/>
    </w:rPr>
  </w:style>
  <w:style w:type="character" w:customStyle="1" w:styleId="36">
    <w:name w:val="font41"/>
    <w:basedOn w:val="20"/>
    <w:qFormat/>
    <w:uiPriority w:val="0"/>
    <w:rPr>
      <w:rFonts w:hint="eastAsia" w:ascii="微软雅黑" w:hAnsi="微软雅黑" w:eastAsia="微软雅黑" w:cs="微软雅黑"/>
      <w:color w:val="000000"/>
      <w:sz w:val="22"/>
      <w:szCs w:val="22"/>
      <w:u w:val="none"/>
    </w:rPr>
  </w:style>
  <w:style w:type="character" w:customStyle="1" w:styleId="37">
    <w:name w:val="font51"/>
    <w:basedOn w:val="20"/>
    <w:qFormat/>
    <w:uiPriority w:val="0"/>
    <w:rPr>
      <w:rFonts w:hint="eastAsia" w:ascii="微软雅黑" w:hAnsi="微软雅黑" w:eastAsia="微软雅黑" w:cs="微软雅黑"/>
      <w:b/>
      <w:color w:val="000000"/>
      <w:sz w:val="22"/>
      <w:szCs w:val="22"/>
      <w:u w:val="none"/>
    </w:rPr>
  </w:style>
  <w:style w:type="character" w:customStyle="1" w:styleId="38">
    <w:name w:val="font61"/>
    <w:basedOn w:val="20"/>
    <w:qFormat/>
    <w:uiPriority w:val="0"/>
    <w:rPr>
      <w:rFonts w:ascii="宋体" w:hAnsi="宋体" w:eastAsia="宋体" w:cs="宋体"/>
      <w:color w:val="000000"/>
      <w:sz w:val="22"/>
      <w:szCs w:val="22"/>
      <w:u w:val="none"/>
    </w:rPr>
  </w:style>
  <w:style w:type="character" w:customStyle="1" w:styleId="39">
    <w:name w:val="font91"/>
    <w:basedOn w:val="20"/>
    <w:qFormat/>
    <w:uiPriority w:val="0"/>
    <w:rPr>
      <w:rFonts w:hint="eastAsia" w:ascii="微软雅黑" w:hAnsi="微软雅黑" w:eastAsia="微软雅黑" w:cs="微软雅黑"/>
      <w:color w:val="000000"/>
      <w:sz w:val="22"/>
      <w:szCs w:val="22"/>
      <w:u w:val="none"/>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Times New Roman" w:hAnsi="Times New Roman"/>
      <w:kern w:val="0"/>
      <w:szCs w:val="21"/>
    </w:rPr>
  </w:style>
  <w:style w:type="paragraph" w:customStyle="1" w:styleId="41">
    <w:name w:val="默认段落字体 Para Char Char Char Char Char Char Char Char Char1 Char Char Char Char"/>
    <w:basedOn w:val="1"/>
    <w:qFormat/>
    <w:uiPriority w:val="0"/>
    <w:rPr>
      <w:rFonts w:ascii="Tahoma" w:hAnsi="Tahoma"/>
      <w:sz w:val="24"/>
      <w:szCs w:val="20"/>
    </w:rPr>
  </w:style>
  <w:style w:type="character" w:customStyle="1" w:styleId="42">
    <w:name w:val="font31"/>
    <w:basedOn w:val="20"/>
    <w:qFormat/>
    <w:uiPriority w:val="0"/>
    <w:rPr>
      <w:rFonts w:hint="eastAsia" w:ascii="微软雅黑" w:hAnsi="微软雅黑" w:eastAsia="微软雅黑" w:cs="微软雅黑"/>
      <w:b/>
      <w:color w:val="000000"/>
      <w:sz w:val="22"/>
      <w:szCs w:val="22"/>
      <w:u w:val="none"/>
    </w:rPr>
  </w:style>
  <w:style w:type="character" w:customStyle="1" w:styleId="43">
    <w:name w:val="font101"/>
    <w:basedOn w:val="20"/>
    <w:qFormat/>
    <w:uiPriority w:val="0"/>
    <w:rPr>
      <w:rFonts w:ascii="宋体" w:hAnsi="宋体" w:eastAsia="宋体" w:cs="宋体"/>
      <w:color w:val="000000"/>
      <w:sz w:val="22"/>
      <w:szCs w:val="22"/>
      <w:u w:val="none"/>
    </w:rPr>
  </w:style>
  <w:style w:type="character" w:customStyle="1" w:styleId="44">
    <w:name w:val="font21"/>
    <w:basedOn w:val="20"/>
    <w:qFormat/>
    <w:uiPriority w:val="0"/>
    <w:rPr>
      <w:rFonts w:hint="eastAsia" w:ascii="微软雅黑" w:hAnsi="微软雅黑" w:eastAsia="微软雅黑" w:cs="微软雅黑"/>
      <w:color w:val="000000"/>
      <w:sz w:val="22"/>
      <w:szCs w:val="22"/>
      <w:u w:val="none"/>
    </w:rPr>
  </w:style>
  <w:style w:type="paragraph" w:customStyle="1" w:styleId="45">
    <w:name w:val="标4"/>
    <w:basedOn w:val="1"/>
    <w:qFormat/>
    <w:uiPriority w:val="99"/>
    <w:pPr>
      <w:adjustRightInd w:val="0"/>
      <w:spacing w:before="240" w:after="360" w:line="240" w:lineRule="exact"/>
      <w:outlineLvl w:val="3"/>
    </w:pPr>
    <w:rPr>
      <w:rFonts w:ascii="Arial" w:hAnsi="Arial" w:cs="Arial"/>
      <w:b/>
      <w:bCs/>
      <w:kern w:val="24"/>
      <w:szCs w:val="22"/>
    </w:rPr>
  </w:style>
  <w:style w:type="paragraph" w:customStyle="1" w:styleId="46">
    <w:name w:val="_Style 5"/>
    <w:basedOn w:val="1"/>
    <w:qFormat/>
    <w:uiPriority w:val="0"/>
    <w:pPr>
      <w:tabs>
        <w:tab w:val="left" w:pos="360"/>
      </w:tabs>
      <w:spacing w:line="360" w:lineRule="auto"/>
      <w:ind w:left="482" w:firstLine="200" w:firstLineChars="200"/>
    </w:pPr>
  </w:style>
  <w:style w:type="paragraph" w:customStyle="1" w:styleId="47">
    <w:name w:val="正文 A"/>
    <w:next w:val="30"/>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48">
    <w:name w:val="apple-converted-space"/>
    <w:basedOn w:val="20"/>
    <w:qFormat/>
    <w:uiPriority w:val="0"/>
    <w:rPr>
      <w:rFonts w:ascii="仿宋_GB2312" w:eastAsia="仿宋_GB2312"/>
      <w:b/>
      <w:sz w:val="32"/>
      <w:szCs w:val="32"/>
    </w:rPr>
  </w:style>
  <w:style w:type="paragraph" w:customStyle="1" w:styleId="4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纯文本2"/>
    <w:basedOn w:val="1"/>
    <w:qFormat/>
    <w:uiPriority w:val="0"/>
    <w:pPr>
      <w:adjustRightInd w:val="0"/>
      <w:jc w:val="left"/>
      <w:textAlignment w:val="baseline"/>
    </w:pPr>
    <w:rPr>
      <w:rFonts w:ascii="宋体" w:hAnsi="Courier New"/>
      <w:szCs w:val="20"/>
    </w:rPr>
  </w:style>
  <w:style w:type="character" w:customStyle="1" w:styleId="51">
    <w:name w:val="纯文本 Char"/>
    <w:link w:val="10"/>
    <w:qFormat/>
    <w:uiPriority w:val="0"/>
    <w:rPr>
      <w:rFonts w:ascii="宋体" w:hAnsi="Courier New" w:eastAsiaTheme="minorEastAsia" w:cstheme="minorBidi"/>
      <w:kern w:val="2"/>
      <w:sz w:val="21"/>
    </w:rPr>
  </w:style>
  <w:style w:type="character" w:customStyle="1" w:styleId="52">
    <w:name w:val="fontstyle01"/>
    <w:basedOn w:val="2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54</Pages>
  <Words>5402</Words>
  <Characters>30796</Characters>
  <Lines>256</Lines>
  <Paragraphs>72</Paragraphs>
  <TotalTime>1</TotalTime>
  <ScaleCrop>false</ScaleCrop>
  <LinksUpToDate>false</LinksUpToDate>
  <CharactersWithSpaces>36126</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2020-01-10T09:35:00Z</dcterms:created>
  <dc:creator>Administrator</dc:creator>
  <cp:lastModifiedBy>糊里糊涂</cp:lastModifiedBy>
  <cp:lastPrinted>2020-01-20T04:08:00Z</cp:lastPrinted>
  <dcterms:modified xsi:type="dcterms:W3CDTF">2020-09-18T09:55:27Z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