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04"/>
        </w:tabs>
        <w:jc w:val="left"/>
        <w:rPr>
          <w:rFonts w:ascii="宋体" w:cs="宋体"/>
        </w:rPr>
      </w:pPr>
    </w:p>
    <w:p>
      <w:pPr>
        <w:jc w:val="center"/>
        <w:rPr>
          <w:rFonts w:ascii="宋体" w:cs="宋体"/>
          <w:b/>
          <w:bCs/>
          <w:kern w:val="0"/>
          <w:sz w:val="52"/>
          <w:szCs w:val="52"/>
        </w:rPr>
      </w:pPr>
      <w:r>
        <w:rPr>
          <w:rFonts w:hint="eastAsia" w:ascii="宋体" w:hAnsi="宋体" w:cs="宋体"/>
          <w:b/>
          <w:bCs/>
          <w:kern w:val="0"/>
          <w:sz w:val="52"/>
          <w:szCs w:val="52"/>
        </w:rPr>
        <w:t>北京诚佳信工程管理有限公司</w:t>
      </w:r>
    </w:p>
    <w:p>
      <w:pPr>
        <w:rPr>
          <w:rFonts w:ascii="宋体" w:cs="宋体"/>
        </w:rPr>
      </w:pPr>
    </w:p>
    <w:p>
      <w:pPr>
        <w:rPr>
          <w:rFonts w:ascii="宋体" w:cs="宋体"/>
        </w:rPr>
      </w:pPr>
      <w:r>
        <w:pict>
          <v:line id="Line 5" o:spid="_x0000_s1026" o:spt="20" style="position:absolute;left:0pt;margin-left:0pt;margin-top:0pt;height:0pt;width:467.25pt;z-index:251656192;mso-width-relative:page;mso-height-relative:page;" coordsize="21600,21600" o:gfxdata="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J2xs7VAAAAAgEAAA8AAAAAAAAAAQAgAAAAIgAAAGRycy9kb3ducmV2Lnht&#10;bFBLAQIUABQAAAAIAIdO4kCMbThxwwEAAJQDAAAOAAAAAAAAAAEAIAAAACQBAABkcnMvZTJvRG9j&#10;LnhtbFBLBQYAAAAABgAGAFkBAABZBQAAAAA=&#10;">
            <v:path arrowok="t"/>
            <v:fill focussize="0,0"/>
            <v:stroke weight="4.5pt" linestyle="thinThick"/>
            <v:imagedata o:title=""/>
            <o:lock v:ext="edit"/>
          </v:line>
        </w:pict>
      </w:r>
    </w:p>
    <w:p>
      <w:pPr>
        <w:rPr>
          <w:rFonts w:ascii="宋体" w:cs="宋体"/>
        </w:rPr>
      </w:pPr>
    </w:p>
    <w:p>
      <w:pPr>
        <w:jc w:val="center"/>
        <w:rPr>
          <w:rFonts w:ascii="宋体" w:cs="宋体"/>
          <w:bCs/>
          <w:sz w:val="96"/>
          <w:szCs w:val="96"/>
        </w:rPr>
      </w:pPr>
    </w:p>
    <w:p>
      <w:pPr>
        <w:pStyle w:val="53"/>
        <w:rPr>
          <w:rFonts w:ascii="宋体" w:cs="宋体"/>
        </w:rPr>
      </w:pPr>
    </w:p>
    <w:p>
      <w:pPr>
        <w:jc w:val="center"/>
        <w:rPr>
          <w:rFonts w:ascii="宋体" w:cs="宋体"/>
          <w:sz w:val="96"/>
          <w:szCs w:val="96"/>
        </w:rPr>
      </w:pPr>
      <w:r>
        <w:rPr>
          <w:rFonts w:hint="eastAsia" w:ascii="宋体" w:hAnsi="宋体" w:cs="宋体"/>
          <w:bCs/>
          <w:sz w:val="96"/>
          <w:szCs w:val="96"/>
        </w:rPr>
        <w:t>竞争性磋商文件</w:t>
      </w:r>
    </w:p>
    <w:p>
      <w:pPr>
        <w:rPr>
          <w:rFonts w:ascii="宋体" w:cs="宋体"/>
        </w:rPr>
      </w:pPr>
    </w:p>
    <w:p>
      <w:pPr>
        <w:rPr>
          <w:rFonts w:ascii="宋体" w:cs="宋体"/>
          <w:sz w:val="28"/>
        </w:rPr>
      </w:pPr>
    </w:p>
    <w:p>
      <w:pPr>
        <w:pStyle w:val="53"/>
        <w:rPr>
          <w:rFonts w:ascii="宋体" w:cs="宋体"/>
        </w:rPr>
      </w:pPr>
    </w:p>
    <w:p>
      <w:pPr>
        <w:pStyle w:val="53"/>
        <w:rPr>
          <w:rFonts w:ascii="宋体" w:cs="宋体"/>
          <w:sz w:val="28"/>
        </w:rPr>
      </w:pPr>
    </w:p>
    <w:p>
      <w:pPr>
        <w:pStyle w:val="53"/>
        <w:rPr>
          <w:rFonts w:ascii="宋体" w:cs="宋体"/>
          <w:sz w:val="28"/>
        </w:rPr>
      </w:pPr>
    </w:p>
    <w:p>
      <w:pPr>
        <w:pStyle w:val="53"/>
        <w:rPr>
          <w:rFonts w:ascii="宋体" w:cs="宋体"/>
          <w:sz w:val="28"/>
        </w:rPr>
      </w:pPr>
    </w:p>
    <w:p>
      <w:pPr>
        <w:ind w:right="22"/>
        <w:rPr>
          <w:rFonts w:ascii="宋体" w:cs="宋体"/>
          <w:b/>
          <w:sz w:val="30"/>
          <w:szCs w:val="30"/>
        </w:rPr>
      </w:pPr>
    </w:p>
    <w:p>
      <w:pPr>
        <w:ind w:left="1293" w:leftChars="533" w:right="22" w:hanging="174" w:hangingChars="62"/>
        <w:jc w:val="left"/>
        <w:rPr>
          <w:rFonts w:ascii="宋体" w:cs="宋体"/>
          <w:b/>
          <w:sz w:val="28"/>
          <w:szCs w:val="28"/>
        </w:rPr>
      </w:pPr>
      <w:r>
        <w:rPr>
          <w:rFonts w:hint="eastAsia" w:ascii="宋体" w:hAnsi="宋体" w:cs="宋体"/>
          <w:b/>
          <w:sz w:val="28"/>
          <w:szCs w:val="28"/>
        </w:rPr>
        <w:t>项目名称：</w:t>
      </w:r>
      <w:r>
        <w:rPr>
          <w:rFonts w:hint="eastAsia" w:ascii="宋体" w:hAnsi="宋体" w:cs="宋体"/>
          <w:b/>
          <w:sz w:val="28"/>
          <w:szCs w:val="28"/>
          <w:lang w:eastAsia="zh-CN"/>
        </w:rPr>
        <w:t>电子病历应用水平分级评价四级建设项目</w:t>
      </w:r>
      <w:r>
        <w:rPr>
          <w:rFonts w:ascii="宋体" w:hAnsi="宋体" w:cs="宋体"/>
          <w:b/>
          <w:sz w:val="28"/>
          <w:szCs w:val="28"/>
        </w:rPr>
        <w:t xml:space="preserve">  </w:t>
      </w:r>
    </w:p>
    <w:p>
      <w:pPr>
        <w:ind w:left="2812" w:leftChars="675" w:right="22" w:hanging="1394" w:hangingChars="496"/>
        <w:jc w:val="left"/>
        <w:rPr>
          <w:rFonts w:ascii="宋体" w:cs="宋体"/>
          <w:b/>
          <w:sz w:val="28"/>
          <w:szCs w:val="28"/>
        </w:rPr>
      </w:pPr>
    </w:p>
    <w:p>
      <w:pPr>
        <w:ind w:right="22" w:firstLine="1124" w:firstLineChars="400"/>
        <w:rPr>
          <w:rFonts w:hint="eastAsia" w:ascii="宋体" w:eastAsia="宋体" w:cs="宋体"/>
          <w:b/>
          <w:sz w:val="28"/>
          <w:szCs w:val="28"/>
          <w:lang w:eastAsia="zh-CN"/>
        </w:rPr>
      </w:pPr>
      <w:r>
        <w:rPr>
          <w:rFonts w:hint="eastAsia" w:ascii="宋体" w:hAnsi="宋体" w:cs="宋体"/>
          <w:b/>
          <w:sz w:val="28"/>
          <w:szCs w:val="28"/>
        </w:rPr>
        <w:t>项目编号：</w:t>
      </w:r>
      <w:r>
        <w:rPr>
          <w:rFonts w:hint="eastAsia" w:ascii="宋体" w:hAnsi="宋体" w:cs="宋体"/>
          <w:b/>
          <w:sz w:val="28"/>
          <w:szCs w:val="28"/>
          <w:lang w:eastAsia="zh-CN"/>
        </w:rPr>
        <w:t>QZZC2020-C3-50058-CJXG</w:t>
      </w:r>
    </w:p>
    <w:p>
      <w:pPr>
        <w:pStyle w:val="53"/>
        <w:rPr>
          <w:rFonts w:ascii="宋体" w:cs="宋体"/>
        </w:rPr>
      </w:pPr>
    </w:p>
    <w:p>
      <w:pPr>
        <w:rPr>
          <w:rFonts w:ascii="宋体" w:cs="宋体"/>
          <w:sz w:val="28"/>
        </w:rPr>
      </w:pPr>
    </w:p>
    <w:p>
      <w:pPr>
        <w:pStyle w:val="53"/>
        <w:rPr>
          <w:rFonts w:ascii="宋体" w:cs="宋体"/>
        </w:rPr>
      </w:pPr>
    </w:p>
    <w:p>
      <w:pPr>
        <w:rPr>
          <w:rFonts w:ascii="宋体" w:cs="宋体"/>
          <w:b/>
          <w:sz w:val="28"/>
          <w:szCs w:val="28"/>
          <w:u w:val="single"/>
        </w:rPr>
      </w:pPr>
      <w:r>
        <w:rPr>
          <w:rFonts w:ascii="宋体" w:hAnsi="宋体" w:cs="宋体"/>
          <w:sz w:val="24"/>
        </w:rPr>
        <w:t xml:space="preserve">               </w:t>
      </w:r>
    </w:p>
    <w:p>
      <w:pPr>
        <w:spacing w:line="300" w:lineRule="exact"/>
        <w:rPr>
          <w:rFonts w:ascii="宋体" w:cs="宋体"/>
          <w:b/>
          <w:sz w:val="28"/>
          <w:szCs w:val="28"/>
          <w:u w:val="single"/>
        </w:rPr>
      </w:pPr>
    </w:p>
    <w:p>
      <w:pPr>
        <w:spacing w:line="300" w:lineRule="exact"/>
        <w:rPr>
          <w:rFonts w:ascii="宋体" w:cs="宋体"/>
          <w:b/>
          <w:sz w:val="28"/>
          <w:szCs w:val="28"/>
          <w:u w:val="single"/>
        </w:rPr>
      </w:pPr>
      <w:r>
        <w:pict>
          <v:line id="Line 6" o:spid="_x0000_s1027" o:spt="20" style="position:absolute;left:0pt;margin-left:-6.8pt;margin-top:14.5pt;height:0pt;width:467.25pt;z-index:251657216;mso-width-relative:page;mso-height-relative:page;" coordsize="21600,21600" o:gfxdata="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iJXS2QAAAAkBAAAPAAAAAAAAAAEAIAAAACIAAABkcnMvZG93bnJl&#10;di54bWxQSwECFAAUAAAACACHTuJADdgUgcMBAACUAwAADgAAAAAAAAABACAAAAAoAQAAZHJzL2Uy&#10;b0RvYy54bWxQSwUGAAAAAAYABgBZAQAAXQUAAAAA&#10;">
            <v:path arrowok="t"/>
            <v:fill focussize="0,0"/>
            <v:stroke weight="4.5pt" linestyle="thinThick"/>
            <v:imagedata o:title=""/>
            <o:lock v:ext="edit"/>
          </v:line>
        </w:pict>
      </w:r>
    </w:p>
    <w:p>
      <w:pPr>
        <w:rPr>
          <w:rFonts w:ascii="宋体" w:cs="宋体"/>
          <w:b/>
          <w:sz w:val="32"/>
          <w:szCs w:val="32"/>
        </w:rPr>
      </w:pPr>
    </w:p>
    <w:p>
      <w:pPr>
        <w:spacing w:line="480" w:lineRule="auto"/>
        <w:ind w:firstLine="1606" w:firstLineChars="500"/>
        <w:rPr>
          <w:rFonts w:ascii="宋体" w:cs="宋体"/>
          <w:b/>
          <w:sz w:val="32"/>
          <w:szCs w:val="32"/>
          <w:u w:val="single"/>
        </w:rPr>
      </w:pPr>
      <w:r>
        <w:rPr>
          <w:rFonts w:hint="eastAsia" w:ascii="宋体" w:hAnsi="宋体" w:cs="宋体"/>
          <w:b/>
          <w:sz w:val="32"/>
          <w:szCs w:val="32"/>
        </w:rPr>
        <w:t>采购单位：</w:t>
      </w:r>
      <w:r>
        <w:rPr>
          <w:rFonts w:hint="eastAsia" w:ascii="宋体" w:hAnsi="宋体" w:cs="宋体"/>
          <w:b/>
          <w:sz w:val="32"/>
          <w:szCs w:val="32"/>
          <w:lang w:eastAsia="zh-CN"/>
        </w:rPr>
        <w:t>灵山县中医医院</w:t>
      </w:r>
      <w:r>
        <w:rPr>
          <w:rFonts w:ascii="宋体" w:hAnsi="宋体" w:cs="宋体"/>
          <w:b/>
          <w:sz w:val="32"/>
          <w:szCs w:val="32"/>
        </w:rPr>
        <w:t xml:space="preserve"> </w:t>
      </w:r>
    </w:p>
    <w:p>
      <w:pPr>
        <w:spacing w:line="480" w:lineRule="auto"/>
        <w:jc w:val="center"/>
        <w:rPr>
          <w:rFonts w:ascii="宋体" w:cs="宋体"/>
          <w:b/>
          <w:sz w:val="32"/>
          <w:szCs w:val="32"/>
        </w:rPr>
      </w:pPr>
      <w:r>
        <w:rPr>
          <w:rFonts w:hint="eastAsia" w:ascii="宋体" w:hAnsi="宋体" w:cs="宋体"/>
          <w:b/>
          <w:sz w:val="32"/>
          <w:szCs w:val="32"/>
        </w:rPr>
        <w:t>采购代理机构：北京诚佳信工程管理有限公司</w:t>
      </w:r>
    </w:p>
    <w:p>
      <w:pPr>
        <w:spacing w:line="480" w:lineRule="auto"/>
        <w:jc w:val="center"/>
        <w:rPr>
          <w:rFonts w:ascii="宋体" w:cs="宋体"/>
          <w:b/>
          <w:sz w:val="32"/>
          <w:szCs w:val="32"/>
        </w:rPr>
        <w:sectPr>
          <w:headerReference r:id="rId4" w:type="first"/>
          <w:headerReference r:id="rId3" w:type="default"/>
          <w:footerReference r:id="rId5" w:type="even"/>
          <w:pgSz w:w="11906" w:h="16838"/>
          <w:pgMar w:top="1247" w:right="1361" w:bottom="1247" w:left="1361" w:header="680" w:footer="680" w:gutter="0"/>
          <w:pgNumType w:start="0"/>
          <w:cols w:space="720" w:num="1"/>
          <w:docGrid w:linePitch="331" w:charSpace="0"/>
        </w:sectPr>
      </w:pPr>
      <w:r>
        <w:rPr>
          <w:rFonts w:hint="eastAsia" w:ascii="宋体" w:hAnsi="宋体" w:cs="宋体"/>
          <w:b/>
          <w:sz w:val="32"/>
          <w:szCs w:val="32"/>
        </w:rPr>
        <w:t>二</w:t>
      </w:r>
      <w:r>
        <w:rPr>
          <w:rFonts w:ascii="宋体" w:hAnsi="宋体" w:cs="宋体"/>
          <w:b/>
          <w:sz w:val="32"/>
          <w:szCs w:val="32"/>
        </w:rPr>
        <w:t>O</w:t>
      </w:r>
      <w:r>
        <w:rPr>
          <w:rFonts w:hint="eastAsia" w:ascii="宋体" w:hAnsi="宋体" w:cs="宋体"/>
          <w:b/>
          <w:sz w:val="32"/>
          <w:szCs w:val="32"/>
        </w:rPr>
        <w:t>二</w:t>
      </w:r>
      <w:r>
        <w:rPr>
          <w:rFonts w:ascii="宋体" w:hAnsi="宋体" w:cs="宋体"/>
          <w:b/>
          <w:sz w:val="32"/>
          <w:szCs w:val="32"/>
        </w:rPr>
        <w:t>O</w:t>
      </w:r>
      <w:r>
        <w:rPr>
          <w:rFonts w:hint="eastAsia" w:ascii="宋体" w:hAnsi="宋体" w:cs="宋体"/>
          <w:b/>
          <w:sz w:val="32"/>
          <w:szCs w:val="32"/>
        </w:rPr>
        <w:t>年</w:t>
      </w:r>
      <w:r>
        <w:rPr>
          <w:rFonts w:hint="eastAsia" w:ascii="宋体" w:hAnsi="宋体" w:cs="宋体"/>
          <w:b/>
          <w:sz w:val="32"/>
          <w:szCs w:val="32"/>
          <w:lang w:eastAsia="zh-CN"/>
        </w:rPr>
        <w:t>十一</w:t>
      </w:r>
      <w:r>
        <w:rPr>
          <w:rFonts w:hint="eastAsia" w:ascii="宋体" w:hAnsi="宋体" w:cs="宋体"/>
          <w:b/>
          <w:sz w:val="32"/>
          <w:szCs w:val="32"/>
        </w:rPr>
        <w:t>月</w:t>
      </w:r>
    </w:p>
    <w:p>
      <w:pPr>
        <w:spacing w:line="480" w:lineRule="auto"/>
        <w:jc w:val="center"/>
        <w:rPr>
          <w:rFonts w:ascii="宋体" w:cs="宋体"/>
          <w:b/>
          <w:sz w:val="52"/>
          <w:szCs w:val="52"/>
        </w:rPr>
      </w:pPr>
      <w:r>
        <w:rPr>
          <w:rFonts w:hint="eastAsia" w:ascii="宋体" w:hAnsi="宋体" w:cs="宋体"/>
          <w:b/>
          <w:sz w:val="52"/>
          <w:szCs w:val="52"/>
        </w:rPr>
        <w:t>目</w:t>
      </w:r>
      <w:r>
        <w:rPr>
          <w:rFonts w:ascii="宋体" w:hAnsi="宋体" w:cs="宋体"/>
          <w:b/>
          <w:sz w:val="52"/>
          <w:szCs w:val="52"/>
        </w:rPr>
        <w:t xml:space="preserve">    </w:t>
      </w:r>
      <w:r>
        <w:rPr>
          <w:rFonts w:hint="eastAsia" w:ascii="宋体" w:hAnsi="宋体" w:cs="宋体"/>
          <w:b/>
          <w:sz w:val="52"/>
          <w:szCs w:val="52"/>
        </w:rPr>
        <w:t>录</w:t>
      </w:r>
    </w:p>
    <w:p>
      <w:pPr>
        <w:jc w:val="center"/>
        <w:rPr>
          <w:rFonts w:ascii="宋体" w:cs="宋体"/>
          <w:b/>
          <w:sz w:val="52"/>
          <w:szCs w:val="52"/>
        </w:rPr>
      </w:pPr>
    </w:p>
    <w:p>
      <w:pPr>
        <w:pStyle w:val="17"/>
        <w:tabs>
          <w:tab w:val="right" w:leader="dot" w:pos="9240"/>
          <w:tab w:val="clear" w:pos="9628"/>
        </w:tabs>
        <w:spacing w:line="800" w:lineRule="exact"/>
        <w:rPr>
          <w:rFonts w:eastAsia="宋体" w:cs="宋体"/>
          <w:color w:val="auto"/>
          <w:sz w:val="21"/>
          <w:szCs w:val="24"/>
        </w:rPr>
      </w:pPr>
      <w:r>
        <w:rPr>
          <w:rFonts w:eastAsia="宋体" w:cs="宋体"/>
          <w:color w:val="auto"/>
          <w:sz w:val="52"/>
          <w:szCs w:val="52"/>
        </w:rPr>
        <w:fldChar w:fldCharType="begin"/>
      </w:r>
      <w:r>
        <w:rPr>
          <w:rFonts w:eastAsia="宋体" w:cs="宋体"/>
          <w:color w:val="auto"/>
          <w:sz w:val="52"/>
          <w:szCs w:val="52"/>
        </w:rPr>
        <w:instrText xml:space="preserve"> TOC \o "1-3" \h \z \u </w:instrText>
      </w:r>
      <w:r>
        <w:rPr>
          <w:rFonts w:eastAsia="宋体" w:cs="宋体"/>
          <w:color w:val="auto"/>
          <w:sz w:val="52"/>
          <w:szCs w:val="52"/>
        </w:rPr>
        <w:fldChar w:fldCharType="separate"/>
      </w:r>
      <w:r>
        <w:fldChar w:fldCharType="begin"/>
      </w:r>
      <w:r>
        <w:instrText xml:space="preserve"> HYPERLINK \l "_Toc419886371" </w:instrText>
      </w:r>
      <w:r>
        <w:fldChar w:fldCharType="separate"/>
      </w:r>
      <w:r>
        <w:rPr>
          <w:rStyle w:val="32"/>
          <w:rFonts w:hint="eastAsia" w:eastAsia="宋体" w:cs="宋体"/>
          <w:b w:val="0"/>
          <w:color w:val="auto"/>
        </w:rPr>
        <w:t>第一章</w:t>
      </w:r>
      <w:r>
        <w:rPr>
          <w:rStyle w:val="32"/>
          <w:rFonts w:eastAsia="宋体" w:cs="宋体"/>
          <w:b w:val="0"/>
          <w:color w:val="auto"/>
        </w:rPr>
        <w:t xml:space="preserve">   </w:t>
      </w:r>
      <w:r>
        <w:rPr>
          <w:rStyle w:val="32"/>
          <w:rFonts w:hint="eastAsia" w:eastAsia="宋体" w:cs="宋体"/>
          <w:b w:val="0"/>
          <w:color w:val="auto"/>
        </w:rPr>
        <w:t>竞争性磋商公告</w:t>
      </w:r>
      <w:r>
        <w:rPr>
          <w:rFonts w:eastAsia="宋体" w:cs="宋体"/>
          <w:color w:val="auto"/>
        </w:rPr>
        <w:tab/>
      </w:r>
      <w:r>
        <w:rPr>
          <w:rFonts w:eastAsia="宋体" w:cs="宋体"/>
          <w:color w:val="auto"/>
        </w:rPr>
        <w:t>2</w:t>
      </w:r>
      <w:r>
        <w:rPr>
          <w:rFonts w:eastAsia="宋体" w:cs="宋体"/>
          <w:color w:val="auto"/>
        </w:rPr>
        <w:fldChar w:fldCharType="end"/>
      </w:r>
    </w:p>
    <w:p>
      <w:pPr>
        <w:pStyle w:val="17"/>
        <w:tabs>
          <w:tab w:val="right" w:leader="dot" w:pos="9240"/>
          <w:tab w:val="clear" w:pos="9628"/>
        </w:tabs>
        <w:spacing w:line="800" w:lineRule="exact"/>
        <w:rPr>
          <w:rFonts w:eastAsia="宋体" w:cs="宋体"/>
          <w:color w:val="auto"/>
          <w:sz w:val="21"/>
          <w:szCs w:val="24"/>
        </w:rPr>
      </w:pPr>
      <w:r>
        <w:fldChar w:fldCharType="begin"/>
      </w:r>
      <w:r>
        <w:instrText xml:space="preserve"> HYPERLINK \l "_Toc419886372" </w:instrText>
      </w:r>
      <w:r>
        <w:fldChar w:fldCharType="separate"/>
      </w:r>
      <w:r>
        <w:rPr>
          <w:rStyle w:val="32"/>
          <w:rFonts w:hint="eastAsia" w:eastAsia="宋体" w:cs="宋体"/>
          <w:b w:val="0"/>
          <w:color w:val="auto"/>
        </w:rPr>
        <w:t>第二章</w:t>
      </w:r>
      <w:r>
        <w:rPr>
          <w:rStyle w:val="32"/>
          <w:rFonts w:eastAsia="宋体" w:cs="宋体"/>
          <w:b w:val="0"/>
          <w:color w:val="auto"/>
        </w:rPr>
        <w:t xml:space="preserve">   </w:t>
      </w:r>
      <w:r>
        <w:rPr>
          <w:rStyle w:val="32"/>
          <w:rFonts w:hint="eastAsia" w:eastAsia="宋体" w:cs="宋体"/>
          <w:b w:val="0"/>
          <w:color w:val="auto"/>
        </w:rPr>
        <w:t>供应商须知前附表</w:t>
      </w:r>
      <w:r>
        <w:rPr>
          <w:rFonts w:eastAsia="宋体" w:cs="宋体"/>
          <w:color w:val="auto"/>
        </w:rPr>
        <w:tab/>
      </w:r>
      <w:r>
        <w:rPr>
          <w:rFonts w:eastAsia="宋体" w:cs="宋体"/>
          <w:color w:val="auto"/>
        </w:rPr>
        <w:t>4</w:t>
      </w:r>
      <w:r>
        <w:rPr>
          <w:rFonts w:eastAsia="宋体" w:cs="宋体"/>
          <w:color w:val="auto"/>
        </w:rPr>
        <w:fldChar w:fldCharType="end"/>
      </w:r>
    </w:p>
    <w:p>
      <w:pPr>
        <w:pStyle w:val="17"/>
        <w:tabs>
          <w:tab w:val="right" w:leader="dot" w:pos="9240"/>
          <w:tab w:val="clear" w:pos="9628"/>
        </w:tabs>
        <w:spacing w:line="800" w:lineRule="exact"/>
        <w:rPr>
          <w:rFonts w:eastAsia="宋体" w:cs="宋体"/>
          <w:color w:val="auto"/>
          <w:sz w:val="21"/>
          <w:szCs w:val="24"/>
        </w:rPr>
      </w:pPr>
      <w:r>
        <w:fldChar w:fldCharType="begin"/>
      </w:r>
      <w:r>
        <w:instrText xml:space="preserve"> HYPERLINK \l "_Toc419886373" </w:instrText>
      </w:r>
      <w:r>
        <w:fldChar w:fldCharType="separate"/>
      </w:r>
      <w:r>
        <w:rPr>
          <w:rStyle w:val="32"/>
          <w:rFonts w:hint="eastAsia" w:eastAsia="宋体" w:cs="宋体"/>
          <w:b w:val="0"/>
          <w:color w:val="auto"/>
        </w:rPr>
        <w:t>第三章</w:t>
      </w:r>
      <w:r>
        <w:rPr>
          <w:rStyle w:val="32"/>
          <w:rFonts w:eastAsia="宋体" w:cs="宋体"/>
          <w:b w:val="0"/>
          <w:color w:val="auto"/>
        </w:rPr>
        <w:t xml:space="preserve">   </w:t>
      </w:r>
      <w:r>
        <w:rPr>
          <w:rStyle w:val="32"/>
          <w:rFonts w:hint="eastAsia" w:eastAsia="宋体" w:cs="宋体"/>
          <w:b w:val="0"/>
          <w:color w:val="auto"/>
        </w:rPr>
        <w:t>项目需求一览表</w:t>
      </w:r>
      <w:r>
        <w:rPr>
          <w:rFonts w:eastAsia="宋体" w:cs="宋体"/>
          <w:color w:val="auto"/>
        </w:rPr>
        <w:tab/>
      </w:r>
      <w:r>
        <w:rPr>
          <w:rFonts w:eastAsia="宋体" w:cs="宋体"/>
          <w:color w:val="auto"/>
        </w:rPr>
        <w:t>1</w:t>
      </w:r>
      <w:r>
        <w:rPr>
          <w:rFonts w:eastAsia="宋体" w:cs="宋体"/>
          <w:color w:val="auto"/>
        </w:rPr>
        <w:fldChar w:fldCharType="end"/>
      </w:r>
      <w:r>
        <w:rPr>
          <w:rFonts w:eastAsia="宋体" w:cs="宋体"/>
          <w:color w:val="auto"/>
        </w:rPr>
        <w:t>5</w:t>
      </w:r>
    </w:p>
    <w:p>
      <w:pPr>
        <w:pStyle w:val="17"/>
        <w:tabs>
          <w:tab w:val="right" w:leader="dot" w:pos="9240"/>
          <w:tab w:val="clear" w:pos="9628"/>
        </w:tabs>
        <w:spacing w:line="800" w:lineRule="exact"/>
        <w:rPr>
          <w:rFonts w:eastAsia="宋体" w:cs="宋体"/>
          <w:color w:val="auto"/>
        </w:rPr>
      </w:pPr>
      <w:r>
        <w:fldChar w:fldCharType="begin"/>
      </w:r>
      <w:r>
        <w:instrText xml:space="preserve"> HYPERLINK \l "_Toc419886376" </w:instrText>
      </w:r>
      <w:r>
        <w:fldChar w:fldCharType="separate"/>
      </w:r>
      <w:r>
        <w:rPr>
          <w:rStyle w:val="32"/>
          <w:rFonts w:hint="eastAsia" w:eastAsia="宋体" w:cs="宋体"/>
          <w:b w:val="0"/>
          <w:color w:val="auto"/>
        </w:rPr>
        <w:t>第四章</w:t>
      </w:r>
      <w:r>
        <w:rPr>
          <w:rStyle w:val="32"/>
          <w:rFonts w:eastAsia="宋体" w:cs="宋体"/>
          <w:b w:val="0"/>
          <w:color w:val="auto"/>
        </w:rPr>
        <w:t xml:space="preserve">   </w:t>
      </w:r>
      <w:r>
        <w:rPr>
          <w:rStyle w:val="32"/>
          <w:rFonts w:hint="eastAsia" w:eastAsia="宋体" w:cs="宋体"/>
          <w:b w:val="0"/>
          <w:color w:val="auto"/>
        </w:rPr>
        <w:t>响应文件格式</w:t>
      </w:r>
      <w:r>
        <w:rPr>
          <w:rFonts w:eastAsia="宋体" w:cs="宋体"/>
          <w:color w:val="auto"/>
        </w:rPr>
        <w:tab/>
      </w:r>
      <w:r>
        <w:rPr>
          <w:rFonts w:eastAsia="宋体" w:cs="宋体"/>
          <w:color w:val="auto"/>
        </w:rPr>
        <w:fldChar w:fldCharType="end"/>
      </w:r>
      <w:r>
        <w:rPr>
          <w:rFonts w:hint="eastAsia" w:eastAsia="宋体" w:cs="宋体"/>
          <w:color w:val="auto"/>
          <w:lang w:val="en-US" w:eastAsia="zh-CN"/>
        </w:rPr>
        <w:t>25</w:t>
      </w:r>
      <w:r>
        <w:rPr>
          <w:rFonts w:eastAsia="宋体" w:cs="宋体"/>
          <w:color w:val="auto"/>
        </w:rPr>
        <w:t xml:space="preserve"> </w:t>
      </w:r>
    </w:p>
    <w:p>
      <w:pPr>
        <w:pStyle w:val="17"/>
        <w:tabs>
          <w:tab w:val="right" w:leader="dot" w:pos="9240"/>
          <w:tab w:val="clear" w:pos="9628"/>
        </w:tabs>
        <w:spacing w:line="800" w:lineRule="exact"/>
        <w:rPr>
          <w:rFonts w:eastAsia="宋体" w:cs="宋体"/>
          <w:color w:val="auto"/>
          <w:sz w:val="21"/>
          <w:szCs w:val="24"/>
        </w:rPr>
      </w:pPr>
      <w:r>
        <w:fldChar w:fldCharType="begin"/>
      </w:r>
      <w:r>
        <w:instrText xml:space="preserve"> HYPERLINK \l "_Toc419886388" </w:instrText>
      </w:r>
      <w:r>
        <w:fldChar w:fldCharType="separate"/>
      </w:r>
      <w:r>
        <w:rPr>
          <w:rStyle w:val="32"/>
          <w:rFonts w:hint="eastAsia" w:eastAsia="宋体" w:cs="宋体"/>
          <w:b w:val="0"/>
          <w:color w:val="auto"/>
        </w:rPr>
        <w:t>第五章</w:t>
      </w:r>
      <w:r>
        <w:rPr>
          <w:rStyle w:val="32"/>
          <w:rFonts w:eastAsia="宋体" w:cs="宋体"/>
          <w:b w:val="0"/>
          <w:color w:val="auto"/>
        </w:rPr>
        <w:t xml:space="preserve">   </w:t>
      </w:r>
      <w:r>
        <w:rPr>
          <w:rStyle w:val="32"/>
          <w:rFonts w:hint="eastAsia" w:eastAsia="宋体" w:cs="宋体"/>
          <w:b w:val="0"/>
          <w:color w:val="auto"/>
        </w:rPr>
        <w:t>合同</w:t>
      </w:r>
      <w:bookmarkStart w:id="0" w:name="_Hlt470517311"/>
      <w:r>
        <w:rPr>
          <w:rStyle w:val="32"/>
          <w:rFonts w:hint="eastAsia" w:eastAsia="宋体" w:cs="宋体"/>
          <w:b w:val="0"/>
          <w:color w:val="auto"/>
        </w:rPr>
        <w:t>条</w:t>
      </w:r>
      <w:bookmarkEnd w:id="0"/>
      <w:r>
        <w:rPr>
          <w:rStyle w:val="32"/>
          <w:rFonts w:hint="eastAsia" w:eastAsia="宋体" w:cs="宋体"/>
          <w:b w:val="0"/>
          <w:color w:val="auto"/>
        </w:rPr>
        <w:t>款（格式）</w:t>
      </w:r>
      <w:r>
        <w:rPr>
          <w:rFonts w:eastAsia="宋体" w:cs="宋体"/>
          <w:color w:val="auto"/>
        </w:rPr>
        <w:tab/>
      </w:r>
      <w:r>
        <w:rPr>
          <w:rFonts w:eastAsia="宋体" w:cs="宋体"/>
          <w:color w:val="auto"/>
        </w:rPr>
        <w:fldChar w:fldCharType="end"/>
      </w:r>
      <w:r>
        <w:rPr>
          <w:rFonts w:hint="eastAsia" w:eastAsia="宋体" w:cs="宋体"/>
          <w:color w:val="auto"/>
          <w:lang w:val="en-US" w:eastAsia="zh-CN"/>
        </w:rPr>
        <w:t>33</w:t>
      </w:r>
      <w:r>
        <w:rPr>
          <w:rFonts w:eastAsia="宋体" w:cs="宋体"/>
          <w:color w:val="auto"/>
        </w:rPr>
        <w:t xml:space="preserve"> </w:t>
      </w:r>
    </w:p>
    <w:p>
      <w:pPr>
        <w:pStyle w:val="17"/>
        <w:tabs>
          <w:tab w:val="right" w:leader="dot" w:pos="9240"/>
          <w:tab w:val="clear" w:pos="9628"/>
        </w:tabs>
        <w:spacing w:line="800" w:lineRule="exact"/>
        <w:rPr>
          <w:rStyle w:val="32"/>
          <w:rFonts w:eastAsia="宋体" w:cs="宋体"/>
          <w:color w:val="auto"/>
        </w:rPr>
      </w:pPr>
      <w:r>
        <w:fldChar w:fldCharType="begin"/>
      </w:r>
      <w:r>
        <w:instrText xml:space="preserve"> HYPERLINK \l "_Toc419886413" </w:instrText>
      </w:r>
      <w:r>
        <w:fldChar w:fldCharType="separate"/>
      </w:r>
      <w:r>
        <w:rPr>
          <w:rStyle w:val="32"/>
          <w:rFonts w:hint="eastAsia" w:eastAsia="宋体" w:cs="宋体"/>
          <w:b w:val="0"/>
          <w:color w:val="auto"/>
        </w:rPr>
        <w:t>第六章</w:t>
      </w:r>
      <w:r>
        <w:rPr>
          <w:rStyle w:val="32"/>
          <w:rFonts w:eastAsia="宋体" w:cs="宋体"/>
          <w:b w:val="0"/>
          <w:color w:val="auto"/>
        </w:rPr>
        <w:t xml:space="preserve">   </w:t>
      </w:r>
      <w:r>
        <w:rPr>
          <w:rStyle w:val="32"/>
          <w:rFonts w:hint="eastAsia" w:eastAsia="宋体" w:cs="宋体"/>
          <w:b w:val="0"/>
          <w:color w:val="auto"/>
        </w:rPr>
        <w:t>评审办法</w:t>
      </w:r>
      <w:r>
        <w:rPr>
          <w:rFonts w:eastAsia="宋体" w:cs="宋体"/>
          <w:color w:val="auto"/>
        </w:rPr>
        <w:tab/>
      </w:r>
      <w:r>
        <w:rPr>
          <w:rFonts w:eastAsia="宋体" w:cs="宋体"/>
          <w:color w:val="auto"/>
        </w:rPr>
        <w:fldChar w:fldCharType="end"/>
      </w:r>
      <w:r>
        <w:rPr>
          <w:rFonts w:eastAsia="宋体" w:cs="宋体"/>
          <w:color w:val="auto"/>
          <w:sz w:val="52"/>
          <w:szCs w:val="52"/>
        </w:rPr>
        <w:fldChar w:fldCharType="end"/>
      </w:r>
      <w:r>
        <w:rPr>
          <w:rFonts w:hint="eastAsia" w:eastAsia="宋体" w:cs="宋体"/>
          <w:color w:val="auto"/>
          <w:lang w:val="en-US" w:eastAsia="zh-CN"/>
        </w:rPr>
        <w:t>40</w:t>
      </w:r>
      <w:r>
        <w:rPr>
          <w:rFonts w:eastAsia="宋体" w:cs="宋体"/>
          <w:color w:val="auto"/>
        </w:rPr>
        <w:t xml:space="preserve"> </w:t>
      </w:r>
    </w:p>
    <w:p>
      <w:pPr>
        <w:pStyle w:val="12"/>
        <w:spacing w:line="700" w:lineRule="exact"/>
        <w:rPr>
          <w:rFonts w:hAnsi="宋体" w:cs="宋体"/>
        </w:rPr>
      </w:pPr>
    </w:p>
    <w:p>
      <w:pPr>
        <w:pStyle w:val="12"/>
        <w:spacing w:line="700" w:lineRule="exact"/>
        <w:rPr>
          <w:rFonts w:hAnsi="宋体" w:cs="宋体"/>
        </w:rPr>
      </w:pPr>
    </w:p>
    <w:p>
      <w:pPr>
        <w:pStyle w:val="12"/>
        <w:spacing w:line="700" w:lineRule="exact"/>
        <w:rPr>
          <w:rFonts w:hAnsi="宋体" w:cs="宋体"/>
        </w:rPr>
      </w:pPr>
      <w:bookmarkStart w:id="51" w:name="_GoBack"/>
      <w:bookmarkEnd w:id="51"/>
    </w:p>
    <w:p>
      <w:pPr>
        <w:spacing w:line="160" w:lineRule="exact"/>
        <w:rPr>
          <w:rFonts w:ascii="宋体" w:cs="宋体"/>
          <w:b/>
          <w:bCs/>
        </w:rPr>
      </w:pPr>
      <w:r>
        <w:rPr>
          <w:rFonts w:ascii="宋体" w:cs="宋体"/>
          <w:sz w:val="36"/>
        </w:rPr>
        <w:br w:type="page"/>
      </w:r>
    </w:p>
    <w:p>
      <w:pPr>
        <w:spacing w:line="360" w:lineRule="auto"/>
        <w:jc w:val="center"/>
        <w:outlineLvl w:val="0"/>
        <w:rPr>
          <w:rFonts w:ascii="宋体" w:cs="宋体"/>
          <w:b/>
          <w:sz w:val="28"/>
          <w:szCs w:val="28"/>
        </w:rPr>
      </w:pPr>
      <w:bookmarkStart w:id="1" w:name="_Toc419886371"/>
      <w:r>
        <w:rPr>
          <w:rFonts w:hint="eastAsia" w:ascii="宋体" w:hAnsi="宋体" w:cs="宋体"/>
          <w:b/>
          <w:sz w:val="28"/>
          <w:szCs w:val="28"/>
        </w:rPr>
        <w:t>第一章</w:t>
      </w:r>
      <w:r>
        <w:rPr>
          <w:rFonts w:ascii="宋体" w:hAnsi="宋体" w:cs="宋体"/>
          <w:b/>
          <w:sz w:val="28"/>
          <w:szCs w:val="28"/>
        </w:rPr>
        <w:t xml:space="preserve">  </w:t>
      </w:r>
      <w:r>
        <w:rPr>
          <w:rFonts w:hint="eastAsia" w:ascii="宋体" w:hAnsi="宋体" w:cs="宋体"/>
          <w:b/>
          <w:sz w:val="28"/>
          <w:szCs w:val="28"/>
        </w:rPr>
        <w:t>竞争性磋商</w:t>
      </w:r>
      <w:bookmarkEnd w:id="1"/>
      <w:r>
        <w:rPr>
          <w:rFonts w:hint="eastAsia" w:ascii="宋体" w:hAnsi="宋体" w:cs="宋体"/>
          <w:b/>
          <w:sz w:val="28"/>
          <w:szCs w:val="28"/>
        </w:rPr>
        <w:t>公告</w:t>
      </w:r>
    </w:p>
    <w:p>
      <w:pPr>
        <w:spacing w:line="400" w:lineRule="exact"/>
        <w:jc w:val="center"/>
        <w:rPr>
          <w:rFonts w:ascii="宋体" w:cs="宋体"/>
          <w:b/>
          <w:color w:val="auto"/>
          <w:kern w:val="2"/>
          <w:sz w:val="22"/>
          <w:szCs w:val="22"/>
        </w:rPr>
      </w:pPr>
      <w:r>
        <w:pict>
          <v:rect id="_x0000_s1030" o:spid="_x0000_s1030" o:spt="1" style="position:absolute;left:0pt;margin-left:-1.35pt;margin-top:37.3pt;height:76.3pt;width:463.75pt;z-index:-251657216;v-text-anchor:middle;mso-width-relative:page;mso-height-relative:page;" fillcolor="#FFFFFF" filled="t" stroked="t" coordsize="21600,21600" o:gfxdata="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Qyjk9cAAAAJAQAADwAAAAAAAAABACAAAAAiAAAAZHJzL2Rvd25yZXYueG1sUEsBAhQAFAAA&#10;AAgAh07iQC6Jsf5iAgAAvwQAAA4AAAAAAAAAAQAgAAAAJgEAAGRycy9lMm9Eb2MueG1sUEsFBgAA&#10;AAAGAAYAWQEAAPoFAAAAAA==&#10;">
            <v:path/>
            <v:fill on="t" color2="#FFFFFF" focussize="0,0"/>
            <v:stroke weight="1pt" color="#000000" joinstyle="miter"/>
            <v:imagedata o:title=""/>
            <o:lock v:ext="edit" aspectratio="f"/>
          </v:rect>
        </w:pict>
      </w:r>
      <w:r>
        <w:rPr>
          <w:rFonts w:hint="eastAsia" w:ascii="宋体" w:hAnsi="宋体" w:cs="宋体"/>
          <w:b/>
          <w:sz w:val="28"/>
          <w:szCs w:val="28"/>
        </w:rPr>
        <w:t>北京诚佳信工程管理有限公司关于</w:t>
      </w:r>
      <w:r>
        <w:rPr>
          <w:rFonts w:hint="eastAsia" w:ascii="宋体" w:hAnsi="宋体" w:cs="宋体"/>
          <w:b/>
          <w:sz w:val="28"/>
          <w:szCs w:val="28"/>
          <w:lang w:eastAsia="zh-CN"/>
        </w:rPr>
        <w:t>电子病历应用水平分级评价四级建设项目</w:t>
      </w:r>
      <w:r>
        <w:rPr>
          <w:rFonts w:hint="eastAsia" w:ascii="宋体" w:hAnsi="宋体" w:cs="宋体"/>
          <w:b/>
          <w:sz w:val="28"/>
          <w:szCs w:val="28"/>
        </w:rPr>
        <w:t>（项目编号：</w:t>
      </w:r>
      <w:r>
        <w:rPr>
          <w:rFonts w:hint="eastAsia" w:ascii="宋体" w:hAnsi="宋体" w:cs="宋体"/>
          <w:b/>
          <w:sz w:val="28"/>
          <w:szCs w:val="28"/>
          <w:lang w:eastAsia="zh-CN"/>
        </w:rPr>
        <w:t>QZZC2020-C3-50058-CJXG</w:t>
      </w:r>
      <w:r>
        <w:rPr>
          <w:rFonts w:hint="eastAsia" w:ascii="宋体" w:hAnsi="宋体" w:cs="宋体"/>
          <w:b/>
          <w:sz w:val="28"/>
          <w:szCs w:val="28"/>
        </w:rPr>
        <w:t>）竞争性磋商公告</w:t>
      </w:r>
    </w:p>
    <w:p>
      <w:pPr>
        <w:pStyle w:val="52"/>
        <w:spacing w:line="360" w:lineRule="exact"/>
        <w:rPr>
          <w:rFonts w:ascii="宋体" w:cs="宋体"/>
          <w:color w:val="auto"/>
          <w:sz w:val="22"/>
          <w:szCs w:val="22"/>
        </w:rPr>
      </w:pPr>
      <w:r>
        <w:rPr>
          <w:rFonts w:hint="eastAsia" w:ascii="宋体" w:hAnsi="宋体" w:cs="宋体"/>
          <w:color w:val="auto"/>
          <w:sz w:val="22"/>
          <w:szCs w:val="22"/>
        </w:rPr>
        <w:t>项目概况</w:t>
      </w:r>
    </w:p>
    <w:p>
      <w:pPr>
        <w:pStyle w:val="52"/>
        <w:spacing w:line="360" w:lineRule="exact"/>
        <w:ind w:firstLine="440" w:firstLineChars="200"/>
        <w:rPr>
          <w:rFonts w:ascii="宋体" w:cs="宋体"/>
          <w:color w:val="auto"/>
          <w:sz w:val="22"/>
          <w:szCs w:val="22"/>
        </w:rPr>
      </w:pPr>
      <w:r>
        <w:rPr>
          <w:rFonts w:hint="eastAsia" w:ascii="宋体" w:hAnsi="宋体" w:cs="宋体"/>
          <w:color w:val="auto"/>
          <w:sz w:val="22"/>
          <w:szCs w:val="22"/>
          <w:lang w:eastAsia="zh-CN"/>
        </w:rPr>
        <w:t>电子病历应用水平分级评价四级建设</w:t>
      </w:r>
      <w:r>
        <w:rPr>
          <w:rFonts w:hint="eastAsia" w:ascii="宋体" w:hAnsi="宋体" w:cs="宋体"/>
          <w:color w:val="auto"/>
          <w:sz w:val="22"/>
          <w:szCs w:val="22"/>
        </w:rPr>
        <w:t>项目的潜在供应商应在北京诚佳信工程管理有限公司钦州分公司灵山办事处（灵山县文峰路广电新区门口左二栋）获取采购文件，并于2020年</w:t>
      </w:r>
      <w:r>
        <w:rPr>
          <w:rFonts w:hint="eastAsia" w:ascii="宋体" w:hAnsi="宋体" w:cs="宋体"/>
          <w:color w:val="auto"/>
          <w:sz w:val="22"/>
          <w:szCs w:val="22"/>
          <w:lang w:val="en-US" w:eastAsia="zh-CN"/>
        </w:rPr>
        <w:t>11</w:t>
      </w:r>
      <w:r>
        <w:rPr>
          <w:rFonts w:hint="eastAsia" w:ascii="宋体" w:hAnsi="宋体" w:cs="宋体"/>
          <w:color w:val="auto"/>
          <w:sz w:val="22"/>
          <w:szCs w:val="22"/>
        </w:rPr>
        <w:t>月</w:t>
      </w:r>
      <w:r>
        <w:rPr>
          <w:rFonts w:hint="eastAsia" w:ascii="宋体" w:hAnsi="宋体" w:cs="宋体"/>
          <w:color w:val="auto"/>
          <w:sz w:val="22"/>
          <w:szCs w:val="22"/>
          <w:lang w:val="en-US" w:eastAsia="zh-CN"/>
        </w:rPr>
        <w:t>23</w:t>
      </w:r>
      <w:r>
        <w:rPr>
          <w:rFonts w:hint="eastAsia" w:ascii="宋体" w:hAnsi="宋体" w:cs="宋体"/>
          <w:color w:val="auto"/>
          <w:sz w:val="22"/>
          <w:szCs w:val="22"/>
        </w:rPr>
        <w:t>日</w:t>
      </w:r>
      <w:r>
        <w:rPr>
          <w:rFonts w:hint="eastAsia" w:ascii="宋体" w:hAnsi="宋体" w:cs="宋体"/>
          <w:color w:val="auto"/>
          <w:sz w:val="22"/>
          <w:szCs w:val="22"/>
          <w:lang w:val="en-US" w:eastAsia="zh-CN"/>
        </w:rPr>
        <w:t>15</w:t>
      </w:r>
      <w:r>
        <w:rPr>
          <w:rFonts w:hint="eastAsia" w:ascii="宋体" w:hAnsi="宋体" w:cs="宋体"/>
          <w:color w:val="auto"/>
          <w:sz w:val="22"/>
          <w:szCs w:val="22"/>
        </w:rPr>
        <w:t>点</w:t>
      </w:r>
      <w:r>
        <w:rPr>
          <w:rFonts w:hint="eastAsia" w:ascii="宋体" w:hAnsi="宋体" w:cs="宋体"/>
          <w:color w:val="auto"/>
          <w:sz w:val="22"/>
          <w:szCs w:val="22"/>
          <w:lang w:val="en-US" w:eastAsia="zh-CN"/>
        </w:rPr>
        <w:t>3</w:t>
      </w:r>
      <w:r>
        <w:rPr>
          <w:rFonts w:hint="eastAsia" w:ascii="宋体" w:hAnsi="宋体" w:cs="宋体"/>
          <w:color w:val="auto"/>
          <w:sz w:val="22"/>
          <w:szCs w:val="22"/>
        </w:rPr>
        <w:t>0分（北京时间）前提交响应文件。</w:t>
      </w:r>
    </w:p>
    <w:p>
      <w:pPr>
        <w:pStyle w:val="52"/>
        <w:spacing w:line="360" w:lineRule="exact"/>
        <w:rPr>
          <w:rFonts w:ascii="宋体" w:cs="宋体"/>
          <w:color w:val="auto"/>
          <w:sz w:val="22"/>
          <w:szCs w:val="22"/>
        </w:rPr>
      </w:pPr>
    </w:p>
    <w:p>
      <w:pPr>
        <w:pStyle w:val="52"/>
        <w:spacing w:line="360" w:lineRule="exact"/>
        <w:rPr>
          <w:rFonts w:ascii="宋体" w:cs="宋体"/>
          <w:color w:val="auto"/>
          <w:sz w:val="22"/>
          <w:szCs w:val="22"/>
        </w:rPr>
      </w:pPr>
      <w:r>
        <w:rPr>
          <w:rFonts w:hint="eastAsia" w:ascii="宋体" w:hAnsi="宋体" w:cs="宋体"/>
          <w:color w:val="auto"/>
          <w:sz w:val="22"/>
          <w:szCs w:val="22"/>
        </w:rPr>
        <w:t>一、项目基本情况</w:t>
      </w:r>
    </w:p>
    <w:p>
      <w:pPr>
        <w:pStyle w:val="52"/>
        <w:spacing w:line="360" w:lineRule="exact"/>
        <w:ind w:firstLine="440" w:firstLineChars="200"/>
        <w:rPr>
          <w:rFonts w:hint="eastAsia" w:ascii="宋体" w:eastAsia="宋体" w:cs="宋体"/>
          <w:color w:val="auto"/>
          <w:sz w:val="22"/>
          <w:szCs w:val="22"/>
          <w:lang w:eastAsia="zh-CN"/>
        </w:rPr>
      </w:pPr>
      <w:r>
        <w:rPr>
          <w:rFonts w:hint="eastAsia" w:ascii="宋体" w:hAnsi="宋体" w:cs="宋体"/>
          <w:color w:val="auto"/>
          <w:sz w:val="22"/>
          <w:szCs w:val="22"/>
        </w:rPr>
        <w:t>项目编号：</w:t>
      </w:r>
      <w:r>
        <w:rPr>
          <w:rFonts w:hint="eastAsia" w:ascii="宋体" w:hAnsi="宋体" w:cs="宋体"/>
          <w:color w:val="auto"/>
          <w:sz w:val="22"/>
          <w:szCs w:val="22"/>
          <w:lang w:eastAsia="zh-CN"/>
        </w:rPr>
        <w:t>QZZC2020-C3-50058-CJXG</w:t>
      </w:r>
    </w:p>
    <w:p>
      <w:pPr>
        <w:pStyle w:val="52"/>
        <w:spacing w:line="360" w:lineRule="exact"/>
        <w:ind w:firstLine="440" w:firstLineChars="200"/>
        <w:rPr>
          <w:rFonts w:hint="eastAsia" w:ascii="宋体" w:eastAsia="宋体" w:cs="宋体"/>
          <w:color w:val="auto"/>
          <w:sz w:val="22"/>
          <w:szCs w:val="22"/>
          <w:lang w:eastAsia="zh-CN"/>
        </w:rPr>
      </w:pPr>
      <w:r>
        <w:rPr>
          <w:rFonts w:hint="eastAsia" w:ascii="宋体" w:hAnsi="宋体" w:cs="宋体"/>
          <w:color w:val="auto"/>
          <w:sz w:val="22"/>
          <w:szCs w:val="22"/>
        </w:rPr>
        <w:t>项目名称：</w:t>
      </w:r>
      <w:r>
        <w:rPr>
          <w:rFonts w:hint="eastAsia" w:ascii="宋体" w:hAnsi="宋体" w:cs="宋体"/>
          <w:color w:val="auto"/>
          <w:sz w:val="22"/>
          <w:szCs w:val="22"/>
          <w:lang w:eastAsia="zh-CN"/>
        </w:rPr>
        <w:t>电子病历应用水平分级评价四级建设项目</w:t>
      </w:r>
    </w:p>
    <w:p>
      <w:pPr>
        <w:pStyle w:val="52"/>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rPr>
        <w:t>采购方式：竞争性</w:t>
      </w:r>
      <w:r>
        <w:rPr>
          <w:rFonts w:hint="eastAsia" w:ascii="宋体" w:hAnsi="宋体" w:cs="宋体"/>
          <w:color w:val="auto"/>
          <w:sz w:val="22"/>
          <w:szCs w:val="22"/>
          <w:highlight w:val="none"/>
        </w:rPr>
        <w:t>磋商</w:t>
      </w:r>
    </w:p>
    <w:p>
      <w:pPr>
        <w:pStyle w:val="52"/>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highlight w:val="none"/>
        </w:rPr>
        <w:t>预算金额：人民币</w:t>
      </w:r>
      <w:r>
        <w:rPr>
          <w:rFonts w:hint="eastAsia" w:ascii="宋体" w:hAnsi="宋体" w:cs="宋体"/>
          <w:color w:val="auto"/>
          <w:sz w:val="22"/>
          <w:szCs w:val="22"/>
          <w:lang w:eastAsia="zh-CN"/>
        </w:rPr>
        <w:fldChar w:fldCharType="begin"/>
      </w:r>
      <w:r>
        <w:rPr>
          <w:rFonts w:hint="eastAsia" w:ascii="宋体" w:hAnsi="宋体" w:cs="宋体"/>
          <w:color w:val="auto"/>
          <w:sz w:val="22"/>
          <w:szCs w:val="22"/>
          <w:lang w:eastAsia="zh-CN"/>
        </w:rPr>
        <w:instrText xml:space="preserve"> = 1840000 \* CHINESENUM2 \* MERGEFORMAT </w:instrText>
      </w:r>
      <w:r>
        <w:rPr>
          <w:rFonts w:hint="eastAsia" w:ascii="宋体" w:hAnsi="宋体" w:cs="宋体"/>
          <w:color w:val="auto"/>
          <w:sz w:val="22"/>
          <w:szCs w:val="22"/>
          <w:lang w:eastAsia="zh-CN"/>
        </w:rPr>
        <w:fldChar w:fldCharType="separate"/>
      </w:r>
      <w:r>
        <w:rPr>
          <w:rFonts w:hint="eastAsia" w:ascii="宋体" w:hAnsi="宋体" w:cs="宋体"/>
          <w:color w:val="auto"/>
          <w:sz w:val="22"/>
          <w:szCs w:val="22"/>
          <w:lang w:eastAsia="zh-CN"/>
        </w:rPr>
        <w:t>壹佰捌拾肆万</w:t>
      </w:r>
      <w:r>
        <w:rPr>
          <w:rFonts w:hint="eastAsia" w:ascii="宋体" w:hAnsi="宋体" w:cs="宋体"/>
          <w:color w:val="auto"/>
          <w:sz w:val="22"/>
          <w:szCs w:val="22"/>
          <w:lang w:eastAsia="zh-CN"/>
        </w:rPr>
        <w:fldChar w:fldCharType="end"/>
      </w:r>
      <w:r>
        <w:rPr>
          <w:rFonts w:hint="eastAsia" w:ascii="宋体" w:hAnsi="宋体" w:cs="宋体"/>
          <w:color w:val="auto"/>
          <w:sz w:val="22"/>
          <w:szCs w:val="22"/>
          <w:lang w:eastAsia="zh-CN"/>
        </w:rPr>
        <w:t>元整（¥1840000.00）</w:t>
      </w:r>
    </w:p>
    <w:p>
      <w:pPr>
        <w:pStyle w:val="52"/>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采购需求：</w:t>
      </w:r>
      <w:r>
        <w:rPr>
          <w:rFonts w:hint="eastAsia" w:ascii="宋体" w:hAnsi="宋体" w:cs="宋体"/>
          <w:color w:val="auto"/>
          <w:sz w:val="22"/>
          <w:szCs w:val="22"/>
          <w:lang w:eastAsia="zh-CN"/>
        </w:rPr>
        <w:t>电子病历应用水平分级评价四级建设</w:t>
      </w:r>
      <w:r>
        <w:rPr>
          <w:rFonts w:hint="eastAsia" w:ascii="宋体" w:hAnsi="宋体" w:cs="宋体"/>
          <w:color w:val="auto"/>
          <w:sz w:val="22"/>
          <w:szCs w:val="22"/>
          <w:highlight w:val="none"/>
        </w:rPr>
        <w:t>。如需进一步了解详细内容，详见竞争性磋商文件。</w:t>
      </w:r>
    </w:p>
    <w:p>
      <w:pPr>
        <w:pStyle w:val="8"/>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合同履行期限：自签订合同之日起</w:t>
      </w:r>
      <w:r>
        <w:rPr>
          <w:rFonts w:hint="eastAsia" w:ascii="宋体" w:hAnsi="宋体" w:cs="宋体"/>
          <w:color w:val="auto"/>
          <w:sz w:val="22"/>
          <w:szCs w:val="22"/>
          <w:highlight w:val="none"/>
          <w:lang w:val="en-US" w:eastAsia="zh-CN"/>
        </w:rPr>
        <w:t>90</w:t>
      </w:r>
      <w:r>
        <w:rPr>
          <w:rFonts w:hint="eastAsia" w:ascii="宋体" w:hAnsi="宋体" w:cs="宋体"/>
          <w:color w:val="auto"/>
          <w:sz w:val="22"/>
          <w:szCs w:val="22"/>
          <w:highlight w:val="none"/>
        </w:rPr>
        <w:t>日内交付使用。</w:t>
      </w:r>
    </w:p>
    <w:p>
      <w:pPr>
        <w:pStyle w:val="52"/>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本项目不接受联合体。</w:t>
      </w:r>
    </w:p>
    <w:p>
      <w:pPr>
        <w:pStyle w:val="52"/>
        <w:spacing w:line="360" w:lineRule="exact"/>
        <w:rPr>
          <w:rFonts w:ascii="宋体" w:cs="宋体"/>
          <w:color w:val="auto"/>
          <w:sz w:val="22"/>
          <w:szCs w:val="22"/>
          <w:highlight w:val="none"/>
        </w:rPr>
      </w:pPr>
      <w:r>
        <w:rPr>
          <w:rFonts w:hint="eastAsia" w:ascii="宋体" w:hAnsi="宋体" w:cs="宋体"/>
          <w:color w:val="auto"/>
          <w:sz w:val="22"/>
          <w:szCs w:val="22"/>
          <w:highlight w:val="none"/>
        </w:rPr>
        <w:t>二、申请人的资格要求：</w:t>
      </w:r>
    </w:p>
    <w:p>
      <w:pPr>
        <w:spacing w:line="360" w:lineRule="exact"/>
        <w:ind w:firstLine="440" w:firstLineChars="200"/>
        <w:rPr>
          <w:rFonts w:ascii="宋体" w:cs="宋体"/>
          <w:color w:val="auto"/>
          <w:sz w:val="22"/>
          <w:szCs w:val="22"/>
          <w:highlight w:val="none"/>
          <w:shd w:val="clear" w:color="auto" w:fill="FFFFFF"/>
        </w:rPr>
      </w:pPr>
      <w:r>
        <w:rPr>
          <w:rFonts w:ascii="宋体" w:hAnsi="宋体" w:cs="宋体"/>
          <w:color w:val="auto"/>
          <w:sz w:val="22"/>
          <w:szCs w:val="22"/>
          <w:highlight w:val="none"/>
          <w:shd w:val="clear" w:color="auto" w:fill="FFFFFF"/>
        </w:rPr>
        <w:t>1.</w:t>
      </w:r>
      <w:r>
        <w:rPr>
          <w:rFonts w:hint="eastAsia" w:ascii="宋体" w:hAnsi="宋体" w:cs="宋体"/>
          <w:color w:val="auto"/>
          <w:sz w:val="22"/>
          <w:szCs w:val="22"/>
          <w:highlight w:val="none"/>
          <w:shd w:val="clear" w:color="auto" w:fill="FFFFFF"/>
        </w:rPr>
        <w:t>符合《中华人民共和国政府采购法》第二十二条的规定。</w:t>
      </w:r>
    </w:p>
    <w:p>
      <w:pPr>
        <w:spacing w:line="360" w:lineRule="exact"/>
        <w:ind w:firstLine="440" w:firstLineChars="200"/>
        <w:rPr>
          <w:rFonts w:ascii="宋体" w:cs="宋体"/>
          <w:color w:val="auto"/>
          <w:sz w:val="22"/>
          <w:szCs w:val="22"/>
          <w:highlight w:val="none"/>
          <w:shd w:val="clear" w:color="auto" w:fill="FFFFFF"/>
        </w:rPr>
      </w:pPr>
      <w:r>
        <w:rPr>
          <w:rFonts w:ascii="宋体" w:hAnsi="宋体" w:cs="宋体"/>
          <w:color w:val="auto"/>
          <w:sz w:val="22"/>
          <w:szCs w:val="22"/>
          <w:highlight w:val="none"/>
          <w:shd w:val="clear" w:color="auto" w:fill="FFFFFF"/>
        </w:rPr>
        <w:t>2.</w:t>
      </w:r>
      <w:r>
        <w:rPr>
          <w:rFonts w:hint="eastAsia" w:ascii="宋体" w:hAnsi="宋体" w:cs="宋体"/>
          <w:color w:val="auto"/>
          <w:sz w:val="22"/>
          <w:szCs w:val="22"/>
          <w:highlight w:val="none"/>
          <w:shd w:val="clear" w:color="auto" w:fill="FFFFFF"/>
        </w:rPr>
        <w:t>未被“信用中国”（</w:t>
      </w:r>
      <w:r>
        <w:rPr>
          <w:rFonts w:ascii="宋体" w:hAnsi="宋体" w:cs="宋体"/>
          <w:color w:val="auto"/>
          <w:sz w:val="22"/>
          <w:szCs w:val="22"/>
          <w:highlight w:val="none"/>
          <w:shd w:val="clear" w:color="auto" w:fill="FFFFFF"/>
        </w:rPr>
        <w:t>www.creditchina.gov.cn</w:t>
      </w:r>
      <w:r>
        <w:rPr>
          <w:rFonts w:hint="eastAsia" w:ascii="宋体" w:hAnsi="宋体" w:cs="宋体"/>
          <w:color w:val="auto"/>
          <w:sz w:val="22"/>
          <w:szCs w:val="22"/>
          <w:highlight w:val="none"/>
          <w:shd w:val="clear" w:color="auto" w:fill="FFFFFF"/>
        </w:rPr>
        <w:t>）、中国政府采购网（</w:t>
      </w:r>
      <w:r>
        <w:rPr>
          <w:rFonts w:ascii="宋体" w:hAnsi="宋体" w:cs="宋体"/>
          <w:color w:val="auto"/>
          <w:sz w:val="22"/>
          <w:szCs w:val="22"/>
          <w:highlight w:val="none"/>
          <w:shd w:val="clear" w:color="auto" w:fill="FFFFFF"/>
        </w:rPr>
        <w:t>www.ccgp.gov.cn</w:t>
      </w:r>
      <w:r>
        <w:rPr>
          <w:rFonts w:hint="eastAsia" w:ascii="宋体" w:hAnsi="宋体" w:cs="宋体"/>
          <w:color w:val="auto"/>
          <w:sz w:val="22"/>
          <w:szCs w:val="22"/>
          <w:highlight w:val="none"/>
          <w:shd w:val="clear" w:color="auto" w:fill="FFFFFF"/>
        </w:rPr>
        <w:t>）列入失信被执行人、重大税收违法案件当事人名单、政府采购严重违法失信行为记录名单。</w:t>
      </w:r>
    </w:p>
    <w:p>
      <w:pPr>
        <w:spacing w:line="360" w:lineRule="exact"/>
        <w:ind w:firstLine="440" w:firstLineChars="200"/>
        <w:rPr>
          <w:rFonts w:ascii="宋体" w:cs="宋体"/>
          <w:color w:val="auto"/>
          <w:sz w:val="22"/>
          <w:szCs w:val="22"/>
          <w:highlight w:val="none"/>
        </w:rPr>
      </w:pPr>
      <w:r>
        <w:rPr>
          <w:rFonts w:ascii="宋体" w:hAnsi="宋体" w:cs="宋体"/>
          <w:color w:val="auto"/>
          <w:sz w:val="22"/>
          <w:szCs w:val="22"/>
          <w:highlight w:val="none"/>
          <w:shd w:val="clear" w:color="auto" w:fill="FFFFFF"/>
        </w:rPr>
        <w:t>3.</w:t>
      </w:r>
      <w:r>
        <w:rPr>
          <w:rFonts w:hint="eastAsia" w:ascii="宋体" w:hAnsi="宋体" w:cs="宋体"/>
          <w:color w:val="auto"/>
          <w:sz w:val="22"/>
          <w:szCs w:val="22"/>
          <w:highlight w:val="none"/>
          <w:shd w:val="clear" w:color="auto" w:fill="FFFFFF"/>
        </w:rPr>
        <w:t>本项目的特定资格要求：</w:t>
      </w:r>
    </w:p>
    <w:p>
      <w:pPr>
        <w:pStyle w:val="52"/>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olor w:val="auto"/>
          <w:sz w:val="22"/>
          <w:szCs w:val="22"/>
          <w:highlight w:val="none"/>
        </w:rPr>
        <w:t>国内注册（指按国家有关规定要求注册的），具备独立法人资格，生产或经营本次采购货物（服务）的供应商。</w:t>
      </w:r>
    </w:p>
    <w:p>
      <w:pPr>
        <w:pStyle w:val="52"/>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2</w:t>
      </w:r>
      <w:r>
        <w:rPr>
          <w:rFonts w:hint="eastAsia" w:ascii="宋体" w:hAnsi="宋体" w:cs="宋体"/>
          <w:color w:val="auto"/>
          <w:sz w:val="22"/>
          <w:szCs w:val="22"/>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52"/>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3</w:t>
      </w:r>
      <w:r>
        <w:rPr>
          <w:rFonts w:hint="eastAsia" w:ascii="宋体" w:hAnsi="宋体" w:cs="宋体"/>
          <w:color w:val="auto"/>
          <w:sz w:val="22"/>
          <w:szCs w:val="22"/>
          <w:highlight w:val="none"/>
        </w:rPr>
        <w:t>）供应商无行贿犯罪记录的承诺书或书面声明，有行贿犯罪记录的不得参与本次采购活动。</w:t>
      </w:r>
    </w:p>
    <w:p>
      <w:pPr>
        <w:pStyle w:val="52"/>
        <w:spacing w:line="360" w:lineRule="exact"/>
        <w:rPr>
          <w:rFonts w:asci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w:t>
      </w:r>
      <w:r>
        <w:rPr>
          <w:rFonts w:ascii="宋体" w:hAnsi="宋体" w:cs="宋体"/>
          <w:color w:val="auto"/>
          <w:sz w:val="22"/>
          <w:szCs w:val="22"/>
          <w:highlight w:val="none"/>
        </w:rPr>
        <w:t>4</w:t>
      </w:r>
      <w:r>
        <w:rPr>
          <w:rFonts w:hint="eastAsia" w:ascii="宋体" w:hAnsi="宋体" w:cs="宋体"/>
          <w:color w:val="auto"/>
          <w:sz w:val="22"/>
          <w:szCs w:val="22"/>
          <w:highlight w:val="none"/>
        </w:rPr>
        <w:t>）本项目不接受未购买本项目竞争性磋商文件的供应商磋商。</w:t>
      </w:r>
    </w:p>
    <w:p>
      <w:pPr>
        <w:pStyle w:val="52"/>
        <w:spacing w:line="360" w:lineRule="exact"/>
        <w:rPr>
          <w:rFonts w:ascii="宋体" w:cs="宋体"/>
          <w:color w:val="auto"/>
          <w:sz w:val="22"/>
          <w:szCs w:val="22"/>
          <w:highlight w:val="none"/>
        </w:rPr>
      </w:pPr>
      <w:r>
        <w:rPr>
          <w:rFonts w:hint="eastAsia" w:ascii="宋体" w:hAnsi="宋体" w:cs="宋体"/>
          <w:color w:val="auto"/>
          <w:sz w:val="22"/>
          <w:szCs w:val="22"/>
          <w:highlight w:val="none"/>
        </w:rPr>
        <w:t>三、获取采购文件</w:t>
      </w:r>
    </w:p>
    <w:p>
      <w:pPr>
        <w:pStyle w:val="52"/>
        <w:spacing w:line="360" w:lineRule="exact"/>
        <w:ind w:firstLine="440" w:firstLineChars="200"/>
        <w:rPr>
          <w:rFonts w:asci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时间：</w:t>
      </w:r>
      <w:r>
        <w:rPr>
          <w:rFonts w:ascii="宋体" w:hAnsi="宋体" w:cs="宋体"/>
          <w:color w:val="auto"/>
          <w:sz w:val="22"/>
          <w:szCs w:val="22"/>
          <w:highlight w:val="none"/>
        </w:rPr>
        <w:t>2020</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日至</w:t>
      </w:r>
      <w:r>
        <w:rPr>
          <w:rFonts w:ascii="宋体" w:hAnsi="宋体" w:cs="宋体"/>
          <w:color w:val="auto"/>
          <w:sz w:val="22"/>
          <w:szCs w:val="22"/>
          <w:highlight w:val="none"/>
        </w:rPr>
        <w:t>2020</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cs="宋体"/>
          <w:color w:val="auto"/>
          <w:sz w:val="22"/>
          <w:szCs w:val="22"/>
          <w:highlight w:val="none"/>
        </w:rPr>
        <w:t>日止，每日上午</w:t>
      </w:r>
      <w:r>
        <w:rPr>
          <w:rFonts w:ascii="宋体" w:hAnsi="宋体" w:cs="宋体"/>
          <w:color w:val="auto"/>
          <w:sz w:val="22"/>
          <w:szCs w:val="22"/>
          <w:highlight w:val="none"/>
        </w:rPr>
        <w:t>9</w:t>
      </w:r>
      <w:r>
        <w:rPr>
          <w:rFonts w:hint="eastAsia" w:ascii="宋体" w:hAnsi="宋体" w:cs="宋体"/>
          <w:color w:val="auto"/>
          <w:sz w:val="22"/>
          <w:szCs w:val="22"/>
          <w:highlight w:val="none"/>
        </w:rPr>
        <w:t>：</w:t>
      </w:r>
      <w:r>
        <w:rPr>
          <w:rFonts w:ascii="宋体" w:cs="宋体"/>
          <w:color w:val="auto"/>
          <w:sz w:val="22"/>
          <w:szCs w:val="22"/>
          <w:highlight w:val="none"/>
        </w:rPr>
        <w:t>00</w:t>
      </w:r>
      <w:r>
        <w:rPr>
          <w:rFonts w:hint="eastAsia" w:ascii="宋体" w:hAnsi="宋体" w:cs="宋体"/>
          <w:color w:val="auto"/>
          <w:sz w:val="22"/>
          <w:szCs w:val="22"/>
          <w:highlight w:val="none"/>
        </w:rPr>
        <w:t>时</w:t>
      </w:r>
      <w:r>
        <w:rPr>
          <w:rFonts w:ascii="宋体" w:hAnsi="宋体" w:cs="宋体"/>
          <w:color w:val="auto"/>
          <w:sz w:val="22"/>
          <w:szCs w:val="22"/>
          <w:highlight w:val="none"/>
        </w:rPr>
        <w:t>-11</w:t>
      </w:r>
      <w:r>
        <w:rPr>
          <w:rFonts w:hint="eastAsia" w:ascii="宋体" w:hAnsi="宋体" w:cs="宋体"/>
          <w:color w:val="auto"/>
          <w:sz w:val="22"/>
          <w:szCs w:val="22"/>
          <w:highlight w:val="none"/>
        </w:rPr>
        <w:t>：</w:t>
      </w:r>
      <w:r>
        <w:rPr>
          <w:rFonts w:ascii="宋体" w:hAnsi="宋体" w:cs="宋体"/>
          <w:color w:val="auto"/>
          <w:sz w:val="22"/>
          <w:szCs w:val="22"/>
          <w:highlight w:val="none"/>
        </w:rPr>
        <w:t>30</w:t>
      </w:r>
      <w:r>
        <w:rPr>
          <w:rFonts w:hint="eastAsia" w:ascii="宋体" w:hAnsi="宋体" w:cs="宋体"/>
          <w:color w:val="auto"/>
          <w:sz w:val="22"/>
          <w:szCs w:val="22"/>
          <w:highlight w:val="none"/>
        </w:rPr>
        <w:t>时；下午</w:t>
      </w:r>
      <w:r>
        <w:rPr>
          <w:rFonts w:ascii="宋体" w:hAnsi="宋体" w:cs="宋体"/>
          <w:color w:val="auto"/>
          <w:sz w:val="22"/>
          <w:szCs w:val="22"/>
          <w:highlight w:val="none"/>
        </w:rPr>
        <w:t>15</w:t>
      </w:r>
      <w:r>
        <w:rPr>
          <w:rFonts w:hint="eastAsia" w:ascii="宋体" w:hAnsi="宋体" w:cs="宋体"/>
          <w:color w:val="auto"/>
          <w:sz w:val="22"/>
          <w:szCs w:val="22"/>
          <w:highlight w:val="none"/>
        </w:rPr>
        <w:t>：</w:t>
      </w:r>
      <w:r>
        <w:rPr>
          <w:rFonts w:ascii="宋体" w:hAnsi="宋体" w:cs="宋体"/>
          <w:color w:val="auto"/>
          <w:sz w:val="22"/>
          <w:szCs w:val="22"/>
          <w:highlight w:val="none"/>
        </w:rPr>
        <w:t>30</w:t>
      </w:r>
      <w:r>
        <w:rPr>
          <w:rFonts w:hint="eastAsia" w:ascii="宋体" w:hAnsi="宋体" w:cs="宋体"/>
          <w:color w:val="auto"/>
          <w:sz w:val="22"/>
          <w:szCs w:val="22"/>
          <w:highlight w:val="none"/>
        </w:rPr>
        <w:t>时</w:t>
      </w:r>
      <w:r>
        <w:rPr>
          <w:rFonts w:ascii="宋体" w:hAnsi="宋体" w:cs="宋体"/>
          <w:color w:val="auto"/>
          <w:sz w:val="22"/>
          <w:szCs w:val="22"/>
          <w:highlight w:val="none"/>
        </w:rPr>
        <w:t>-17:30</w:t>
      </w:r>
      <w:r>
        <w:rPr>
          <w:rFonts w:hint="eastAsia" w:ascii="宋体" w:hAnsi="宋体" w:cs="宋体"/>
          <w:color w:val="auto"/>
          <w:sz w:val="22"/>
          <w:szCs w:val="22"/>
          <w:highlight w:val="none"/>
        </w:rPr>
        <w:t>时（北京时间，法定节假日除外）。</w:t>
      </w:r>
    </w:p>
    <w:p>
      <w:pPr>
        <w:pStyle w:val="52"/>
        <w:spacing w:line="360" w:lineRule="exact"/>
        <w:ind w:firstLine="440" w:firstLineChars="200"/>
        <w:rPr>
          <w:rFonts w:asci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地点：北京诚佳信工程管理有限公司钦州分公司灵山办事处（灵山县文峰路广电新区门口左二栋）。</w:t>
      </w:r>
      <w:r>
        <w:rPr>
          <w:rFonts w:ascii="宋体" w:hAnsi="宋体" w:cs="宋体"/>
          <w:color w:val="auto"/>
          <w:sz w:val="22"/>
          <w:szCs w:val="22"/>
          <w:highlight w:val="none"/>
        </w:rPr>
        <w:t xml:space="preserve">  </w:t>
      </w:r>
    </w:p>
    <w:p>
      <w:pPr>
        <w:pStyle w:val="52"/>
        <w:spacing w:line="360" w:lineRule="exact"/>
        <w:ind w:firstLine="440" w:firstLineChars="200"/>
        <w:rPr>
          <w:rFonts w:asci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售价：竞争性磋商文件工本费每本</w:t>
      </w:r>
      <w:r>
        <w:rPr>
          <w:rFonts w:ascii="宋体" w:hAnsi="宋体" w:cs="宋体"/>
          <w:color w:val="auto"/>
          <w:sz w:val="22"/>
          <w:szCs w:val="22"/>
          <w:highlight w:val="none"/>
        </w:rPr>
        <w:t>250</w:t>
      </w:r>
      <w:r>
        <w:rPr>
          <w:rFonts w:hint="eastAsia" w:ascii="宋体" w:hAnsi="宋体" w:cs="宋体"/>
          <w:color w:val="auto"/>
          <w:sz w:val="22"/>
          <w:szCs w:val="22"/>
          <w:highlight w:val="none"/>
        </w:rPr>
        <w:t>元</w:t>
      </w:r>
      <w:r>
        <w:rPr>
          <w:rFonts w:ascii="宋体" w:hAnsi="宋体" w:cs="宋体"/>
          <w:color w:val="auto"/>
          <w:sz w:val="22"/>
          <w:szCs w:val="22"/>
          <w:highlight w:val="none"/>
        </w:rPr>
        <w:t>/</w:t>
      </w:r>
      <w:r>
        <w:rPr>
          <w:rFonts w:hint="eastAsia" w:ascii="宋体" w:hAnsi="宋体" w:cs="宋体"/>
          <w:color w:val="auto"/>
          <w:sz w:val="22"/>
          <w:szCs w:val="22"/>
          <w:highlight w:val="none"/>
        </w:rPr>
        <w:t>本，售后不退。本项目不办理邮寄、不提供电子版竞争性磋商文件。</w:t>
      </w:r>
    </w:p>
    <w:p>
      <w:pPr>
        <w:pStyle w:val="52"/>
        <w:spacing w:line="360" w:lineRule="exact"/>
        <w:ind w:firstLine="440" w:firstLineChars="200"/>
        <w:rPr>
          <w:rFonts w:ascii="宋体" w:cs="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方式：现场报名获取，由企业法定代表人（企业负责人）或委托代理人持其本人有效身份证原件并携带以下材料到文件发售地点购买竞争性磋商文件：</w:t>
      </w:r>
    </w:p>
    <w:p>
      <w:pPr>
        <w:pStyle w:val="52"/>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）单位介绍信；</w:t>
      </w:r>
    </w:p>
    <w:p>
      <w:pPr>
        <w:pStyle w:val="52"/>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2</w:t>
      </w:r>
      <w:r>
        <w:rPr>
          <w:rFonts w:hint="eastAsia" w:ascii="宋体" w:hAnsi="宋体" w:cs="宋体"/>
          <w:color w:val="auto"/>
          <w:sz w:val="22"/>
          <w:szCs w:val="22"/>
          <w:highlight w:val="none"/>
        </w:rPr>
        <w:t>）有效的营业执照副本复印件（未“三证合一”的必须提供税务登记证副本复印件、组织机构代码证副本复印件）；</w:t>
      </w:r>
    </w:p>
    <w:p>
      <w:pPr>
        <w:pStyle w:val="52"/>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3</w:t>
      </w:r>
      <w:r>
        <w:rPr>
          <w:rFonts w:hint="eastAsia" w:ascii="宋体" w:hAnsi="宋体" w:cs="宋体"/>
          <w:color w:val="auto"/>
          <w:sz w:val="22"/>
          <w:szCs w:val="22"/>
          <w:highlight w:val="none"/>
        </w:rPr>
        <w:t>）有效的企业法定代表人（企业负责人）身份证正反面复印件、有效的企业法人授权委托书原件及有效的授权代理人身份证正反面复印件（明确委托权限及时间，委托代理时必须提供）。</w:t>
      </w:r>
    </w:p>
    <w:p>
      <w:pPr>
        <w:pStyle w:val="52"/>
        <w:spacing w:line="360" w:lineRule="exact"/>
        <w:ind w:firstLine="442" w:firstLineChars="200"/>
        <w:rPr>
          <w:rFonts w:ascii="宋体" w:cs="宋体"/>
          <w:b/>
          <w:bCs/>
          <w:color w:val="auto"/>
          <w:sz w:val="22"/>
          <w:szCs w:val="22"/>
          <w:highlight w:val="none"/>
        </w:rPr>
      </w:pPr>
      <w:r>
        <w:rPr>
          <w:rFonts w:hint="eastAsia" w:ascii="宋体" w:hAnsi="宋体" w:cs="宋体"/>
          <w:b/>
          <w:bCs/>
          <w:color w:val="auto"/>
          <w:sz w:val="22"/>
          <w:szCs w:val="22"/>
          <w:highlight w:val="none"/>
        </w:rPr>
        <w:t>以上材料均需加盖单位公章交代理机构存档，且要求提供复印件的均需携带原件以供核对（非法定代表人报名时无需提供法定代表人身份证原件），</w:t>
      </w:r>
      <w:r>
        <w:rPr>
          <w:rFonts w:hint="eastAsia" w:ascii="宋体" w:hAnsi="宋体" w:cs="宋体"/>
          <w:b/>
          <w:bCs/>
          <w:color w:val="auto"/>
          <w:spacing w:val="-4"/>
          <w:sz w:val="22"/>
          <w:szCs w:val="22"/>
          <w:highlight w:val="none"/>
        </w:rPr>
        <w:t>材料合格且有效方可购买竞争性</w:t>
      </w:r>
      <w:r>
        <w:rPr>
          <w:rFonts w:hint="eastAsia" w:hAnsi="宋体" w:cs="宋体"/>
          <w:b/>
          <w:bCs/>
          <w:color w:val="auto"/>
          <w:spacing w:val="-4"/>
          <w:sz w:val="22"/>
          <w:szCs w:val="22"/>
          <w:highlight w:val="none"/>
        </w:rPr>
        <w:t>磋商</w:t>
      </w:r>
      <w:r>
        <w:rPr>
          <w:rFonts w:hint="eastAsia" w:ascii="宋体" w:hAnsi="宋体" w:cs="宋体"/>
          <w:b/>
          <w:bCs/>
          <w:color w:val="auto"/>
          <w:spacing w:val="-4"/>
          <w:sz w:val="22"/>
          <w:szCs w:val="22"/>
          <w:highlight w:val="none"/>
        </w:rPr>
        <w:t>文件</w:t>
      </w:r>
      <w:r>
        <w:rPr>
          <w:rFonts w:hint="eastAsia" w:ascii="宋体" w:hAnsi="宋体" w:cs="宋体"/>
          <w:b/>
          <w:bCs/>
          <w:color w:val="auto"/>
          <w:sz w:val="22"/>
          <w:szCs w:val="22"/>
          <w:highlight w:val="none"/>
        </w:rPr>
        <w:t>。</w:t>
      </w:r>
    </w:p>
    <w:p>
      <w:pPr>
        <w:pStyle w:val="52"/>
        <w:spacing w:line="360" w:lineRule="exact"/>
        <w:ind w:firstLine="442" w:firstLineChars="200"/>
        <w:rPr>
          <w:rFonts w:ascii="宋体" w:cs="宋体"/>
          <w:b/>
          <w:bCs/>
          <w:color w:val="auto"/>
          <w:sz w:val="22"/>
          <w:szCs w:val="22"/>
          <w:highlight w:val="none"/>
        </w:rPr>
      </w:pPr>
      <w:r>
        <w:rPr>
          <w:rFonts w:ascii="宋体" w:hAnsi="宋体" w:cs="宋体"/>
          <w:b/>
          <w:bCs/>
          <w:color w:val="auto"/>
          <w:sz w:val="22"/>
          <w:szCs w:val="22"/>
          <w:highlight w:val="none"/>
        </w:rPr>
        <w:t>5.</w:t>
      </w:r>
      <w:r>
        <w:rPr>
          <w:rFonts w:hint="eastAsia" w:ascii="宋体" w:hAnsi="宋体" w:cs="宋体"/>
          <w:b/>
          <w:bCs/>
          <w:color w:val="auto"/>
          <w:sz w:val="22"/>
          <w:szCs w:val="22"/>
          <w:highlight w:val="none"/>
        </w:rPr>
        <w:t>为配合采购人进行政府采购项目执行和备案，未在政采云注册的供应商请在获取竞争性磋商文件后登录政采云（</w:t>
      </w:r>
      <w:r>
        <w:rPr>
          <w:rFonts w:ascii="宋体" w:hAnsi="宋体" w:cs="宋体"/>
          <w:b/>
          <w:bCs/>
          <w:color w:val="auto"/>
          <w:sz w:val="22"/>
          <w:szCs w:val="22"/>
          <w:highlight w:val="none"/>
        </w:rPr>
        <w:t>http://zfcg.gxzf.gov.cn/</w:t>
      </w:r>
      <w:r>
        <w:rPr>
          <w:rFonts w:hint="eastAsia" w:ascii="宋体" w:hAnsi="宋体" w:cs="宋体"/>
          <w:b/>
          <w:bCs/>
          <w:color w:val="auto"/>
          <w:sz w:val="22"/>
          <w:szCs w:val="22"/>
          <w:highlight w:val="none"/>
        </w:rPr>
        <w:t>）进行注册，如在操作过程中遇到问题或者需要技术支持，请致电政采云客服热线：</w:t>
      </w:r>
      <w:r>
        <w:rPr>
          <w:rFonts w:ascii="宋体" w:hAnsi="宋体" w:cs="宋体"/>
          <w:b/>
          <w:bCs/>
          <w:color w:val="auto"/>
          <w:sz w:val="22"/>
          <w:szCs w:val="22"/>
          <w:highlight w:val="none"/>
        </w:rPr>
        <w:t>400-881-7190</w:t>
      </w:r>
      <w:r>
        <w:rPr>
          <w:rFonts w:hint="eastAsia" w:ascii="宋体" w:hAnsi="宋体" w:cs="宋体"/>
          <w:b/>
          <w:bCs/>
          <w:color w:val="auto"/>
          <w:sz w:val="22"/>
          <w:szCs w:val="22"/>
          <w:highlight w:val="none"/>
        </w:rPr>
        <w:t>。</w:t>
      </w:r>
    </w:p>
    <w:p>
      <w:pPr>
        <w:pStyle w:val="52"/>
        <w:spacing w:line="360" w:lineRule="exact"/>
        <w:rPr>
          <w:rFonts w:ascii="宋体" w:cs="宋体"/>
          <w:color w:val="auto"/>
          <w:sz w:val="22"/>
          <w:szCs w:val="22"/>
          <w:highlight w:val="none"/>
        </w:rPr>
      </w:pPr>
      <w:r>
        <w:rPr>
          <w:rFonts w:hint="eastAsia" w:ascii="宋体" w:hAnsi="宋体" w:cs="宋体"/>
          <w:color w:val="auto"/>
          <w:sz w:val="22"/>
          <w:szCs w:val="22"/>
          <w:highlight w:val="none"/>
        </w:rPr>
        <w:t>四、响应文件提交</w:t>
      </w:r>
    </w:p>
    <w:p>
      <w:pPr>
        <w:pStyle w:val="52"/>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截止时间：</w:t>
      </w:r>
      <w:r>
        <w:rPr>
          <w:rFonts w:hint="eastAsia" w:ascii="宋体" w:hAnsi="宋体" w:cs="宋体"/>
          <w:color w:val="auto"/>
          <w:sz w:val="22"/>
          <w:szCs w:val="22"/>
        </w:rPr>
        <w:t>2020年</w:t>
      </w:r>
      <w:r>
        <w:rPr>
          <w:rFonts w:hint="eastAsia" w:ascii="宋体" w:hAnsi="宋体" w:cs="宋体"/>
          <w:color w:val="auto"/>
          <w:sz w:val="22"/>
          <w:szCs w:val="22"/>
          <w:lang w:val="en-US" w:eastAsia="zh-CN"/>
        </w:rPr>
        <w:t>11</w:t>
      </w:r>
      <w:r>
        <w:rPr>
          <w:rFonts w:hint="eastAsia" w:ascii="宋体" w:hAnsi="宋体" w:cs="宋体"/>
          <w:color w:val="auto"/>
          <w:sz w:val="22"/>
          <w:szCs w:val="22"/>
        </w:rPr>
        <w:t>月</w:t>
      </w:r>
      <w:r>
        <w:rPr>
          <w:rFonts w:hint="eastAsia" w:ascii="宋体" w:hAnsi="宋体" w:cs="宋体"/>
          <w:color w:val="auto"/>
          <w:sz w:val="22"/>
          <w:szCs w:val="22"/>
          <w:lang w:val="en-US" w:eastAsia="zh-CN"/>
        </w:rPr>
        <w:t>23</w:t>
      </w:r>
      <w:r>
        <w:rPr>
          <w:rFonts w:hint="eastAsia" w:ascii="宋体" w:hAnsi="宋体" w:cs="宋体"/>
          <w:color w:val="auto"/>
          <w:sz w:val="22"/>
          <w:szCs w:val="22"/>
        </w:rPr>
        <w:t>日</w:t>
      </w:r>
      <w:r>
        <w:rPr>
          <w:rFonts w:hint="eastAsia" w:ascii="宋体" w:hAnsi="宋体" w:cs="宋体"/>
          <w:color w:val="auto"/>
          <w:sz w:val="22"/>
          <w:szCs w:val="22"/>
          <w:lang w:val="en-US" w:eastAsia="zh-CN"/>
        </w:rPr>
        <w:t>15</w:t>
      </w:r>
      <w:r>
        <w:rPr>
          <w:rFonts w:hint="eastAsia" w:ascii="宋体" w:hAnsi="宋体" w:cs="宋体"/>
          <w:color w:val="auto"/>
          <w:sz w:val="22"/>
          <w:szCs w:val="22"/>
        </w:rPr>
        <w:t>点</w:t>
      </w:r>
      <w:r>
        <w:rPr>
          <w:rFonts w:hint="eastAsia" w:ascii="宋体" w:hAnsi="宋体" w:cs="宋体"/>
          <w:color w:val="auto"/>
          <w:sz w:val="22"/>
          <w:szCs w:val="22"/>
          <w:lang w:val="en-US" w:eastAsia="zh-CN"/>
        </w:rPr>
        <w:t>3</w:t>
      </w:r>
      <w:r>
        <w:rPr>
          <w:rFonts w:hint="eastAsia" w:ascii="宋体" w:hAnsi="宋体" w:cs="宋体"/>
          <w:color w:val="auto"/>
          <w:sz w:val="22"/>
          <w:szCs w:val="22"/>
        </w:rPr>
        <w:t>0分</w:t>
      </w:r>
      <w:r>
        <w:rPr>
          <w:rFonts w:hint="eastAsia" w:ascii="宋体" w:hAnsi="宋体" w:cs="宋体"/>
          <w:color w:val="auto"/>
          <w:sz w:val="22"/>
          <w:szCs w:val="22"/>
          <w:highlight w:val="none"/>
        </w:rPr>
        <w:t>（北京时间）</w:t>
      </w:r>
    </w:p>
    <w:p>
      <w:pPr>
        <w:pStyle w:val="52"/>
        <w:keepNext w:val="0"/>
        <w:keepLines w:val="0"/>
        <w:pageBreakBefore w:val="0"/>
        <w:kinsoku/>
        <w:wordWrap/>
        <w:overflowPunct/>
        <w:topLinePunct w:val="0"/>
        <w:bidi w:val="0"/>
        <w:snapToGrid/>
        <w:spacing w:line="38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地点：北京诚佳信工程管理有限公司钦州分公司灵山办事处开标室（灵山县文峰路广电新区门口左二栋）</w:t>
      </w:r>
    </w:p>
    <w:p>
      <w:pPr>
        <w:pStyle w:val="52"/>
        <w:spacing w:line="360" w:lineRule="exact"/>
        <w:rPr>
          <w:rFonts w:ascii="宋体" w:cs="宋体"/>
          <w:color w:val="auto"/>
          <w:sz w:val="22"/>
          <w:szCs w:val="22"/>
          <w:highlight w:val="none"/>
        </w:rPr>
      </w:pPr>
      <w:r>
        <w:rPr>
          <w:rFonts w:hint="eastAsia" w:ascii="宋体" w:hAnsi="宋体" w:cs="宋体"/>
          <w:color w:val="auto"/>
          <w:sz w:val="22"/>
          <w:szCs w:val="22"/>
          <w:highlight w:val="none"/>
        </w:rPr>
        <w:t>五、开启</w:t>
      </w:r>
    </w:p>
    <w:p>
      <w:pPr>
        <w:pStyle w:val="52"/>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时间：</w:t>
      </w:r>
      <w:r>
        <w:rPr>
          <w:rFonts w:hint="eastAsia" w:ascii="宋体" w:hAnsi="宋体" w:cs="宋体"/>
          <w:color w:val="auto"/>
          <w:sz w:val="22"/>
          <w:szCs w:val="22"/>
        </w:rPr>
        <w:t>2020年</w:t>
      </w:r>
      <w:r>
        <w:rPr>
          <w:rFonts w:hint="eastAsia" w:ascii="宋体" w:hAnsi="宋体" w:cs="宋体"/>
          <w:color w:val="auto"/>
          <w:sz w:val="22"/>
          <w:szCs w:val="22"/>
          <w:lang w:val="en-US" w:eastAsia="zh-CN"/>
        </w:rPr>
        <w:t>11</w:t>
      </w:r>
      <w:r>
        <w:rPr>
          <w:rFonts w:hint="eastAsia" w:ascii="宋体" w:hAnsi="宋体" w:cs="宋体"/>
          <w:color w:val="auto"/>
          <w:sz w:val="22"/>
          <w:szCs w:val="22"/>
        </w:rPr>
        <w:t>月</w:t>
      </w:r>
      <w:r>
        <w:rPr>
          <w:rFonts w:hint="eastAsia" w:ascii="宋体" w:hAnsi="宋体" w:cs="宋体"/>
          <w:color w:val="auto"/>
          <w:sz w:val="22"/>
          <w:szCs w:val="22"/>
          <w:lang w:val="en-US" w:eastAsia="zh-CN"/>
        </w:rPr>
        <w:t>23</w:t>
      </w:r>
      <w:r>
        <w:rPr>
          <w:rFonts w:hint="eastAsia" w:ascii="宋体" w:hAnsi="宋体" w:cs="宋体"/>
          <w:color w:val="auto"/>
          <w:sz w:val="22"/>
          <w:szCs w:val="22"/>
        </w:rPr>
        <w:t>日</w:t>
      </w:r>
      <w:r>
        <w:rPr>
          <w:rFonts w:hint="eastAsia" w:ascii="宋体" w:hAnsi="宋体" w:cs="宋体"/>
          <w:color w:val="auto"/>
          <w:sz w:val="22"/>
          <w:szCs w:val="22"/>
          <w:lang w:val="en-US" w:eastAsia="zh-CN"/>
        </w:rPr>
        <w:t>15</w:t>
      </w:r>
      <w:r>
        <w:rPr>
          <w:rFonts w:hint="eastAsia" w:ascii="宋体" w:hAnsi="宋体" w:cs="宋体"/>
          <w:color w:val="auto"/>
          <w:sz w:val="22"/>
          <w:szCs w:val="22"/>
        </w:rPr>
        <w:t>点</w:t>
      </w:r>
      <w:r>
        <w:rPr>
          <w:rFonts w:hint="eastAsia" w:ascii="宋体" w:hAnsi="宋体" w:cs="宋体"/>
          <w:color w:val="auto"/>
          <w:sz w:val="22"/>
          <w:szCs w:val="22"/>
          <w:lang w:val="en-US" w:eastAsia="zh-CN"/>
        </w:rPr>
        <w:t>3</w:t>
      </w:r>
      <w:r>
        <w:rPr>
          <w:rFonts w:hint="eastAsia" w:ascii="宋体" w:hAnsi="宋体" w:cs="宋体"/>
          <w:color w:val="auto"/>
          <w:sz w:val="22"/>
          <w:szCs w:val="22"/>
        </w:rPr>
        <w:t>0分</w:t>
      </w:r>
      <w:r>
        <w:rPr>
          <w:rFonts w:hint="eastAsia" w:ascii="宋体" w:hAnsi="宋体" w:cs="宋体"/>
          <w:color w:val="auto"/>
          <w:sz w:val="22"/>
          <w:szCs w:val="22"/>
          <w:highlight w:val="none"/>
        </w:rPr>
        <w:t>（北京时间）响应文件递交截止后</w:t>
      </w:r>
    </w:p>
    <w:p>
      <w:pPr>
        <w:pStyle w:val="52"/>
        <w:keepNext w:val="0"/>
        <w:keepLines w:val="0"/>
        <w:pageBreakBefore w:val="0"/>
        <w:kinsoku/>
        <w:wordWrap/>
        <w:overflowPunct/>
        <w:topLinePunct w:val="0"/>
        <w:bidi w:val="0"/>
        <w:snapToGrid/>
        <w:spacing w:line="38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地点：北京诚佳信工程管理有限公司钦州分公司灵山办事处开标室（灵山县文峰路广电新区门口左二栋）</w:t>
      </w:r>
    </w:p>
    <w:p>
      <w:pPr>
        <w:pStyle w:val="52"/>
        <w:spacing w:line="360" w:lineRule="exact"/>
        <w:rPr>
          <w:rFonts w:ascii="宋体" w:cs="宋体"/>
          <w:color w:val="auto"/>
          <w:sz w:val="22"/>
          <w:szCs w:val="22"/>
          <w:highlight w:val="none"/>
        </w:rPr>
      </w:pPr>
      <w:r>
        <w:rPr>
          <w:rFonts w:hint="eastAsia" w:ascii="宋体" w:hAnsi="宋体" w:cs="宋体"/>
          <w:color w:val="auto"/>
          <w:sz w:val="22"/>
          <w:szCs w:val="22"/>
          <w:highlight w:val="none"/>
        </w:rPr>
        <w:t>六、公告期限</w:t>
      </w:r>
    </w:p>
    <w:p>
      <w:pPr>
        <w:pStyle w:val="52"/>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自本公告发布之日起</w:t>
      </w:r>
      <w:r>
        <w:rPr>
          <w:rFonts w:ascii="宋体" w:hAnsi="宋体" w:cs="宋体"/>
          <w:color w:val="auto"/>
          <w:sz w:val="22"/>
          <w:szCs w:val="22"/>
          <w:highlight w:val="none"/>
        </w:rPr>
        <w:t>5</w:t>
      </w:r>
      <w:r>
        <w:rPr>
          <w:rFonts w:hint="eastAsia" w:ascii="宋体" w:hAnsi="宋体" w:cs="宋体"/>
          <w:color w:val="auto"/>
          <w:sz w:val="22"/>
          <w:szCs w:val="22"/>
          <w:highlight w:val="none"/>
        </w:rPr>
        <w:t>个工作日。</w:t>
      </w:r>
    </w:p>
    <w:p>
      <w:pPr>
        <w:pStyle w:val="52"/>
        <w:spacing w:line="360" w:lineRule="exact"/>
        <w:rPr>
          <w:rFonts w:ascii="宋体" w:cs="宋体"/>
          <w:color w:val="auto"/>
          <w:sz w:val="22"/>
          <w:szCs w:val="22"/>
          <w:highlight w:val="none"/>
        </w:rPr>
      </w:pPr>
      <w:r>
        <w:rPr>
          <w:rFonts w:hint="eastAsia" w:ascii="宋体" w:hAnsi="宋体" w:cs="宋体"/>
          <w:color w:val="auto"/>
          <w:sz w:val="22"/>
          <w:szCs w:val="22"/>
          <w:highlight w:val="none"/>
        </w:rPr>
        <w:t>七、其他补充事宜</w:t>
      </w:r>
    </w:p>
    <w:p>
      <w:pPr>
        <w:snapToGrid w:val="0"/>
        <w:spacing w:line="360" w:lineRule="exact"/>
        <w:ind w:firstLine="495" w:firstLineChars="225"/>
        <w:rPr>
          <w:rFonts w:asci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bCs/>
          <w:color w:val="auto"/>
          <w:spacing w:val="6"/>
          <w:kern w:val="48"/>
          <w:sz w:val="22"/>
          <w:szCs w:val="22"/>
          <w:highlight w:val="none"/>
        </w:rPr>
        <w:t>采购项目需要落实的政府采购政策：</w:t>
      </w:r>
      <w:r>
        <w:rPr>
          <w:rFonts w:hint="eastAsia" w:ascii="宋体" w:hAnsi="宋体" w:cs="宋体"/>
          <w:color w:val="auto"/>
          <w:sz w:val="22"/>
          <w:szCs w:val="22"/>
          <w:highlight w:val="none"/>
        </w:rPr>
        <w:t>《政府采购促进中小企业发展暂行办法》（财库</w:t>
      </w:r>
      <w:r>
        <w:rPr>
          <w:rFonts w:ascii="宋体" w:hAnsi="宋体" w:cs="宋体"/>
          <w:color w:val="auto"/>
          <w:sz w:val="22"/>
          <w:szCs w:val="22"/>
          <w:highlight w:val="none"/>
        </w:rPr>
        <w:t>[2011]181</w:t>
      </w:r>
      <w:r>
        <w:rPr>
          <w:rFonts w:hint="eastAsia" w:ascii="宋体" w:hAnsi="宋体" w:cs="宋体"/>
          <w:color w:val="auto"/>
          <w:sz w:val="22"/>
          <w:szCs w:val="22"/>
          <w:highlight w:val="none"/>
        </w:rPr>
        <w:t>号）；《关于促进残疾人就业政府采购政策的通知》（财库〔</w:t>
      </w:r>
      <w:r>
        <w:rPr>
          <w:rFonts w:ascii="宋体" w:hAnsi="宋体" w:cs="宋体"/>
          <w:color w:val="auto"/>
          <w:sz w:val="22"/>
          <w:szCs w:val="22"/>
          <w:highlight w:val="none"/>
        </w:rPr>
        <w:t>2017</w:t>
      </w:r>
      <w:r>
        <w:rPr>
          <w:rFonts w:hint="eastAsia" w:ascii="宋体" w:hAnsi="宋体" w:cs="宋体"/>
          <w:color w:val="auto"/>
          <w:sz w:val="22"/>
          <w:szCs w:val="22"/>
          <w:highlight w:val="none"/>
        </w:rPr>
        <w:t>〕</w:t>
      </w:r>
      <w:r>
        <w:rPr>
          <w:rFonts w:ascii="宋体" w:hAnsi="宋体" w:cs="宋体"/>
          <w:color w:val="auto"/>
          <w:sz w:val="22"/>
          <w:szCs w:val="22"/>
          <w:highlight w:val="none"/>
        </w:rPr>
        <w:t>141</w:t>
      </w:r>
      <w:r>
        <w:rPr>
          <w:rFonts w:hint="eastAsia" w:ascii="宋体" w:hAnsi="宋体" w:cs="宋体"/>
          <w:color w:val="auto"/>
          <w:sz w:val="22"/>
          <w:szCs w:val="22"/>
          <w:highlight w:val="none"/>
        </w:rPr>
        <w:t>号）。</w:t>
      </w:r>
    </w:p>
    <w:p>
      <w:pPr>
        <w:pStyle w:val="68"/>
        <w:spacing w:line="360" w:lineRule="exact"/>
        <w:ind w:firstLine="440" w:firstLineChars="200"/>
        <w:rPr>
          <w:rFonts w:hAnsi="宋体" w:cs="宋体"/>
          <w:color w:val="auto"/>
          <w:sz w:val="22"/>
          <w:szCs w:val="22"/>
          <w:highlight w:val="none"/>
        </w:rPr>
      </w:pPr>
      <w:r>
        <w:rPr>
          <w:rFonts w:hAnsi="宋体" w:cs="宋体"/>
          <w:bCs/>
          <w:color w:val="auto"/>
          <w:sz w:val="22"/>
          <w:szCs w:val="22"/>
          <w:highlight w:val="none"/>
        </w:rPr>
        <w:t>2.</w:t>
      </w:r>
      <w:r>
        <w:rPr>
          <w:rFonts w:hint="eastAsia" w:hAnsi="宋体" w:cs="宋体"/>
          <w:bCs/>
          <w:color w:val="auto"/>
          <w:sz w:val="22"/>
          <w:szCs w:val="22"/>
          <w:highlight w:val="none"/>
        </w:rPr>
        <w:t>发布媒介：</w:t>
      </w:r>
      <w:r>
        <w:rPr>
          <w:rFonts w:hint="eastAsia" w:hAnsi="宋体" w:cs="宋体"/>
          <w:color w:val="auto"/>
          <w:sz w:val="22"/>
          <w:szCs w:val="22"/>
          <w:highlight w:val="none"/>
        </w:rPr>
        <w:t>中国政府采购网、广西政府采购网。</w:t>
      </w:r>
    </w:p>
    <w:p>
      <w:pPr>
        <w:pStyle w:val="52"/>
        <w:spacing w:line="360" w:lineRule="exact"/>
        <w:rPr>
          <w:rFonts w:ascii="宋体" w:cs="宋体"/>
          <w:color w:val="auto"/>
          <w:sz w:val="22"/>
          <w:szCs w:val="22"/>
          <w:highlight w:val="none"/>
        </w:rPr>
      </w:pPr>
      <w:r>
        <w:rPr>
          <w:rFonts w:hint="eastAsia" w:ascii="宋体" w:hAnsi="宋体" w:cs="宋体"/>
          <w:color w:val="auto"/>
          <w:sz w:val="22"/>
          <w:szCs w:val="22"/>
          <w:highlight w:val="none"/>
        </w:rPr>
        <w:t>八、凡对本次采购提出询问，请按以下方式联系。</w:t>
      </w:r>
    </w:p>
    <w:p>
      <w:pPr>
        <w:pStyle w:val="52"/>
        <w:spacing w:line="360" w:lineRule="exact"/>
        <w:ind w:firstLine="440" w:firstLineChars="200"/>
        <w:rPr>
          <w:rFonts w:hint="eastAsia" w:ascii="宋体" w:eastAsia="宋体" w:cs="宋体"/>
          <w:color w:val="auto"/>
          <w:sz w:val="22"/>
          <w:szCs w:val="22"/>
          <w:highlight w:val="none"/>
          <w:lang w:eastAsia="zh-CN"/>
        </w:rPr>
      </w:pPr>
      <w:r>
        <w:rPr>
          <w:rFonts w:ascii="宋体" w:hAnsi="宋体" w:cs="宋体"/>
          <w:color w:val="auto"/>
          <w:sz w:val="22"/>
          <w:szCs w:val="22"/>
          <w:highlight w:val="none"/>
        </w:rPr>
        <w:t>1</w:t>
      </w:r>
      <w:r>
        <w:rPr>
          <w:rFonts w:hint="eastAsia" w:ascii="宋体" w:hAnsi="宋体" w:cs="宋体"/>
          <w:color w:val="auto"/>
          <w:sz w:val="22"/>
          <w:szCs w:val="22"/>
          <w:highlight w:val="none"/>
        </w:rPr>
        <w:t>、采购人名称：</w:t>
      </w:r>
      <w:r>
        <w:rPr>
          <w:rFonts w:hint="eastAsia" w:ascii="宋体" w:hAnsi="宋体" w:cs="宋体"/>
          <w:color w:val="auto"/>
          <w:sz w:val="22"/>
          <w:szCs w:val="22"/>
          <w:highlight w:val="none"/>
          <w:lang w:eastAsia="zh-CN"/>
        </w:rPr>
        <w:t>灵山县中医医院</w:t>
      </w:r>
    </w:p>
    <w:p>
      <w:pPr>
        <w:pStyle w:val="53"/>
        <w:keepNext w:val="0"/>
        <w:keepLines w:val="0"/>
        <w:pageBreakBefore w:val="0"/>
        <w:kinsoku/>
        <w:wordWrap/>
        <w:overflowPunct/>
        <w:topLinePunct w:val="0"/>
        <w:bidi w:val="0"/>
        <w:snapToGrid/>
        <w:spacing w:line="380" w:lineRule="exact"/>
        <w:ind w:firstLine="660" w:firstLineChars="300"/>
        <w:rPr>
          <w:rFonts w:hint="eastAsia" w:ascii="宋体" w:hAnsi="宋体" w:eastAsia="宋体" w:cs="宋体"/>
          <w:bCs w:val="0"/>
          <w:color w:val="auto"/>
          <w:spacing w:val="0"/>
          <w:kern w:val="0"/>
          <w:sz w:val="22"/>
          <w:szCs w:val="22"/>
          <w:highlight w:val="none"/>
          <w:lang w:val="en-US" w:eastAsia="zh-CN" w:bidi="ar-SA"/>
        </w:rPr>
      </w:pPr>
      <w:r>
        <w:rPr>
          <w:rFonts w:hint="eastAsia" w:ascii="宋体" w:hAnsi="宋体" w:eastAsia="宋体" w:cs="宋体"/>
          <w:bCs w:val="0"/>
          <w:color w:val="auto"/>
          <w:spacing w:val="0"/>
          <w:kern w:val="0"/>
          <w:sz w:val="22"/>
          <w:szCs w:val="22"/>
          <w:highlight w:val="none"/>
          <w:lang w:val="en-US" w:eastAsia="zh-CN" w:bidi="ar-SA"/>
        </w:rPr>
        <w:t>地址：灵山县燕山路33号</w:t>
      </w:r>
    </w:p>
    <w:p>
      <w:pPr>
        <w:pStyle w:val="68"/>
        <w:spacing w:line="360" w:lineRule="exact"/>
        <w:ind w:firstLine="660" w:firstLineChars="300"/>
        <w:rPr>
          <w:rFonts w:hint="eastAsia" w:ascii="宋体" w:hAnsi="宋体" w:eastAsia="宋体" w:cs="宋体"/>
          <w:bCs w:val="0"/>
          <w:color w:val="auto"/>
          <w:spacing w:val="0"/>
          <w:kern w:val="0"/>
          <w:sz w:val="22"/>
          <w:szCs w:val="22"/>
          <w:highlight w:val="none"/>
          <w:lang w:val="en-US" w:eastAsia="zh-CN" w:bidi="ar-SA"/>
        </w:rPr>
      </w:pPr>
      <w:r>
        <w:rPr>
          <w:rFonts w:hint="eastAsia" w:ascii="宋体" w:hAnsi="宋体" w:eastAsia="宋体" w:cs="宋体"/>
          <w:bCs w:val="0"/>
          <w:color w:val="auto"/>
          <w:spacing w:val="0"/>
          <w:kern w:val="0"/>
          <w:sz w:val="22"/>
          <w:szCs w:val="22"/>
          <w:highlight w:val="none"/>
          <w:lang w:val="en-US" w:eastAsia="zh-CN" w:bidi="ar-SA"/>
        </w:rPr>
        <w:t>联系人及电话：石昌刺    0777-6886283</w:t>
      </w:r>
    </w:p>
    <w:p>
      <w:pPr>
        <w:pStyle w:val="52"/>
        <w:spacing w:line="360" w:lineRule="exact"/>
        <w:rPr>
          <w:rFonts w:ascii="宋体" w:cs="宋体"/>
          <w:color w:val="auto"/>
          <w:sz w:val="22"/>
          <w:szCs w:val="22"/>
          <w:highlight w:val="none"/>
        </w:rPr>
      </w:pPr>
      <w:r>
        <w:rPr>
          <w:rFonts w:ascii="宋体" w:hAnsi="宋体" w:cs="宋体"/>
          <w:color w:val="auto"/>
          <w:sz w:val="22"/>
          <w:szCs w:val="22"/>
          <w:highlight w:val="none"/>
        </w:rPr>
        <w:t xml:space="preserve">    2</w:t>
      </w:r>
      <w:r>
        <w:rPr>
          <w:rFonts w:hint="eastAsia" w:ascii="宋体" w:hAnsi="宋体" w:cs="宋体"/>
          <w:color w:val="auto"/>
          <w:sz w:val="22"/>
          <w:szCs w:val="22"/>
          <w:highlight w:val="none"/>
        </w:rPr>
        <w:t>、采购代理机构名称：北京诚佳信工程管理有限公司</w:t>
      </w:r>
    </w:p>
    <w:p>
      <w:pPr>
        <w:pStyle w:val="52"/>
        <w:spacing w:line="360" w:lineRule="exact"/>
        <w:rPr>
          <w:rFonts w:asci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地址：灵山县文峰路广电新区门口左二栋</w:t>
      </w:r>
      <w:r>
        <w:rPr>
          <w:rFonts w:ascii="宋体" w:hAnsi="宋体" w:cs="宋体"/>
          <w:color w:val="auto"/>
          <w:sz w:val="22"/>
          <w:szCs w:val="22"/>
          <w:highlight w:val="none"/>
        </w:rPr>
        <w:t xml:space="preserve">  </w:t>
      </w:r>
    </w:p>
    <w:p>
      <w:pPr>
        <w:pStyle w:val="52"/>
        <w:spacing w:line="360" w:lineRule="exact"/>
        <w:rPr>
          <w:rFonts w:hint="default" w:ascii="宋体" w:eastAsia="宋体" w:cs="宋体"/>
          <w:color w:val="auto"/>
          <w:sz w:val="22"/>
          <w:szCs w:val="22"/>
          <w:highlight w:val="none"/>
          <w:lang w:val="en-US" w:eastAsia="zh-CN"/>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项目联系人及电话：</w:t>
      </w:r>
      <w:r>
        <w:rPr>
          <w:rFonts w:hint="eastAsia" w:ascii="宋体" w:hAnsi="宋体" w:cs="宋体"/>
          <w:color w:val="auto"/>
          <w:sz w:val="22"/>
          <w:szCs w:val="22"/>
          <w:highlight w:val="none"/>
          <w:lang w:eastAsia="zh-CN"/>
        </w:rPr>
        <w:t>梁银银</w:t>
      </w:r>
      <w:r>
        <w:rPr>
          <w:rFonts w:ascii="宋体" w:cs="宋体"/>
          <w:color w:val="auto"/>
          <w:sz w:val="22"/>
          <w:szCs w:val="22"/>
          <w:highlight w:val="none"/>
        </w:rPr>
        <w:t> </w:t>
      </w:r>
      <w:r>
        <w:rPr>
          <w:rFonts w:ascii="宋体" w:hAnsi="宋体" w:cs="宋体"/>
          <w:color w:val="auto"/>
          <w:sz w:val="22"/>
          <w:szCs w:val="22"/>
          <w:highlight w:val="none"/>
        </w:rPr>
        <w:t xml:space="preserve"> 0777-</w:t>
      </w:r>
      <w:r>
        <w:rPr>
          <w:rFonts w:hint="eastAsia" w:ascii="宋体" w:hAnsi="宋体" w:cs="宋体"/>
          <w:color w:val="auto"/>
          <w:sz w:val="22"/>
          <w:szCs w:val="22"/>
          <w:highlight w:val="none"/>
          <w:lang w:val="en-US" w:eastAsia="zh-CN"/>
        </w:rPr>
        <w:t>6668278</w:t>
      </w:r>
    </w:p>
    <w:p>
      <w:pPr>
        <w:pStyle w:val="52"/>
        <w:spacing w:line="360" w:lineRule="exact"/>
        <w:ind w:firstLine="440" w:firstLineChars="200"/>
        <w:rPr>
          <w:rFonts w:asci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、监督部门：灵山县财政局</w:t>
      </w:r>
    </w:p>
    <w:p>
      <w:pPr>
        <w:pStyle w:val="52"/>
        <w:spacing w:line="360" w:lineRule="exact"/>
        <w:rPr>
          <w:rFonts w:asci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联系电话：</w:t>
      </w:r>
      <w:r>
        <w:rPr>
          <w:rFonts w:ascii="宋体" w:hAnsi="宋体" w:cs="宋体"/>
          <w:color w:val="auto"/>
          <w:sz w:val="22"/>
          <w:szCs w:val="22"/>
          <w:highlight w:val="none"/>
        </w:rPr>
        <w:t>0777-6428581</w:t>
      </w:r>
    </w:p>
    <w:p>
      <w:pPr>
        <w:pStyle w:val="52"/>
        <w:spacing w:line="360" w:lineRule="exact"/>
        <w:rPr>
          <w:rFonts w:ascii="宋体" w:cs="宋体"/>
          <w:color w:val="auto"/>
          <w:sz w:val="22"/>
          <w:szCs w:val="22"/>
          <w:highlight w:val="none"/>
        </w:rPr>
      </w:pPr>
    </w:p>
    <w:p>
      <w:pPr>
        <w:spacing w:line="360" w:lineRule="exact"/>
        <w:ind w:firstLine="5940" w:firstLineChars="2700"/>
        <w:rPr>
          <w:rFonts w:asci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北京诚佳信工程管理有限公司</w:t>
      </w:r>
    </w:p>
    <w:p>
      <w:pPr>
        <w:pStyle w:val="52"/>
        <w:spacing w:line="360" w:lineRule="exact"/>
        <w:rPr>
          <w:rFonts w:ascii="宋体" w:cs="宋体"/>
          <w:color w:val="auto"/>
          <w:sz w:val="22"/>
          <w:szCs w:val="22"/>
          <w:highlight w:val="none"/>
        </w:rPr>
      </w:pPr>
      <w:r>
        <w:rPr>
          <w:rFonts w:ascii="宋体" w:hAnsi="宋体" w:cs="宋体"/>
          <w:color w:val="auto"/>
          <w:sz w:val="22"/>
          <w:szCs w:val="22"/>
          <w:highlight w:val="none"/>
        </w:rPr>
        <w:t xml:space="preserve">                                                               2020</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日</w:t>
      </w:r>
    </w:p>
    <w:p>
      <w:pPr>
        <w:pStyle w:val="52"/>
        <w:spacing w:line="360" w:lineRule="exact"/>
        <w:rPr>
          <w:rFonts w:ascii="宋体" w:cs="宋体"/>
          <w:color w:val="auto"/>
          <w:sz w:val="22"/>
          <w:szCs w:val="22"/>
        </w:rPr>
      </w:pPr>
    </w:p>
    <w:p>
      <w:pPr>
        <w:spacing w:line="400" w:lineRule="exact"/>
        <w:jc w:val="center"/>
        <w:outlineLvl w:val="0"/>
        <w:rPr>
          <w:rFonts w:ascii="宋体" w:cs="宋体"/>
          <w:b/>
          <w:sz w:val="28"/>
          <w:szCs w:val="28"/>
        </w:rPr>
      </w:pPr>
      <w:bookmarkStart w:id="2" w:name="_Toc419886372"/>
      <w:r>
        <w:rPr>
          <w:rFonts w:hint="eastAsia" w:ascii="宋体" w:hAnsi="宋体" w:cs="宋体"/>
          <w:b/>
          <w:sz w:val="28"/>
          <w:szCs w:val="28"/>
        </w:rPr>
        <w:t>第二章</w:t>
      </w:r>
      <w:r>
        <w:rPr>
          <w:rFonts w:ascii="宋体" w:hAnsi="宋体" w:cs="宋体"/>
          <w:b/>
          <w:sz w:val="28"/>
          <w:szCs w:val="28"/>
        </w:rPr>
        <w:t xml:space="preserve">  </w:t>
      </w:r>
      <w:r>
        <w:rPr>
          <w:rFonts w:hint="eastAsia" w:ascii="宋体" w:hAnsi="宋体" w:cs="宋体"/>
          <w:b/>
          <w:sz w:val="28"/>
          <w:szCs w:val="28"/>
        </w:rPr>
        <w:t>供应商须知前附表</w:t>
      </w:r>
      <w:bookmarkEnd w:id="2"/>
    </w:p>
    <w:p>
      <w:pPr>
        <w:spacing w:line="400" w:lineRule="exact"/>
        <w:jc w:val="center"/>
        <w:rPr>
          <w:rFonts w:ascii="宋体" w:cs="宋体"/>
          <w:b/>
          <w:sz w:val="32"/>
          <w:szCs w:val="32"/>
        </w:rPr>
      </w:pPr>
    </w:p>
    <w:tbl>
      <w:tblPr>
        <w:tblStyle w:val="2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3"/>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7" w:type="dxa"/>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条款号</w:t>
            </w:r>
          </w:p>
        </w:tc>
        <w:tc>
          <w:tcPr>
            <w:tcW w:w="7420" w:type="dxa"/>
            <w:vAlign w:val="center"/>
          </w:tcPr>
          <w:p>
            <w:pPr>
              <w:spacing w:line="400" w:lineRule="exact"/>
              <w:jc w:val="center"/>
              <w:rPr>
                <w:rFonts w:ascii="宋体" w:cs="宋体"/>
                <w:sz w:val="22"/>
                <w:szCs w:val="22"/>
              </w:rPr>
            </w:pPr>
            <w:r>
              <w:rPr>
                <w:rFonts w:hint="eastAsia" w:ascii="宋体" w:hAnsi="宋体" w:cs="宋体"/>
                <w:sz w:val="22"/>
                <w:szCs w:val="22"/>
              </w:rPr>
              <w:t>内</w:t>
            </w:r>
            <w:r>
              <w:rPr>
                <w:rFonts w:ascii="宋体" w:hAnsi="宋体" w:cs="宋体"/>
                <w:sz w:val="22"/>
                <w:szCs w:val="22"/>
              </w:rPr>
              <w:t xml:space="preserve">     </w:t>
            </w:r>
            <w:r>
              <w:rPr>
                <w:rFonts w:hint="eastAsia" w:ascii="宋体" w:hAnsi="宋体" w:cs="宋体"/>
                <w:sz w:val="22"/>
                <w:szCs w:val="22"/>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项目名称、编号</w:t>
            </w:r>
          </w:p>
        </w:tc>
        <w:tc>
          <w:tcPr>
            <w:tcW w:w="7420" w:type="dxa"/>
            <w:vAlign w:val="center"/>
          </w:tcPr>
          <w:p>
            <w:pPr>
              <w:spacing w:line="400" w:lineRule="exact"/>
              <w:rPr>
                <w:rFonts w:ascii="宋体" w:cs="宋体"/>
                <w:sz w:val="22"/>
                <w:szCs w:val="22"/>
              </w:rPr>
            </w:pPr>
            <w:r>
              <w:rPr>
                <w:rFonts w:hint="eastAsia" w:ascii="宋体" w:hAnsi="宋体" w:cs="宋体"/>
                <w:sz w:val="22"/>
                <w:szCs w:val="22"/>
              </w:rPr>
              <w:t>项目名称：</w:t>
            </w:r>
            <w:r>
              <w:rPr>
                <w:rFonts w:hint="eastAsia" w:ascii="宋体" w:hAnsi="宋体" w:cs="宋体"/>
                <w:sz w:val="22"/>
                <w:szCs w:val="22"/>
                <w:lang w:eastAsia="zh-CN"/>
              </w:rPr>
              <w:t>电子病历应用水平分级评价四级建设项目</w:t>
            </w:r>
            <w:r>
              <w:rPr>
                <w:rFonts w:ascii="宋体" w:hAnsi="宋体" w:cs="宋体"/>
                <w:sz w:val="22"/>
                <w:szCs w:val="22"/>
              </w:rPr>
              <w:t xml:space="preserve"> </w:t>
            </w:r>
          </w:p>
          <w:p>
            <w:pPr>
              <w:spacing w:line="400" w:lineRule="exact"/>
              <w:rPr>
                <w:rFonts w:hint="eastAsia" w:ascii="宋体" w:eastAsia="宋体" w:cs="宋体"/>
                <w:sz w:val="22"/>
                <w:szCs w:val="22"/>
                <w:u w:val="single"/>
                <w:lang w:eastAsia="zh-CN"/>
              </w:rPr>
            </w:pPr>
            <w:r>
              <w:rPr>
                <w:rFonts w:hint="eastAsia" w:ascii="宋体" w:hAnsi="宋体" w:cs="宋体"/>
                <w:sz w:val="22"/>
                <w:szCs w:val="22"/>
              </w:rPr>
              <w:t>项目编号：</w:t>
            </w:r>
            <w:r>
              <w:rPr>
                <w:rFonts w:hint="eastAsia" w:ascii="宋体" w:hAnsi="宋体" w:cs="宋体"/>
                <w:bCs/>
                <w:sz w:val="22"/>
                <w:szCs w:val="22"/>
                <w:lang w:eastAsia="zh-CN"/>
              </w:rPr>
              <w:t>QZZC2020-C3-50058-CJXG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2</w:t>
            </w:r>
          </w:p>
        </w:tc>
        <w:tc>
          <w:tcPr>
            <w:tcW w:w="1143" w:type="dxa"/>
            <w:vAlign w:val="center"/>
          </w:tcPr>
          <w:p>
            <w:pPr>
              <w:spacing w:line="400" w:lineRule="exact"/>
              <w:rPr>
                <w:rFonts w:ascii="宋体" w:cs="宋体"/>
                <w:bCs/>
                <w:sz w:val="22"/>
                <w:szCs w:val="22"/>
              </w:rPr>
            </w:pPr>
            <w:r>
              <w:rPr>
                <w:rFonts w:hint="eastAsia" w:ascii="宋体" w:hAnsi="宋体" w:cs="宋体"/>
                <w:bCs/>
                <w:sz w:val="22"/>
                <w:szCs w:val="22"/>
              </w:rPr>
              <w:t>供应商</w:t>
            </w:r>
            <w:r>
              <w:rPr>
                <w:rFonts w:ascii="宋体" w:hAnsi="宋体" w:cs="宋体"/>
                <w:bCs/>
                <w:sz w:val="22"/>
                <w:szCs w:val="22"/>
              </w:rPr>
              <w:t xml:space="preserve"> </w:t>
            </w:r>
            <w:r>
              <w:rPr>
                <w:rFonts w:hint="eastAsia" w:ascii="宋体" w:hAnsi="宋体" w:cs="宋体"/>
                <w:bCs/>
                <w:sz w:val="22"/>
                <w:szCs w:val="22"/>
              </w:rPr>
              <w:t>资格</w:t>
            </w:r>
          </w:p>
          <w:p>
            <w:pPr>
              <w:spacing w:line="400" w:lineRule="exact"/>
              <w:jc w:val="center"/>
              <w:rPr>
                <w:rFonts w:ascii="宋体" w:cs="宋体"/>
                <w:sz w:val="22"/>
                <w:szCs w:val="22"/>
              </w:rPr>
            </w:pPr>
          </w:p>
        </w:tc>
        <w:tc>
          <w:tcPr>
            <w:tcW w:w="7420" w:type="dxa"/>
            <w:vAlign w:val="center"/>
          </w:tcPr>
          <w:p>
            <w:pPr>
              <w:spacing w:line="360" w:lineRule="exact"/>
              <w:ind w:firstLine="440" w:firstLineChars="200"/>
              <w:rPr>
                <w:rFonts w:ascii="宋体" w:cs="宋体"/>
                <w:sz w:val="22"/>
                <w:szCs w:val="22"/>
                <w:shd w:val="clear" w:color="auto" w:fill="FFFFFF"/>
              </w:rPr>
            </w:pPr>
            <w:r>
              <w:rPr>
                <w:rFonts w:ascii="宋体" w:hAnsi="宋体" w:cs="宋体"/>
                <w:sz w:val="22"/>
                <w:szCs w:val="22"/>
                <w:shd w:val="clear" w:color="auto" w:fill="FFFFFF"/>
              </w:rPr>
              <w:t>1.</w:t>
            </w:r>
            <w:r>
              <w:rPr>
                <w:rFonts w:hint="eastAsia" w:ascii="宋体" w:hAnsi="宋体" w:cs="宋体"/>
                <w:sz w:val="22"/>
                <w:szCs w:val="22"/>
                <w:shd w:val="clear" w:color="auto" w:fill="FFFFFF"/>
              </w:rPr>
              <w:t>符合《中华人民共和国政府采购法》第二十二条的规定。</w:t>
            </w:r>
          </w:p>
          <w:p>
            <w:pPr>
              <w:spacing w:line="360" w:lineRule="exact"/>
              <w:ind w:firstLine="440" w:firstLineChars="200"/>
              <w:rPr>
                <w:rFonts w:ascii="宋体" w:cs="宋体"/>
                <w:sz w:val="22"/>
                <w:szCs w:val="22"/>
                <w:shd w:val="clear" w:color="auto" w:fill="FFFFFF"/>
              </w:rPr>
            </w:pPr>
            <w:r>
              <w:rPr>
                <w:rFonts w:ascii="宋体" w:hAnsi="宋体" w:cs="宋体"/>
                <w:sz w:val="22"/>
                <w:szCs w:val="22"/>
                <w:shd w:val="clear" w:color="auto" w:fill="FFFFFF"/>
              </w:rPr>
              <w:t>2.</w:t>
            </w:r>
            <w:r>
              <w:rPr>
                <w:rFonts w:hint="eastAsia" w:ascii="宋体" w:hAnsi="宋体" w:cs="宋体"/>
                <w:sz w:val="22"/>
                <w:szCs w:val="22"/>
                <w:shd w:val="clear" w:color="auto" w:fill="FFFFFF"/>
              </w:rPr>
              <w:t>未被“信用中国”（</w:t>
            </w:r>
            <w:r>
              <w:rPr>
                <w:rFonts w:ascii="宋体" w:hAnsi="宋体" w:cs="宋体"/>
                <w:sz w:val="22"/>
                <w:szCs w:val="22"/>
                <w:shd w:val="clear" w:color="auto" w:fill="FFFFFF"/>
              </w:rPr>
              <w:t>www.creditchina.gov.cn</w:t>
            </w:r>
            <w:r>
              <w:rPr>
                <w:rFonts w:hint="eastAsia" w:ascii="宋体" w:hAnsi="宋体" w:cs="宋体"/>
                <w:sz w:val="22"/>
                <w:szCs w:val="22"/>
                <w:shd w:val="clear" w:color="auto" w:fill="FFFFFF"/>
              </w:rPr>
              <w:t>）、中国政府采购网（</w:t>
            </w:r>
            <w:r>
              <w:rPr>
                <w:rFonts w:ascii="宋体" w:hAnsi="宋体" w:cs="宋体"/>
                <w:sz w:val="22"/>
                <w:szCs w:val="22"/>
                <w:shd w:val="clear" w:color="auto" w:fill="FFFFFF"/>
              </w:rPr>
              <w:t>www.ccgp.gov.cn</w:t>
            </w:r>
            <w:r>
              <w:rPr>
                <w:rFonts w:hint="eastAsia" w:ascii="宋体" w:hAnsi="宋体" w:cs="宋体"/>
                <w:sz w:val="22"/>
                <w:szCs w:val="22"/>
                <w:shd w:val="clear" w:color="auto" w:fill="FFFFFF"/>
              </w:rPr>
              <w:t>）列入失信被执行人、重大税收违法案件当事人名单、政府采购严重违法失信行为记录名单。</w:t>
            </w:r>
          </w:p>
          <w:p>
            <w:pPr>
              <w:spacing w:line="360" w:lineRule="exact"/>
              <w:ind w:firstLine="440" w:firstLineChars="200"/>
              <w:rPr>
                <w:rFonts w:ascii="宋体" w:cs="宋体"/>
                <w:sz w:val="22"/>
                <w:szCs w:val="22"/>
              </w:rPr>
            </w:pPr>
            <w:r>
              <w:rPr>
                <w:rFonts w:ascii="宋体" w:hAnsi="宋体" w:cs="宋体"/>
                <w:sz w:val="22"/>
                <w:szCs w:val="22"/>
                <w:shd w:val="clear" w:color="auto" w:fill="FFFFFF"/>
              </w:rPr>
              <w:t>3.</w:t>
            </w:r>
            <w:r>
              <w:rPr>
                <w:rFonts w:hint="eastAsia" w:ascii="宋体" w:hAnsi="宋体" w:cs="宋体"/>
                <w:sz w:val="22"/>
                <w:szCs w:val="22"/>
                <w:shd w:val="clear" w:color="auto" w:fill="FFFFFF"/>
              </w:rPr>
              <w:t>本项目的特定资格要求：</w:t>
            </w:r>
          </w:p>
          <w:p>
            <w:pPr>
              <w:pStyle w:val="52"/>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olor w:val="auto"/>
                <w:sz w:val="22"/>
                <w:szCs w:val="22"/>
                <w:highlight w:val="none"/>
              </w:rPr>
              <w:t>国内注册（指按国家有关规定要求注册的），具备独立法人资格，生产或经营本次采购货物（服务）的供应商。</w:t>
            </w:r>
          </w:p>
          <w:p>
            <w:pPr>
              <w:pStyle w:val="52"/>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2</w:t>
            </w:r>
            <w:r>
              <w:rPr>
                <w:rFonts w:hint="eastAsia" w:ascii="宋体" w:hAnsi="宋体" w:cs="宋体"/>
                <w:color w:val="auto"/>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52"/>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3</w:t>
            </w:r>
            <w:r>
              <w:rPr>
                <w:rFonts w:hint="eastAsia" w:ascii="宋体" w:hAnsi="宋体" w:cs="宋体"/>
                <w:color w:val="auto"/>
                <w:sz w:val="22"/>
                <w:szCs w:val="22"/>
              </w:rPr>
              <w:t>）供应商无行贿犯罪记录的承诺书或书面声明，有行贿犯罪记录的不得参与本次采购活动。</w:t>
            </w:r>
          </w:p>
          <w:p>
            <w:pPr>
              <w:pStyle w:val="52"/>
              <w:spacing w:line="36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w:t>
            </w:r>
            <w:r>
              <w:rPr>
                <w:rFonts w:ascii="宋体" w:hAnsi="宋体" w:cs="宋体"/>
                <w:color w:val="auto"/>
                <w:sz w:val="22"/>
                <w:szCs w:val="22"/>
              </w:rPr>
              <w:t>4</w:t>
            </w:r>
            <w:r>
              <w:rPr>
                <w:rFonts w:hint="eastAsia" w:ascii="宋体" w:hAnsi="宋体" w:cs="宋体"/>
                <w:color w:val="auto"/>
                <w:sz w:val="22"/>
                <w:szCs w:val="22"/>
              </w:rPr>
              <w:t>）本项目不接受未购买本项目竞争性磋商文件的供应商磋商。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3</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磋商报价</w:t>
            </w:r>
          </w:p>
        </w:tc>
        <w:tc>
          <w:tcPr>
            <w:tcW w:w="7420" w:type="dxa"/>
            <w:vAlign w:val="center"/>
          </w:tcPr>
          <w:p>
            <w:pPr>
              <w:spacing w:line="400" w:lineRule="exact"/>
              <w:rPr>
                <w:rFonts w:ascii="宋体" w:cs="宋体"/>
                <w:sz w:val="22"/>
                <w:szCs w:val="22"/>
              </w:rPr>
            </w:pPr>
            <w:r>
              <w:rPr>
                <w:rFonts w:hint="eastAsia" w:ascii="宋体" w:hAnsi="宋体" w:cs="宋体"/>
                <w:sz w:val="22"/>
                <w:szCs w:val="22"/>
              </w:rPr>
              <w:t>供应商须就本项目采购内容及要求作完整唯一的报价。</w:t>
            </w:r>
          </w:p>
          <w:p>
            <w:pPr>
              <w:spacing w:line="400" w:lineRule="exact"/>
              <w:rPr>
                <w:rFonts w:ascii="宋体" w:cs="宋体"/>
                <w:sz w:val="22"/>
                <w:szCs w:val="22"/>
              </w:rPr>
            </w:pPr>
            <w:r>
              <w:rPr>
                <w:rFonts w:hint="eastAsia" w:ascii="宋体" w:hAnsi="宋体" w:cs="宋体"/>
                <w:sz w:val="22"/>
                <w:szCs w:val="22"/>
              </w:rPr>
              <w:t>以最终成交报价为固定总价合同包干，不作调整。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4</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响应文件份数</w:t>
            </w:r>
          </w:p>
        </w:tc>
        <w:tc>
          <w:tcPr>
            <w:tcW w:w="7420" w:type="dxa"/>
            <w:vAlign w:val="center"/>
          </w:tcPr>
          <w:p>
            <w:pPr>
              <w:spacing w:line="400" w:lineRule="exact"/>
              <w:rPr>
                <w:rFonts w:ascii="宋体" w:cs="宋体"/>
                <w:sz w:val="22"/>
                <w:szCs w:val="22"/>
              </w:rPr>
            </w:pPr>
            <w:r>
              <w:rPr>
                <w:rFonts w:hint="eastAsia" w:ascii="宋体" w:hAnsi="宋体" w:cs="宋体"/>
                <w:sz w:val="22"/>
                <w:szCs w:val="22"/>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5</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磋商有效期</w:t>
            </w:r>
          </w:p>
        </w:tc>
        <w:tc>
          <w:tcPr>
            <w:tcW w:w="7420" w:type="dxa"/>
            <w:vAlign w:val="center"/>
          </w:tcPr>
          <w:p>
            <w:pPr>
              <w:spacing w:line="400" w:lineRule="exact"/>
              <w:rPr>
                <w:rFonts w:ascii="宋体" w:cs="宋体"/>
                <w:sz w:val="22"/>
                <w:szCs w:val="22"/>
              </w:rPr>
            </w:pPr>
            <w:r>
              <w:rPr>
                <w:rFonts w:hint="eastAsia" w:ascii="宋体" w:hAnsi="宋体" w:cs="宋体"/>
                <w:sz w:val="22"/>
                <w:szCs w:val="22"/>
              </w:rPr>
              <w:t>磋商截止日期后</w:t>
            </w:r>
            <w:r>
              <w:rPr>
                <w:rFonts w:ascii="宋体" w:hAnsi="宋体" w:cs="宋体"/>
                <w:sz w:val="22"/>
                <w:szCs w:val="22"/>
              </w:rPr>
              <w:t>60</w:t>
            </w:r>
            <w:r>
              <w:rPr>
                <w:rFonts w:hint="eastAsia" w:ascii="宋体" w:hAnsi="宋体" w:cs="宋体"/>
                <w:sz w:val="22"/>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6</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磋商保证金</w:t>
            </w:r>
          </w:p>
        </w:tc>
        <w:tc>
          <w:tcPr>
            <w:tcW w:w="7420" w:type="dxa"/>
            <w:vAlign w:val="center"/>
          </w:tcPr>
          <w:p>
            <w:pPr>
              <w:spacing w:line="400" w:lineRule="exact"/>
              <w:rPr>
                <w:rFonts w:ascii="宋体" w:cs="宋体"/>
                <w:sz w:val="22"/>
                <w:szCs w:val="22"/>
              </w:rPr>
            </w:pPr>
            <w:r>
              <w:rPr>
                <w:rFonts w:hint="eastAsia" w:ascii="宋体" w:hAnsi="宋体" w:cs="宋体"/>
                <w:sz w:val="22"/>
                <w:szCs w:val="22"/>
              </w:rPr>
              <w:t>磋商保证金</w:t>
            </w:r>
            <w:r>
              <w:rPr>
                <w:rFonts w:hint="eastAsia" w:ascii="宋体" w:hAnsi="宋体" w:cs="宋体"/>
                <w:bCs/>
                <w:sz w:val="22"/>
                <w:szCs w:val="22"/>
              </w:rPr>
              <w:t>（人民币）：</w:t>
            </w:r>
            <w:r>
              <w:rPr>
                <w:rFonts w:hint="eastAsia" w:ascii="宋体" w:hAnsi="宋体" w:cs="宋体"/>
                <w:sz w:val="22"/>
                <w:szCs w:val="22"/>
                <w:lang w:val="en-US" w:eastAsia="zh-CN"/>
              </w:rPr>
              <w:fldChar w:fldCharType="begin"/>
            </w:r>
            <w:r>
              <w:rPr>
                <w:rFonts w:hint="eastAsia" w:ascii="宋体" w:hAnsi="宋体" w:cs="宋体"/>
                <w:sz w:val="22"/>
                <w:szCs w:val="22"/>
                <w:lang w:val="en-US" w:eastAsia="zh-CN"/>
              </w:rPr>
              <w:instrText xml:space="preserve"> = 15000 \* CHINESENUM2 \* MERGEFORMAT </w:instrText>
            </w:r>
            <w:r>
              <w:rPr>
                <w:rFonts w:hint="eastAsia" w:ascii="宋体" w:hAnsi="宋体" w:cs="宋体"/>
                <w:sz w:val="22"/>
                <w:szCs w:val="22"/>
                <w:lang w:val="en-US" w:eastAsia="zh-CN"/>
              </w:rPr>
              <w:fldChar w:fldCharType="separate"/>
            </w:r>
            <w:r>
              <w:rPr>
                <w:rFonts w:hint="eastAsia" w:ascii="宋体" w:hAnsi="宋体" w:cs="宋体"/>
                <w:sz w:val="22"/>
                <w:szCs w:val="22"/>
                <w:lang w:eastAsia="zh-CN"/>
              </w:rPr>
              <w:t>叁</w:t>
            </w:r>
            <w:r>
              <w:rPr>
                <w:rFonts w:hint="eastAsia" w:ascii="宋体" w:hAnsi="宋体" w:cs="宋体"/>
                <w:sz w:val="22"/>
                <w:szCs w:val="22"/>
              </w:rPr>
              <w:t>万伍仟</w:t>
            </w:r>
            <w:r>
              <w:rPr>
                <w:rFonts w:hint="eastAsia" w:ascii="宋体" w:hAnsi="宋体" w:cs="宋体"/>
                <w:sz w:val="22"/>
                <w:szCs w:val="22"/>
                <w:lang w:val="en-US" w:eastAsia="zh-CN"/>
              </w:rPr>
              <w:fldChar w:fldCharType="end"/>
            </w:r>
            <w:r>
              <w:rPr>
                <w:rFonts w:hint="eastAsia" w:ascii="宋体" w:hAnsi="宋体" w:cs="宋体"/>
                <w:sz w:val="22"/>
                <w:szCs w:val="22"/>
              </w:rPr>
              <w:t>元整（¥</w:t>
            </w:r>
            <w:r>
              <w:rPr>
                <w:rFonts w:hint="eastAsia" w:ascii="宋体" w:hAnsi="宋体" w:cs="宋体"/>
                <w:sz w:val="22"/>
                <w:szCs w:val="22"/>
                <w:lang w:val="en-US" w:eastAsia="zh-CN"/>
              </w:rPr>
              <w:t>35</w:t>
            </w:r>
            <w:r>
              <w:rPr>
                <w:rFonts w:hint="eastAsia" w:ascii="宋体" w:hAnsi="宋体" w:cs="宋体"/>
                <w:sz w:val="22"/>
                <w:szCs w:val="22"/>
              </w:rPr>
              <w:t>000.00）。磋商保证金应在指定时间内须足额交纳并保持有效。</w:t>
            </w:r>
          </w:p>
          <w:p>
            <w:pPr>
              <w:spacing w:line="400" w:lineRule="exact"/>
              <w:rPr>
                <w:rFonts w:ascii="宋体" w:cs="宋体"/>
                <w:sz w:val="22"/>
                <w:szCs w:val="22"/>
              </w:rPr>
            </w:pPr>
            <w:r>
              <w:rPr>
                <w:rFonts w:hint="eastAsia" w:ascii="宋体" w:hAnsi="宋体" w:cs="宋体"/>
                <w:sz w:val="22"/>
                <w:szCs w:val="22"/>
              </w:rPr>
              <w:t>交纳方式：从供应商的</w:t>
            </w:r>
            <w:r>
              <w:rPr>
                <w:rFonts w:hint="eastAsia" w:ascii="宋体" w:hAnsi="宋体" w:cs="宋体"/>
                <w:sz w:val="22"/>
                <w:szCs w:val="22"/>
                <w:lang w:eastAsia="zh-CN"/>
              </w:rPr>
              <w:t>账户</w:t>
            </w:r>
            <w:r>
              <w:rPr>
                <w:rFonts w:hint="eastAsia" w:ascii="宋体" w:hAnsi="宋体" w:cs="宋体"/>
                <w:sz w:val="22"/>
                <w:szCs w:val="22"/>
              </w:rPr>
              <w:t>以转账、电汇等非现金形式交至以下账户：</w:t>
            </w:r>
          </w:p>
          <w:p>
            <w:pPr>
              <w:spacing w:line="400" w:lineRule="exact"/>
              <w:ind w:firstLine="440" w:firstLineChars="200"/>
              <w:rPr>
                <w:rFonts w:ascii="宋体" w:cs="宋体"/>
                <w:sz w:val="22"/>
                <w:szCs w:val="22"/>
              </w:rPr>
            </w:pPr>
            <w:r>
              <w:rPr>
                <w:rFonts w:hint="eastAsia" w:ascii="宋体" w:hAnsi="宋体" w:cs="宋体"/>
                <w:sz w:val="22"/>
                <w:szCs w:val="22"/>
              </w:rPr>
              <w:t>开户名称：北京诚佳信工程管理有限公司钦州分公司</w:t>
            </w:r>
            <w:r>
              <w:rPr>
                <w:rFonts w:ascii="宋体" w:hAnsi="宋体" w:cs="宋体"/>
                <w:sz w:val="22"/>
                <w:szCs w:val="22"/>
              </w:rPr>
              <w:t xml:space="preserve"> </w:t>
            </w:r>
          </w:p>
          <w:p>
            <w:pPr>
              <w:spacing w:line="400" w:lineRule="exact"/>
              <w:ind w:firstLine="440" w:firstLineChars="200"/>
              <w:rPr>
                <w:rFonts w:ascii="宋体" w:cs="宋体"/>
                <w:sz w:val="22"/>
                <w:szCs w:val="22"/>
              </w:rPr>
            </w:pPr>
            <w:r>
              <w:rPr>
                <w:rFonts w:hint="eastAsia" w:ascii="宋体" w:hAnsi="宋体" w:cs="宋体"/>
                <w:sz w:val="22"/>
                <w:szCs w:val="22"/>
              </w:rPr>
              <w:t>开户银行：中国农业银行股份有限公司钦州明珠支行</w:t>
            </w:r>
          </w:p>
          <w:p>
            <w:pPr>
              <w:spacing w:line="400" w:lineRule="exact"/>
              <w:ind w:firstLine="440" w:firstLineChars="200"/>
              <w:rPr>
                <w:rFonts w:ascii="宋体" w:cs="宋体"/>
                <w:sz w:val="22"/>
                <w:szCs w:val="22"/>
              </w:rPr>
            </w:pPr>
            <w:r>
              <w:rPr>
                <w:rFonts w:hint="eastAsia" w:ascii="宋体" w:hAnsi="宋体" w:cs="宋体"/>
                <w:sz w:val="22"/>
                <w:szCs w:val="22"/>
              </w:rPr>
              <w:t>银行账号：</w:t>
            </w:r>
            <w:r>
              <w:rPr>
                <w:rFonts w:ascii="宋体" w:hAnsi="宋体" w:cs="宋体"/>
                <w:sz w:val="22"/>
                <w:szCs w:val="22"/>
              </w:rPr>
              <w:t xml:space="preserve"> 2073 4101 0400 10232</w:t>
            </w:r>
          </w:p>
          <w:p>
            <w:pPr>
              <w:spacing w:line="400" w:lineRule="exact"/>
              <w:ind w:firstLine="440" w:firstLineChars="200"/>
              <w:rPr>
                <w:rFonts w:ascii="宋体" w:cs="宋体"/>
                <w:sz w:val="22"/>
                <w:szCs w:val="22"/>
              </w:rPr>
            </w:pPr>
            <w:r>
              <w:rPr>
                <w:rFonts w:hint="eastAsia" w:ascii="宋体" w:hAnsi="宋体" w:cs="宋体"/>
                <w:sz w:val="22"/>
                <w:szCs w:val="22"/>
              </w:rPr>
              <w:t>注：</w:t>
            </w:r>
            <w:r>
              <w:rPr>
                <w:rFonts w:ascii="宋体" w:hAnsi="宋体" w:cs="宋体"/>
                <w:sz w:val="22"/>
                <w:szCs w:val="22"/>
              </w:rPr>
              <w:t>1</w:t>
            </w:r>
            <w:r>
              <w:rPr>
                <w:rFonts w:hint="eastAsia" w:ascii="宋体" w:hAnsi="宋体" w:cs="宋体"/>
                <w:sz w:val="22"/>
                <w:szCs w:val="22"/>
              </w:rPr>
              <w:t>、供应商必须在磋商截止时间前一日下午</w:t>
            </w:r>
            <w:r>
              <w:rPr>
                <w:rFonts w:ascii="宋体" w:hAnsi="宋体" w:cs="宋体"/>
                <w:sz w:val="22"/>
                <w:szCs w:val="22"/>
              </w:rPr>
              <w:t>18</w:t>
            </w:r>
            <w:r>
              <w:rPr>
                <w:rFonts w:hint="eastAsia" w:ascii="宋体" w:hAnsi="宋体" w:cs="宋体"/>
                <w:sz w:val="22"/>
                <w:szCs w:val="22"/>
              </w:rPr>
              <w:t>点</w:t>
            </w:r>
            <w:r>
              <w:rPr>
                <w:rFonts w:ascii="宋体" w:cs="宋体"/>
                <w:sz w:val="22"/>
                <w:szCs w:val="22"/>
              </w:rPr>
              <w:t>00</w:t>
            </w:r>
            <w:r>
              <w:rPr>
                <w:rFonts w:hint="eastAsia" w:ascii="宋体" w:hAnsi="宋体" w:cs="宋体"/>
                <w:sz w:val="22"/>
                <w:szCs w:val="22"/>
              </w:rPr>
              <w:t>分前（具体以到账时间为准）将磋商保证金交到以上账户，在递交响应文件截止时间前持银行转账凭证底单原件到代理机构开具到账收据，且将银行转账凭证底单复印件及到账收据复印件放进响应文件中，加盖单位公章，否则磋商无效。</w:t>
            </w:r>
          </w:p>
          <w:p>
            <w:pPr>
              <w:spacing w:line="400" w:lineRule="exact"/>
              <w:rPr>
                <w:rFonts w:ascii="宋体" w:cs="宋体"/>
                <w:sz w:val="22"/>
                <w:szCs w:val="22"/>
              </w:rPr>
            </w:pPr>
            <w:r>
              <w:rPr>
                <w:rFonts w:ascii="宋体" w:hAnsi="宋体" w:cs="宋体"/>
                <w:sz w:val="22"/>
                <w:szCs w:val="22"/>
              </w:rPr>
              <w:t>2</w:t>
            </w:r>
            <w:r>
              <w:rPr>
                <w:rFonts w:hint="eastAsia" w:ascii="宋体" w:hAnsi="宋体" w:cs="宋体"/>
                <w:sz w:val="22"/>
                <w:szCs w:val="22"/>
              </w:rPr>
              <w:t>、办理磋商保证金手续时，请务必在银行单或电汇单的用途或空白栏上注明项目采购编号，以免耽误磋商。</w:t>
            </w:r>
          </w:p>
          <w:p>
            <w:pPr>
              <w:pStyle w:val="75"/>
              <w:spacing w:line="400" w:lineRule="exact"/>
              <w:rPr>
                <w:rFonts w:hAnsi="宋体" w:cs="宋体"/>
                <w:sz w:val="22"/>
                <w:szCs w:val="22"/>
              </w:rPr>
            </w:pPr>
            <w:r>
              <w:rPr>
                <w:rFonts w:hAnsi="宋体" w:cs="宋体"/>
                <w:sz w:val="22"/>
                <w:szCs w:val="22"/>
              </w:rPr>
              <w:t>3</w:t>
            </w:r>
            <w:r>
              <w:rPr>
                <w:rFonts w:hint="eastAsia" w:hAnsi="宋体" w:cs="宋体"/>
                <w:sz w:val="22"/>
                <w:szCs w:val="22"/>
              </w:rPr>
              <w:t>、供应商若没有按规定交纳磋商保证金的，则磋商无效。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7</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响应文件递交截止时间及地点</w:t>
            </w:r>
          </w:p>
        </w:tc>
        <w:tc>
          <w:tcPr>
            <w:tcW w:w="7420" w:type="dxa"/>
            <w:vAlign w:val="center"/>
          </w:tcPr>
          <w:p>
            <w:pPr>
              <w:spacing w:line="400" w:lineRule="exact"/>
              <w:rPr>
                <w:rFonts w:ascii="宋体" w:cs="宋体"/>
                <w:color w:val="auto"/>
                <w:sz w:val="22"/>
                <w:szCs w:val="22"/>
              </w:rPr>
            </w:pPr>
            <w:r>
              <w:rPr>
                <w:rFonts w:hint="eastAsia" w:ascii="宋体" w:hAnsi="宋体" w:cs="宋体"/>
                <w:color w:val="auto"/>
                <w:sz w:val="22"/>
                <w:szCs w:val="22"/>
              </w:rPr>
              <w:t>响应文件递交截止时间：2020年</w:t>
            </w:r>
            <w:r>
              <w:rPr>
                <w:rFonts w:hint="eastAsia" w:ascii="宋体" w:hAnsi="宋体" w:cs="宋体"/>
                <w:color w:val="auto"/>
                <w:sz w:val="22"/>
                <w:szCs w:val="22"/>
                <w:lang w:val="en-US" w:eastAsia="zh-CN"/>
              </w:rPr>
              <w:t>11</w:t>
            </w:r>
            <w:r>
              <w:rPr>
                <w:rFonts w:hint="eastAsia" w:ascii="宋体" w:hAnsi="宋体" w:cs="宋体"/>
                <w:color w:val="auto"/>
                <w:sz w:val="22"/>
                <w:szCs w:val="22"/>
              </w:rPr>
              <w:t>月</w:t>
            </w:r>
            <w:r>
              <w:rPr>
                <w:rFonts w:hint="eastAsia" w:ascii="宋体" w:hAnsi="宋体" w:cs="宋体"/>
                <w:color w:val="auto"/>
                <w:sz w:val="22"/>
                <w:szCs w:val="22"/>
                <w:lang w:val="en-US" w:eastAsia="zh-CN"/>
              </w:rPr>
              <w:t>23</w:t>
            </w:r>
            <w:r>
              <w:rPr>
                <w:rFonts w:hint="eastAsia" w:ascii="宋体" w:hAnsi="宋体" w:cs="宋体"/>
                <w:color w:val="auto"/>
                <w:sz w:val="22"/>
                <w:szCs w:val="22"/>
              </w:rPr>
              <w:t>日</w:t>
            </w:r>
            <w:r>
              <w:rPr>
                <w:rFonts w:hint="eastAsia" w:ascii="宋体" w:hAnsi="宋体" w:cs="宋体"/>
                <w:color w:val="auto"/>
                <w:sz w:val="22"/>
                <w:szCs w:val="22"/>
                <w:lang w:val="en-US" w:eastAsia="zh-CN"/>
              </w:rPr>
              <w:t>15</w:t>
            </w:r>
            <w:r>
              <w:rPr>
                <w:rFonts w:hint="eastAsia" w:ascii="宋体" w:hAnsi="宋体" w:cs="宋体"/>
                <w:color w:val="auto"/>
                <w:sz w:val="22"/>
                <w:szCs w:val="22"/>
              </w:rPr>
              <w:t>点</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p>
            <w:pPr>
              <w:spacing w:line="400" w:lineRule="exact"/>
              <w:rPr>
                <w:rFonts w:ascii="宋体" w:cs="宋体"/>
                <w:color w:val="auto"/>
                <w:sz w:val="22"/>
                <w:szCs w:val="22"/>
              </w:rPr>
            </w:pPr>
            <w:r>
              <w:rPr>
                <w:rFonts w:hint="eastAsia" w:ascii="宋体" w:hAnsi="宋体" w:cs="宋体"/>
                <w:color w:val="auto"/>
                <w:sz w:val="22"/>
                <w:szCs w:val="22"/>
              </w:rPr>
              <w:t>响应文件递交截止地点：</w:t>
            </w:r>
            <w:r>
              <w:rPr>
                <w:rFonts w:hint="eastAsia" w:ascii="宋体" w:hAnsi="宋体" w:cs="宋体"/>
                <w:color w:val="auto"/>
                <w:sz w:val="22"/>
                <w:szCs w:val="22"/>
                <w:highlight w:val="none"/>
              </w:rPr>
              <w:t>北京诚佳信工程管理有限公司钦州分公司灵山办事处开标室（灵山县文峰路广电新区门口左二栋）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8</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磋商时间及地点</w:t>
            </w:r>
          </w:p>
        </w:tc>
        <w:tc>
          <w:tcPr>
            <w:tcW w:w="7420" w:type="dxa"/>
            <w:vAlign w:val="center"/>
          </w:tcPr>
          <w:p>
            <w:pPr>
              <w:spacing w:line="400" w:lineRule="exact"/>
              <w:rPr>
                <w:rFonts w:ascii="宋体" w:cs="宋体"/>
                <w:color w:val="auto"/>
                <w:sz w:val="22"/>
                <w:szCs w:val="22"/>
              </w:rPr>
            </w:pPr>
            <w:r>
              <w:rPr>
                <w:rFonts w:hint="eastAsia" w:ascii="宋体" w:hAnsi="宋体" w:cs="宋体"/>
                <w:color w:val="auto"/>
                <w:sz w:val="22"/>
                <w:szCs w:val="22"/>
              </w:rPr>
              <w:t>磋商时间：2020年</w:t>
            </w:r>
            <w:r>
              <w:rPr>
                <w:rFonts w:hint="eastAsia" w:ascii="宋体" w:hAnsi="宋体" w:cs="宋体"/>
                <w:color w:val="auto"/>
                <w:sz w:val="22"/>
                <w:szCs w:val="22"/>
                <w:lang w:val="en-US" w:eastAsia="zh-CN"/>
              </w:rPr>
              <w:t>11</w:t>
            </w:r>
            <w:r>
              <w:rPr>
                <w:rFonts w:hint="eastAsia" w:ascii="宋体" w:hAnsi="宋体" w:cs="宋体"/>
                <w:color w:val="auto"/>
                <w:sz w:val="22"/>
                <w:szCs w:val="22"/>
              </w:rPr>
              <w:t>月</w:t>
            </w:r>
            <w:r>
              <w:rPr>
                <w:rFonts w:hint="eastAsia" w:ascii="宋体" w:hAnsi="宋体" w:cs="宋体"/>
                <w:color w:val="auto"/>
                <w:sz w:val="22"/>
                <w:szCs w:val="22"/>
                <w:lang w:val="en-US" w:eastAsia="zh-CN"/>
              </w:rPr>
              <w:t>23</w:t>
            </w:r>
            <w:r>
              <w:rPr>
                <w:rFonts w:hint="eastAsia" w:ascii="宋体" w:hAnsi="宋体" w:cs="宋体"/>
                <w:color w:val="auto"/>
                <w:sz w:val="22"/>
                <w:szCs w:val="22"/>
              </w:rPr>
              <w:t>日</w:t>
            </w:r>
            <w:r>
              <w:rPr>
                <w:rFonts w:hint="eastAsia" w:ascii="宋体" w:hAnsi="宋体" w:cs="宋体"/>
                <w:color w:val="auto"/>
                <w:sz w:val="22"/>
                <w:szCs w:val="22"/>
                <w:lang w:val="en-US" w:eastAsia="zh-CN"/>
              </w:rPr>
              <w:t>15</w:t>
            </w:r>
            <w:r>
              <w:rPr>
                <w:rFonts w:hint="eastAsia" w:ascii="宋体" w:hAnsi="宋体" w:cs="宋体"/>
                <w:color w:val="auto"/>
                <w:sz w:val="22"/>
                <w:szCs w:val="22"/>
              </w:rPr>
              <w:t>点</w:t>
            </w:r>
            <w:r>
              <w:rPr>
                <w:rFonts w:hint="eastAsia" w:ascii="宋体" w:hAnsi="宋体" w:cs="宋体"/>
                <w:color w:val="auto"/>
                <w:sz w:val="22"/>
                <w:szCs w:val="22"/>
                <w:lang w:val="en-US" w:eastAsia="zh-CN"/>
              </w:rPr>
              <w:t>3</w:t>
            </w:r>
            <w:r>
              <w:rPr>
                <w:rFonts w:hint="eastAsia" w:ascii="宋体" w:hAnsi="宋体" w:cs="宋体"/>
                <w:color w:val="auto"/>
                <w:sz w:val="22"/>
                <w:szCs w:val="22"/>
              </w:rPr>
              <w:t>0分响应文件递交截止后</w:t>
            </w:r>
          </w:p>
          <w:p>
            <w:pPr>
              <w:spacing w:line="400" w:lineRule="exact"/>
              <w:rPr>
                <w:rFonts w:ascii="宋体" w:cs="宋体"/>
                <w:color w:val="auto"/>
                <w:sz w:val="22"/>
                <w:szCs w:val="22"/>
              </w:rPr>
            </w:pPr>
            <w:r>
              <w:rPr>
                <w:rFonts w:hint="eastAsia" w:ascii="宋体" w:hAnsi="宋体" w:cs="宋体"/>
                <w:color w:val="auto"/>
                <w:sz w:val="22"/>
                <w:szCs w:val="22"/>
              </w:rPr>
              <w:t>磋商地点：</w:t>
            </w:r>
            <w:r>
              <w:rPr>
                <w:rFonts w:hint="eastAsia" w:ascii="宋体" w:hAnsi="宋体" w:cs="宋体"/>
                <w:color w:val="auto"/>
                <w:sz w:val="22"/>
                <w:szCs w:val="22"/>
                <w:highlight w:val="none"/>
              </w:rPr>
              <w:t>北京诚佳信工程管理有限公司钦州分公司灵山办事处开标室（灵山县文峰路广电新区门口左二栋）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9</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代理服务费</w:t>
            </w:r>
          </w:p>
        </w:tc>
        <w:tc>
          <w:tcPr>
            <w:tcW w:w="7420" w:type="dxa"/>
            <w:vAlign w:val="center"/>
          </w:tcPr>
          <w:p>
            <w:pPr>
              <w:pStyle w:val="12"/>
              <w:spacing w:line="400" w:lineRule="exact"/>
              <w:rPr>
                <w:rFonts w:hAnsi="宋体" w:cs="宋体"/>
                <w:sz w:val="22"/>
                <w:szCs w:val="22"/>
              </w:rPr>
            </w:pPr>
            <w:r>
              <w:rPr>
                <w:rFonts w:hint="eastAsia" w:hAnsi="宋体" w:cs="宋体"/>
                <w:sz w:val="22"/>
                <w:szCs w:val="22"/>
              </w:rPr>
              <w:t>代理服务费：采购代理服务费按灵政办发（</w:t>
            </w:r>
            <w:r>
              <w:rPr>
                <w:rFonts w:hAnsi="宋体" w:cs="宋体"/>
                <w:sz w:val="22"/>
                <w:szCs w:val="22"/>
              </w:rPr>
              <w:t>2014</w:t>
            </w:r>
            <w:r>
              <w:rPr>
                <w:rFonts w:hint="eastAsia" w:hAnsi="宋体" w:cs="宋体"/>
                <w:sz w:val="22"/>
                <w:szCs w:val="22"/>
              </w:rPr>
              <w:t>）</w:t>
            </w:r>
            <w:r>
              <w:rPr>
                <w:rFonts w:hAnsi="宋体" w:cs="宋体"/>
                <w:sz w:val="22"/>
                <w:szCs w:val="22"/>
              </w:rPr>
              <w:t>86</w:t>
            </w:r>
            <w:r>
              <w:rPr>
                <w:rFonts w:hint="eastAsia" w:hAnsi="宋体" w:cs="宋体"/>
                <w:sz w:val="22"/>
                <w:szCs w:val="22"/>
              </w:rPr>
              <w:t>号文、灵财采</w:t>
            </w:r>
            <w:r>
              <w:rPr>
                <w:rFonts w:hAnsi="宋体" w:cs="宋体"/>
                <w:sz w:val="22"/>
                <w:szCs w:val="22"/>
              </w:rPr>
              <w:t>[2017]1</w:t>
            </w:r>
            <w:r>
              <w:rPr>
                <w:rFonts w:hint="eastAsia" w:hAnsi="宋体" w:cs="宋体"/>
                <w:sz w:val="22"/>
                <w:szCs w:val="22"/>
              </w:rPr>
              <w:t>号文的规定向采购人收取，服务费收费参照国家发展计划委员会文件计价格（</w:t>
            </w:r>
            <w:r>
              <w:rPr>
                <w:rFonts w:hAnsi="宋体" w:cs="宋体"/>
                <w:sz w:val="22"/>
                <w:szCs w:val="22"/>
              </w:rPr>
              <w:t>2002</w:t>
            </w:r>
            <w:r>
              <w:rPr>
                <w:rFonts w:hint="eastAsia" w:hAnsi="宋体" w:cs="宋体"/>
                <w:sz w:val="22"/>
                <w:szCs w:val="22"/>
              </w:rPr>
              <w:t>）</w:t>
            </w:r>
            <w:r>
              <w:rPr>
                <w:rFonts w:hAnsi="宋体" w:cs="宋体"/>
                <w:sz w:val="22"/>
                <w:szCs w:val="22"/>
              </w:rPr>
              <w:t>1980</w:t>
            </w:r>
            <w:r>
              <w:rPr>
                <w:rFonts w:hint="eastAsia" w:hAnsi="宋体" w:cs="宋体"/>
                <w:sz w:val="22"/>
                <w:szCs w:val="22"/>
              </w:rPr>
              <w:t>号国家计委关于印发《招标代理服务收费管理暂行办法》收费标准（服务招标类型）计取。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10</w:t>
            </w:r>
          </w:p>
        </w:tc>
        <w:tc>
          <w:tcPr>
            <w:tcW w:w="1143" w:type="dxa"/>
            <w:vAlign w:val="center"/>
          </w:tcPr>
          <w:p>
            <w:pPr>
              <w:spacing w:line="400" w:lineRule="exact"/>
              <w:rPr>
                <w:rFonts w:ascii="宋体" w:cs="宋体"/>
                <w:sz w:val="22"/>
                <w:szCs w:val="22"/>
              </w:rPr>
            </w:pPr>
            <w:r>
              <w:rPr>
                <w:rFonts w:hint="eastAsia" w:ascii="宋体" w:hAnsi="宋体" w:cs="宋体"/>
                <w:sz w:val="22"/>
                <w:szCs w:val="22"/>
              </w:rPr>
              <w:t>政策与其他规定</w:t>
            </w:r>
          </w:p>
        </w:tc>
        <w:tc>
          <w:tcPr>
            <w:tcW w:w="7420" w:type="dxa"/>
            <w:vAlign w:val="center"/>
          </w:tcPr>
          <w:p>
            <w:pPr>
              <w:spacing w:line="400" w:lineRule="exact"/>
              <w:rPr>
                <w:sz w:val="22"/>
                <w:szCs w:val="22"/>
              </w:rPr>
            </w:pPr>
            <w:r>
              <w:rPr>
                <w:rFonts w:hint="eastAsia"/>
                <w:sz w:val="22"/>
                <w:szCs w:val="22"/>
              </w:rPr>
              <w:t>政策与其他规定：</w:t>
            </w:r>
          </w:p>
          <w:p>
            <w:pPr>
              <w:numPr>
                <w:ilvl w:val="0"/>
                <w:numId w:val="2"/>
              </w:numPr>
              <w:spacing w:line="400" w:lineRule="exact"/>
              <w:rPr>
                <w:sz w:val="22"/>
                <w:szCs w:val="22"/>
              </w:rPr>
            </w:pPr>
            <w:r>
              <w:rPr>
                <w:rFonts w:hint="eastAsia"/>
                <w:sz w:val="22"/>
                <w:szCs w:val="22"/>
              </w:rPr>
              <w:t>供应商享受支持中小企业发展政策、促进残疾人就业政府采购政策优惠的（不重复享受），可用扣除后的最后报价参与价格比较。本项目价格扣除比例及相关要求见第六章“评审办法”。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11</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评审办法</w:t>
            </w:r>
          </w:p>
        </w:tc>
        <w:tc>
          <w:tcPr>
            <w:tcW w:w="7420"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12</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资金来源</w:t>
            </w:r>
          </w:p>
        </w:tc>
        <w:tc>
          <w:tcPr>
            <w:tcW w:w="7420"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13</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采购预算金额</w:t>
            </w:r>
          </w:p>
        </w:tc>
        <w:tc>
          <w:tcPr>
            <w:tcW w:w="7420" w:type="dxa"/>
            <w:vAlign w:val="center"/>
          </w:tcPr>
          <w:p>
            <w:pPr>
              <w:pStyle w:val="52"/>
              <w:spacing w:line="360" w:lineRule="exact"/>
              <w:rPr>
                <w:rFonts w:ascii="宋体" w:cs="宋体"/>
                <w:sz w:val="22"/>
                <w:szCs w:val="22"/>
              </w:rPr>
            </w:pPr>
            <w:r>
              <w:rPr>
                <w:rFonts w:hint="eastAsia" w:ascii="宋体" w:hAnsi="宋体" w:cs="宋体"/>
                <w:color w:val="auto"/>
                <w:sz w:val="22"/>
                <w:szCs w:val="22"/>
                <w:highlight w:val="none"/>
              </w:rPr>
              <w:t>人民币</w:t>
            </w:r>
            <w:r>
              <w:rPr>
                <w:rFonts w:hint="eastAsia" w:ascii="宋体" w:hAnsi="宋体" w:cs="宋体"/>
                <w:color w:val="auto"/>
                <w:sz w:val="22"/>
                <w:szCs w:val="22"/>
                <w:highlight w:val="none"/>
                <w:lang w:eastAsia="zh-CN"/>
              </w:rPr>
              <w:fldChar w:fldCharType="begin"/>
            </w:r>
            <w:r>
              <w:rPr>
                <w:rFonts w:hint="eastAsia" w:ascii="宋体" w:hAnsi="宋体" w:cs="宋体"/>
                <w:color w:val="auto"/>
                <w:sz w:val="22"/>
                <w:szCs w:val="22"/>
                <w:highlight w:val="none"/>
                <w:lang w:eastAsia="zh-CN"/>
              </w:rPr>
              <w:instrText xml:space="preserve"> = 1840000 \* CHINESENUM2 \* MERGEFORMAT </w:instrText>
            </w:r>
            <w:r>
              <w:rPr>
                <w:rFonts w:hint="eastAsia" w:ascii="宋体" w:hAnsi="宋体" w:cs="宋体"/>
                <w:color w:val="auto"/>
                <w:sz w:val="22"/>
                <w:szCs w:val="22"/>
                <w:highlight w:val="none"/>
                <w:lang w:eastAsia="zh-CN"/>
              </w:rPr>
              <w:fldChar w:fldCharType="separate"/>
            </w:r>
            <w:r>
              <w:rPr>
                <w:rFonts w:hint="eastAsia" w:ascii="宋体" w:hAnsi="宋体" w:cs="宋体"/>
                <w:color w:val="auto"/>
                <w:sz w:val="22"/>
                <w:szCs w:val="22"/>
                <w:highlight w:val="none"/>
                <w:lang w:eastAsia="zh-CN"/>
              </w:rPr>
              <w:t>壹佰捌拾肆万</w:t>
            </w:r>
            <w:r>
              <w:rPr>
                <w:rFonts w:hint="eastAsia" w:ascii="宋体" w:hAnsi="宋体" w:cs="宋体"/>
                <w:color w:val="auto"/>
                <w:sz w:val="22"/>
                <w:szCs w:val="22"/>
                <w:highlight w:val="none"/>
                <w:lang w:eastAsia="zh-CN"/>
              </w:rPr>
              <w:fldChar w:fldCharType="end"/>
            </w:r>
            <w:r>
              <w:rPr>
                <w:rFonts w:hint="eastAsia" w:ascii="宋体" w:hAnsi="宋体" w:cs="宋体"/>
                <w:color w:val="auto"/>
                <w:sz w:val="22"/>
                <w:szCs w:val="22"/>
                <w:highlight w:val="none"/>
                <w:lang w:eastAsia="zh-CN"/>
              </w:rPr>
              <w:t>元整（¥1840000.00）</w:t>
            </w:r>
            <w:r>
              <w:rPr>
                <w:rFonts w:hint="eastAsia" w:ascii="宋体" w:hAnsi="宋体" w:cs="宋体"/>
                <w:sz w:val="22"/>
                <w:szCs w:val="22"/>
              </w:rPr>
              <w:t>，超出其预算金额的磋商无效。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14</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现场踏勘</w:t>
            </w:r>
          </w:p>
        </w:tc>
        <w:tc>
          <w:tcPr>
            <w:tcW w:w="7420" w:type="dxa"/>
            <w:vAlign w:val="center"/>
          </w:tcPr>
          <w:p>
            <w:pPr>
              <w:tabs>
                <w:tab w:val="left" w:pos="720"/>
              </w:tabs>
              <w:spacing w:line="400" w:lineRule="exact"/>
              <w:jc w:val="left"/>
              <w:rPr>
                <w:rFonts w:ascii="宋体" w:cs="宋体"/>
                <w:sz w:val="22"/>
                <w:szCs w:val="22"/>
              </w:rPr>
            </w:pPr>
            <w:r>
              <w:rPr>
                <w:rFonts w:hint="eastAsia" w:ascii="宋体" w:hAnsi="Wingdings" w:cs="宋体"/>
                <w:sz w:val="22"/>
                <w:szCs w:val="22"/>
              </w:rPr>
              <w:sym w:font="Wingdings" w:char="F0A8"/>
            </w:r>
            <w:r>
              <w:rPr>
                <w:rFonts w:hint="eastAsia" w:ascii="宋体" w:hAnsi="宋体" w:cs="宋体"/>
                <w:sz w:val="22"/>
                <w:szCs w:val="22"/>
              </w:rPr>
              <w:t>组织</w:t>
            </w:r>
            <w:r>
              <w:rPr>
                <w:rFonts w:ascii="宋体" w:hAnsi="宋体" w:cs="宋体"/>
                <w:sz w:val="22"/>
                <w:szCs w:val="22"/>
              </w:rPr>
              <w:t xml:space="preserve"> </w:t>
            </w:r>
            <w:r>
              <w:rPr>
                <w:rFonts w:hint="eastAsia" w:ascii="宋体" w:hAnsi="Wingdings" w:cs="宋体"/>
                <w:sz w:val="22"/>
                <w:szCs w:val="22"/>
              </w:rPr>
              <w:sym w:font="Wingdings" w:char="F0FE"/>
            </w:r>
            <w:r>
              <w:rPr>
                <w:rFonts w:hint="eastAsia" w:ascii="宋体" w:hAnsi="宋体" w:cs="宋体"/>
                <w:sz w:val="22"/>
                <w:szCs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15</w:t>
            </w:r>
          </w:p>
        </w:tc>
        <w:tc>
          <w:tcPr>
            <w:tcW w:w="1143" w:type="dxa"/>
            <w:vAlign w:val="center"/>
          </w:tcPr>
          <w:p>
            <w:pPr>
              <w:tabs>
                <w:tab w:val="left" w:pos="720"/>
              </w:tabs>
              <w:spacing w:line="400" w:lineRule="exact"/>
              <w:jc w:val="left"/>
              <w:rPr>
                <w:rFonts w:hint="eastAsia" w:ascii="宋体" w:hAnsi="宋体" w:cs="宋体"/>
                <w:sz w:val="22"/>
                <w:szCs w:val="22"/>
              </w:rPr>
            </w:pPr>
            <w:r>
              <w:rPr>
                <w:rFonts w:hint="eastAsia" w:ascii="宋体" w:hAnsi="宋体" w:eastAsia="宋体" w:cs="宋体"/>
                <w:b/>
                <w:spacing w:val="2"/>
                <w:szCs w:val="24"/>
              </w:rPr>
              <w:t>开标会议注意事项</w:t>
            </w:r>
          </w:p>
        </w:tc>
        <w:tc>
          <w:tcPr>
            <w:tcW w:w="7420" w:type="dxa"/>
            <w:vAlign w:val="center"/>
          </w:tcPr>
          <w:p>
            <w:pPr>
              <w:tabs>
                <w:tab w:val="left" w:pos="720"/>
              </w:tabs>
              <w:spacing w:line="400" w:lineRule="exact"/>
              <w:jc w:val="left"/>
              <w:rPr>
                <w:rFonts w:hint="eastAsia" w:ascii="宋体" w:hAnsi="Wingdings" w:cs="宋体"/>
                <w:sz w:val="22"/>
                <w:szCs w:val="22"/>
              </w:rPr>
            </w:pPr>
            <w:r>
              <w:rPr>
                <w:rFonts w:hint="eastAsia" w:ascii="宋体" w:hAnsi="宋体" w:cs="宋体"/>
                <w:b/>
                <w:bCs/>
                <w:color w:val="auto"/>
                <w:sz w:val="22"/>
                <w:szCs w:val="22"/>
              </w:rPr>
              <w:t>参加磋商的法定代表人或委托代理人必须持本人有效身份证原件及以下材料</w:t>
            </w:r>
            <w:r>
              <w:rPr>
                <w:rFonts w:ascii="宋体" w:hAnsi="宋体" w:cs="宋体"/>
                <w:b/>
                <w:bCs/>
                <w:color w:val="auto"/>
                <w:sz w:val="22"/>
                <w:szCs w:val="22"/>
              </w:rPr>
              <w:t>[</w:t>
            </w:r>
            <w:r>
              <w:rPr>
                <w:rFonts w:hint="eastAsia" w:ascii="宋体" w:hAnsi="宋体" w:cs="宋体"/>
                <w:b/>
                <w:bCs/>
                <w:color w:val="auto"/>
                <w:sz w:val="22"/>
                <w:szCs w:val="22"/>
              </w:rPr>
              <w:t>法定代表人身份证复印件；法人授权委托书原件和身份证复印件（委托时必须提供）；保证金到账收据</w:t>
            </w:r>
            <w:r>
              <w:rPr>
                <w:rFonts w:hint="eastAsia" w:ascii="宋体" w:hAnsi="宋体" w:cs="宋体"/>
                <w:b/>
                <w:bCs/>
                <w:color w:val="auto"/>
                <w:sz w:val="22"/>
                <w:szCs w:val="22"/>
                <w:lang w:eastAsia="zh-CN"/>
              </w:rPr>
              <w:t>原件</w:t>
            </w:r>
            <w:r>
              <w:rPr>
                <w:rFonts w:hint="eastAsia" w:ascii="宋体" w:hAnsi="宋体" w:cs="宋体"/>
                <w:b/>
                <w:bCs/>
                <w:color w:val="auto"/>
                <w:sz w:val="22"/>
                <w:szCs w:val="22"/>
              </w:rPr>
              <w:t>；营业执照副本复印件（以上材料均加盖公章）</w:t>
            </w:r>
            <w:r>
              <w:rPr>
                <w:rFonts w:ascii="宋体" w:hAnsi="宋体" w:cs="宋体"/>
                <w:b/>
                <w:bCs/>
                <w:color w:val="auto"/>
                <w:sz w:val="22"/>
                <w:szCs w:val="22"/>
              </w:rPr>
              <w:t>]</w:t>
            </w:r>
            <w:r>
              <w:rPr>
                <w:rFonts w:hint="eastAsia" w:ascii="宋体" w:hAnsi="宋体" w:cs="宋体"/>
                <w:b/>
                <w:bCs/>
                <w:color w:val="auto"/>
                <w:sz w:val="22"/>
                <w:szCs w:val="22"/>
              </w:rPr>
              <w:t>依时到达指定地点等候当面磋商。</w:t>
            </w:r>
          </w:p>
        </w:tc>
      </w:tr>
    </w:tbl>
    <w:p>
      <w:pPr>
        <w:spacing w:line="400" w:lineRule="exact"/>
        <w:jc w:val="center"/>
        <w:rPr>
          <w:rFonts w:ascii="宋体" w:cs="宋体"/>
          <w:b/>
          <w:sz w:val="22"/>
          <w:szCs w:val="22"/>
        </w:rPr>
      </w:pPr>
      <w:r>
        <w:rPr>
          <w:rFonts w:ascii="宋体" w:cs="宋体"/>
        </w:rPr>
        <w:br w:type="page"/>
      </w:r>
      <w:r>
        <w:rPr>
          <w:rFonts w:hint="eastAsia" w:ascii="宋体" w:hAnsi="宋体" w:cs="宋体"/>
          <w:b/>
          <w:sz w:val="28"/>
          <w:szCs w:val="28"/>
        </w:rPr>
        <w:t>供</w:t>
      </w:r>
      <w:r>
        <w:rPr>
          <w:rFonts w:ascii="宋体" w:hAnsi="宋体" w:cs="宋体"/>
          <w:b/>
          <w:sz w:val="28"/>
          <w:szCs w:val="28"/>
        </w:rPr>
        <w:t xml:space="preserve"> </w:t>
      </w:r>
      <w:r>
        <w:rPr>
          <w:rFonts w:hint="eastAsia" w:ascii="宋体" w:hAnsi="宋体" w:cs="宋体"/>
          <w:b/>
          <w:sz w:val="28"/>
          <w:szCs w:val="28"/>
        </w:rPr>
        <w:t>应</w:t>
      </w:r>
      <w:r>
        <w:rPr>
          <w:rFonts w:ascii="宋体" w:hAnsi="宋体" w:cs="宋体"/>
          <w:b/>
          <w:sz w:val="28"/>
          <w:szCs w:val="28"/>
        </w:rPr>
        <w:t xml:space="preserve"> </w:t>
      </w:r>
      <w:r>
        <w:rPr>
          <w:rFonts w:hint="eastAsia" w:ascii="宋体" w:hAnsi="宋体" w:cs="宋体"/>
          <w:b/>
          <w:sz w:val="28"/>
          <w:szCs w:val="28"/>
        </w:rPr>
        <w:t>商</w:t>
      </w:r>
      <w:r>
        <w:rPr>
          <w:rFonts w:ascii="宋体" w:hAnsi="宋体" w:cs="宋体"/>
          <w:b/>
          <w:sz w:val="28"/>
          <w:szCs w:val="28"/>
        </w:rPr>
        <w:t xml:space="preserve"> </w:t>
      </w:r>
      <w:r>
        <w:rPr>
          <w:rFonts w:hint="eastAsia" w:ascii="宋体" w:hAnsi="宋体" w:cs="宋体"/>
          <w:b/>
          <w:sz w:val="28"/>
          <w:szCs w:val="28"/>
        </w:rPr>
        <w:t>须</w:t>
      </w:r>
      <w:r>
        <w:rPr>
          <w:rFonts w:ascii="宋体" w:hAnsi="宋体" w:cs="宋体"/>
          <w:b/>
          <w:sz w:val="28"/>
          <w:szCs w:val="28"/>
        </w:rPr>
        <w:t xml:space="preserve"> </w:t>
      </w:r>
      <w:r>
        <w:rPr>
          <w:rFonts w:hint="eastAsia" w:ascii="宋体" w:hAnsi="宋体" w:cs="宋体"/>
          <w:b/>
          <w:sz w:val="28"/>
          <w:szCs w:val="28"/>
        </w:rPr>
        <w:t>知</w:t>
      </w:r>
    </w:p>
    <w:p>
      <w:pPr>
        <w:spacing w:line="400" w:lineRule="exact"/>
        <w:rPr>
          <w:rFonts w:ascii="宋体" w:cs="宋体"/>
          <w:b/>
          <w:sz w:val="22"/>
          <w:szCs w:val="22"/>
        </w:rPr>
      </w:pPr>
      <w:r>
        <w:rPr>
          <w:rFonts w:hint="eastAsia" w:ascii="宋体" w:hAnsi="宋体" w:cs="宋体"/>
          <w:b/>
          <w:sz w:val="22"/>
          <w:szCs w:val="22"/>
        </w:rPr>
        <w:t>一、总则</w:t>
      </w:r>
    </w:p>
    <w:p>
      <w:pPr>
        <w:spacing w:line="400" w:lineRule="exact"/>
        <w:rPr>
          <w:rFonts w:ascii="宋体" w:cs="宋体"/>
          <w:sz w:val="22"/>
          <w:szCs w:val="22"/>
        </w:rPr>
      </w:pPr>
      <w:r>
        <w:rPr>
          <w:rFonts w:ascii="宋体" w:hAnsi="宋体" w:cs="宋体"/>
          <w:sz w:val="22"/>
          <w:szCs w:val="22"/>
        </w:rPr>
        <w:t xml:space="preserve">1. </w:t>
      </w:r>
      <w:r>
        <w:rPr>
          <w:rFonts w:hint="eastAsia" w:ascii="宋体" w:hAnsi="宋体" w:cs="宋体"/>
          <w:sz w:val="22"/>
          <w:szCs w:val="22"/>
        </w:rPr>
        <w:t>适用范围</w:t>
      </w:r>
    </w:p>
    <w:p>
      <w:pPr>
        <w:spacing w:line="400" w:lineRule="exact"/>
        <w:rPr>
          <w:rFonts w:ascii="宋体" w:cs="宋体"/>
          <w:sz w:val="22"/>
          <w:szCs w:val="22"/>
        </w:rPr>
      </w:pPr>
      <w:r>
        <w:rPr>
          <w:rFonts w:ascii="宋体" w:hAnsi="宋体" w:cs="宋体"/>
          <w:sz w:val="22"/>
          <w:szCs w:val="22"/>
        </w:rPr>
        <w:t xml:space="preserve">1.1 </w:t>
      </w:r>
      <w:r>
        <w:rPr>
          <w:rFonts w:hint="eastAsia" w:ascii="宋体" w:hAnsi="宋体" w:cs="宋体"/>
          <w:sz w:val="22"/>
          <w:szCs w:val="22"/>
        </w:rPr>
        <w:t>本文件仅适用于本文件中所叙述的货物、服务类采购项目。</w:t>
      </w:r>
    </w:p>
    <w:p>
      <w:pPr>
        <w:spacing w:line="400" w:lineRule="exact"/>
        <w:rPr>
          <w:rFonts w:ascii="宋体" w:cs="宋体"/>
          <w:sz w:val="22"/>
          <w:szCs w:val="22"/>
        </w:rPr>
      </w:pPr>
      <w:r>
        <w:rPr>
          <w:rFonts w:ascii="宋体" w:hAnsi="宋体" w:cs="宋体"/>
          <w:sz w:val="22"/>
          <w:szCs w:val="22"/>
        </w:rPr>
        <w:t xml:space="preserve">2. </w:t>
      </w:r>
      <w:r>
        <w:rPr>
          <w:rFonts w:hint="eastAsia" w:ascii="宋体" w:hAnsi="宋体" w:cs="宋体"/>
          <w:sz w:val="22"/>
          <w:szCs w:val="22"/>
        </w:rPr>
        <w:t>定义</w:t>
      </w:r>
    </w:p>
    <w:p>
      <w:pPr>
        <w:spacing w:line="400" w:lineRule="exact"/>
        <w:rPr>
          <w:rFonts w:hint="eastAsia" w:ascii="宋体" w:eastAsia="宋体" w:cs="宋体"/>
          <w:sz w:val="22"/>
          <w:szCs w:val="22"/>
          <w:lang w:eastAsia="zh-CN"/>
        </w:rPr>
      </w:pPr>
      <w:r>
        <w:rPr>
          <w:rFonts w:ascii="宋体" w:hAnsi="宋体" w:cs="宋体"/>
          <w:sz w:val="22"/>
          <w:szCs w:val="22"/>
        </w:rPr>
        <w:t>2.1</w:t>
      </w:r>
      <w:r>
        <w:rPr>
          <w:rFonts w:hint="eastAsia" w:ascii="宋体" w:hAnsi="宋体" w:cs="宋体"/>
          <w:sz w:val="22"/>
          <w:szCs w:val="22"/>
        </w:rPr>
        <w:t>“采购人”是指：</w:t>
      </w:r>
      <w:r>
        <w:rPr>
          <w:rFonts w:hint="eastAsia" w:ascii="宋体" w:hAnsi="宋体" w:cs="宋体"/>
          <w:sz w:val="22"/>
          <w:szCs w:val="22"/>
          <w:lang w:eastAsia="zh-CN"/>
        </w:rPr>
        <w:t>灵山县中医医院</w:t>
      </w:r>
    </w:p>
    <w:p>
      <w:pPr>
        <w:spacing w:line="400" w:lineRule="exact"/>
        <w:rPr>
          <w:rFonts w:ascii="宋体" w:cs="宋体"/>
          <w:sz w:val="22"/>
          <w:szCs w:val="22"/>
        </w:rPr>
      </w:pPr>
      <w:r>
        <w:rPr>
          <w:rFonts w:ascii="宋体" w:hAnsi="宋体" w:cs="宋体"/>
          <w:sz w:val="22"/>
          <w:szCs w:val="22"/>
        </w:rPr>
        <w:t>2.2</w:t>
      </w:r>
      <w:r>
        <w:rPr>
          <w:rFonts w:hint="eastAsia" w:ascii="宋体" w:hAnsi="宋体" w:cs="宋体"/>
          <w:sz w:val="22"/>
          <w:szCs w:val="22"/>
        </w:rPr>
        <w:t>“采购代理机构”是指：北京诚佳信工程管理有限公司</w:t>
      </w:r>
    </w:p>
    <w:p>
      <w:pPr>
        <w:spacing w:line="400" w:lineRule="exact"/>
        <w:rPr>
          <w:rFonts w:ascii="宋体" w:cs="宋体"/>
          <w:sz w:val="22"/>
          <w:szCs w:val="22"/>
        </w:rPr>
      </w:pPr>
      <w:r>
        <w:rPr>
          <w:rFonts w:ascii="宋体" w:hAnsi="宋体" w:cs="宋体"/>
          <w:sz w:val="22"/>
          <w:szCs w:val="22"/>
        </w:rPr>
        <w:t>2.3</w:t>
      </w:r>
      <w:r>
        <w:rPr>
          <w:rFonts w:hint="eastAsia" w:ascii="宋体" w:hAnsi="宋体" w:cs="宋体"/>
          <w:sz w:val="22"/>
          <w:szCs w:val="22"/>
        </w:rPr>
        <w:t>“供应商”是指响应本文件要求，参加磋商的法人或者其他组织。如果该供应商在本次磋商中成交，即成为“成交供应商”。</w:t>
      </w:r>
    </w:p>
    <w:p>
      <w:pPr>
        <w:spacing w:line="400" w:lineRule="exact"/>
        <w:rPr>
          <w:rFonts w:ascii="宋体" w:cs="宋体"/>
          <w:sz w:val="22"/>
          <w:szCs w:val="22"/>
        </w:rPr>
      </w:pPr>
      <w:r>
        <w:rPr>
          <w:rFonts w:ascii="宋体" w:hAnsi="宋体" w:cs="宋体"/>
          <w:sz w:val="22"/>
          <w:szCs w:val="22"/>
        </w:rPr>
        <w:t>2.4</w:t>
      </w:r>
      <w:r>
        <w:rPr>
          <w:rFonts w:hint="eastAsia" w:ascii="宋体" w:hAnsi="宋体" w:cs="宋体"/>
          <w:sz w:val="22"/>
          <w:szCs w:val="22"/>
        </w:rPr>
        <w:t>“货物”是指各种形态和种类的物品，包括原材料、燃料、设备、产品等。</w:t>
      </w:r>
    </w:p>
    <w:p>
      <w:pPr>
        <w:spacing w:line="400" w:lineRule="exact"/>
        <w:rPr>
          <w:rFonts w:ascii="宋体" w:cs="宋体"/>
          <w:sz w:val="22"/>
          <w:szCs w:val="22"/>
        </w:rPr>
      </w:pPr>
      <w:r>
        <w:rPr>
          <w:rFonts w:ascii="宋体" w:hAnsi="宋体" w:cs="宋体"/>
          <w:sz w:val="22"/>
          <w:szCs w:val="22"/>
        </w:rPr>
        <w:t>2.5</w:t>
      </w:r>
      <w:r>
        <w:rPr>
          <w:rFonts w:hint="eastAsia" w:ascii="宋体" w:hAnsi="宋体" w:cs="宋体"/>
          <w:sz w:val="22"/>
          <w:szCs w:val="22"/>
        </w:rPr>
        <w:t>“服务”是指除货物和工程以外的其他采购对象。</w:t>
      </w:r>
    </w:p>
    <w:p>
      <w:pPr>
        <w:spacing w:line="400" w:lineRule="exact"/>
        <w:rPr>
          <w:rFonts w:ascii="宋体" w:cs="宋体"/>
          <w:sz w:val="22"/>
          <w:szCs w:val="22"/>
        </w:rPr>
      </w:pPr>
      <w:r>
        <w:rPr>
          <w:rFonts w:ascii="宋体" w:hAnsi="宋体" w:cs="宋体"/>
          <w:sz w:val="22"/>
          <w:szCs w:val="22"/>
        </w:rPr>
        <w:t>2.6</w:t>
      </w:r>
      <w:r>
        <w:rPr>
          <w:rFonts w:hint="eastAsia" w:ascii="宋体" w:hAnsi="宋体" w:cs="宋体"/>
          <w:sz w:val="22"/>
          <w:szCs w:val="22"/>
        </w:rPr>
        <w:t>“响应文件”是指：供应商根据本文件要求，编制包含报价、技术和服务等所有内容的文件。</w:t>
      </w:r>
    </w:p>
    <w:p>
      <w:pPr>
        <w:spacing w:line="400" w:lineRule="exact"/>
        <w:rPr>
          <w:rFonts w:ascii="宋体" w:cs="宋体"/>
          <w:sz w:val="22"/>
          <w:szCs w:val="22"/>
        </w:rPr>
      </w:pPr>
      <w:r>
        <w:rPr>
          <w:rFonts w:ascii="宋体" w:hAnsi="宋体" w:cs="宋体"/>
          <w:sz w:val="22"/>
          <w:szCs w:val="22"/>
        </w:rPr>
        <w:t xml:space="preserve">2.7 </w:t>
      </w:r>
      <w:r>
        <w:rPr>
          <w:rFonts w:hint="eastAsia" w:ascii="宋体" w:hAnsi="宋体" w:cs="宋体"/>
          <w:kern w:val="0"/>
          <w:sz w:val="22"/>
          <w:szCs w:val="22"/>
        </w:rPr>
        <w:t>转包与分包：本项目不允许转包或分包。</w:t>
      </w:r>
    </w:p>
    <w:p>
      <w:pPr>
        <w:spacing w:line="400" w:lineRule="exact"/>
        <w:rPr>
          <w:rFonts w:ascii="宋体" w:cs="宋体"/>
          <w:sz w:val="22"/>
          <w:szCs w:val="22"/>
        </w:rPr>
      </w:pPr>
      <w:r>
        <w:rPr>
          <w:rFonts w:ascii="宋体" w:hAnsi="宋体" w:cs="宋体"/>
          <w:sz w:val="22"/>
          <w:szCs w:val="22"/>
        </w:rPr>
        <w:t xml:space="preserve">3. </w:t>
      </w:r>
      <w:r>
        <w:rPr>
          <w:rFonts w:hint="eastAsia" w:ascii="宋体" w:hAnsi="宋体" w:cs="宋体"/>
          <w:sz w:val="22"/>
          <w:szCs w:val="22"/>
        </w:rPr>
        <w:t>供应商的基本条件：</w:t>
      </w:r>
    </w:p>
    <w:p>
      <w:pPr>
        <w:spacing w:line="400" w:lineRule="exact"/>
        <w:rPr>
          <w:rFonts w:ascii="宋体" w:cs="宋体"/>
          <w:sz w:val="22"/>
          <w:szCs w:val="22"/>
        </w:rPr>
      </w:pPr>
      <w:r>
        <w:rPr>
          <w:rFonts w:ascii="宋体" w:hAnsi="宋体" w:cs="宋体"/>
          <w:sz w:val="22"/>
          <w:szCs w:val="22"/>
        </w:rPr>
        <w:t xml:space="preserve">3.1 </w:t>
      </w:r>
      <w:r>
        <w:rPr>
          <w:rFonts w:hint="eastAsia" w:ascii="宋体" w:hAnsi="宋体" w:cs="宋体"/>
          <w:sz w:val="22"/>
          <w:szCs w:val="22"/>
        </w:rPr>
        <w:t>供应商资格：</w:t>
      </w:r>
    </w:p>
    <w:p>
      <w:pPr>
        <w:spacing w:line="400" w:lineRule="exact"/>
        <w:rPr>
          <w:rFonts w:ascii="宋体" w:cs="宋体"/>
          <w:kern w:val="0"/>
          <w:sz w:val="22"/>
          <w:szCs w:val="22"/>
        </w:rPr>
      </w:pPr>
      <w:r>
        <w:rPr>
          <w:rFonts w:ascii="宋体" w:hAnsi="宋体" w:cs="宋体"/>
          <w:kern w:val="0"/>
          <w:sz w:val="22"/>
          <w:szCs w:val="22"/>
        </w:rPr>
        <w:t>3.1</w:t>
      </w:r>
      <w:r>
        <w:rPr>
          <w:rFonts w:hint="eastAsia" w:ascii="宋体" w:hAnsi="宋体" w:cs="宋体"/>
          <w:kern w:val="0"/>
          <w:sz w:val="22"/>
          <w:szCs w:val="22"/>
        </w:rPr>
        <w:t>符合《中华人民共和国政府采购法》第二十二条的规定。</w:t>
      </w:r>
    </w:p>
    <w:p>
      <w:pPr>
        <w:spacing w:line="400" w:lineRule="exact"/>
        <w:rPr>
          <w:rFonts w:ascii="宋体" w:cs="宋体"/>
          <w:kern w:val="0"/>
          <w:sz w:val="22"/>
          <w:szCs w:val="22"/>
        </w:rPr>
      </w:pPr>
      <w:r>
        <w:rPr>
          <w:rFonts w:ascii="宋体" w:hAnsi="宋体" w:cs="宋体"/>
          <w:kern w:val="0"/>
          <w:sz w:val="22"/>
          <w:szCs w:val="22"/>
        </w:rPr>
        <w:t>3.2</w:t>
      </w:r>
      <w:r>
        <w:rPr>
          <w:rFonts w:hint="eastAsia" w:ascii="宋体" w:hAnsi="宋体" w:cs="宋体"/>
          <w:kern w:val="0"/>
          <w:sz w:val="22"/>
          <w:szCs w:val="22"/>
        </w:rPr>
        <w:t>未被“信用中国”（</w:t>
      </w:r>
      <w:r>
        <w:rPr>
          <w:rFonts w:ascii="宋体" w:hAnsi="宋体" w:cs="宋体"/>
          <w:kern w:val="0"/>
          <w:sz w:val="22"/>
          <w:szCs w:val="22"/>
        </w:rPr>
        <w:t>www.creditchina.gov.cn</w:t>
      </w:r>
      <w:r>
        <w:rPr>
          <w:rFonts w:hint="eastAsia" w:ascii="宋体" w:hAnsi="宋体" w:cs="宋体"/>
          <w:kern w:val="0"/>
          <w:sz w:val="22"/>
          <w:szCs w:val="22"/>
        </w:rPr>
        <w:t>）、中国政府采购网（</w:t>
      </w:r>
      <w:r>
        <w:rPr>
          <w:rFonts w:ascii="宋体" w:hAnsi="宋体" w:cs="宋体"/>
          <w:kern w:val="0"/>
          <w:sz w:val="22"/>
          <w:szCs w:val="22"/>
        </w:rPr>
        <w:t>www.ccgp.gov.cn</w:t>
      </w:r>
      <w:r>
        <w:rPr>
          <w:rFonts w:hint="eastAsia" w:ascii="宋体" w:hAnsi="宋体" w:cs="宋体"/>
          <w:kern w:val="0"/>
          <w:sz w:val="22"/>
          <w:szCs w:val="22"/>
        </w:rPr>
        <w:t>）列入失信被执行人、重大税收违法案件当事人名单、政府采购严重违法失信行为记录名单。</w:t>
      </w:r>
    </w:p>
    <w:p>
      <w:pPr>
        <w:spacing w:line="400" w:lineRule="exact"/>
        <w:rPr>
          <w:rFonts w:ascii="宋体" w:cs="宋体"/>
          <w:kern w:val="0"/>
          <w:sz w:val="22"/>
          <w:szCs w:val="22"/>
        </w:rPr>
      </w:pPr>
      <w:r>
        <w:rPr>
          <w:rFonts w:ascii="宋体" w:hAnsi="宋体" w:cs="宋体"/>
          <w:kern w:val="0"/>
          <w:sz w:val="22"/>
          <w:szCs w:val="22"/>
        </w:rPr>
        <w:t>3.3</w:t>
      </w:r>
      <w:r>
        <w:rPr>
          <w:rFonts w:hint="eastAsia" w:ascii="宋体" w:hAnsi="宋体" w:cs="宋体"/>
          <w:kern w:val="0"/>
          <w:sz w:val="22"/>
          <w:szCs w:val="22"/>
        </w:rPr>
        <w:t>本项目的特定资格要求：</w:t>
      </w:r>
    </w:p>
    <w:p>
      <w:pPr>
        <w:pStyle w:val="52"/>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olor w:val="auto"/>
          <w:sz w:val="22"/>
          <w:szCs w:val="22"/>
          <w:highlight w:val="none"/>
        </w:rPr>
        <w:t>国内注册（指按国家有关规定要求注册的），具备独立法人资格，生产或经营本次采购货物（服务）的供应商。</w:t>
      </w:r>
    </w:p>
    <w:p>
      <w:pPr>
        <w:spacing w:line="400" w:lineRule="exact"/>
        <w:ind w:firstLine="220" w:firstLineChars="100"/>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220" w:firstLineChars="100"/>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）供应商无行贿犯罪记录的承诺书或书面声明，有行贿犯罪记录的不得参与本次采购活动。</w:t>
      </w:r>
    </w:p>
    <w:p>
      <w:pPr>
        <w:spacing w:line="400" w:lineRule="exact"/>
        <w:ind w:firstLine="220" w:firstLineChars="100"/>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）本项目不接受未购买本项目竞争性磋商文件的供应商磋商。</w:t>
      </w:r>
    </w:p>
    <w:p>
      <w:pPr>
        <w:spacing w:line="400" w:lineRule="exact"/>
        <w:rPr>
          <w:rFonts w:ascii="宋体" w:cs="宋体"/>
          <w:kern w:val="0"/>
          <w:sz w:val="22"/>
          <w:szCs w:val="22"/>
        </w:rPr>
      </w:pPr>
      <w:r>
        <w:rPr>
          <w:rFonts w:ascii="宋体" w:hAnsi="宋体" w:cs="宋体"/>
          <w:kern w:val="0"/>
          <w:sz w:val="22"/>
          <w:szCs w:val="22"/>
        </w:rPr>
        <w:t>3.2</w:t>
      </w:r>
      <w:r>
        <w:rPr>
          <w:rFonts w:hint="eastAsia" w:ascii="宋体" w:hAnsi="宋体" w:cs="宋体"/>
          <w:kern w:val="0"/>
          <w:sz w:val="22"/>
          <w:szCs w:val="22"/>
        </w:rPr>
        <w:t>符合供应商资格的供应商应承担投标及履约中应承担的全部责任与义务。</w:t>
      </w:r>
    </w:p>
    <w:p>
      <w:pPr>
        <w:pStyle w:val="12"/>
        <w:spacing w:line="400" w:lineRule="exact"/>
        <w:rPr>
          <w:rFonts w:hAnsi="宋体" w:cs="宋体"/>
          <w:bCs/>
          <w:spacing w:val="-2"/>
          <w:sz w:val="22"/>
          <w:szCs w:val="22"/>
        </w:rPr>
      </w:pPr>
      <w:r>
        <w:rPr>
          <w:rFonts w:hAnsi="宋体" w:cs="宋体"/>
          <w:sz w:val="22"/>
          <w:szCs w:val="22"/>
        </w:rPr>
        <w:t>3.3</w:t>
      </w:r>
      <w:r>
        <w:rPr>
          <w:rFonts w:hint="eastAsia" w:hAnsi="宋体" w:cs="宋体"/>
          <w:sz w:val="22"/>
          <w:szCs w:val="22"/>
        </w:rPr>
        <w:t>项目如有开展现场踏勘工作，具体要求详见供应商须知前附表。</w:t>
      </w:r>
    </w:p>
    <w:p>
      <w:pPr>
        <w:spacing w:line="400" w:lineRule="exact"/>
        <w:rPr>
          <w:rFonts w:ascii="宋体" w:cs="宋体"/>
          <w:sz w:val="22"/>
          <w:szCs w:val="22"/>
        </w:rPr>
      </w:pPr>
      <w:r>
        <w:rPr>
          <w:rFonts w:ascii="宋体" w:hAnsi="宋体" w:cs="宋体"/>
          <w:sz w:val="22"/>
          <w:szCs w:val="22"/>
        </w:rPr>
        <w:t xml:space="preserve">4. </w:t>
      </w:r>
      <w:r>
        <w:rPr>
          <w:rFonts w:hint="eastAsia" w:ascii="宋体" w:hAnsi="宋体" w:cs="宋体"/>
          <w:sz w:val="22"/>
          <w:szCs w:val="22"/>
        </w:rPr>
        <w:t>投标费用、竞争性磋商文件的澄清和修改：</w:t>
      </w:r>
    </w:p>
    <w:p>
      <w:pPr>
        <w:spacing w:line="400" w:lineRule="exact"/>
        <w:rPr>
          <w:rFonts w:ascii="宋体" w:cs="宋体"/>
          <w:sz w:val="22"/>
          <w:szCs w:val="22"/>
        </w:rPr>
      </w:pPr>
      <w:r>
        <w:rPr>
          <w:rFonts w:ascii="宋体" w:hAnsi="宋体" w:cs="宋体"/>
          <w:sz w:val="22"/>
          <w:szCs w:val="22"/>
        </w:rPr>
        <w:t>4.1</w:t>
      </w:r>
      <w:r>
        <w:rPr>
          <w:rFonts w:hint="eastAsia" w:ascii="宋体" w:hAnsi="宋体" w:cs="宋体"/>
          <w:sz w:val="22"/>
          <w:szCs w:val="22"/>
        </w:rPr>
        <w:t>供应商应自行承担所有与编写和提交竞争性磋商响应文件有关的费用，不论磋商结果如何，采购人和北京诚佳信工程管理有限公司在任何情况下无义务和责任承担此类费用。</w:t>
      </w:r>
    </w:p>
    <w:p>
      <w:pPr>
        <w:spacing w:line="400" w:lineRule="exact"/>
        <w:rPr>
          <w:rFonts w:ascii="宋体" w:cs="宋体"/>
          <w:sz w:val="22"/>
          <w:szCs w:val="22"/>
        </w:rPr>
      </w:pPr>
      <w:r>
        <w:rPr>
          <w:rFonts w:ascii="宋体" w:hAnsi="宋体" w:cs="宋体"/>
          <w:sz w:val="22"/>
          <w:szCs w:val="22"/>
        </w:rPr>
        <w:t>4.2</w:t>
      </w:r>
      <w:r>
        <w:rPr>
          <w:rFonts w:hint="eastAsia" w:ascii="宋体" w:hAnsi="宋体" w:cs="宋体"/>
          <w:sz w:val="22"/>
          <w:szCs w:val="22"/>
        </w:rPr>
        <w:t>竞争性磋商文件的澄清和修改：</w:t>
      </w:r>
    </w:p>
    <w:p>
      <w:pPr>
        <w:spacing w:line="400" w:lineRule="exact"/>
        <w:rPr>
          <w:rFonts w:ascii="宋体" w:cs="宋体"/>
          <w:sz w:val="22"/>
          <w:szCs w:val="22"/>
        </w:rPr>
      </w:pPr>
      <w:r>
        <w:rPr>
          <w:rFonts w:ascii="宋体" w:hAnsi="宋体" w:cs="宋体"/>
          <w:sz w:val="22"/>
          <w:szCs w:val="22"/>
        </w:rPr>
        <w:t>4.2.1</w:t>
      </w:r>
      <w:r>
        <w:rPr>
          <w:rFonts w:hint="eastAsia" w:ascii="宋体" w:hAnsi="宋体" w:cs="宋体"/>
          <w:sz w:val="22"/>
          <w:szCs w:val="22"/>
        </w:rPr>
        <w:t>供应商应认真审核《项目需求一览表》中的技术参数、配置及要求，如发现表中技术参数、配置有误或要求不合理的，供应商必须在规定的时间前要求澄清，否则，由此产生的后果由供应商负责。</w:t>
      </w:r>
    </w:p>
    <w:p>
      <w:pPr>
        <w:spacing w:line="400" w:lineRule="exact"/>
        <w:rPr>
          <w:rFonts w:ascii="宋体" w:cs="宋体"/>
          <w:sz w:val="22"/>
          <w:szCs w:val="22"/>
        </w:rPr>
      </w:pPr>
      <w:r>
        <w:rPr>
          <w:rFonts w:ascii="宋体" w:hAnsi="宋体" w:cs="宋体"/>
          <w:sz w:val="22"/>
          <w:szCs w:val="22"/>
        </w:rPr>
        <w:t>4.2.2</w:t>
      </w:r>
      <w:r>
        <w:rPr>
          <w:rFonts w:hint="eastAsia" w:ascii="宋体" w:hAnsi="宋体" w:cs="宋体"/>
          <w:sz w:val="22"/>
          <w:szCs w:val="22"/>
        </w:rPr>
        <w:t>采购代理机构对已发出的响应文件进行必要澄清或者修改的，澄清或者修改的内容可能影响响应文件编制的，在竞争性磋商文件要求提交响应文件截止时间</w:t>
      </w:r>
      <w:r>
        <w:rPr>
          <w:rFonts w:ascii="宋体" w:hAnsi="宋体" w:cs="宋体"/>
          <w:sz w:val="22"/>
          <w:szCs w:val="22"/>
        </w:rPr>
        <w:t>5</w:t>
      </w:r>
      <w:r>
        <w:rPr>
          <w:rFonts w:hint="eastAsia" w:ascii="宋体" w:hAnsi="宋体" w:cs="宋体"/>
          <w:sz w:val="22"/>
          <w:szCs w:val="22"/>
        </w:rPr>
        <w:t>日前（不足</w:t>
      </w:r>
      <w:r>
        <w:rPr>
          <w:rFonts w:ascii="宋体" w:hAnsi="宋体" w:cs="宋体"/>
          <w:sz w:val="22"/>
          <w:szCs w:val="22"/>
        </w:rPr>
        <w:t>5</w:t>
      </w:r>
      <w:r>
        <w:rPr>
          <w:rFonts w:hint="eastAsia" w:ascii="宋体" w:hAnsi="宋体" w:cs="宋体"/>
          <w:sz w:val="22"/>
          <w:szCs w:val="22"/>
        </w:rPr>
        <w:t>日顺延），在采购公告同一媒介上发布更正公告，并以书面形式通知所有竞争性磋商文件收受人。该澄清或者修改的内容为竞争性磋商文件的组成部分。</w:t>
      </w:r>
    </w:p>
    <w:p>
      <w:pPr>
        <w:spacing w:line="400" w:lineRule="exact"/>
        <w:rPr>
          <w:rFonts w:ascii="宋体" w:cs="宋体"/>
          <w:sz w:val="22"/>
          <w:szCs w:val="22"/>
        </w:rPr>
      </w:pPr>
      <w:r>
        <w:rPr>
          <w:rFonts w:ascii="宋体" w:hAnsi="宋体" w:cs="宋体"/>
          <w:sz w:val="22"/>
          <w:szCs w:val="22"/>
        </w:rPr>
        <w:t>4.2.3</w:t>
      </w:r>
      <w:r>
        <w:rPr>
          <w:rFonts w:hint="eastAsia" w:ascii="宋体" w:hAnsi="宋体" w:cs="宋体"/>
          <w:sz w:val="22"/>
          <w:szCs w:val="22"/>
        </w:rPr>
        <w:t>采购代理机构可视具体情况，延长响应文件递交截止时间和开标时间。至少在竞争性磋商文件要求提交响应文件的截止时间前</w:t>
      </w:r>
      <w:r>
        <w:rPr>
          <w:rFonts w:ascii="宋体" w:hAnsi="宋体" w:cs="宋体"/>
          <w:sz w:val="22"/>
          <w:szCs w:val="22"/>
        </w:rPr>
        <w:t>1</w:t>
      </w:r>
      <w:r>
        <w:rPr>
          <w:rFonts w:hint="eastAsia" w:ascii="宋体" w:hAnsi="宋体" w:cs="宋体"/>
          <w:sz w:val="22"/>
          <w:szCs w:val="22"/>
        </w:rPr>
        <w:t>个工作日，将变更时间书面通知所有竞争性磋商文件收受人，并在采购公告同一媒介上发布变更公告。</w:t>
      </w:r>
    </w:p>
    <w:p>
      <w:pPr>
        <w:spacing w:line="400" w:lineRule="exact"/>
        <w:rPr>
          <w:rFonts w:ascii="宋体" w:cs="宋体"/>
          <w:sz w:val="22"/>
          <w:szCs w:val="22"/>
        </w:rPr>
      </w:pPr>
      <w:r>
        <w:rPr>
          <w:rFonts w:ascii="宋体" w:hAnsi="宋体" w:cs="宋体"/>
          <w:sz w:val="22"/>
          <w:szCs w:val="22"/>
        </w:rPr>
        <w:t>4.3</w:t>
      </w:r>
      <w:r>
        <w:rPr>
          <w:rFonts w:hint="eastAsia" w:ascii="宋体" w:hAnsi="宋体" w:cs="宋体"/>
          <w:sz w:val="22"/>
          <w:szCs w:val="22"/>
        </w:rPr>
        <w:t>磋商保证金：</w:t>
      </w:r>
    </w:p>
    <w:p>
      <w:pPr>
        <w:spacing w:line="400" w:lineRule="exact"/>
        <w:rPr>
          <w:rFonts w:ascii="宋体" w:cs="宋体"/>
          <w:sz w:val="22"/>
          <w:szCs w:val="22"/>
        </w:rPr>
      </w:pPr>
      <w:r>
        <w:rPr>
          <w:rFonts w:ascii="宋体" w:hAnsi="宋体" w:cs="宋体"/>
          <w:sz w:val="22"/>
          <w:szCs w:val="22"/>
        </w:rPr>
        <w:t>4.3.1</w:t>
      </w:r>
      <w:r>
        <w:rPr>
          <w:rFonts w:hint="eastAsia" w:ascii="宋体" w:hAnsi="宋体" w:cs="宋体"/>
          <w:sz w:val="22"/>
          <w:szCs w:val="22"/>
        </w:rPr>
        <w:t>供应商须按规定提交磋商保证金，项目评审时，磋商小组会查验磋商保证金交纳情况，</w:t>
      </w:r>
      <w:r>
        <w:rPr>
          <w:rFonts w:hint="eastAsia" w:ascii="宋体" w:hAnsi="宋体" w:cs="宋体"/>
          <w:b/>
          <w:sz w:val="22"/>
          <w:szCs w:val="22"/>
        </w:rPr>
        <w:t>以保证金到账为准，因此供应商在交纳磋商保证金时应充分考虑保证金到达北京诚佳信工程管理有限公司钦州分公司账户上的时间。</w:t>
      </w:r>
    </w:p>
    <w:p>
      <w:pPr>
        <w:spacing w:line="400" w:lineRule="exact"/>
        <w:rPr>
          <w:rFonts w:ascii="宋体" w:cs="宋体"/>
          <w:sz w:val="22"/>
          <w:szCs w:val="22"/>
        </w:rPr>
      </w:pPr>
      <w:r>
        <w:rPr>
          <w:rFonts w:ascii="宋体" w:hAnsi="宋体" w:cs="宋体"/>
          <w:sz w:val="22"/>
          <w:szCs w:val="22"/>
        </w:rPr>
        <w:t>4.3.2</w:t>
      </w:r>
      <w:r>
        <w:rPr>
          <w:rFonts w:hint="eastAsia" w:ascii="宋体" w:hAnsi="宋体" w:cs="宋体"/>
          <w:sz w:val="22"/>
          <w:szCs w:val="22"/>
        </w:rPr>
        <w:t>磋商保证金交纳形式：电汇、转账等非现金形式。</w:t>
      </w:r>
    </w:p>
    <w:p>
      <w:pPr>
        <w:spacing w:line="400" w:lineRule="exact"/>
        <w:rPr>
          <w:rFonts w:ascii="宋体" w:cs="宋体"/>
          <w:sz w:val="22"/>
          <w:szCs w:val="22"/>
        </w:rPr>
      </w:pPr>
      <w:r>
        <w:rPr>
          <w:rFonts w:ascii="宋体" w:hAnsi="宋体" w:cs="宋体"/>
          <w:sz w:val="22"/>
          <w:szCs w:val="22"/>
        </w:rPr>
        <w:t>4.3.3</w:t>
      </w:r>
      <w:r>
        <w:rPr>
          <w:rFonts w:hint="eastAsia" w:ascii="宋体" w:hAnsi="宋体" w:cs="宋体"/>
          <w:sz w:val="22"/>
          <w:szCs w:val="22"/>
        </w:rPr>
        <w:t>未成交人的磋商保证金在成交通知书发出后五个工作日内退还。</w:t>
      </w:r>
    </w:p>
    <w:p>
      <w:pPr>
        <w:spacing w:line="400" w:lineRule="exact"/>
        <w:rPr>
          <w:rFonts w:ascii="宋体" w:cs="宋体"/>
          <w:b/>
          <w:sz w:val="22"/>
          <w:szCs w:val="22"/>
        </w:rPr>
      </w:pPr>
      <w:r>
        <w:rPr>
          <w:rFonts w:ascii="宋体" w:hAnsi="宋体" w:cs="宋体"/>
          <w:sz w:val="22"/>
          <w:szCs w:val="22"/>
        </w:rPr>
        <w:t>4.3.4</w:t>
      </w:r>
      <w:r>
        <w:rPr>
          <w:rFonts w:hint="eastAsia" w:ascii="宋体" w:hAnsi="宋体" w:cs="宋体"/>
          <w:sz w:val="22"/>
          <w:szCs w:val="22"/>
        </w:rPr>
        <w:t>磋商保证金不计息。</w:t>
      </w:r>
    </w:p>
    <w:p>
      <w:pPr>
        <w:spacing w:line="400" w:lineRule="exact"/>
        <w:rPr>
          <w:rFonts w:ascii="宋体" w:cs="宋体"/>
          <w:sz w:val="22"/>
          <w:szCs w:val="22"/>
        </w:rPr>
      </w:pPr>
      <w:r>
        <w:rPr>
          <w:rFonts w:ascii="宋体" w:hAnsi="宋体" w:cs="宋体"/>
          <w:sz w:val="22"/>
          <w:szCs w:val="22"/>
        </w:rPr>
        <w:t>4.3.5</w:t>
      </w:r>
      <w:r>
        <w:rPr>
          <w:rFonts w:hint="eastAsia" w:ascii="宋体" w:hAnsi="宋体" w:cs="宋体"/>
          <w:sz w:val="22"/>
          <w:szCs w:val="22"/>
        </w:rPr>
        <w:t>磋商保证金退还方式：电汇或转账至供应商账户。</w:t>
      </w:r>
    </w:p>
    <w:p>
      <w:pPr>
        <w:spacing w:line="400" w:lineRule="exact"/>
        <w:rPr>
          <w:rFonts w:ascii="宋体" w:cs="宋体"/>
          <w:sz w:val="22"/>
          <w:szCs w:val="22"/>
        </w:rPr>
      </w:pPr>
      <w:r>
        <w:rPr>
          <w:rFonts w:ascii="宋体" w:hAnsi="宋体" w:cs="宋体"/>
          <w:sz w:val="22"/>
          <w:szCs w:val="22"/>
        </w:rPr>
        <w:t>4.3.6</w:t>
      </w:r>
      <w:r>
        <w:rPr>
          <w:rFonts w:hint="eastAsia" w:ascii="宋体" w:hAnsi="宋体" w:cs="宋体"/>
          <w:sz w:val="22"/>
          <w:szCs w:val="22"/>
        </w:rPr>
        <w:t>已提交响应文件的供应商，在提交最后报价之前，可以根据磋商情况退出磋商。采购人、采购代理机构应当退还退出磋商的供应商的磋商保证金。</w:t>
      </w:r>
    </w:p>
    <w:p>
      <w:pPr>
        <w:spacing w:line="400" w:lineRule="exact"/>
        <w:rPr>
          <w:rFonts w:ascii="宋体" w:cs="宋体"/>
          <w:b/>
          <w:bCs/>
          <w:sz w:val="22"/>
          <w:szCs w:val="22"/>
        </w:rPr>
      </w:pPr>
      <w:r>
        <w:rPr>
          <w:rFonts w:ascii="宋体" w:hAnsi="宋体" w:cs="宋体"/>
          <w:b/>
          <w:sz w:val="22"/>
          <w:szCs w:val="22"/>
        </w:rPr>
        <w:t>4.3.7</w:t>
      </w:r>
      <w:r>
        <w:rPr>
          <w:rFonts w:hint="eastAsia" w:ascii="宋体" w:hAnsi="宋体" w:cs="宋体"/>
          <w:b/>
          <w:sz w:val="22"/>
          <w:szCs w:val="22"/>
        </w:rPr>
        <w:t>供应商有下列情形之一的，磋商保证金将不予退还：</w:t>
      </w:r>
    </w:p>
    <w:p>
      <w:pPr>
        <w:spacing w:line="400" w:lineRule="exact"/>
        <w:rPr>
          <w:rFonts w:ascii="宋体" w:cs="宋体"/>
          <w:sz w:val="22"/>
          <w:szCs w:val="22"/>
        </w:rPr>
      </w:pPr>
      <w:r>
        <w:rPr>
          <w:rFonts w:ascii="宋体" w:hAnsi="宋体" w:cs="宋体"/>
          <w:sz w:val="22"/>
          <w:szCs w:val="22"/>
        </w:rPr>
        <w:t>4.3.7.1</w:t>
      </w:r>
      <w:r>
        <w:rPr>
          <w:rFonts w:hint="eastAsia" w:ascii="宋体" w:hAnsi="宋体" w:cs="宋体"/>
          <w:sz w:val="22"/>
          <w:szCs w:val="22"/>
        </w:rPr>
        <w:t>除</w:t>
      </w:r>
      <w:r>
        <w:rPr>
          <w:rFonts w:ascii="宋体" w:hAnsi="宋体" w:cs="宋体"/>
          <w:sz w:val="22"/>
          <w:szCs w:val="22"/>
        </w:rPr>
        <w:t>4.3.6</w:t>
      </w:r>
      <w:r>
        <w:rPr>
          <w:rFonts w:hint="eastAsia" w:ascii="宋体" w:hAnsi="宋体" w:cs="宋体"/>
          <w:sz w:val="22"/>
          <w:szCs w:val="22"/>
        </w:rPr>
        <w:t>条情形外，供应商在投标有效期内撤回响应文件的；</w:t>
      </w:r>
    </w:p>
    <w:p>
      <w:pPr>
        <w:spacing w:line="400" w:lineRule="exact"/>
        <w:rPr>
          <w:rFonts w:ascii="宋体" w:cs="宋体"/>
          <w:sz w:val="22"/>
          <w:szCs w:val="22"/>
        </w:rPr>
      </w:pPr>
      <w:r>
        <w:rPr>
          <w:rFonts w:ascii="宋体" w:hAnsi="宋体" w:cs="宋体"/>
          <w:sz w:val="22"/>
          <w:szCs w:val="22"/>
        </w:rPr>
        <w:t>4.3.7.2</w:t>
      </w:r>
      <w:r>
        <w:rPr>
          <w:rFonts w:hint="eastAsia" w:ascii="宋体" w:hAnsi="宋体" w:cs="宋体"/>
          <w:sz w:val="22"/>
          <w:szCs w:val="22"/>
        </w:rPr>
        <w:t>供应商在磋商过程中弄虚作假，提供虚假材料的；</w:t>
      </w:r>
    </w:p>
    <w:p>
      <w:pPr>
        <w:spacing w:line="400" w:lineRule="exact"/>
        <w:rPr>
          <w:rFonts w:ascii="宋体" w:cs="宋体"/>
          <w:sz w:val="22"/>
          <w:szCs w:val="22"/>
        </w:rPr>
      </w:pPr>
      <w:r>
        <w:rPr>
          <w:rFonts w:ascii="宋体" w:hAnsi="宋体" w:cs="宋体"/>
          <w:sz w:val="22"/>
          <w:szCs w:val="22"/>
        </w:rPr>
        <w:t>4.3.7.3</w:t>
      </w:r>
      <w:r>
        <w:rPr>
          <w:rFonts w:hint="eastAsia" w:ascii="宋体" w:hAnsi="宋体" w:cs="宋体"/>
          <w:sz w:val="22"/>
          <w:szCs w:val="22"/>
        </w:rPr>
        <w:t>成交人无正当理由不与采购人签订合同的；</w:t>
      </w:r>
    </w:p>
    <w:p>
      <w:pPr>
        <w:spacing w:line="400" w:lineRule="exact"/>
        <w:rPr>
          <w:rFonts w:ascii="宋体" w:cs="宋体"/>
          <w:sz w:val="22"/>
          <w:szCs w:val="22"/>
        </w:rPr>
      </w:pPr>
      <w:r>
        <w:rPr>
          <w:rFonts w:ascii="宋体" w:hAnsi="宋体" w:cs="宋体"/>
          <w:sz w:val="22"/>
          <w:szCs w:val="22"/>
        </w:rPr>
        <w:t>4.3.7.4</w:t>
      </w:r>
      <w:r>
        <w:rPr>
          <w:rFonts w:hint="eastAsia" w:ascii="宋体" w:hAnsi="宋体" w:cs="宋体"/>
          <w:bCs/>
          <w:sz w:val="22"/>
          <w:szCs w:val="22"/>
        </w:rPr>
        <w:t>将成交项目转让给他人或者在响应文件中未说明且未经采购人同意，将成交项目分包给他人的；</w:t>
      </w:r>
    </w:p>
    <w:p>
      <w:pPr>
        <w:spacing w:line="400" w:lineRule="exact"/>
        <w:rPr>
          <w:rFonts w:ascii="宋体" w:cs="宋体"/>
          <w:sz w:val="22"/>
          <w:szCs w:val="22"/>
        </w:rPr>
      </w:pPr>
      <w:r>
        <w:rPr>
          <w:rFonts w:ascii="宋体" w:hAnsi="宋体" w:cs="宋体"/>
          <w:sz w:val="22"/>
          <w:szCs w:val="22"/>
        </w:rPr>
        <w:t>4.3.7.5</w:t>
      </w:r>
      <w:r>
        <w:rPr>
          <w:rFonts w:hint="eastAsia" w:ascii="宋体" w:hAnsi="宋体" w:cs="宋体"/>
          <w:sz w:val="22"/>
          <w:szCs w:val="22"/>
        </w:rPr>
        <w:t>拒绝履行合同义务的；</w:t>
      </w:r>
    </w:p>
    <w:p>
      <w:pPr>
        <w:spacing w:line="400" w:lineRule="exact"/>
        <w:rPr>
          <w:rFonts w:ascii="宋体" w:cs="宋体"/>
          <w:sz w:val="22"/>
          <w:szCs w:val="22"/>
        </w:rPr>
      </w:pPr>
      <w:r>
        <w:rPr>
          <w:rFonts w:ascii="宋体" w:hAnsi="宋体" w:cs="宋体"/>
          <w:sz w:val="22"/>
          <w:szCs w:val="22"/>
        </w:rPr>
        <w:t>4.3.7.6</w:t>
      </w:r>
      <w:r>
        <w:rPr>
          <w:rFonts w:hint="eastAsia" w:ascii="宋体" w:hAnsi="宋体" w:cs="宋体"/>
          <w:sz w:val="22"/>
          <w:szCs w:val="22"/>
        </w:rPr>
        <w:t>其他严重扰乱招投标程序的。</w:t>
      </w:r>
    </w:p>
    <w:p>
      <w:pPr>
        <w:spacing w:line="400" w:lineRule="exact"/>
        <w:rPr>
          <w:rFonts w:ascii="宋体" w:cs="宋体"/>
          <w:b/>
          <w:sz w:val="22"/>
          <w:szCs w:val="22"/>
        </w:rPr>
      </w:pPr>
      <w:r>
        <w:rPr>
          <w:rFonts w:hint="eastAsia" w:ascii="宋体" w:hAnsi="宋体" w:cs="宋体"/>
          <w:b/>
          <w:sz w:val="22"/>
          <w:szCs w:val="22"/>
        </w:rPr>
        <w:t>二、响应文件的编制</w:t>
      </w:r>
    </w:p>
    <w:p>
      <w:pPr>
        <w:spacing w:line="400" w:lineRule="exact"/>
        <w:rPr>
          <w:rFonts w:ascii="宋体" w:cs="宋体"/>
          <w:sz w:val="22"/>
          <w:szCs w:val="22"/>
        </w:rPr>
      </w:pPr>
      <w:r>
        <w:rPr>
          <w:rFonts w:ascii="宋体" w:hAnsi="宋体" w:cs="宋体"/>
          <w:sz w:val="22"/>
          <w:szCs w:val="22"/>
        </w:rPr>
        <w:t>5.</w:t>
      </w:r>
      <w:r>
        <w:rPr>
          <w:rFonts w:hint="eastAsia" w:ascii="宋体" w:hAnsi="宋体" w:cs="宋体"/>
          <w:sz w:val="22"/>
          <w:szCs w:val="22"/>
        </w:rPr>
        <w:t>响应文件编制基本要求。</w:t>
      </w:r>
    </w:p>
    <w:p>
      <w:pPr>
        <w:spacing w:line="400" w:lineRule="exact"/>
        <w:rPr>
          <w:rFonts w:ascii="宋体" w:cs="宋体"/>
          <w:sz w:val="22"/>
          <w:szCs w:val="22"/>
        </w:rPr>
      </w:pPr>
      <w:r>
        <w:rPr>
          <w:rFonts w:ascii="宋体" w:hAnsi="宋体" w:cs="宋体"/>
          <w:sz w:val="22"/>
          <w:szCs w:val="22"/>
        </w:rPr>
        <w:t>5.1</w:t>
      </w:r>
      <w:r>
        <w:rPr>
          <w:rFonts w:hint="eastAsia" w:ascii="宋体" w:hAnsi="宋体" w:cs="宋体"/>
          <w:sz w:val="22"/>
          <w:szCs w:val="22"/>
        </w:rPr>
        <w:t>供应商对响应文件的编制应按要求装订和封装。</w:t>
      </w:r>
    </w:p>
    <w:p>
      <w:pPr>
        <w:spacing w:line="400" w:lineRule="exact"/>
        <w:rPr>
          <w:rFonts w:ascii="宋体" w:cs="宋体"/>
          <w:sz w:val="22"/>
          <w:szCs w:val="22"/>
        </w:rPr>
      </w:pPr>
      <w:r>
        <w:rPr>
          <w:rFonts w:ascii="宋体" w:hAnsi="宋体" w:cs="宋体"/>
          <w:sz w:val="22"/>
          <w:szCs w:val="22"/>
        </w:rPr>
        <w:t>5.2</w:t>
      </w:r>
      <w:r>
        <w:rPr>
          <w:rFonts w:hint="eastAsia" w:ascii="宋体" w:hAnsi="宋体" w:cs="宋体"/>
          <w:sz w:val="22"/>
          <w:szCs w:val="22"/>
        </w:rPr>
        <w:t>供应商提交的响应文件以及供应商与北京诚佳信工程管理有限公司和采购人就有关投标的所有来往函电均应使用中文。供应商提交的支持文件和印刷的文献可以使用别的语言，但其相应内容必须附有中文翻译文本，在解释响应文件时以翻译文本为主。</w:t>
      </w:r>
    </w:p>
    <w:p>
      <w:pPr>
        <w:spacing w:line="400" w:lineRule="exact"/>
        <w:rPr>
          <w:rFonts w:ascii="宋体" w:cs="宋体"/>
          <w:sz w:val="22"/>
          <w:szCs w:val="22"/>
        </w:rPr>
      </w:pPr>
      <w:r>
        <w:rPr>
          <w:rFonts w:ascii="宋体" w:hAnsi="宋体" w:cs="宋体"/>
          <w:sz w:val="22"/>
          <w:szCs w:val="22"/>
        </w:rPr>
        <w:t>5.3</w:t>
      </w:r>
      <w:r>
        <w:rPr>
          <w:rFonts w:hint="eastAsia" w:ascii="宋体" w:hAnsi="宋体" w:cs="宋体"/>
          <w:sz w:val="22"/>
          <w:szCs w:val="22"/>
        </w:rPr>
        <w:t>供应商应认真阅读、并充分理解本文件的全部内容（包括所有的补充、修改内容），承诺并履行本文件中各项条款规定及要求。</w:t>
      </w:r>
    </w:p>
    <w:p>
      <w:pPr>
        <w:spacing w:line="400" w:lineRule="exact"/>
        <w:rPr>
          <w:rFonts w:ascii="宋体" w:cs="宋体"/>
          <w:sz w:val="22"/>
          <w:szCs w:val="22"/>
        </w:rPr>
      </w:pPr>
      <w:r>
        <w:rPr>
          <w:rFonts w:ascii="宋体" w:hAnsi="宋体" w:cs="宋体"/>
          <w:sz w:val="22"/>
          <w:szCs w:val="22"/>
        </w:rPr>
        <w:t>5.4</w:t>
      </w:r>
      <w:r>
        <w:rPr>
          <w:rFonts w:hint="eastAsia" w:ascii="宋体" w:hAnsi="宋体" w:cs="宋体"/>
          <w:sz w:val="22"/>
          <w:szCs w:val="22"/>
        </w:rPr>
        <w:t>响应文件必须按本文件全部内容，包括所有的补充通知及附件进行编制。</w:t>
      </w:r>
    </w:p>
    <w:p>
      <w:pPr>
        <w:spacing w:line="400" w:lineRule="exact"/>
        <w:rPr>
          <w:rFonts w:ascii="宋体" w:cs="宋体"/>
          <w:sz w:val="22"/>
          <w:szCs w:val="22"/>
        </w:rPr>
      </w:pPr>
      <w:r>
        <w:rPr>
          <w:rFonts w:ascii="宋体" w:hAnsi="宋体" w:cs="宋体"/>
          <w:sz w:val="22"/>
          <w:szCs w:val="22"/>
        </w:rPr>
        <w:t xml:space="preserve">5.5 </w:t>
      </w:r>
      <w:r>
        <w:rPr>
          <w:rFonts w:hint="eastAsia" w:ascii="宋体" w:hAnsi="宋体" w:cs="宋体"/>
          <w:sz w:val="22"/>
          <w:szCs w:val="22"/>
        </w:rPr>
        <w:t>如因供应商只填写和提供了本文件要求的部分内容和附件，而给评审造成困难，其可能导致的结果和责任由供应商自行承担。</w:t>
      </w:r>
    </w:p>
    <w:p>
      <w:pPr>
        <w:spacing w:line="400" w:lineRule="exact"/>
        <w:rPr>
          <w:rFonts w:ascii="宋体" w:cs="宋体"/>
          <w:b/>
          <w:bCs/>
          <w:sz w:val="22"/>
          <w:szCs w:val="22"/>
        </w:rPr>
      </w:pPr>
      <w:r>
        <w:rPr>
          <w:rFonts w:ascii="宋体" w:hAnsi="宋体" w:cs="宋体"/>
          <w:sz w:val="22"/>
          <w:szCs w:val="22"/>
        </w:rPr>
        <w:t>5.6</w:t>
      </w:r>
      <w:r>
        <w:rPr>
          <w:rFonts w:hint="eastAsia" w:ascii="宋体" w:hAnsi="宋体" w:cs="宋体"/>
          <w:sz w:val="22"/>
          <w:szCs w:val="22"/>
        </w:rPr>
        <w:t>响应文件的组成。</w:t>
      </w:r>
      <w:r>
        <w:rPr>
          <w:rFonts w:hint="eastAsia" w:ascii="宋体" w:hAnsi="宋体" w:cs="宋体"/>
          <w:b/>
          <w:bCs/>
          <w:sz w:val="22"/>
          <w:szCs w:val="22"/>
        </w:rPr>
        <w:t>响应文件应分为价格文件、资格证明文件和商务技术文件三个部分组成</w:t>
      </w:r>
      <w:r>
        <w:rPr>
          <w:rFonts w:hint="eastAsia"/>
          <w:b/>
          <w:bCs/>
          <w:sz w:val="22"/>
          <w:szCs w:val="22"/>
        </w:rPr>
        <w:t>装订成册</w:t>
      </w:r>
      <w:r>
        <w:rPr>
          <w:rFonts w:hint="eastAsia" w:ascii="宋体" w:hAnsi="宋体" w:cs="宋体"/>
          <w:b/>
          <w:bCs/>
          <w:sz w:val="22"/>
          <w:szCs w:val="22"/>
        </w:rPr>
        <w:t>（标记★的要求在提交的响应文件中必须提供且加盖单位公章，如未提供，评审小组有权拒绝其响应文件）。</w:t>
      </w:r>
    </w:p>
    <w:p>
      <w:pPr>
        <w:spacing w:line="400" w:lineRule="exact"/>
        <w:rPr>
          <w:rFonts w:ascii="宋体" w:cs="宋体"/>
          <w:sz w:val="22"/>
          <w:szCs w:val="22"/>
        </w:rPr>
      </w:pPr>
      <w:r>
        <w:rPr>
          <w:rFonts w:ascii="宋体" w:hAnsi="宋体" w:cs="宋体"/>
          <w:sz w:val="22"/>
          <w:szCs w:val="22"/>
        </w:rPr>
        <w:t xml:space="preserve">5.6.1 </w:t>
      </w:r>
      <w:r>
        <w:rPr>
          <w:rFonts w:hint="eastAsia" w:ascii="宋体" w:hAnsi="宋体" w:cs="宋体"/>
          <w:sz w:val="22"/>
          <w:szCs w:val="22"/>
        </w:rPr>
        <w:t>价格文件</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）磋商函（格式见第四章）；</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）报价表（格式见第四章）；</w:t>
      </w:r>
    </w:p>
    <w:p>
      <w:pPr>
        <w:pStyle w:val="12"/>
        <w:spacing w:line="360" w:lineRule="exact"/>
        <w:ind w:firstLine="220" w:firstLineChars="100"/>
        <w:rPr>
          <w:rFonts w:hAnsi="宋体" w:cs="宋体"/>
          <w:bCs/>
          <w:sz w:val="22"/>
          <w:szCs w:val="22"/>
        </w:rPr>
      </w:pPr>
      <w:r>
        <w:rPr>
          <w:rFonts w:hAnsi="宋体" w:cs="宋体"/>
          <w:sz w:val="22"/>
          <w:szCs w:val="22"/>
        </w:rPr>
        <w:t>3</w:t>
      </w:r>
      <w:r>
        <w:rPr>
          <w:rFonts w:hint="eastAsia" w:hAnsi="宋体" w:cs="宋体"/>
          <w:sz w:val="22"/>
          <w:szCs w:val="22"/>
        </w:rPr>
        <w:t>）</w:t>
      </w:r>
      <w:r>
        <w:rPr>
          <w:rFonts w:hint="eastAsia" w:hAnsi="宋体" w:cs="宋体"/>
          <w:bCs/>
          <w:sz w:val="22"/>
          <w:szCs w:val="22"/>
        </w:rPr>
        <w:t>中小企业声明函（如是，</w:t>
      </w:r>
      <w:r>
        <w:rPr>
          <w:rFonts w:hint="eastAsia" w:hAnsi="宋体" w:cs="宋体"/>
          <w:sz w:val="22"/>
          <w:szCs w:val="22"/>
        </w:rPr>
        <w:t>格式见第四章</w:t>
      </w:r>
      <w:r>
        <w:rPr>
          <w:rFonts w:hint="eastAsia" w:hAnsi="宋体" w:cs="宋体"/>
          <w:bCs/>
          <w:sz w:val="22"/>
          <w:szCs w:val="22"/>
        </w:rPr>
        <w:t>）；</w:t>
      </w:r>
    </w:p>
    <w:p>
      <w:pPr>
        <w:pStyle w:val="12"/>
        <w:spacing w:line="360" w:lineRule="exact"/>
        <w:ind w:firstLine="220" w:firstLineChars="100"/>
        <w:rPr>
          <w:rFonts w:hAnsi="宋体" w:cs="宋体"/>
          <w:sz w:val="22"/>
          <w:szCs w:val="22"/>
        </w:rPr>
      </w:pPr>
      <w:r>
        <w:rPr>
          <w:rFonts w:hAnsi="宋体" w:cs="宋体"/>
          <w:bCs/>
          <w:sz w:val="22"/>
          <w:szCs w:val="22"/>
        </w:rPr>
        <w:t>4</w:t>
      </w:r>
      <w:r>
        <w:rPr>
          <w:rFonts w:hint="eastAsia" w:hAnsi="宋体" w:cs="宋体"/>
          <w:bCs/>
          <w:sz w:val="22"/>
          <w:szCs w:val="22"/>
        </w:rPr>
        <w:t>）残疾人福利性单位声明函（如是，</w:t>
      </w:r>
      <w:r>
        <w:rPr>
          <w:rFonts w:hint="eastAsia" w:hAnsi="宋体" w:cs="宋体"/>
          <w:sz w:val="22"/>
          <w:szCs w:val="22"/>
        </w:rPr>
        <w:t>格式见第四章</w:t>
      </w:r>
      <w:r>
        <w:rPr>
          <w:rFonts w:hint="eastAsia" w:hAnsi="宋体" w:cs="宋体"/>
          <w:bCs/>
          <w:sz w:val="22"/>
          <w:szCs w:val="22"/>
        </w:rPr>
        <w:t>）；</w:t>
      </w:r>
    </w:p>
    <w:p>
      <w:pPr>
        <w:tabs>
          <w:tab w:val="left" w:pos="3870"/>
          <w:tab w:val="left" w:pos="4085"/>
        </w:tabs>
        <w:adjustRightInd w:val="0"/>
        <w:snapToGrid w:val="0"/>
        <w:spacing w:line="400" w:lineRule="exact"/>
        <w:ind w:firstLine="220" w:firstLineChars="100"/>
        <w:jc w:val="left"/>
        <w:rPr>
          <w:rFonts w:ascii="宋体" w:cs="宋体"/>
          <w:sz w:val="22"/>
          <w:szCs w:val="22"/>
        </w:rPr>
      </w:pPr>
      <w:r>
        <w:rPr>
          <w:rFonts w:ascii="宋体" w:hAnsi="宋体" w:cs="宋体"/>
          <w:sz w:val="22"/>
          <w:szCs w:val="22"/>
        </w:rPr>
        <w:t>5</w:t>
      </w:r>
      <w:r>
        <w:rPr>
          <w:rFonts w:hint="eastAsia" w:ascii="宋体" w:hAnsi="宋体" w:cs="宋体"/>
          <w:sz w:val="22"/>
          <w:szCs w:val="22"/>
        </w:rPr>
        <w:t>）供应商针对报价需要说明的其他文件和说明；</w:t>
      </w:r>
    </w:p>
    <w:p>
      <w:pPr>
        <w:spacing w:line="400" w:lineRule="exact"/>
        <w:rPr>
          <w:rFonts w:ascii="宋体" w:cs="宋体"/>
          <w:sz w:val="22"/>
          <w:szCs w:val="22"/>
        </w:rPr>
      </w:pPr>
      <w:r>
        <w:rPr>
          <w:rFonts w:ascii="宋体" w:hAnsi="宋体" w:cs="宋体"/>
          <w:sz w:val="22"/>
          <w:szCs w:val="22"/>
        </w:rPr>
        <w:t>5.6.2</w:t>
      </w:r>
      <w:r>
        <w:rPr>
          <w:rFonts w:hint="eastAsia" w:ascii="宋体" w:hAnsi="宋体" w:cs="宋体"/>
          <w:bCs/>
          <w:sz w:val="22"/>
          <w:szCs w:val="22"/>
        </w:rPr>
        <w:t>资格证明文件</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）磋商保证金交纳证明；</w:t>
      </w:r>
    </w:p>
    <w:p>
      <w:pPr>
        <w:spacing w:line="400" w:lineRule="exact"/>
        <w:rPr>
          <w:rFonts w:ascii="宋体" w:cs="宋体"/>
          <w:sz w:val="22"/>
          <w:szCs w:val="22"/>
          <w:highlight w:val="none"/>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）有效的营业执照副本复印件（未三证合一的必须提供组织机构代码证副本及税务登记证副本并加盖单位公章）；</w:t>
      </w:r>
    </w:p>
    <w:p>
      <w:pPr>
        <w:spacing w:line="40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3</w:t>
      </w:r>
      <w:r>
        <w:rPr>
          <w:rFonts w:hint="eastAsia" w:ascii="宋体" w:hAnsi="宋体" w:cs="宋体"/>
          <w:sz w:val="22"/>
          <w:szCs w:val="22"/>
          <w:highlight w:val="none"/>
        </w:rPr>
        <w:t>）</w:t>
      </w:r>
      <w:r>
        <w:rPr>
          <w:rFonts w:hint="eastAsia" w:ascii="宋体" w:hAnsi="宋体" w:cs="宋体"/>
          <w:kern w:val="0"/>
          <w:sz w:val="22"/>
          <w:szCs w:val="22"/>
          <w:highlight w:val="none"/>
        </w:rPr>
        <w:t>法定代表人身份证复印件、法定代表人授权书原件及授权委托人身份证复印件（委托时必须提供</w:t>
      </w:r>
      <w:r>
        <w:rPr>
          <w:rFonts w:hint="eastAsia" w:ascii="宋体" w:hAnsi="宋体" w:cs="宋体"/>
          <w:sz w:val="22"/>
          <w:szCs w:val="22"/>
          <w:highlight w:val="none"/>
        </w:rPr>
        <w:t>，格式见</w:t>
      </w:r>
      <w:r>
        <w:rPr>
          <w:rFonts w:hint="eastAsia" w:ascii="宋体" w:hAnsi="宋体" w:cs="宋体"/>
          <w:bCs/>
          <w:sz w:val="22"/>
          <w:szCs w:val="22"/>
          <w:highlight w:val="none"/>
        </w:rPr>
        <w:t>第四章）</w:t>
      </w:r>
      <w:r>
        <w:rPr>
          <w:rFonts w:hint="eastAsia" w:ascii="宋体" w:hAnsi="宋体" w:cs="宋体"/>
          <w:sz w:val="22"/>
          <w:szCs w:val="22"/>
          <w:highlight w:val="none"/>
        </w:rPr>
        <w:t>；</w:t>
      </w:r>
    </w:p>
    <w:p>
      <w:pPr>
        <w:pStyle w:val="8"/>
        <w:spacing w:line="400" w:lineRule="exact"/>
        <w:rPr>
          <w:rFonts w:ascii="宋体" w:cs="宋体"/>
          <w:bCs/>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4</w:t>
      </w:r>
      <w:r>
        <w:rPr>
          <w:rFonts w:hint="eastAsia" w:ascii="宋体" w:hAnsi="宋体" w:cs="宋体"/>
          <w:sz w:val="22"/>
          <w:szCs w:val="22"/>
          <w:highlight w:val="none"/>
        </w:rPr>
        <w:t>）供应商</w:t>
      </w:r>
      <w:r>
        <w:rPr>
          <w:rFonts w:ascii="宋体" w:hAnsi="宋体" w:cs="宋体"/>
          <w:sz w:val="22"/>
          <w:szCs w:val="22"/>
          <w:highlight w:val="none"/>
        </w:rPr>
        <w:t>2020</w:t>
      </w:r>
      <w:r>
        <w:rPr>
          <w:rFonts w:hint="eastAsia" w:ascii="宋体" w:hAnsi="宋体" w:cs="宋体"/>
          <w:sz w:val="22"/>
          <w:szCs w:val="22"/>
          <w:highlight w:val="none"/>
        </w:rPr>
        <w:t>年任意三个月的</w:t>
      </w:r>
      <w:r>
        <w:rPr>
          <w:rFonts w:hint="eastAsia" w:ascii="宋体" w:hAnsi="宋体" w:cs="宋体"/>
          <w:kern w:val="0"/>
          <w:sz w:val="22"/>
          <w:szCs w:val="22"/>
          <w:highlight w:val="none"/>
        </w:rPr>
        <w:t>依法缴纳税费或依法免缴税费的证明（复印件，格式自拟）；无纳税记录的，应提供由供应商所在地主管国税、地税部门出具的《依法纳税或依法免税证明》（新成立的按实际提供，格式自拟，复印件）</w:t>
      </w:r>
      <w:r>
        <w:rPr>
          <w:rFonts w:hint="eastAsia" w:ascii="宋体" w:hAnsi="宋体" w:cs="宋体"/>
          <w:bCs/>
          <w:sz w:val="22"/>
          <w:szCs w:val="22"/>
          <w:highlight w:val="none"/>
        </w:rPr>
        <w:t>；</w:t>
      </w:r>
    </w:p>
    <w:p>
      <w:pPr>
        <w:pStyle w:val="8"/>
        <w:spacing w:line="40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5</w:t>
      </w:r>
      <w:r>
        <w:rPr>
          <w:rFonts w:hint="eastAsia" w:ascii="宋体" w:hAnsi="宋体" w:cs="宋体"/>
          <w:sz w:val="22"/>
          <w:szCs w:val="22"/>
          <w:highlight w:val="none"/>
        </w:rPr>
        <w:t>）供应商</w:t>
      </w:r>
      <w:r>
        <w:rPr>
          <w:rFonts w:ascii="宋体" w:hAnsi="宋体" w:cs="宋体"/>
          <w:sz w:val="22"/>
          <w:szCs w:val="22"/>
          <w:highlight w:val="none"/>
        </w:rPr>
        <w:t>2020</w:t>
      </w:r>
      <w:r>
        <w:rPr>
          <w:rFonts w:hint="eastAsia" w:ascii="宋体" w:hAnsi="宋体" w:cs="宋体"/>
          <w:sz w:val="22"/>
          <w:szCs w:val="22"/>
          <w:highlight w:val="none"/>
        </w:rPr>
        <w:t>年任意三个月的</w:t>
      </w:r>
      <w:r>
        <w:rPr>
          <w:rFonts w:hint="eastAsia" w:ascii="宋体" w:hAnsi="宋体" w:cs="宋体"/>
          <w:kern w:val="0"/>
          <w:sz w:val="22"/>
          <w:szCs w:val="22"/>
          <w:highlight w:val="none"/>
        </w:rPr>
        <w:t>依法缴纳社保费的缴费凭证（复印件，格式自拟）；无缴费记录的，应提供由供应商所在地社保部门出具的《依法缴纳或依法免缴社保费证明》（新成立的按实际提供，格式自拟，复印件）</w:t>
      </w:r>
      <w:r>
        <w:rPr>
          <w:rFonts w:hint="eastAsia" w:ascii="宋体" w:hAnsi="宋体" w:cs="宋体"/>
          <w:bCs/>
          <w:sz w:val="22"/>
          <w:szCs w:val="22"/>
          <w:highlight w:val="none"/>
        </w:rPr>
        <w:t>；</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）供应商无行贿犯罪记录的承诺书或书面声明原件</w:t>
      </w:r>
      <w:r>
        <w:rPr>
          <w:rFonts w:ascii="宋体" w:hAnsi="宋体" w:cs="宋体"/>
          <w:sz w:val="22"/>
          <w:szCs w:val="22"/>
        </w:rPr>
        <w:t>[</w:t>
      </w:r>
      <w:r>
        <w:rPr>
          <w:rFonts w:hint="eastAsia" w:ascii="宋体" w:hAnsi="宋体" w:cs="宋体"/>
          <w:sz w:val="22"/>
          <w:szCs w:val="22"/>
        </w:rPr>
        <w:t>含供应商、法定代表人及委托代理人，</w:t>
      </w:r>
      <w:r>
        <w:rPr>
          <w:rFonts w:hint="eastAsia" w:ascii="宋体" w:hAnsi="宋体" w:cs="宋体"/>
          <w:bCs/>
          <w:sz w:val="22"/>
          <w:szCs w:val="22"/>
        </w:rPr>
        <w:t>格式自拟</w:t>
      </w:r>
      <w:r>
        <w:rPr>
          <w:rFonts w:ascii="宋体" w:hAnsi="宋体" w:cs="宋体"/>
          <w:sz w:val="22"/>
          <w:szCs w:val="22"/>
        </w:rPr>
        <w:t>]</w:t>
      </w:r>
      <w:r>
        <w:rPr>
          <w:rFonts w:hint="eastAsia" w:ascii="宋体" w:hAnsi="宋体" w:cs="宋体"/>
          <w:sz w:val="22"/>
          <w:szCs w:val="22"/>
        </w:rPr>
        <w:t>；</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7</w:t>
      </w:r>
      <w:r>
        <w:rPr>
          <w:rFonts w:hint="eastAsia" w:ascii="宋体" w:hAnsi="宋体" w:cs="宋体"/>
          <w:sz w:val="22"/>
          <w:szCs w:val="22"/>
        </w:rPr>
        <w:t>）在“信用中国”网站（</w:t>
      </w:r>
      <w:r>
        <w:rPr>
          <w:rFonts w:ascii="宋体" w:hAnsi="宋体" w:cs="宋体"/>
          <w:sz w:val="22"/>
          <w:szCs w:val="22"/>
        </w:rPr>
        <w:t>www.creditchina.gov.cn</w:t>
      </w:r>
      <w:r>
        <w:rPr>
          <w:rFonts w:hint="eastAsia" w:ascii="宋体" w:hAnsi="宋体" w:cs="宋体"/>
          <w:sz w:val="22"/>
          <w:szCs w:val="22"/>
        </w:rPr>
        <w:t>）、中国政府采购网（</w:t>
      </w:r>
      <w:r>
        <w:rPr>
          <w:rFonts w:ascii="宋体" w:hAnsi="宋体" w:cs="宋体"/>
          <w:sz w:val="22"/>
          <w:szCs w:val="22"/>
        </w:rPr>
        <w:t>www.ccgp.gov.cn</w:t>
      </w:r>
      <w:r>
        <w:rPr>
          <w:rFonts w:hint="eastAsia" w:ascii="宋体" w:hAnsi="宋体" w:cs="宋体"/>
          <w:sz w:val="22"/>
          <w:szCs w:val="22"/>
        </w:rPr>
        <w:t>）查询相关供应商主体信用记录的查询结果网页打印件（有不良记录的将被拒绝）；</w:t>
      </w:r>
    </w:p>
    <w:p>
      <w:pPr>
        <w:widowControl/>
        <w:spacing w:line="400" w:lineRule="exact"/>
        <w:ind w:firstLine="440" w:firstLineChars="200"/>
        <w:jc w:val="left"/>
        <w:rPr>
          <w:rFonts w:ascii="宋体" w:cs="宋体"/>
          <w:sz w:val="22"/>
          <w:szCs w:val="22"/>
        </w:rPr>
      </w:pPr>
      <w:r>
        <w:rPr>
          <w:rFonts w:ascii="宋体" w:hAnsi="宋体" w:cs="宋体"/>
          <w:kern w:val="0"/>
          <w:sz w:val="22"/>
          <w:szCs w:val="22"/>
        </w:rPr>
        <w:t>a.</w:t>
      </w:r>
      <w:r>
        <w:rPr>
          <w:rFonts w:hint="eastAsia" w:ascii="宋体" w:hAnsi="宋体" w:cs="宋体"/>
          <w:kern w:val="0"/>
          <w:sz w:val="22"/>
          <w:szCs w:val="22"/>
        </w:rPr>
        <w:t>信用信息记录查询渠道：供应商在“信用中国”网站（</w:t>
      </w:r>
      <w:r>
        <w:rPr>
          <w:rFonts w:ascii="宋体" w:hAnsi="宋体" w:cs="宋体"/>
          <w:kern w:val="0"/>
          <w:sz w:val="22"/>
          <w:szCs w:val="22"/>
        </w:rPr>
        <w:t>www.creditchina.gov.cn</w:t>
      </w:r>
      <w:r>
        <w:rPr>
          <w:rFonts w:hint="eastAsia" w:ascii="宋体" w:hAnsi="宋体" w:cs="宋体"/>
          <w:kern w:val="0"/>
          <w:sz w:val="22"/>
          <w:szCs w:val="22"/>
        </w:rPr>
        <w:t>）及中国政府采购网（</w:t>
      </w:r>
      <w:r>
        <w:rPr>
          <w:rFonts w:ascii="宋体" w:hAnsi="宋体" w:cs="宋体"/>
          <w:kern w:val="0"/>
          <w:sz w:val="22"/>
          <w:szCs w:val="22"/>
        </w:rPr>
        <w:t>www.ccgp.gov.cn</w:t>
      </w:r>
      <w:r>
        <w:rPr>
          <w:rFonts w:hint="eastAsia" w:ascii="宋体" w:hAnsi="宋体" w:cs="宋体"/>
          <w:kern w:val="0"/>
          <w:sz w:val="22"/>
          <w:szCs w:val="22"/>
        </w:rPr>
        <w:t>）查询相关供应商的主体信用记录，同时须将两个网站的查询结果网页打印件都加盖单位公章作为证据装订进响应文件中；</w:t>
      </w:r>
      <w:r>
        <w:rPr>
          <w:rFonts w:ascii="宋体" w:cs="宋体"/>
          <w:kern w:val="0"/>
          <w:sz w:val="22"/>
          <w:szCs w:val="22"/>
        </w:rPr>
        <w:br w:type="textWrapping"/>
      </w:r>
      <w:r>
        <w:rPr>
          <w:rFonts w:ascii="宋体" w:hAnsi="宋体" w:cs="宋体"/>
          <w:kern w:val="0"/>
          <w:sz w:val="22"/>
          <w:szCs w:val="22"/>
        </w:rPr>
        <w:t xml:space="preserve">   b.</w:t>
      </w:r>
      <w:r>
        <w:rPr>
          <w:rFonts w:hint="eastAsia" w:ascii="宋体" w:hAnsi="宋体" w:cs="宋体"/>
          <w:kern w:val="0"/>
          <w:sz w:val="22"/>
          <w:szCs w:val="22"/>
        </w:rPr>
        <w:t>信用信息记录查询截止时点：相关供应商单位主体信用记录查询时间应在本项目首次公告至磋商截止时间内任意时间有效；</w:t>
      </w:r>
      <w:r>
        <w:rPr>
          <w:rFonts w:ascii="宋体" w:cs="宋体"/>
          <w:kern w:val="0"/>
          <w:sz w:val="22"/>
          <w:szCs w:val="22"/>
        </w:rPr>
        <w:br w:type="textWrapping"/>
      </w:r>
      <w:r>
        <w:rPr>
          <w:rFonts w:ascii="宋体" w:cs="宋体"/>
          <w:kern w:val="0"/>
          <w:sz w:val="22"/>
          <w:szCs w:val="22"/>
        </w:rPr>
        <w:t>  </w:t>
      </w:r>
      <w:r>
        <w:rPr>
          <w:rFonts w:ascii="宋体" w:hAnsi="宋体" w:cs="宋体"/>
          <w:kern w:val="0"/>
          <w:sz w:val="22"/>
          <w:szCs w:val="22"/>
        </w:rPr>
        <w:t xml:space="preserve"> c.</w:t>
      </w:r>
      <w:r>
        <w:rPr>
          <w:rFonts w:hint="eastAsia" w:ascii="宋体" w:hAnsi="宋体" w:cs="宋体"/>
          <w:kern w:val="0"/>
          <w:sz w:val="22"/>
          <w:szCs w:val="22"/>
        </w:rPr>
        <w:t>信用信息的使用规则：磋商小组核验供应商在响应文件中提供的主体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400" w:lineRule="exact"/>
        <w:rPr>
          <w:rFonts w:ascii="宋体" w:cs="宋体"/>
          <w:b/>
          <w:sz w:val="22"/>
          <w:szCs w:val="22"/>
        </w:rPr>
      </w:pPr>
      <w:r>
        <w:rPr>
          <w:rFonts w:ascii="宋体" w:hAnsi="宋体" w:cs="宋体"/>
          <w:bCs/>
          <w:sz w:val="22"/>
          <w:szCs w:val="22"/>
        </w:rPr>
        <w:t>5.6.3</w:t>
      </w:r>
      <w:r>
        <w:rPr>
          <w:rFonts w:hint="eastAsia" w:ascii="宋体" w:hAnsi="宋体" w:cs="宋体"/>
          <w:b/>
          <w:sz w:val="22"/>
          <w:szCs w:val="22"/>
        </w:rPr>
        <w:t>商务技术文件</w:t>
      </w:r>
    </w:p>
    <w:p>
      <w:pPr>
        <w:pStyle w:val="53"/>
        <w:spacing w:line="400" w:lineRule="exact"/>
        <w:rPr>
          <w:rFonts w:ascii="宋体" w:cs="宋体"/>
          <w:sz w:val="22"/>
          <w:szCs w:val="22"/>
        </w:rPr>
      </w:pPr>
      <w:r>
        <w:rPr>
          <w:rFonts w:hint="eastAsia" w:ascii="宋体" w:hAnsi="宋体" w:cs="宋体"/>
          <w:sz w:val="22"/>
          <w:szCs w:val="22"/>
        </w:rPr>
        <w:t>★</w:t>
      </w:r>
      <w:r>
        <w:rPr>
          <w:rFonts w:ascii="宋体" w:hAnsi="宋体" w:cs="宋体"/>
          <w:bCs w:val="0"/>
          <w:sz w:val="22"/>
          <w:szCs w:val="22"/>
        </w:rPr>
        <w:t>1</w:t>
      </w:r>
      <w:r>
        <w:rPr>
          <w:rFonts w:hint="eastAsia" w:ascii="宋体" w:hAnsi="宋体" w:cs="宋体"/>
          <w:bCs w:val="0"/>
          <w:sz w:val="22"/>
          <w:szCs w:val="22"/>
        </w:rPr>
        <w:t>）技术及商务响应情况表</w:t>
      </w:r>
      <w:r>
        <w:rPr>
          <w:rFonts w:hint="eastAsia" w:ascii="宋体" w:hAnsi="宋体" w:cs="宋体"/>
          <w:sz w:val="22"/>
          <w:szCs w:val="22"/>
        </w:rPr>
        <w:t>（格式见第四章）。</w:t>
      </w:r>
    </w:p>
    <w:p>
      <w:pPr>
        <w:widowControl/>
        <w:spacing w:line="400" w:lineRule="exact"/>
        <w:ind w:firstLine="220" w:firstLineChars="100"/>
        <w:jc w:val="left"/>
        <w:rPr>
          <w:rFonts w:ascii="宋体" w:cs="宋体"/>
          <w:kern w:val="0"/>
          <w:sz w:val="22"/>
          <w:szCs w:val="22"/>
        </w:rPr>
      </w:pPr>
      <w:r>
        <w:rPr>
          <w:rFonts w:ascii="宋体" w:hAnsi="宋体" w:cs="宋体"/>
          <w:kern w:val="0"/>
          <w:sz w:val="22"/>
          <w:szCs w:val="22"/>
        </w:rPr>
        <w:t>2</w:t>
      </w:r>
      <w:r>
        <w:rPr>
          <w:rFonts w:hint="eastAsia" w:ascii="宋体" w:hAnsi="宋体" w:cs="宋体"/>
          <w:kern w:val="0"/>
          <w:sz w:val="22"/>
          <w:szCs w:val="22"/>
        </w:rPr>
        <w:t>）拟投入的</w:t>
      </w:r>
      <w:r>
        <w:rPr>
          <w:rFonts w:hint="eastAsia" w:ascii="宋体" w:hAnsi="宋体" w:cs="宋体"/>
          <w:sz w:val="22"/>
          <w:szCs w:val="22"/>
        </w:rPr>
        <w:t>项目实施人员一览表（格式见第四章）</w:t>
      </w:r>
      <w:r>
        <w:rPr>
          <w:rFonts w:hint="eastAsia" w:ascii="宋体" w:hAnsi="宋体" w:cs="宋体"/>
          <w:kern w:val="0"/>
          <w:sz w:val="22"/>
          <w:szCs w:val="22"/>
        </w:rPr>
        <w:t>。</w:t>
      </w:r>
    </w:p>
    <w:p>
      <w:pPr>
        <w:widowControl/>
        <w:spacing w:line="400" w:lineRule="exact"/>
        <w:jc w:val="left"/>
        <w:rPr>
          <w:rFonts w:ascii="宋体" w:cs="宋体"/>
          <w:kern w:val="0"/>
          <w:sz w:val="22"/>
          <w:szCs w:val="22"/>
        </w:rPr>
      </w:pPr>
      <w:r>
        <w:rPr>
          <w:rFonts w:hint="eastAsia" w:ascii="宋体" w:hAnsi="宋体" w:cs="宋体"/>
          <w:sz w:val="22"/>
          <w:szCs w:val="22"/>
        </w:rPr>
        <w:t>★</w:t>
      </w:r>
      <w:r>
        <w:rPr>
          <w:rFonts w:ascii="宋体" w:hAnsi="宋体" w:cs="宋体"/>
          <w:kern w:val="0"/>
          <w:sz w:val="22"/>
          <w:szCs w:val="22"/>
        </w:rPr>
        <w:t>3</w:t>
      </w:r>
      <w:r>
        <w:rPr>
          <w:rFonts w:hint="eastAsia" w:ascii="宋体" w:hAnsi="宋体" w:cs="宋体"/>
          <w:kern w:val="0"/>
          <w:sz w:val="22"/>
          <w:szCs w:val="22"/>
        </w:rPr>
        <w:t>）技术编制方案。</w:t>
      </w:r>
    </w:p>
    <w:p>
      <w:pPr>
        <w:widowControl/>
        <w:spacing w:line="400" w:lineRule="exact"/>
        <w:jc w:val="left"/>
        <w:rPr>
          <w:rFonts w:ascii="宋体" w:cs="宋体"/>
          <w:sz w:val="22"/>
          <w:szCs w:val="22"/>
        </w:rPr>
      </w:pPr>
      <w:r>
        <w:rPr>
          <w:rFonts w:hint="eastAsia" w:ascii="宋体" w:hAnsi="宋体" w:cs="宋体"/>
          <w:sz w:val="22"/>
          <w:szCs w:val="22"/>
        </w:rPr>
        <w:t>★</w:t>
      </w:r>
      <w:r>
        <w:rPr>
          <w:rFonts w:ascii="宋体" w:hAnsi="宋体" w:cs="宋体"/>
          <w:kern w:val="0"/>
          <w:sz w:val="22"/>
          <w:szCs w:val="22"/>
        </w:rPr>
        <w:t>4</w:t>
      </w:r>
      <w:r>
        <w:rPr>
          <w:rFonts w:hint="eastAsia" w:ascii="宋体" w:hAnsi="宋体" w:cs="宋体"/>
          <w:kern w:val="0"/>
          <w:sz w:val="22"/>
          <w:szCs w:val="22"/>
        </w:rPr>
        <w:t>）本项目服务承诺书（由供应商自行编写）。</w:t>
      </w:r>
    </w:p>
    <w:p>
      <w:pPr>
        <w:widowControl/>
        <w:spacing w:line="400" w:lineRule="exact"/>
        <w:ind w:firstLine="220" w:firstLineChars="100"/>
        <w:jc w:val="left"/>
        <w:rPr>
          <w:rFonts w:ascii="宋体" w:cs="宋体"/>
          <w:sz w:val="22"/>
          <w:szCs w:val="22"/>
        </w:rPr>
      </w:pPr>
      <w:r>
        <w:rPr>
          <w:rFonts w:ascii="宋体" w:hAnsi="宋体" w:cs="宋体"/>
          <w:kern w:val="0"/>
          <w:sz w:val="22"/>
          <w:szCs w:val="22"/>
        </w:rPr>
        <w:t>5</w:t>
      </w:r>
      <w:r>
        <w:rPr>
          <w:rFonts w:hint="eastAsia" w:ascii="宋体" w:hAnsi="宋体" w:cs="宋体"/>
          <w:kern w:val="0"/>
          <w:sz w:val="22"/>
          <w:szCs w:val="22"/>
        </w:rPr>
        <w:t>）供应商信誉与业绩证明材料。</w:t>
      </w:r>
    </w:p>
    <w:p>
      <w:pPr>
        <w:widowControl/>
        <w:spacing w:line="400" w:lineRule="exact"/>
        <w:ind w:firstLine="220" w:firstLineChars="100"/>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）供应商认为有必要提供的其它材料。</w:t>
      </w:r>
    </w:p>
    <w:p>
      <w:pPr>
        <w:autoSpaceDE w:val="0"/>
        <w:autoSpaceDN w:val="0"/>
        <w:adjustRightInd w:val="0"/>
        <w:spacing w:line="400" w:lineRule="exact"/>
        <w:jc w:val="left"/>
        <w:outlineLvl w:val="0"/>
        <w:rPr>
          <w:rFonts w:ascii="宋体" w:cs="宋体"/>
          <w:b/>
          <w:sz w:val="22"/>
          <w:szCs w:val="22"/>
        </w:rPr>
      </w:pPr>
      <w:r>
        <w:rPr>
          <w:rFonts w:hint="eastAsia" w:ascii="宋体" w:hAnsi="宋体" w:cs="宋体"/>
          <w:b/>
          <w:sz w:val="22"/>
          <w:szCs w:val="22"/>
        </w:rPr>
        <w:t>注：商务技术文件必须逐页加盖供应商的公章，其他具体要求详见第四章《响应文件格式》。</w:t>
      </w:r>
    </w:p>
    <w:p>
      <w:pPr>
        <w:spacing w:line="400" w:lineRule="exact"/>
        <w:rPr>
          <w:rFonts w:ascii="宋体" w:cs="宋体"/>
          <w:sz w:val="22"/>
          <w:szCs w:val="22"/>
        </w:rPr>
      </w:pPr>
      <w:r>
        <w:rPr>
          <w:rFonts w:ascii="宋体" w:hAnsi="宋体" w:cs="宋体"/>
          <w:sz w:val="22"/>
          <w:szCs w:val="22"/>
        </w:rPr>
        <w:t xml:space="preserve">6. </w:t>
      </w:r>
      <w:r>
        <w:rPr>
          <w:rFonts w:hint="eastAsia" w:ascii="宋体" w:hAnsi="宋体" w:cs="宋体"/>
          <w:sz w:val="22"/>
          <w:szCs w:val="22"/>
        </w:rPr>
        <w:t>计量单位</w:t>
      </w:r>
    </w:p>
    <w:p>
      <w:pPr>
        <w:spacing w:line="400" w:lineRule="exact"/>
        <w:rPr>
          <w:rFonts w:ascii="宋体" w:cs="宋体"/>
          <w:b/>
          <w:sz w:val="22"/>
          <w:szCs w:val="22"/>
        </w:rPr>
      </w:pPr>
      <w:r>
        <w:rPr>
          <w:rFonts w:ascii="宋体" w:hAnsi="宋体" w:cs="宋体"/>
          <w:sz w:val="22"/>
          <w:szCs w:val="22"/>
        </w:rPr>
        <w:t xml:space="preserve">6.1 </w:t>
      </w:r>
      <w:r>
        <w:rPr>
          <w:rFonts w:hint="eastAsia" w:ascii="宋体" w:hAnsi="宋体" w:cs="宋体"/>
          <w:sz w:val="22"/>
          <w:szCs w:val="22"/>
        </w:rPr>
        <w:t>除技术要求中另有规定外，本文件所要求使用的计量单位均应采用国家法定计量单位。</w:t>
      </w:r>
    </w:p>
    <w:p>
      <w:pPr>
        <w:spacing w:line="400" w:lineRule="exact"/>
        <w:rPr>
          <w:rFonts w:ascii="宋体" w:cs="宋体"/>
          <w:b/>
          <w:sz w:val="22"/>
          <w:szCs w:val="22"/>
        </w:rPr>
      </w:pPr>
      <w:r>
        <w:rPr>
          <w:rFonts w:hint="eastAsia" w:ascii="宋体" w:hAnsi="宋体" w:cs="宋体"/>
          <w:b/>
          <w:sz w:val="22"/>
          <w:szCs w:val="22"/>
        </w:rPr>
        <w:t>三、报价要求</w:t>
      </w:r>
    </w:p>
    <w:p>
      <w:pPr>
        <w:spacing w:line="400" w:lineRule="exact"/>
        <w:rPr>
          <w:rFonts w:ascii="宋体" w:cs="宋体"/>
          <w:sz w:val="22"/>
          <w:szCs w:val="22"/>
        </w:rPr>
      </w:pPr>
      <w:r>
        <w:rPr>
          <w:rFonts w:ascii="宋体" w:hAnsi="宋体" w:cs="宋体"/>
          <w:sz w:val="22"/>
          <w:szCs w:val="22"/>
        </w:rPr>
        <w:t>7.1</w:t>
      </w:r>
      <w:r>
        <w:rPr>
          <w:rFonts w:hint="eastAsia" w:ascii="宋体" w:hAnsi="宋体" w:cs="宋体"/>
          <w:sz w:val="22"/>
          <w:szCs w:val="22"/>
        </w:rPr>
        <w:t>对于本文件中未列明，而供应商认为必需的费用也需列入总报价。在合同实施时，采购人将不予支付成交供应商没有列入的项目费用，并认为此项目的费用已包括在总报价中。</w:t>
      </w:r>
    </w:p>
    <w:p>
      <w:pPr>
        <w:spacing w:line="400" w:lineRule="exact"/>
        <w:rPr>
          <w:rFonts w:ascii="宋体" w:cs="宋体"/>
          <w:sz w:val="22"/>
          <w:szCs w:val="22"/>
        </w:rPr>
      </w:pPr>
      <w:r>
        <w:rPr>
          <w:rFonts w:ascii="宋体" w:hAnsi="宋体" w:cs="宋体"/>
          <w:sz w:val="22"/>
          <w:szCs w:val="22"/>
        </w:rPr>
        <w:t xml:space="preserve">7.2 </w:t>
      </w:r>
      <w:r>
        <w:rPr>
          <w:rFonts w:hint="eastAsia" w:ascii="宋体" w:hAnsi="宋体" w:cs="宋体"/>
          <w:sz w:val="22"/>
          <w:szCs w:val="22"/>
        </w:rPr>
        <w:t>成交供应商负责本项目所需货物的制造、运输、售后服务等全部工作。</w:t>
      </w:r>
    </w:p>
    <w:p>
      <w:pPr>
        <w:spacing w:line="400" w:lineRule="exact"/>
        <w:rPr>
          <w:rFonts w:ascii="宋体" w:cs="宋体"/>
          <w:b/>
          <w:sz w:val="22"/>
          <w:szCs w:val="22"/>
        </w:rPr>
      </w:pPr>
      <w:r>
        <w:rPr>
          <w:rFonts w:hint="eastAsia" w:ascii="宋体" w:hAnsi="宋体" w:cs="宋体"/>
          <w:b/>
          <w:sz w:val="22"/>
          <w:szCs w:val="22"/>
        </w:rPr>
        <w:t>四、响应文件的份数、封装和递交</w:t>
      </w:r>
    </w:p>
    <w:p>
      <w:pPr>
        <w:spacing w:line="400" w:lineRule="exact"/>
        <w:rPr>
          <w:rFonts w:ascii="宋体" w:cs="宋体"/>
          <w:sz w:val="22"/>
          <w:szCs w:val="22"/>
        </w:rPr>
      </w:pPr>
      <w:r>
        <w:rPr>
          <w:rFonts w:ascii="宋体" w:hAnsi="宋体" w:cs="宋体"/>
          <w:sz w:val="22"/>
          <w:szCs w:val="22"/>
        </w:rPr>
        <w:t>8.</w:t>
      </w:r>
      <w:r>
        <w:rPr>
          <w:rFonts w:hint="eastAsia" w:ascii="宋体" w:hAnsi="宋体" w:cs="宋体"/>
          <w:sz w:val="22"/>
          <w:szCs w:val="22"/>
        </w:rPr>
        <w:t>响应文件的份数和封装</w:t>
      </w:r>
    </w:p>
    <w:p>
      <w:pPr>
        <w:spacing w:line="400" w:lineRule="exact"/>
        <w:rPr>
          <w:rFonts w:ascii="宋体" w:cs="宋体"/>
          <w:sz w:val="22"/>
          <w:szCs w:val="22"/>
        </w:rPr>
      </w:pPr>
      <w:r>
        <w:rPr>
          <w:rFonts w:ascii="宋体" w:hAnsi="宋体" w:cs="宋体"/>
          <w:sz w:val="22"/>
          <w:szCs w:val="22"/>
        </w:rPr>
        <w:t>8.1</w:t>
      </w:r>
      <w:r>
        <w:rPr>
          <w:rFonts w:hint="eastAsia" w:ascii="宋体" w:hAnsi="宋体" w:cs="宋体"/>
          <w:sz w:val="22"/>
          <w:szCs w:val="22"/>
        </w:rPr>
        <w:t>供应商应将响应文件正本一份，副本三份，并在每份文件封面右上角注明“正本”、“副本”字样，一旦正本和副本不符，以正本为准。全部一并装入文件袋（盒、箱）中。</w:t>
      </w:r>
    </w:p>
    <w:p>
      <w:pPr>
        <w:tabs>
          <w:tab w:val="left" w:pos="1305"/>
        </w:tabs>
        <w:spacing w:line="400" w:lineRule="exact"/>
        <w:rPr>
          <w:rFonts w:ascii="宋体" w:cs="宋体"/>
          <w:sz w:val="22"/>
          <w:szCs w:val="22"/>
        </w:rPr>
      </w:pPr>
      <w:r>
        <w:rPr>
          <w:rFonts w:ascii="宋体" w:hAnsi="宋体" w:cs="宋体"/>
          <w:sz w:val="22"/>
          <w:szCs w:val="22"/>
        </w:rPr>
        <w:t>8.2</w:t>
      </w:r>
      <w:r>
        <w:rPr>
          <w:rFonts w:hint="eastAsia" w:ascii="宋体" w:hAnsi="宋体" w:cs="宋体"/>
          <w:sz w:val="22"/>
          <w:szCs w:val="22"/>
        </w:rPr>
        <w:t>响应文件的密封以文件袋（盒、箱）无明显缝隙露出袋内文件且封口处有密封签章</w:t>
      </w:r>
      <w:r>
        <w:rPr>
          <w:rFonts w:ascii="宋体" w:hAnsi="宋体" w:cs="宋体"/>
          <w:sz w:val="22"/>
          <w:szCs w:val="22"/>
        </w:rPr>
        <w:t>[</w:t>
      </w:r>
      <w:r>
        <w:rPr>
          <w:rFonts w:hint="eastAsia" w:ascii="宋体" w:hAnsi="宋体" w:cs="宋体"/>
          <w:sz w:val="22"/>
          <w:szCs w:val="22"/>
        </w:rPr>
        <w:t>公章、密封章、法定代表人或其委托代理人签字</w:t>
      </w:r>
      <w:r>
        <w:rPr>
          <w:rFonts w:ascii="宋体" w:hAnsi="宋体" w:cs="宋体"/>
          <w:sz w:val="22"/>
          <w:szCs w:val="22"/>
        </w:rPr>
        <w:t>]</w:t>
      </w:r>
      <w:r>
        <w:rPr>
          <w:rFonts w:hint="eastAsia" w:ascii="宋体" w:hAnsi="宋体" w:cs="宋体"/>
          <w:sz w:val="22"/>
          <w:szCs w:val="22"/>
        </w:rPr>
        <w:t>为合格。</w:t>
      </w:r>
    </w:p>
    <w:p>
      <w:pPr>
        <w:tabs>
          <w:tab w:val="left" w:pos="1305"/>
        </w:tabs>
        <w:spacing w:line="400" w:lineRule="exact"/>
        <w:rPr>
          <w:rFonts w:ascii="宋体" w:cs="宋体"/>
          <w:sz w:val="22"/>
          <w:szCs w:val="22"/>
        </w:rPr>
      </w:pPr>
      <w:r>
        <w:rPr>
          <w:rFonts w:ascii="宋体" w:hAnsi="宋体" w:cs="宋体"/>
          <w:sz w:val="22"/>
          <w:szCs w:val="22"/>
        </w:rPr>
        <w:t>8.3</w:t>
      </w:r>
      <w:r>
        <w:rPr>
          <w:rFonts w:hint="eastAsia" w:ascii="宋体" w:hAnsi="宋体" w:cs="宋体"/>
          <w:sz w:val="22"/>
          <w:szCs w:val="22"/>
        </w:rPr>
        <w:t>供应商在递交响应文件时未按本须知要求密封、标记的，采购代理机构有权拒收。由此造成响应文件被误投或提前拆封的风险由供应商承担。</w:t>
      </w:r>
    </w:p>
    <w:p>
      <w:pPr>
        <w:spacing w:line="400" w:lineRule="exact"/>
        <w:rPr>
          <w:rFonts w:ascii="宋体" w:cs="宋体"/>
          <w:sz w:val="22"/>
          <w:szCs w:val="22"/>
        </w:rPr>
      </w:pPr>
      <w:r>
        <w:rPr>
          <w:rFonts w:ascii="宋体" w:hAnsi="宋体" w:cs="宋体"/>
          <w:sz w:val="22"/>
          <w:szCs w:val="22"/>
        </w:rPr>
        <w:t>8.4</w:t>
      </w:r>
      <w:r>
        <w:rPr>
          <w:rFonts w:hint="eastAsia" w:ascii="宋体" w:hAnsi="宋体" w:cs="宋体"/>
          <w:sz w:val="22"/>
          <w:szCs w:val="22"/>
        </w:rPr>
        <w:t>响应文件的信封上应写明：</w:t>
      </w:r>
    </w:p>
    <w:p>
      <w:pPr>
        <w:spacing w:line="400" w:lineRule="exact"/>
        <w:rPr>
          <w:rFonts w:ascii="宋体" w:cs="宋体"/>
          <w:sz w:val="22"/>
          <w:szCs w:val="22"/>
        </w:rPr>
      </w:pPr>
      <w:r>
        <w:rPr>
          <w:rFonts w:ascii="宋体" w:hAnsi="宋体" w:cs="宋体"/>
          <w:sz w:val="22"/>
          <w:szCs w:val="22"/>
        </w:rPr>
        <w:t>1</w:t>
      </w:r>
      <w:r>
        <w:rPr>
          <w:rFonts w:hint="eastAsia" w:ascii="宋体" w:hAnsi="宋体" w:cs="宋体"/>
          <w:sz w:val="22"/>
          <w:szCs w:val="22"/>
        </w:rPr>
        <w:t>）项目编号；</w:t>
      </w:r>
    </w:p>
    <w:p>
      <w:pPr>
        <w:spacing w:line="400" w:lineRule="exact"/>
        <w:rPr>
          <w:rFonts w:ascii="宋体" w:cs="宋体"/>
          <w:sz w:val="22"/>
          <w:szCs w:val="22"/>
        </w:rPr>
      </w:pPr>
      <w:r>
        <w:rPr>
          <w:rFonts w:ascii="宋体" w:hAnsi="宋体" w:cs="宋体"/>
          <w:sz w:val="22"/>
          <w:szCs w:val="22"/>
        </w:rPr>
        <w:t>2</w:t>
      </w:r>
      <w:r>
        <w:rPr>
          <w:rFonts w:hint="eastAsia" w:ascii="宋体" w:hAnsi="宋体" w:cs="宋体"/>
          <w:sz w:val="22"/>
          <w:szCs w:val="22"/>
        </w:rPr>
        <w:t>）项目名称；</w:t>
      </w:r>
    </w:p>
    <w:p>
      <w:pPr>
        <w:spacing w:line="400" w:lineRule="exact"/>
        <w:rPr>
          <w:rFonts w:ascii="宋体" w:cs="宋体"/>
          <w:sz w:val="22"/>
          <w:szCs w:val="22"/>
        </w:rPr>
      </w:pPr>
      <w:r>
        <w:rPr>
          <w:rFonts w:ascii="宋体" w:hAnsi="宋体" w:cs="宋体"/>
          <w:sz w:val="22"/>
          <w:szCs w:val="22"/>
        </w:rPr>
        <w:t>3</w:t>
      </w:r>
      <w:r>
        <w:rPr>
          <w:rFonts w:hint="eastAsia" w:ascii="宋体" w:hAnsi="宋体" w:cs="宋体"/>
          <w:sz w:val="22"/>
          <w:szCs w:val="22"/>
        </w:rPr>
        <w:t>）供应商名称；</w:t>
      </w:r>
    </w:p>
    <w:p>
      <w:pPr>
        <w:pStyle w:val="12"/>
        <w:spacing w:line="400" w:lineRule="exact"/>
        <w:rPr>
          <w:rFonts w:hAnsi="宋体" w:cs="宋体"/>
          <w:sz w:val="22"/>
          <w:szCs w:val="22"/>
        </w:rPr>
      </w:pPr>
      <w:r>
        <w:rPr>
          <w:rFonts w:hAnsi="宋体" w:cs="宋体"/>
          <w:sz w:val="22"/>
          <w:szCs w:val="22"/>
        </w:rPr>
        <w:t xml:space="preserve">4) </w:t>
      </w:r>
      <w:r>
        <w:rPr>
          <w:rFonts w:hint="eastAsia" w:hAnsi="宋体" w:cs="宋体"/>
          <w:sz w:val="22"/>
          <w:szCs w:val="22"/>
        </w:rPr>
        <w:t>注明“开标时才能启封”</w:t>
      </w:r>
    </w:p>
    <w:p>
      <w:pPr>
        <w:spacing w:line="400" w:lineRule="exact"/>
        <w:rPr>
          <w:rFonts w:ascii="宋体" w:cs="宋体"/>
          <w:sz w:val="22"/>
          <w:szCs w:val="22"/>
        </w:rPr>
      </w:pPr>
      <w:r>
        <w:rPr>
          <w:rFonts w:ascii="宋体" w:hAnsi="宋体" w:cs="宋体"/>
          <w:sz w:val="22"/>
          <w:szCs w:val="22"/>
        </w:rPr>
        <w:t xml:space="preserve">9. </w:t>
      </w:r>
      <w:r>
        <w:rPr>
          <w:rFonts w:hint="eastAsia" w:ascii="宋体" w:hAnsi="宋体" w:cs="宋体"/>
          <w:sz w:val="22"/>
          <w:szCs w:val="22"/>
        </w:rPr>
        <w:t>响应文件的递交</w:t>
      </w:r>
    </w:p>
    <w:p>
      <w:pPr>
        <w:spacing w:line="400" w:lineRule="exact"/>
        <w:rPr>
          <w:rFonts w:ascii="宋体" w:cs="宋体"/>
          <w:sz w:val="22"/>
          <w:szCs w:val="22"/>
        </w:rPr>
      </w:pPr>
      <w:r>
        <w:rPr>
          <w:rFonts w:ascii="宋体" w:hAnsi="宋体" w:cs="宋体"/>
          <w:sz w:val="22"/>
          <w:szCs w:val="22"/>
        </w:rPr>
        <w:t xml:space="preserve">9.1 </w:t>
      </w:r>
      <w:r>
        <w:rPr>
          <w:rFonts w:hint="eastAsia" w:ascii="宋体" w:hAnsi="宋体" w:cs="宋体"/>
          <w:sz w:val="22"/>
          <w:szCs w:val="22"/>
        </w:rPr>
        <w:t>所有响应文件应于竞争性磋商文件中规定的时间前递交到竞争性磋商文件中指定地点。</w:t>
      </w:r>
    </w:p>
    <w:p>
      <w:pPr>
        <w:spacing w:line="400" w:lineRule="exact"/>
        <w:rPr>
          <w:rFonts w:ascii="宋体" w:cs="宋体"/>
          <w:sz w:val="22"/>
          <w:szCs w:val="22"/>
        </w:rPr>
      </w:pPr>
      <w:r>
        <w:rPr>
          <w:rFonts w:ascii="宋体" w:hAnsi="宋体" w:cs="宋体"/>
          <w:sz w:val="22"/>
          <w:szCs w:val="22"/>
        </w:rPr>
        <w:t xml:space="preserve">10.  </w:t>
      </w:r>
      <w:r>
        <w:rPr>
          <w:rFonts w:hint="eastAsia" w:ascii="宋体" w:hAnsi="宋体" w:cs="宋体"/>
          <w:sz w:val="22"/>
          <w:szCs w:val="22"/>
        </w:rPr>
        <w:t>迟交的响应文件</w:t>
      </w:r>
    </w:p>
    <w:p>
      <w:pPr>
        <w:spacing w:line="400" w:lineRule="exact"/>
        <w:ind w:firstLine="440" w:firstLineChars="200"/>
        <w:rPr>
          <w:rFonts w:ascii="宋体" w:cs="宋体"/>
          <w:b/>
          <w:sz w:val="22"/>
          <w:szCs w:val="22"/>
        </w:rPr>
      </w:pPr>
      <w:r>
        <w:rPr>
          <w:rFonts w:hint="eastAsia" w:ascii="宋体" w:hAnsi="宋体" w:cs="宋体"/>
          <w:sz w:val="22"/>
          <w:szCs w:val="22"/>
        </w:rPr>
        <w:t>北京诚佳信工程管理有限公司将拒绝或原封退回在其规定的递交响应文件截止时间之后收到的响应文件。</w:t>
      </w:r>
    </w:p>
    <w:p>
      <w:pPr>
        <w:spacing w:line="400" w:lineRule="exact"/>
        <w:rPr>
          <w:rFonts w:ascii="宋体" w:cs="宋体"/>
          <w:b/>
          <w:sz w:val="22"/>
          <w:szCs w:val="22"/>
        </w:rPr>
      </w:pPr>
      <w:r>
        <w:rPr>
          <w:rFonts w:hint="eastAsia" w:ascii="宋体" w:hAnsi="宋体" w:cs="宋体"/>
          <w:b/>
          <w:sz w:val="22"/>
          <w:szCs w:val="22"/>
        </w:rPr>
        <w:t>五、磋商</w:t>
      </w:r>
    </w:p>
    <w:p>
      <w:pPr>
        <w:spacing w:line="400" w:lineRule="exact"/>
        <w:ind w:firstLine="442" w:firstLineChars="200"/>
        <w:rPr>
          <w:rFonts w:ascii="宋体" w:cs="宋体"/>
          <w:sz w:val="22"/>
          <w:szCs w:val="22"/>
        </w:rPr>
      </w:pPr>
      <w:r>
        <w:rPr>
          <w:rFonts w:ascii="宋体" w:hAnsi="宋体" w:cs="宋体"/>
          <w:b/>
          <w:bCs/>
          <w:sz w:val="22"/>
          <w:szCs w:val="22"/>
        </w:rPr>
        <w:t>11.1</w:t>
      </w:r>
      <w:r>
        <w:rPr>
          <w:rFonts w:hint="eastAsia" w:ascii="宋体" w:hAnsi="宋体" w:cs="宋体"/>
          <w:sz w:val="22"/>
          <w:szCs w:val="22"/>
        </w:rPr>
        <w:t>磋商小组所有成员应当集中与单一供应商分别进行磋商，并给予所有参加磋商的供应商平等的磋商机会。</w:t>
      </w:r>
    </w:p>
    <w:p>
      <w:pPr>
        <w:spacing w:line="400" w:lineRule="exact"/>
        <w:ind w:firstLine="440" w:firstLineChars="200"/>
        <w:jc w:val="left"/>
        <w:rPr>
          <w:rFonts w:ascii="宋体" w:cs="宋体"/>
          <w:sz w:val="22"/>
          <w:szCs w:val="22"/>
        </w:rPr>
      </w:pPr>
      <w:r>
        <w:rPr>
          <w:rFonts w:hint="eastAsia" w:ascii="宋体" w:hAnsi="宋体" w:cs="宋体"/>
          <w:sz w:val="22"/>
          <w:szCs w:val="22"/>
        </w:rPr>
        <w:t>磋商小组与供应商就符合采购需求、质量和服务等进行磋商，并了解其报价组成情况。</w:t>
      </w:r>
    </w:p>
    <w:p>
      <w:pPr>
        <w:spacing w:line="40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采购代理机构对磋商过程和重要磋商内容进行记录，磋商双方在记录上签字确认。</w:t>
      </w:r>
    </w:p>
    <w:p>
      <w:pPr>
        <w:spacing w:line="400" w:lineRule="exact"/>
        <w:ind w:firstLine="440" w:firstLineChars="200"/>
        <w:rPr>
          <w:rFonts w:ascii="宋体" w:cs="宋体"/>
          <w:sz w:val="22"/>
          <w:szCs w:val="22"/>
        </w:rPr>
      </w:pPr>
      <w:r>
        <w:rPr>
          <w:rFonts w:hint="eastAsia" w:ascii="宋体" w:hAnsi="宋体" w:cs="宋体"/>
          <w:sz w:val="22"/>
          <w:szCs w:val="22"/>
        </w:rPr>
        <w:t>在磋商过程中，磋商小组可以根据响应文件和磋商情况实质性变动采购需求中的技术、服务要求以及合同草案条款，但不得变动响应文件中的其他内容。实质性变动的内容，须经采购人代表确认。</w:t>
      </w:r>
    </w:p>
    <w:p>
      <w:pPr>
        <w:spacing w:line="400" w:lineRule="exact"/>
        <w:ind w:firstLine="440" w:firstLineChars="200"/>
        <w:rPr>
          <w:rFonts w:ascii="宋体" w:cs="宋体"/>
          <w:sz w:val="22"/>
          <w:szCs w:val="22"/>
        </w:rPr>
      </w:pPr>
      <w:r>
        <w:rPr>
          <w:rFonts w:hint="eastAsia" w:ascii="宋体" w:hAnsi="宋体" w:cs="宋体"/>
          <w:sz w:val="22"/>
          <w:szCs w:val="22"/>
        </w:rPr>
        <w:t>对响应文件作出的实质性变动是响应文件的有效组成部分，磋商小组应当及时以书面形式同时通知所有参加磋商的供应商。</w:t>
      </w:r>
    </w:p>
    <w:p>
      <w:pPr>
        <w:spacing w:line="400" w:lineRule="exact"/>
        <w:ind w:firstLine="440" w:firstLineChars="200"/>
        <w:rPr>
          <w:rFonts w:ascii="宋体" w:cs="宋体"/>
          <w:sz w:val="22"/>
          <w:szCs w:val="22"/>
        </w:rPr>
      </w:pPr>
      <w:r>
        <w:rPr>
          <w:rFonts w:hint="eastAsia" w:ascii="宋体" w:hAnsi="宋体" w:cs="宋体"/>
          <w:sz w:val="22"/>
          <w:szCs w:val="22"/>
        </w:rPr>
        <w:t>供应商应当按照响应文件的变动情况和磋商小组的要求重新提交响应文件，并由其法定代表人或授权代表签字或者加盖公章。由授权代表签字的，应当附法定代表人授权书。供应商为自然人的，应当由本人签字并附身份证明。逾时不交的，视同放弃磋商。</w:t>
      </w:r>
    </w:p>
    <w:p>
      <w:pPr>
        <w:pStyle w:val="53"/>
        <w:spacing w:line="400" w:lineRule="exact"/>
        <w:ind w:firstLine="442" w:firstLineChars="200"/>
        <w:rPr>
          <w:rFonts w:ascii="宋体" w:cs="宋体"/>
          <w:bCs w:val="0"/>
          <w:spacing w:val="0"/>
          <w:sz w:val="22"/>
          <w:szCs w:val="22"/>
        </w:rPr>
      </w:pPr>
      <w:r>
        <w:rPr>
          <w:rFonts w:ascii="宋体" w:hAnsi="宋体" w:cs="宋体"/>
          <w:b/>
          <w:spacing w:val="0"/>
          <w:sz w:val="22"/>
          <w:szCs w:val="22"/>
        </w:rPr>
        <w:t>11.2</w:t>
      </w:r>
      <w:r>
        <w:rPr>
          <w:rFonts w:hint="eastAsia" w:ascii="宋体" w:hAnsi="宋体" w:cs="宋体"/>
          <w:b/>
          <w:spacing w:val="0"/>
          <w:sz w:val="22"/>
          <w:szCs w:val="22"/>
        </w:rPr>
        <w:t>组织磋商</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ascii="宋体" w:hAnsi="宋体" w:cs="宋体"/>
          <w:bCs w:val="0"/>
          <w:spacing w:val="0"/>
          <w:sz w:val="22"/>
          <w:szCs w:val="22"/>
        </w:rPr>
        <w:t>11.2.1</w:t>
      </w:r>
      <w:r>
        <w:rPr>
          <w:rFonts w:hint="eastAsia" w:ascii="宋体" w:hAnsi="宋体" w:cs="宋体"/>
          <w:bCs w:val="0"/>
          <w:spacing w:val="0"/>
          <w:sz w:val="22"/>
          <w:szCs w:val="22"/>
        </w:rPr>
        <w:t>磋商小组由采购人代表和有关技术、经济等方面的专家组成，成员人数为</w:t>
      </w:r>
      <w:r>
        <w:rPr>
          <w:rFonts w:ascii="宋体" w:hAnsi="宋体" w:cs="宋体"/>
          <w:bCs w:val="0"/>
          <w:spacing w:val="0"/>
          <w:sz w:val="22"/>
          <w:szCs w:val="22"/>
        </w:rPr>
        <w:t>3</w:t>
      </w:r>
      <w:r>
        <w:rPr>
          <w:rFonts w:hint="eastAsia" w:ascii="宋体" w:hAnsi="宋体" w:cs="宋体"/>
          <w:bCs w:val="0"/>
          <w:spacing w:val="0"/>
          <w:sz w:val="22"/>
          <w:szCs w:val="22"/>
        </w:rPr>
        <w:t>人或以上单数，其中专家不得少于成员总人数的三分之二。采用集中办公、封闭磋商的方式进行磋商。</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磋商前，采购代理机构工作人员向磋商小组成员宣布和印发磋商纪律和磋商工作规则，并遵照执行。磋商小组成员签署《政府采购项目评审专家承诺书》。磋商小组成员对与自己有利害关系的磋商项目应当主动提出回避。</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③采购代理机构指定专人负责对磋商过程和重要磋商内容进行记录，采购代理机构、采购人代表、磋商小组所有成员在记录上签字确认，并存档备查。</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ascii="宋体" w:hAnsi="宋体" w:cs="宋体"/>
          <w:bCs w:val="0"/>
          <w:spacing w:val="0"/>
          <w:sz w:val="22"/>
          <w:szCs w:val="22"/>
        </w:rPr>
        <w:t>11.2.2</w:t>
      </w:r>
      <w:r>
        <w:rPr>
          <w:rFonts w:hint="eastAsia" w:ascii="宋体" w:hAnsi="宋体" w:cs="宋体"/>
          <w:bCs w:val="0"/>
          <w:spacing w:val="0"/>
          <w:sz w:val="22"/>
          <w:szCs w:val="22"/>
        </w:rPr>
        <w:t>磋商小组对所有响应文件进行资格性和符合性审查。</w:t>
      </w:r>
    </w:p>
    <w:p>
      <w:pPr>
        <w:pStyle w:val="53"/>
        <w:spacing w:line="400" w:lineRule="exact"/>
        <w:ind w:firstLine="440" w:firstLineChars="200"/>
        <w:rPr>
          <w:rFonts w:ascii="宋体" w:cs="宋体"/>
          <w:bCs w:val="0"/>
          <w:spacing w:val="0"/>
          <w:sz w:val="22"/>
          <w:szCs w:val="22"/>
        </w:rPr>
      </w:pPr>
      <w:r>
        <w:rPr>
          <w:rFonts w:ascii="宋体" w:cs="宋体"/>
          <w:bCs w:val="0"/>
          <w:spacing w:val="0"/>
          <w:sz w:val="22"/>
          <w:szCs w:val="22"/>
        </w:rPr>
        <w:t> </w:t>
      </w:r>
      <w:r>
        <w:rPr>
          <w:rFonts w:ascii="宋体" w:hAnsi="宋体" w:cs="宋体"/>
          <w:b/>
          <w:spacing w:val="0"/>
          <w:sz w:val="22"/>
          <w:szCs w:val="22"/>
        </w:rPr>
        <w:t>11.2.2.1</w:t>
      </w:r>
      <w:r>
        <w:rPr>
          <w:rFonts w:hint="eastAsia" w:ascii="宋体" w:hAnsi="宋体" w:cs="宋体"/>
          <w:b/>
          <w:spacing w:val="0"/>
          <w:sz w:val="22"/>
          <w:szCs w:val="22"/>
        </w:rPr>
        <w:t>资格性审查</w:t>
      </w:r>
      <w:r>
        <w:rPr>
          <w:rFonts w:ascii="宋体" w:cs="宋体"/>
          <w:b/>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依据有关法律和竞争性磋商文件的规定，对响应文件提供的资格证明文件进行审查，以确定供应商是否具备有效的磋商资格。在资格性检查时，如有下列情况之一的，经磋商小组认定，视为非实质性响应，将视为无效磋商：</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①供应商未提供磋商保证金或金额不足的；</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②供应商资格证明文件不满足磋商文件要求和过期失效的；</w:t>
      </w:r>
    </w:p>
    <w:p>
      <w:pPr>
        <w:pStyle w:val="53"/>
        <w:spacing w:line="400" w:lineRule="exact"/>
        <w:ind w:firstLine="440" w:firstLineChars="200"/>
        <w:rPr>
          <w:rFonts w:ascii="宋体" w:cs="宋体"/>
          <w:bCs w:val="0"/>
          <w:spacing w:val="0"/>
          <w:sz w:val="22"/>
          <w:szCs w:val="22"/>
        </w:rPr>
      </w:pPr>
      <w:r>
        <w:rPr>
          <w:rFonts w:ascii="宋体" w:cs="宋体"/>
          <w:bCs w:val="0"/>
          <w:spacing w:val="0"/>
          <w:sz w:val="22"/>
          <w:szCs w:val="22"/>
        </w:rPr>
        <w:t> </w:t>
      </w:r>
      <w:r>
        <w:rPr>
          <w:rFonts w:ascii="宋体" w:hAnsi="宋体" w:cs="宋体"/>
          <w:b/>
          <w:spacing w:val="0"/>
          <w:sz w:val="22"/>
          <w:szCs w:val="22"/>
        </w:rPr>
        <w:t>11.2.2.2</w:t>
      </w:r>
      <w:r>
        <w:rPr>
          <w:rFonts w:hint="eastAsia" w:ascii="宋体" w:hAnsi="宋体" w:cs="宋体"/>
          <w:b/>
          <w:spacing w:val="0"/>
          <w:sz w:val="22"/>
          <w:szCs w:val="22"/>
        </w:rPr>
        <w:t>符合性审查</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磋商小组从供应商递交的响应性文件的有效性、完整性和对竞争性磋商文件的响应程度进行审查。经审查，</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递交响应文件供应商法定代表或其委托授权人身份与响应文件不符的；</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或未按照竞争性磋商文件规定装订、密封、签署、盖章的；投标有效期不足的；</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磋商（首轮）报价已超出采购预算的；附有采购人不能接受的条件的。</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对无效响应文件须由采购代理机构进行复核确认，确认为无效响应文件的供应商不予进行磋商。</w:t>
      </w:r>
    </w:p>
    <w:p>
      <w:pPr>
        <w:pStyle w:val="53"/>
        <w:spacing w:line="400" w:lineRule="exact"/>
        <w:rPr>
          <w:rFonts w:ascii="宋体" w:cs="宋体"/>
          <w:b/>
          <w:spacing w:val="0"/>
          <w:sz w:val="22"/>
          <w:szCs w:val="22"/>
        </w:rPr>
      </w:pPr>
      <w:r>
        <w:rPr>
          <w:rFonts w:ascii="宋体" w:hAnsi="宋体" w:cs="宋体"/>
          <w:b/>
          <w:spacing w:val="0"/>
          <w:sz w:val="22"/>
          <w:szCs w:val="22"/>
        </w:rPr>
        <w:t>11.3</w:t>
      </w:r>
      <w:r>
        <w:rPr>
          <w:rFonts w:hint="eastAsia" w:ascii="宋体" w:hAnsi="宋体" w:cs="宋体"/>
          <w:b/>
          <w:spacing w:val="0"/>
          <w:sz w:val="22"/>
          <w:szCs w:val="22"/>
        </w:rPr>
        <w:t>磋商</w:t>
      </w:r>
    </w:p>
    <w:p>
      <w:pPr>
        <w:pStyle w:val="53"/>
        <w:spacing w:line="400" w:lineRule="exact"/>
        <w:rPr>
          <w:rFonts w:ascii="宋体" w:cs="宋体"/>
          <w:bCs w:val="0"/>
          <w:spacing w:val="0"/>
          <w:sz w:val="22"/>
          <w:szCs w:val="22"/>
        </w:rPr>
      </w:pPr>
      <w:r>
        <w:rPr>
          <w:rFonts w:ascii="宋体" w:cs="宋体"/>
          <w:bCs w:val="0"/>
          <w:spacing w:val="0"/>
          <w:sz w:val="22"/>
          <w:szCs w:val="22"/>
        </w:rPr>
        <w:t> </w:t>
      </w:r>
      <w:r>
        <w:rPr>
          <w:rFonts w:ascii="宋体" w:hAnsi="宋体" w:cs="宋体"/>
          <w:bCs w:val="0"/>
          <w:spacing w:val="0"/>
          <w:sz w:val="22"/>
          <w:szCs w:val="22"/>
        </w:rPr>
        <w:t xml:space="preserve">  </w:t>
      </w:r>
      <w:r>
        <w:rPr>
          <w:rFonts w:ascii="宋体" w:hAnsi="宋体" w:cs="宋体"/>
          <w:b/>
          <w:spacing w:val="0"/>
          <w:sz w:val="22"/>
          <w:szCs w:val="22"/>
        </w:rPr>
        <w:t>11.3.1</w:t>
      </w:r>
      <w:r>
        <w:rPr>
          <w:rFonts w:hint="eastAsia" w:ascii="宋体" w:hAnsi="宋体" w:cs="宋体"/>
          <w:b/>
          <w:spacing w:val="0"/>
          <w:sz w:val="22"/>
          <w:szCs w:val="22"/>
        </w:rPr>
        <w:t>第一轮磋商</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磋商小组对实质性响应文件从技术、服务要求、合同草案条款等方面进行全面比较与评价，了解和掌握各实质性响应供应商的响应程度，做好磋商准备。</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磋商小组应当通过随机方式确定参加磋商供应商的磋商顺序，所有磋商小组成员集体从以下几方面与每位实质性响应供应商分别进行单独磋商：</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①竞争性磋商文件中对某些事项有规定要求，而响应文件表述不清楚或没有提供相关资料的事项；</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②竞争性磋商文件中对某些事项没有提供具体规定要求或者表述不清楚，造成实质性响应供应商对此项要求模糊不清或理解上有差异的条款或事项；</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③需要质疑、询问供应商的事项；</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④价格和交付期的磋商；</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⑤其他需要磋商的事项。</w:t>
      </w:r>
      <w:r>
        <w:rPr>
          <w:rFonts w:ascii="宋体" w:cs="宋体"/>
          <w:bCs w:val="0"/>
          <w:spacing w:val="0"/>
          <w:sz w:val="22"/>
          <w:szCs w:val="22"/>
        </w:rPr>
        <w:t> </w:t>
      </w:r>
    </w:p>
    <w:p>
      <w:pPr>
        <w:pStyle w:val="53"/>
        <w:spacing w:line="400" w:lineRule="exact"/>
        <w:ind w:firstLine="442" w:firstLineChars="200"/>
        <w:rPr>
          <w:rFonts w:ascii="宋体" w:cs="宋体"/>
          <w:bCs w:val="0"/>
          <w:spacing w:val="0"/>
          <w:sz w:val="22"/>
          <w:szCs w:val="22"/>
        </w:rPr>
      </w:pPr>
      <w:r>
        <w:rPr>
          <w:rFonts w:ascii="宋体" w:hAnsi="宋体" w:cs="宋体"/>
          <w:b/>
          <w:spacing w:val="0"/>
          <w:sz w:val="22"/>
          <w:szCs w:val="22"/>
        </w:rPr>
        <w:t>11.3.2</w:t>
      </w:r>
      <w:r>
        <w:rPr>
          <w:rFonts w:hint="eastAsia" w:ascii="宋体" w:hAnsi="宋体" w:cs="宋体"/>
          <w:b/>
          <w:spacing w:val="0"/>
          <w:sz w:val="22"/>
          <w:szCs w:val="22"/>
        </w:rPr>
        <w:t>竞争性磋商文件和响应文件的澄清或修正</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根据第一轮磋商掌握的情况，采购人和采购代理机构可以对竞争性磋商文件进行澄清或修正，确定采购内容的具体要求，优化采购方案。</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①除技术、服务要求、合同草案条款等方面以外，不得改变竞争性磋商文件其他要求；</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②实质性变动是磋商文件的有效组成部分，磋商小组应及时以书面形式通知所有参加磋商的供应商；</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③实质性变动，须经采购人代表确认；</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④不能超出政府采购预算，造成采购人不能支付。</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⑤竞争性磋商文件澄清或修正的事项作为竞争性磋商文件的组成部分，与竞争性磋商文件同具法律效应。</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实质性响应供应商可以对竞争性磋商文件中对某些事项有规定要求，而响应文件表述不清楚或没有提供相关资料的事项或磋商小组根据竞争性磋商文件有关规定要求澄清或修正的事项进行澄清或修正。</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实质性响应供应商澄清或修正的事项以书面形式须由法定代表人或其授权人签字确认后密封送交磋商小组，并作为响应文件的组成部分，与响应文件同具法律效应。</w:t>
      </w:r>
      <w:r>
        <w:rPr>
          <w:rFonts w:ascii="宋体" w:cs="宋体"/>
          <w:bCs w:val="0"/>
          <w:spacing w:val="0"/>
          <w:sz w:val="22"/>
          <w:szCs w:val="22"/>
        </w:rPr>
        <w:t> </w:t>
      </w:r>
    </w:p>
    <w:p>
      <w:pPr>
        <w:pStyle w:val="53"/>
        <w:spacing w:line="400" w:lineRule="exact"/>
        <w:ind w:firstLine="442" w:firstLineChars="200"/>
        <w:rPr>
          <w:rFonts w:ascii="宋体" w:cs="宋体"/>
          <w:bCs w:val="0"/>
          <w:spacing w:val="0"/>
          <w:sz w:val="22"/>
          <w:szCs w:val="22"/>
        </w:rPr>
      </w:pPr>
      <w:r>
        <w:rPr>
          <w:rFonts w:ascii="宋体" w:hAnsi="宋体" w:cs="宋体"/>
          <w:b/>
          <w:spacing w:val="0"/>
          <w:sz w:val="22"/>
          <w:szCs w:val="22"/>
        </w:rPr>
        <w:t>11.3.3</w:t>
      </w:r>
      <w:r>
        <w:rPr>
          <w:rFonts w:hint="eastAsia" w:ascii="宋体" w:hAnsi="宋体" w:cs="宋体"/>
          <w:b/>
          <w:spacing w:val="0"/>
          <w:sz w:val="22"/>
          <w:szCs w:val="22"/>
        </w:rPr>
        <w:t>第二轮磋商</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采购代理机构将竞争性磋商文件澄清或修正的事项以书面形式或集中通知的方式通知全部实质性响应供应商，并要求实质性响应供应商对响应文件进行澄清或修正。</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供应商应当按照磋商文件的变动情况和磋商小组的要求重新提交响应文件，以书面形式须由法定代表人或其授权人签字确认后密封送交磋商小组，并作为响应文件的组成部分，与响应文件同具法律效应。根据澄清或修正的情况和磋商的需要，可继续进行有关事项和价格的磋商。</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②磋商文件能够详细列明采购标的的技术、服务要求的，磋商结束后，磋商小组应当要求所有实质性响应的供应商在规定时间内提交最后报价，提交最后报价的供应商不得少于</w:t>
      </w:r>
      <w:r>
        <w:rPr>
          <w:rFonts w:ascii="宋体" w:hAnsi="宋体" w:cs="宋体"/>
          <w:bCs w:val="0"/>
          <w:spacing w:val="0"/>
          <w:sz w:val="22"/>
          <w:szCs w:val="22"/>
        </w:rPr>
        <w:t>3</w:t>
      </w:r>
      <w:r>
        <w:rPr>
          <w:rFonts w:hint="eastAsia" w:ascii="宋体" w:hAnsi="宋体" w:cs="宋体"/>
          <w:bCs w:val="0"/>
          <w:spacing w:val="0"/>
          <w:sz w:val="22"/>
          <w:szCs w:val="22"/>
        </w:rPr>
        <w:t>家。</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③符合相关法律规定“市场竞争不充分的科研项目，以及需要扶持的科技成果转化项目”情形的，提交最后报价的供应商可以为</w:t>
      </w:r>
      <w:r>
        <w:rPr>
          <w:rFonts w:ascii="宋体" w:hAnsi="宋体" w:cs="宋体"/>
          <w:bCs w:val="0"/>
          <w:spacing w:val="0"/>
          <w:sz w:val="22"/>
          <w:szCs w:val="22"/>
        </w:rPr>
        <w:t>2</w:t>
      </w:r>
      <w:r>
        <w:rPr>
          <w:rFonts w:hint="eastAsia" w:ascii="宋体" w:hAnsi="宋体" w:cs="宋体"/>
          <w:bCs w:val="0"/>
          <w:spacing w:val="0"/>
          <w:sz w:val="22"/>
          <w:szCs w:val="22"/>
        </w:rPr>
        <w:t>家。</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④磋商文件不能详细列明采购标的的技术、服务要求，需经磋商由供应商提供最终设计方案或解决方案的，磋商结束后，磋商小组应当按照少数服从多数的原则投票推荐</w:t>
      </w:r>
      <w:r>
        <w:rPr>
          <w:rFonts w:ascii="宋体" w:hAnsi="宋体" w:cs="宋体"/>
          <w:bCs w:val="0"/>
          <w:spacing w:val="0"/>
          <w:sz w:val="22"/>
          <w:szCs w:val="22"/>
        </w:rPr>
        <w:t>3</w:t>
      </w:r>
      <w:r>
        <w:rPr>
          <w:rFonts w:hint="eastAsia" w:ascii="宋体" w:hAnsi="宋体" w:cs="宋体"/>
          <w:bCs w:val="0"/>
          <w:spacing w:val="0"/>
          <w:sz w:val="22"/>
          <w:szCs w:val="22"/>
        </w:rPr>
        <w:t>家以上供应商的设计方案或者解决方案，并要求其在规定时间内提交最后报价。</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⑤已提交响应文件的供应商，在提交最后报价之前，可以根据磋商情况退出磋商。采购人、采购代理机构应当退还退出磋商的供应商的磋商保证金。</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⑥政府购买服务项目在采购过程中符合要求的供应商（社会资本）只有</w:t>
      </w:r>
      <w:r>
        <w:rPr>
          <w:rFonts w:ascii="宋体" w:hAnsi="宋体" w:cs="宋体"/>
          <w:bCs w:val="0"/>
          <w:spacing w:val="0"/>
          <w:sz w:val="22"/>
          <w:szCs w:val="22"/>
        </w:rPr>
        <w:t>2</w:t>
      </w:r>
      <w:r>
        <w:rPr>
          <w:rFonts w:hint="eastAsia" w:ascii="宋体" w:hAnsi="宋体" w:cs="宋体"/>
          <w:bCs w:val="0"/>
          <w:spacing w:val="0"/>
          <w:sz w:val="22"/>
          <w:szCs w:val="22"/>
        </w:rPr>
        <w:t>家的，竞争性磋商采购活动可以继续进行。采购过程中符合要求的供应商（社会资本）只有</w:t>
      </w:r>
      <w:r>
        <w:rPr>
          <w:rFonts w:ascii="宋体" w:hAnsi="宋体" w:cs="宋体"/>
          <w:bCs w:val="0"/>
          <w:spacing w:val="0"/>
          <w:sz w:val="22"/>
          <w:szCs w:val="22"/>
        </w:rPr>
        <w:t>1</w:t>
      </w:r>
      <w:r>
        <w:rPr>
          <w:rFonts w:hint="eastAsia" w:ascii="宋体" w:hAnsi="宋体" w:cs="宋体"/>
          <w:bCs w:val="0"/>
          <w:spacing w:val="0"/>
          <w:sz w:val="22"/>
          <w:szCs w:val="22"/>
        </w:rPr>
        <w:t>家的，采购人或者采购代理机构应当终止竞争性磋商采购活动，发布项目终止公告并说明原因，重新开展采购活动。</w:t>
      </w:r>
      <w:r>
        <w:rPr>
          <w:rFonts w:ascii="宋体" w:cs="宋体"/>
          <w:bCs w:val="0"/>
          <w:spacing w:val="0"/>
          <w:sz w:val="22"/>
          <w:szCs w:val="22"/>
        </w:rPr>
        <w:t> </w:t>
      </w:r>
    </w:p>
    <w:p>
      <w:pPr>
        <w:pStyle w:val="53"/>
        <w:spacing w:line="400" w:lineRule="exact"/>
        <w:ind w:firstLine="442" w:firstLineChars="200"/>
        <w:rPr>
          <w:rFonts w:ascii="宋体" w:cs="宋体"/>
          <w:bCs w:val="0"/>
          <w:spacing w:val="0"/>
          <w:sz w:val="22"/>
          <w:szCs w:val="22"/>
        </w:rPr>
      </w:pPr>
      <w:r>
        <w:rPr>
          <w:rFonts w:ascii="宋体" w:hAnsi="宋体" w:cs="宋体"/>
          <w:b/>
          <w:spacing w:val="0"/>
          <w:sz w:val="22"/>
          <w:szCs w:val="22"/>
        </w:rPr>
        <w:t>11.3.4</w:t>
      </w:r>
      <w:r>
        <w:rPr>
          <w:rFonts w:hint="eastAsia" w:ascii="宋体" w:hAnsi="宋体" w:cs="宋体"/>
          <w:b/>
          <w:spacing w:val="0"/>
          <w:sz w:val="22"/>
          <w:szCs w:val="22"/>
        </w:rPr>
        <w:t>最终报价</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最终报价以书面形式须由法定代表人或其授权人签字确认后，在规定的时间内密封送交磋商小组。</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待所有实质性响应供应商最终报价交齐后，工作人员统一拆封、公布每位实质性响应供应商的最终价格。</w:t>
      </w:r>
      <w:r>
        <w:rPr>
          <w:rFonts w:ascii="宋体" w:cs="宋体"/>
          <w:bCs w:val="0"/>
          <w:spacing w:val="0"/>
          <w:sz w:val="22"/>
          <w:szCs w:val="22"/>
        </w:rPr>
        <w:t> </w:t>
      </w:r>
    </w:p>
    <w:p>
      <w:pPr>
        <w:pStyle w:val="53"/>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最终报价逾时不交的，可视同供应商自动放弃。</w:t>
      </w:r>
      <w:r>
        <w:rPr>
          <w:rFonts w:ascii="宋体" w:cs="宋体"/>
          <w:bCs w:val="0"/>
          <w:spacing w:val="0"/>
          <w:sz w:val="22"/>
          <w:szCs w:val="22"/>
        </w:rPr>
        <w:t> </w:t>
      </w:r>
    </w:p>
    <w:p>
      <w:pPr>
        <w:spacing w:line="400" w:lineRule="exact"/>
        <w:rPr>
          <w:rFonts w:ascii="宋体" w:cs="宋体"/>
          <w:sz w:val="22"/>
          <w:szCs w:val="22"/>
        </w:rPr>
      </w:pPr>
      <w:r>
        <w:rPr>
          <w:rFonts w:ascii="宋体" w:hAnsi="宋体" w:cs="宋体"/>
          <w:sz w:val="22"/>
          <w:szCs w:val="22"/>
        </w:rPr>
        <w:t xml:space="preserve">11.4 </w:t>
      </w:r>
      <w:r>
        <w:rPr>
          <w:rFonts w:hint="eastAsia" w:ascii="宋体" w:hAnsi="宋体" w:cs="宋体"/>
          <w:sz w:val="22"/>
          <w:szCs w:val="22"/>
        </w:rPr>
        <w:t>所有供应商最终报价均超出采购预算的，采购人不能支付的，竞争性磋商采购活动应停止采购。</w:t>
      </w:r>
    </w:p>
    <w:p>
      <w:pPr>
        <w:spacing w:line="400" w:lineRule="exact"/>
        <w:rPr>
          <w:rFonts w:ascii="宋体" w:cs="宋体"/>
          <w:sz w:val="22"/>
          <w:szCs w:val="22"/>
        </w:rPr>
      </w:pPr>
      <w:r>
        <w:rPr>
          <w:rFonts w:ascii="宋体" w:hAnsi="宋体" w:cs="宋体"/>
          <w:sz w:val="22"/>
          <w:szCs w:val="22"/>
        </w:rPr>
        <w:t>11.5</w:t>
      </w:r>
      <w:r>
        <w:rPr>
          <w:rFonts w:hint="eastAsia" w:ascii="宋体" w:hAnsi="宋体" w:cs="宋体"/>
          <w:sz w:val="22"/>
          <w:szCs w:val="22"/>
        </w:rPr>
        <w:t>有下列情形之一的视为供应商相互串通投标，响应文件将被视为无效。</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）不同供应商的响应文件由同一单位或者个人编制；或不同供应商报名的</w:t>
      </w:r>
      <w:r>
        <w:rPr>
          <w:rFonts w:ascii="宋体" w:hAnsi="宋体" w:cs="宋体"/>
          <w:sz w:val="22"/>
          <w:szCs w:val="22"/>
        </w:rPr>
        <w:t>IP</w:t>
      </w:r>
      <w:r>
        <w:rPr>
          <w:rFonts w:hint="eastAsia" w:ascii="宋体" w:hAnsi="宋体" w:cs="宋体"/>
          <w:sz w:val="22"/>
          <w:szCs w:val="22"/>
        </w:rPr>
        <w:t>地址一致的；</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）不同供应商委托同一单位或者个人办理投标事宜；</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）不同的供应商的响应文件载明的项目管理员为同一个人；</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）不同供应商的响应文件异常一致或报价呈规律性差异；</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5</w:t>
      </w:r>
      <w:r>
        <w:rPr>
          <w:rFonts w:hint="eastAsia" w:ascii="宋体" w:hAnsi="宋体" w:cs="宋体"/>
          <w:sz w:val="22"/>
          <w:szCs w:val="22"/>
        </w:rPr>
        <w:t>）不同供应商的响应文件相互混装；</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）不同供应商的保证金从同一单位或者个人账户转出。</w:t>
      </w:r>
    </w:p>
    <w:p>
      <w:pPr>
        <w:spacing w:line="400" w:lineRule="exact"/>
        <w:rPr>
          <w:rFonts w:ascii="宋体" w:cs="宋体"/>
          <w:b/>
          <w:sz w:val="22"/>
          <w:szCs w:val="22"/>
        </w:rPr>
      </w:pPr>
      <w:r>
        <w:rPr>
          <w:rFonts w:hint="eastAsia" w:ascii="宋体" w:hAnsi="宋体" w:cs="宋体"/>
          <w:b/>
          <w:sz w:val="22"/>
          <w:szCs w:val="22"/>
        </w:rPr>
        <w:t>六、确定成交供应商办法</w:t>
      </w:r>
    </w:p>
    <w:p>
      <w:pPr>
        <w:spacing w:line="400" w:lineRule="exact"/>
        <w:rPr>
          <w:rFonts w:ascii="宋体" w:cs="宋体"/>
          <w:sz w:val="22"/>
          <w:szCs w:val="22"/>
        </w:rPr>
      </w:pPr>
      <w:r>
        <w:rPr>
          <w:rFonts w:ascii="宋体" w:hAnsi="宋体" w:cs="宋体"/>
          <w:sz w:val="22"/>
          <w:szCs w:val="22"/>
        </w:rPr>
        <w:t>12.1</w:t>
      </w:r>
      <w:r>
        <w:rPr>
          <w:rFonts w:hint="eastAsia" w:ascii="宋体" w:hAnsi="宋体" w:cs="宋体"/>
          <w:sz w:val="22"/>
          <w:szCs w:val="22"/>
        </w:rPr>
        <w:t>经磋商确定最终采购需求和提交最后报价的供应商后，由磋商小组采用综合评分法对提交最后报价的供应商的响应文件和最后报价进行综合评分。</w:t>
      </w:r>
    </w:p>
    <w:p>
      <w:pPr>
        <w:spacing w:line="400" w:lineRule="exact"/>
        <w:rPr>
          <w:rFonts w:ascii="宋体" w:cs="宋体"/>
          <w:sz w:val="22"/>
          <w:szCs w:val="22"/>
        </w:rPr>
      </w:pPr>
      <w:r>
        <w:rPr>
          <w:rFonts w:ascii="宋体" w:hAnsi="宋体" w:cs="宋体"/>
          <w:sz w:val="22"/>
          <w:szCs w:val="22"/>
        </w:rPr>
        <w:t xml:space="preserve">12.2  </w:t>
      </w:r>
      <w:r>
        <w:rPr>
          <w:rFonts w:hint="eastAsia" w:ascii="宋体" w:hAnsi="宋体" w:cs="宋体"/>
          <w:sz w:val="22"/>
          <w:szCs w:val="22"/>
        </w:rPr>
        <w:t>根据以下原则推荐和确定成交供应商：</w:t>
      </w:r>
    </w:p>
    <w:p>
      <w:pPr>
        <w:spacing w:line="400" w:lineRule="exact"/>
        <w:rPr>
          <w:rFonts w:ascii="宋体" w:cs="宋体"/>
          <w:b/>
          <w:bCs/>
          <w:sz w:val="22"/>
          <w:szCs w:val="22"/>
        </w:rPr>
      </w:pPr>
      <w:r>
        <w:rPr>
          <w:rFonts w:hint="eastAsia" w:ascii="宋体" w:hAnsi="宋体" w:cs="宋体"/>
          <w:sz w:val="22"/>
          <w:szCs w:val="22"/>
        </w:rPr>
        <w:t>实质上响应磋商文件要求，具备履行合同能力，综合评分排名第一的供应商。</w:t>
      </w:r>
    </w:p>
    <w:p>
      <w:pPr>
        <w:spacing w:line="400" w:lineRule="exact"/>
        <w:jc w:val="left"/>
        <w:rPr>
          <w:rFonts w:ascii="宋体" w:cs="宋体"/>
          <w:sz w:val="22"/>
          <w:szCs w:val="22"/>
        </w:rPr>
      </w:pPr>
      <w:r>
        <w:rPr>
          <w:rFonts w:hint="eastAsia" w:ascii="宋体" w:hAnsi="宋体" w:cs="宋体"/>
          <w:b/>
          <w:bCs/>
          <w:sz w:val="22"/>
          <w:szCs w:val="22"/>
        </w:rPr>
        <w:t>七、询问、质疑和投诉</w:t>
      </w:r>
    </w:p>
    <w:p>
      <w:pPr>
        <w:pStyle w:val="12"/>
        <w:spacing w:line="400" w:lineRule="exact"/>
        <w:rPr>
          <w:rFonts w:hAnsi="宋体" w:cs="宋体"/>
          <w:sz w:val="22"/>
          <w:szCs w:val="22"/>
        </w:rPr>
      </w:pPr>
      <w:r>
        <w:rPr>
          <w:rFonts w:hAnsi="宋体" w:cs="宋体"/>
          <w:b/>
          <w:sz w:val="22"/>
          <w:szCs w:val="22"/>
        </w:rPr>
        <w:t>13.1</w:t>
      </w:r>
      <w:r>
        <w:rPr>
          <w:rFonts w:hint="eastAsia" w:hAnsi="宋体" w:cs="宋体"/>
          <w:sz w:val="22"/>
          <w:szCs w:val="22"/>
        </w:rPr>
        <w:t>供应商对政府采购活动事项有疑问的，可以向采购人、采购代理机构提出询问。</w:t>
      </w:r>
    </w:p>
    <w:p>
      <w:pPr>
        <w:pStyle w:val="12"/>
        <w:spacing w:line="400" w:lineRule="exact"/>
        <w:rPr>
          <w:rFonts w:hAnsi="宋体" w:cs="宋体"/>
          <w:bCs/>
          <w:sz w:val="22"/>
          <w:szCs w:val="22"/>
        </w:rPr>
      </w:pPr>
      <w:r>
        <w:rPr>
          <w:rFonts w:hAnsi="宋体" w:cs="宋体"/>
          <w:b/>
          <w:sz w:val="22"/>
          <w:szCs w:val="22"/>
        </w:rPr>
        <w:t>14.</w:t>
      </w:r>
      <w:r>
        <w:rPr>
          <w:rFonts w:hint="eastAsia" w:hAnsi="宋体" w:cs="宋体"/>
          <w:b/>
          <w:sz w:val="22"/>
          <w:szCs w:val="22"/>
        </w:rPr>
        <w:t>质疑与答复</w:t>
      </w:r>
    </w:p>
    <w:p>
      <w:pPr>
        <w:pStyle w:val="12"/>
        <w:spacing w:line="400" w:lineRule="exact"/>
        <w:ind w:hanging="10"/>
        <w:rPr>
          <w:rFonts w:hAnsi="宋体" w:cs="宋体"/>
          <w:bCs/>
          <w:sz w:val="22"/>
          <w:szCs w:val="22"/>
        </w:rPr>
      </w:pPr>
      <w:r>
        <w:rPr>
          <w:rFonts w:hAnsi="宋体" w:cs="宋体"/>
          <w:bCs/>
          <w:sz w:val="22"/>
          <w:szCs w:val="22"/>
        </w:rPr>
        <w:t xml:space="preserve">14.1  </w:t>
      </w:r>
      <w:r>
        <w:rPr>
          <w:rFonts w:hint="eastAsia" w:hAnsi="宋体" w:cs="宋体"/>
          <w:sz w:val="22"/>
          <w:szCs w:val="22"/>
        </w:rPr>
        <w:t>供应商</w:t>
      </w:r>
      <w:r>
        <w:rPr>
          <w:rFonts w:hint="eastAsia" w:hAnsi="宋体" w:cs="宋体"/>
          <w:bCs/>
          <w:sz w:val="22"/>
          <w:szCs w:val="22"/>
        </w:rPr>
        <w:t>认为磋商文件、磋商过程和成交结果使自己的合法权益受到损害的，应当在知道或者应知其权益受到损害之日起七个工作日内，以书面形式向采购人、采购代理机构提出质疑并及时索要书面回执。</w:t>
      </w:r>
    </w:p>
    <w:p>
      <w:pPr>
        <w:pStyle w:val="12"/>
        <w:snapToGrid w:val="0"/>
        <w:spacing w:before="120" w:after="120" w:line="400" w:lineRule="exact"/>
        <w:rPr>
          <w:rFonts w:hAnsi="宋体" w:cs="宋体"/>
          <w:sz w:val="22"/>
          <w:szCs w:val="22"/>
        </w:rPr>
      </w:pPr>
      <w:r>
        <w:rPr>
          <w:rFonts w:hint="eastAsia" w:hAnsi="宋体" w:cs="宋体"/>
          <w:sz w:val="22"/>
          <w:szCs w:val="22"/>
        </w:rPr>
        <w:t>具体计算时间如下：</w:t>
      </w:r>
    </w:p>
    <w:p>
      <w:pPr>
        <w:pStyle w:val="12"/>
        <w:snapToGrid w:val="0"/>
        <w:spacing w:before="120" w:after="120" w:line="400" w:lineRule="exact"/>
        <w:rPr>
          <w:rFonts w:hAnsi="宋体" w:cs="宋体"/>
          <w:sz w:val="22"/>
          <w:szCs w:val="22"/>
        </w:rPr>
      </w:pPr>
      <w:r>
        <w:rPr>
          <w:rFonts w:hint="eastAsia" w:hAnsi="宋体" w:cs="宋体"/>
          <w:sz w:val="22"/>
          <w:szCs w:val="22"/>
        </w:rPr>
        <w:t>（一）对可以质疑的采购文件提出质疑的，为依法获取采购文件之日；</w:t>
      </w:r>
    </w:p>
    <w:p>
      <w:pPr>
        <w:pStyle w:val="12"/>
        <w:snapToGrid w:val="0"/>
        <w:spacing w:before="120" w:after="120" w:line="400" w:lineRule="exact"/>
        <w:rPr>
          <w:rFonts w:hAnsi="宋体" w:cs="宋体"/>
          <w:sz w:val="22"/>
          <w:szCs w:val="22"/>
        </w:rPr>
      </w:pPr>
      <w:r>
        <w:rPr>
          <w:rFonts w:hint="eastAsia" w:hAnsi="宋体" w:cs="宋体"/>
          <w:sz w:val="22"/>
          <w:szCs w:val="22"/>
        </w:rPr>
        <w:t>（二）对采购过程提出质疑的，为各采购程序环节结束之日；</w:t>
      </w:r>
    </w:p>
    <w:p>
      <w:pPr>
        <w:pStyle w:val="12"/>
        <w:snapToGrid w:val="0"/>
        <w:spacing w:before="120" w:after="120" w:line="400" w:lineRule="exact"/>
        <w:rPr>
          <w:rFonts w:hAnsi="宋体" w:cs="宋体"/>
          <w:sz w:val="22"/>
          <w:szCs w:val="22"/>
        </w:rPr>
      </w:pPr>
      <w:r>
        <w:rPr>
          <w:rFonts w:hint="eastAsia" w:hAnsi="宋体" w:cs="宋体"/>
          <w:sz w:val="22"/>
          <w:szCs w:val="22"/>
        </w:rPr>
        <w:t>（三）对成交结果提出质疑的，为成交结果公告期限届满之日。</w:t>
      </w:r>
    </w:p>
    <w:p>
      <w:pPr>
        <w:pStyle w:val="12"/>
        <w:spacing w:line="400" w:lineRule="exact"/>
        <w:ind w:hanging="10"/>
        <w:rPr>
          <w:rFonts w:hAnsi="宋体" w:cs="宋体"/>
          <w:bCs/>
          <w:sz w:val="22"/>
          <w:szCs w:val="22"/>
        </w:rPr>
      </w:pPr>
      <w:r>
        <w:rPr>
          <w:rFonts w:hint="eastAsia" w:hAnsi="宋体" w:cs="宋体"/>
          <w:sz w:val="22"/>
          <w:szCs w:val="22"/>
        </w:rPr>
        <w:t>注：供应商应在法定质疑期内一次性提出针对同一采购程序环节的质疑。</w:t>
      </w:r>
    </w:p>
    <w:p>
      <w:pPr>
        <w:pStyle w:val="12"/>
        <w:spacing w:line="400" w:lineRule="exact"/>
        <w:ind w:hanging="10"/>
        <w:rPr>
          <w:rFonts w:hAnsi="宋体" w:cs="宋体"/>
          <w:bCs/>
          <w:sz w:val="22"/>
          <w:szCs w:val="22"/>
        </w:rPr>
      </w:pPr>
      <w:r>
        <w:rPr>
          <w:rFonts w:hAnsi="宋体" w:cs="宋体"/>
          <w:bCs/>
          <w:sz w:val="22"/>
          <w:szCs w:val="22"/>
        </w:rPr>
        <w:t xml:space="preserve">14.2  </w:t>
      </w:r>
      <w:r>
        <w:rPr>
          <w:rFonts w:hint="eastAsia" w:hAnsi="宋体" w:cs="宋体"/>
          <w:bCs/>
          <w:sz w:val="22"/>
          <w:szCs w:val="22"/>
        </w:rPr>
        <w:t>采购人、采购代理机构应当在收到供应商的书面质疑后七个工作日内做出答复，但答复的内容不得涉及商业秘密。</w:t>
      </w:r>
    </w:p>
    <w:p>
      <w:pPr>
        <w:pStyle w:val="12"/>
        <w:spacing w:line="400" w:lineRule="exact"/>
        <w:rPr>
          <w:rFonts w:hAnsi="宋体" w:cs="宋体"/>
          <w:b/>
          <w:sz w:val="22"/>
          <w:szCs w:val="22"/>
        </w:rPr>
      </w:pPr>
      <w:r>
        <w:rPr>
          <w:rFonts w:hAnsi="宋体" w:cs="宋体"/>
          <w:b/>
          <w:sz w:val="22"/>
          <w:szCs w:val="22"/>
        </w:rPr>
        <w:t>15.</w:t>
      </w:r>
      <w:r>
        <w:rPr>
          <w:rFonts w:hint="eastAsia" w:hAnsi="宋体" w:cs="宋体"/>
          <w:b/>
          <w:sz w:val="22"/>
          <w:szCs w:val="22"/>
        </w:rPr>
        <w:t>　投诉</w:t>
      </w:r>
    </w:p>
    <w:p>
      <w:pPr>
        <w:pStyle w:val="12"/>
        <w:spacing w:line="400" w:lineRule="exact"/>
        <w:ind w:left="18" w:hanging="17" w:hangingChars="8"/>
        <w:rPr>
          <w:rFonts w:hAnsi="宋体" w:cs="宋体"/>
          <w:bCs/>
          <w:sz w:val="22"/>
          <w:szCs w:val="22"/>
        </w:rPr>
      </w:pPr>
      <w:r>
        <w:rPr>
          <w:rFonts w:hAnsi="宋体" w:cs="宋体"/>
          <w:bCs/>
          <w:sz w:val="22"/>
          <w:szCs w:val="22"/>
        </w:rPr>
        <w:t xml:space="preserve">15.1  </w:t>
      </w:r>
      <w:r>
        <w:rPr>
          <w:rFonts w:hint="eastAsia" w:hAnsi="宋体" w:cs="宋体"/>
          <w:bCs/>
          <w:sz w:val="22"/>
          <w:szCs w:val="22"/>
        </w:rPr>
        <w:t>投诉人必须首先经过质疑程序，在对采购人、采购代理机构的答复不满意，或者采购人、采购代理机构未在规定的时间内做出答复的，可以在答复期满后十五个工作日内书面向当地财政局政府采购监督管理办公室投诉。</w:t>
      </w:r>
    </w:p>
    <w:p>
      <w:pPr>
        <w:spacing w:line="400" w:lineRule="exact"/>
        <w:rPr>
          <w:rFonts w:ascii="宋体" w:cs="宋体"/>
          <w:sz w:val="22"/>
          <w:szCs w:val="22"/>
        </w:rPr>
      </w:pPr>
      <w:r>
        <w:rPr>
          <w:rFonts w:ascii="宋体" w:hAnsi="宋体" w:cs="宋体"/>
          <w:sz w:val="22"/>
          <w:szCs w:val="22"/>
        </w:rPr>
        <w:t xml:space="preserve">15.2 </w:t>
      </w:r>
      <w:r>
        <w:rPr>
          <w:rFonts w:hint="eastAsia" w:ascii="宋体" w:hAnsi="宋体" w:cs="宋体"/>
          <w:sz w:val="22"/>
          <w:szCs w:val="22"/>
        </w:rPr>
        <w:t>质疑、投诉采用书面形式，质疑书、投诉书均应明确阐述竞争性磋商文件、磋商过程或成交结果中使自己合法权益受到损害的实质性内容，提供相关事实、明确的请求、依据和证据及其来源或线索，便于有关单位调查、答复和处理。</w:t>
      </w:r>
    </w:p>
    <w:p>
      <w:pPr>
        <w:spacing w:line="400" w:lineRule="exact"/>
        <w:rPr>
          <w:rFonts w:ascii="宋体" w:cs="宋体"/>
          <w:b/>
          <w:bCs/>
          <w:sz w:val="22"/>
          <w:szCs w:val="22"/>
        </w:rPr>
      </w:pPr>
      <w:r>
        <w:rPr>
          <w:rFonts w:hint="eastAsia" w:ascii="宋体" w:hAnsi="宋体" w:cs="宋体"/>
          <w:b/>
          <w:bCs/>
          <w:sz w:val="22"/>
          <w:szCs w:val="22"/>
        </w:rPr>
        <w:t>八、成交结果</w:t>
      </w:r>
    </w:p>
    <w:p>
      <w:pPr>
        <w:spacing w:line="400" w:lineRule="exact"/>
        <w:rPr>
          <w:rFonts w:ascii="宋体" w:cs="宋体"/>
          <w:sz w:val="22"/>
          <w:szCs w:val="22"/>
        </w:rPr>
      </w:pPr>
      <w:r>
        <w:rPr>
          <w:rFonts w:ascii="宋体" w:hAnsi="宋体" w:cs="宋体"/>
          <w:sz w:val="22"/>
          <w:szCs w:val="22"/>
        </w:rPr>
        <w:t>16.1</w:t>
      </w:r>
      <w:r>
        <w:rPr>
          <w:rFonts w:hint="eastAsia" w:ascii="宋体" w:hAnsi="宋体" w:cs="宋体"/>
          <w:sz w:val="22"/>
          <w:szCs w:val="22"/>
        </w:rPr>
        <w:t>成交结果公告</w:t>
      </w:r>
      <w:r>
        <w:rPr>
          <w:rFonts w:ascii="宋体" w:hAnsi="宋体" w:cs="宋体"/>
          <w:sz w:val="22"/>
          <w:szCs w:val="22"/>
        </w:rPr>
        <w:t xml:space="preserve"> </w:t>
      </w:r>
    </w:p>
    <w:p>
      <w:pPr>
        <w:spacing w:line="400" w:lineRule="exact"/>
        <w:ind w:firstLine="442" w:firstLineChars="201"/>
        <w:rPr>
          <w:rFonts w:ascii="宋体" w:cs="宋体"/>
          <w:sz w:val="22"/>
          <w:szCs w:val="22"/>
        </w:rPr>
      </w:pPr>
      <w:r>
        <w:rPr>
          <w:rFonts w:hint="eastAsia" w:ascii="宋体" w:hAnsi="宋体" w:cs="宋体"/>
          <w:sz w:val="22"/>
          <w:szCs w:val="22"/>
        </w:rPr>
        <w:t>成交结果应当自交供应商确定之日起</w:t>
      </w:r>
      <w:r>
        <w:rPr>
          <w:rFonts w:ascii="宋体" w:hAnsi="宋体" w:cs="宋体"/>
          <w:sz w:val="22"/>
          <w:szCs w:val="22"/>
        </w:rPr>
        <w:t>2</w:t>
      </w:r>
      <w:r>
        <w:rPr>
          <w:rFonts w:hint="eastAsia" w:ascii="宋体" w:hAnsi="宋体" w:cs="宋体"/>
          <w:sz w:val="22"/>
          <w:szCs w:val="22"/>
        </w:rPr>
        <w:t>个工作日内在采购公告同一媒介上公告，公告期限为</w:t>
      </w:r>
      <w:r>
        <w:rPr>
          <w:rFonts w:ascii="宋体" w:hAnsi="宋体" w:cs="宋体"/>
          <w:sz w:val="22"/>
          <w:szCs w:val="22"/>
        </w:rPr>
        <w:t>1</w:t>
      </w:r>
      <w:r>
        <w:rPr>
          <w:rFonts w:hint="eastAsia" w:ascii="宋体" w:hAnsi="宋体" w:cs="宋体"/>
          <w:sz w:val="22"/>
          <w:szCs w:val="22"/>
        </w:rPr>
        <w:t>个工作日，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以上信息查询记录及相关证据与采购文件一并保存。</w:t>
      </w:r>
    </w:p>
    <w:p>
      <w:pPr>
        <w:spacing w:line="400" w:lineRule="exact"/>
        <w:rPr>
          <w:rFonts w:ascii="宋体" w:cs="宋体"/>
          <w:sz w:val="22"/>
          <w:szCs w:val="22"/>
        </w:rPr>
      </w:pPr>
      <w:r>
        <w:rPr>
          <w:rFonts w:ascii="宋体" w:hAnsi="宋体" w:cs="宋体"/>
          <w:sz w:val="22"/>
          <w:szCs w:val="22"/>
        </w:rPr>
        <w:t>16.2</w:t>
      </w:r>
      <w:r>
        <w:rPr>
          <w:rFonts w:hint="eastAsia" w:ascii="宋体" w:hAnsi="宋体" w:cs="宋体"/>
          <w:sz w:val="22"/>
          <w:szCs w:val="22"/>
        </w:rPr>
        <w:t>成交供应商在收到成交通知书后，按规定与采购人签订合同。</w:t>
      </w:r>
    </w:p>
    <w:p>
      <w:pPr>
        <w:spacing w:line="400" w:lineRule="exact"/>
        <w:rPr>
          <w:rFonts w:ascii="宋体" w:cs="宋体"/>
          <w:sz w:val="22"/>
          <w:szCs w:val="22"/>
        </w:rPr>
      </w:pPr>
      <w:r>
        <w:rPr>
          <w:rFonts w:ascii="宋体" w:hAnsi="宋体" w:cs="宋体"/>
          <w:sz w:val="22"/>
          <w:szCs w:val="22"/>
        </w:rPr>
        <w:t>16.3</w:t>
      </w:r>
      <w:r>
        <w:rPr>
          <w:rFonts w:hint="eastAsia" w:ascii="宋体" w:hAnsi="宋体" w:cs="宋体"/>
          <w:kern w:val="0"/>
          <w:sz w:val="22"/>
          <w:szCs w:val="22"/>
        </w:rPr>
        <w:t>成交供应商拒绝签订政府采购合同的</w:t>
      </w:r>
      <w:r>
        <w:rPr>
          <w:rFonts w:hint="eastAsia" w:ascii="宋体" w:hAnsi="宋体" w:cs="宋体"/>
          <w:sz w:val="22"/>
          <w:szCs w:val="22"/>
        </w:rPr>
        <w:t>，采购人可以根据磋商评审报告确定成交供应商之后排名第一的成交候选人</w:t>
      </w:r>
      <w:r>
        <w:rPr>
          <w:rFonts w:hint="eastAsia" w:ascii="宋体" w:hAnsi="宋体" w:cs="宋体"/>
          <w:kern w:val="0"/>
          <w:sz w:val="22"/>
          <w:szCs w:val="22"/>
        </w:rPr>
        <w:t>作为</w:t>
      </w:r>
      <w:r>
        <w:rPr>
          <w:rFonts w:hint="eastAsia" w:ascii="宋体" w:hAnsi="宋体" w:cs="宋体"/>
          <w:sz w:val="22"/>
          <w:szCs w:val="22"/>
        </w:rPr>
        <w:t>成交供应商</w:t>
      </w:r>
      <w:r>
        <w:rPr>
          <w:rFonts w:hint="eastAsia" w:ascii="宋体" w:hAnsi="宋体" w:cs="宋体"/>
          <w:kern w:val="0"/>
          <w:sz w:val="22"/>
          <w:szCs w:val="22"/>
        </w:rPr>
        <w:t>并签订政府采购合同，也可以重新开展采购活动。拒绝签订政府采购合同的成交供应商不得参加对该项目重新开展的采购活动。</w:t>
      </w:r>
    </w:p>
    <w:p>
      <w:pPr>
        <w:spacing w:line="400" w:lineRule="exact"/>
        <w:rPr>
          <w:rFonts w:ascii="宋体" w:cs="宋体"/>
          <w:b/>
          <w:sz w:val="22"/>
          <w:szCs w:val="22"/>
        </w:rPr>
      </w:pPr>
      <w:r>
        <w:rPr>
          <w:rFonts w:ascii="宋体" w:hAnsi="宋体" w:cs="宋体"/>
          <w:sz w:val="22"/>
          <w:szCs w:val="22"/>
        </w:rPr>
        <w:t>16.4</w:t>
      </w:r>
      <w:r>
        <w:rPr>
          <w:rFonts w:hint="eastAsia" w:ascii="宋体" w:hAnsi="宋体" w:cs="宋体"/>
          <w:kern w:val="0"/>
          <w:sz w:val="22"/>
          <w:szCs w:val="22"/>
        </w:rPr>
        <w:t>成交供应商拒绝签订政府采购合同的</w:t>
      </w:r>
      <w:r>
        <w:rPr>
          <w:rFonts w:hint="eastAsia" w:ascii="宋体" w:hAnsi="宋体" w:cs="宋体"/>
          <w:b/>
          <w:sz w:val="22"/>
          <w:szCs w:val="22"/>
        </w:rPr>
        <w:t>，其保证金将不予退还，并上缴国库，给采购人造成其损失的，还应当赔偿损失，并作为不良行为记录在案。同时，已缴纳的成交服务费不予退还。</w:t>
      </w:r>
    </w:p>
    <w:p>
      <w:pPr>
        <w:spacing w:line="400" w:lineRule="exact"/>
        <w:rPr>
          <w:rFonts w:ascii="宋体" w:cs="宋体"/>
          <w:sz w:val="22"/>
          <w:szCs w:val="22"/>
        </w:rPr>
      </w:pPr>
      <w:r>
        <w:rPr>
          <w:rFonts w:ascii="宋体" w:hAnsi="宋体" w:cs="宋体"/>
          <w:sz w:val="22"/>
          <w:szCs w:val="22"/>
        </w:rPr>
        <w:t>16.5</w:t>
      </w:r>
      <w:r>
        <w:rPr>
          <w:rFonts w:hint="eastAsia" w:ascii="宋体" w:hAnsi="宋体" w:cs="宋体"/>
          <w:sz w:val="22"/>
          <w:szCs w:val="22"/>
        </w:rPr>
        <w:t>政府采购合同公告</w:t>
      </w:r>
    </w:p>
    <w:p>
      <w:pPr>
        <w:spacing w:line="400" w:lineRule="exact"/>
        <w:ind w:firstLine="440" w:firstLineChars="200"/>
        <w:rPr>
          <w:rFonts w:ascii="宋体" w:cs="宋体"/>
          <w:b/>
          <w:sz w:val="22"/>
          <w:szCs w:val="22"/>
        </w:rPr>
      </w:pPr>
      <w:r>
        <w:rPr>
          <w:rFonts w:hint="eastAsia" w:ascii="宋体" w:hAnsi="宋体" w:cs="宋体"/>
          <w:sz w:val="22"/>
          <w:szCs w:val="22"/>
        </w:rPr>
        <w:t>根据《中华人民共和国政府采购法实施条例》第五十条规定，采购人应当自政府采购合同签订之日起</w:t>
      </w:r>
      <w:r>
        <w:rPr>
          <w:rFonts w:ascii="宋体" w:hAnsi="宋体" w:cs="宋体"/>
          <w:sz w:val="22"/>
          <w:szCs w:val="22"/>
        </w:rPr>
        <w:t>2</w:t>
      </w:r>
      <w:r>
        <w:rPr>
          <w:rFonts w:hint="eastAsia" w:ascii="宋体" w:hAnsi="宋体" w:cs="宋体"/>
          <w:sz w:val="22"/>
          <w:szCs w:val="22"/>
        </w:rPr>
        <w:t>个工作日内，将政府采购合同交到代理机构备案且在省级以上人民政府财政部门指定的媒体上公告，但政府采购合同中涉及国家秘密、商业秘密的内容除外。</w:t>
      </w:r>
    </w:p>
    <w:p>
      <w:pPr>
        <w:pStyle w:val="12"/>
        <w:spacing w:line="400" w:lineRule="exact"/>
        <w:ind w:left="3"/>
        <w:rPr>
          <w:rFonts w:hAnsi="宋体" w:cs="宋体"/>
          <w:b/>
          <w:sz w:val="22"/>
          <w:szCs w:val="22"/>
        </w:rPr>
      </w:pPr>
      <w:r>
        <w:rPr>
          <w:rFonts w:hint="eastAsia" w:hAnsi="宋体" w:cs="宋体"/>
          <w:b/>
          <w:sz w:val="22"/>
          <w:szCs w:val="22"/>
        </w:rPr>
        <w:t>九、其他事项</w:t>
      </w:r>
    </w:p>
    <w:p>
      <w:pPr>
        <w:spacing w:line="400" w:lineRule="exact"/>
        <w:rPr>
          <w:rFonts w:ascii="宋体" w:cs="宋体"/>
          <w:b/>
          <w:sz w:val="22"/>
          <w:szCs w:val="22"/>
        </w:rPr>
      </w:pPr>
      <w:r>
        <w:rPr>
          <w:rFonts w:ascii="宋体" w:hAnsi="宋体" w:cs="宋体"/>
          <w:b/>
          <w:sz w:val="22"/>
          <w:szCs w:val="22"/>
        </w:rPr>
        <w:t>17.1</w:t>
      </w:r>
      <w:r>
        <w:rPr>
          <w:rFonts w:hint="eastAsia" w:ascii="宋体" w:hAnsi="宋体" w:cs="宋体"/>
          <w:bCs/>
          <w:sz w:val="22"/>
          <w:szCs w:val="22"/>
        </w:rPr>
        <w:t>采购代理服务费</w:t>
      </w:r>
    </w:p>
    <w:p>
      <w:pPr>
        <w:spacing w:line="400" w:lineRule="exact"/>
        <w:ind w:firstLine="440" w:firstLineChars="200"/>
        <w:rPr>
          <w:rFonts w:ascii="宋体" w:cs="宋体"/>
          <w:sz w:val="22"/>
          <w:szCs w:val="22"/>
        </w:rPr>
      </w:pPr>
      <w:r>
        <w:rPr>
          <w:rFonts w:hint="eastAsia" w:ascii="宋体" w:hAnsi="宋体" w:cs="宋体"/>
          <w:sz w:val="22"/>
          <w:szCs w:val="22"/>
        </w:rPr>
        <w:t>采购代理服务费按灵政办发（</w:t>
      </w:r>
      <w:r>
        <w:rPr>
          <w:rFonts w:ascii="宋体" w:hAnsi="宋体" w:cs="宋体"/>
          <w:sz w:val="22"/>
          <w:szCs w:val="22"/>
        </w:rPr>
        <w:t>2014</w:t>
      </w:r>
      <w:r>
        <w:rPr>
          <w:rFonts w:hint="eastAsia" w:ascii="宋体" w:hAnsi="宋体" w:cs="宋体"/>
          <w:sz w:val="22"/>
          <w:szCs w:val="22"/>
        </w:rPr>
        <w:t>）</w:t>
      </w:r>
      <w:r>
        <w:rPr>
          <w:rFonts w:ascii="宋体" w:hAnsi="宋体" w:cs="宋体"/>
          <w:sz w:val="22"/>
          <w:szCs w:val="22"/>
        </w:rPr>
        <w:t>86</w:t>
      </w:r>
      <w:r>
        <w:rPr>
          <w:rFonts w:hint="eastAsia" w:ascii="宋体" w:hAnsi="宋体" w:cs="宋体"/>
          <w:sz w:val="22"/>
          <w:szCs w:val="22"/>
        </w:rPr>
        <w:t>号文、灵财采</w:t>
      </w:r>
      <w:r>
        <w:rPr>
          <w:rFonts w:ascii="宋体" w:hAnsi="宋体" w:cs="宋体"/>
          <w:sz w:val="22"/>
          <w:szCs w:val="22"/>
        </w:rPr>
        <w:t>[2017]1</w:t>
      </w:r>
      <w:r>
        <w:rPr>
          <w:rFonts w:hint="eastAsia" w:ascii="宋体" w:hAnsi="宋体" w:cs="宋体"/>
          <w:sz w:val="22"/>
          <w:szCs w:val="22"/>
        </w:rPr>
        <w:t>号文的规定向采购人收取，服务费收费参照国家发展计划委员会文件计价格（</w:t>
      </w:r>
      <w:r>
        <w:rPr>
          <w:rFonts w:ascii="宋体" w:hAnsi="宋体" w:cs="宋体"/>
          <w:sz w:val="22"/>
          <w:szCs w:val="22"/>
        </w:rPr>
        <w:t>2002</w:t>
      </w:r>
      <w:r>
        <w:rPr>
          <w:rFonts w:hint="eastAsia" w:ascii="宋体" w:hAnsi="宋体" w:cs="宋体"/>
          <w:sz w:val="22"/>
          <w:szCs w:val="22"/>
        </w:rPr>
        <w:t>）</w:t>
      </w:r>
      <w:r>
        <w:rPr>
          <w:rFonts w:ascii="宋体" w:hAnsi="宋体" w:cs="宋体"/>
          <w:sz w:val="22"/>
          <w:szCs w:val="22"/>
        </w:rPr>
        <w:t>1980</w:t>
      </w:r>
      <w:r>
        <w:rPr>
          <w:rFonts w:hint="eastAsia" w:ascii="宋体" w:hAnsi="宋体" w:cs="宋体"/>
          <w:sz w:val="22"/>
          <w:szCs w:val="22"/>
        </w:rPr>
        <w:t>号国家计委关于印发《招标代理服务收费管理暂行办法》收费标准（服务招标类型）计取。</w:t>
      </w:r>
    </w:p>
    <w:p>
      <w:pPr>
        <w:spacing w:line="400" w:lineRule="exact"/>
        <w:jc w:val="left"/>
        <w:rPr>
          <w:rFonts w:ascii="宋体" w:cs="宋体"/>
          <w:sz w:val="22"/>
          <w:szCs w:val="22"/>
        </w:rPr>
      </w:pPr>
      <w:r>
        <w:rPr>
          <w:rFonts w:hint="eastAsia" w:ascii="宋体" w:hAnsi="宋体" w:cs="宋体"/>
          <w:sz w:val="22"/>
          <w:szCs w:val="22"/>
        </w:rPr>
        <w:t>采购代理服务收费标准：</w:t>
      </w:r>
    </w:p>
    <w:tbl>
      <w:tblPr>
        <w:tblStyle w:val="22"/>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pStyle w:val="12"/>
              <w:spacing w:line="400" w:lineRule="exact"/>
              <w:ind w:left="25"/>
              <w:rPr>
                <w:rFonts w:hAnsi="宋体" w:cs="宋体"/>
                <w:sz w:val="22"/>
                <w:szCs w:val="22"/>
              </w:rPr>
            </w:pPr>
            <w:r>
              <w:pict>
                <v:line id="_x0000_s1031" o:spid="_x0000_s1031" o:spt="20" style="position:absolute;left:0pt;margin-left:23.35pt;margin-top:0.85pt;height:49.7pt;width:106.5pt;z-index:251658240;mso-width-relative:page;mso-height-relative:page;"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gPkV1AAAAAgBAAAPAAAAAAAAAAEA&#10;IAAAACIAAABkcnMvZG93bnJldi54bWxQSwECFAAUAAAACACHTuJA2vkaQNoBAACdAwAADgAAAAAA&#10;AAABACAAAAAjAQAAZHJzL2Uyb0RvYy54bWxQSwUGAAAAAAYABgBZAQAAbwUAAAAA&#10;">
                  <v:path arrowok="t"/>
                  <v:fill focussize="0,0"/>
                  <v:stroke/>
                  <v:imagedata o:title=""/>
                  <o:lock v:ext="edit"/>
                </v:line>
              </w:pict>
            </w:r>
            <w:r>
              <w:rPr>
                <w:rFonts w:hint="eastAsia" w:hAnsi="宋体" w:cs="宋体"/>
                <w:sz w:val="22"/>
                <w:szCs w:val="22"/>
              </w:rPr>
              <w:t>费率</w:t>
            </w:r>
            <w:r>
              <w:rPr>
                <w:rFonts w:hAnsi="宋体" w:cs="宋体"/>
                <w:sz w:val="22"/>
                <w:szCs w:val="22"/>
              </w:rPr>
              <w:t xml:space="preserve">          </w:t>
            </w:r>
            <w:r>
              <w:rPr>
                <w:rFonts w:hint="eastAsia" w:hAnsi="宋体" w:cs="宋体"/>
                <w:sz w:val="22"/>
                <w:szCs w:val="22"/>
              </w:rPr>
              <w:t>服务类型</w:t>
            </w:r>
          </w:p>
          <w:p>
            <w:pPr>
              <w:pStyle w:val="12"/>
              <w:spacing w:line="400" w:lineRule="exact"/>
              <w:ind w:left="25"/>
              <w:rPr>
                <w:rFonts w:hAnsi="宋体" w:cs="宋体"/>
                <w:sz w:val="22"/>
                <w:szCs w:val="22"/>
              </w:rPr>
            </w:pPr>
            <w:r>
              <w:pict>
                <v:line id="_x0000_s1032" o:spid="_x0000_s1032" o:spt="20" style="position:absolute;left:0pt;margin-left:-5.35pt;margin-top:3.55pt;height:31.2pt;width:135pt;z-index:251658240;mso-width-relative:page;mso-height-relative:page;"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rrGJ3YAAAACAEAAA8A&#10;AAAAAAAAAQAgAAAAIgAAAGRycy9kb3ducmV2LnhtbFBLAQIUABQAAAAIAIdO4kCrgM5p3gEAAJ0D&#10;AAAOAAAAAAAAAAEAIAAAACcBAABkcnMvZTJvRG9jLnhtbFBLBQYAAAAABgAGAFkBAAB3BQAAAAA=&#10;">
                  <v:path arrowok="t"/>
                  <v:fill focussize="0,0"/>
                  <v:stroke/>
                  <v:imagedata o:title=""/>
                  <o:lock v:ext="edit"/>
                </v:line>
              </w:pict>
            </w:r>
          </w:p>
          <w:p>
            <w:pPr>
              <w:pStyle w:val="12"/>
              <w:spacing w:line="400" w:lineRule="exact"/>
              <w:ind w:left="25"/>
              <w:rPr>
                <w:rFonts w:hAnsi="宋体" w:cs="宋体"/>
                <w:sz w:val="22"/>
                <w:szCs w:val="22"/>
              </w:rPr>
            </w:pPr>
            <w:r>
              <w:rPr>
                <w:rFonts w:hint="eastAsia" w:hAnsi="宋体" w:cs="宋体"/>
                <w:sz w:val="22"/>
                <w:szCs w:val="22"/>
              </w:rPr>
              <w:t>中标金额（万元）</w:t>
            </w:r>
          </w:p>
        </w:tc>
        <w:tc>
          <w:tcPr>
            <w:tcW w:w="2002" w:type="dxa"/>
            <w:vAlign w:val="center"/>
          </w:tcPr>
          <w:p>
            <w:pPr>
              <w:pStyle w:val="12"/>
              <w:spacing w:line="400" w:lineRule="exact"/>
              <w:ind w:left="25"/>
              <w:jc w:val="center"/>
              <w:rPr>
                <w:rFonts w:hAnsi="宋体" w:cs="宋体"/>
                <w:sz w:val="22"/>
                <w:szCs w:val="22"/>
              </w:rPr>
            </w:pPr>
            <w:r>
              <w:rPr>
                <w:rFonts w:hint="eastAsia" w:hAnsi="宋体" w:cs="宋体"/>
                <w:sz w:val="22"/>
                <w:szCs w:val="22"/>
              </w:rPr>
              <w:t>货物招标</w:t>
            </w:r>
          </w:p>
        </w:tc>
        <w:tc>
          <w:tcPr>
            <w:tcW w:w="1992" w:type="dxa"/>
            <w:vAlign w:val="center"/>
          </w:tcPr>
          <w:p>
            <w:pPr>
              <w:pStyle w:val="12"/>
              <w:spacing w:line="400" w:lineRule="exact"/>
              <w:ind w:left="25"/>
              <w:jc w:val="center"/>
              <w:rPr>
                <w:rFonts w:hAnsi="宋体" w:cs="宋体"/>
                <w:sz w:val="22"/>
                <w:szCs w:val="22"/>
              </w:rPr>
            </w:pPr>
            <w:r>
              <w:rPr>
                <w:rFonts w:hint="eastAsia" w:hAnsi="宋体" w:cs="宋体"/>
                <w:sz w:val="22"/>
                <w:szCs w:val="22"/>
              </w:rPr>
              <w:t>服务招标</w:t>
            </w:r>
          </w:p>
        </w:tc>
        <w:tc>
          <w:tcPr>
            <w:tcW w:w="2293" w:type="dxa"/>
            <w:vAlign w:val="center"/>
          </w:tcPr>
          <w:p>
            <w:pPr>
              <w:pStyle w:val="12"/>
              <w:spacing w:line="400" w:lineRule="exact"/>
              <w:ind w:left="25"/>
              <w:jc w:val="center"/>
              <w:rPr>
                <w:rFonts w:hAnsi="宋体" w:cs="宋体"/>
                <w:sz w:val="22"/>
                <w:szCs w:val="22"/>
              </w:rPr>
            </w:pPr>
            <w:r>
              <w:rPr>
                <w:rFonts w:hint="eastAsia" w:hAnsi="宋体" w:cs="宋体"/>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12"/>
              <w:spacing w:line="400" w:lineRule="exact"/>
              <w:ind w:left="25"/>
              <w:rPr>
                <w:rFonts w:hAnsi="宋体" w:cs="宋体"/>
                <w:sz w:val="22"/>
                <w:szCs w:val="22"/>
              </w:rPr>
            </w:pPr>
            <w:r>
              <w:rPr>
                <w:rFonts w:hAnsi="宋体" w:cs="宋体"/>
                <w:sz w:val="22"/>
                <w:szCs w:val="22"/>
              </w:rPr>
              <w:t>100</w:t>
            </w:r>
            <w:r>
              <w:rPr>
                <w:rFonts w:hint="eastAsia" w:hAnsi="宋体" w:cs="宋体"/>
                <w:sz w:val="22"/>
                <w:szCs w:val="22"/>
              </w:rPr>
              <w:t>以下</w:t>
            </w:r>
          </w:p>
        </w:tc>
        <w:tc>
          <w:tcPr>
            <w:tcW w:w="2002" w:type="dxa"/>
          </w:tcPr>
          <w:p>
            <w:pPr>
              <w:pStyle w:val="12"/>
              <w:spacing w:line="400" w:lineRule="exact"/>
              <w:ind w:left="25"/>
              <w:jc w:val="center"/>
              <w:rPr>
                <w:rFonts w:hAnsi="宋体" w:cs="宋体"/>
                <w:sz w:val="22"/>
                <w:szCs w:val="22"/>
              </w:rPr>
            </w:pPr>
            <w:r>
              <w:rPr>
                <w:rFonts w:hAnsi="宋体" w:cs="宋体"/>
                <w:sz w:val="22"/>
                <w:szCs w:val="22"/>
              </w:rPr>
              <w:t>1.5%</w:t>
            </w:r>
          </w:p>
        </w:tc>
        <w:tc>
          <w:tcPr>
            <w:tcW w:w="1992" w:type="dxa"/>
          </w:tcPr>
          <w:p>
            <w:pPr>
              <w:pStyle w:val="12"/>
              <w:spacing w:line="400" w:lineRule="exact"/>
              <w:ind w:left="25"/>
              <w:jc w:val="center"/>
              <w:rPr>
                <w:rFonts w:hAnsi="宋体" w:cs="宋体"/>
                <w:sz w:val="22"/>
                <w:szCs w:val="22"/>
              </w:rPr>
            </w:pPr>
            <w:r>
              <w:rPr>
                <w:rFonts w:hAnsi="宋体" w:cs="宋体"/>
                <w:sz w:val="22"/>
                <w:szCs w:val="22"/>
              </w:rPr>
              <w:t>1.5%</w:t>
            </w:r>
          </w:p>
        </w:tc>
        <w:tc>
          <w:tcPr>
            <w:tcW w:w="2293" w:type="dxa"/>
          </w:tcPr>
          <w:p>
            <w:pPr>
              <w:pStyle w:val="12"/>
              <w:spacing w:line="400" w:lineRule="exact"/>
              <w:ind w:left="25"/>
              <w:jc w:val="center"/>
              <w:rPr>
                <w:rFonts w:hAnsi="宋体" w:cs="宋体"/>
                <w:sz w:val="22"/>
                <w:szCs w:val="22"/>
              </w:rPr>
            </w:pPr>
            <w:r>
              <w:rPr>
                <w:rFonts w:hAnsi="宋体" w:cs="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12"/>
              <w:spacing w:line="400" w:lineRule="exact"/>
              <w:ind w:left="25"/>
              <w:rPr>
                <w:rFonts w:hAnsi="宋体" w:cs="宋体"/>
                <w:sz w:val="22"/>
                <w:szCs w:val="22"/>
              </w:rPr>
            </w:pPr>
            <w:r>
              <w:rPr>
                <w:rFonts w:hAnsi="宋体" w:cs="宋体"/>
                <w:sz w:val="22"/>
                <w:szCs w:val="22"/>
              </w:rPr>
              <w:t>100-500</w:t>
            </w:r>
          </w:p>
        </w:tc>
        <w:tc>
          <w:tcPr>
            <w:tcW w:w="2002" w:type="dxa"/>
          </w:tcPr>
          <w:p>
            <w:pPr>
              <w:pStyle w:val="12"/>
              <w:spacing w:line="400" w:lineRule="exact"/>
              <w:ind w:left="25"/>
              <w:jc w:val="center"/>
              <w:rPr>
                <w:rFonts w:hAnsi="宋体" w:cs="宋体"/>
                <w:sz w:val="22"/>
                <w:szCs w:val="22"/>
              </w:rPr>
            </w:pPr>
            <w:r>
              <w:rPr>
                <w:rFonts w:hAnsi="宋体" w:cs="宋体"/>
                <w:sz w:val="22"/>
                <w:szCs w:val="22"/>
              </w:rPr>
              <w:t>1.1%</w:t>
            </w:r>
          </w:p>
        </w:tc>
        <w:tc>
          <w:tcPr>
            <w:tcW w:w="1992" w:type="dxa"/>
          </w:tcPr>
          <w:p>
            <w:pPr>
              <w:pStyle w:val="12"/>
              <w:spacing w:line="400" w:lineRule="exact"/>
              <w:ind w:left="25"/>
              <w:jc w:val="center"/>
              <w:rPr>
                <w:rFonts w:hAnsi="宋体" w:cs="宋体"/>
                <w:sz w:val="22"/>
                <w:szCs w:val="22"/>
              </w:rPr>
            </w:pPr>
            <w:r>
              <w:rPr>
                <w:rFonts w:hAnsi="宋体" w:cs="宋体"/>
                <w:sz w:val="22"/>
                <w:szCs w:val="22"/>
              </w:rPr>
              <w:t>0.8%</w:t>
            </w:r>
          </w:p>
        </w:tc>
        <w:tc>
          <w:tcPr>
            <w:tcW w:w="2293" w:type="dxa"/>
          </w:tcPr>
          <w:p>
            <w:pPr>
              <w:pStyle w:val="12"/>
              <w:spacing w:line="400" w:lineRule="exact"/>
              <w:ind w:left="25"/>
              <w:jc w:val="center"/>
              <w:rPr>
                <w:rFonts w:hAnsi="宋体" w:cs="宋体"/>
                <w:sz w:val="22"/>
                <w:szCs w:val="22"/>
              </w:rPr>
            </w:pPr>
            <w:r>
              <w:rPr>
                <w:rFonts w:hAnsi="宋体" w:cs="宋体"/>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2"/>
              <w:spacing w:line="400" w:lineRule="exact"/>
              <w:ind w:left="25"/>
              <w:rPr>
                <w:rFonts w:hAnsi="宋体" w:cs="宋体"/>
                <w:sz w:val="22"/>
                <w:szCs w:val="22"/>
              </w:rPr>
            </w:pPr>
            <w:r>
              <w:rPr>
                <w:rFonts w:hAnsi="宋体" w:cs="宋体"/>
                <w:sz w:val="22"/>
                <w:szCs w:val="22"/>
              </w:rPr>
              <w:t>500-1000</w:t>
            </w:r>
          </w:p>
        </w:tc>
        <w:tc>
          <w:tcPr>
            <w:tcW w:w="2002" w:type="dxa"/>
          </w:tcPr>
          <w:p>
            <w:pPr>
              <w:pStyle w:val="12"/>
              <w:spacing w:line="400" w:lineRule="exact"/>
              <w:ind w:left="25"/>
              <w:jc w:val="center"/>
              <w:rPr>
                <w:rFonts w:hAnsi="宋体" w:cs="宋体"/>
                <w:sz w:val="22"/>
                <w:szCs w:val="22"/>
              </w:rPr>
            </w:pPr>
            <w:r>
              <w:rPr>
                <w:rFonts w:hAnsi="宋体" w:cs="宋体"/>
                <w:sz w:val="22"/>
                <w:szCs w:val="22"/>
              </w:rPr>
              <w:t>0.8%</w:t>
            </w:r>
          </w:p>
        </w:tc>
        <w:tc>
          <w:tcPr>
            <w:tcW w:w="1992" w:type="dxa"/>
          </w:tcPr>
          <w:p>
            <w:pPr>
              <w:pStyle w:val="12"/>
              <w:spacing w:line="400" w:lineRule="exact"/>
              <w:ind w:left="25"/>
              <w:jc w:val="center"/>
              <w:rPr>
                <w:rFonts w:hAnsi="宋体" w:cs="宋体"/>
                <w:sz w:val="22"/>
                <w:szCs w:val="22"/>
              </w:rPr>
            </w:pPr>
            <w:r>
              <w:rPr>
                <w:rFonts w:hAnsi="宋体" w:cs="宋体"/>
                <w:sz w:val="22"/>
                <w:szCs w:val="22"/>
              </w:rPr>
              <w:t>0.45%</w:t>
            </w:r>
          </w:p>
        </w:tc>
        <w:tc>
          <w:tcPr>
            <w:tcW w:w="2293" w:type="dxa"/>
          </w:tcPr>
          <w:p>
            <w:pPr>
              <w:pStyle w:val="12"/>
              <w:spacing w:line="400" w:lineRule="exact"/>
              <w:ind w:left="25"/>
              <w:jc w:val="center"/>
              <w:rPr>
                <w:rFonts w:hAnsi="宋体" w:cs="宋体"/>
                <w:sz w:val="22"/>
                <w:szCs w:val="22"/>
              </w:rPr>
            </w:pPr>
            <w:r>
              <w:rPr>
                <w:rFonts w:hAnsi="宋体" w:cs="宋体"/>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2"/>
              <w:spacing w:line="400" w:lineRule="exact"/>
              <w:ind w:left="25"/>
              <w:rPr>
                <w:rFonts w:hAnsi="宋体" w:cs="宋体"/>
                <w:sz w:val="22"/>
                <w:szCs w:val="22"/>
              </w:rPr>
            </w:pPr>
            <w:r>
              <w:rPr>
                <w:rFonts w:hAnsi="宋体" w:cs="宋体"/>
                <w:sz w:val="22"/>
                <w:szCs w:val="22"/>
              </w:rPr>
              <w:t>1000-5000</w:t>
            </w:r>
          </w:p>
        </w:tc>
        <w:tc>
          <w:tcPr>
            <w:tcW w:w="2002" w:type="dxa"/>
          </w:tcPr>
          <w:p>
            <w:pPr>
              <w:pStyle w:val="12"/>
              <w:spacing w:line="400" w:lineRule="exact"/>
              <w:ind w:left="25"/>
              <w:jc w:val="center"/>
              <w:rPr>
                <w:rFonts w:hAnsi="宋体" w:cs="宋体"/>
                <w:sz w:val="22"/>
                <w:szCs w:val="22"/>
              </w:rPr>
            </w:pPr>
            <w:r>
              <w:rPr>
                <w:rFonts w:hAnsi="宋体" w:cs="宋体"/>
                <w:sz w:val="22"/>
                <w:szCs w:val="22"/>
              </w:rPr>
              <w:t>0.5%</w:t>
            </w:r>
          </w:p>
        </w:tc>
        <w:tc>
          <w:tcPr>
            <w:tcW w:w="1992" w:type="dxa"/>
          </w:tcPr>
          <w:p>
            <w:pPr>
              <w:pStyle w:val="12"/>
              <w:spacing w:line="400" w:lineRule="exact"/>
              <w:ind w:left="25"/>
              <w:jc w:val="center"/>
              <w:rPr>
                <w:rFonts w:hAnsi="宋体" w:cs="宋体"/>
                <w:sz w:val="22"/>
                <w:szCs w:val="22"/>
              </w:rPr>
            </w:pPr>
            <w:r>
              <w:rPr>
                <w:rFonts w:hAnsi="宋体" w:cs="宋体"/>
                <w:sz w:val="22"/>
                <w:szCs w:val="22"/>
              </w:rPr>
              <w:t>0.25%</w:t>
            </w:r>
          </w:p>
        </w:tc>
        <w:tc>
          <w:tcPr>
            <w:tcW w:w="2293" w:type="dxa"/>
          </w:tcPr>
          <w:p>
            <w:pPr>
              <w:pStyle w:val="12"/>
              <w:spacing w:line="400" w:lineRule="exact"/>
              <w:ind w:left="25"/>
              <w:jc w:val="center"/>
              <w:rPr>
                <w:rFonts w:hAnsi="宋体" w:cs="宋体"/>
                <w:sz w:val="22"/>
                <w:szCs w:val="22"/>
              </w:rPr>
            </w:pPr>
            <w:r>
              <w:rPr>
                <w:rFonts w:hAnsi="宋体" w:cs="宋体"/>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2"/>
              <w:spacing w:line="400" w:lineRule="exact"/>
              <w:ind w:left="25"/>
              <w:rPr>
                <w:rFonts w:hAnsi="宋体" w:cs="宋体"/>
                <w:sz w:val="22"/>
                <w:szCs w:val="22"/>
              </w:rPr>
            </w:pPr>
            <w:r>
              <w:rPr>
                <w:rFonts w:hAnsi="宋体" w:cs="宋体"/>
                <w:sz w:val="22"/>
                <w:szCs w:val="22"/>
              </w:rPr>
              <w:t>5000-10000</w:t>
            </w:r>
          </w:p>
        </w:tc>
        <w:tc>
          <w:tcPr>
            <w:tcW w:w="2002" w:type="dxa"/>
          </w:tcPr>
          <w:p>
            <w:pPr>
              <w:pStyle w:val="12"/>
              <w:spacing w:line="400" w:lineRule="exact"/>
              <w:ind w:left="25"/>
              <w:jc w:val="center"/>
              <w:rPr>
                <w:rFonts w:hAnsi="宋体" w:cs="宋体"/>
                <w:sz w:val="22"/>
                <w:szCs w:val="22"/>
              </w:rPr>
            </w:pPr>
            <w:r>
              <w:rPr>
                <w:rFonts w:hAnsi="宋体" w:cs="宋体"/>
                <w:sz w:val="22"/>
                <w:szCs w:val="22"/>
              </w:rPr>
              <w:t>0.25%</w:t>
            </w:r>
          </w:p>
        </w:tc>
        <w:tc>
          <w:tcPr>
            <w:tcW w:w="1992" w:type="dxa"/>
          </w:tcPr>
          <w:p>
            <w:pPr>
              <w:pStyle w:val="12"/>
              <w:spacing w:line="400" w:lineRule="exact"/>
              <w:ind w:left="25"/>
              <w:jc w:val="center"/>
              <w:rPr>
                <w:rFonts w:hAnsi="宋体" w:cs="宋体"/>
                <w:sz w:val="22"/>
                <w:szCs w:val="22"/>
              </w:rPr>
            </w:pPr>
            <w:r>
              <w:rPr>
                <w:rFonts w:hAnsi="宋体" w:cs="宋体"/>
                <w:sz w:val="22"/>
                <w:szCs w:val="22"/>
              </w:rPr>
              <w:t>0.1%</w:t>
            </w:r>
          </w:p>
        </w:tc>
        <w:tc>
          <w:tcPr>
            <w:tcW w:w="2293" w:type="dxa"/>
          </w:tcPr>
          <w:p>
            <w:pPr>
              <w:pStyle w:val="12"/>
              <w:spacing w:line="400" w:lineRule="exact"/>
              <w:ind w:left="25"/>
              <w:jc w:val="center"/>
              <w:rPr>
                <w:rFonts w:hAnsi="宋体" w:cs="宋体"/>
                <w:sz w:val="22"/>
                <w:szCs w:val="22"/>
              </w:rPr>
            </w:pPr>
            <w:r>
              <w:rPr>
                <w:rFonts w:hAnsi="宋体" w:cs="宋体"/>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12"/>
              <w:spacing w:line="400" w:lineRule="exact"/>
              <w:ind w:left="25"/>
              <w:rPr>
                <w:rFonts w:hAnsi="宋体" w:cs="宋体"/>
                <w:sz w:val="22"/>
                <w:szCs w:val="22"/>
              </w:rPr>
            </w:pPr>
            <w:r>
              <w:rPr>
                <w:rFonts w:hAnsi="宋体" w:cs="宋体"/>
                <w:sz w:val="22"/>
                <w:szCs w:val="22"/>
              </w:rPr>
              <w:t>10000-100000</w:t>
            </w:r>
          </w:p>
        </w:tc>
        <w:tc>
          <w:tcPr>
            <w:tcW w:w="2002" w:type="dxa"/>
          </w:tcPr>
          <w:p>
            <w:pPr>
              <w:pStyle w:val="12"/>
              <w:spacing w:line="400" w:lineRule="exact"/>
              <w:ind w:left="25"/>
              <w:jc w:val="center"/>
              <w:rPr>
                <w:rFonts w:hAnsi="宋体" w:cs="宋体"/>
                <w:sz w:val="22"/>
                <w:szCs w:val="22"/>
              </w:rPr>
            </w:pPr>
            <w:r>
              <w:rPr>
                <w:rFonts w:hAnsi="宋体" w:cs="宋体"/>
                <w:sz w:val="22"/>
                <w:szCs w:val="22"/>
              </w:rPr>
              <w:t>0.05%</w:t>
            </w:r>
          </w:p>
        </w:tc>
        <w:tc>
          <w:tcPr>
            <w:tcW w:w="1992" w:type="dxa"/>
          </w:tcPr>
          <w:p>
            <w:pPr>
              <w:pStyle w:val="12"/>
              <w:spacing w:line="400" w:lineRule="exact"/>
              <w:ind w:left="25"/>
              <w:jc w:val="center"/>
              <w:rPr>
                <w:rFonts w:hAnsi="宋体" w:cs="宋体"/>
                <w:sz w:val="22"/>
                <w:szCs w:val="22"/>
              </w:rPr>
            </w:pPr>
            <w:r>
              <w:rPr>
                <w:rFonts w:hAnsi="宋体" w:cs="宋体"/>
                <w:sz w:val="22"/>
                <w:szCs w:val="22"/>
              </w:rPr>
              <w:t>0.05%</w:t>
            </w:r>
          </w:p>
        </w:tc>
        <w:tc>
          <w:tcPr>
            <w:tcW w:w="2293" w:type="dxa"/>
          </w:tcPr>
          <w:p>
            <w:pPr>
              <w:pStyle w:val="12"/>
              <w:spacing w:line="400" w:lineRule="exact"/>
              <w:ind w:left="25"/>
              <w:jc w:val="center"/>
              <w:rPr>
                <w:rFonts w:hAnsi="宋体" w:cs="宋体"/>
                <w:sz w:val="22"/>
                <w:szCs w:val="22"/>
              </w:rPr>
            </w:pPr>
            <w:r>
              <w:rPr>
                <w:rFonts w:hAnsi="宋体" w:cs="宋体"/>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12"/>
              <w:spacing w:line="400" w:lineRule="exact"/>
              <w:ind w:left="25"/>
              <w:rPr>
                <w:rFonts w:hAnsi="宋体" w:cs="宋体"/>
                <w:sz w:val="22"/>
                <w:szCs w:val="22"/>
              </w:rPr>
            </w:pPr>
            <w:r>
              <w:rPr>
                <w:rFonts w:hAnsi="宋体" w:cs="宋体"/>
                <w:sz w:val="22"/>
                <w:szCs w:val="22"/>
              </w:rPr>
              <w:t>100000</w:t>
            </w:r>
            <w:r>
              <w:rPr>
                <w:rFonts w:hint="eastAsia" w:hAnsi="宋体" w:cs="宋体"/>
                <w:sz w:val="22"/>
                <w:szCs w:val="22"/>
              </w:rPr>
              <w:t>以上</w:t>
            </w:r>
          </w:p>
        </w:tc>
        <w:tc>
          <w:tcPr>
            <w:tcW w:w="2002" w:type="dxa"/>
          </w:tcPr>
          <w:p>
            <w:pPr>
              <w:pStyle w:val="12"/>
              <w:spacing w:line="400" w:lineRule="exact"/>
              <w:ind w:left="25"/>
              <w:jc w:val="center"/>
              <w:rPr>
                <w:rFonts w:hAnsi="宋体" w:cs="宋体"/>
                <w:sz w:val="22"/>
                <w:szCs w:val="22"/>
              </w:rPr>
            </w:pPr>
            <w:r>
              <w:rPr>
                <w:rFonts w:hAnsi="宋体" w:cs="宋体"/>
                <w:sz w:val="22"/>
                <w:szCs w:val="22"/>
              </w:rPr>
              <w:t>0.01%</w:t>
            </w:r>
          </w:p>
        </w:tc>
        <w:tc>
          <w:tcPr>
            <w:tcW w:w="1992" w:type="dxa"/>
          </w:tcPr>
          <w:p>
            <w:pPr>
              <w:pStyle w:val="12"/>
              <w:spacing w:line="400" w:lineRule="exact"/>
              <w:ind w:left="25"/>
              <w:jc w:val="center"/>
              <w:rPr>
                <w:rFonts w:hAnsi="宋体" w:cs="宋体"/>
                <w:sz w:val="22"/>
                <w:szCs w:val="22"/>
              </w:rPr>
            </w:pPr>
            <w:r>
              <w:rPr>
                <w:rFonts w:hAnsi="宋体" w:cs="宋体"/>
                <w:sz w:val="22"/>
                <w:szCs w:val="22"/>
              </w:rPr>
              <w:t>0.01%</w:t>
            </w:r>
          </w:p>
        </w:tc>
        <w:tc>
          <w:tcPr>
            <w:tcW w:w="2293" w:type="dxa"/>
          </w:tcPr>
          <w:p>
            <w:pPr>
              <w:pStyle w:val="12"/>
              <w:spacing w:line="400" w:lineRule="exact"/>
              <w:ind w:left="25"/>
              <w:jc w:val="center"/>
              <w:rPr>
                <w:rFonts w:hAnsi="宋体" w:cs="宋体"/>
                <w:sz w:val="22"/>
                <w:szCs w:val="22"/>
              </w:rPr>
            </w:pPr>
            <w:r>
              <w:rPr>
                <w:rFonts w:hAnsi="宋体" w:cs="宋体"/>
                <w:sz w:val="22"/>
                <w:szCs w:val="22"/>
              </w:rPr>
              <w:t>0.01%</w:t>
            </w:r>
          </w:p>
        </w:tc>
      </w:tr>
    </w:tbl>
    <w:p>
      <w:pPr>
        <w:pStyle w:val="12"/>
        <w:spacing w:line="400" w:lineRule="exact"/>
        <w:ind w:left="25"/>
        <w:rPr>
          <w:rFonts w:hAnsi="宋体" w:cs="宋体"/>
          <w:sz w:val="22"/>
          <w:szCs w:val="22"/>
        </w:rPr>
      </w:pPr>
      <w:r>
        <w:rPr>
          <w:rFonts w:hint="eastAsia" w:hAnsi="宋体" w:cs="宋体"/>
          <w:sz w:val="22"/>
          <w:szCs w:val="22"/>
        </w:rPr>
        <w:t>注：采购代理服务收费按差额定率累进法计算。</w:t>
      </w:r>
    </w:p>
    <w:p>
      <w:pPr>
        <w:spacing w:line="400" w:lineRule="exact"/>
        <w:ind w:firstLine="442" w:firstLineChars="200"/>
        <w:rPr>
          <w:rFonts w:ascii="宋体" w:cs="宋体"/>
          <w:b/>
          <w:sz w:val="22"/>
          <w:szCs w:val="22"/>
        </w:rPr>
      </w:pPr>
      <w:r>
        <w:rPr>
          <w:rFonts w:ascii="宋体" w:hAnsi="宋体" w:cs="宋体"/>
          <w:b/>
          <w:sz w:val="22"/>
          <w:szCs w:val="22"/>
        </w:rPr>
        <w:t xml:space="preserve">17.2 </w:t>
      </w:r>
      <w:r>
        <w:rPr>
          <w:rFonts w:hint="eastAsia" w:ascii="宋体" w:hAnsi="宋体" w:cs="宋体"/>
          <w:b/>
          <w:sz w:val="22"/>
          <w:szCs w:val="22"/>
        </w:rPr>
        <w:t>解释权</w:t>
      </w:r>
    </w:p>
    <w:p>
      <w:pPr>
        <w:spacing w:line="400" w:lineRule="exact"/>
        <w:ind w:firstLine="440" w:firstLineChars="200"/>
        <w:rPr>
          <w:rFonts w:ascii="宋体" w:cs="宋体"/>
          <w:sz w:val="22"/>
          <w:szCs w:val="22"/>
        </w:rPr>
      </w:pPr>
      <w:r>
        <w:rPr>
          <w:rFonts w:hint="eastAsia" w:ascii="宋体" w:hAnsi="宋体" w:cs="宋体"/>
          <w:sz w:val="22"/>
          <w:szCs w:val="22"/>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pacing w:line="400" w:lineRule="exact"/>
        <w:ind w:firstLine="440" w:firstLineChars="200"/>
        <w:rPr>
          <w:rFonts w:ascii="宋体" w:cs="宋体"/>
          <w:sz w:val="22"/>
          <w:szCs w:val="22"/>
        </w:rPr>
      </w:pPr>
      <w:r>
        <w:rPr>
          <w:rFonts w:hint="eastAsia" w:ascii="宋体" w:hAnsi="宋体" w:cs="宋体"/>
          <w:sz w:val="22"/>
          <w:szCs w:val="22"/>
        </w:rPr>
        <w:t>最终磋商结束后，磋商小组不得再与供应商进行任何形式的商谈。</w:t>
      </w:r>
    </w:p>
    <w:p>
      <w:pPr>
        <w:pStyle w:val="12"/>
        <w:spacing w:line="380" w:lineRule="exact"/>
        <w:rPr>
          <w:rFonts w:hAnsi="宋体" w:cs="宋体"/>
        </w:rPr>
      </w:pPr>
      <w:r>
        <w:rPr>
          <w:rFonts w:hAnsi="宋体" w:cs="宋体"/>
          <w:b/>
          <w:bCs/>
        </w:rPr>
        <w:br w:type="page"/>
      </w:r>
    </w:p>
    <w:p>
      <w:pPr>
        <w:numPr>
          <w:ilvl w:val="0"/>
          <w:numId w:val="3"/>
        </w:numPr>
        <w:spacing w:line="400" w:lineRule="exact"/>
        <w:jc w:val="center"/>
        <w:outlineLvl w:val="0"/>
        <w:rPr>
          <w:rFonts w:ascii="宋体" w:cs="宋体"/>
          <w:b/>
          <w:sz w:val="32"/>
          <w:szCs w:val="32"/>
        </w:rPr>
      </w:pPr>
      <w:bookmarkStart w:id="3" w:name="_Toc419886373"/>
      <w:r>
        <w:rPr>
          <w:rFonts w:ascii="宋体" w:hAnsi="宋体" w:cs="宋体"/>
          <w:b/>
          <w:sz w:val="32"/>
          <w:szCs w:val="32"/>
        </w:rPr>
        <w:t xml:space="preserve">  </w:t>
      </w:r>
      <w:bookmarkEnd w:id="3"/>
      <w:r>
        <w:rPr>
          <w:rFonts w:hint="eastAsia" w:ascii="宋体" w:hAnsi="宋体" w:cs="宋体"/>
          <w:b/>
          <w:sz w:val="32"/>
          <w:szCs w:val="32"/>
        </w:rPr>
        <w:t>项目需求一览表</w:t>
      </w:r>
    </w:p>
    <w:p>
      <w:pPr>
        <w:spacing w:line="380" w:lineRule="exact"/>
        <w:rPr>
          <w:rFonts w:ascii="宋体" w:cs="宋体"/>
          <w:sz w:val="22"/>
          <w:szCs w:val="22"/>
          <w:highlight w:val="none"/>
        </w:rPr>
      </w:pPr>
      <w:r>
        <w:rPr>
          <w:rFonts w:hint="eastAsia" w:ascii="宋体" w:hAnsi="宋体" w:cs="宋体"/>
          <w:bCs/>
          <w:sz w:val="22"/>
          <w:szCs w:val="22"/>
        </w:rPr>
        <w:t>说明：</w:t>
      </w:r>
      <w:r>
        <w:rPr>
          <w:rFonts w:hint="eastAsia" w:hAnsi="宋体" w:cs="宋体"/>
          <w:sz w:val="22"/>
          <w:szCs w:val="22"/>
          <w:highlight w:val="none"/>
        </w:rPr>
        <w:t>“★”标记的条款为重要技术指标，必须满足或优于要求</w:t>
      </w:r>
      <w:r>
        <w:rPr>
          <w:rFonts w:hint="eastAsia" w:hAnsi="宋体" w:cs="宋体"/>
          <w:sz w:val="22"/>
          <w:szCs w:val="22"/>
          <w:highlight w:val="none"/>
          <w:lang w:eastAsia="zh-CN"/>
        </w:rPr>
        <w:t>，否</w:t>
      </w:r>
      <w:r>
        <w:rPr>
          <w:rFonts w:hint="eastAsia" w:hAnsi="宋体" w:cs="宋体"/>
          <w:sz w:val="22"/>
          <w:szCs w:val="22"/>
          <w:highlight w:val="none"/>
        </w:rPr>
        <w:t>则</w:t>
      </w:r>
      <w:r>
        <w:rPr>
          <w:rFonts w:hint="eastAsia" w:hAnsi="宋体" w:cs="宋体"/>
          <w:sz w:val="22"/>
          <w:szCs w:val="22"/>
          <w:highlight w:val="none"/>
          <w:lang w:eastAsia="zh-CN"/>
        </w:rPr>
        <w:t>磋商</w:t>
      </w:r>
      <w:r>
        <w:rPr>
          <w:rFonts w:hint="eastAsia" w:hAnsi="宋体" w:cs="宋体"/>
          <w:sz w:val="22"/>
          <w:szCs w:val="22"/>
          <w:highlight w:val="none"/>
        </w:rPr>
        <w:t>无效。</w:t>
      </w:r>
    </w:p>
    <w:tbl>
      <w:tblPr>
        <w:tblStyle w:val="23"/>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260"/>
        <w:gridCol w:w="491"/>
        <w:gridCol w:w="94"/>
        <w:gridCol w:w="615"/>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8" w:type="dxa"/>
            <w:shd w:val="clear" w:color="auto" w:fill="DCE6F2" w:themeFill="accent1" w:themeFillTint="32"/>
            <w:vAlign w:val="center"/>
          </w:tcPr>
          <w:p>
            <w:pPr>
              <w:spacing w:line="240" w:lineRule="auto"/>
              <w:jc w:val="center"/>
              <w:rPr>
                <w:rFonts w:hint="eastAsia" w:ascii="宋体" w:hAnsi="宋体"/>
                <w:b/>
                <w:sz w:val="21"/>
                <w:szCs w:val="21"/>
                <w:vertAlign w:val="baseline"/>
              </w:rPr>
            </w:pPr>
            <w:r>
              <w:rPr>
                <w:rFonts w:hint="eastAsia" w:ascii="宋体" w:hAnsi="宋体" w:cs="宋体"/>
                <w:b/>
                <w:sz w:val="21"/>
                <w:szCs w:val="21"/>
              </w:rPr>
              <w:t>序号</w:t>
            </w:r>
          </w:p>
        </w:tc>
        <w:tc>
          <w:tcPr>
            <w:tcW w:w="1260" w:type="dxa"/>
            <w:shd w:val="clear" w:color="auto" w:fill="DCE6F2" w:themeFill="accent1" w:themeFillTint="32"/>
            <w:vAlign w:val="center"/>
          </w:tcPr>
          <w:p>
            <w:pPr>
              <w:spacing w:line="240" w:lineRule="auto"/>
              <w:jc w:val="center"/>
              <w:rPr>
                <w:rFonts w:hint="eastAsia" w:ascii="宋体" w:hAnsi="宋体" w:eastAsia="宋体"/>
                <w:b/>
                <w:sz w:val="21"/>
                <w:szCs w:val="21"/>
                <w:vertAlign w:val="baseline"/>
                <w:lang w:eastAsia="zh-CN"/>
              </w:rPr>
            </w:pPr>
            <w:r>
              <w:rPr>
                <w:rFonts w:hint="eastAsia" w:ascii="宋体" w:hAnsi="宋体" w:cs="宋体"/>
                <w:b/>
                <w:sz w:val="21"/>
                <w:szCs w:val="21"/>
                <w:lang w:eastAsia="zh-CN"/>
              </w:rPr>
              <w:t>名称</w:t>
            </w:r>
          </w:p>
        </w:tc>
        <w:tc>
          <w:tcPr>
            <w:tcW w:w="585" w:type="dxa"/>
            <w:gridSpan w:val="2"/>
            <w:shd w:val="clear" w:color="auto" w:fill="DCE6F2" w:themeFill="accent1" w:themeFillTint="32"/>
            <w:vAlign w:val="center"/>
          </w:tcPr>
          <w:p>
            <w:pPr>
              <w:spacing w:line="240" w:lineRule="auto"/>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数量</w:t>
            </w:r>
          </w:p>
        </w:tc>
        <w:tc>
          <w:tcPr>
            <w:tcW w:w="615" w:type="dxa"/>
            <w:shd w:val="clear" w:color="auto" w:fill="DCE6F2" w:themeFill="accent1" w:themeFillTint="32"/>
            <w:vAlign w:val="center"/>
          </w:tcPr>
          <w:p>
            <w:pPr>
              <w:spacing w:line="240" w:lineRule="auto"/>
              <w:jc w:val="center"/>
              <w:rPr>
                <w:rFonts w:hint="eastAsia" w:ascii="宋体" w:hAnsi="宋体" w:cs="宋体"/>
                <w:b/>
                <w:sz w:val="21"/>
                <w:szCs w:val="21"/>
                <w:lang w:val="en-US" w:eastAsia="zh-CN"/>
              </w:rPr>
            </w:pPr>
            <w:r>
              <w:rPr>
                <w:rFonts w:hint="eastAsia" w:ascii="宋体" w:hAnsi="宋体" w:cs="宋体"/>
                <w:b/>
                <w:sz w:val="21"/>
                <w:szCs w:val="21"/>
                <w:lang w:val="en-US" w:eastAsia="zh-CN"/>
              </w:rPr>
              <w:t>单位</w:t>
            </w:r>
          </w:p>
        </w:tc>
        <w:tc>
          <w:tcPr>
            <w:tcW w:w="6504" w:type="dxa"/>
            <w:shd w:val="clear" w:color="auto" w:fill="DCE6F2" w:themeFill="accent1" w:themeFillTint="32"/>
            <w:vAlign w:val="center"/>
          </w:tcPr>
          <w:p>
            <w:pPr>
              <w:spacing w:line="240" w:lineRule="auto"/>
              <w:jc w:val="center"/>
              <w:rPr>
                <w:rFonts w:hint="eastAsia" w:ascii="宋体" w:hAnsi="宋体"/>
                <w:b/>
                <w:sz w:val="21"/>
                <w:szCs w:val="21"/>
                <w:vertAlign w:val="baseline"/>
              </w:rPr>
            </w:pPr>
            <w:r>
              <w:rPr>
                <w:rFonts w:hint="eastAsia" w:ascii="宋体" w:hAnsi="宋体" w:cs="宋体"/>
                <w:b/>
                <w:sz w:val="21"/>
                <w:szCs w:val="21"/>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58" w:type="dxa"/>
            <w:vAlign w:val="center"/>
          </w:tcPr>
          <w:p>
            <w:pPr>
              <w:bidi w:val="0"/>
              <w:spacing w:line="240" w:lineRule="auto"/>
              <w:ind w:left="0" w:leftChars="0" w:right="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60" w:type="dxa"/>
            <w:vAlign w:val="center"/>
          </w:tcPr>
          <w:p>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专业版病理管理系统</w:t>
            </w:r>
          </w:p>
        </w:tc>
        <w:tc>
          <w:tcPr>
            <w:tcW w:w="585" w:type="dxa"/>
            <w:gridSpan w:val="2"/>
            <w:vAlign w:val="center"/>
          </w:tcPr>
          <w:p>
            <w:pPr>
              <w:keepNext w:val="0"/>
              <w:keepLines w:val="0"/>
              <w:widowControl/>
              <w:suppressLineNumbers w:val="0"/>
              <w:spacing w:line="240" w:lineRule="auto"/>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615" w:type="dxa"/>
            <w:vAlign w:val="center"/>
          </w:tcPr>
          <w:p>
            <w:pPr>
              <w:keepNext w:val="0"/>
              <w:keepLines w:val="0"/>
              <w:widowControl/>
              <w:suppressLineNumbers w:val="0"/>
              <w:spacing w:line="240" w:lineRule="auto"/>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套</w:t>
            </w:r>
          </w:p>
        </w:tc>
        <w:tc>
          <w:tcPr>
            <w:tcW w:w="6504"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一、技术要求</w:t>
            </w:r>
          </w:p>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基本要求</w:t>
            </w:r>
          </w:p>
          <w:p>
            <w:pPr>
              <w:pStyle w:val="76"/>
              <w:numPr>
                <w:ilvl w:val="0"/>
                <w:numId w:val="4"/>
              </w:numPr>
              <w:spacing w:line="240" w:lineRule="auto"/>
              <w:ind w:firstLineChars="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要求产品基于Oracle等大型关系型数据库。</w:t>
            </w:r>
          </w:p>
          <w:p>
            <w:pPr>
              <w:pStyle w:val="76"/>
              <w:numPr>
                <w:ilvl w:val="0"/>
                <w:numId w:val="4"/>
              </w:numPr>
              <w:spacing w:line="240" w:lineRule="auto"/>
              <w:ind w:firstLineChars="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要求产品服务器采用Windows 2008等中英文系统。</w:t>
            </w:r>
          </w:p>
          <w:p>
            <w:pPr>
              <w:pStyle w:val="76"/>
              <w:numPr>
                <w:ilvl w:val="0"/>
                <w:numId w:val="4"/>
              </w:numPr>
              <w:spacing w:line="240" w:lineRule="auto"/>
              <w:ind w:firstLineChars="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系统管理员权限由服务器统一管理，只要拥有权限，可从任意终端登录并管理系统。</w:t>
            </w:r>
          </w:p>
          <w:p>
            <w:pPr>
              <w:pStyle w:val="76"/>
              <w:numPr>
                <w:ilvl w:val="0"/>
                <w:numId w:val="4"/>
              </w:numPr>
              <w:spacing w:line="240" w:lineRule="auto"/>
              <w:ind w:firstLineChars="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要求产品采用单一界面，通过站点和人员授权实现不同功能的权限控制。</w:t>
            </w:r>
          </w:p>
          <w:p>
            <w:pPr>
              <w:pStyle w:val="76"/>
              <w:numPr>
                <w:ilvl w:val="0"/>
                <w:numId w:val="4"/>
              </w:numPr>
              <w:spacing w:line="240" w:lineRule="auto"/>
              <w:ind w:firstLineChars="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要求提供数据备份还原、系统容灾等安全防护手段。</w:t>
            </w:r>
          </w:p>
          <w:p>
            <w:pPr>
              <w:pStyle w:val="76"/>
              <w:numPr>
                <w:ilvl w:val="0"/>
                <w:numId w:val="4"/>
              </w:numPr>
              <w:spacing w:line="240" w:lineRule="auto"/>
              <w:ind w:firstLineChars="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要求根据不同病理检查类型可自定义不同的工具栏、菜单等，最大化实现操作习惯自定义。</w:t>
            </w:r>
          </w:p>
          <w:p>
            <w:pPr>
              <w:pStyle w:val="76"/>
              <w:numPr>
                <w:ilvl w:val="0"/>
                <w:numId w:val="4"/>
              </w:numPr>
              <w:spacing w:line="240" w:lineRule="auto"/>
              <w:ind w:firstLineChars="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要求产品满足单点登录、多向访问、有限操作、保存混迹的要求，实现用户和密码与其他信息系统一致并集中管理，可实现系统级/用户组级/用户级等权限分级管理。</w:t>
            </w:r>
          </w:p>
          <w:p>
            <w:pPr>
              <w:pStyle w:val="76"/>
              <w:numPr>
                <w:ilvl w:val="0"/>
                <w:numId w:val="4"/>
              </w:numPr>
              <w:spacing w:line="240" w:lineRule="auto"/>
              <w:ind w:firstLineChars="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 xml:space="preserve">要求必须支持病理申请单、标本、包埋盒、玻片条码标签的全流程管理。 </w:t>
            </w:r>
          </w:p>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优势条件</w:t>
            </w:r>
          </w:p>
          <w:p>
            <w:pPr>
              <w:pStyle w:val="76"/>
              <w:numPr>
                <w:ilvl w:val="0"/>
                <w:numId w:val="5"/>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要求产品具有独立的申请单，根据不同的病理检查项目提供标准规范的电子申请单，实现病理检查申请单及标本条码化管理。</w:t>
            </w:r>
          </w:p>
          <w:p>
            <w:pPr>
              <w:pStyle w:val="76"/>
              <w:numPr>
                <w:ilvl w:val="0"/>
                <w:numId w:val="5"/>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可实现与临床信息系统的数据共享和流转，直接接收临床系统的病理检查申请，支持病理技师、诊断医师对患者所有医嘱信息、护理信息的实时查阅。报告完成后，临床医生可实时在临床系统里调阅病理检查报告和病理检查进度。</w:t>
            </w:r>
          </w:p>
          <w:p>
            <w:pPr>
              <w:pStyle w:val="76"/>
              <w:numPr>
                <w:ilvl w:val="0"/>
                <w:numId w:val="5"/>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要求可实现与电子病历系统的数据共享，支持病理技师、诊断医师实时查阅患者的所有电子病历、诊断信息、首页信息。</w:t>
            </w:r>
          </w:p>
          <w:p>
            <w:pPr>
              <w:pStyle w:val="76"/>
              <w:numPr>
                <w:ilvl w:val="0"/>
                <w:numId w:val="5"/>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要求可实现与体检信息系统的数据共享，支持体检信息系统自动读取并调阅患者检查报告等信息。</w:t>
            </w:r>
          </w:p>
          <w:p>
            <w:pPr>
              <w:pStyle w:val="76"/>
              <w:numPr>
                <w:ilvl w:val="0"/>
                <w:numId w:val="5"/>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要求可实现病理科费用管理功能，能够查看患者所有临床费用、病理检查费用，快速补费，支持增加蜡块、特检任务自动补费。</w:t>
            </w:r>
          </w:p>
          <w:p>
            <w:pPr>
              <w:pStyle w:val="76"/>
              <w:numPr>
                <w:ilvl w:val="0"/>
                <w:numId w:val="5"/>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要求可实现手术室实时病检进度查看、报告查阅，术中冰冻多次送检自动延迟报告时间。</w:t>
            </w:r>
          </w:p>
          <w:p>
            <w:pPr>
              <w:pStyle w:val="76"/>
              <w:numPr>
                <w:ilvl w:val="0"/>
                <w:numId w:val="5"/>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要求可实现病理质控指标多维度及可视化图像多维度分析，支持导出图像；</w:t>
            </w:r>
          </w:p>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二、功能要求</w:t>
            </w:r>
          </w:p>
          <w:p>
            <w:pPr>
              <w:pStyle w:val="76"/>
              <w:numPr>
                <w:ilvl w:val="0"/>
                <w:numId w:val="0"/>
              </w:numPr>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1、电子病理申请单</w:t>
            </w:r>
          </w:p>
          <w:p>
            <w:pPr>
              <w:pStyle w:val="76"/>
              <w:numPr>
                <w:ilvl w:val="0"/>
                <w:numId w:val="6"/>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要求支持独立的电子病理检查申请单管理界面，根据不同病理检查类型提供不同的申请单格式</w:t>
            </w:r>
          </w:p>
          <w:p>
            <w:pPr>
              <w:pStyle w:val="76"/>
              <w:numPr>
                <w:ilvl w:val="0"/>
                <w:numId w:val="6"/>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★要求支持病理申请单填写完后医嘱自动下达和发生同步完成</w:t>
            </w:r>
          </w:p>
          <w:p>
            <w:pPr>
              <w:pStyle w:val="76"/>
              <w:numPr>
                <w:ilvl w:val="0"/>
                <w:numId w:val="6"/>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★要求支持临床查看病理检查进度、执行人信息</w:t>
            </w:r>
          </w:p>
          <w:p>
            <w:pPr>
              <w:pStyle w:val="76"/>
              <w:numPr>
                <w:ilvl w:val="0"/>
                <w:numId w:val="6"/>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要求电子申请单填写格式与打印格式独立，打印内容只显示已填写的信息</w:t>
            </w:r>
          </w:p>
          <w:p>
            <w:pPr>
              <w:pStyle w:val="76"/>
              <w:numPr>
                <w:ilvl w:val="0"/>
                <w:numId w:val="6"/>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要求支持病理报告审核完成后临床及时查看报告</w:t>
            </w:r>
          </w:p>
          <w:p>
            <w:pPr>
              <w:pStyle w:val="76"/>
              <w:numPr>
                <w:ilvl w:val="0"/>
                <w:numId w:val="6"/>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★要求支持临床端查看病理报告上加上“副本”字样</w:t>
            </w:r>
          </w:p>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2、登记工作站</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要求支持扫描申请单条码或者送检标本袋上条码获取申请信息</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要求支持手工登记送检病例信息，也可从HIS系统中提取病人基本信息或电子申请单信息</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支持申请信息根据检查类型自动生成对应的病理号</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★要求支持获取到“绿色通道”和“传染病”信息</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要求支持查看临床已申请但未登记的病理检查信息</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★要求支持自动对门诊病人收费状态进行判断和提示</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★要求支持自动判断规范化固定中的时间要求是否满足规范化固定要求</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★要求支持可复收、拒收、收回手术室术中送检的组织标本，且不论复收几次，病人冰冻病理号始终唯一</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★要求支持术中冰冻标本登记后可编制常规病理号</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★要求支持查看病理标本检查状态、取材信息.诊断信息.特检信息和报告信息及历次就诊信息（包含：医嘱.病历.检查结果.检查图像和检验结果）</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★要求支持登记时对病理申请单内容、标本和规范化固定情况进行质控评价</w:t>
            </w:r>
          </w:p>
          <w:p>
            <w:pPr>
              <w:pStyle w:val="76"/>
              <w:numPr>
                <w:ilvl w:val="0"/>
                <w:numId w:val="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要求支持打印登记本、申请单和送检回执单</w:t>
            </w:r>
          </w:p>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3、取材工作站</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要求支持病理申请单扫码快速获取病人信息、标本信息</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要求支持通过病理号、门诊号、住院号、姓名等快捷方式提取待取材、补取材、已取材病人信息</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★要求支持自动提示标本的固定时长是否达到取材要求</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★取材时要求可以对规范化固定情况进行再评价</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★要求支持采集大体图像时实现图片与标本一对一关联对应，并可以将本地大体图像导入导出</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★要求支持大体描述时录音、播放录音、导出录音功能</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★要求支持取材前提前打印病人包埋盒或取材时边取边打印包埋盒</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要求支持进行取材明细记录，系统自动计算待包埋数和材块总数。进行“附言”记录，包括“用完”、“脱钙”、“保留”等内容</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★要求支持需进行脱钙的标本脱钙管理，完整的脱钙管理记录</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★要求支持调取病人的临床病历、检查、检验及申请单等信息</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要求支持取材工作量统计、详细的取材底单、取材明细、取材时费用记账明细、废弃物处理记录等单据打印，提供自定义单据功能</w:t>
            </w:r>
          </w:p>
          <w:p>
            <w:pPr>
              <w:pStyle w:val="76"/>
              <w:numPr>
                <w:ilvl w:val="0"/>
                <w:numId w:val="8"/>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要求支持取材交接管理，取材人、记录人双方核对打印取材交接表</w:t>
            </w:r>
          </w:p>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包埋工作站</w:t>
            </w:r>
          </w:p>
          <w:p>
            <w:pPr>
              <w:pStyle w:val="76"/>
              <w:numPr>
                <w:ilvl w:val="0"/>
                <w:numId w:val="9"/>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要求支持系统自动获取所以已取材但未包埋的病例信息，供技师包埋时进行核对</w:t>
            </w:r>
          </w:p>
          <w:p>
            <w:pPr>
              <w:pStyle w:val="76"/>
              <w:numPr>
                <w:ilvl w:val="0"/>
                <w:numId w:val="9"/>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★要求支持包埋盒条码扫描，快速核对完成包埋状态，进行取材、脱水评价</w:t>
            </w:r>
          </w:p>
          <w:p>
            <w:pPr>
              <w:pStyle w:val="76"/>
              <w:numPr>
                <w:ilvl w:val="0"/>
                <w:numId w:val="9"/>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要求支持包埋过程可以记录校对人员、包埋技师及辅助技师信息并统计工作量</w:t>
            </w:r>
          </w:p>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制片工作站</w:t>
            </w:r>
          </w:p>
          <w:p>
            <w:pPr>
              <w:pStyle w:val="76"/>
              <w:numPr>
                <w:ilvl w:val="0"/>
                <w:numId w:val="10"/>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★要求支持不同的切片业务定制工作站，同时提供扫码制片、切片，更细致、精确，操作方便</w:t>
            </w:r>
          </w:p>
          <w:p>
            <w:pPr>
              <w:pStyle w:val="76"/>
              <w:numPr>
                <w:ilvl w:val="0"/>
                <w:numId w:val="10"/>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要求支持特殊染色、免疫组化或有重切、深切要求的特殊制片列表提示</w:t>
            </w:r>
          </w:p>
          <w:p>
            <w:pPr>
              <w:pStyle w:val="76"/>
              <w:numPr>
                <w:ilvl w:val="0"/>
                <w:numId w:val="10"/>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要求支持与玻片打号机接口，并可以根据待切片列表批量打印玻片号，无玻片打号机的情况提供玻片号标签打印的方式</w:t>
            </w:r>
          </w:p>
          <w:p>
            <w:pPr>
              <w:pStyle w:val="76"/>
              <w:numPr>
                <w:ilvl w:val="0"/>
                <w:numId w:val="10"/>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★要求支持病理医生在报告站开出了重切、深切、免疫组化等医嘱，切片站弹窗提醒技术员及时处理</w:t>
            </w:r>
          </w:p>
          <w:p>
            <w:pPr>
              <w:pStyle w:val="76"/>
              <w:numPr>
                <w:ilvl w:val="0"/>
                <w:numId w:val="10"/>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★要求支持通过扫描玻片号快速完成制片记录，统计切片工作量</w:t>
            </w:r>
          </w:p>
          <w:p>
            <w:pPr>
              <w:pStyle w:val="76"/>
              <w:numPr>
                <w:ilvl w:val="0"/>
                <w:numId w:val="10"/>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要求支持打印制片工作表和染色工作表</w:t>
            </w:r>
          </w:p>
          <w:p>
            <w:pPr>
              <w:pStyle w:val="76"/>
              <w:numPr>
                <w:ilvl w:val="0"/>
                <w:numId w:val="10"/>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要求支持全自动免疫组化染色机接口，自动回传结果</w:t>
            </w:r>
          </w:p>
          <w:p>
            <w:pPr>
              <w:pStyle w:val="76"/>
              <w:numPr>
                <w:ilvl w:val="0"/>
                <w:numId w:val="10"/>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要求支持玻片交接管理，玻片交接指定报告医生，并可打印交接清单。若长时间内接收人未作反馈则进行未被接收提醒</w:t>
            </w:r>
          </w:p>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6、报告工作站</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要求支持根据病人检查类型产生对应的组织学报告（常规报告、冰冻报告）、细胞学报告（妇科TCT、非妇科TCT、常规细胞学报告）</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★要求支持调取病人临床病历、检查、检验报告、病理申请单、标本等详细信息</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★镜下采图后，要求支持多张图像自动插入报告内容，插入的图片大小根据图片数量自动调整大小排版</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要求可查询报告状态和打印状态，“已审核”、“报告中”、“已超期”、“已延迟”“已打印”、“未打印”</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★要求支持报告书写超期时有提醒，下达特染、免疫组化、重切、连切等自动产生相应的延迟登记及记录延迟时间，保证科室诊断及时率</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要求支持补充报告书写</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★要求支持报告书写过程完整的记录痕迹，报告修改内容、修改人、修改时间信息追溯</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★要求支持诊断报告敏感字自定义提示，如“癌”、“阳性”等字体变红提醒，可自定义维护</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要求支持远程会诊记录，进行诊断对比</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要求支持常规报告诊断意见与临床符合情况评价并进行质控分析</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要求支持标注阴阳性、肿瘤良恶性情况，便于恶性肿瘤统计</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在审核时要求提示切片评价，评价等级（甲、乙、丙、丁），并记录缺陷内容便于切片优良率质控分析</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要求支持书写常规报告时，如存在冰冻时触发查看冰冻报告任务提醒</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要求支持报告批量审核、批量打印</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要求支持诊断医师CA签名、电子签名</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★要求支持病理报告责任制，提供定向复片、多级复片及复诊医师审核功能</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★要求支持补打已打印过的病理报告时，系统自动在病理报告上加上“副本”字样</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★要求支持危急值管理：如病理诊断与临床诊断不符时，及时反馈通知临床</w:t>
            </w:r>
          </w:p>
          <w:p>
            <w:pPr>
              <w:pStyle w:val="76"/>
              <w:numPr>
                <w:ilvl w:val="0"/>
                <w:numId w:val="11"/>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★要求支持病理科工作量统计报表，包括病理技师工作量统计、取材医生工作量统计、科室送检量统计、技术任务量统计、阳性率统计、病检工作量统计等</w:t>
            </w:r>
          </w:p>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lang w:eastAsia="zh-CN"/>
              </w:rPr>
              <w:t>HPV报告工作站</w:t>
            </w:r>
          </w:p>
          <w:p>
            <w:pPr>
              <w:pStyle w:val="76"/>
              <w:numPr>
                <w:ilvl w:val="0"/>
                <w:numId w:val="12"/>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要求支持通过临床开具病理申请单进行扫码登记</w:t>
            </w:r>
          </w:p>
          <w:p>
            <w:pPr>
              <w:pStyle w:val="76"/>
              <w:numPr>
                <w:ilvl w:val="0"/>
                <w:numId w:val="12"/>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要求支持HPV病理申请单手工录入申请内容</w:t>
            </w:r>
          </w:p>
          <w:p>
            <w:pPr>
              <w:pStyle w:val="76"/>
              <w:numPr>
                <w:ilvl w:val="0"/>
                <w:numId w:val="12"/>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要求支持病理报告可读取HPV检验仪器结果</w:t>
            </w:r>
          </w:p>
          <w:p>
            <w:pPr>
              <w:pStyle w:val="76"/>
              <w:numPr>
                <w:ilvl w:val="0"/>
                <w:numId w:val="12"/>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要求支持病理报告内容自定义修改</w:t>
            </w:r>
          </w:p>
          <w:p>
            <w:pPr>
              <w:pStyle w:val="76"/>
              <w:numPr>
                <w:ilvl w:val="0"/>
                <w:numId w:val="12"/>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要求支持已审核报告的打印且进行取消审核</w:t>
            </w:r>
          </w:p>
          <w:p>
            <w:pPr>
              <w:pStyle w:val="76"/>
              <w:numPr>
                <w:ilvl w:val="0"/>
                <w:numId w:val="12"/>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要求支持打印对已登记的病人信息</w:t>
            </w:r>
          </w:p>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8、抽查质控工作站</w:t>
            </w:r>
          </w:p>
          <w:p>
            <w:pPr>
              <w:pStyle w:val="76"/>
              <w:numPr>
                <w:ilvl w:val="0"/>
                <w:numId w:val="13"/>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★要求支持抽检数据可通过检查类型、报告时间范围、抽查比率等条件生成</w:t>
            </w:r>
          </w:p>
          <w:p>
            <w:pPr>
              <w:pStyle w:val="76"/>
              <w:numPr>
                <w:ilvl w:val="0"/>
                <w:numId w:val="13"/>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★要求支持按照复核医生分别打印抽检明细表</w:t>
            </w:r>
          </w:p>
          <w:p>
            <w:pPr>
              <w:pStyle w:val="76"/>
              <w:numPr>
                <w:ilvl w:val="0"/>
                <w:numId w:val="13"/>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★要求支持不符合报告可事故处理记录及对事故处理进行修改</w:t>
            </w:r>
          </w:p>
          <w:p>
            <w:pPr>
              <w:pStyle w:val="76"/>
              <w:numPr>
                <w:ilvl w:val="0"/>
                <w:numId w:val="13"/>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★要求支持对历史数据过滤查看</w:t>
            </w:r>
          </w:p>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lang w:eastAsia="zh-CN"/>
              </w:rPr>
              <w:t>冰冻报告查询和送检工作站</w:t>
            </w:r>
          </w:p>
          <w:p>
            <w:pPr>
              <w:pStyle w:val="76"/>
              <w:numPr>
                <w:ilvl w:val="0"/>
                <w:numId w:val="14"/>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★要求支持术中冰冻患者区分已出报告和未出报告并可查看病人的病检过程及状态</w:t>
            </w:r>
          </w:p>
          <w:p>
            <w:pPr>
              <w:pStyle w:val="76"/>
              <w:numPr>
                <w:ilvl w:val="0"/>
                <w:numId w:val="14"/>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★要求支持实时查阅已经审核的术中冰冻报告</w:t>
            </w:r>
          </w:p>
          <w:p>
            <w:pPr>
              <w:pStyle w:val="76"/>
              <w:numPr>
                <w:ilvl w:val="0"/>
                <w:numId w:val="14"/>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★要求支持存在再次送检时，可填写标本和手术所见，无需再填写申请单，打印标本带标签</w:t>
            </w:r>
          </w:p>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lang w:eastAsia="zh-CN"/>
              </w:rPr>
              <w:t>费用管理工作站</w:t>
            </w:r>
          </w:p>
          <w:p>
            <w:pPr>
              <w:pStyle w:val="76"/>
              <w:numPr>
                <w:ilvl w:val="0"/>
                <w:numId w:val="15"/>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★要求支持查询病人当次在院的所有检查费用</w:t>
            </w:r>
          </w:p>
          <w:p>
            <w:pPr>
              <w:pStyle w:val="76"/>
              <w:numPr>
                <w:ilvl w:val="0"/>
                <w:numId w:val="15"/>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★要求支持本院在院病人进行补费，在补费时可以查询病人临床下达的病理检查医嘱所绑定的费</w:t>
            </w:r>
          </w:p>
          <w:p>
            <w:pPr>
              <w:pStyle w:val="76"/>
              <w:numPr>
                <w:ilvl w:val="0"/>
                <w:numId w:val="15"/>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★要求支持未执行的费用可进行修改、删除</w:t>
            </w:r>
          </w:p>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11、归档工作站</w:t>
            </w:r>
          </w:p>
          <w:p>
            <w:pPr>
              <w:pStyle w:val="76"/>
              <w:numPr>
                <w:ilvl w:val="0"/>
                <w:numId w:val="16"/>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要求支持底单、蜡块、玻片的分别归档</w:t>
            </w:r>
          </w:p>
          <w:p>
            <w:pPr>
              <w:pStyle w:val="76"/>
              <w:numPr>
                <w:ilvl w:val="0"/>
                <w:numId w:val="16"/>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要求支持在归档时可进行材料遗失标记</w:t>
            </w:r>
          </w:p>
          <w:p>
            <w:pPr>
              <w:pStyle w:val="76"/>
              <w:numPr>
                <w:ilvl w:val="0"/>
                <w:numId w:val="16"/>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要求支持遗失材料可在找回后再归档记录</w:t>
            </w:r>
          </w:p>
          <w:p>
            <w:pPr>
              <w:pStyle w:val="76"/>
              <w:numPr>
                <w:ilvl w:val="0"/>
                <w:numId w:val="16"/>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要求支持归档时可以记录存放位置</w:t>
            </w:r>
          </w:p>
          <w:p>
            <w:pPr>
              <w:pStyle w:val="76"/>
              <w:numPr>
                <w:ilvl w:val="0"/>
                <w:numId w:val="16"/>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要求支持归档时可根据检查类型进行过滤</w:t>
            </w:r>
          </w:p>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12、材料借还工作站</w:t>
            </w:r>
          </w:p>
          <w:p>
            <w:pPr>
              <w:pStyle w:val="76"/>
              <w:numPr>
                <w:ilvl w:val="0"/>
                <w:numId w:val="1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要求支持借阅时完整记录借阅信息，包括借阅人、借阅原因、借阅押金等</w:t>
            </w:r>
          </w:p>
          <w:p>
            <w:pPr>
              <w:pStyle w:val="76"/>
              <w:numPr>
                <w:ilvl w:val="0"/>
                <w:numId w:val="1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★要求支持借阅时可下达白片任务，并可将此白片借阅</w:t>
            </w:r>
          </w:p>
          <w:p>
            <w:pPr>
              <w:pStyle w:val="76"/>
              <w:numPr>
                <w:ilvl w:val="0"/>
                <w:numId w:val="1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要求支持归还材料退病人押金时，病人电子签名，打印借阅凭证，病人可拿借阅凭证归还材料</w:t>
            </w:r>
          </w:p>
          <w:p>
            <w:pPr>
              <w:pStyle w:val="76"/>
              <w:numPr>
                <w:ilvl w:val="0"/>
                <w:numId w:val="17"/>
              </w:numPr>
              <w:spacing w:line="240" w:lineRule="auto"/>
              <w:ind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★要求支持借阅约定时间，超期未归还自动标记遗失，材料被标记遗失后，病人再归还时，可重新归档</w:t>
            </w:r>
          </w:p>
          <w:p>
            <w:pPr>
              <w:pStyle w:val="76"/>
              <w:numPr>
                <w:ilvl w:val="0"/>
                <w:numId w:val="17"/>
              </w:numPr>
              <w:spacing w:line="240" w:lineRule="auto"/>
              <w:ind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highlight w:val="none"/>
                <w:lang w:val="en-US" w:eastAsia="zh-CN"/>
              </w:rPr>
              <w:t>★要求支持录入外院诊断意见，根据外院诊断，可进行危急值登记，同时可评价外院诊断与本院诊断符合情况</w:t>
            </w:r>
          </w:p>
          <w:p>
            <w:pPr>
              <w:pStyle w:val="76"/>
              <w:numPr>
                <w:ilvl w:val="0"/>
                <w:numId w:val="0"/>
              </w:numPr>
              <w:spacing w:line="240" w:lineRule="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13、系统集成要求</w:t>
            </w:r>
          </w:p>
          <w:p>
            <w:pPr>
              <w:pStyle w:val="76"/>
              <w:numPr>
                <w:ilvl w:val="0"/>
                <w:numId w:val="0"/>
              </w:numPr>
              <w:spacing w:line="240" w:lineRule="auto"/>
              <w:ind w:firstLine="422" w:firstLineChars="200"/>
              <w:rPr>
                <w:rFonts w:hint="eastAsia" w:ascii="宋体" w:hAnsi="宋体" w:cs="宋体"/>
                <w:b w:val="0"/>
                <w:bCs w:val="0"/>
                <w:sz w:val="21"/>
                <w:szCs w:val="21"/>
                <w:highlight w:val="none"/>
                <w:lang w:val="en-US" w:eastAsia="zh-CN"/>
              </w:rPr>
            </w:pPr>
            <w:r>
              <w:rPr>
                <w:rFonts w:hint="eastAsia" w:ascii="宋体" w:hAnsi="宋体"/>
                <w:b/>
                <w:kern w:val="0"/>
                <w:sz w:val="21"/>
                <w:szCs w:val="21"/>
                <w:highlight w:val="none"/>
              </w:rPr>
              <w:t>★</w:t>
            </w:r>
            <w:r>
              <w:rPr>
                <w:rFonts w:hint="eastAsia" w:ascii="宋体" w:hAnsi="宋体" w:cs="宋体"/>
                <w:b/>
                <w:bCs/>
                <w:sz w:val="21"/>
                <w:szCs w:val="21"/>
                <w:highlight w:val="none"/>
                <w:lang w:eastAsia="zh-CN"/>
              </w:rPr>
              <w:t>供应商</w:t>
            </w:r>
            <w:r>
              <w:rPr>
                <w:rFonts w:hint="eastAsia" w:ascii="宋体" w:hAnsi="宋体" w:cs="宋体"/>
                <w:b/>
                <w:bCs/>
                <w:sz w:val="21"/>
                <w:szCs w:val="21"/>
                <w:highlight w:val="none"/>
              </w:rPr>
              <w:t>必须充分考虑</w:t>
            </w:r>
            <w:r>
              <w:rPr>
                <w:rFonts w:hint="eastAsia" w:ascii="宋体" w:hAnsi="宋体" w:cs="宋体"/>
                <w:b/>
                <w:bCs/>
                <w:sz w:val="21"/>
                <w:szCs w:val="21"/>
                <w:highlight w:val="none"/>
                <w:lang w:eastAsia="zh-CN"/>
              </w:rPr>
              <w:t>所投产品</w:t>
            </w:r>
            <w:r>
              <w:rPr>
                <w:rFonts w:hint="eastAsia" w:ascii="宋体" w:hAnsi="宋体" w:cs="宋体"/>
                <w:b/>
                <w:bCs/>
                <w:sz w:val="21"/>
                <w:szCs w:val="21"/>
                <w:highlight w:val="none"/>
              </w:rPr>
              <w:t>与医院现有HIS系统的关系，要求</w:t>
            </w:r>
            <w:r>
              <w:rPr>
                <w:rFonts w:hint="eastAsia" w:ascii="宋体" w:hAnsi="宋体" w:cs="宋体"/>
                <w:b/>
                <w:bCs/>
                <w:sz w:val="21"/>
                <w:szCs w:val="21"/>
                <w:highlight w:val="none"/>
                <w:lang w:eastAsia="zh-CN"/>
              </w:rPr>
              <w:t>所投产品</w:t>
            </w:r>
            <w:r>
              <w:rPr>
                <w:rFonts w:hint="eastAsia" w:ascii="宋体" w:hAnsi="宋体" w:cs="宋体"/>
                <w:b/>
                <w:bCs/>
                <w:sz w:val="21"/>
                <w:szCs w:val="21"/>
                <w:highlight w:val="none"/>
              </w:rPr>
              <w:t>能与医院现有HIS系统实现无缝连接；要求在</w:t>
            </w:r>
            <w:r>
              <w:rPr>
                <w:rFonts w:hint="eastAsia" w:ascii="宋体" w:hAnsi="宋体" w:cs="宋体"/>
                <w:b/>
                <w:bCs/>
                <w:sz w:val="21"/>
                <w:szCs w:val="21"/>
                <w:highlight w:val="none"/>
                <w:lang w:eastAsia="zh-CN"/>
              </w:rPr>
              <w:t>响应</w:t>
            </w:r>
            <w:r>
              <w:rPr>
                <w:rFonts w:hint="eastAsia" w:ascii="宋体" w:hAnsi="宋体" w:cs="宋体"/>
                <w:b/>
                <w:bCs/>
                <w:sz w:val="21"/>
                <w:szCs w:val="21"/>
                <w:highlight w:val="none"/>
              </w:rPr>
              <w:t>文件中提供医院现有</w:t>
            </w:r>
            <w:r>
              <w:rPr>
                <w:rFonts w:ascii="宋体" w:hAnsi="宋体" w:cs="宋体"/>
                <w:b/>
                <w:bCs/>
                <w:sz w:val="21"/>
                <w:szCs w:val="21"/>
                <w:highlight w:val="none"/>
              </w:rPr>
              <w:t>HIS</w:t>
            </w:r>
            <w:r>
              <w:rPr>
                <w:rFonts w:hint="eastAsia" w:ascii="宋体" w:hAnsi="宋体" w:cs="宋体"/>
                <w:b/>
                <w:bCs/>
                <w:sz w:val="21"/>
                <w:szCs w:val="21"/>
                <w:highlight w:val="none"/>
              </w:rPr>
              <w:t>系统生产商或其本地分公司（医院现有HIS系统为“中联医院信息系统”）对本次</w:t>
            </w:r>
            <w:r>
              <w:rPr>
                <w:rFonts w:hint="eastAsia" w:ascii="宋体" w:hAnsi="宋体" w:cs="宋体"/>
                <w:b/>
                <w:bCs/>
                <w:sz w:val="21"/>
                <w:szCs w:val="21"/>
                <w:highlight w:val="none"/>
                <w:lang w:eastAsia="zh-CN"/>
              </w:rPr>
              <w:t>所投产品</w:t>
            </w:r>
            <w:r>
              <w:rPr>
                <w:rFonts w:hint="eastAsia" w:ascii="宋体" w:hAnsi="宋体" w:cs="宋体"/>
                <w:b/>
                <w:bCs/>
                <w:sz w:val="21"/>
                <w:szCs w:val="21"/>
                <w:highlight w:val="none"/>
              </w:rPr>
              <w:t>能与现有HIS系统实现数据无缝连接的说明文件复印件（原件备查）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8" w:type="dxa"/>
            <w:vAlign w:val="center"/>
          </w:tcPr>
          <w:p>
            <w:pPr>
              <w:bidi w:val="0"/>
              <w:spacing w:line="240" w:lineRule="auto"/>
              <w:ind w:left="0" w:leftChars="0" w:right="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0" w:type="dxa"/>
            <w:vAlign w:val="center"/>
          </w:tcPr>
          <w:p>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color w:val="000000"/>
                <w:sz w:val="21"/>
                <w:szCs w:val="21"/>
                <w:highlight w:val="none"/>
                <w:u w:val="none"/>
              </w:rPr>
              <w:t>临床决策支持知识库</w:t>
            </w:r>
          </w:p>
        </w:tc>
        <w:tc>
          <w:tcPr>
            <w:tcW w:w="585" w:type="dxa"/>
            <w:gridSpan w:val="2"/>
            <w:vAlign w:val="center"/>
          </w:tcPr>
          <w:p>
            <w:pPr>
              <w:keepNext w:val="0"/>
              <w:keepLines w:val="0"/>
              <w:widowControl/>
              <w:suppressLineNumbers w:val="0"/>
              <w:spacing w:line="240" w:lineRule="auto"/>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615" w:type="dxa"/>
            <w:vAlign w:val="center"/>
          </w:tcPr>
          <w:p>
            <w:pPr>
              <w:keepNext w:val="0"/>
              <w:keepLines w:val="0"/>
              <w:widowControl/>
              <w:suppressLineNumbers w:val="0"/>
              <w:spacing w:line="240" w:lineRule="auto"/>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套</w:t>
            </w:r>
          </w:p>
        </w:tc>
        <w:tc>
          <w:tcPr>
            <w:tcW w:w="65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要求系统能对临床医生起到医疗决策的辅助支持，有助于提高医疗质量。帮助医院进行医疗行为的标准化、规范化管理。具体功能要求如下：</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要求系统具备独立的临床医学知识库功能，集成一系列的临床医师常用的功能，如知识检索、医学工具、智能推导等功能。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u w:val="single"/>
                <w:lang w:eastAsia="zh-CN"/>
              </w:rPr>
              <w:t>对应如下电子病历等级评审项目：</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703"/>
              <w:gridCol w:w="1132"/>
              <w:gridCol w:w="703"/>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项目代码</w:t>
                  </w:r>
                </w:p>
              </w:tc>
              <w:tc>
                <w:tcPr>
                  <w:tcW w:w="597" w:type="pct"/>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工作角色</w:t>
                  </w:r>
                </w:p>
              </w:tc>
              <w:tc>
                <w:tcPr>
                  <w:tcW w:w="939" w:type="pct"/>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业务项目</w:t>
                  </w:r>
                </w:p>
              </w:tc>
              <w:tc>
                <w:tcPr>
                  <w:tcW w:w="597" w:type="pct"/>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评价类别</w:t>
                  </w:r>
                </w:p>
              </w:tc>
              <w:tc>
                <w:tcPr>
                  <w:tcW w:w="2270" w:type="pct"/>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主要评价内容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10.03.3</w:t>
                  </w:r>
                </w:p>
              </w:tc>
              <w:tc>
                <w:tcPr>
                  <w:tcW w:w="597"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信息利用</w:t>
                  </w:r>
                </w:p>
              </w:tc>
              <w:tc>
                <w:tcPr>
                  <w:tcW w:w="939"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知识获取及管理</w:t>
                  </w:r>
                </w:p>
              </w:tc>
              <w:tc>
                <w:tcPr>
                  <w:tcW w:w="597"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选择</w:t>
                  </w:r>
                </w:p>
              </w:tc>
              <w:tc>
                <w:tcPr>
                  <w:tcW w:w="2270"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药品、检查、检验项目字典中具有相关内容作为知识库，如药品字典中的剂型、剂量、给药途径，检查字典中的适应症、检查准备要求；检验字典中的适应症、标本要求等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10.03.4</w:t>
                  </w:r>
                </w:p>
              </w:tc>
              <w:tc>
                <w:tcPr>
                  <w:tcW w:w="597"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信息利用</w:t>
                  </w:r>
                </w:p>
              </w:tc>
              <w:tc>
                <w:tcPr>
                  <w:tcW w:w="939"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知识获取及管理</w:t>
                  </w:r>
                </w:p>
              </w:tc>
              <w:tc>
                <w:tcPr>
                  <w:tcW w:w="597"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选择</w:t>
                  </w:r>
                </w:p>
              </w:tc>
              <w:tc>
                <w:tcPr>
                  <w:tcW w:w="2270"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1</w:t>
                  </w:r>
                  <w:r>
                    <w:rPr>
                      <w:rFonts w:hint="eastAsia" w:ascii="DengXian" w:hAnsi="DengXian" w:eastAsia="DengXian"/>
                      <w:color w:val="000000"/>
                      <w:kern w:val="2"/>
                      <w:sz w:val="21"/>
                      <w:szCs w:val="21"/>
                    </w:rPr>
                    <w:t>）专项知识库的内容可供全院使用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10.03.4</w:t>
                  </w:r>
                </w:p>
              </w:tc>
              <w:tc>
                <w:tcPr>
                  <w:tcW w:w="597"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信息利用</w:t>
                  </w:r>
                </w:p>
              </w:tc>
              <w:tc>
                <w:tcPr>
                  <w:tcW w:w="939"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知识获取及管理</w:t>
                  </w:r>
                </w:p>
              </w:tc>
              <w:tc>
                <w:tcPr>
                  <w:tcW w:w="597" w:type="pct"/>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选择</w:t>
                  </w:r>
                </w:p>
              </w:tc>
              <w:tc>
                <w:tcPr>
                  <w:tcW w:w="2270"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2</w:t>
                  </w:r>
                  <w:r>
                    <w:rPr>
                      <w:rFonts w:hint="eastAsia" w:ascii="DengXian" w:hAnsi="DengXian" w:eastAsia="DengXian"/>
                      <w:color w:val="000000"/>
                      <w:kern w:val="2"/>
                      <w:sz w:val="21"/>
                      <w:szCs w:val="21"/>
                    </w:rPr>
                    <w:t>）与诊疗项目相关联的文档类内容可作为知识库管理，包括药品说明书、检查检验说明等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10.03.4</w:t>
                  </w:r>
                </w:p>
              </w:tc>
              <w:tc>
                <w:tcPr>
                  <w:tcW w:w="597"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信息利用</w:t>
                  </w:r>
                </w:p>
              </w:tc>
              <w:tc>
                <w:tcPr>
                  <w:tcW w:w="939"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知识获取及管理</w:t>
                  </w:r>
                </w:p>
              </w:tc>
              <w:tc>
                <w:tcPr>
                  <w:tcW w:w="597" w:type="pct"/>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选择</w:t>
                  </w:r>
                </w:p>
              </w:tc>
              <w:tc>
                <w:tcPr>
                  <w:tcW w:w="2270" w:type="pct"/>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3</w:t>
                  </w:r>
                  <w:r>
                    <w:rPr>
                      <w:rFonts w:hint="eastAsia" w:ascii="DengXian" w:hAnsi="DengXian" w:eastAsia="DengXian"/>
                      <w:color w:val="000000"/>
                      <w:kern w:val="2"/>
                      <w:sz w:val="21"/>
                      <w:szCs w:val="21"/>
                    </w:rPr>
                    <w:t>）有供全院查询的电子化的政策法规文档</w:t>
                  </w:r>
                </w:p>
              </w:tc>
            </w:tr>
          </w:tbl>
          <w:p>
            <w:pPr>
              <w:pStyle w:val="52"/>
              <w:spacing w:line="240" w:lineRule="auto"/>
              <w:jc w:val="both"/>
              <w:rPr>
                <w:rFonts w:hint="eastAsia"/>
                <w:lang w:val="en-US" w:eastAsia="zh-CN"/>
              </w:rPr>
            </w:pP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要求能通过关键字对知识库中的知识进行检索；</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要求可以通过关键字对知识库中的知识内容进行检索，还可以按照临床知识的各种维度进行深入的内容挖掘；</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要求能以症状学为基础的疾病推导，按照疾病演变过程中的主要症状、伴随症状、疾病分类等维度进行疾病推导；</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要求能根据临床表现中的症状、体征等关键词进行疾病推导，对疾病进行定位；</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要求系统能按国际标准的ICD10分类结构进行展示；</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要求至少包含临床上常用的200种医学工具；</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要求能查看知识库中包含的PDF知识内容，还可以对本地的文件进行整合管理；</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要求提供医师辅助功能，在医师选择诊断时，给出诊断相关的诊疗指南知识提示；</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要求在医师开具药品项目时，给出药品知识提示；</w:t>
            </w:r>
          </w:p>
          <w:p>
            <w:pPr>
              <w:pStyle w:val="69"/>
              <w:numPr>
                <w:ilvl w:val="0"/>
                <w:numId w:val="0"/>
              </w:numPr>
              <w:spacing w:line="240" w:lineRule="auto"/>
              <w:ind w:leftChars="0" w:firstLine="420" w:firstLineChars="200"/>
              <w:rPr>
                <w:rFonts w:ascii="宋体" w:hAnsi="宋体"/>
                <w:b/>
                <w:bCs/>
                <w:szCs w:val="24"/>
              </w:rPr>
            </w:pPr>
            <w:r>
              <w:rPr>
                <w:rFonts w:hint="eastAsia" w:ascii="宋体" w:hAnsi="宋体" w:eastAsia="宋体" w:cs="宋体"/>
                <w:kern w:val="2"/>
                <w:sz w:val="21"/>
                <w:szCs w:val="21"/>
                <w:u w:val="single"/>
                <w:lang w:val="en-US" w:eastAsia="zh-CN" w:bidi="ar-SA"/>
              </w:rPr>
              <w:t>对应</w:t>
            </w:r>
            <w:r>
              <w:rPr>
                <w:rFonts w:hint="eastAsia" w:ascii="宋体" w:hAnsi="宋体" w:cs="宋体"/>
                <w:kern w:val="2"/>
                <w:sz w:val="21"/>
                <w:szCs w:val="21"/>
                <w:u w:val="single"/>
                <w:lang w:val="en-US" w:eastAsia="zh-CN" w:bidi="ar-SA"/>
              </w:rPr>
              <w:t>如下</w:t>
            </w:r>
            <w:r>
              <w:rPr>
                <w:rFonts w:hint="eastAsia" w:ascii="宋体" w:hAnsi="宋体" w:eastAsia="宋体" w:cs="宋体"/>
                <w:kern w:val="2"/>
                <w:sz w:val="21"/>
                <w:szCs w:val="21"/>
                <w:u w:val="single"/>
                <w:lang w:val="en-US" w:eastAsia="zh-CN" w:bidi="ar-SA"/>
              </w:rPr>
              <w:t>电子病历等级评审项目</w:t>
            </w:r>
            <w:r>
              <w:rPr>
                <w:rFonts w:hint="eastAsia" w:ascii="宋体" w:hAnsi="宋体" w:cs="宋体"/>
                <w:kern w:val="2"/>
                <w:sz w:val="21"/>
                <w:szCs w:val="21"/>
                <w:u w:val="single"/>
                <w:lang w:val="en-US" w:eastAsia="zh-CN" w:bidi="ar-SA"/>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778"/>
              <w:gridCol w:w="1130"/>
              <w:gridCol w:w="778"/>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项目代码</w:t>
                  </w:r>
                </w:p>
              </w:tc>
              <w:tc>
                <w:tcPr>
                  <w:tcW w:w="992"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工作角色</w:t>
                  </w:r>
                </w:p>
              </w:tc>
              <w:tc>
                <w:tcPr>
                  <w:tcW w:w="1559"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业务项目</w:t>
                  </w:r>
                </w:p>
              </w:tc>
              <w:tc>
                <w:tcPr>
                  <w:tcW w:w="992"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评价类别</w:t>
                  </w:r>
                </w:p>
              </w:tc>
              <w:tc>
                <w:tcPr>
                  <w:tcW w:w="3765"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主要评价内容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01.01.3</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病房医师</w:t>
                  </w:r>
                </w:p>
              </w:tc>
              <w:tc>
                <w:tcPr>
                  <w:tcW w:w="1559"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病房医嘱处理</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基本</w:t>
                  </w:r>
                </w:p>
              </w:tc>
              <w:tc>
                <w:tcPr>
                  <w:tcW w:w="3765"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4</w:t>
                  </w:r>
                  <w:r>
                    <w:rPr>
                      <w:rFonts w:hint="eastAsia" w:ascii="DengXian" w:hAnsi="DengXian" w:eastAsia="DengXian"/>
                      <w:color w:val="000000"/>
                      <w:kern w:val="2"/>
                      <w:sz w:val="21"/>
                      <w:szCs w:val="21"/>
                    </w:rPr>
                    <w:t>）医嘱下达时能获得药品剂型、剂量，或检查检验项目中至少</w:t>
                  </w:r>
                  <w:r>
                    <w:rPr>
                      <w:rFonts w:eastAsia="DengXian"/>
                      <w:color w:val="000000"/>
                      <w:kern w:val="2"/>
                      <w:sz w:val="21"/>
                      <w:szCs w:val="21"/>
                    </w:rPr>
                    <w:t>1</w:t>
                  </w:r>
                  <w:r>
                    <w:rPr>
                      <w:rFonts w:hint="eastAsia" w:ascii="DengXian" w:hAnsi="DengXian" w:eastAsia="DengXian"/>
                      <w:color w:val="000000"/>
                      <w:kern w:val="2"/>
                      <w:sz w:val="21"/>
                      <w:szCs w:val="21"/>
                    </w:rPr>
                    <w:t>类依据字典规则进行的核查与提示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01.01.4</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病房医师</w:t>
                  </w:r>
                </w:p>
              </w:tc>
              <w:tc>
                <w:tcPr>
                  <w:tcW w:w="1559"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病房医嘱处理</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基本</w:t>
                  </w:r>
                </w:p>
              </w:tc>
              <w:tc>
                <w:tcPr>
                  <w:tcW w:w="3765"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2</w:t>
                  </w:r>
                  <w:r>
                    <w:rPr>
                      <w:rFonts w:hint="eastAsia" w:ascii="DengXian" w:hAnsi="DengXian" w:eastAsia="DengXian"/>
                      <w:color w:val="000000"/>
                      <w:kern w:val="2"/>
                      <w:sz w:val="21"/>
                      <w:szCs w:val="21"/>
                    </w:rPr>
                    <w:t>）医嘱下达时能关联项目获得药物知识，如提供药物说明查询功能等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03.01.4</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门诊医师</w:t>
                  </w:r>
                </w:p>
              </w:tc>
              <w:tc>
                <w:tcPr>
                  <w:tcW w:w="1559"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处方书写</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基本</w:t>
                  </w:r>
                </w:p>
              </w:tc>
              <w:tc>
                <w:tcPr>
                  <w:tcW w:w="3765"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2</w:t>
                  </w:r>
                  <w:r>
                    <w:rPr>
                      <w:rFonts w:hint="eastAsia" w:ascii="DengXian" w:hAnsi="DengXian" w:eastAsia="DengXian"/>
                      <w:color w:val="000000"/>
                      <w:kern w:val="2"/>
                      <w:sz w:val="21"/>
                      <w:szCs w:val="21"/>
                    </w:rPr>
                    <w:t>）下达处方时能关联项目获得药物知识，如提供药物说明查询功能等</w:t>
                  </w:r>
                </w:p>
              </w:tc>
            </w:tr>
          </w:tbl>
          <w:p>
            <w:pPr>
              <w:pStyle w:val="52"/>
              <w:spacing w:line="240" w:lineRule="auto"/>
              <w:jc w:val="both"/>
              <w:rPr>
                <w:rFonts w:hint="default"/>
                <w:lang w:val="en-US" w:eastAsia="zh-CN"/>
              </w:rPr>
            </w:pP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要求在医师开具检查项目时，给出检查项目知识提示；</w:t>
            </w:r>
          </w:p>
          <w:p>
            <w:pPr>
              <w:pStyle w:val="69"/>
              <w:numPr>
                <w:ilvl w:val="0"/>
                <w:numId w:val="0"/>
              </w:numPr>
              <w:spacing w:line="240" w:lineRule="auto"/>
              <w:ind w:leftChars="0" w:firstLine="420" w:firstLineChars="200"/>
              <w:rPr>
                <w:rFonts w:ascii="宋体" w:hAnsi="宋体"/>
                <w:b/>
                <w:bCs/>
                <w:szCs w:val="24"/>
              </w:rPr>
            </w:pPr>
            <w:r>
              <w:rPr>
                <w:rFonts w:hint="eastAsia" w:ascii="宋体" w:hAnsi="宋体" w:eastAsia="宋体" w:cs="宋体"/>
                <w:kern w:val="2"/>
                <w:sz w:val="21"/>
                <w:szCs w:val="21"/>
                <w:u w:val="single"/>
                <w:lang w:val="en-US" w:eastAsia="zh-CN" w:bidi="ar-SA"/>
              </w:rPr>
              <w:t>对应</w:t>
            </w:r>
            <w:r>
              <w:rPr>
                <w:rFonts w:hint="eastAsia" w:ascii="宋体" w:hAnsi="宋体" w:cs="宋体"/>
                <w:kern w:val="2"/>
                <w:sz w:val="21"/>
                <w:szCs w:val="21"/>
                <w:u w:val="single"/>
                <w:lang w:val="en-US" w:eastAsia="zh-CN" w:bidi="ar-SA"/>
              </w:rPr>
              <w:t>如下</w:t>
            </w:r>
            <w:r>
              <w:rPr>
                <w:rFonts w:hint="eastAsia" w:ascii="宋体" w:hAnsi="宋体" w:eastAsia="宋体" w:cs="宋体"/>
                <w:kern w:val="2"/>
                <w:sz w:val="21"/>
                <w:szCs w:val="21"/>
                <w:u w:val="single"/>
                <w:lang w:val="en-US" w:eastAsia="zh-CN" w:bidi="ar-SA"/>
              </w:rPr>
              <w:t>电子病历等级评审项目</w:t>
            </w:r>
            <w:r>
              <w:rPr>
                <w:rFonts w:hint="eastAsia" w:ascii="宋体" w:hAnsi="宋体" w:cs="宋体"/>
                <w:kern w:val="2"/>
                <w:sz w:val="21"/>
                <w:szCs w:val="21"/>
                <w:u w:val="single"/>
                <w:lang w:val="en-US" w:eastAsia="zh-CN" w:bidi="ar-SA"/>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778"/>
              <w:gridCol w:w="1130"/>
              <w:gridCol w:w="778"/>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项目代码</w:t>
                  </w:r>
                </w:p>
              </w:tc>
              <w:tc>
                <w:tcPr>
                  <w:tcW w:w="992"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工作角色</w:t>
                  </w:r>
                </w:p>
              </w:tc>
              <w:tc>
                <w:tcPr>
                  <w:tcW w:w="1559"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业务项目</w:t>
                  </w:r>
                </w:p>
              </w:tc>
              <w:tc>
                <w:tcPr>
                  <w:tcW w:w="992"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评价类别</w:t>
                  </w:r>
                </w:p>
              </w:tc>
              <w:tc>
                <w:tcPr>
                  <w:tcW w:w="3765"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主要评价内容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01.01.3</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病房医师</w:t>
                  </w:r>
                </w:p>
              </w:tc>
              <w:tc>
                <w:tcPr>
                  <w:tcW w:w="1559"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病房医嘱处理</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基本</w:t>
                  </w:r>
                </w:p>
              </w:tc>
              <w:tc>
                <w:tcPr>
                  <w:tcW w:w="3765"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4</w:t>
                  </w:r>
                  <w:r>
                    <w:rPr>
                      <w:rFonts w:hint="eastAsia" w:ascii="DengXian" w:hAnsi="DengXian" w:eastAsia="DengXian"/>
                      <w:color w:val="000000"/>
                      <w:kern w:val="2"/>
                      <w:sz w:val="21"/>
                      <w:szCs w:val="21"/>
                    </w:rPr>
                    <w:t>）医嘱下达时能获得药品剂型、剂量，或检查检验项目中至少</w:t>
                  </w:r>
                  <w:r>
                    <w:rPr>
                      <w:rFonts w:eastAsia="DengXian"/>
                      <w:color w:val="000000"/>
                      <w:kern w:val="2"/>
                      <w:sz w:val="21"/>
                      <w:szCs w:val="21"/>
                    </w:rPr>
                    <w:t>1</w:t>
                  </w:r>
                  <w:r>
                    <w:rPr>
                      <w:rFonts w:hint="eastAsia" w:ascii="DengXian" w:hAnsi="DengXian" w:eastAsia="DengXian"/>
                      <w:color w:val="000000"/>
                      <w:kern w:val="2"/>
                      <w:sz w:val="21"/>
                      <w:szCs w:val="21"/>
                    </w:rPr>
                    <w:t>类依据字典规则进行的核查与提示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01.04.4</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病房医师</w:t>
                  </w:r>
                </w:p>
              </w:tc>
              <w:tc>
                <w:tcPr>
                  <w:tcW w:w="1559"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病房检查申请</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选择</w:t>
                  </w:r>
                </w:p>
              </w:tc>
              <w:tc>
                <w:tcPr>
                  <w:tcW w:w="3765"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1</w:t>
                  </w:r>
                  <w:r>
                    <w:rPr>
                      <w:rFonts w:hint="eastAsia" w:ascii="DengXian" w:hAnsi="DengXian" w:eastAsia="DengXian"/>
                      <w:color w:val="000000"/>
                      <w:kern w:val="2"/>
                      <w:sz w:val="21"/>
                      <w:szCs w:val="21"/>
                    </w:rPr>
                    <w:t>）下达申请时可获得检查项目信息，如适应症、作用、注意事项等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01.05.4</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病房医师</w:t>
                  </w:r>
                </w:p>
              </w:tc>
              <w:tc>
                <w:tcPr>
                  <w:tcW w:w="1559"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病房检查报告</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基本</w:t>
                  </w:r>
                </w:p>
              </w:tc>
              <w:tc>
                <w:tcPr>
                  <w:tcW w:w="3765"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2</w:t>
                  </w:r>
                  <w:r>
                    <w:rPr>
                      <w:rFonts w:hint="eastAsia" w:ascii="DengXian" w:hAnsi="DengXian" w:eastAsia="DengXian"/>
                      <w:color w:val="000000"/>
                      <w:kern w:val="2"/>
                      <w:sz w:val="21"/>
                      <w:szCs w:val="21"/>
                    </w:rPr>
                    <w:t>）查看检查报告时，能够按照项目查看说明等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eastAsia="DengXian"/>
                      <w:color w:val="000000"/>
                      <w:kern w:val="2"/>
                      <w:sz w:val="21"/>
                      <w:szCs w:val="21"/>
                    </w:rPr>
                  </w:pPr>
                  <w:r>
                    <w:rPr>
                      <w:rFonts w:eastAsia="DengXian"/>
                      <w:color w:val="000000"/>
                      <w:kern w:val="2"/>
                      <w:sz w:val="21"/>
                      <w:szCs w:val="21"/>
                    </w:rPr>
                    <w:t>03.04.4</w:t>
                  </w:r>
                </w:p>
              </w:tc>
              <w:tc>
                <w:tcPr>
                  <w:tcW w:w="992"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门诊医师</w:t>
                  </w:r>
                </w:p>
              </w:tc>
              <w:tc>
                <w:tcPr>
                  <w:tcW w:w="1559"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门诊检查申请</w:t>
                  </w:r>
                </w:p>
              </w:tc>
              <w:tc>
                <w:tcPr>
                  <w:tcW w:w="992"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选择</w:t>
                  </w:r>
                </w:p>
              </w:tc>
              <w:tc>
                <w:tcPr>
                  <w:tcW w:w="3765"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1</w:t>
                  </w:r>
                  <w:r>
                    <w:rPr>
                      <w:rFonts w:hint="eastAsia" w:ascii="DengXian" w:hAnsi="DengXian" w:eastAsia="DengXian"/>
                      <w:color w:val="000000"/>
                      <w:kern w:val="2"/>
                      <w:sz w:val="21"/>
                      <w:szCs w:val="21"/>
                    </w:rPr>
                    <w:t>）下达申请时能获得其他部门的病情摘要、诊断，具有检查适应症、作用、注意事项查询功能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eastAsia="DengXian"/>
                      <w:color w:val="000000"/>
                      <w:kern w:val="2"/>
                      <w:sz w:val="21"/>
                      <w:szCs w:val="21"/>
                    </w:rPr>
                  </w:pPr>
                  <w:r>
                    <w:rPr>
                      <w:rFonts w:eastAsia="DengXian"/>
                      <w:color w:val="000000"/>
                      <w:kern w:val="2"/>
                      <w:sz w:val="21"/>
                      <w:szCs w:val="21"/>
                    </w:rPr>
                    <w:t>03.05.4</w:t>
                  </w:r>
                </w:p>
              </w:tc>
              <w:tc>
                <w:tcPr>
                  <w:tcW w:w="992"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门诊医师</w:t>
                  </w:r>
                </w:p>
              </w:tc>
              <w:tc>
                <w:tcPr>
                  <w:tcW w:w="1559"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门诊检查报告</w:t>
                  </w:r>
                </w:p>
              </w:tc>
              <w:tc>
                <w:tcPr>
                  <w:tcW w:w="992"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基本</w:t>
                  </w:r>
                </w:p>
              </w:tc>
              <w:tc>
                <w:tcPr>
                  <w:tcW w:w="3765"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2</w:t>
                  </w:r>
                  <w:r>
                    <w:rPr>
                      <w:rFonts w:hint="eastAsia" w:ascii="DengXian" w:hAnsi="DengXian" w:eastAsia="DengXian"/>
                      <w:color w:val="000000"/>
                      <w:kern w:val="2"/>
                      <w:sz w:val="21"/>
                      <w:szCs w:val="21"/>
                    </w:rPr>
                    <w:t>）查看检查报告时可以按照项目查询结果说明信息</w:t>
                  </w:r>
                </w:p>
              </w:tc>
            </w:tr>
          </w:tbl>
          <w:p>
            <w:pPr>
              <w:pStyle w:val="52"/>
              <w:spacing w:line="240" w:lineRule="auto"/>
              <w:jc w:val="both"/>
              <w:rPr>
                <w:rFonts w:hint="default"/>
                <w:lang w:val="en-US" w:eastAsia="zh-CN"/>
              </w:rPr>
            </w:pP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要求在医师开具检验项目时，给出检验项目及相关指标项目知识提示；</w:t>
            </w:r>
          </w:p>
          <w:p>
            <w:pPr>
              <w:pStyle w:val="69"/>
              <w:numPr>
                <w:ilvl w:val="0"/>
                <w:numId w:val="0"/>
              </w:numPr>
              <w:spacing w:line="240" w:lineRule="auto"/>
              <w:ind w:leftChars="0" w:firstLine="420" w:firstLineChars="200"/>
              <w:rPr>
                <w:rFonts w:ascii="宋体" w:hAnsi="宋体"/>
                <w:b/>
                <w:bCs/>
                <w:szCs w:val="24"/>
              </w:rPr>
            </w:pPr>
            <w:r>
              <w:rPr>
                <w:rFonts w:hint="eastAsia" w:ascii="宋体" w:hAnsi="宋体" w:eastAsia="宋体" w:cs="宋体"/>
                <w:kern w:val="2"/>
                <w:sz w:val="21"/>
                <w:szCs w:val="21"/>
                <w:u w:val="single"/>
                <w:lang w:val="en-US" w:eastAsia="zh-CN" w:bidi="ar-SA"/>
              </w:rPr>
              <w:t>对应电子病历等级评审项目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778"/>
              <w:gridCol w:w="1130"/>
              <w:gridCol w:w="778"/>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项目代码</w:t>
                  </w:r>
                </w:p>
              </w:tc>
              <w:tc>
                <w:tcPr>
                  <w:tcW w:w="992"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工作角色</w:t>
                  </w:r>
                </w:p>
              </w:tc>
              <w:tc>
                <w:tcPr>
                  <w:tcW w:w="1559"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业务项目</w:t>
                  </w:r>
                </w:p>
              </w:tc>
              <w:tc>
                <w:tcPr>
                  <w:tcW w:w="992"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评价类别</w:t>
                  </w:r>
                </w:p>
              </w:tc>
              <w:tc>
                <w:tcPr>
                  <w:tcW w:w="3765" w:type="dxa"/>
                  <w:shd w:val="clear" w:color="auto" w:fill="D9D9D9"/>
                  <w:noWrap w:val="0"/>
                  <w:vAlign w:val="top"/>
                </w:tcPr>
                <w:p>
                  <w:pPr>
                    <w:spacing w:line="240" w:lineRule="auto"/>
                    <w:rPr>
                      <w:rFonts w:ascii="宋体" w:hAnsi="宋体"/>
                      <w:kern w:val="2"/>
                      <w:sz w:val="21"/>
                      <w:szCs w:val="21"/>
                    </w:rPr>
                  </w:pPr>
                  <w:r>
                    <w:rPr>
                      <w:rFonts w:hint="eastAsia" w:ascii="宋体" w:hAnsi="宋体"/>
                      <w:kern w:val="2"/>
                      <w:sz w:val="21"/>
                      <w:szCs w:val="21"/>
                    </w:rPr>
                    <w:t>主要评价内容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01.01.3</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病房医师</w:t>
                  </w:r>
                </w:p>
              </w:tc>
              <w:tc>
                <w:tcPr>
                  <w:tcW w:w="1559"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病房医嘱处理</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基本</w:t>
                  </w:r>
                </w:p>
              </w:tc>
              <w:tc>
                <w:tcPr>
                  <w:tcW w:w="3765"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4</w:t>
                  </w:r>
                  <w:r>
                    <w:rPr>
                      <w:rFonts w:hint="eastAsia" w:ascii="DengXian" w:hAnsi="DengXian" w:eastAsia="DengXian"/>
                      <w:color w:val="000000"/>
                      <w:kern w:val="2"/>
                      <w:sz w:val="21"/>
                      <w:szCs w:val="21"/>
                    </w:rPr>
                    <w:t>）医嘱下达时能获得药品剂型、剂量，或检查检验项目中至少</w:t>
                  </w:r>
                  <w:r>
                    <w:rPr>
                      <w:rFonts w:eastAsia="DengXian"/>
                      <w:color w:val="000000"/>
                      <w:kern w:val="2"/>
                      <w:sz w:val="21"/>
                      <w:szCs w:val="21"/>
                    </w:rPr>
                    <w:t>1</w:t>
                  </w:r>
                  <w:r>
                    <w:rPr>
                      <w:rFonts w:hint="eastAsia" w:ascii="DengXian" w:hAnsi="DengXian" w:eastAsia="DengXian"/>
                      <w:color w:val="000000"/>
                      <w:kern w:val="2"/>
                      <w:sz w:val="21"/>
                      <w:szCs w:val="21"/>
                    </w:rPr>
                    <w:t>类依据字典规则进行的核查与提示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01.02.4</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病房医师</w:t>
                  </w:r>
                </w:p>
              </w:tc>
              <w:tc>
                <w:tcPr>
                  <w:tcW w:w="1559"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病房检验申请</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选择</w:t>
                  </w:r>
                </w:p>
              </w:tc>
              <w:tc>
                <w:tcPr>
                  <w:tcW w:w="3765"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1</w:t>
                  </w:r>
                  <w:r>
                    <w:rPr>
                      <w:rFonts w:hint="eastAsia" w:ascii="DengXian" w:hAnsi="DengXian" w:eastAsia="DengXian"/>
                      <w:color w:val="000000"/>
                      <w:kern w:val="2"/>
                      <w:sz w:val="21"/>
                      <w:szCs w:val="21"/>
                    </w:rPr>
                    <w:t>）下达申请时可获得检验项目和标本信息，如适应症、采集要求、作用等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ascii="宋体" w:hAnsi="宋体"/>
                      <w:kern w:val="2"/>
                      <w:sz w:val="21"/>
                      <w:szCs w:val="21"/>
                    </w:rPr>
                  </w:pPr>
                  <w:r>
                    <w:rPr>
                      <w:rFonts w:eastAsia="DengXian"/>
                      <w:color w:val="000000"/>
                      <w:kern w:val="2"/>
                      <w:sz w:val="21"/>
                      <w:szCs w:val="21"/>
                    </w:rPr>
                    <w:t>01.03.4</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病房医师</w:t>
                  </w:r>
                </w:p>
              </w:tc>
              <w:tc>
                <w:tcPr>
                  <w:tcW w:w="1559"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病房检验报告</w:t>
                  </w:r>
                </w:p>
              </w:tc>
              <w:tc>
                <w:tcPr>
                  <w:tcW w:w="992"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基本</w:t>
                  </w:r>
                </w:p>
              </w:tc>
              <w:tc>
                <w:tcPr>
                  <w:tcW w:w="3765" w:type="dxa"/>
                  <w:shd w:val="clear" w:color="auto" w:fill="auto"/>
                  <w:noWrap w:val="0"/>
                  <w:vAlign w:val="center"/>
                </w:tcPr>
                <w:p>
                  <w:pPr>
                    <w:spacing w:line="240" w:lineRule="auto"/>
                    <w:rPr>
                      <w:rFonts w:ascii="宋体" w:hAnsi="宋体"/>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4</w:t>
                  </w:r>
                  <w:r>
                    <w:rPr>
                      <w:rFonts w:hint="eastAsia" w:ascii="DengXian" w:hAnsi="DengXian" w:eastAsia="DengXian"/>
                      <w:color w:val="000000"/>
                      <w:kern w:val="2"/>
                      <w:sz w:val="21"/>
                      <w:szCs w:val="21"/>
                    </w:rPr>
                    <w:t>）查看检验报告时，可获得项目说明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eastAsia="DengXian"/>
                      <w:color w:val="000000"/>
                      <w:kern w:val="2"/>
                      <w:sz w:val="21"/>
                      <w:szCs w:val="21"/>
                    </w:rPr>
                  </w:pPr>
                  <w:r>
                    <w:rPr>
                      <w:rFonts w:eastAsia="DengXian"/>
                      <w:color w:val="000000"/>
                      <w:kern w:val="2"/>
                      <w:sz w:val="21"/>
                      <w:szCs w:val="21"/>
                    </w:rPr>
                    <w:t>03.02.4</w:t>
                  </w:r>
                </w:p>
              </w:tc>
              <w:tc>
                <w:tcPr>
                  <w:tcW w:w="992"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门诊医师</w:t>
                  </w:r>
                </w:p>
              </w:tc>
              <w:tc>
                <w:tcPr>
                  <w:tcW w:w="1559"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门诊检验申请</w:t>
                  </w:r>
                </w:p>
              </w:tc>
              <w:tc>
                <w:tcPr>
                  <w:tcW w:w="992"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选择</w:t>
                  </w:r>
                </w:p>
              </w:tc>
              <w:tc>
                <w:tcPr>
                  <w:tcW w:w="3765"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1</w:t>
                  </w:r>
                  <w:r>
                    <w:rPr>
                      <w:rFonts w:hint="eastAsia" w:ascii="DengXian" w:hAnsi="DengXian" w:eastAsia="DengXian"/>
                      <w:color w:val="000000"/>
                      <w:kern w:val="2"/>
                      <w:sz w:val="21"/>
                      <w:szCs w:val="21"/>
                    </w:rPr>
                    <w:t>）下达申请时可获得与项目关联的适应症、标本采集、检查意义等信息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eastAsia="DengXian"/>
                      <w:color w:val="000000"/>
                      <w:kern w:val="2"/>
                      <w:sz w:val="21"/>
                      <w:szCs w:val="21"/>
                    </w:rPr>
                  </w:pPr>
                  <w:r>
                    <w:rPr>
                      <w:rFonts w:eastAsia="DengXian"/>
                      <w:color w:val="000000"/>
                      <w:kern w:val="2"/>
                      <w:sz w:val="21"/>
                      <w:szCs w:val="21"/>
                    </w:rPr>
                    <w:t>03.03.4</w:t>
                  </w:r>
                </w:p>
              </w:tc>
              <w:tc>
                <w:tcPr>
                  <w:tcW w:w="992"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门诊医师</w:t>
                  </w:r>
                </w:p>
              </w:tc>
              <w:tc>
                <w:tcPr>
                  <w:tcW w:w="1559"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门诊检验报告</w:t>
                  </w:r>
                </w:p>
              </w:tc>
              <w:tc>
                <w:tcPr>
                  <w:tcW w:w="992"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基本</w:t>
                  </w:r>
                </w:p>
              </w:tc>
              <w:tc>
                <w:tcPr>
                  <w:tcW w:w="3765"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4</w:t>
                  </w:r>
                  <w:r>
                    <w:rPr>
                      <w:rFonts w:hint="eastAsia" w:ascii="DengXian" w:hAnsi="DengXian" w:eastAsia="DengXian"/>
                      <w:color w:val="000000"/>
                      <w:kern w:val="2"/>
                      <w:sz w:val="21"/>
                      <w:szCs w:val="21"/>
                    </w:rPr>
                    <w:t>）查看检验报告时，可获得项目说明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noWrap w:val="0"/>
                  <w:vAlign w:val="center"/>
                </w:tcPr>
                <w:p>
                  <w:pPr>
                    <w:spacing w:line="240" w:lineRule="auto"/>
                    <w:rPr>
                      <w:rFonts w:eastAsia="DengXian"/>
                      <w:color w:val="000000"/>
                      <w:kern w:val="2"/>
                      <w:sz w:val="21"/>
                      <w:szCs w:val="21"/>
                    </w:rPr>
                  </w:pPr>
                  <w:r>
                    <w:rPr>
                      <w:rFonts w:eastAsia="DengXian"/>
                      <w:color w:val="000000"/>
                      <w:kern w:val="2"/>
                      <w:sz w:val="21"/>
                      <w:szCs w:val="21"/>
                    </w:rPr>
                    <w:t>05.01.4</w:t>
                  </w:r>
                </w:p>
              </w:tc>
              <w:tc>
                <w:tcPr>
                  <w:tcW w:w="992"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检验处理</w:t>
                  </w:r>
                </w:p>
              </w:tc>
              <w:tc>
                <w:tcPr>
                  <w:tcW w:w="1559"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标本处理</w:t>
                  </w:r>
                </w:p>
              </w:tc>
              <w:tc>
                <w:tcPr>
                  <w:tcW w:w="992"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选择</w:t>
                  </w:r>
                </w:p>
              </w:tc>
              <w:tc>
                <w:tcPr>
                  <w:tcW w:w="3765" w:type="dxa"/>
                  <w:shd w:val="clear" w:color="auto" w:fill="auto"/>
                  <w:noWrap w:val="0"/>
                  <w:vAlign w:val="center"/>
                </w:tcPr>
                <w:p>
                  <w:pPr>
                    <w:spacing w:line="240" w:lineRule="auto"/>
                    <w:rPr>
                      <w:rFonts w:ascii="DengXian" w:hAnsi="DengXian" w:eastAsia="DengXian"/>
                      <w:color w:val="000000"/>
                      <w:kern w:val="2"/>
                      <w:sz w:val="21"/>
                      <w:szCs w:val="21"/>
                    </w:rPr>
                  </w:pPr>
                  <w:r>
                    <w:rPr>
                      <w:rFonts w:hint="eastAsia" w:ascii="DengXian" w:hAnsi="DengXian" w:eastAsia="DengXian"/>
                      <w:color w:val="000000"/>
                      <w:kern w:val="2"/>
                      <w:sz w:val="21"/>
                      <w:szCs w:val="21"/>
                    </w:rPr>
                    <w:t>（</w:t>
                  </w:r>
                  <w:r>
                    <w:rPr>
                      <w:rFonts w:eastAsia="DengXian"/>
                      <w:color w:val="000000"/>
                      <w:kern w:val="2"/>
                      <w:sz w:val="21"/>
                      <w:szCs w:val="21"/>
                    </w:rPr>
                    <w:t>1</w:t>
                  </w:r>
                  <w:r>
                    <w:rPr>
                      <w:rFonts w:hint="eastAsia" w:ascii="DengXian" w:hAnsi="DengXian" w:eastAsia="DengXian"/>
                      <w:color w:val="000000"/>
                      <w:kern w:val="2"/>
                      <w:sz w:val="21"/>
                      <w:szCs w:val="21"/>
                    </w:rPr>
                    <w:t>）临床科室有与实验室共享的标本字典并具有与项目关联的采集要求提示与说明</w:t>
                  </w:r>
                </w:p>
              </w:tc>
            </w:tr>
          </w:tbl>
          <w:p>
            <w:pPr>
              <w:pStyle w:val="52"/>
              <w:spacing w:line="240" w:lineRule="auto"/>
              <w:jc w:val="both"/>
              <w:rPr>
                <w:rFonts w:hint="default"/>
                <w:lang w:val="en-US" w:eastAsia="zh-CN"/>
              </w:rPr>
            </w:pP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sz w:val="21"/>
                <w:szCs w:val="21"/>
                <w:lang w:val="en-US" w:eastAsia="zh-CN"/>
              </w:rPr>
              <w:t>要求能提示手术相关的临床知识内容；</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2" w:firstLineChars="200"/>
              <w:textAlignment w:val="auto"/>
              <w:rPr>
                <w:rFonts w:hint="default" w:ascii="宋体" w:hAnsi="宋体" w:eastAsia="宋体" w:cs="宋体"/>
                <w:sz w:val="21"/>
                <w:szCs w:val="21"/>
                <w:lang w:val="en-US" w:eastAsia="zh-CN"/>
              </w:rPr>
            </w:pPr>
            <w:r>
              <w:rPr>
                <w:rFonts w:hint="eastAsia" w:ascii="宋体" w:hAnsi="宋体"/>
                <w:b/>
                <w:bCs w:val="0"/>
                <w:kern w:val="0"/>
                <w:sz w:val="21"/>
                <w:szCs w:val="21"/>
                <w:highlight w:val="none"/>
              </w:rPr>
              <w:t>★</w:t>
            </w:r>
            <w:r>
              <w:rPr>
                <w:rFonts w:hint="eastAsia" w:ascii="宋体" w:hAnsi="宋体" w:cs="宋体"/>
                <w:b/>
                <w:bCs w:val="0"/>
                <w:sz w:val="21"/>
                <w:szCs w:val="21"/>
                <w:highlight w:val="none"/>
                <w:lang w:eastAsia="zh-CN"/>
              </w:rPr>
              <w:t>供应商</w:t>
            </w:r>
            <w:r>
              <w:rPr>
                <w:rFonts w:hint="eastAsia" w:ascii="宋体" w:hAnsi="宋体" w:cs="宋体"/>
                <w:b/>
                <w:bCs w:val="0"/>
                <w:sz w:val="21"/>
                <w:szCs w:val="21"/>
                <w:highlight w:val="none"/>
              </w:rPr>
              <w:t>必须充分考虑</w:t>
            </w:r>
            <w:r>
              <w:rPr>
                <w:rFonts w:hint="eastAsia" w:ascii="宋体" w:hAnsi="宋体" w:cs="宋体"/>
                <w:b/>
                <w:bCs w:val="0"/>
                <w:sz w:val="21"/>
                <w:szCs w:val="21"/>
                <w:highlight w:val="none"/>
                <w:lang w:eastAsia="zh-CN"/>
              </w:rPr>
              <w:t>所投产品</w:t>
            </w:r>
            <w:r>
              <w:rPr>
                <w:rFonts w:hint="eastAsia" w:ascii="宋体" w:hAnsi="宋体" w:cs="宋体"/>
                <w:b/>
                <w:bCs w:val="0"/>
                <w:sz w:val="21"/>
                <w:szCs w:val="21"/>
                <w:highlight w:val="none"/>
              </w:rPr>
              <w:t>与医院现有HIS系统的关系，要求</w:t>
            </w:r>
            <w:r>
              <w:rPr>
                <w:rFonts w:hint="eastAsia" w:ascii="宋体" w:hAnsi="宋体" w:cs="宋体"/>
                <w:b/>
                <w:bCs w:val="0"/>
                <w:sz w:val="21"/>
                <w:szCs w:val="21"/>
                <w:highlight w:val="none"/>
                <w:lang w:eastAsia="zh-CN"/>
              </w:rPr>
              <w:t>所投产品</w:t>
            </w:r>
            <w:r>
              <w:rPr>
                <w:rFonts w:hint="eastAsia" w:ascii="宋体" w:hAnsi="宋体" w:cs="宋体"/>
                <w:b/>
                <w:bCs w:val="0"/>
                <w:sz w:val="21"/>
                <w:szCs w:val="21"/>
                <w:highlight w:val="none"/>
              </w:rPr>
              <w:t>能与医院现有HIS系统实现无缝连接；要求在</w:t>
            </w:r>
            <w:r>
              <w:rPr>
                <w:rFonts w:hint="eastAsia" w:ascii="宋体" w:hAnsi="宋体" w:cs="宋体"/>
                <w:b/>
                <w:bCs w:val="0"/>
                <w:sz w:val="21"/>
                <w:szCs w:val="21"/>
                <w:highlight w:val="none"/>
                <w:lang w:eastAsia="zh-CN"/>
              </w:rPr>
              <w:t>响应</w:t>
            </w:r>
            <w:r>
              <w:rPr>
                <w:rFonts w:hint="eastAsia" w:ascii="宋体" w:hAnsi="宋体" w:cs="宋体"/>
                <w:b/>
                <w:bCs w:val="0"/>
                <w:sz w:val="21"/>
                <w:szCs w:val="21"/>
                <w:highlight w:val="none"/>
              </w:rPr>
              <w:t>文件中提供医院现有</w:t>
            </w:r>
            <w:r>
              <w:rPr>
                <w:rFonts w:ascii="宋体" w:hAnsi="宋体" w:cs="宋体"/>
                <w:b/>
                <w:bCs w:val="0"/>
                <w:sz w:val="21"/>
                <w:szCs w:val="21"/>
                <w:highlight w:val="none"/>
              </w:rPr>
              <w:t>HIS</w:t>
            </w:r>
            <w:r>
              <w:rPr>
                <w:rFonts w:hint="eastAsia" w:ascii="宋体" w:hAnsi="宋体" w:cs="宋体"/>
                <w:b/>
                <w:bCs w:val="0"/>
                <w:sz w:val="21"/>
                <w:szCs w:val="21"/>
                <w:highlight w:val="none"/>
              </w:rPr>
              <w:t>系统生产商或其本地分公司（医院现有HIS系统为“中联医院信息系统”）对本次</w:t>
            </w:r>
            <w:r>
              <w:rPr>
                <w:rFonts w:hint="eastAsia" w:ascii="宋体" w:hAnsi="宋体" w:cs="宋体"/>
                <w:b/>
                <w:bCs w:val="0"/>
                <w:sz w:val="21"/>
                <w:szCs w:val="21"/>
                <w:highlight w:val="none"/>
                <w:lang w:eastAsia="zh-CN"/>
              </w:rPr>
              <w:t>所投产品</w:t>
            </w:r>
            <w:r>
              <w:rPr>
                <w:rFonts w:hint="eastAsia" w:ascii="宋体" w:hAnsi="宋体" w:cs="宋体"/>
                <w:b/>
                <w:bCs w:val="0"/>
                <w:sz w:val="21"/>
                <w:szCs w:val="21"/>
                <w:highlight w:val="none"/>
              </w:rPr>
              <w:t>能与现有HIS系统实现数据无缝连接的说明文件复印件（原件备查）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58" w:type="dxa"/>
            <w:vAlign w:val="center"/>
          </w:tcPr>
          <w:p>
            <w:pPr>
              <w:bidi w:val="0"/>
              <w:spacing w:line="240" w:lineRule="auto"/>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26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传染病上报系统</w:t>
            </w:r>
          </w:p>
        </w:tc>
        <w:tc>
          <w:tcPr>
            <w:tcW w:w="585" w:type="dxa"/>
            <w:gridSpan w:val="2"/>
            <w:vAlign w:val="center"/>
          </w:tcPr>
          <w:p>
            <w:pPr>
              <w:keepNext w:val="0"/>
              <w:keepLines w:val="0"/>
              <w:widowControl/>
              <w:suppressLineNumbers w:val="0"/>
              <w:spacing w:line="240" w:lineRule="auto"/>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615" w:type="dxa"/>
            <w:vAlign w:val="center"/>
          </w:tcPr>
          <w:p>
            <w:pPr>
              <w:keepNext w:val="0"/>
              <w:keepLines w:val="0"/>
              <w:widowControl/>
              <w:suppressLineNumbers w:val="0"/>
              <w:spacing w:line="240" w:lineRule="auto"/>
              <w:jc w:val="center"/>
              <w:textAlignment w:val="center"/>
              <w:rPr>
                <w:rFonts w:hint="eastAsia" w:ascii="宋体" w:hAnsi="宋体" w:cs="宋体"/>
                <w:sz w:val="21"/>
                <w:szCs w:val="21"/>
                <w:lang w:val="en-US" w:eastAsia="zh-CN"/>
              </w:rPr>
            </w:pPr>
            <w:r>
              <w:rPr>
                <w:rFonts w:hint="eastAsia" w:ascii="宋体" w:hAnsi="宋体" w:cs="宋体"/>
                <w:sz w:val="21"/>
                <w:szCs w:val="21"/>
                <w:lang w:val="en-US" w:eastAsia="zh-CN"/>
              </w:rPr>
              <w:t>套</w:t>
            </w:r>
          </w:p>
        </w:tc>
        <w:tc>
          <w:tcPr>
            <w:tcW w:w="6504"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spacing w:line="240" w:lineRule="auto"/>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数据对接要求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要求支持对接HIS、LIS、RIS，电子病历、手术麻醉、数据，如：患者基本情况、转科、诊断、床位、体温、菌培养、常规检查、手术、药物，门诊诊断、就诊日志等病人所有电子病例详细。</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系统自动预警要求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1）要求在医生保存诊断时即会自动根据相关传染病关键字提示上报传染病，还可以控制必报否则光标无法跳出，即从源头上控制漏报。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2）新上报的传染病病例提示。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ascii="宋体" w:hAnsi="宋体"/>
                <w:b w:val="0"/>
                <w:bCs/>
                <w:kern w:val="0"/>
                <w:sz w:val="21"/>
                <w:szCs w:val="21"/>
                <w:highlight w:val="none"/>
                <w:lang w:eastAsia="zh-CN"/>
              </w:rPr>
              <w:t>3）要求要智能预警在院疑似传染病病例；系统可根据诊断信息和检验信息预警疑似但未报病例，如根据各种相关诊断关键字，检查化验的结果中的各条件。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三、门诊、住院日志管理和检索要求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1)要求系统根据 HIS、 LIS、PACS 等系统提供的数据自动生成规范的门诊日志和各病历信息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2)门诊信息要求包括:就诊号，就诊日期、姓名、性别、年龄、有效证件号、住址、诊断、发病日期、初诊或复诊等信息；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3)住院信息要求包括:姓名、性别、年龄、有效证件号、住址、入院日期、入院诊断、出院日期、出院诊断等;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4)检测检验报告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5)影像结果文字报告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6)要求支持关键词或各条件查询和检索，在一个界面就可查看患者就诊信息，检验、病历、影像等所有病人病历数据;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四、传染病上报要求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val="en-US" w:eastAsia="zh-CN"/>
              </w:rPr>
              <w:t>1.</w:t>
            </w:r>
            <w:r>
              <w:rPr>
                <w:rFonts w:hint="eastAsia" w:ascii="宋体" w:hAnsi="宋体"/>
                <w:b w:val="0"/>
                <w:bCs/>
                <w:kern w:val="0"/>
                <w:sz w:val="21"/>
                <w:szCs w:val="21"/>
                <w:highlight w:val="none"/>
                <w:lang w:eastAsia="zh-CN"/>
              </w:rPr>
              <w:t>医生工作站上能上报传染病病例，代替传统的手工纸质上报卡。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val="en-US" w:eastAsia="zh-CN"/>
              </w:rPr>
              <w:t>2.</w:t>
            </w:r>
            <w:r>
              <w:rPr>
                <w:rFonts w:hint="eastAsia" w:ascii="宋体" w:hAnsi="宋体"/>
                <w:b w:val="0"/>
                <w:bCs/>
                <w:kern w:val="0"/>
                <w:sz w:val="21"/>
                <w:szCs w:val="21"/>
                <w:highlight w:val="none"/>
                <w:lang w:eastAsia="zh-CN"/>
              </w:rPr>
              <w:t>在上报卡中，临床医生只需要输入病人的住院号就可以调出传染病报卡中所需要的电子病历信息，医生只需选填好相关信息,快速方便。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val="en-US" w:eastAsia="zh-CN"/>
              </w:rPr>
              <w:t>3.</w:t>
            </w:r>
            <w:r>
              <w:rPr>
                <w:rFonts w:hint="eastAsia" w:ascii="宋体" w:hAnsi="宋体"/>
                <w:b w:val="0"/>
                <w:bCs/>
                <w:kern w:val="0"/>
                <w:sz w:val="21"/>
                <w:szCs w:val="21"/>
                <w:highlight w:val="none"/>
                <w:lang w:eastAsia="zh-CN"/>
              </w:rPr>
              <w:t>要求严格按照《中华人民共和国传染病报告卡》填卡说明控制相关必填项，和相关逻辑自动关联和智能处理，提高医生上报效率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val="en-US" w:eastAsia="zh-CN"/>
              </w:rPr>
              <w:t>4.</w:t>
            </w:r>
            <w:r>
              <w:rPr>
                <w:rFonts w:hint="eastAsia" w:ascii="宋体" w:hAnsi="宋体"/>
                <w:b w:val="0"/>
                <w:bCs/>
                <w:kern w:val="0"/>
                <w:sz w:val="21"/>
                <w:szCs w:val="21"/>
                <w:highlight w:val="none"/>
                <w:lang w:eastAsia="zh-CN"/>
              </w:rPr>
              <w:t>要求系统能自动预警提示新的上报卡.必须能从诊断预警，还能从化验结果预警，并且诊断和化验结果的关键字可以自定义设置，能灵活调整。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val="en-US" w:eastAsia="zh-CN"/>
              </w:rPr>
              <w:t>5.</w:t>
            </w:r>
            <w:r>
              <w:rPr>
                <w:rFonts w:hint="eastAsia" w:ascii="宋体" w:hAnsi="宋体"/>
                <w:b w:val="0"/>
                <w:bCs/>
                <w:kern w:val="0"/>
                <w:sz w:val="21"/>
                <w:szCs w:val="21"/>
                <w:highlight w:val="none"/>
                <w:lang w:eastAsia="zh-CN"/>
              </w:rPr>
              <w:t>要求管理者能对上报的病例进行收集和管理,可以直接查看病人的详细电子病例信息,可以修改,审核,确认等操作。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val="en-US" w:eastAsia="zh-CN"/>
              </w:rPr>
              <w:t>6.</w:t>
            </w:r>
            <w:r>
              <w:rPr>
                <w:rFonts w:hint="eastAsia" w:ascii="宋体" w:hAnsi="宋体"/>
                <w:b w:val="0"/>
                <w:bCs/>
                <w:kern w:val="0"/>
                <w:sz w:val="21"/>
                <w:szCs w:val="21"/>
                <w:highlight w:val="none"/>
                <w:lang w:eastAsia="zh-CN"/>
              </w:rPr>
              <w:t>审核确认后的病例进入资料库,可打印,导出EXCEL,便于上报到国网。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b w:val="0"/>
                <w:bCs/>
                <w:kern w:val="0"/>
                <w:sz w:val="21"/>
                <w:szCs w:val="21"/>
                <w:highlight w:val="none"/>
                <w:lang w:val="en-US" w:eastAsia="zh-CN"/>
              </w:rPr>
            </w:pPr>
            <w:r>
              <w:rPr>
                <w:rFonts w:hint="eastAsia" w:ascii="宋体" w:hAnsi="宋体"/>
                <w:b w:val="0"/>
                <w:bCs/>
                <w:kern w:val="0"/>
                <w:sz w:val="21"/>
                <w:szCs w:val="21"/>
                <w:highlight w:val="none"/>
                <w:lang w:val="en-US" w:eastAsia="zh-CN"/>
              </w:rPr>
              <w:t>7.要求提供艾滋病附卡、乙肝附卡、乙肝调查表、手足口病附卡、脑卒中上报、高危中暑报告卡。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五、传染病相关统计要求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val="en-US" w:eastAsia="zh-CN"/>
              </w:rPr>
            </w:pPr>
            <w:r>
              <w:rPr>
                <w:rFonts w:hint="eastAsia" w:ascii="宋体" w:hAnsi="宋体"/>
                <w:b w:val="0"/>
                <w:bCs/>
                <w:kern w:val="0"/>
                <w:sz w:val="21"/>
                <w:szCs w:val="21"/>
                <w:highlight w:val="none"/>
                <w:lang w:val="en-US" w:eastAsia="zh-CN"/>
              </w:rPr>
              <w:t>1）传染病登记汇总表，各种统计表和图示，如按科室分布统计，按传染病名分布统计，按年龄分布统计，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val="en-US" w:eastAsia="zh-CN"/>
              </w:rPr>
              <w:t>2）各统计表可查趋势，可追踪到个案，可看详细病例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六、肿瘤病例上报要求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val="en-US" w:eastAsia="zh-CN"/>
              </w:rPr>
            </w:pPr>
            <w:r>
              <w:rPr>
                <w:rFonts w:hint="eastAsia" w:ascii="宋体" w:hAnsi="宋体"/>
                <w:b w:val="0"/>
                <w:bCs/>
                <w:kern w:val="0"/>
                <w:sz w:val="21"/>
                <w:szCs w:val="21"/>
                <w:highlight w:val="none"/>
                <w:lang w:val="en-US" w:eastAsia="zh-CN"/>
              </w:rPr>
              <w:t>1.医生工作站上报病例，代替传统的手工纸质上报卡。系统能根据诊断预警提示未报病例；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val="en-US" w:eastAsia="zh-CN"/>
              </w:rPr>
            </w:pPr>
            <w:r>
              <w:rPr>
                <w:rFonts w:hint="eastAsia" w:ascii="宋体" w:hAnsi="宋体"/>
                <w:b w:val="0"/>
                <w:bCs/>
                <w:kern w:val="0"/>
                <w:sz w:val="21"/>
                <w:szCs w:val="21"/>
                <w:highlight w:val="none"/>
                <w:lang w:val="en-US" w:eastAsia="zh-CN"/>
              </w:rPr>
              <w:t>2.系统自动预警提示新的上报卡.管理科对上报的病例进行收集和管理,可以直接查看病人的详细电子病例信息,可以修改,审核,确认等操作及发送消息到临床。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七、肿瘤病例相关统计要求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val="en-US" w:eastAsia="zh-CN"/>
              </w:rPr>
            </w:pPr>
            <w:r>
              <w:rPr>
                <w:rFonts w:hint="eastAsia" w:ascii="宋体" w:hAnsi="宋体"/>
                <w:b w:val="0"/>
                <w:bCs/>
                <w:kern w:val="0"/>
                <w:sz w:val="21"/>
                <w:szCs w:val="21"/>
                <w:highlight w:val="none"/>
                <w:lang w:val="en-US" w:eastAsia="zh-CN"/>
              </w:rPr>
              <w:t>1）肿瘤病例登记汇总表，各种统计表和图示，如按科室分布统计，按病名分布统计，按年龄分布统计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ascii="宋体" w:hAnsi="宋体"/>
                <w:b w:val="0"/>
                <w:bCs/>
                <w:kern w:val="0"/>
                <w:sz w:val="21"/>
                <w:szCs w:val="21"/>
                <w:highlight w:val="none"/>
                <w:lang w:val="en-US" w:eastAsia="zh-CN"/>
              </w:rPr>
              <w:t>2）各统计表可查趋势，可追踪到个案，可看详细病例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八、食源性监测要求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val="en-US" w:eastAsia="zh-CN"/>
              </w:rPr>
            </w:pPr>
            <w:r>
              <w:rPr>
                <w:rFonts w:hint="eastAsia" w:ascii="宋体" w:hAnsi="宋体"/>
                <w:b w:val="0"/>
                <w:bCs/>
                <w:kern w:val="0"/>
                <w:sz w:val="21"/>
                <w:szCs w:val="21"/>
                <w:highlight w:val="none"/>
                <w:lang w:val="en-US" w:eastAsia="zh-CN"/>
              </w:rPr>
              <w:t xml:space="preserve">1.医生工作站能上报病例，代替传统的手工纸质上报卡。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ascii="宋体" w:hAnsi="宋体"/>
                <w:b w:val="0"/>
                <w:bCs/>
                <w:kern w:val="0"/>
                <w:sz w:val="21"/>
                <w:szCs w:val="21"/>
                <w:highlight w:val="none"/>
                <w:lang w:val="en-US" w:eastAsia="zh-CN"/>
              </w:rPr>
              <w:t>2.系统自动预警提示新的上报卡.管理科对上报的病例进行收集和管理,可以直接查看病人的详细电子病例信息,可以修改,审核,确认等操作及发送消息到临床。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九、食源性监测相关统计要求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val="en-US" w:eastAsia="zh-CN"/>
              </w:rPr>
            </w:pPr>
            <w:r>
              <w:rPr>
                <w:rFonts w:hint="eastAsia" w:ascii="宋体" w:hAnsi="宋体"/>
                <w:b w:val="0"/>
                <w:bCs/>
                <w:kern w:val="0"/>
                <w:sz w:val="21"/>
                <w:szCs w:val="21"/>
                <w:highlight w:val="none"/>
                <w:lang w:val="en-US" w:eastAsia="zh-CN"/>
              </w:rPr>
              <w:t>1）食源性监测登记汇总表，各种统计表和图示，如按科室分布统计，按病名分布统计，按年龄分布统计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ascii="宋体" w:hAnsi="宋体"/>
                <w:b w:val="0"/>
                <w:bCs/>
                <w:kern w:val="0"/>
                <w:sz w:val="21"/>
                <w:szCs w:val="21"/>
                <w:highlight w:val="none"/>
                <w:lang w:val="en-US" w:eastAsia="zh-CN"/>
              </w:rPr>
              <w:t>2）各统计表可查趋势，可追踪到个案，可看详细病例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b w:val="0"/>
                <w:bCs/>
                <w:kern w:val="0"/>
                <w:sz w:val="21"/>
                <w:szCs w:val="21"/>
                <w:highlight w:val="none"/>
                <w:lang w:eastAsia="zh-CN"/>
              </w:rPr>
            </w:pPr>
            <w:r>
              <w:rPr>
                <w:rFonts w:hint="eastAsia" w:ascii="宋体" w:hAnsi="宋体"/>
                <w:b w:val="0"/>
                <w:bCs/>
                <w:kern w:val="0"/>
                <w:sz w:val="21"/>
                <w:szCs w:val="21"/>
                <w:highlight w:val="none"/>
                <w:lang w:eastAsia="zh-CN"/>
              </w:rPr>
              <w:t>十、即时消息平台要求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val="en-US" w:eastAsia="zh-CN"/>
              </w:rPr>
            </w:pPr>
            <w:r>
              <w:rPr>
                <w:rFonts w:hint="eastAsia" w:ascii="宋体" w:hAnsi="宋体"/>
                <w:b w:val="0"/>
                <w:bCs/>
                <w:kern w:val="0"/>
                <w:sz w:val="21"/>
                <w:szCs w:val="21"/>
                <w:highlight w:val="none"/>
                <w:lang w:val="en-US" w:eastAsia="zh-CN"/>
              </w:rPr>
              <w:t>1）通过即时消息平台，临床科室与公卫科之间可进行实时沟通公卫相关内容。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val="en-US" w:eastAsia="zh-CN"/>
              </w:rPr>
            </w:pPr>
            <w:r>
              <w:rPr>
                <w:rFonts w:hint="eastAsia" w:ascii="宋体" w:hAnsi="宋体"/>
                <w:b w:val="0"/>
                <w:bCs/>
                <w:kern w:val="0"/>
                <w:sz w:val="21"/>
                <w:szCs w:val="21"/>
                <w:highlight w:val="none"/>
                <w:lang w:val="en-US" w:eastAsia="zh-CN"/>
              </w:rPr>
              <w:t>2）能够在患者干预消息界面进行即时消息内容沟通；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val="en-US" w:eastAsia="zh-CN"/>
              </w:rPr>
            </w:pPr>
            <w:r>
              <w:rPr>
                <w:rFonts w:hint="eastAsia" w:ascii="宋体" w:hAnsi="宋体"/>
                <w:b w:val="0"/>
                <w:bCs/>
                <w:kern w:val="0"/>
                <w:sz w:val="21"/>
                <w:szCs w:val="21"/>
                <w:highlight w:val="none"/>
                <w:lang w:val="en-US" w:eastAsia="zh-CN"/>
              </w:rPr>
              <w:t>3）能够在患者干预消息界面进行干预；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b w:val="0"/>
                <w:bCs/>
                <w:kern w:val="0"/>
                <w:sz w:val="21"/>
                <w:szCs w:val="21"/>
                <w:highlight w:val="none"/>
                <w:lang w:eastAsia="zh-CN"/>
              </w:rPr>
            </w:pPr>
            <w:r>
              <w:rPr>
                <w:rFonts w:hint="eastAsia" w:ascii="宋体" w:hAnsi="宋体"/>
                <w:b w:val="0"/>
                <w:bCs/>
                <w:kern w:val="0"/>
                <w:sz w:val="21"/>
                <w:szCs w:val="21"/>
                <w:highlight w:val="none"/>
                <w:lang w:val="en-US" w:eastAsia="zh-CN"/>
              </w:rPr>
              <w:t xml:space="preserve">4）能够在用户电脑自动启动即时消息通讯工具，实现科室-公卫科实时沟通；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b w:val="0"/>
                <w:bCs/>
                <w:kern w:val="0"/>
                <w:sz w:val="21"/>
                <w:szCs w:val="21"/>
                <w:highlight w:val="none"/>
                <w:lang w:eastAsia="zh-CN"/>
              </w:rPr>
            </w:pPr>
            <w:r>
              <w:rPr>
                <w:rFonts w:hint="eastAsia" w:ascii="宋体" w:hAnsi="宋体"/>
                <w:b w:val="0"/>
                <w:bCs/>
                <w:kern w:val="0"/>
                <w:sz w:val="21"/>
                <w:szCs w:val="21"/>
                <w:highlight w:val="none"/>
                <w:lang w:eastAsia="zh-CN"/>
              </w:rPr>
              <w:t>十一、</w:t>
            </w:r>
            <w:r>
              <w:rPr>
                <w:rFonts w:hint="eastAsia" w:ascii="宋体" w:hAnsi="宋体" w:eastAsia="宋体"/>
                <w:b w:val="0"/>
                <w:bCs/>
                <w:kern w:val="0"/>
                <w:sz w:val="21"/>
                <w:szCs w:val="21"/>
                <w:highlight w:val="none"/>
                <w:lang w:eastAsia="zh-CN"/>
              </w:rPr>
              <w:t>突发公共卫生事件报告管理</w:t>
            </w:r>
            <w:r>
              <w:rPr>
                <w:rFonts w:hint="eastAsia" w:ascii="宋体" w:hAnsi="宋体"/>
                <w:b w:val="0"/>
                <w:bCs/>
                <w:kern w:val="0"/>
                <w:sz w:val="21"/>
                <w:szCs w:val="21"/>
                <w:highlight w:val="none"/>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b w:val="0"/>
                <w:bCs/>
                <w:kern w:val="0"/>
                <w:sz w:val="21"/>
                <w:szCs w:val="21"/>
                <w:highlight w:val="none"/>
                <w:lang w:val="en-US" w:eastAsia="zh-CN"/>
              </w:rPr>
            </w:pPr>
            <w:r>
              <w:rPr>
                <w:rFonts w:hint="eastAsia" w:ascii="宋体" w:hAnsi="宋体"/>
                <w:b w:val="0"/>
                <w:bCs/>
                <w:kern w:val="0"/>
                <w:sz w:val="21"/>
                <w:szCs w:val="21"/>
                <w:highlight w:val="none"/>
                <w:lang w:val="en-US" w:eastAsia="zh-CN"/>
              </w:rPr>
              <w:t>1)</w:t>
            </w:r>
            <w:r>
              <w:rPr>
                <w:rFonts w:hint="eastAsia" w:ascii="宋体" w:hAnsi="宋体"/>
                <w:b w:val="0"/>
                <w:bCs/>
                <w:kern w:val="0"/>
                <w:sz w:val="21"/>
                <w:szCs w:val="21"/>
                <w:highlight w:val="none"/>
                <w:lang w:val="en-US" w:eastAsia="zh-CN"/>
              </w:rPr>
              <w:tab/>
            </w:r>
            <w:r>
              <w:rPr>
                <w:rFonts w:hint="eastAsia" w:ascii="宋体" w:hAnsi="宋体"/>
                <w:b w:val="0"/>
                <w:bCs/>
                <w:kern w:val="0"/>
                <w:sz w:val="21"/>
                <w:szCs w:val="21"/>
                <w:highlight w:val="none"/>
                <w:lang w:val="en-US" w:eastAsia="zh-CN"/>
              </w:rPr>
              <w:t xml:space="preserve">能上报突发公共卫生事件，代替传统的手工纸质上报卡。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ascii="宋体" w:hAnsi="宋体"/>
                <w:b w:val="0"/>
                <w:bCs/>
                <w:kern w:val="0"/>
                <w:sz w:val="21"/>
                <w:szCs w:val="21"/>
                <w:highlight w:val="none"/>
                <w:lang w:val="en-US" w:eastAsia="zh-CN"/>
              </w:rPr>
              <w:t>2)</w:t>
            </w:r>
            <w:r>
              <w:rPr>
                <w:rFonts w:hint="eastAsia" w:ascii="宋体" w:hAnsi="宋体"/>
                <w:b w:val="0"/>
                <w:bCs/>
                <w:kern w:val="0"/>
                <w:sz w:val="21"/>
                <w:szCs w:val="21"/>
                <w:highlight w:val="none"/>
                <w:lang w:val="en-US" w:eastAsia="zh-CN"/>
              </w:rPr>
              <w:tab/>
            </w:r>
            <w:r>
              <w:rPr>
                <w:rFonts w:hint="eastAsia" w:ascii="宋体" w:hAnsi="宋体"/>
                <w:b w:val="0"/>
                <w:bCs/>
                <w:kern w:val="0"/>
                <w:sz w:val="21"/>
                <w:szCs w:val="21"/>
                <w:highlight w:val="none"/>
                <w:lang w:val="en-US" w:eastAsia="zh-CN"/>
              </w:rPr>
              <w:t>系统自动预警提示新的上报卡。管理科室对上报的病例进行收集和管理,可以直接查看病人的详细电子病例信息,可以修改,审核,确认等操作及发送消息到临床。</w:t>
            </w:r>
            <w:r>
              <w:rPr>
                <w:rFonts w:hint="eastAsia"/>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b w:val="0"/>
                <w:bCs/>
                <w:kern w:val="0"/>
                <w:sz w:val="21"/>
                <w:szCs w:val="21"/>
                <w:highlight w:val="none"/>
                <w:lang w:eastAsia="zh-CN"/>
              </w:rPr>
            </w:pPr>
            <w:r>
              <w:rPr>
                <w:rFonts w:hint="eastAsia" w:ascii="宋体" w:hAnsi="宋体"/>
                <w:b w:val="0"/>
                <w:bCs/>
                <w:kern w:val="0"/>
                <w:sz w:val="21"/>
                <w:szCs w:val="21"/>
                <w:highlight w:val="none"/>
                <w:lang w:eastAsia="zh-CN"/>
              </w:rPr>
              <w:t>十二、</w:t>
            </w:r>
            <w:r>
              <w:rPr>
                <w:rFonts w:hint="eastAsia" w:ascii="宋体" w:hAnsi="宋体" w:eastAsia="宋体"/>
                <w:b w:val="0"/>
                <w:bCs/>
                <w:kern w:val="0"/>
                <w:sz w:val="21"/>
                <w:szCs w:val="21"/>
                <w:highlight w:val="none"/>
                <w:lang w:eastAsia="zh-CN"/>
              </w:rPr>
              <w:t>AFP管理</w:t>
            </w:r>
            <w:r>
              <w:rPr>
                <w:rFonts w:hint="eastAsia" w:ascii="宋体" w:hAnsi="宋体"/>
                <w:b w:val="0"/>
                <w:bCs/>
                <w:kern w:val="0"/>
                <w:sz w:val="21"/>
                <w:szCs w:val="21"/>
                <w:highlight w:val="none"/>
                <w:lang w:eastAsia="zh-CN"/>
              </w:rPr>
              <w:t>要求</w:t>
            </w:r>
          </w:p>
          <w:p>
            <w:pPr>
              <w:pStyle w:val="52"/>
              <w:spacing w:line="240" w:lineRule="auto"/>
              <w:ind w:firstLine="420" w:firstLineChars="200"/>
              <w:jc w:val="both"/>
              <w:rPr>
                <w:rFonts w:hint="eastAsia"/>
                <w:lang w:eastAsia="zh-CN"/>
              </w:rPr>
            </w:pPr>
            <w:r>
              <w:rPr>
                <w:rFonts w:hint="eastAsia" w:ascii="宋体" w:hAnsi="宋体" w:eastAsia="宋体" w:cs="Times New Roman"/>
                <w:b w:val="0"/>
                <w:bCs/>
                <w:color w:val="auto"/>
                <w:kern w:val="0"/>
                <w:sz w:val="21"/>
                <w:szCs w:val="21"/>
                <w:highlight w:val="none"/>
                <w:lang w:val="en-US" w:eastAsia="zh-CN" w:bidi="ar-SA"/>
              </w:rPr>
              <w:t>AFP 报告上报卡。管理科室对上报的病例进行收集和管理,可以直接查看病人的详细电子病例信息,可以修改,审核,确认等操作及发送消息到临床。</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textAlignment w:val="auto"/>
              <w:rPr>
                <w:rFonts w:hint="eastAsia" w:ascii="宋体" w:hAnsi="宋体" w:eastAsia="宋体"/>
                <w:b w:val="0"/>
                <w:bCs/>
                <w:kern w:val="0"/>
                <w:sz w:val="21"/>
                <w:szCs w:val="21"/>
                <w:highlight w:val="none"/>
                <w:lang w:eastAsia="zh-CN"/>
              </w:rPr>
            </w:pPr>
            <w:r>
              <w:rPr>
                <w:rFonts w:hint="eastAsia" w:ascii="宋体" w:hAnsi="宋体" w:eastAsia="宋体"/>
                <w:b w:val="0"/>
                <w:bCs/>
                <w:kern w:val="0"/>
                <w:sz w:val="21"/>
                <w:szCs w:val="21"/>
                <w:highlight w:val="none"/>
                <w:lang w:eastAsia="zh-CN"/>
              </w:rPr>
              <w:t>直报国网</w:t>
            </w:r>
            <w:r>
              <w:rPr>
                <w:rFonts w:hint="eastAsia" w:ascii="宋体" w:hAnsi="宋体"/>
                <w:b w:val="0"/>
                <w:bCs/>
                <w:kern w:val="0"/>
                <w:sz w:val="21"/>
                <w:szCs w:val="21"/>
                <w:highlight w:val="none"/>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b w:val="0"/>
                <w:bCs/>
                <w:kern w:val="0"/>
                <w:sz w:val="21"/>
                <w:szCs w:val="21"/>
                <w:highlight w:val="none"/>
                <w:lang w:eastAsia="zh-CN"/>
              </w:rPr>
            </w:pPr>
            <w:r>
              <w:rPr>
                <w:rFonts w:hint="eastAsia" w:ascii="宋体" w:hAnsi="宋体" w:eastAsia="宋体"/>
                <w:b w:val="0"/>
                <w:bCs/>
                <w:kern w:val="0"/>
                <w:sz w:val="21"/>
                <w:szCs w:val="21"/>
                <w:highlight w:val="none"/>
                <w:lang w:eastAsia="zh-CN"/>
              </w:rPr>
              <w:t>1.可直接从系统对接国家CDC网站，批量自动填充相关数据，并实现一健直报传染病。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b w:val="0"/>
                <w:bCs/>
                <w:kern w:val="0"/>
                <w:sz w:val="21"/>
                <w:szCs w:val="21"/>
                <w:highlight w:val="none"/>
                <w:lang w:eastAsia="zh-CN"/>
              </w:rPr>
            </w:pPr>
            <w:r>
              <w:rPr>
                <w:rFonts w:hint="eastAsia" w:ascii="宋体" w:hAnsi="宋体"/>
                <w:b w:val="0"/>
                <w:bCs/>
                <w:kern w:val="0"/>
                <w:sz w:val="21"/>
                <w:szCs w:val="21"/>
                <w:highlight w:val="none"/>
                <w:lang w:val="en-US" w:eastAsia="zh-CN"/>
              </w:rPr>
              <w:t>2.</w:t>
            </w:r>
            <w:r>
              <w:rPr>
                <w:rFonts w:hint="eastAsia" w:ascii="宋体" w:hAnsi="宋体" w:eastAsia="宋体"/>
                <w:b w:val="0"/>
                <w:bCs/>
                <w:kern w:val="0"/>
                <w:sz w:val="21"/>
                <w:szCs w:val="21"/>
                <w:highlight w:val="none"/>
                <w:lang w:eastAsia="zh-CN"/>
              </w:rPr>
              <w:t>可同时上报多条，可自动标识已上报便于处理。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b/>
                <w:kern w:val="0"/>
                <w:sz w:val="21"/>
                <w:szCs w:val="21"/>
                <w:highlight w:val="none"/>
                <w:lang w:eastAsia="zh-CN"/>
              </w:rPr>
            </w:pPr>
            <w:r>
              <w:rPr>
                <w:rFonts w:hint="eastAsia" w:ascii="宋体" w:hAnsi="宋体"/>
                <w:b w:val="0"/>
                <w:bCs/>
                <w:kern w:val="0"/>
                <w:sz w:val="21"/>
                <w:szCs w:val="21"/>
                <w:highlight w:val="none"/>
                <w:lang w:eastAsia="zh-CN"/>
              </w:rPr>
              <w:t>十四、系统集成要求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b w:val="0"/>
                <w:bCs/>
                <w:kern w:val="0"/>
                <w:sz w:val="21"/>
                <w:szCs w:val="21"/>
                <w:highlight w:val="none"/>
                <w:lang w:eastAsia="zh-CN"/>
              </w:rPr>
            </w:pPr>
            <w:r>
              <w:rPr>
                <w:rFonts w:hint="eastAsia" w:ascii="宋体" w:hAnsi="宋体"/>
                <w:b/>
                <w:bCs w:val="0"/>
                <w:kern w:val="0"/>
                <w:sz w:val="21"/>
                <w:szCs w:val="21"/>
                <w:highlight w:val="none"/>
              </w:rPr>
              <w:t>★</w:t>
            </w:r>
            <w:r>
              <w:rPr>
                <w:rFonts w:hint="eastAsia" w:ascii="宋体" w:hAnsi="宋体" w:cs="宋体"/>
                <w:b/>
                <w:bCs w:val="0"/>
                <w:sz w:val="21"/>
                <w:szCs w:val="21"/>
                <w:highlight w:val="none"/>
                <w:lang w:eastAsia="zh-CN"/>
              </w:rPr>
              <w:t>供应商</w:t>
            </w:r>
            <w:r>
              <w:rPr>
                <w:rFonts w:hint="eastAsia" w:ascii="宋体" w:hAnsi="宋体" w:cs="宋体"/>
                <w:b/>
                <w:bCs w:val="0"/>
                <w:sz w:val="21"/>
                <w:szCs w:val="21"/>
                <w:highlight w:val="none"/>
              </w:rPr>
              <w:t>必须充分考虑</w:t>
            </w:r>
            <w:r>
              <w:rPr>
                <w:rFonts w:hint="eastAsia" w:ascii="宋体" w:hAnsi="宋体" w:cs="宋体"/>
                <w:b/>
                <w:bCs w:val="0"/>
                <w:sz w:val="21"/>
                <w:szCs w:val="21"/>
                <w:highlight w:val="none"/>
                <w:lang w:eastAsia="zh-CN"/>
              </w:rPr>
              <w:t>所投产品</w:t>
            </w:r>
            <w:r>
              <w:rPr>
                <w:rFonts w:hint="eastAsia" w:ascii="宋体" w:hAnsi="宋体" w:cs="宋体"/>
                <w:b/>
                <w:bCs w:val="0"/>
                <w:sz w:val="21"/>
                <w:szCs w:val="21"/>
                <w:highlight w:val="none"/>
              </w:rPr>
              <w:t>与医院现有HIS系统的关系，要求</w:t>
            </w:r>
            <w:r>
              <w:rPr>
                <w:rFonts w:hint="eastAsia" w:ascii="宋体" w:hAnsi="宋体" w:cs="宋体"/>
                <w:b/>
                <w:bCs w:val="0"/>
                <w:sz w:val="21"/>
                <w:szCs w:val="21"/>
                <w:highlight w:val="none"/>
                <w:lang w:eastAsia="zh-CN"/>
              </w:rPr>
              <w:t>所投产品</w:t>
            </w:r>
            <w:r>
              <w:rPr>
                <w:rFonts w:hint="eastAsia" w:ascii="宋体" w:hAnsi="宋体" w:cs="宋体"/>
                <w:b/>
                <w:bCs w:val="0"/>
                <w:sz w:val="21"/>
                <w:szCs w:val="21"/>
                <w:highlight w:val="none"/>
              </w:rPr>
              <w:t>能与医院现有HIS系统实现无缝连接；要求在</w:t>
            </w:r>
            <w:r>
              <w:rPr>
                <w:rFonts w:hint="eastAsia" w:ascii="宋体" w:hAnsi="宋体" w:cs="宋体"/>
                <w:b/>
                <w:bCs w:val="0"/>
                <w:sz w:val="21"/>
                <w:szCs w:val="21"/>
                <w:highlight w:val="none"/>
                <w:lang w:eastAsia="zh-CN"/>
              </w:rPr>
              <w:t>响应</w:t>
            </w:r>
            <w:r>
              <w:rPr>
                <w:rFonts w:hint="eastAsia" w:ascii="宋体" w:hAnsi="宋体" w:cs="宋体"/>
                <w:b/>
                <w:bCs w:val="0"/>
                <w:sz w:val="21"/>
                <w:szCs w:val="21"/>
                <w:highlight w:val="none"/>
              </w:rPr>
              <w:t>文件中提供医院现有</w:t>
            </w:r>
            <w:r>
              <w:rPr>
                <w:rFonts w:ascii="宋体" w:hAnsi="宋体" w:cs="宋体"/>
                <w:b/>
                <w:bCs w:val="0"/>
                <w:sz w:val="21"/>
                <w:szCs w:val="21"/>
                <w:highlight w:val="none"/>
              </w:rPr>
              <w:t>HIS</w:t>
            </w:r>
            <w:r>
              <w:rPr>
                <w:rFonts w:hint="eastAsia" w:ascii="宋体" w:hAnsi="宋体" w:cs="宋体"/>
                <w:b/>
                <w:bCs w:val="0"/>
                <w:sz w:val="21"/>
                <w:szCs w:val="21"/>
                <w:highlight w:val="none"/>
              </w:rPr>
              <w:t>系统生产商或其本地分公司（医院现有HIS系统为“中联医院信息系统”）对本次</w:t>
            </w:r>
            <w:r>
              <w:rPr>
                <w:rFonts w:hint="eastAsia" w:ascii="宋体" w:hAnsi="宋体" w:cs="宋体"/>
                <w:b/>
                <w:bCs w:val="0"/>
                <w:sz w:val="21"/>
                <w:szCs w:val="21"/>
                <w:highlight w:val="none"/>
                <w:lang w:eastAsia="zh-CN"/>
              </w:rPr>
              <w:t>所投产品</w:t>
            </w:r>
            <w:r>
              <w:rPr>
                <w:rFonts w:hint="eastAsia" w:ascii="宋体" w:hAnsi="宋体" w:cs="宋体"/>
                <w:b/>
                <w:bCs w:val="0"/>
                <w:sz w:val="21"/>
                <w:szCs w:val="21"/>
                <w:highlight w:val="none"/>
              </w:rPr>
              <w:t>能与现有HIS系统实现数据无缝连接的说明文件复印件（原件备查）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58" w:type="dxa"/>
            <w:vAlign w:val="center"/>
          </w:tcPr>
          <w:p>
            <w:pPr>
              <w:bidi w:val="0"/>
              <w:spacing w:line="240" w:lineRule="auto"/>
              <w:ind w:left="0" w:leftChars="0" w:right="0" w:righ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260" w:type="dxa"/>
            <w:vAlign w:val="center"/>
          </w:tcPr>
          <w:p>
            <w:pPr>
              <w:keepNext w:val="0"/>
              <w:keepLines w:val="0"/>
              <w:widowControl/>
              <w:suppressLineNumbers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color w:val="000000"/>
                <w:sz w:val="21"/>
                <w:szCs w:val="21"/>
                <w:u w:val="none"/>
              </w:rPr>
              <w:t>电子病历测评4级HIS改造及评测服务</w:t>
            </w:r>
          </w:p>
        </w:tc>
        <w:tc>
          <w:tcPr>
            <w:tcW w:w="585" w:type="dxa"/>
            <w:gridSpan w:val="2"/>
            <w:vAlign w:val="center"/>
          </w:tcPr>
          <w:p>
            <w:pPr>
              <w:keepNext w:val="0"/>
              <w:keepLines w:val="0"/>
              <w:widowControl/>
              <w:suppressLineNumbers w:val="0"/>
              <w:spacing w:line="240" w:lineRule="auto"/>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615" w:type="dxa"/>
            <w:vAlign w:val="center"/>
          </w:tcPr>
          <w:p>
            <w:pPr>
              <w:keepNext w:val="0"/>
              <w:keepLines w:val="0"/>
              <w:widowControl/>
              <w:suppressLineNumbers w:val="0"/>
              <w:spacing w:line="240" w:lineRule="auto"/>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项</w:t>
            </w:r>
          </w:p>
        </w:tc>
        <w:tc>
          <w:tcPr>
            <w:tcW w:w="6504" w:type="dxa"/>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i w:val="0"/>
                <w:color w:val="000000"/>
                <w:sz w:val="21"/>
                <w:szCs w:val="21"/>
                <w:u w:val="none"/>
              </w:rPr>
            </w:pPr>
            <w:r>
              <w:rPr>
                <w:rFonts w:hint="eastAsia" w:ascii="宋体" w:hAnsi="宋体" w:cs="宋体"/>
                <w:b w:val="0"/>
                <w:bCs/>
                <w:i w:val="0"/>
                <w:color w:val="000000"/>
                <w:sz w:val="21"/>
                <w:szCs w:val="21"/>
                <w:u w:val="none"/>
                <w:lang w:eastAsia="zh-CN"/>
              </w:rPr>
              <w:t>要求提供</w:t>
            </w:r>
            <w:r>
              <w:rPr>
                <w:rFonts w:hint="eastAsia" w:ascii="宋体" w:hAnsi="宋体" w:eastAsia="宋体" w:cs="宋体"/>
                <w:b w:val="0"/>
                <w:bCs/>
                <w:i w:val="0"/>
                <w:color w:val="000000"/>
                <w:sz w:val="21"/>
                <w:szCs w:val="21"/>
                <w:u w:val="none"/>
              </w:rPr>
              <w:t>基础HIS四级改造</w:t>
            </w:r>
            <w:r>
              <w:rPr>
                <w:rFonts w:hint="eastAsia" w:ascii="宋体" w:hAnsi="宋体" w:cs="宋体"/>
                <w:b w:val="0"/>
                <w:bCs/>
                <w:i w:val="0"/>
                <w:color w:val="000000"/>
                <w:sz w:val="21"/>
                <w:szCs w:val="21"/>
                <w:u w:val="none"/>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cs="宋体"/>
                <w:b w:val="0"/>
                <w:bCs/>
                <w:i w:val="0"/>
                <w:color w:val="000000"/>
                <w:sz w:val="21"/>
                <w:szCs w:val="21"/>
                <w:u w:val="none"/>
                <w:lang w:eastAsia="zh-CN"/>
              </w:rPr>
              <w:t>要求</w:t>
            </w:r>
            <w:r>
              <w:rPr>
                <w:rFonts w:hint="eastAsia" w:ascii="新宋体" w:hAnsi="新宋体" w:eastAsia="新宋体" w:cs="宋体"/>
                <w:b w:val="0"/>
                <w:bCs/>
                <w:kern w:val="2"/>
                <w:sz w:val="21"/>
                <w:szCs w:val="21"/>
                <w:lang w:val="en-US"/>
              </w:rPr>
              <w:t>配合用户完成电子病历4级评测，提供相关的评测服务。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58" w:type="dxa"/>
            <w:vAlign w:val="center"/>
          </w:tcPr>
          <w:p>
            <w:pPr>
              <w:bidi w:val="0"/>
              <w:spacing w:line="240" w:lineRule="auto"/>
              <w:ind w:left="0" w:leftChars="0" w:right="0" w:righ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260" w:type="dxa"/>
            <w:vAlign w:val="center"/>
          </w:tcPr>
          <w:p>
            <w:pPr>
              <w:keepNext w:val="0"/>
              <w:keepLines w:val="0"/>
              <w:widowControl/>
              <w:suppressLineNumbers w:val="0"/>
              <w:spacing w:line="240" w:lineRule="auto"/>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业务服务器</w:t>
            </w:r>
          </w:p>
        </w:tc>
        <w:tc>
          <w:tcPr>
            <w:tcW w:w="585" w:type="dxa"/>
            <w:gridSpan w:val="2"/>
            <w:vAlign w:val="center"/>
          </w:tcPr>
          <w:p>
            <w:pPr>
              <w:keepNext w:val="0"/>
              <w:keepLines w:val="0"/>
              <w:widowControl/>
              <w:suppressLineNumbers w:val="0"/>
              <w:spacing w:line="240" w:lineRule="auto"/>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615" w:type="dxa"/>
            <w:vAlign w:val="center"/>
          </w:tcPr>
          <w:p>
            <w:pPr>
              <w:keepNext w:val="0"/>
              <w:keepLines w:val="0"/>
              <w:widowControl/>
              <w:suppressLineNumbers w:val="0"/>
              <w:spacing w:line="240" w:lineRule="auto"/>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台</w:t>
            </w:r>
          </w:p>
        </w:tc>
        <w:tc>
          <w:tcPr>
            <w:tcW w:w="65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1、外型：≥2U，机架式，标配原厂导轨；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2、处理器：实配2颗Intel至强可扩展系列处理器4210R，可支持最高205W处理器；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3、内存：实配4 * 16GB DDR4-2933内存，可扩展≥24个内存插槽，官方支持最大容量3TB，支持Advanced ECC、内存在线热备，具备内存主动式检测等功能；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4、★硬盘及托架：实配≥3块960G SSD 2.5硬盘，硬盘托架具备RAID重建时不可拔出硬盘提示指示灯；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5、内置硬盘插槽：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配置≥8个2.5寸热插拔硬盘槽位，可扩展至≥30个2.5寸热插拔硬盘槽位；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6、阵列控制器：实配≥1个SAS RAID阵列卡（不占用PCIE扩展槽），支持Raid0/1/10/5/6，支持RAID 1 ADM/RAID10 ADM (3盘镜像，调整缓存读写比例等功能)；实配≥2GB缓存，支持缓存数据保护，且后备保护时间不受限制；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7、I/O插槽：可扩展≥8个标准PCIE 3.0插槽（不含阵列卡和网卡专用插槽）；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8、网卡：实配≥4个千兆电以太网口；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9、★GPU：可支持≥3块企业级双宽或7个单宽GPU；</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10、接口：实配≥5个USB 3.0接口；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11、电源：实配2个≥500w铂金版热插拔冗余电源，支持96%能效比的钛金版电源选件；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12、风扇：实配≥6个热拔插冗余；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13、远程管理：配置≥1Gb独立的远程管理控制端口，可选配置前面板独立的USB管理端口；配置虚拟KVM功能,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配置4GB Flash，可存放系统日志，内嵌操作系统导航安装环境，实现无物理光盘介质部署操作系统；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智能调优：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联合管理：嵌入式管理工具支持联合管理功能，无需软件即可实现多台服务器统一管理功能，如监控硬件健康状况，固件升级等；免费提供升级工具，无需安装代理即可可统一升级同一网络中服务器的固件及驱动程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16、管理芯片安全功能：提供基于芯片级别的安全技术，管理芯片原厂商设计和生产，管理芯片功能代码在芯片生产阶段一次性写入；提供管理芯片运行期间的实时监测，提供防篡改升级、固件安全恢复、固件回滚和固件安全擦除技术，可在监测到威胁时基于上述技术采取处理措施，保护系统安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17、售后服务：提供原厂商3年5*9 NBD技术支持服务，同时提供原厂首次硬件基本安装服务。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422" w:type="dxa"/>
            <w:gridSpan w:val="6"/>
            <w:vAlign w:val="center"/>
          </w:tcPr>
          <w:p>
            <w:pPr>
              <w:widowControl/>
              <w:shd w:val="clear" w:color="auto" w:fill="FFFFFF"/>
              <w:spacing w:line="240" w:lineRule="auto"/>
              <w:ind w:left="0" w:leftChars="0" w:right="0" w:rightChars="0" w:firstLine="0" w:firstLineChars="0"/>
              <w:jc w:val="left"/>
              <w:rPr>
                <w:rFonts w:hint="eastAsia" w:ascii="宋体" w:hAnsi="宋体" w:eastAsia="宋体" w:cs="宋体"/>
                <w:sz w:val="21"/>
                <w:szCs w:val="21"/>
                <w:lang w:eastAsia="zh-CN"/>
              </w:rPr>
            </w:pPr>
            <w:r>
              <w:rPr>
                <w:rFonts w:hint="eastAsia" w:ascii="宋体" w:hAnsi="宋体" w:eastAsia="宋体" w:cs="宋体"/>
                <w:b/>
                <w:bCs w:val="0"/>
                <w:sz w:val="21"/>
                <w:szCs w:val="21"/>
                <w:lang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209" w:type="dxa"/>
            <w:gridSpan w:val="3"/>
            <w:vAlign w:val="center"/>
          </w:tcPr>
          <w:p>
            <w:pPr>
              <w:widowControl/>
              <w:shd w:val="clear" w:color="auto" w:fill="FFFFFF"/>
              <w:spacing w:line="240" w:lineRule="auto"/>
              <w:jc w:val="center"/>
              <w:rPr>
                <w:rFonts w:hint="eastAsia" w:ascii="宋体" w:hAnsi="宋体" w:cs="宋体"/>
                <w:sz w:val="21"/>
                <w:szCs w:val="21"/>
                <w:lang w:eastAsia="zh-CN"/>
              </w:rPr>
            </w:pPr>
            <w:r>
              <w:rPr>
                <w:rFonts w:hint="eastAsia" w:ascii="宋体" w:hAnsi="宋体" w:eastAsia="宋体" w:cs="宋体"/>
                <w:bCs/>
                <w:sz w:val="21"/>
                <w:szCs w:val="21"/>
                <w:lang w:val="en-US" w:eastAsia="zh-CN"/>
              </w:rPr>
              <w:t>服务期限及服务地点</w:t>
            </w:r>
          </w:p>
        </w:tc>
        <w:tc>
          <w:tcPr>
            <w:tcW w:w="7213" w:type="dxa"/>
            <w:gridSpan w:val="3"/>
            <w:vAlign w:val="center"/>
          </w:tcPr>
          <w:p>
            <w:pPr>
              <w:pStyle w:val="8"/>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1.交付使用时间：自签订合同之日起90日内交付使用。</w:t>
            </w:r>
          </w:p>
          <w:p>
            <w:pPr>
              <w:widowControl/>
              <w:shd w:val="clear" w:color="auto" w:fill="FFFFFF"/>
              <w:spacing w:line="240" w:lineRule="auto"/>
              <w:ind w:firstLine="420" w:firstLineChars="200"/>
              <w:jc w:val="left"/>
              <w:rPr>
                <w:rFonts w:hint="eastAsia" w:ascii="宋体" w:hAnsi="宋体" w:eastAsia="宋体" w:cs="宋体"/>
                <w:sz w:val="21"/>
                <w:szCs w:val="21"/>
                <w:lang w:eastAsia="zh-CN"/>
              </w:rPr>
            </w:pPr>
            <w:r>
              <w:rPr>
                <w:rFonts w:hint="eastAsia" w:ascii="宋体" w:hAnsi="宋体" w:cs="宋体"/>
                <w:bCs/>
                <w:sz w:val="21"/>
                <w:szCs w:val="21"/>
                <w:lang w:val="en-US" w:eastAsia="zh-CN"/>
              </w:rPr>
              <w:t>2</w:t>
            </w:r>
            <w:r>
              <w:rPr>
                <w:rFonts w:hint="eastAsia" w:ascii="宋体" w:hAnsi="宋体" w:eastAsia="宋体" w:cs="宋体"/>
                <w:bCs/>
                <w:sz w:val="21"/>
                <w:szCs w:val="21"/>
                <w:lang w:val="en-US" w:eastAsia="zh-CN"/>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209" w:type="dxa"/>
            <w:gridSpan w:val="3"/>
            <w:vAlign w:val="center"/>
          </w:tcPr>
          <w:p>
            <w:pPr>
              <w:widowControl/>
              <w:shd w:val="clear" w:color="auto" w:fill="FFFFFF"/>
              <w:spacing w:line="240" w:lineRule="auto"/>
              <w:jc w:val="center"/>
              <w:rPr>
                <w:rFonts w:hint="eastAsia" w:ascii="宋体" w:hAnsi="宋体" w:cs="宋体"/>
                <w:sz w:val="21"/>
                <w:szCs w:val="21"/>
                <w:lang w:eastAsia="zh-CN"/>
              </w:rPr>
            </w:pPr>
            <w:r>
              <w:rPr>
                <w:rFonts w:hint="eastAsia" w:ascii="宋体" w:hAnsi="宋体" w:eastAsia="宋体" w:cs="宋体"/>
                <w:bCs/>
                <w:sz w:val="21"/>
                <w:szCs w:val="21"/>
                <w:highlight w:val="none"/>
                <w:lang w:val="en-US" w:eastAsia="zh-CN"/>
              </w:rPr>
              <w:t>★售后服务要求</w:t>
            </w:r>
          </w:p>
        </w:tc>
        <w:tc>
          <w:tcPr>
            <w:tcW w:w="7213" w:type="dxa"/>
            <w:gridSpan w:val="3"/>
            <w:vAlign w:val="center"/>
          </w:tcPr>
          <w:p>
            <w:pPr>
              <w:widowControl/>
              <w:numPr>
                <w:ilvl w:val="0"/>
                <w:numId w:val="0"/>
              </w:numPr>
              <w:shd w:val="clear" w:color="auto" w:fill="FFFFFF"/>
              <w:spacing w:line="240" w:lineRule="auto"/>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    1.</w:t>
            </w:r>
            <w:r>
              <w:rPr>
                <w:rFonts w:hint="eastAsia" w:ascii="宋体" w:hAnsi="宋体" w:eastAsia="宋体" w:cs="宋体"/>
                <w:sz w:val="21"/>
                <w:szCs w:val="21"/>
                <w:highlight w:val="none"/>
              </w:rPr>
              <w:t>★</w:t>
            </w:r>
            <w:r>
              <w:rPr>
                <w:rFonts w:ascii="宋体" w:hAnsi="宋体"/>
                <w:sz w:val="21"/>
                <w:szCs w:val="21"/>
              </w:rPr>
              <w:t>质保期</w:t>
            </w:r>
            <w:r>
              <w:rPr>
                <w:rFonts w:hint="eastAsia" w:ascii="宋体" w:hAnsi="宋体"/>
                <w:sz w:val="21"/>
                <w:szCs w:val="21"/>
              </w:rPr>
              <w:t>从</w:t>
            </w:r>
            <w:r>
              <w:rPr>
                <w:rFonts w:ascii="宋体" w:hAnsi="宋体"/>
                <w:sz w:val="21"/>
                <w:szCs w:val="21"/>
              </w:rPr>
              <w:t>验收合格之日起</w:t>
            </w:r>
            <w:r>
              <w:rPr>
                <w:rFonts w:hint="eastAsia" w:ascii="宋体" w:hAnsi="宋体"/>
                <w:sz w:val="21"/>
                <w:szCs w:val="21"/>
              </w:rPr>
              <w:t>不少于一</w:t>
            </w:r>
            <w:r>
              <w:rPr>
                <w:rFonts w:ascii="宋体" w:hAnsi="宋体"/>
                <w:sz w:val="21"/>
                <w:szCs w:val="21"/>
              </w:rPr>
              <w:t>年</w:t>
            </w:r>
            <w:r>
              <w:rPr>
                <w:rFonts w:hint="eastAsia" w:ascii="宋体" w:hAnsi="宋体"/>
                <w:sz w:val="21"/>
                <w:szCs w:val="21"/>
                <w:lang w:eastAsia="zh-CN"/>
              </w:rPr>
              <w:t>，</w:t>
            </w:r>
            <w:r>
              <w:rPr>
                <w:rFonts w:hint="eastAsia" w:ascii="宋体" w:hAnsi="宋体" w:eastAsia="宋体" w:cs="宋体"/>
                <w:bCs/>
                <w:sz w:val="21"/>
                <w:szCs w:val="21"/>
                <w:highlight w:val="none"/>
                <w:lang w:val="en-US" w:eastAsia="zh-CN"/>
              </w:rPr>
              <w:t>服务期限</w:t>
            </w:r>
            <w:r>
              <w:rPr>
                <w:rFonts w:hint="eastAsia" w:ascii="宋体" w:hAnsi="宋体" w:eastAsia="宋体" w:cs="宋体"/>
                <w:sz w:val="21"/>
                <w:szCs w:val="21"/>
                <w:highlight w:val="none"/>
                <w:lang w:val="en-US" w:eastAsia="zh-CN"/>
              </w:rPr>
              <w:t>内出现故障，需派出技术工程师到达现场处理故障的，供应商承担一切费用（请提供技术援助电话和售后服务电话）。</w:t>
            </w:r>
          </w:p>
          <w:p>
            <w:pPr>
              <w:widowControl/>
              <w:numPr>
                <w:ilvl w:val="0"/>
                <w:numId w:val="0"/>
              </w:numPr>
              <w:shd w:val="clear" w:color="auto" w:fill="FFFFFF"/>
              <w:spacing w:line="240" w:lineRule="auto"/>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供应商</w:t>
            </w:r>
            <w:r>
              <w:rPr>
                <w:rFonts w:hint="eastAsia" w:ascii="宋体" w:hAnsi="宋体" w:eastAsia="宋体" w:cs="宋体"/>
                <w:sz w:val="21"/>
                <w:szCs w:val="21"/>
                <w:highlight w:val="none"/>
              </w:rPr>
              <w:t>须保证系统能够长期安全、可靠、高效运行，必须提供软件的现场安装服务和技术后援支持，为今后系统中软件提供长期的技术支持。技术支持的方式包括：电话技术支持服务，现场技术服务、定期巡查服务，技术升级服务等。</w:t>
            </w:r>
          </w:p>
          <w:p>
            <w:pPr>
              <w:widowControl/>
              <w:numPr>
                <w:ilvl w:val="0"/>
                <w:numId w:val="0"/>
              </w:numPr>
              <w:shd w:val="clear" w:color="auto" w:fill="FFFFFF"/>
              <w:spacing w:line="240" w:lineRule="auto"/>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lang w:val="en-US" w:eastAsia="zh-CN"/>
              </w:rPr>
              <w:t>磋商所投产品</w:t>
            </w:r>
            <w:r>
              <w:rPr>
                <w:rFonts w:hint="eastAsia" w:ascii="宋体" w:hAnsi="宋体" w:eastAsia="宋体" w:cs="宋体"/>
                <w:color w:val="000000"/>
                <w:sz w:val="21"/>
                <w:szCs w:val="21"/>
                <w:highlight w:val="none"/>
              </w:rPr>
              <w:t>在系统维护期内出现严重的故障，</w:t>
            </w:r>
            <w:r>
              <w:rPr>
                <w:rFonts w:hint="eastAsia" w:ascii="宋体" w:hAnsi="宋体" w:eastAsia="宋体" w:cs="宋体"/>
                <w:color w:val="000000"/>
                <w:sz w:val="21"/>
                <w:szCs w:val="21"/>
                <w:highlight w:val="none"/>
                <w:lang w:eastAsia="zh-CN"/>
              </w:rPr>
              <w:t>成交供应商</w:t>
            </w:r>
            <w:r>
              <w:rPr>
                <w:rFonts w:hint="eastAsia" w:ascii="宋体" w:hAnsi="宋体" w:eastAsia="宋体" w:cs="宋体"/>
                <w:color w:val="000000"/>
                <w:sz w:val="21"/>
                <w:szCs w:val="21"/>
                <w:highlight w:val="none"/>
              </w:rPr>
              <w:t>在接到故障信息后</w:t>
            </w:r>
            <w:r>
              <w:rPr>
                <w:rFonts w:hint="eastAsia" w:ascii="宋体" w:hAnsi="宋体" w:eastAsia="宋体" w:cs="宋体"/>
                <w:color w:val="000000"/>
                <w:sz w:val="21"/>
                <w:szCs w:val="21"/>
                <w:highlight w:val="none"/>
                <w:lang w:eastAsia="zh-CN"/>
              </w:rPr>
              <w:t>需</w:t>
            </w:r>
            <w:r>
              <w:rPr>
                <w:rFonts w:hint="eastAsia" w:ascii="宋体" w:hAnsi="宋体" w:eastAsia="宋体" w:cs="宋体"/>
                <w:color w:val="000000"/>
                <w:sz w:val="21"/>
                <w:szCs w:val="21"/>
                <w:highlight w:val="none"/>
              </w:rPr>
              <w:t>派遣工程师到达</w:t>
            </w:r>
            <w:r>
              <w:rPr>
                <w:rFonts w:hint="eastAsia" w:ascii="宋体" w:hAnsi="宋体" w:eastAsia="宋体" w:cs="宋体"/>
                <w:color w:val="000000"/>
                <w:sz w:val="21"/>
                <w:szCs w:val="21"/>
                <w:highlight w:val="none"/>
                <w:lang w:eastAsia="zh-CN"/>
              </w:rPr>
              <w:t>现场，现场响应时间</w:t>
            </w:r>
            <w:r>
              <w:rPr>
                <w:rFonts w:hint="eastAsia" w:ascii="宋体" w:hAnsi="宋体" w:eastAsia="宋体" w:cs="宋体"/>
                <w:color w:val="000000"/>
                <w:sz w:val="21"/>
                <w:szCs w:val="21"/>
                <w:highlight w:val="none"/>
                <w:lang w:val="en-US" w:eastAsia="zh-CN"/>
              </w:rPr>
              <w:t>7*8小时</w:t>
            </w:r>
            <w:r>
              <w:rPr>
                <w:rFonts w:hint="eastAsia" w:ascii="宋体" w:hAnsi="宋体" w:eastAsia="宋体" w:cs="宋体"/>
                <w:color w:val="000000"/>
                <w:sz w:val="21"/>
                <w:szCs w:val="21"/>
                <w:highlight w:val="none"/>
                <w:lang w:eastAsia="zh-CN"/>
              </w:rPr>
              <w:t>。</w:t>
            </w:r>
          </w:p>
          <w:p>
            <w:pPr>
              <w:widowControl/>
              <w:numPr>
                <w:ilvl w:val="0"/>
                <w:numId w:val="0"/>
              </w:numPr>
              <w:shd w:val="clear" w:color="auto" w:fill="FFFFFF"/>
              <w:spacing w:line="240" w:lineRule="auto"/>
              <w:ind w:firstLine="420" w:firstLineChars="200"/>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免费提供每周7天,每天8小时不间断的电话支持服务，解答采购人在系统使用、维护过程中遇到的问题，并及时提出解决问题的建议和操作方法；定期回访、维护；服务响应时间：一般故障24小时；严重故障12小时。</w:t>
            </w:r>
          </w:p>
          <w:p>
            <w:pPr>
              <w:widowControl/>
              <w:numPr>
                <w:ilvl w:val="0"/>
                <w:numId w:val="0"/>
              </w:numPr>
              <w:shd w:val="clear" w:color="auto" w:fill="FFFFFF"/>
              <w:spacing w:line="240" w:lineRule="auto"/>
              <w:ind w:firstLine="420" w:firstLineChars="200"/>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5.需在得到采购人允许的情况下，提供网络远程服务，通过远程对故障进行诊断、分析和解决。</w:t>
            </w:r>
          </w:p>
          <w:p>
            <w:pPr>
              <w:widowControl/>
              <w:numPr>
                <w:ilvl w:val="0"/>
                <w:numId w:val="0"/>
              </w:numPr>
              <w:shd w:val="clear" w:color="auto" w:fill="FFFFFF"/>
              <w:spacing w:line="240" w:lineRule="auto"/>
              <w:ind w:firstLine="420" w:firstLineChars="200"/>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6.需提供现场服务，电话、远程解决不了的故障，需根据问题紧急情况及时安排工程师到现场处理。</w:t>
            </w:r>
          </w:p>
          <w:p>
            <w:pPr>
              <w:widowControl/>
              <w:numPr>
                <w:ilvl w:val="0"/>
                <w:numId w:val="0"/>
              </w:numPr>
              <w:shd w:val="clear" w:color="auto" w:fill="FFFFFF"/>
              <w:spacing w:line="240" w:lineRule="auto"/>
              <w:ind w:firstLine="420" w:firstLineChars="200"/>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7.有重大通告、提醒、和产品通用补丁时，需及时通知医院，并提供途径下载。</w:t>
            </w:r>
          </w:p>
          <w:p>
            <w:pPr>
              <w:widowControl/>
              <w:numPr>
                <w:ilvl w:val="0"/>
                <w:numId w:val="0"/>
              </w:numPr>
              <w:shd w:val="clear" w:color="auto" w:fill="FFFFFF"/>
              <w:spacing w:line="240" w:lineRule="auto"/>
              <w:ind w:left="0" w:leftChars="0"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必须具有售后服务能力，具有能胜任本项目日常技术维护工作的技术人员,以保证对用户的快速服务响应，提供优质的售后服务；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209" w:type="dxa"/>
            <w:gridSpan w:val="3"/>
            <w:vAlign w:val="center"/>
          </w:tcPr>
          <w:p>
            <w:pPr>
              <w:widowControl/>
              <w:shd w:val="clear" w:color="auto" w:fill="FFFFFF"/>
              <w:spacing w:line="240" w:lineRule="auto"/>
              <w:jc w:val="center"/>
              <w:rPr>
                <w:rFonts w:hint="eastAsia" w:ascii="宋体" w:hAnsi="宋体" w:cs="宋体"/>
                <w:sz w:val="21"/>
                <w:szCs w:val="21"/>
                <w:lang w:eastAsia="zh-CN"/>
              </w:rPr>
            </w:pPr>
            <w:r>
              <w:rPr>
                <w:rFonts w:hint="eastAsia" w:ascii="宋体" w:hAnsi="宋体" w:eastAsia="宋体" w:cs="宋体"/>
                <w:bCs/>
                <w:sz w:val="21"/>
                <w:szCs w:val="21"/>
                <w:lang w:val="en-US" w:eastAsia="zh-CN"/>
              </w:rPr>
              <w:t>培训要求</w:t>
            </w:r>
          </w:p>
        </w:tc>
        <w:tc>
          <w:tcPr>
            <w:tcW w:w="7213" w:type="dxa"/>
            <w:gridSpan w:val="3"/>
            <w:vAlign w:val="center"/>
          </w:tcPr>
          <w:p>
            <w:pPr>
              <w:widowControl/>
              <w:shd w:val="clear" w:color="auto" w:fill="FFFFFF"/>
              <w:spacing w:line="24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bCs/>
                <w:sz w:val="21"/>
                <w:szCs w:val="21"/>
                <w:lang w:val="en-US" w:eastAsia="zh-CN"/>
              </w:rPr>
              <w:t>供应商应就产品的安装、调试、维护、管理等对采购人技术人员和维护人员进行现场免费培训，并提供相应的管理方法和手段，直至指定相应人员完全掌握操作、基本维护技术为止。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209" w:type="dxa"/>
            <w:gridSpan w:val="3"/>
            <w:vAlign w:val="center"/>
          </w:tcPr>
          <w:p>
            <w:pPr>
              <w:widowControl/>
              <w:shd w:val="clear" w:color="auto" w:fill="FFFFFF"/>
              <w:spacing w:line="240" w:lineRule="auto"/>
              <w:ind w:firstLine="420" w:firstLineChars="200"/>
              <w:jc w:val="center"/>
              <w:rPr>
                <w:rFonts w:hint="eastAsia" w:ascii="宋体" w:hAnsi="宋体" w:cs="宋体"/>
                <w:sz w:val="21"/>
                <w:szCs w:val="21"/>
                <w:lang w:eastAsia="zh-CN"/>
              </w:rPr>
            </w:pPr>
            <w:r>
              <w:rPr>
                <w:rFonts w:hint="eastAsia" w:ascii="宋体" w:hAnsi="宋体" w:eastAsia="宋体" w:cs="宋体"/>
                <w:bCs/>
                <w:sz w:val="21"/>
                <w:szCs w:val="21"/>
                <w:highlight w:val="none"/>
                <w:lang w:val="en-US" w:eastAsia="zh-CN"/>
              </w:rPr>
              <w:t>其他要求</w:t>
            </w:r>
          </w:p>
        </w:tc>
        <w:tc>
          <w:tcPr>
            <w:tcW w:w="7213" w:type="dxa"/>
            <w:gridSpan w:val="3"/>
            <w:vAlign w:val="center"/>
          </w:tcPr>
          <w:p>
            <w:pPr>
              <w:widowControl/>
              <w:shd w:val="clear" w:color="auto" w:fill="FFFFFF"/>
              <w:spacing w:line="240" w:lineRule="auto"/>
              <w:ind w:firstLine="420" w:firstLineChars="200"/>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1.合同签订：成交供应商自成交通知书发出之日起</w:t>
            </w:r>
            <w:r>
              <w:rPr>
                <w:rFonts w:hint="eastAsia" w:ascii="宋体" w:hAnsi="宋体" w:cs="宋体"/>
                <w:bCs/>
                <w:sz w:val="21"/>
                <w:szCs w:val="21"/>
                <w:highlight w:val="none"/>
                <w:lang w:val="en-US" w:eastAsia="zh-CN"/>
              </w:rPr>
              <w:t>15</w:t>
            </w:r>
            <w:r>
              <w:rPr>
                <w:rFonts w:hint="eastAsia" w:ascii="宋体" w:hAnsi="宋体" w:eastAsia="宋体" w:cs="宋体"/>
                <w:bCs/>
                <w:sz w:val="21"/>
                <w:szCs w:val="21"/>
                <w:highlight w:val="none"/>
                <w:lang w:val="en-US" w:eastAsia="zh-CN"/>
              </w:rPr>
              <w:t>天内与采购人签订合同，逾期视为放弃成交资格。</w:t>
            </w:r>
          </w:p>
          <w:p>
            <w:pPr>
              <w:widowControl/>
              <w:shd w:val="clear" w:color="auto" w:fill="FFFFFF"/>
              <w:spacing w:line="24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val="zh-CN" w:eastAsia="zh-CN"/>
              </w:rPr>
              <w:t>付款方式：由甲乙</w:t>
            </w:r>
            <w:r>
              <w:rPr>
                <w:rFonts w:hint="eastAsia" w:ascii="宋体" w:hAnsi="宋体" w:eastAsia="宋体" w:cs="宋体"/>
                <w:bCs/>
                <w:sz w:val="21"/>
                <w:szCs w:val="21"/>
                <w:highlight w:val="none"/>
                <w:lang w:val="en-US" w:eastAsia="zh-CN"/>
              </w:rPr>
              <w:t>双方协商并在合同中明确。</w:t>
            </w:r>
          </w:p>
        </w:tc>
      </w:tr>
    </w:tbl>
    <w:p>
      <w:pPr>
        <w:pStyle w:val="21"/>
        <w:spacing w:line="240" w:lineRule="auto"/>
        <w:ind w:left="-269" w:firstLine="424"/>
        <w:rPr>
          <w:rFonts w:ascii="宋体" w:cs="宋体"/>
          <w:sz w:val="21"/>
          <w:szCs w:val="21"/>
        </w:rPr>
      </w:pPr>
    </w:p>
    <w:p>
      <w:pPr>
        <w:pStyle w:val="21"/>
        <w:ind w:left="0" w:leftChars="0" w:firstLine="0" w:firstLineChars="0"/>
        <w:rPr>
          <w:rFonts w:ascii="宋体" w:cs="宋体"/>
          <w:b/>
          <w:sz w:val="32"/>
          <w:szCs w:val="32"/>
        </w:rPr>
      </w:pPr>
      <w:bookmarkStart w:id="4" w:name="_Toc419886376"/>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pStyle w:val="21"/>
        <w:ind w:left="0" w:leftChars="0" w:firstLine="0" w:firstLineChars="0"/>
        <w:rPr>
          <w:rFonts w:ascii="宋体" w:cs="宋体"/>
          <w:b/>
          <w:sz w:val="32"/>
          <w:szCs w:val="32"/>
        </w:rPr>
      </w:pPr>
    </w:p>
    <w:p>
      <w:pPr>
        <w:spacing w:line="400" w:lineRule="exact"/>
        <w:outlineLvl w:val="0"/>
        <w:rPr>
          <w:rFonts w:ascii="宋体" w:cs="宋体"/>
          <w:b/>
          <w:sz w:val="32"/>
          <w:szCs w:val="32"/>
        </w:rPr>
      </w:pPr>
    </w:p>
    <w:p>
      <w:pPr>
        <w:spacing w:line="400" w:lineRule="exact"/>
        <w:ind w:firstLine="482" w:firstLineChars="150"/>
        <w:jc w:val="center"/>
        <w:outlineLvl w:val="0"/>
        <w:rPr>
          <w:rFonts w:ascii="宋体" w:cs="宋体"/>
          <w:b/>
          <w:sz w:val="32"/>
          <w:szCs w:val="32"/>
        </w:rPr>
      </w:pPr>
      <w:r>
        <w:rPr>
          <w:rFonts w:hint="eastAsia" w:ascii="宋体" w:hAnsi="宋体" w:cs="宋体"/>
          <w:b/>
          <w:sz w:val="32"/>
          <w:szCs w:val="32"/>
        </w:rPr>
        <w:t>第四章</w:t>
      </w:r>
      <w:r>
        <w:rPr>
          <w:rFonts w:ascii="宋体" w:hAnsi="宋体" w:cs="宋体"/>
          <w:b/>
          <w:sz w:val="32"/>
          <w:szCs w:val="32"/>
        </w:rPr>
        <w:t xml:space="preserve"> </w:t>
      </w:r>
      <w:r>
        <w:rPr>
          <w:rFonts w:hint="eastAsia" w:ascii="宋体" w:hAnsi="宋体" w:cs="宋体"/>
          <w:b/>
          <w:sz w:val="32"/>
          <w:szCs w:val="32"/>
        </w:rPr>
        <w:t>响应文件格式</w:t>
      </w:r>
      <w:bookmarkEnd w:id="4"/>
    </w:p>
    <w:p>
      <w:pPr>
        <w:pStyle w:val="12"/>
        <w:spacing w:line="380" w:lineRule="exact"/>
        <w:jc w:val="center"/>
        <w:rPr>
          <w:rFonts w:hAnsi="宋体" w:cs="宋体"/>
          <w:b/>
          <w:sz w:val="32"/>
          <w:szCs w:val="32"/>
        </w:rPr>
      </w:pPr>
    </w:p>
    <w:p>
      <w:pPr>
        <w:pStyle w:val="12"/>
        <w:spacing w:line="380" w:lineRule="exact"/>
        <w:jc w:val="center"/>
        <w:rPr>
          <w:rFonts w:hAnsi="宋体" w:cs="宋体"/>
          <w:b/>
          <w:sz w:val="32"/>
          <w:szCs w:val="32"/>
        </w:rPr>
      </w:pPr>
    </w:p>
    <w:p>
      <w:pPr>
        <w:pStyle w:val="12"/>
        <w:spacing w:line="380" w:lineRule="exact"/>
        <w:jc w:val="center"/>
        <w:rPr>
          <w:rFonts w:hAnsi="宋体" w:cs="宋体"/>
          <w:b/>
          <w:sz w:val="32"/>
          <w:szCs w:val="32"/>
        </w:rPr>
      </w:pPr>
    </w:p>
    <w:p>
      <w:pPr>
        <w:pStyle w:val="12"/>
        <w:spacing w:line="380" w:lineRule="exact"/>
        <w:jc w:val="center"/>
        <w:rPr>
          <w:rFonts w:hAnsi="宋体" w:cs="宋体"/>
          <w:b/>
          <w:sz w:val="32"/>
          <w:szCs w:val="32"/>
        </w:rPr>
      </w:pPr>
    </w:p>
    <w:p>
      <w:pPr>
        <w:pStyle w:val="12"/>
        <w:spacing w:line="380" w:lineRule="exact"/>
        <w:jc w:val="center"/>
        <w:rPr>
          <w:rFonts w:hAnsi="宋体" w:cs="宋体"/>
          <w:b/>
          <w:sz w:val="32"/>
          <w:szCs w:val="32"/>
        </w:rPr>
      </w:pPr>
      <w:r>
        <w:rPr>
          <w:rFonts w:hAnsi="宋体" w:cs="宋体"/>
          <w:b/>
          <w:sz w:val="32"/>
          <w:szCs w:val="32"/>
        </w:rPr>
        <w:t xml:space="preserve">                             </w:t>
      </w:r>
      <w:r>
        <w:rPr>
          <w:rFonts w:hint="eastAsia" w:hAnsi="宋体" w:cs="宋体"/>
          <w:b/>
          <w:sz w:val="32"/>
          <w:szCs w:val="32"/>
        </w:rPr>
        <w:t>正</w:t>
      </w:r>
      <w:r>
        <w:rPr>
          <w:rFonts w:hAnsi="宋体" w:cs="宋体"/>
          <w:b/>
          <w:sz w:val="32"/>
          <w:szCs w:val="32"/>
        </w:rPr>
        <w:t>/</w:t>
      </w:r>
      <w:r>
        <w:rPr>
          <w:rFonts w:hint="eastAsia" w:hAnsi="宋体" w:cs="宋体"/>
          <w:b/>
          <w:sz w:val="32"/>
          <w:szCs w:val="32"/>
        </w:rPr>
        <w:t>副</w:t>
      </w:r>
    </w:p>
    <w:p>
      <w:pPr>
        <w:pStyle w:val="12"/>
        <w:spacing w:line="380" w:lineRule="exact"/>
        <w:jc w:val="center"/>
        <w:rPr>
          <w:rFonts w:hAnsi="宋体" w:cs="宋体"/>
          <w:b/>
          <w:sz w:val="32"/>
          <w:szCs w:val="32"/>
        </w:rPr>
      </w:pPr>
    </w:p>
    <w:p>
      <w:pPr>
        <w:pStyle w:val="12"/>
        <w:spacing w:line="380" w:lineRule="exact"/>
        <w:jc w:val="center"/>
        <w:rPr>
          <w:rFonts w:hAnsi="宋体" w:cs="宋体"/>
          <w:b/>
          <w:sz w:val="32"/>
          <w:szCs w:val="32"/>
        </w:rPr>
      </w:pPr>
    </w:p>
    <w:p>
      <w:pPr>
        <w:spacing w:line="400" w:lineRule="exact"/>
        <w:ind w:left="441" w:leftChars="172" w:hanging="80" w:hangingChars="25"/>
        <w:jc w:val="center"/>
        <w:rPr>
          <w:rFonts w:ascii="宋体" w:cs="宋体"/>
          <w:b/>
          <w:sz w:val="28"/>
          <w:szCs w:val="28"/>
        </w:rPr>
      </w:pPr>
      <w:r>
        <w:rPr>
          <w:rFonts w:hint="eastAsia" w:ascii="宋体" w:hAnsi="宋体" w:cs="宋体"/>
          <w:b/>
          <w:sz w:val="32"/>
          <w:szCs w:val="32"/>
        </w:rPr>
        <w:t>响应文件</w:t>
      </w:r>
      <w:r>
        <w:rPr>
          <w:rFonts w:hint="eastAsia" w:ascii="宋体" w:hAnsi="宋体" w:cs="宋体"/>
          <w:b/>
          <w:sz w:val="28"/>
          <w:szCs w:val="28"/>
        </w:rPr>
        <w:t>（封面）</w:t>
      </w:r>
    </w:p>
    <w:p>
      <w:pPr>
        <w:spacing w:line="360" w:lineRule="auto"/>
        <w:ind w:left="413" w:leftChars="172" w:hanging="52" w:hangingChars="25"/>
        <w:jc w:val="left"/>
        <w:rPr>
          <w:rFonts w:ascii="宋体" w:cs="宋体"/>
          <w:szCs w:val="21"/>
        </w:rPr>
      </w:pPr>
    </w:p>
    <w:p>
      <w:pPr>
        <w:spacing w:line="360" w:lineRule="auto"/>
        <w:ind w:left="413" w:leftChars="172" w:hanging="52" w:hangingChars="25"/>
        <w:jc w:val="left"/>
        <w:rPr>
          <w:rFonts w:ascii="宋体" w:cs="宋体"/>
          <w:szCs w:val="21"/>
        </w:rPr>
      </w:pPr>
    </w:p>
    <w:p>
      <w:pPr>
        <w:spacing w:line="360" w:lineRule="auto"/>
        <w:ind w:left="413" w:leftChars="172" w:hanging="52" w:hangingChars="25"/>
        <w:jc w:val="left"/>
        <w:rPr>
          <w:rFonts w:ascii="宋体" w:cs="宋体"/>
          <w:szCs w:val="21"/>
        </w:rPr>
      </w:pPr>
      <w:r>
        <w:rPr>
          <w:rFonts w:hint="eastAsia" w:ascii="宋体" w:hAnsi="宋体" w:cs="宋体"/>
          <w:szCs w:val="21"/>
        </w:rPr>
        <w:t>采购项目编号：</w:t>
      </w:r>
      <w:r>
        <w:rPr>
          <w:rFonts w:ascii="宋体" w:hAnsi="宋体" w:cs="宋体"/>
          <w:szCs w:val="21"/>
          <w:u w:val="single"/>
        </w:rPr>
        <w:t xml:space="preserve">                                                         </w:t>
      </w:r>
    </w:p>
    <w:p>
      <w:pPr>
        <w:spacing w:line="360" w:lineRule="auto"/>
        <w:ind w:left="413" w:leftChars="172" w:hanging="52" w:hangingChars="25"/>
        <w:jc w:val="left"/>
        <w:rPr>
          <w:rFonts w:ascii="宋体" w:cs="宋体"/>
          <w:szCs w:val="21"/>
        </w:rPr>
      </w:pPr>
      <w:r>
        <w:rPr>
          <w:rFonts w:hint="eastAsia" w:ascii="宋体" w:hAnsi="宋体" w:cs="宋体"/>
          <w:szCs w:val="21"/>
        </w:rPr>
        <w:t>采购项目名称：</w:t>
      </w:r>
      <w:r>
        <w:rPr>
          <w:rFonts w:ascii="宋体" w:hAnsi="宋体" w:cs="宋体"/>
          <w:szCs w:val="21"/>
          <w:u w:val="single"/>
        </w:rPr>
        <w:t xml:space="preserve">                                                         </w:t>
      </w:r>
    </w:p>
    <w:p>
      <w:pPr>
        <w:spacing w:line="360" w:lineRule="auto"/>
        <w:ind w:left="413" w:leftChars="172" w:hanging="52" w:hangingChars="25"/>
        <w:jc w:val="left"/>
        <w:rPr>
          <w:rFonts w:ascii="宋体" w:cs="宋体"/>
          <w:szCs w:val="21"/>
        </w:rPr>
      </w:pPr>
    </w:p>
    <w:p>
      <w:pPr>
        <w:spacing w:line="360" w:lineRule="auto"/>
        <w:ind w:left="413" w:leftChars="172" w:hanging="52" w:hangingChars="25"/>
        <w:jc w:val="left"/>
        <w:rPr>
          <w:rFonts w:ascii="宋体" w:cs="宋体"/>
          <w:szCs w:val="21"/>
        </w:rPr>
      </w:pPr>
    </w:p>
    <w:p>
      <w:pPr>
        <w:pStyle w:val="12"/>
        <w:spacing w:line="500" w:lineRule="exact"/>
        <w:ind w:firstLine="420" w:firstLineChars="200"/>
        <w:rPr>
          <w:rFonts w:hAnsi="宋体" w:cs="宋体"/>
          <w:u w:val="single"/>
        </w:rPr>
      </w:pPr>
      <w:r>
        <w:rPr>
          <w:rFonts w:hint="eastAsia" w:hAnsi="宋体" w:cs="宋体"/>
        </w:rPr>
        <w:t>供应商名称（盖章）：</w:t>
      </w:r>
      <w:r>
        <w:rPr>
          <w:rFonts w:hAnsi="宋体" w:cs="宋体"/>
          <w:u w:val="single"/>
        </w:rPr>
        <w:t xml:space="preserve">                                                   </w:t>
      </w:r>
    </w:p>
    <w:p>
      <w:pPr>
        <w:spacing w:line="360" w:lineRule="auto"/>
        <w:jc w:val="left"/>
        <w:rPr>
          <w:rFonts w:ascii="宋体" w:cs="宋体"/>
          <w:szCs w:val="21"/>
        </w:rPr>
      </w:pPr>
    </w:p>
    <w:p>
      <w:pPr>
        <w:pStyle w:val="12"/>
        <w:spacing w:line="380" w:lineRule="exact"/>
        <w:jc w:val="center"/>
        <w:rPr>
          <w:rFonts w:hAnsi="宋体" w:cs="宋体"/>
          <w:szCs w:val="21"/>
        </w:rPr>
      </w:pP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w:t>
      </w:r>
    </w:p>
    <w:p>
      <w:pPr>
        <w:pStyle w:val="12"/>
        <w:spacing w:line="380" w:lineRule="exact"/>
        <w:jc w:val="center"/>
        <w:rPr>
          <w:rFonts w:hAnsi="宋体" w:cs="宋体"/>
          <w:szCs w:val="21"/>
        </w:rPr>
      </w:pPr>
    </w:p>
    <w:p>
      <w:pPr>
        <w:pStyle w:val="12"/>
        <w:spacing w:line="380" w:lineRule="exact"/>
        <w:jc w:val="center"/>
        <w:rPr>
          <w:rFonts w:hAnsi="宋体" w:cs="宋体"/>
          <w:szCs w:val="21"/>
        </w:rPr>
      </w:pPr>
    </w:p>
    <w:p>
      <w:pPr>
        <w:spacing w:line="430" w:lineRule="exact"/>
        <w:rPr>
          <w:rFonts w:ascii="宋体" w:cs="宋体"/>
          <w:szCs w:val="21"/>
        </w:rPr>
      </w:pPr>
      <w:r>
        <w:rPr>
          <w:rFonts w:ascii="宋体" w:cs="宋体"/>
          <w:b/>
          <w:sz w:val="28"/>
          <w:szCs w:val="28"/>
        </w:rPr>
        <w:br w:type="page"/>
      </w:r>
    </w:p>
    <w:p>
      <w:pPr>
        <w:spacing w:line="360" w:lineRule="auto"/>
        <w:jc w:val="center"/>
        <w:rPr>
          <w:rFonts w:ascii="宋体" w:cs="宋体"/>
          <w:b/>
          <w:sz w:val="32"/>
          <w:szCs w:val="32"/>
        </w:rPr>
      </w:pPr>
      <w:r>
        <w:rPr>
          <w:rFonts w:hint="eastAsia" w:ascii="宋体" w:hAnsi="宋体" w:cs="宋体"/>
          <w:b/>
          <w:sz w:val="32"/>
          <w:szCs w:val="32"/>
        </w:rPr>
        <w:t>磋</w:t>
      </w:r>
      <w:r>
        <w:rPr>
          <w:rFonts w:ascii="宋体" w:hAnsi="宋体" w:cs="宋体"/>
          <w:b/>
          <w:sz w:val="32"/>
          <w:szCs w:val="32"/>
        </w:rPr>
        <w:t xml:space="preserve">  </w:t>
      </w:r>
      <w:r>
        <w:rPr>
          <w:rFonts w:hint="eastAsia" w:ascii="宋体" w:hAnsi="宋体" w:cs="宋体"/>
          <w:b/>
          <w:sz w:val="32"/>
          <w:szCs w:val="32"/>
        </w:rPr>
        <w:t>商</w:t>
      </w:r>
      <w:r>
        <w:rPr>
          <w:rFonts w:ascii="宋体" w:hAnsi="宋体" w:cs="宋体"/>
          <w:b/>
          <w:sz w:val="32"/>
          <w:szCs w:val="32"/>
        </w:rPr>
        <w:t xml:space="preserve">  </w:t>
      </w:r>
      <w:r>
        <w:rPr>
          <w:rFonts w:hint="eastAsia" w:ascii="宋体" w:hAnsi="宋体" w:cs="宋体"/>
          <w:b/>
          <w:sz w:val="32"/>
          <w:szCs w:val="32"/>
        </w:rPr>
        <w:t>函（格式）</w:t>
      </w:r>
    </w:p>
    <w:p>
      <w:pPr>
        <w:spacing w:line="360" w:lineRule="auto"/>
        <w:ind w:firstLine="431" w:firstLineChars="196"/>
        <w:rPr>
          <w:rFonts w:ascii="宋体" w:cs="宋体"/>
          <w:bCs/>
          <w:sz w:val="22"/>
          <w:szCs w:val="22"/>
          <w:u w:val="single"/>
        </w:rPr>
      </w:pPr>
      <w:r>
        <w:rPr>
          <w:rFonts w:hint="eastAsia" w:ascii="宋体" w:hAnsi="宋体" w:cs="宋体"/>
          <w:bCs/>
          <w:sz w:val="22"/>
          <w:szCs w:val="22"/>
          <w:u w:val="single"/>
        </w:rPr>
        <w:t>（采购人）</w:t>
      </w:r>
      <w:r>
        <w:rPr>
          <w:rFonts w:ascii="宋体" w:hAnsi="宋体" w:cs="宋体"/>
          <w:bCs/>
          <w:sz w:val="22"/>
          <w:szCs w:val="22"/>
          <w:u w:val="single"/>
        </w:rPr>
        <w:t xml:space="preserve">                    </w:t>
      </w:r>
      <w:r>
        <w:rPr>
          <w:rFonts w:hint="eastAsia" w:ascii="宋体" w:hAnsi="宋体" w:cs="宋体"/>
          <w:bCs/>
          <w:sz w:val="22"/>
          <w:szCs w:val="22"/>
          <w:u w:val="single"/>
        </w:rPr>
        <w:t>：</w:t>
      </w:r>
    </w:p>
    <w:p>
      <w:pPr>
        <w:pStyle w:val="12"/>
        <w:spacing w:line="360" w:lineRule="auto"/>
        <w:ind w:firstLine="420"/>
        <w:rPr>
          <w:rFonts w:hAnsi="宋体" w:cs="宋体"/>
          <w:bCs/>
          <w:sz w:val="22"/>
          <w:szCs w:val="22"/>
          <w:highlight w:val="none"/>
        </w:rPr>
      </w:pPr>
      <w:r>
        <w:rPr>
          <w:rFonts w:hAnsi="宋体" w:cs="宋体"/>
          <w:bCs/>
          <w:sz w:val="22"/>
          <w:szCs w:val="22"/>
        </w:rPr>
        <w:t>1</w:t>
      </w:r>
      <w:r>
        <w:rPr>
          <w:rFonts w:hint="eastAsia" w:hAnsi="宋体" w:cs="宋体"/>
          <w:bCs/>
          <w:sz w:val="22"/>
          <w:szCs w:val="22"/>
        </w:rPr>
        <w:t>、根据已收到的</w:t>
      </w:r>
      <w:r>
        <w:rPr>
          <w:rFonts w:hAnsi="宋体" w:cs="宋体"/>
          <w:bCs/>
          <w:sz w:val="22"/>
          <w:szCs w:val="22"/>
          <w:u w:val="single"/>
        </w:rPr>
        <w:t xml:space="preserve">                                  </w:t>
      </w:r>
      <w:r>
        <w:rPr>
          <w:rFonts w:hint="eastAsia" w:hAnsi="宋体" w:cs="宋体"/>
          <w:bCs/>
          <w:sz w:val="22"/>
          <w:szCs w:val="22"/>
        </w:rPr>
        <w:t>（项目名称）的竞争性磋商文件，遵相关法律的规定，我单位经研究上述竞争性磋商文件的供应商须知、合</w:t>
      </w:r>
      <w:r>
        <w:rPr>
          <w:rFonts w:hint="eastAsia" w:hAnsi="宋体" w:cs="宋体"/>
          <w:bCs/>
          <w:sz w:val="22"/>
          <w:szCs w:val="22"/>
          <w:highlight w:val="none"/>
        </w:rPr>
        <w:t>同条件、技术规范其他有关文件后，我方愿以总报价人民币（大写）</w:t>
      </w:r>
      <w:r>
        <w:rPr>
          <w:rFonts w:hAnsi="宋体" w:cs="宋体"/>
          <w:bCs/>
          <w:sz w:val="22"/>
          <w:szCs w:val="22"/>
          <w:highlight w:val="none"/>
          <w:u w:val="single"/>
        </w:rPr>
        <w:t xml:space="preserve">              </w:t>
      </w:r>
      <w:r>
        <w:rPr>
          <w:rFonts w:hint="eastAsia" w:hAnsi="宋体" w:cs="宋体"/>
          <w:bCs/>
          <w:sz w:val="22"/>
          <w:szCs w:val="22"/>
          <w:highlight w:val="none"/>
        </w:rPr>
        <w:t>（</w:t>
      </w:r>
      <w:r>
        <w:rPr>
          <w:rFonts w:hAnsi="宋体" w:cs="宋体"/>
          <w:bCs/>
          <w:sz w:val="22"/>
          <w:szCs w:val="22"/>
          <w:highlight w:val="none"/>
        </w:rPr>
        <w:t xml:space="preserve">¥ </w:t>
      </w:r>
      <w:r>
        <w:rPr>
          <w:rFonts w:hAnsi="宋体" w:cs="宋体"/>
          <w:bCs/>
          <w:sz w:val="22"/>
          <w:szCs w:val="22"/>
          <w:highlight w:val="none"/>
          <w:u w:val="single"/>
        </w:rPr>
        <w:t xml:space="preserve">      </w:t>
      </w:r>
      <w:r>
        <w:rPr>
          <w:rFonts w:hint="eastAsia" w:hAnsi="宋体" w:cs="宋体"/>
          <w:bCs/>
          <w:sz w:val="22"/>
          <w:szCs w:val="22"/>
          <w:highlight w:val="none"/>
        </w:rPr>
        <w:t>），</w:t>
      </w:r>
      <w:r>
        <w:rPr>
          <w:rFonts w:hint="eastAsia" w:ascii="宋体" w:hAnsi="宋体" w:eastAsia="宋体" w:cs="宋体"/>
          <w:bCs/>
          <w:sz w:val="21"/>
          <w:szCs w:val="21"/>
          <w:highlight w:val="none"/>
          <w:lang w:val="en-US" w:eastAsia="zh-CN"/>
        </w:rPr>
        <w:t>交付使用时间</w:t>
      </w:r>
      <w:r>
        <w:rPr>
          <w:rFonts w:hint="eastAsia" w:hAnsi="宋体" w:cs="宋体"/>
          <w:bCs/>
          <w:sz w:val="22"/>
          <w:szCs w:val="22"/>
          <w:highlight w:val="none"/>
          <w:lang w:val="en-US" w:eastAsia="zh-CN"/>
        </w:rPr>
        <w:t>：</w:t>
      </w:r>
      <w:r>
        <w:rPr>
          <w:rFonts w:hint="eastAsia" w:hAnsi="宋体" w:cs="宋体"/>
          <w:bCs/>
          <w:sz w:val="22"/>
          <w:szCs w:val="22"/>
          <w:highlight w:val="none"/>
          <w:u w:val="single"/>
          <w:lang w:val="en-US" w:eastAsia="zh-CN"/>
        </w:rPr>
        <w:t xml:space="preserve">                       </w:t>
      </w:r>
      <w:r>
        <w:rPr>
          <w:rFonts w:hint="eastAsia" w:hAnsi="宋体" w:cs="宋体"/>
          <w:bCs/>
          <w:sz w:val="22"/>
          <w:szCs w:val="22"/>
          <w:highlight w:val="none"/>
        </w:rPr>
        <w:t>。</w:t>
      </w:r>
    </w:p>
    <w:p>
      <w:pPr>
        <w:spacing w:line="360" w:lineRule="auto"/>
        <w:ind w:firstLine="431" w:firstLineChars="196"/>
        <w:rPr>
          <w:rFonts w:ascii="宋体" w:cs="宋体"/>
          <w:bCs/>
          <w:sz w:val="22"/>
          <w:szCs w:val="22"/>
          <w:highlight w:val="none"/>
        </w:rPr>
      </w:pPr>
      <w:r>
        <w:rPr>
          <w:rFonts w:ascii="宋体" w:hAnsi="宋体" w:cs="宋体"/>
          <w:bCs/>
          <w:sz w:val="22"/>
          <w:szCs w:val="22"/>
          <w:highlight w:val="none"/>
        </w:rPr>
        <w:t>2</w:t>
      </w:r>
      <w:r>
        <w:rPr>
          <w:rFonts w:hint="eastAsia" w:ascii="宋体" w:hAnsi="宋体" w:cs="宋体"/>
          <w:bCs/>
          <w:sz w:val="22"/>
          <w:szCs w:val="22"/>
          <w:highlight w:val="none"/>
        </w:rPr>
        <w:t>、一旦我方成交，我方保证在合同生效后，承诺</w:t>
      </w:r>
      <w:r>
        <w:rPr>
          <w:rFonts w:hint="eastAsia" w:ascii="宋体" w:hAnsi="宋体" w:cs="宋体"/>
          <w:bCs/>
          <w:sz w:val="22"/>
          <w:szCs w:val="22"/>
          <w:highlight w:val="none"/>
          <w:lang w:val="zh-CN"/>
        </w:rPr>
        <w:t>在规定的时间内完成本</w:t>
      </w:r>
      <w:r>
        <w:rPr>
          <w:rFonts w:hint="eastAsia" w:ascii="宋体" w:hAnsi="宋体" w:cs="宋体"/>
          <w:bCs/>
          <w:sz w:val="22"/>
          <w:szCs w:val="22"/>
          <w:highlight w:val="none"/>
        </w:rPr>
        <w:t>项目所有服务内容，并通过采购单位及审核部门验收。</w:t>
      </w:r>
    </w:p>
    <w:p>
      <w:pPr>
        <w:spacing w:line="360" w:lineRule="auto"/>
        <w:ind w:firstLine="431" w:firstLineChars="196"/>
        <w:rPr>
          <w:rFonts w:ascii="宋体" w:cs="宋体"/>
          <w:bCs/>
          <w:sz w:val="22"/>
          <w:szCs w:val="22"/>
          <w:highlight w:val="none"/>
        </w:rPr>
      </w:pPr>
      <w:r>
        <w:rPr>
          <w:rFonts w:ascii="宋体" w:hAnsi="宋体" w:cs="宋体"/>
          <w:bCs/>
          <w:sz w:val="22"/>
          <w:szCs w:val="22"/>
          <w:highlight w:val="none"/>
        </w:rPr>
        <w:t>3</w:t>
      </w:r>
      <w:r>
        <w:rPr>
          <w:rFonts w:hint="eastAsia" w:ascii="宋体" w:hAnsi="宋体" w:cs="宋体"/>
          <w:bCs/>
          <w:sz w:val="22"/>
          <w:szCs w:val="22"/>
          <w:highlight w:val="none"/>
        </w:rPr>
        <w:t>、我方已详细审核全部磋商文件，包括项目补遗文件及有关附件。</w:t>
      </w:r>
    </w:p>
    <w:p>
      <w:pPr>
        <w:spacing w:line="360" w:lineRule="auto"/>
        <w:ind w:firstLine="431" w:firstLineChars="196"/>
        <w:rPr>
          <w:rFonts w:ascii="宋体" w:cs="宋体"/>
          <w:bCs/>
          <w:sz w:val="22"/>
          <w:szCs w:val="22"/>
          <w:highlight w:val="none"/>
        </w:rPr>
      </w:pPr>
      <w:r>
        <w:rPr>
          <w:rFonts w:ascii="宋体" w:hAnsi="宋体" w:cs="宋体"/>
          <w:bCs/>
          <w:sz w:val="22"/>
          <w:szCs w:val="22"/>
          <w:highlight w:val="none"/>
        </w:rPr>
        <w:t>4</w:t>
      </w:r>
      <w:r>
        <w:rPr>
          <w:rFonts w:hint="eastAsia" w:ascii="宋体" w:hAnsi="宋体" w:cs="宋体"/>
          <w:bCs/>
          <w:sz w:val="22"/>
          <w:szCs w:val="22"/>
          <w:highlight w:val="none"/>
        </w:rPr>
        <w:t>、我方承认商务标部分、技术标部分以及附件成为我公司响应文件的组成部分。</w:t>
      </w:r>
    </w:p>
    <w:p>
      <w:pPr>
        <w:spacing w:line="360" w:lineRule="auto"/>
        <w:ind w:firstLine="431" w:firstLineChars="196"/>
        <w:rPr>
          <w:rFonts w:ascii="宋体" w:cs="宋体"/>
          <w:bCs/>
          <w:sz w:val="22"/>
          <w:szCs w:val="22"/>
          <w:highlight w:val="none"/>
        </w:rPr>
      </w:pPr>
      <w:r>
        <w:rPr>
          <w:rFonts w:ascii="宋体" w:hAnsi="宋体" w:cs="宋体"/>
          <w:bCs/>
          <w:sz w:val="22"/>
          <w:szCs w:val="22"/>
          <w:highlight w:val="none"/>
        </w:rPr>
        <w:t>5</w:t>
      </w:r>
      <w:r>
        <w:rPr>
          <w:rFonts w:hint="eastAsia" w:ascii="宋体" w:hAnsi="宋体" w:cs="宋体"/>
          <w:bCs/>
          <w:sz w:val="22"/>
          <w:szCs w:val="22"/>
          <w:highlight w:val="none"/>
        </w:rPr>
        <w:t>、一旦成交，我方保证按照磋商文件的要求和与采购人签订的委托合同，成立本项目的项目部，派响应文件拟定的工作人员实地考察并进行开展工作。</w:t>
      </w:r>
    </w:p>
    <w:p>
      <w:pPr>
        <w:spacing w:line="360" w:lineRule="auto"/>
        <w:ind w:firstLine="431" w:firstLineChars="196"/>
        <w:rPr>
          <w:rFonts w:ascii="宋体" w:cs="宋体"/>
          <w:bCs/>
          <w:sz w:val="22"/>
          <w:szCs w:val="22"/>
          <w:highlight w:val="none"/>
        </w:rPr>
      </w:pPr>
      <w:r>
        <w:rPr>
          <w:rFonts w:ascii="宋体" w:hAnsi="宋体" w:cs="宋体"/>
          <w:bCs/>
          <w:sz w:val="22"/>
          <w:szCs w:val="22"/>
          <w:highlight w:val="none"/>
        </w:rPr>
        <w:t>6</w:t>
      </w:r>
      <w:r>
        <w:rPr>
          <w:rFonts w:hint="eastAsia" w:ascii="宋体" w:hAnsi="宋体" w:cs="宋体"/>
          <w:bCs/>
          <w:sz w:val="22"/>
          <w:szCs w:val="22"/>
          <w:highlight w:val="none"/>
        </w:rPr>
        <w:t>、我方同意所提交的响应文件在“供应商须知”规定的磋商有效期内有效，在此期间内如果成交，我方将受此约束。</w:t>
      </w:r>
    </w:p>
    <w:p>
      <w:pPr>
        <w:spacing w:line="360" w:lineRule="auto"/>
        <w:ind w:firstLine="431" w:firstLineChars="196"/>
        <w:rPr>
          <w:rFonts w:ascii="宋体" w:cs="宋体"/>
          <w:bCs/>
          <w:sz w:val="22"/>
          <w:szCs w:val="22"/>
          <w:highlight w:val="none"/>
        </w:rPr>
      </w:pPr>
      <w:r>
        <w:rPr>
          <w:rFonts w:ascii="宋体" w:hAnsi="宋体" w:cs="宋体"/>
          <w:bCs/>
          <w:sz w:val="22"/>
          <w:szCs w:val="22"/>
          <w:highlight w:val="none"/>
        </w:rPr>
        <w:t>7</w:t>
      </w:r>
      <w:r>
        <w:rPr>
          <w:rFonts w:hint="eastAsia" w:ascii="宋体" w:hAnsi="宋体" w:cs="宋体"/>
          <w:bCs/>
          <w:sz w:val="22"/>
          <w:szCs w:val="22"/>
          <w:highlight w:val="none"/>
        </w:rPr>
        <w:t>、除非另外达成协议并生效，你方的成交通知书和本响应文件将成为约束双方的合同文件的组成部分。</w:t>
      </w:r>
    </w:p>
    <w:p>
      <w:pPr>
        <w:spacing w:line="360" w:lineRule="auto"/>
        <w:ind w:firstLine="431" w:firstLineChars="196"/>
        <w:rPr>
          <w:rFonts w:ascii="宋体" w:cs="宋体"/>
          <w:bCs/>
          <w:sz w:val="22"/>
          <w:szCs w:val="22"/>
          <w:highlight w:val="none"/>
        </w:rPr>
      </w:pPr>
      <w:r>
        <w:rPr>
          <w:rFonts w:ascii="宋体" w:hAnsi="宋体" w:cs="宋体"/>
          <w:bCs/>
          <w:sz w:val="22"/>
          <w:szCs w:val="22"/>
          <w:highlight w:val="none"/>
        </w:rPr>
        <w:t>8</w:t>
      </w:r>
      <w:r>
        <w:rPr>
          <w:rFonts w:hint="eastAsia" w:ascii="宋体" w:hAnsi="宋体" w:cs="宋体"/>
          <w:bCs/>
          <w:sz w:val="22"/>
          <w:szCs w:val="22"/>
          <w:highlight w:val="none"/>
        </w:rPr>
        <w:t>、我方将与本磋商函一起，提交人民币</w:t>
      </w:r>
      <w:r>
        <w:rPr>
          <w:rFonts w:ascii="宋体" w:hAnsi="宋体" w:cs="宋体"/>
          <w:bCs/>
          <w:sz w:val="22"/>
          <w:szCs w:val="22"/>
          <w:highlight w:val="none"/>
          <w:u w:val="single"/>
        </w:rPr>
        <w:t xml:space="preserve">             </w:t>
      </w:r>
      <w:r>
        <w:rPr>
          <w:rFonts w:hint="eastAsia" w:ascii="宋体" w:hAnsi="宋体" w:cs="宋体"/>
          <w:bCs/>
          <w:sz w:val="22"/>
          <w:szCs w:val="22"/>
          <w:highlight w:val="none"/>
        </w:rPr>
        <w:t>元的磋商保证金。</w:t>
      </w:r>
    </w:p>
    <w:p>
      <w:pPr>
        <w:spacing w:line="360" w:lineRule="auto"/>
        <w:ind w:firstLine="431" w:firstLineChars="196"/>
        <w:rPr>
          <w:rFonts w:ascii="宋体" w:cs="宋体"/>
          <w:bCs/>
          <w:sz w:val="22"/>
          <w:szCs w:val="22"/>
          <w:highlight w:val="none"/>
        </w:rPr>
      </w:pPr>
      <w:r>
        <w:rPr>
          <w:rFonts w:ascii="宋体" w:hAnsi="宋体" w:cs="宋体"/>
          <w:bCs/>
          <w:sz w:val="22"/>
          <w:szCs w:val="22"/>
          <w:highlight w:val="none"/>
        </w:rPr>
        <w:t>9</w:t>
      </w:r>
      <w:r>
        <w:rPr>
          <w:rFonts w:hint="eastAsia" w:ascii="宋体" w:hAnsi="宋体" w:cs="宋体"/>
          <w:bCs/>
          <w:sz w:val="22"/>
          <w:szCs w:val="22"/>
          <w:highlight w:val="none"/>
        </w:rPr>
        <w:t>、如果我公司成交后没有正当理由而拒绝签订合同或没有按磋商文件规定的期限内开始本项目的工作，我们愿意补偿贵方因该项目工作延误造成的经济损失，并由贵方没收我方的磋商保证金。</w:t>
      </w:r>
    </w:p>
    <w:p>
      <w:pPr>
        <w:spacing w:line="360" w:lineRule="auto"/>
        <w:ind w:firstLine="431" w:firstLineChars="196"/>
        <w:rPr>
          <w:rFonts w:ascii="宋体" w:cs="宋体"/>
          <w:bCs/>
          <w:sz w:val="22"/>
          <w:szCs w:val="22"/>
          <w:highlight w:val="none"/>
        </w:rPr>
      </w:pPr>
      <w:r>
        <w:rPr>
          <w:rFonts w:hint="eastAsia" w:ascii="宋体" w:hAnsi="宋体" w:cs="宋体"/>
          <w:bCs/>
          <w:sz w:val="22"/>
          <w:szCs w:val="22"/>
          <w:highlight w:val="none"/>
        </w:rPr>
        <w:t>与本磋商有关的正式通讯地址为：</w:t>
      </w:r>
    </w:p>
    <w:p>
      <w:pPr>
        <w:spacing w:line="360" w:lineRule="auto"/>
        <w:ind w:firstLine="431" w:firstLineChars="196"/>
        <w:rPr>
          <w:rFonts w:ascii="宋体" w:cs="宋体"/>
          <w:bCs/>
          <w:sz w:val="22"/>
          <w:szCs w:val="22"/>
          <w:highlight w:val="none"/>
        </w:rPr>
      </w:pPr>
      <w:r>
        <w:rPr>
          <w:rFonts w:hint="eastAsia" w:ascii="宋体" w:hAnsi="宋体" w:cs="宋体"/>
          <w:bCs/>
          <w:sz w:val="22"/>
          <w:szCs w:val="22"/>
          <w:highlight w:val="none"/>
        </w:rPr>
        <w:t>地址：</w:t>
      </w:r>
      <w:r>
        <w:rPr>
          <w:rFonts w:ascii="宋体" w:hAnsi="宋体" w:cs="宋体"/>
          <w:bCs/>
          <w:sz w:val="22"/>
          <w:szCs w:val="22"/>
          <w:highlight w:val="none"/>
        </w:rPr>
        <w:t xml:space="preserve">                                 </w:t>
      </w:r>
      <w:r>
        <w:rPr>
          <w:rFonts w:hint="eastAsia" w:ascii="宋体" w:hAnsi="宋体" w:cs="宋体"/>
          <w:bCs/>
          <w:sz w:val="22"/>
          <w:szCs w:val="22"/>
          <w:highlight w:val="none"/>
        </w:rPr>
        <w:t>邮政编码：</w:t>
      </w:r>
      <w:r>
        <w:rPr>
          <w:rFonts w:ascii="宋体" w:hAnsi="宋体" w:cs="宋体"/>
          <w:bCs/>
          <w:sz w:val="22"/>
          <w:szCs w:val="22"/>
          <w:highlight w:val="none"/>
        </w:rPr>
        <w:t xml:space="preserve">                   </w:t>
      </w:r>
    </w:p>
    <w:p>
      <w:pPr>
        <w:spacing w:line="360" w:lineRule="auto"/>
        <w:ind w:firstLine="431" w:firstLineChars="196"/>
        <w:rPr>
          <w:rFonts w:ascii="宋体" w:cs="宋体"/>
          <w:bCs/>
          <w:sz w:val="22"/>
          <w:szCs w:val="22"/>
          <w:highlight w:val="none"/>
        </w:rPr>
      </w:pPr>
      <w:r>
        <w:rPr>
          <w:rFonts w:hint="eastAsia" w:ascii="宋体" w:hAnsi="宋体" w:cs="宋体"/>
          <w:bCs/>
          <w:sz w:val="22"/>
          <w:szCs w:val="22"/>
          <w:highlight w:val="none"/>
        </w:rPr>
        <w:t>电话、电报、传真或电传：</w:t>
      </w:r>
      <w:r>
        <w:rPr>
          <w:rFonts w:ascii="宋体" w:hAnsi="宋体" w:cs="宋体"/>
          <w:bCs/>
          <w:sz w:val="22"/>
          <w:szCs w:val="22"/>
          <w:highlight w:val="none"/>
        </w:rPr>
        <w:t xml:space="preserve">                                            </w:t>
      </w:r>
    </w:p>
    <w:p>
      <w:pPr>
        <w:spacing w:line="360" w:lineRule="auto"/>
        <w:ind w:firstLine="431" w:firstLineChars="196"/>
        <w:rPr>
          <w:rFonts w:ascii="宋体" w:cs="宋体"/>
          <w:bCs/>
          <w:sz w:val="22"/>
          <w:szCs w:val="22"/>
          <w:highlight w:val="none"/>
        </w:rPr>
      </w:pPr>
      <w:r>
        <w:rPr>
          <w:rFonts w:hint="eastAsia" w:ascii="宋体" w:hAnsi="宋体" w:cs="宋体"/>
          <w:bCs/>
          <w:sz w:val="22"/>
          <w:szCs w:val="22"/>
          <w:highlight w:val="none"/>
        </w:rPr>
        <w:t>开户名称：</w:t>
      </w:r>
      <w:r>
        <w:rPr>
          <w:rFonts w:ascii="宋体" w:hAnsi="宋体" w:cs="宋体"/>
          <w:bCs/>
          <w:sz w:val="22"/>
          <w:szCs w:val="22"/>
          <w:highlight w:val="none"/>
        </w:rPr>
        <w:t xml:space="preserve">                                                          </w:t>
      </w:r>
    </w:p>
    <w:p>
      <w:pPr>
        <w:spacing w:line="360" w:lineRule="auto"/>
        <w:ind w:firstLine="431" w:firstLineChars="196"/>
        <w:rPr>
          <w:rFonts w:ascii="宋体" w:cs="宋体"/>
          <w:bCs/>
          <w:sz w:val="22"/>
          <w:szCs w:val="22"/>
          <w:highlight w:val="none"/>
        </w:rPr>
      </w:pPr>
      <w:r>
        <w:rPr>
          <w:rFonts w:hint="eastAsia" w:ascii="宋体" w:hAnsi="宋体" w:cs="宋体"/>
          <w:bCs/>
          <w:sz w:val="22"/>
          <w:szCs w:val="22"/>
          <w:highlight w:val="none"/>
        </w:rPr>
        <w:t>开户银行：</w:t>
      </w:r>
      <w:r>
        <w:rPr>
          <w:rFonts w:ascii="宋体" w:hAnsi="宋体" w:cs="宋体"/>
          <w:bCs/>
          <w:sz w:val="22"/>
          <w:szCs w:val="22"/>
          <w:highlight w:val="none"/>
        </w:rPr>
        <w:t xml:space="preserve">                                                          </w:t>
      </w:r>
    </w:p>
    <w:p>
      <w:pPr>
        <w:spacing w:line="360" w:lineRule="auto"/>
        <w:ind w:firstLine="431" w:firstLineChars="196"/>
        <w:rPr>
          <w:rFonts w:ascii="宋体" w:cs="宋体"/>
          <w:bCs/>
          <w:sz w:val="22"/>
          <w:szCs w:val="22"/>
          <w:highlight w:val="none"/>
        </w:rPr>
      </w:pPr>
      <w:r>
        <w:rPr>
          <w:rFonts w:hint="eastAsia" w:ascii="宋体" w:hAnsi="宋体" w:cs="宋体"/>
          <w:bCs/>
          <w:sz w:val="22"/>
          <w:szCs w:val="22"/>
          <w:highlight w:val="none"/>
        </w:rPr>
        <w:t>账号：</w:t>
      </w:r>
      <w:r>
        <w:rPr>
          <w:rFonts w:ascii="宋体" w:hAnsi="宋体" w:cs="宋体"/>
          <w:bCs/>
          <w:sz w:val="22"/>
          <w:szCs w:val="22"/>
          <w:highlight w:val="none"/>
        </w:rPr>
        <w:t xml:space="preserve">                                                              </w:t>
      </w:r>
    </w:p>
    <w:p>
      <w:pPr>
        <w:spacing w:line="360" w:lineRule="auto"/>
        <w:ind w:firstLine="431" w:firstLineChars="196"/>
        <w:rPr>
          <w:rFonts w:ascii="宋体" w:cs="宋体"/>
          <w:bCs/>
          <w:sz w:val="22"/>
          <w:szCs w:val="22"/>
          <w:highlight w:val="none"/>
        </w:rPr>
      </w:pPr>
      <w:r>
        <w:rPr>
          <w:rFonts w:hint="eastAsia" w:ascii="宋体" w:hAnsi="宋体" w:cs="宋体"/>
          <w:bCs/>
          <w:sz w:val="22"/>
          <w:szCs w:val="22"/>
          <w:highlight w:val="none"/>
        </w:rPr>
        <w:t>法定代表人或委托代理人签名：</w:t>
      </w:r>
      <w:r>
        <w:rPr>
          <w:rFonts w:ascii="宋体" w:hAnsi="宋体" w:cs="宋体"/>
          <w:bCs/>
          <w:sz w:val="22"/>
          <w:szCs w:val="22"/>
          <w:highlight w:val="none"/>
        </w:rPr>
        <w:t xml:space="preserve">                                        </w:t>
      </w:r>
    </w:p>
    <w:p>
      <w:pPr>
        <w:spacing w:line="360" w:lineRule="auto"/>
        <w:ind w:firstLine="431" w:firstLineChars="196"/>
        <w:rPr>
          <w:rFonts w:ascii="宋体" w:cs="宋体"/>
          <w:bCs/>
          <w:sz w:val="22"/>
          <w:szCs w:val="22"/>
          <w:highlight w:val="none"/>
        </w:rPr>
      </w:pPr>
      <w:r>
        <w:rPr>
          <w:rFonts w:hint="eastAsia" w:ascii="宋体" w:hAnsi="宋体" w:cs="宋体"/>
          <w:bCs/>
          <w:sz w:val="22"/>
          <w:szCs w:val="22"/>
          <w:highlight w:val="none"/>
        </w:rPr>
        <w:t>供应商盖公章：</w:t>
      </w:r>
      <w:r>
        <w:rPr>
          <w:rFonts w:ascii="宋体" w:hAnsi="宋体" w:cs="宋体"/>
          <w:bCs/>
          <w:sz w:val="22"/>
          <w:szCs w:val="22"/>
          <w:highlight w:val="none"/>
        </w:rPr>
        <w:t xml:space="preserve">                                                      </w:t>
      </w:r>
    </w:p>
    <w:p>
      <w:pPr>
        <w:spacing w:line="360" w:lineRule="auto"/>
        <w:ind w:firstLine="431" w:firstLineChars="196"/>
        <w:rPr>
          <w:rFonts w:ascii="宋体" w:cs="宋体"/>
          <w:bCs/>
          <w:sz w:val="22"/>
          <w:szCs w:val="22"/>
          <w:highlight w:val="none"/>
        </w:rPr>
      </w:pPr>
      <w:r>
        <w:rPr>
          <w:rFonts w:hint="eastAsia" w:ascii="宋体" w:hAnsi="宋体" w:cs="宋体"/>
          <w:bCs/>
          <w:sz w:val="22"/>
          <w:szCs w:val="22"/>
          <w:highlight w:val="none"/>
        </w:rPr>
        <w:t>日</w:t>
      </w:r>
      <w:r>
        <w:rPr>
          <w:rFonts w:ascii="宋体" w:hAnsi="宋体" w:cs="宋体"/>
          <w:bCs/>
          <w:sz w:val="22"/>
          <w:szCs w:val="22"/>
          <w:highlight w:val="none"/>
        </w:rPr>
        <w:t xml:space="preserve">   </w:t>
      </w:r>
      <w:r>
        <w:rPr>
          <w:rFonts w:hint="eastAsia" w:ascii="宋体" w:hAnsi="宋体" w:cs="宋体"/>
          <w:bCs/>
          <w:sz w:val="22"/>
          <w:szCs w:val="22"/>
          <w:highlight w:val="none"/>
        </w:rPr>
        <w:t>期</w:t>
      </w:r>
      <w:r>
        <w:rPr>
          <w:rFonts w:ascii="宋体" w:hAnsi="宋体" w:cs="宋体"/>
          <w:bCs/>
          <w:sz w:val="22"/>
          <w:szCs w:val="22"/>
          <w:highlight w:val="none"/>
        </w:rPr>
        <w:t xml:space="preserve"> </w:t>
      </w:r>
      <w:r>
        <w:rPr>
          <w:rFonts w:hint="eastAsia" w:ascii="宋体" w:hAnsi="宋体" w:cs="宋体"/>
          <w:bCs/>
          <w:sz w:val="22"/>
          <w:szCs w:val="22"/>
          <w:highlight w:val="none"/>
        </w:rPr>
        <w:t>：</w:t>
      </w:r>
      <w:r>
        <w:rPr>
          <w:rFonts w:ascii="宋体" w:hAnsi="宋体" w:cs="宋体"/>
          <w:bCs/>
          <w:sz w:val="22"/>
          <w:szCs w:val="22"/>
          <w:highlight w:val="none"/>
        </w:rPr>
        <w:t xml:space="preserve">     </w:t>
      </w:r>
      <w:r>
        <w:rPr>
          <w:rFonts w:hint="eastAsia" w:ascii="宋体" w:hAnsi="宋体" w:cs="宋体"/>
          <w:bCs/>
          <w:sz w:val="22"/>
          <w:szCs w:val="22"/>
          <w:highlight w:val="none"/>
        </w:rPr>
        <w:t>年</w:t>
      </w:r>
      <w:r>
        <w:rPr>
          <w:rFonts w:ascii="宋体" w:hAnsi="宋体" w:cs="宋体"/>
          <w:bCs/>
          <w:sz w:val="22"/>
          <w:szCs w:val="22"/>
          <w:highlight w:val="none"/>
        </w:rPr>
        <w:t xml:space="preserve">    </w:t>
      </w:r>
      <w:r>
        <w:rPr>
          <w:rFonts w:hint="eastAsia" w:ascii="宋体" w:hAnsi="宋体" w:cs="宋体"/>
          <w:bCs/>
          <w:sz w:val="22"/>
          <w:szCs w:val="22"/>
          <w:highlight w:val="none"/>
        </w:rPr>
        <w:t>月</w:t>
      </w:r>
      <w:r>
        <w:rPr>
          <w:rFonts w:ascii="宋体" w:hAnsi="宋体" w:cs="宋体"/>
          <w:bCs/>
          <w:sz w:val="22"/>
          <w:szCs w:val="22"/>
          <w:highlight w:val="none"/>
        </w:rPr>
        <w:t xml:space="preserve">    </w:t>
      </w:r>
      <w:r>
        <w:rPr>
          <w:rFonts w:hint="eastAsia" w:ascii="宋体" w:hAnsi="宋体" w:cs="宋体"/>
          <w:bCs/>
          <w:sz w:val="22"/>
          <w:szCs w:val="22"/>
          <w:highlight w:val="none"/>
        </w:rPr>
        <w:t>日</w:t>
      </w:r>
    </w:p>
    <w:p>
      <w:pPr>
        <w:spacing w:line="360" w:lineRule="auto"/>
        <w:ind w:firstLine="431" w:firstLineChars="196"/>
        <w:rPr>
          <w:rFonts w:ascii="宋体" w:cs="宋体"/>
          <w:bCs/>
          <w:sz w:val="22"/>
          <w:szCs w:val="22"/>
          <w:highlight w:val="none"/>
        </w:rPr>
      </w:pPr>
      <w:r>
        <w:rPr>
          <w:rFonts w:hint="eastAsia" w:ascii="宋体" w:hAnsi="宋体" w:cs="宋体"/>
          <w:bCs/>
          <w:sz w:val="22"/>
          <w:szCs w:val="22"/>
          <w:highlight w:val="none"/>
        </w:rPr>
        <w:t>注：若此函由多页构成的，需逐页加盖供应商单位公章并由法定代表人或被授权人签字，否则磋商无效。</w:t>
      </w:r>
    </w:p>
    <w:p>
      <w:pPr>
        <w:widowControl/>
        <w:spacing w:line="360" w:lineRule="auto"/>
        <w:rPr>
          <w:rFonts w:ascii="宋体" w:cs="宋体"/>
          <w:kern w:val="0"/>
          <w:sz w:val="24"/>
          <w:highlight w:val="none"/>
        </w:rPr>
      </w:pPr>
    </w:p>
    <w:p>
      <w:pPr>
        <w:pStyle w:val="53"/>
        <w:rPr>
          <w:rFonts w:ascii="宋体" w:cs="宋体"/>
          <w:highlight w:val="none"/>
        </w:rPr>
      </w:pPr>
    </w:p>
    <w:p>
      <w:pPr>
        <w:spacing w:line="360" w:lineRule="auto"/>
        <w:jc w:val="center"/>
        <w:rPr>
          <w:rFonts w:ascii="宋体"/>
          <w:szCs w:val="21"/>
          <w:highlight w:val="none"/>
        </w:rPr>
      </w:pPr>
      <w:r>
        <w:rPr>
          <w:rFonts w:hint="eastAsia" w:ascii="宋体" w:hAnsi="宋体" w:cs="宋体"/>
          <w:b/>
          <w:sz w:val="32"/>
          <w:szCs w:val="32"/>
          <w:highlight w:val="none"/>
        </w:rPr>
        <w:t>报价表（格式）</w:t>
      </w:r>
    </w:p>
    <w:p>
      <w:pPr>
        <w:spacing w:line="360" w:lineRule="auto"/>
        <w:rPr>
          <w:rFonts w:ascii="宋体"/>
          <w:szCs w:val="21"/>
          <w:highlight w:val="none"/>
        </w:rPr>
      </w:pPr>
      <w:r>
        <w:rPr>
          <w:rFonts w:ascii="宋体" w:hAnsi="宋体"/>
          <w:szCs w:val="21"/>
          <w:highlight w:val="none"/>
        </w:rPr>
        <w:t xml:space="preserve">                                                                           </w:t>
      </w:r>
      <w:r>
        <w:rPr>
          <w:rFonts w:hint="eastAsia" w:ascii="宋体" w:hAnsi="宋体"/>
          <w:szCs w:val="21"/>
          <w:highlight w:val="none"/>
        </w:rPr>
        <w:t>币种：人民币</w:t>
      </w:r>
      <w:r>
        <w:rPr>
          <w:rFonts w:ascii="宋体" w:hAnsi="宋体"/>
          <w:szCs w:val="21"/>
          <w:highlight w:val="none"/>
        </w:rPr>
        <w:t xml:space="preserve">                                                     </w:t>
      </w:r>
    </w:p>
    <w:tbl>
      <w:tblPr>
        <w:tblStyle w:val="22"/>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685"/>
        <w:gridCol w:w="660"/>
        <w:gridCol w:w="645"/>
        <w:gridCol w:w="1515"/>
        <w:gridCol w:w="1516"/>
        <w:gridCol w:w="159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992"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项号</w:t>
            </w:r>
          </w:p>
        </w:tc>
        <w:tc>
          <w:tcPr>
            <w:tcW w:w="168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lang w:eastAsia="zh-CN"/>
              </w:rPr>
            </w:pPr>
            <w:r>
              <w:rPr>
                <w:rFonts w:hint="eastAsia" w:hAnsi="宋体" w:cs="宋体"/>
                <w:color w:val="auto"/>
                <w:sz w:val="22"/>
                <w:szCs w:val="22"/>
                <w:highlight w:val="none"/>
                <w:lang w:eastAsia="zh-CN"/>
              </w:rPr>
              <w:t>名称</w:t>
            </w:r>
          </w:p>
        </w:tc>
        <w:tc>
          <w:tcPr>
            <w:tcW w:w="660"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w:t>
            </w:r>
          </w:p>
        </w:tc>
        <w:tc>
          <w:tcPr>
            <w:tcW w:w="64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1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lang w:eastAsia="zh-CN"/>
              </w:rPr>
            </w:pPr>
            <w:r>
              <w:rPr>
                <w:rFonts w:hint="eastAsia" w:hAnsi="宋体" w:cs="宋体"/>
                <w:color w:val="auto"/>
                <w:sz w:val="22"/>
                <w:szCs w:val="22"/>
                <w:highlight w:val="none"/>
                <w:lang w:eastAsia="zh-CN"/>
              </w:rPr>
              <w:t>项目内容及技术说明</w:t>
            </w:r>
          </w:p>
        </w:tc>
        <w:tc>
          <w:tcPr>
            <w:tcW w:w="1516"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单价（元）</w:t>
            </w:r>
          </w:p>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w:t>
            </w:r>
          </w:p>
        </w:tc>
        <w:tc>
          <w:tcPr>
            <w:tcW w:w="1591"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单项合价（元）</w:t>
            </w:r>
          </w:p>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③=①×②</w:t>
            </w:r>
          </w:p>
        </w:tc>
        <w:tc>
          <w:tcPr>
            <w:tcW w:w="1076"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992"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68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66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64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1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16"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91"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076"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992"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2</w:t>
            </w:r>
          </w:p>
        </w:tc>
        <w:tc>
          <w:tcPr>
            <w:tcW w:w="168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660"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64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1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16"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91"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076"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992"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p>
        </w:tc>
        <w:tc>
          <w:tcPr>
            <w:tcW w:w="168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660"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64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1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16"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91"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076"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992"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N</w:t>
            </w:r>
          </w:p>
        </w:tc>
        <w:tc>
          <w:tcPr>
            <w:tcW w:w="168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660"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64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15"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16"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591"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c>
          <w:tcPr>
            <w:tcW w:w="1076" w:type="dxa"/>
            <w:vAlign w:val="center"/>
          </w:tcPr>
          <w:p>
            <w:pPr>
              <w:pStyle w:val="1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9680" w:type="dxa"/>
            <w:gridSpan w:val="8"/>
            <w:vAlign w:val="center"/>
          </w:tcPr>
          <w:p>
            <w:pPr>
              <w:pStyle w:val="1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总报价（人民币大写）：</w:t>
            </w:r>
            <w:r>
              <w:rPr>
                <w:rFonts w:hint="eastAsia"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w:t>
            </w:r>
            <w:r>
              <w:rPr>
                <w:rFonts w:hint="eastAsia"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9680" w:type="dxa"/>
            <w:gridSpan w:val="8"/>
            <w:vAlign w:val="center"/>
          </w:tcPr>
          <w:p>
            <w:pPr>
              <w:pStyle w:val="1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bCs/>
                <w:sz w:val="21"/>
                <w:szCs w:val="21"/>
                <w:highlight w:val="none"/>
                <w:lang w:val="en-US" w:eastAsia="zh-CN"/>
              </w:rPr>
              <w:t>付使用时间</w:t>
            </w:r>
            <w:r>
              <w:rPr>
                <w:rFonts w:hint="eastAsia" w:hAnsi="宋体" w:cs="宋体"/>
                <w:bCs/>
                <w:sz w:val="22"/>
                <w:szCs w:val="22"/>
                <w:highlight w:val="none"/>
                <w:lang w:val="en-US" w:eastAsia="zh-CN"/>
              </w:rPr>
              <w:t>：</w:t>
            </w:r>
            <w:r>
              <w:rPr>
                <w:rFonts w:hint="eastAsia" w:hAnsi="宋体" w:cs="宋体"/>
                <w:bCs/>
                <w:sz w:val="22"/>
                <w:szCs w:val="22"/>
                <w:highlight w:val="none"/>
                <w:u w:val="single"/>
                <w:lang w:val="en-US" w:eastAsia="zh-CN"/>
              </w:rPr>
              <w:t xml:space="preserve">                       </w:t>
            </w:r>
            <w:r>
              <w:rPr>
                <w:rFonts w:hint="eastAsia" w:hAnsi="宋体" w:cs="宋体"/>
                <w:bCs/>
                <w:sz w:val="22"/>
                <w:szCs w:val="22"/>
                <w:highlight w:val="none"/>
              </w:rPr>
              <w:t>。</w:t>
            </w:r>
          </w:p>
        </w:tc>
      </w:tr>
    </w:tbl>
    <w:p>
      <w:pPr>
        <w:spacing w:line="400" w:lineRule="exact"/>
        <w:rPr>
          <w:rFonts w:ascii="宋体" w:cs="宋体"/>
          <w:bCs/>
          <w:kern w:val="0"/>
        </w:rPr>
      </w:pPr>
    </w:p>
    <w:p>
      <w:pPr>
        <w:pStyle w:val="53"/>
        <w:rPr>
          <w:rFonts w:ascii="宋体" w:cs="宋体"/>
          <w:b/>
        </w:rPr>
      </w:pPr>
    </w:p>
    <w:p>
      <w:pPr>
        <w:pStyle w:val="53"/>
        <w:rPr>
          <w:rFonts w:ascii="宋体" w:cs="宋体"/>
          <w:b/>
        </w:rPr>
      </w:pPr>
    </w:p>
    <w:p>
      <w:pPr>
        <w:pStyle w:val="53"/>
        <w:rPr>
          <w:rFonts w:ascii="宋体" w:cs="宋体"/>
          <w:b/>
        </w:rPr>
      </w:pPr>
    </w:p>
    <w:p>
      <w:pPr>
        <w:pStyle w:val="53"/>
        <w:rPr>
          <w:rFonts w:ascii="宋体" w:cs="宋体"/>
          <w:b/>
        </w:rPr>
      </w:pPr>
    </w:p>
    <w:p>
      <w:pPr>
        <w:pStyle w:val="53"/>
        <w:rPr>
          <w:rFonts w:ascii="宋体" w:cs="宋体"/>
          <w:b/>
        </w:rPr>
      </w:pPr>
    </w:p>
    <w:p>
      <w:pPr>
        <w:pStyle w:val="53"/>
        <w:rPr>
          <w:rFonts w:ascii="宋体" w:cs="宋体"/>
          <w:b/>
          <w:sz w:val="22"/>
          <w:szCs w:val="22"/>
        </w:rPr>
      </w:pPr>
    </w:p>
    <w:p>
      <w:pPr>
        <w:pStyle w:val="12"/>
        <w:spacing w:line="500" w:lineRule="exact"/>
        <w:rPr>
          <w:rFonts w:hAnsi="宋体" w:cs="宋体"/>
          <w:b/>
          <w:kern w:val="0"/>
          <w:sz w:val="22"/>
          <w:szCs w:val="22"/>
        </w:rPr>
      </w:pPr>
      <w:r>
        <w:rPr>
          <w:rFonts w:hint="eastAsia" w:hAnsi="宋体" w:cs="宋体"/>
          <w:sz w:val="22"/>
          <w:szCs w:val="22"/>
        </w:rPr>
        <w:t>供应商名称（盖章）：</w:t>
      </w:r>
      <w:r>
        <w:rPr>
          <w:rFonts w:hAnsi="宋体" w:cs="宋体"/>
          <w:sz w:val="22"/>
          <w:szCs w:val="22"/>
          <w:u w:val="single"/>
        </w:rPr>
        <w:t xml:space="preserve">                              </w:t>
      </w:r>
    </w:p>
    <w:p>
      <w:pPr>
        <w:pStyle w:val="12"/>
        <w:spacing w:line="500" w:lineRule="exact"/>
        <w:rPr>
          <w:rFonts w:hAnsi="宋体" w:cs="宋体"/>
          <w:sz w:val="22"/>
          <w:szCs w:val="22"/>
          <w:u w:val="single"/>
        </w:rPr>
      </w:pPr>
      <w:r>
        <w:rPr>
          <w:rFonts w:hint="eastAsia" w:hAnsi="宋体" w:cs="宋体"/>
          <w:bCs/>
          <w:sz w:val="22"/>
          <w:szCs w:val="22"/>
        </w:rPr>
        <w:t>法定代表人或委托代理人签名</w:t>
      </w:r>
      <w:r>
        <w:rPr>
          <w:rFonts w:hAnsi="宋体" w:cs="宋体"/>
          <w:sz w:val="22"/>
          <w:szCs w:val="22"/>
        </w:rPr>
        <w:t>:</w:t>
      </w:r>
      <w:r>
        <w:rPr>
          <w:rFonts w:hAnsi="宋体" w:cs="宋体"/>
          <w:sz w:val="22"/>
          <w:szCs w:val="22"/>
          <w:u w:val="single"/>
        </w:rPr>
        <w:t xml:space="preserve">              </w:t>
      </w:r>
    </w:p>
    <w:p>
      <w:pPr>
        <w:pStyle w:val="12"/>
        <w:spacing w:line="500" w:lineRule="exact"/>
        <w:rPr>
          <w:rFonts w:hAnsi="宋体" w:cs="宋体"/>
          <w:sz w:val="22"/>
          <w:szCs w:val="22"/>
          <w:u w:val="single"/>
        </w:rPr>
      </w:pPr>
      <w:r>
        <w:rPr>
          <w:rFonts w:hint="eastAsia" w:hAnsi="宋体" w:cs="宋体"/>
          <w:sz w:val="22"/>
          <w:szCs w:val="22"/>
        </w:rPr>
        <w:t>日期：</w:t>
      </w:r>
      <w:r>
        <w:rPr>
          <w:rFonts w:hAnsi="宋体" w:cs="宋体"/>
          <w:sz w:val="22"/>
          <w:szCs w:val="22"/>
          <w:u w:val="single"/>
        </w:rPr>
        <w:t xml:space="preserve">     </w:t>
      </w:r>
      <w:r>
        <w:rPr>
          <w:rFonts w:hint="eastAsia" w:hAnsi="宋体" w:cs="宋体"/>
          <w:sz w:val="22"/>
          <w:szCs w:val="22"/>
        </w:rPr>
        <w:t>年</w:t>
      </w:r>
      <w:r>
        <w:rPr>
          <w:rFonts w:hAnsi="宋体" w:cs="宋体"/>
          <w:sz w:val="22"/>
          <w:szCs w:val="22"/>
          <w:u w:val="single"/>
        </w:rPr>
        <w:t xml:space="preserve">     </w:t>
      </w:r>
      <w:r>
        <w:rPr>
          <w:rFonts w:hint="eastAsia" w:hAnsi="宋体" w:cs="宋体"/>
          <w:sz w:val="22"/>
          <w:szCs w:val="22"/>
        </w:rPr>
        <w:t>月</w:t>
      </w:r>
      <w:r>
        <w:rPr>
          <w:rFonts w:hAnsi="宋体" w:cs="宋体"/>
          <w:sz w:val="22"/>
          <w:szCs w:val="22"/>
          <w:u w:val="single"/>
        </w:rPr>
        <w:t xml:space="preserve">    </w:t>
      </w:r>
      <w:r>
        <w:rPr>
          <w:rFonts w:hint="eastAsia" w:hAnsi="宋体" w:cs="宋体"/>
          <w:sz w:val="22"/>
          <w:szCs w:val="22"/>
        </w:rPr>
        <w:t>日</w:t>
      </w:r>
      <w:r>
        <w:rPr>
          <w:rFonts w:hAnsi="宋体" w:cs="宋体"/>
          <w:sz w:val="22"/>
          <w:szCs w:val="22"/>
        </w:rPr>
        <w:t xml:space="preserve"> </w:t>
      </w:r>
    </w:p>
    <w:p>
      <w:pPr>
        <w:spacing w:line="400" w:lineRule="exact"/>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21"/>
        <w:ind w:left="-269" w:firstLine="426"/>
        <w:rPr>
          <w:rFonts w:ascii="宋体" w:cs="宋体"/>
          <w:b/>
          <w:sz w:val="22"/>
        </w:rPr>
      </w:pPr>
    </w:p>
    <w:p>
      <w:pPr>
        <w:pStyle w:val="21"/>
        <w:ind w:left="-269" w:firstLine="426"/>
        <w:rPr>
          <w:rFonts w:ascii="宋体" w:cs="宋体"/>
          <w:b/>
          <w:sz w:val="22"/>
        </w:rPr>
      </w:pPr>
    </w:p>
    <w:p>
      <w:pPr>
        <w:snapToGrid w:val="0"/>
        <w:spacing w:beforeLines="50" w:after="50"/>
        <w:jc w:val="left"/>
        <w:rPr>
          <w:rFonts w:ascii="宋体" w:cs="宋体"/>
          <w:sz w:val="20"/>
        </w:rPr>
      </w:pPr>
      <w:r>
        <w:rPr>
          <w:rFonts w:hint="eastAsia" w:ascii="宋体" w:hAnsi="宋体" w:cs="宋体"/>
          <w:b/>
          <w:sz w:val="22"/>
        </w:rPr>
        <w:t>中小企业声明函格式（如是，请填写提供）</w:t>
      </w:r>
    </w:p>
    <w:p>
      <w:pPr>
        <w:rPr>
          <w:rFonts w:ascii="宋体" w:cs="宋体"/>
          <w:sz w:val="20"/>
        </w:rPr>
      </w:pPr>
    </w:p>
    <w:p>
      <w:pPr>
        <w:spacing w:line="588" w:lineRule="exact"/>
        <w:jc w:val="center"/>
        <w:rPr>
          <w:rFonts w:ascii="宋体" w:cs="宋体"/>
          <w:b/>
          <w:spacing w:val="6"/>
          <w:sz w:val="28"/>
          <w:szCs w:val="32"/>
        </w:rPr>
      </w:pPr>
      <w:r>
        <w:rPr>
          <w:rFonts w:hint="eastAsia" w:ascii="宋体" w:hAnsi="宋体" w:cs="宋体"/>
          <w:b/>
          <w:spacing w:val="6"/>
          <w:sz w:val="28"/>
          <w:szCs w:val="32"/>
        </w:rPr>
        <w:t>中小企业声明函</w:t>
      </w:r>
      <w:r>
        <w:rPr>
          <w:rFonts w:hint="eastAsia" w:ascii="宋体" w:hAnsi="宋体" w:cs="宋体"/>
          <w:b/>
          <w:sz w:val="32"/>
          <w:szCs w:val="32"/>
        </w:rPr>
        <w:t>（格式）</w:t>
      </w:r>
    </w:p>
    <w:p>
      <w:pPr>
        <w:spacing w:line="588" w:lineRule="exact"/>
        <w:rPr>
          <w:rFonts w:ascii="宋体" w:cs="宋体"/>
          <w:b/>
          <w:spacing w:val="6"/>
          <w:sz w:val="28"/>
          <w:szCs w:val="30"/>
        </w:rPr>
      </w:pP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本公司郑重声明，根据《政府采购促进中小企业发展暂行办法》（财库</w:t>
      </w:r>
      <w:r>
        <w:rPr>
          <w:rFonts w:ascii="宋体" w:hAnsi="宋体" w:cs="宋体"/>
          <w:spacing w:val="6"/>
          <w:sz w:val="24"/>
          <w:szCs w:val="30"/>
        </w:rPr>
        <w:t>[2011]181</w:t>
      </w:r>
      <w:r>
        <w:rPr>
          <w:rFonts w:hint="eastAsia" w:ascii="宋体" w:hAnsi="宋体" w:cs="宋体"/>
          <w:spacing w:val="6"/>
          <w:sz w:val="24"/>
          <w:szCs w:val="30"/>
        </w:rPr>
        <w:t>号）的规定，本公司为</w:t>
      </w:r>
      <w:bookmarkStart w:id="5" w:name="OLE_LINK5"/>
      <w:r>
        <w:rPr>
          <w:rFonts w:ascii="宋体" w:hAnsi="宋体" w:cs="宋体"/>
          <w:spacing w:val="6"/>
          <w:sz w:val="24"/>
          <w:szCs w:val="30"/>
        </w:rPr>
        <w:t>______</w:t>
      </w:r>
      <w:r>
        <w:rPr>
          <w:rFonts w:hint="eastAsia" w:ascii="宋体" w:hAnsi="宋体" w:cs="宋体"/>
          <w:spacing w:val="6"/>
          <w:sz w:val="24"/>
          <w:szCs w:val="30"/>
        </w:rPr>
        <w:t>（请填写：中型、小型、微型）企业</w:t>
      </w:r>
      <w:bookmarkEnd w:id="5"/>
      <w:r>
        <w:rPr>
          <w:rFonts w:hint="eastAsia" w:ascii="宋体" w:hAnsi="宋体" w:cs="宋体"/>
          <w:spacing w:val="6"/>
          <w:sz w:val="24"/>
          <w:szCs w:val="30"/>
        </w:rPr>
        <w:t>。即，本公司同时满足以下条件：</w:t>
      </w:r>
    </w:p>
    <w:p>
      <w:pPr>
        <w:spacing w:line="588" w:lineRule="exact"/>
        <w:ind w:firstLine="504" w:firstLineChars="200"/>
        <w:rPr>
          <w:rFonts w:ascii="宋体" w:cs="宋体"/>
          <w:spacing w:val="6"/>
          <w:sz w:val="24"/>
          <w:szCs w:val="30"/>
        </w:rPr>
      </w:pPr>
      <w:r>
        <w:rPr>
          <w:rFonts w:ascii="宋体" w:hAnsi="宋体" w:cs="宋体"/>
          <w:spacing w:val="6"/>
          <w:sz w:val="24"/>
          <w:szCs w:val="30"/>
        </w:rPr>
        <w:t>1.</w:t>
      </w:r>
      <w:r>
        <w:rPr>
          <w:rFonts w:hint="eastAsia" w:ascii="宋体" w:hAnsi="宋体" w:cs="宋体"/>
          <w:spacing w:val="6"/>
          <w:sz w:val="24"/>
          <w:szCs w:val="30"/>
        </w:rPr>
        <w:t>根据《工业和信息化部、国家统计局、国家发展和改革委员会、财政部关于印发中小企业划型标准规定的通知》（工信部联企业</w:t>
      </w:r>
      <w:r>
        <w:rPr>
          <w:rFonts w:ascii="宋体" w:hAnsi="宋体" w:cs="宋体"/>
          <w:spacing w:val="6"/>
          <w:sz w:val="24"/>
          <w:szCs w:val="30"/>
        </w:rPr>
        <w:t>[2011]300</w:t>
      </w:r>
      <w:r>
        <w:rPr>
          <w:rFonts w:hint="eastAsia" w:ascii="宋体" w:hAnsi="宋体" w:cs="宋体"/>
          <w:spacing w:val="6"/>
          <w:sz w:val="24"/>
          <w:szCs w:val="30"/>
        </w:rPr>
        <w:t>号）规定的划分标准，本公司为</w:t>
      </w:r>
      <w:r>
        <w:rPr>
          <w:rFonts w:ascii="宋体" w:hAnsi="宋体" w:cs="宋体"/>
          <w:spacing w:val="6"/>
          <w:sz w:val="24"/>
          <w:szCs w:val="30"/>
        </w:rPr>
        <w:t>______</w:t>
      </w:r>
      <w:r>
        <w:rPr>
          <w:rFonts w:hint="eastAsia" w:ascii="宋体" w:hAnsi="宋体" w:cs="宋体"/>
          <w:spacing w:val="6"/>
          <w:sz w:val="24"/>
          <w:szCs w:val="30"/>
        </w:rPr>
        <w:t>（请填写：中型、小型、微型）企业。</w:t>
      </w:r>
    </w:p>
    <w:p>
      <w:pPr>
        <w:spacing w:line="588" w:lineRule="exact"/>
        <w:ind w:firstLine="504" w:firstLineChars="200"/>
        <w:rPr>
          <w:rFonts w:ascii="宋体" w:cs="宋体"/>
          <w:spacing w:val="6"/>
          <w:sz w:val="24"/>
          <w:szCs w:val="30"/>
        </w:rPr>
      </w:pPr>
      <w:r>
        <w:rPr>
          <w:rFonts w:ascii="宋体" w:hAnsi="宋体" w:cs="宋体"/>
          <w:spacing w:val="6"/>
          <w:sz w:val="24"/>
          <w:szCs w:val="30"/>
        </w:rPr>
        <w:t>2.</w:t>
      </w:r>
      <w:r>
        <w:rPr>
          <w:rFonts w:hint="eastAsia" w:ascii="宋体" w:hAnsi="宋体" w:cs="宋体"/>
          <w:spacing w:val="6"/>
          <w:sz w:val="24"/>
          <w:szCs w:val="30"/>
        </w:rPr>
        <w:t>本公司参加</w:t>
      </w:r>
      <w:r>
        <w:rPr>
          <w:rFonts w:ascii="宋体" w:hAnsi="宋体" w:cs="宋体"/>
          <w:spacing w:val="6"/>
          <w:sz w:val="24"/>
          <w:szCs w:val="30"/>
        </w:rPr>
        <w:t>______</w:t>
      </w:r>
      <w:r>
        <w:rPr>
          <w:rFonts w:hint="eastAsia" w:ascii="宋体" w:hAnsi="宋体" w:cs="宋体"/>
          <w:spacing w:val="6"/>
          <w:sz w:val="24"/>
          <w:szCs w:val="30"/>
        </w:rPr>
        <w:t>单位的</w:t>
      </w:r>
      <w:r>
        <w:rPr>
          <w:rFonts w:ascii="宋体" w:hAnsi="宋体" w:cs="宋体"/>
          <w:spacing w:val="6"/>
          <w:sz w:val="24"/>
          <w:szCs w:val="30"/>
        </w:rPr>
        <w:t>______</w:t>
      </w:r>
      <w:r>
        <w:rPr>
          <w:rFonts w:hint="eastAsia" w:ascii="宋体" w:hAnsi="宋体" w:cs="宋体"/>
          <w:spacing w:val="6"/>
          <w:sz w:val="24"/>
          <w:szCs w:val="30"/>
        </w:rPr>
        <w:t>项目采购活动提供本企业制造的货物，由本企业承担工程、提供服务，或者提供其他</w:t>
      </w:r>
      <w:r>
        <w:rPr>
          <w:rFonts w:ascii="宋体" w:hAnsi="宋体" w:cs="宋体"/>
          <w:spacing w:val="6"/>
          <w:sz w:val="24"/>
          <w:szCs w:val="30"/>
        </w:rPr>
        <w:t>______</w:t>
      </w:r>
      <w:r>
        <w:rPr>
          <w:rFonts w:hint="eastAsia" w:ascii="宋体" w:hAnsi="宋体" w:cs="宋体"/>
          <w:spacing w:val="6"/>
          <w:sz w:val="24"/>
          <w:szCs w:val="30"/>
        </w:rPr>
        <w:t>（请填写：中型、小型、微型）企业制造的货物。本条所称货物不包括使用大型企业注册商标的货物。</w:t>
      </w: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本公司对上述声明的真实性负责。如有虚假，将依法承担相应责任。</w:t>
      </w:r>
    </w:p>
    <w:p>
      <w:pPr>
        <w:spacing w:line="588" w:lineRule="exact"/>
        <w:ind w:firstLine="504" w:firstLineChars="200"/>
        <w:rPr>
          <w:rFonts w:ascii="宋体" w:cs="宋体"/>
          <w:spacing w:val="6"/>
          <w:sz w:val="24"/>
          <w:szCs w:val="30"/>
        </w:rPr>
      </w:pPr>
    </w:p>
    <w:p>
      <w:pPr>
        <w:spacing w:line="588" w:lineRule="exact"/>
        <w:ind w:firstLine="504" w:firstLineChars="200"/>
        <w:rPr>
          <w:rFonts w:ascii="宋体" w:cs="宋体"/>
          <w:spacing w:val="6"/>
          <w:sz w:val="24"/>
          <w:szCs w:val="30"/>
        </w:rPr>
      </w:pPr>
    </w:p>
    <w:p>
      <w:pPr>
        <w:tabs>
          <w:tab w:val="left" w:pos="4860"/>
        </w:tabs>
        <w:spacing w:line="588" w:lineRule="exact"/>
        <w:ind w:right="1560" w:firstLine="504" w:firstLineChars="200"/>
        <w:jc w:val="center"/>
        <w:rPr>
          <w:rFonts w:ascii="宋体" w:cs="宋体"/>
          <w:spacing w:val="6"/>
          <w:sz w:val="24"/>
          <w:szCs w:val="30"/>
        </w:rPr>
      </w:pPr>
      <w:r>
        <w:rPr>
          <w:rFonts w:ascii="宋体" w:hAnsi="宋体" w:cs="宋体"/>
          <w:spacing w:val="6"/>
          <w:sz w:val="24"/>
          <w:szCs w:val="30"/>
        </w:rPr>
        <w:t xml:space="preserve">               </w:t>
      </w:r>
      <w:r>
        <w:rPr>
          <w:rFonts w:hint="eastAsia" w:ascii="宋体" w:hAnsi="宋体" w:cs="宋体"/>
          <w:spacing w:val="6"/>
          <w:sz w:val="24"/>
          <w:szCs w:val="30"/>
        </w:rPr>
        <w:t>企业名称（盖章）：</w:t>
      </w:r>
      <w:r>
        <w:rPr>
          <w:rFonts w:ascii="宋体" w:hAnsi="宋体" w:cs="宋体"/>
          <w:spacing w:val="6"/>
          <w:sz w:val="24"/>
          <w:szCs w:val="30"/>
        </w:rPr>
        <w:t xml:space="preserve"> </w:t>
      </w:r>
    </w:p>
    <w:p>
      <w:pPr>
        <w:pStyle w:val="12"/>
        <w:spacing w:line="300" w:lineRule="auto"/>
        <w:rPr>
          <w:rFonts w:hAnsi="宋体" w:cs="宋体"/>
          <w:spacing w:val="6"/>
          <w:sz w:val="24"/>
          <w:szCs w:val="30"/>
        </w:rPr>
      </w:pPr>
      <w:r>
        <w:rPr>
          <w:rFonts w:hAnsi="宋体" w:cs="宋体"/>
          <w:spacing w:val="6"/>
          <w:sz w:val="24"/>
          <w:szCs w:val="30"/>
        </w:rPr>
        <w:t xml:space="preserve">                                   </w:t>
      </w:r>
      <w:r>
        <w:rPr>
          <w:rFonts w:hint="eastAsia" w:hAnsi="宋体" w:cs="宋体"/>
          <w:spacing w:val="6"/>
          <w:sz w:val="24"/>
          <w:szCs w:val="30"/>
        </w:rPr>
        <w:t>日</w:t>
      </w:r>
      <w:r>
        <w:rPr>
          <w:rFonts w:hAnsi="宋体" w:cs="宋体"/>
          <w:spacing w:val="6"/>
          <w:sz w:val="24"/>
          <w:szCs w:val="30"/>
        </w:rPr>
        <w:t xml:space="preserve">  </w:t>
      </w:r>
      <w:r>
        <w:rPr>
          <w:rFonts w:hint="eastAsia" w:hAnsi="宋体" w:cs="宋体"/>
          <w:spacing w:val="6"/>
          <w:sz w:val="24"/>
          <w:szCs w:val="30"/>
        </w:rPr>
        <w:t>期：</w:t>
      </w:r>
    </w:p>
    <w:p>
      <w:pPr>
        <w:pStyle w:val="12"/>
        <w:spacing w:line="300" w:lineRule="auto"/>
        <w:rPr>
          <w:rFonts w:hAnsi="宋体" w:cs="宋体"/>
          <w:spacing w:val="6"/>
          <w:sz w:val="30"/>
          <w:szCs w:val="30"/>
        </w:rPr>
      </w:pPr>
    </w:p>
    <w:p>
      <w:pPr>
        <w:pStyle w:val="12"/>
        <w:spacing w:line="300" w:lineRule="auto"/>
        <w:rPr>
          <w:rFonts w:hAnsi="宋体" w:cs="宋体"/>
          <w:spacing w:val="6"/>
          <w:sz w:val="30"/>
          <w:szCs w:val="30"/>
        </w:rPr>
      </w:pPr>
    </w:p>
    <w:p>
      <w:pPr>
        <w:pStyle w:val="12"/>
        <w:spacing w:line="300" w:lineRule="auto"/>
        <w:rPr>
          <w:rFonts w:hAnsi="宋体" w:cs="宋体"/>
          <w:spacing w:val="6"/>
          <w:sz w:val="30"/>
          <w:szCs w:val="30"/>
        </w:rPr>
      </w:pPr>
    </w:p>
    <w:p>
      <w:pPr>
        <w:spacing w:line="430" w:lineRule="exact"/>
        <w:rPr>
          <w:rFonts w:ascii="宋体" w:cs="宋体"/>
        </w:rPr>
      </w:pPr>
      <w:r>
        <w:rPr>
          <w:rFonts w:ascii="宋体" w:cs="宋体"/>
          <w:b/>
          <w:sz w:val="28"/>
          <w:szCs w:val="28"/>
        </w:rPr>
        <w:br w:type="page"/>
      </w:r>
    </w:p>
    <w:p>
      <w:pPr>
        <w:widowControl/>
        <w:jc w:val="left"/>
        <w:rPr>
          <w:rFonts w:ascii="宋体" w:cs="宋体"/>
          <w:b/>
          <w:szCs w:val="21"/>
        </w:rPr>
      </w:pPr>
    </w:p>
    <w:p>
      <w:pPr>
        <w:widowControl/>
        <w:jc w:val="left"/>
        <w:rPr>
          <w:rFonts w:ascii="宋体" w:cs="宋体"/>
          <w:b/>
          <w:szCs w:val="21"/>
        </w:rPr>
      </w:pPr>
      <w:r>
        <w:rPr>
          <w:rFonts w:hint="eastAsia" w:ascii="宋体" w:hAnsi="宋体" w:cs="宋体"/>
          <w:b/>
          <w:szCs w:val="21"/>
        </w:rPr>
        <w:t>残疾人福利性单位声明格式</w:t>
      </w:r>
      <w:r>
        <w:rPr>
          <w:rFonts w:hint="eastAsia" w:ascii="宋体" w:hAnsi="宋体" w:cs="宋体"/>
          <w:b/>
          <w:sz w:val="22"/>
        </w:rPr>
        <w:t>（如是，请填写提供）</w:t>
      </w:r>
    </w:p>
    <w:p>
      <w:pPr>
        <w:widowControl/>
        <w:spacing w:before="100" w:beforeAutospacing="1" w:after="100" w:afterAutospacing="1" w:line="425" w:lineRule="atLeast"/>
        <w:jc w:val="center"/>
        <w:rPr>
          <w:rFonts w:ascii="宋体" w:cs="宋体"/>
          <w:kern w:val="0"/>
          <w:sz w:val="28"/>
          <w:szCs w:val="28"/>
        </w:rPr>
      </w:pPr>
      <w:r>
        <w:rPr>
          <w:rFonts w:hint="eastAsia" w:ascii="宋体" w:hAnsi="宋体" w:cs="宋体"/>
          <w:b/>
          <w:bCs/>
          <w:kern w:val="0"/>
          <w:sz w:val="28"/>
          <w:szCs w:val="28"/>
        </w:rPr>
        <w:t>残疾人福利性单位声明函</w:t>
      </w:r>
      <w:r>
        <w:rPr>
          <w:rFonts w:hint="eastAsia" w:ascii="宋体" w:hAnsi="宋体" w:cs="宋体"/>
          <w:b/>
          <w:sz w:val="32"/>
          <w:szCs w:val="32"/>
        </w:rPr>
        <w:t>（格式）</w:t>
      </w:r>
    </w:p>
    <w:p>
      <w:pPr>
        <w:widowControl/>
        <w:spacing w:before="100" w:beforeAutospacing="1" w:after="100" w:afterAutospacing="1" w:line="425" w:lineRule="atLeast"/>
        <w:jc w:val="left"/>
        <w:rPr>
          <w:rFonts w:ascii="宋体" w:cs="宋体"/>
          <w:kern w:val="0"/>
          <w:sz w:val="24"/>
        </w:rPr>
      </w:pP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本单位郑重声明，根据《财政部</w:t>
      </w:r>
      <w:r>
        <w:rPr>
          <w:rFonts w:ascii="宋体" w:hAnsi="宋体" w:cs="宋体"/>
          <w:spacing w:val="6"/>
          <w:sz w:val="24"/>
          <w:szCs w:val="30"/>
        </w:rPr>
        <w:t xml:space="preserve"> </w:t>
      </w:r>
      <w:r>
        <w:rPr>
          <w:rFonts w:hint="eastAsia" w:ascii="宋体" w:hAnsi="宋体" w:cs="宋体"/>
          <w:spacing w:val="6"/>
          <w:sz w:val="24"/>
          <w:szCs w:val="30"/>
        </w:rPr>
        <w:t>民政部</w:t>
      </w:r>
      <w:r>
        <w:rPr>
          <w:rFonts w:ascii="宋体" w:hAnsi="宋体" w:cs="宋体"/>
          <w:spacing w:val="6"/>
          <w:sz w:val="24"/>
          <w:szCs w:val="30"/>
        </w:rPr>
        <w:t xml:space="preserve"> </w:t>
      </w:r>
      <w:r>
        <w:rPr>
          <w:rFonts w:hint="eastAsia" w:ascii="宋体" w:hAnsi="宋体" w:cs="宋体"/>
          <w:spacing w:val="6"/>
          <w:sz w:val="24"/>
          <w:szCs w:val="30"/>
        </w:rPr>
        <w:t>中国残疾人联合会关于促进残疾人就业政府采购政策的通知》（财库〔</w:t>
      </w:r>
      <w:r>
        <w:rPr>
          <w:rFonts w:ascii="宋体" w:hAnsi="宋体" w:cs="宋体"/>
          <w:spacing w:val="6"/>
          <w:sz w:val="24"/>
          <w:szCs w:val="30"/>
        </w:rPr>
        <w:t>2017</w:t>
      </w:r>
      <w:r>
        <w:rPr>
          <w:rFonts w:hint="eastAsia" w:ascii="宋体" w:hAnsi="宋体" w:cs="宋体"/>
          <w:spacing w:val="6"/>
          <w:sz w:val="24"/>
          <w:szCs w:val="30"/>
        </w:rPr>
        <w:t>〕</w:t>
      </w:r>
      <w:r>
        <w:rPr>
          <w:rFonts w:ascii="宋体" w:hAnsi="宋体" w:cs="宋体"/>
          <w:spacing w:val="6"/>
          <w:sz w:val="24"/>
          <w:szCs w:val="30"/>
        </w:rPr>
        <w:t>141</w:t>
      </w:r>
      <w:r>
        <w:rPr>
          <w:rFonts w:hint="eastAsia" w:ascii="宋体" w:hAnsi="宋体" w:cs="宋体"/>
          <w:spacing w:val="6"/>
          <w:sz w:val="24"/>
          <w:szCs w:val="30"/>
        </w:rPr>
        <w:t>号）的规定，本单位为符合条件的残疾人福利性单位，且本单位参加</w:t>
      </w:r>
      <w:r>
        <w:rPr>
          <w:rFonts w:ascii="宋体" w:hAnsi="宋体" w:cs="宋体"/>
          <w:spacing w:val="6"/>
          <w:sz w:val="24"/>
          <w:szCs w:val="30"/>
          <w:u w:val="single"/>
        </w:rPr>
        <w:t xml:space="preserve">             </w:t>
      </w:r>
      <w:r>
        <w:rPr>
          <w:rFonts w:hint="eastAsia" w:ascii="宋体" w:hAnsi="宋体" w:cs="宋体"/>
          <w:spacing w:val="6"/>
          <w:sz w:val="24"/>
          <w:szCs w:val="30"/>
        </w:rPr>
        <w:t>单位的</w:t>
      </w:r>
      <w:r>
        <w:rPr>
          <w:rFonts w:ascii="宋体" w:hAnsi="宋体" w:cs="宋体"/>
          <w:spacing w:val="6"/>
          <w:sz w:val="24"/>
          <w:szCs w:val="30"/>
          <w:u w:val="single"/>
        </w:rPr>
        <w:t xml:space="preserve">                  </w:t>
      </w:r>
      <w:r>
        <w:rPr>
          <w:rFonts w:hint="eastAsia" w:ascii="宋体" w:hAnsi="宋体" w:cs="宋体"/>
          <w:spacing w:val="6"/>
          <w:sz w:val="24"/>
          <w:szCs w:val="30"/>
        </w:rPr>
        <w:t>项目采购活动提供本单位制造的货物（由本单位承担工程</w:t>
      </w:r>
      <w:r>
        <w:rPr>
          <w:rFonts w:ascii="宋体" w:hAnsi="宋体" w:cs="宋体"/>
          <w:spacing w:val="6"/>
          <w:sz w:val="24"/>
          <w:szCs w:val="30"/>
        </w:rPr>
        <w:t>/</w:t>
      </w:r>
      <w:r>
        <w:rPr>
          <w:rFonts w:hint="eastAsia" w:ascii="宋体" w:hAnsi="宋体" w:cs="宋体"/>
          <w:spacing w:val="6"/>
          <w:sz w:val="24"/>
          <w:szCs w:val="30"/>
        </w:rPr>
        <w:t>提供服务），或者提供其他残疾人福利性单位制造的货物（不包括使用非残疾人福利性单位注册商标的货物）。</w:t>
      </w: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本单位对上述声明的真实性负责。如有虚假，将依法承担相应责任。</w:t>
      </w:r>
    </w:p>
    <w:p>
      <w:pPr>
        <w:spacing w:line="588" w:lineRule="exact"/>
        <w:ind w:firstLine="504" w:firstLineChars="200"/>
        <w:rPr>
          <w:rFonts w:ascii="宋体" w:cs="宋体"/>
          <w:spacing w:val="6"/>
          <w:sz w:val="24"/>
          <w:szCs w:val="30"/>
        </w:rPr>
      </w:pPr>
    </w:p>
    <w:p>
      <w:pPr>
        <w:spacing w:line="588" w:lineRule="exact"/>
        <w:ind w:firstLine="504" w:firstLineChars="200"/>
        <w:rPr>
          <w:rFonts w:ascii="宋体" w:cs="宋体"/>
          <w:spacing w:val="6"/>
          <w:sz w:val="24"/>
          <w:szCs w:val="30"/>
        </w:rPr>
      </w:pPr>
    </w:p>
    <w:p>
      <w:pPr>
        <w:spacing w:line="588" w:lineRule="exact"/>
        <w:ind w:firstLine="504" w:firstLineChars="200"/>
        <w:rPr>
          <w:rFonts w:ascii="宋体" w:cs="宋体"/>
          <w:spacing w:val="6"/>
          <w:sz w:val="24"/>
          <w:szCs w:val="30"/>
        </w:rPr>
      </w:pPr>
      <w:r>
        <w:rPr>
          <w:rFonts w:ascii="宋体" w:hAnsi="宋体" w:cs="宋体"/>
          <w:spacing w:val="6"/>
          <w:sz w:val="24"/>
          <w:szCs w:val="30"/>
        </w:rPr>
        <w:t xml:space="preserve">                                                   </w:t>
      </w:r>
      <w:r>
        <w:rPr>
          <w:rFonts w:hint="eastAsia" w:ascii="宋体" w:hAnsi="宋体" w:cs="宋体"/>
          <w:spacing w:val="6"/>
          <w:sz w:val="24"/>
          <w:szCs w:val="30"/>
        </w:rPr>
        <w:t>单位名称（盖章）：</w:t>
      </w:r>
    </w:p>
    <w:p>
      <w:pPr>
        <w:spacing w:line="588" w:lineRule="exact"/>
        <w:ind w:firstLine="504" w:firstLineChars="200"/>
        <w:rPr>
          <w:rFonts w:ascii="宋体" w:cs="宋体"/>
          <w:spacing w:val="6"/>
          <w:sz w:val="24"/>
          <w:szCs w:val="30"/>
        </w:rPr>
      </w:pPr>
      <w:r>
        <w:rPr>
          <w:rFonts w:ascii="宋体" w:hAnsi="宋体" w:cs="宋体"/>
          <w:spacing w:val="6"/>
          <w:sz w:val="24"/>
          <w:szCs w:val="30"/>
        </w:rPr>
        <w:t xml:space="preserve">                                                    </w:t>
      </w:r>
      <w:r>
        <w:rPr>
          <w:rFonts w:hint="eastAsia" w:ascii="宋体" w:hAnsi="宋体" w:cs="宋体"/>
          <w:spacing w:val="6"/>
          <w:sz w:val="24"/>
          <w:szCs w:val="30"/>
        </w:rPr>
        <w:t>日</w:t>
      </w:r>
      <w:r>
        <w:rPr>
          <w:rFonts w:ascii="宋体" w:hAnsi="宋体" w:cs="宋体"/>
          <w:spacing w:val="6"/>
          <w:sz w:val="24"/>
          <w:szCs w:val="30"/>
        </w:rPr>
        <w:t xml:space="preserve">  </w:t>
      </w:r>
      <w:r>
        <w:rPr>
          <w:rFonts w:hint="eastAsia" w:ascii="宋体" w:hAnsi="宋体" w:cs="宋体"/>
          <w:spacing w:val="6"/>
          <w:sz w:val="24"/>
          <w:szCs w:val="30"/>
        </w:rPr>
        <w:t>期</w:t>
      </w:r>
    </w:p>
    <w:p>
      <w:pPr>
        <w:spacing w:line="430" w:lineRule="exact"/>
        <w:rPr>
          <w:rFonts w:ascii="宋体" w:cs="宋体"/>
          <w:szCs w:val="21"/>
        </w:rPr>
      </w:pPr>
    </w:p>
    <w:p>
      <w:pPr>
        <w:pStyle w:val="21"/>
        <w:ind w:left="-269" w:firstLine="544"/>
        <w:rPr>
          <w:rFonts w:ascii="宋体" w:cs="宋体"/>
          <w:szCs w:val="21"/>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rPr>
          <w:rFonts w:ascii="宋体" w:cs="宋体"/>
        </w:rPr>
      </w:pPr>
    </w:p>
    <w:p>
      <w:pPr>
        <w:pStyle w:val="53"/>
        <w:jc w:val="center"/>
        <w:rPr>
          <w:rFonts w:ascii="宋体" w:cs="宋体"/>
          <w:b/>
          <w:bCs w:val="0"/>
          <w:spacing w:val="0"/>
          <w:kern w:val="2"/>
          <w:sz w:val="32"/>
          <w:szCs w:val="32"/>
        </w:rPr>
      </w:pPr>
      <w:r>
        <w:rPr>
          <w:rFonts w:hint="eastAsia" w:ascii="宋体" w:hAnsi="宋体" w:cs="宋体"/>
          <w:b/>
          <w:bCs w:val="0"/>
          <w:spacing w:val="0"/>
          <w:kern w:val="2"/>
          <w:sz w:val="32"/>
          <w:szCs w:val="32"/>
        </w:rPr>
        <w:t>资格证明文件</w:t>
      </w:r>
    </w:p>
    <w:p>
      <w:pPr>
        <w:pStyle w:val="53"/>
        <w:jc w:val="center"/>
        <w:rPr>
          <w:rFonts w:ascii="宋体" w:cs="宋体"/>
          <w:b/>
          <w:bCs w:val="0"/>
          <w:spacing w:val="0"/>
          <w:kern w:val="2"/>
          <w:sz w:val="28"/>
          <w:szCs w:val="28"/>
        </w:rPr>
      </w:pPr>
      <w:r>
        <w:rPr>
          <w:rFonts w:hint="eastAsia" w:ascii="宋体" w:hAnsi="宋体" w:cs="宋体"/>
          <w:b/>
          <w:bCs w:val="0"/>
          <w:spacing w:val="0"/>
          <w:kern w:val="2"/>
          <w:sz w:val="28"/>
          <w:szCs w:val="28"/>
        </w:rPr>
        <w:t>（按本竞争性磋商文件中“第二章</w:t>
      </w:r>
      <w:r>
        <w:rPr>
          <w:rFonts w:ascii="宋体" w:hAnsi="宋体" w:cs="宋体"/>
          <w:b/>
          <w:bCs w:val="0"/>
          <w:spacing w:val="0"/>
          <w:kern w:val="2"/>
          <w:sz w:val="28"/>
          <w:szCs w:val="28"/>
        </w:rPr>
        <w:t xml:space="preserve"> </w:t>
      </w:r>
      <w:r>
        <w:rPr>
          <w:rFonts w:hint="eastAsia" w:ascii="宋体" w:hAnsi="宋体" w:cs="宋体"/>
          <w:b/>
          <w:bCs w:val="0"/>
          <w:spacing w:val="0"/>
          <w:kern w:val="2"/>
          <w:sz w:val="28"/>
          <w:szCs w:val="28"/>
        </w:rPr>
        <w:t>供应商须知”的</w:t>
      </w:r>
      <w:r>
        <w:rPr>
          <w:rFonts w:ascii="宋体" w:hAnsi="宋体" w:cs="宋体"/>
          <w:b/>
          <w:bCs w:val="0"/>
          <w:spacing w:val="0"/>
          <w:kern w:val="2"/>
          <w:sz w:val="28"/>
          <w:szCs w:val="28"/>
        </w:rPr>
        <w:t>5.6.2</w:t>
      </w:r>
      <w:r>
        <w:rPr>
          <w:rFonts w:hint="eastAsia" w:ascii="宋体" w:hAnsi="宋体" w:cs="宋体"/>
          <w:b/>
          <w:bCs w:val="0"/>
          <w:spacing w:val="0"/>
          <w:kern w:val="2"/>
          <w:sz w:val="28"/>
          <w:szCs w:val="28"/>
        </w:rPr>
        <w:t>点要求提供）</w:t>
      </w:r>
    </w:p>
    <w:p>
      <w:pPr>
        <w:pStyle w:val="53"/>
        <w:jc w:val="center"/>
        <w:rPr>
          <w:rFonts w:ascii="宋体" w:cs="宋体"/>
          <w:b/>
          <w:bCs w:val="0"/>
          <w:spacing w:val="0"/>
          <w:kern w:val="2"/>
          <w:sz w:val="28"/>
          <w:szCs w:val="28"/>
        </w:rPr>
      </w:pPr>
    </w:p>
    <w:p>
      <w:pPr>
        <w:pStyle w:val="53"/>
        <w:jc w:val="center"/>
        <w:rPr>
          <w:rFonts w:ascii="宋体" w:cs="宋体"/>
          <w:b/>
          <w:bCs w:val="0"/>
          <w:spacing w:val="0"/>
          <w:kern w:val="2"/>
          <w:sz w:val="28"/>
          <w:szCs w:val="28"/>
        </w:rPr>
      </w:pPr>
    </w:p>
    <w:p>
      <w:pPr>
        <w:adjustRightInd w:val="0"/>
        <w:snapToGrid w:val="0"/>
        <w:spacing w:line="300" w:lineRule="auto"/>
        <w:jc w:val="center"/>
        <w:rPr>
          <w:rFonts w:ascii="宋体" w:cs="宋体"/>
          <w:b/>
          <w:sz w:val="24"/>
        </w:rPr>
      </w:pPr>
      <w:r>
        <w:rPr>
          <w:rFonts w:hint="eastAsia" w:ascii="宋体" w:hAnsi="宋体" w:cs="宋体"/>
          <w:b/>
          <w:sz w:val="24"/>
        </w:rPr>
        <w:t>法定代表人授权书（格式）</w:t>
      </w:r>
    </w:p>
    <w:p>
      <w:pPr>
        <w:spacing w:line="460" w:lineRule="exact"/>
        <w:ind w:firstLine="431" w:firstLineChars="196"/>
        <w:rPr>
          <w:rFonts w:ascii="宋体" w:cs="宋体"/>
          <w:bCs/>
          <w:sz w:val="22"/>
          <w:szCs w:val="22"/>
          <w:u w:val="single"/>
        </w:rPr>
      </w:pPr>
      <w:r>
        <w:rPr>
          <w:rFonts w:hint="eastAsia" w:ascii="宋体" w:hAnsi="宋体" w:cs="宋体"/>
          <w:bCs/>
          <w:sz w:val="22"/>
          <w:szCs w:val="22"/>
          <w:u w:val="single"/>
        </w:rPr>
        <w:t>（采购人）</w:t>
      </w:r>
      <w:r>
        <w:rPr>
          <w:rFonts w:ascii="宋体" w:hAnsi="宋体" w:cs="宋体"/>
          <w:bCs/>
          <w:sz w:val="22"/>
          <w:szCs w:val="22"/>
          <w:u w:val="single"/>
        </w:rPr>
        <w:t xml:space="preserve">                    </w:t>
      </w:r>
      <w:r>
        <w:rPr>
          <w:rFonts w:hint="eastAsia" w:ascii="宋体" w:hAnsi="宋体" w:cs="宋体"/>
          <w:bCs/>
          <w:sz w:val="22"/>
          <w:szCs w:val="22"/>
          <w:u w:val="single"/>
        </w:rPr>
        <w:t>：</w:t>
      </w:r>
    </w:p>
    <w:p>
      <w:pPr>
        <w:spacing w:line="520" w:lineRule="exact"/>
        <w:ind w:firstLine="440" w:firstLineChars="200"/>
        <w:rPr>
          <w:rFonts w:ascii="宋体" w:cs="宋体"/>
          <w:sz w:val="22"/>
          <w:szCs w:val="22"/>
        </w:rPr>
      </w:pPr>
      <w:r>
        <w:rPr>
          <w:rFonts w:hint="eastAsia" w:ascii="宋体" w:hAnsi="宋体" w:cs="宋体"/>
          <w:sz w:val="22"/>
          <w:szCs w:val="22"/>
        </w:rPr>
        <w:t>兹授权</w:t>
      </w:r>
      <w:r>
        <w:rPr>
          <w:rFonts w:ascii="宋体" w:hAnsi="宋体" w:cs="宋体"/>
          <w:sz w:val="22"/>
          <w:szCs w:val="22"/>
          <w:u w:val="single"/>
        </w:rPr>
        <w:t xml:space="preserve">      </w:t>
      </w:r>
      <w:r>
        <w:rPr>
          <w:rFonts w:hint="eastAsia" w:ascii="宋体" w:hAnsi="宋体" w:cs="宋体"/>
          <w:sz w:val="22"/>
          <w:szCs w:val="22"/>
        </w:rPr>
        <w:t>同志为我公司参加贵单位组织的</w:t>
      </w:r>
      <w:r>
        <w:rPr>
          <w:rFonts w:ascii="宋体" w:hAnsi="宋体" w:cs="宋体"/>
          <w:sz w:val="22"/>
          <w:szCs w:val="22"/>
          <w:u w:val="single"/>
        </w:rPr>
        <w:t xml:space="preserve">             </w:t>
      </w:r>
      <w:r>
        <w:rPr>
          <w:rFonts w:hint="eastAsia" w:ascii="宋体" w:hAnsi="宋体" w:cs="宋体"/>
          <w:sz w:val="22"/>
          <w:szCs w:val="22"/>
        </w:rPr>
        <w:t>项目（项目编号：</w:t>
      </w:r>
      <w:r>
        <w:rPr>
          <w:rFonts w:ascii="宋体" w:hAnsi="宋体" w:cs="宋体"/>
          <w:sz w:val="22"/>
          <w:szCs w:val="22"/>
          <w:u w:val="single"/>
        </w:rPr>
        <w:t xml:space="preserve">             </w:t>
      </w:r>
      <w:r>
        <w:rPr>
          <w:rFonts w:hint="eastAsia" w:ascii="宋体" w:hAnsi="宋体" w:cs="宋体"/>
          <w:sz w:val="22"/>
          <w:szCs w:val="22"/>
        </w:rPr>
        <w:t>）采购活动的磋商代表人，全权代表我公司处理在该项目采购活动中的一切事宜。代理期限从</w:t>
      </w:r>
      <w:r>
        <w:rPr>
          <w:rFonts w:ascii="宋体" w:hAnsi="宋体" w:cs="宋体"/>
          <w:sz w:val="22"/>
          <w:szCs w:val="22"/>
          <w:u w:val="single"/>
        </w:rPr>
        <w:t xml:space="preserve">     </w:t>
      </w:r>
      <w:r>
        <w:rPr>
          <w:rFonts w:hint="eastAsia" w:ascii="宋体" w:hAnsi="宋体" w:cs="宋体"/>
          <w:sz w:val="22"/>
          <w:szCs w:val="22"/>
        </w:rPr>
        <w:t>年</w:t>
      </w:r>
      <w:r>
        <w:rPr>
          <w:rFonts w:ascii="宋体" w:hAnsi="宋体" w:cs="宋体"/>
          <w:sz w:val="22"/>
          <w:szCs w:val="22"/>
          <w:u w:val="single"/>
        </w:rPr>
        <w:t xml:space="preserve">   </w:t>
      </w:r>
      <w:r>
        <w:rPr>
          <w:rFonts w:hint="eastAsia" w:ascii="宋体" w:hAnsi="宋体" w:cs="宋体"/>
          <w:sz w:val="22"/>
          <w:szCs w:val="22"/>
        </w:rPr>
        <w:t>月</w:t>
      </w:r>
      <w:r>
        <w:rPr>
          <w:rFonts w:ascii="宋体" w:hAnsi="宋体" w:cs="宋体"/>
          <w:sz w:val="22"/>
          <w:szCs w:val="22"/>
          <w:u w:val="single"/>
        </w:rPr>
        <w:t xml:space="preserve">   </w:t>
      </w:r>
      <w:r>
        <w:rPr>
          <w:rFonts w:hint="eastAsia" w:ascii="宋体" w:hAnsi="宋体" w:cs="宋体"/>
          <w:sz w:val="22"/>
          <w:szCs w:val="22"/>
        </w:rPr>
        <w:t>日起至</w:t>
      </w:r>
      <w:r>
        <w:rPr>
          <w:rFonts w:ascii="宋体" w:hAnsi="宋体" w:cs="宋体"/>
          <w:sz w:val="22"/>
          <w:szCs w:val="22"/>
          <w:u w:val="single"/>
        </w:rPr>
        <w:t xml:space="preserve">     </w:t>
      </w:r>
      <w:r>
        <w:rPr>
          <w:rFonts w:hint="eastAsia" w:ascii="宋体" w:hAnsi="宋体" w:cs="宋体"/>
          <w:sz w:val="22"/>
          <w:szCs w:val="22"/>
        </w:rPr>
        <w:t>年</w:t>
      </w:r>
      <w:r>
        <w:rPr>
          <w:rFonts w:ascii="宋体" w:hAnsi="宋体" w:cs="宋体"/>
          <w:sz w:val="22"/>
          <w:szCs w:val="22"/>
          <w:u w:val="single"/>
        </w:rPr>
        <w:t xml:space="preserve">   </w:t>
      </w:r>
      <w:r>
        <w:rPr>
          <w:rFonts w:hint="eastAsia" w:ascii="宋体" w:hAnsi="宋体" w:cs="宋体"/>
          <w:sz w:val="22"/>
          <w:szCs w:val="22"/>
        </w:rPr>
        <w:t>月</w:t>
      </w:r>
      <w:r>
        <w:rPr>
          <w:rFonts w:ascii="宋体" w:hAnsi="宋体" w:cs="宋体"/>
          <w:sz w:val="22"/>
          <w:szCs w:val="22"/>
          <w:u w:val="single"/>
        </w:rPr>
        <w:t xml:space="preserve">   </w:t>
      </w:r>
      <w:r>
        <w:rPr>
          <w:rFonts w:hint="eastAsia" w:ascii="宋体" w:hAnsi="宋体" w:cs="宋体"/>
          <w:sz w:val="22"/>
          <w:szCs w:val="22"/>
        </w:rPr>
        <w:t>日止。</w:t>
      </w:r>
      <w:r>
        <w:rPr>
          <w:rFonts w:ascii="宋体" w:hAnsi="宋体" w:cs="宋体"/>
          <w:sz w:val="22"/>
          <w:szCs w:val="22"/>
        </w:rPr>
        <w:t xml:space="preserve"> </w:t>
      </w:r>
    </w:p>
    <w:p>
      <w:pPr>
        <w:spacing w:line="520" w:lineRule="exact"/>
        <w:rPr>
          <w:rFonts w:ascii="宋体" w:cs="宋体"/>
          <w:sz w:val="22"/>
          <w:szCs w:val="22"/>
        </w:rPr>
      </w:pPr>
      <w:r>
        <w:rPr>
          <w:rFonts w:hint="eastAsia" w:ascii="宋体" w:hAnsi="宋体" w:cs="宋体"/>
          <w:sz w:val="22"/>
          <w:szCs w:val="22"/>
        </w:rPr>
        <w:t>授权单位（盖章）：</w:t>
      </w:r>
      <w:r>
        <w:rPr>
          <w:rFonts w:ascii="宋体" w:hAnsi="宋体" w:cs="宋体"/>
          <w:sz w:val="22"/>
          <w:szCs w:val="22"/>
          <w:u w:val="single"/>
        </w:rPr>
        <w:t xml:space="preserve">                         </w:t>
      </w:r>
    </w:p>
    <w:p>
      <w:pPr>
        <w:spacing w:line="520" w:lineRule="exact"/>
        <w:rPr>
          <w:rFonts w:ascii="宋体" w:cs="宋体"/>
          <w:sz w:val="22"/>
          <w:szCs w:val="22"/>
        </w:rPr>
      </w:pPr>
      <w:r>
        <w:rPr>
          <w:rFonts w:hint="eastAsia" w:ascii="宋体" w:hAnsi="宋体" w:cs="宋体"/>
          <w:sz w:val="22"/>
          <w:szCs w:val="22"/>
        </w:rPr>
        <w:t>法定代表人（签字或盖章）：</w:t>
      </w:r>
      <w:r>
        <w:rPr>
          <w:rFonts w:ascii="宋体" w:hAnsi="宋体" w:cs="宋体"/>
          <w:sz w:val="22"/>
          <w:szCs w:val="22"/>
          <w:u w:val="single"/>
        </w:rPr>
        <w:t xml:space="preserve">                 </w:t>
      </w:r>
    </w:p>
    <w:p>
      <w:pPr>
        <w:spacing w:line="520" w:lineRule="exact"/>
        <w:rPr>
          <w:rFonts w:ascii="宋体" w:cs="宋体"/>
          <w:sz w:val="22"/>
          <w:szCs w:val="22"/>
        </w:rPr>
      </w:pPr>
      <w:r>
        <w:rPr>
          <w:rFonts w:hint="eastAsia" w:ascii="宋体" w:hAnsi="宋体" w:cs="宋体"/>
          <w:sz w:val="22"/>
          <w:szCs w:val="22"/>
        </w:rPr>
        <w:t>签发日期：</w:t>
      </w:r>
      <w:r>
        <w:rPr>
          <w:rFonts w:ascii="宋体" w:hAnsi="宋体" w:cs="宋体"/>
          <w:sz w:val="22"/>
          <w:szCs w:val="22"/>
          <w:u w:val="single"/>
        </w:rPr>
        <w:t xml:space="preserve">      </w:t>
      </w:r>
      <w:r>
        <w:rPr>
          <w:rFonts w:hint="eastAsia" w:ascii="宋体" w:hAnsi="宋体" w:cs="宋体"/>
          <w:sz w:val="22"/>
          <w:szCs w:val="22"/>
        </w:rPr>
        <w:t>年</w:t>
      </w:r>
      <w:r>
        <w:rPr>
          <w:rFonts w:ascii="宋体" w:hAnsi="宋体" w:cs="宋体"/>
          <w:sz w:val="22"/>
          <w:szCs w:val="22"/>
          <w:u w:val="single"/>
        </w:rPr>
        <w:t xml:space="preserve">    </w:t>
      </w:r>
      <w:r>
        <w:rPr>
          <w:rFonts w:hint="eastAsia" w:ascii="宋体" w:hAnsi="宋体" w:cs="宋体"/>
          <w:sz w:val="22"/>
          <w:szCs w:val="22"/>
        </w:rPr>
        <w:t>月</w:t>
      </w:r>
      <w:r>
        <w:rPr>
          <w:rFonts w:ascii="宋体" w:hAnsi="宋体" w:cs="宋体"/>
          <w:sz w:val="22"/>
          <w:szCs w:val="22"/>
          <w:u w:val="single"/>
        </w:rPr>
        <w:t xml:space="preserve">   </w:t>
      </w:r>
      <w:r>
        <w:rPr>
          <w:rFonts w:hint="eastAsia" w:ascii="宋体" w:hAnsi="宋体" w:cs="宋体"/>
          <w:sz w:val="22"/>
          <w:szCs w:val="22"/>
        </w:rPr>
        <w:t>日</w:t>
      </w:r>
    </w:p>
    <w:p>
      <w:pPr>
        <w:spacing w:line="520" w:lineRule="exact"/>
        <w:rPr>
          <w:rFonts w:ascii="宋体" w:cs="宋体"/>
          <w:sz w:val="22"/>
          <w:szCs w:val="22"/>
        </w:rPr>
      </w:pPr>
    </w:p>
    <w:p>
      <w:pPr>
        <w:spacing w:line="520" w:lineRule="exact"/>
        <w:ind w:firstLine="440" w:firstLineChars="200"/>
        <w:rPr>
          <w:rFonts w:ascii="宋体" w:cs="宋体"/>
          <w:sz w:val="22"/>
          <w:szCs w:val="22"/>
        </w:rPr>
      </w:pPr>
      <w:r>
        <w:rPr>
          <w:rFonts w:hint="eastAsia" w:ascii="宋体" w:hAnsi="宋体" w:cs="宋体"/>
          <w:sz w:val="22"/>
          <w:szCs w:val="22"/>
        </w:rPr>
        <w:t>附：代理人工作单位：</w:t>
      </w:r>
      <w:r>
        <w:rPr>
          <w:rFonts w:ascii="宋体" w:hAnsi="宋体" w:cs="宋体"/>
          <w:sz w:val="22"/>
          <w:szCs w:val="22"/>
          <w:u w:val="single"/>
        </w:rPr>
        <w:t xml:space="preserve">                     </w:t>
      </w:r>
    </w:p>
    <w:p>
      <w:pPr>
        <w:spacing w:line="520" w:lineRule="exact"/>
        <w:ind w:firstLine="440" w:firstLineChars="200"/>
        <w:rPr>
          <w:rFonts w:ascii="宋体" w:cs="宋体"/>
          <w:sz w:val="22"/>
          <w:szCs w:val="22"/>
        </w:rPr>
      </w:pPr>
      <w:r>
        <w:rPr>
          <w:rFonts w:hint="eastAsia" w:ascii="宋体" w:hAnsi="宋体" w:cs="宋体"/>
          <w:sz w:val="22"/>
          <w:szCs w:val="22"/>
        </w:rPr>
        <w:t>职务：</w:t>
      </w:r>
      <w:r>
        <w:rPr>
          <w:rFonts w:ascii="宋体" w:hAnsi="宋体" w:cs="宋体"/>
          <w:sz w:val="22"/>
          <w:szCs w:val="22"/>
          <w:u w:val="single"/>
        </w:rPr>
        <w:t xml:space="preserve">                    </w:t>
      </w:r>
      <w:r>
        <w:rPr>
          <w:rFonts w:ascii="宋体" w:hAnsi="宋体" w:cs="宋体"/>
          <w:sz w:val="22"/>
          <w:szCs w:val="22"/>
        </w:rPr>
        <w:t xml:space="preserve">      </w:t>
      </w:r>
      <w:r>
        <w:rPr>
          <w:rFonts w:hint="eastAsia" w:ascii="宋体" w:hAnsi="宋体" w:cs="宋体"/>
          <w:sz w:val="22"/>
          <w:szCs w:val="22"/>
        </w:rPr>
        <w:t>性别：</w:t>
      </w:r>
      <w:r>
        <w:rPr>
          <w:rFonts w:ascii="宋体" w:hAnsi="宋体" w:cs="宋体"/>
          <w:sz w:val="22"/>
          <w:szCs w:val="22"/>
          <w:u w:val="single"/>
        </w:rPr>
        <w:t xml:space="preserve">    </w:t>
      </w:r>
    </w:p>
    <w:p>
      <w:pPr>
        <w:adjustRightInd w:val="0"/>
        <w:snapToGrid w:val="0"/>
        <w:spacing w:line="520" w:lineRule="exact"/>
        <w:ind w:firstLine="440" w:firstLineChars="200"/>
        <w:rPr>
          <w:rFonts w:ascii="宋体" w:cs="宋体"/>
          <w:sz w:val="22"/>
          <w:szCs w:val="22"/>
          <w:u w:val="single"/>
        </w:rPr>
      </w:pPr>
      <w:r>
        <w:rPr>
          <w:rFonts w:hint="eastAsia" w:ascii="宋体" w:hAnsi="宋体" w:cs="宋体"/>
          <w:sz w:val="22"/>
          <w:szCs w:val="22"/>
        </w:rPr>
        <w:t>身份证号码：</w:t>
      </w:r>
      <w:r>
        <w:rPr>
          <w:rFonts w:ascii="宋体" w:hAnsi="宋体" w:cs="宋体"/>
          <w:sz w:val="22"/>
          <w:szCs w:val="22"/>
          <w:u w:val="single"/>
        </w:rPr>
        <w:t xml:space="preserve">                              </w:t>
      </w:r>
    </w:p>
    <w:tbl>
      <w:tblPr>
        <w:tblStyle w:val="22"/>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8861" w:type="dxa"/>
          </w:tcPr>
          <w:p>
            <w:pPr>
              <w:spacing w:line="300" w:lineRule="auto"/>
              <w:rPr>
                <w:rFonts w:ascii="宋体" w:cs="宋体"/>
                <w:sz w:val="22"/>
                <w:szCs w:val="22"/>
              </w:rPr>
            </w:pPr>
            <w:r>
              <w:rPr>
                <w:rFonts w:hint="eastAsia" w:ascii="宋体" w:hAnsi="宋体" w:cs="宋体"/>
                <w:sz w:val="22"/>
                <w:szCs w:val="22"/>
              </w:rPr>
              <w:t>粘贴被授权人身份证（正反面复印件）</w:t>
            </w:r>
          </w:p>
        </w:tc>
      </w:tr>
    </w:tbl>
    <w:p>
      <w:pPr>
        <w:adjustRightInd w:val="0"/>
        <w:snapToGrid w:val="0"/>
        <w:spacing w:line="520" w:lineRule="exact"/>
        <w:ind w:firstLine="440" w:firstLineChars="200"/>
        <w:rPr>
          <w:rFonts w:ascii="宋体" w:cs="宋体"/>
          <w:sz w:val="22"/>
          <w:szCs w:val="22"/>
          <w:u w:val="single"/>
        </w:rPr>
      </w:pPr>
    </w:p>
    <w:tbl>
      <w:tblPr>
        <w:tblStyle w:val="22"/>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861" w:type="dxa"/>
          </w:tcPr>
          <w:p>
            <w:pPr>
              <w:spacing w:line="300" w:lineRule="auto"/>
              <w:rPr>
                <w:rFonts w:ascii="宋体" w:cs="宋体"/>
                <w:sz w:val="22"/>
                <w:szCs w:val="22"/>
              </w:rPr>
            </w:pPr>
            <w:r>
              <w:rPr>
                <w:rFonts w:hint="eastAsia" w:ascii="宋体" w:hAnsi="宋体" w:cs="宋体"/>
                <w:sz w:val="22"/>
                <w:szCs w:val="22"/>
              </w:rPr>
              <w:t>粘贴法定代表人身份证（正反面复印件）</w:t>
            </w:r>
          </w:p>
        </w:tc>
      </w:tr>
    </w:tbl>
    <w:p>
      <w:pPr>
        <w:pStyle w:val="53"/>
        <w:rPr>
          <w:rFonts w:ascii="宋体" w:cs="宋体"/>
        </w:rPr>
      </w:pPr>
    </w:p>
    <w:p>
      <w:pPr>
        <w:pStyle w:val="53"/>
        <w:rPr>
          <w:rFonts w:ascii="宋体" w:cs="宋体"/>
        </w:rPr>
      </w:pPr>
    </w:p>
    <w:p>
      <w:pPr>
        <w:pStyle w:val="53"/>
        <w:jc w:val="center"/>
        <w:rPr>
          <w:rFonts w:ascii="宋体" w:cs="宋体"/>
          <w:b/>
          <w:bCs w:val="0"/>
          <w:spacing w:val="0"/>
          <w:kern w:val="2"/>
          <w:sz w:val="32"/>
          <w:szCs w:val="32"/>
        </w:rPr>
      </w:pPr>
      <w:r>
        <w:rPr>
          <w:rFonts w:hint="eastAsia" w:ascii="宋体" w:hAnsi="宋体" w:cs="宋体"/>
          <w:b/>
          <w:bCs w:val="0"/>
          <w:spacing w:val="0"/>
          <w:kern w:val="2"/>
          <w:sz w:val="32"/>
          <w:szCs w:val="32"/>
        </w:rPr>
        <w:t>商务技术文件</w:t>
      </w:r>
    </w:p>
    <w:p>
      <w:pPr>
        <w:pStyle w:val="53"/>
        <w:jc w:val="center"/>
        <w:rPr>
          <w:rFonts w:ascii="宋体" w:cs="宋体"/>
          <w:b/>
          <w:bCs w:val="0"/>
          <w:spacing w:val="0"/>
          <w:kern w:val="2"/>
          <w:sz w:val="28"/>
          <w:szCs w:val="28"/>
        </w:rPr>
      </w:pPr>
      <w:r>
        <w:rPr>
          <w:rFonts w:hint="eastAsia" w:ascii="宋体" w:hAnsi="宋体" w:cs="宋体"/>
          <w:b/>
          <w:bCs w:val="0"/>
          <w:spacing w:val="0"/>
          <w:kern w:val="2"/>
          <w:sz w:val="28"/>
          <w:szCs w:val="28"/>
        </w:rPr>
        <w:t>（按本竞争性磋商文件中“第二章</w:t>
      </w:r>
      <w:r>
        <w:rPr>
          <w:rFonts w:ascii="宋体" w:hAnsi="宋体" w:cs="宋体"/>
          <w:b/>
          <w:bCs w:val="0"/>
          <w:spacing w:val="0"/>
          <w:kern w:val="2"/>
          <w:sz w:val="28"/>
          <w:szCs w:val="28"/>
        </w:rPr>
        <w:t xml:space="preserve"> </w:t>
      </w:r>
      <w:r>
        <w:rPr>
          <w:rFonts w:hint="eastAsia" w:ascii="宋体" w:hAnsi="宋体" w:cs="宋体"/>
          <w:b/>
          <w:bCs w:val="0"/>
          <w:spacing w:val="0"/>
          <w:kern w:val="2"/>
          <w:sz w:val="28"/>
          <w:szCs w:val="28"/>
        </w:rPr>
        <w:t>供应商须知”的</w:t>
      </w:r>
      <w:r>
        <w:rPr>
          <w:rFonts w:ascii="宋体" w:hAnsi="宋体" w:cs="宋体"/>
          <w:b/>
          <w:bCs w:val="0"/>
          <w:spacing w:val="0"/>
          <w:kern w:val="2"/>
          <w:sz w:val="28"/>
          <w:szCs w:val="28"/>
        </w:rPr>
        <w:t>5.6.3</w:t>
      </w:r>
      <w:r>
        <w:rPr>
          <w:rFonts w:hint="eastAsia" w:ascii="宋体" w:hAnsi="宋体" w:cs="宋体"/>
          <w:b/>
          <w:bCs w:val="0"/>
          <w:spacing w:val="0"/>
          <w:kern w:val="2"/>
          <w:sz w:val="28"/>
          <w:szCs w:val="28"/>
        </w:rPr>
        <w:t>点要求提供）</w:t>
      </w:r>
    </w:p>
    <w:p>
      <w:pPr>
        <w:pStyle w:val="53"/>
      </w:pPr>
    </w:p>
    <w:p>
      <w:pPr>
        <w:adjustRightInd w:val="0"/>
        <w:snapToGrid w:val="0"/>
        <w:spacing w:line="300" w:lineRule="auto"/>
        <w:jc w:val="center"/>
        <w:rPr>
          <w:rFonts w:ascii="宋体"/>
          <w:b/>
          <w:sz w:val="28"/>
          <w:szCs w:val="28"/>
        </w:rPr>
      </w:pPr>
    </w:p>
    <w:p>
      <w:pPr>
        <w:pStyle w:val="21"/>
        <w:ind w:left="-269" w:firstLine="544"/>
      </w:pPr>
    </w:p>
    <w:p>
      <w:pPr>
        <w:adjustRightInd w:val="0"/>
        <w:snapToGrid w:val="0"/>
        <w:spacing w:line="300" w:lineRule="auto"/>
        <w:jc w:val="center"/>
        <w:rPr>
          <w:rFonts w:ascii="宋体"/>
          <w:b/>
          <w:sz w:val="28"/>
          <w:szCs w:val="28"/>
        </w:rPr>
      </w:pPr>
    </w:p>
    <w:p>
      <w:pPr>
        <w:adjustRightInd w:val="0"/>
        <w:snapToGrid w:val="0"/>
        <w:spacing w:line="300" w:lineRule="auto"/>
        <w:jc w:val="center"/>
        <w:rPr>
          <w:rFonts w:ascii="宋体"/>
          <w:b/>
          <w:sz w:val="28"/>
          <w:szCs w:val="28"/>
        </w:rPr>
      </w:pPr>
      <w:r>
        <w:rPr>
          <w:rFonts w:hint="eastAsia" w:ascii="宋体" w:hAnsi="宋体"/>
          <w:b/>
          <w:sz w:val="28"/>
          <w:szCs w:val="28"/>
        </w:rPr>
        <w:t>技术及商务响应情况表（格式）</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413"/>
        <w:gridCol w:w="2193"/>
        <w:gridCol w:w="2379"/>
        <w:gridCol w:w="1571"/>
        <w:gridCol w:w="1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tcBorders>
              <w:top w:val="single" w:color="auto" w:sz="4" w:space="0"/>
            </w:tcBorders>
            <w:vAlign w:val="center"/>
          </w:tcPr>
          <w:p>
            <w:pPr>
              <w:adjustRightInd w:val="0"/>
              <w:snapToGrid w:val="0"/>
              <w:spacing w:line="300" w:lineRule="auto"/>
              <w:jc w:val="center"/>
              <w:outlineLvl w:val="0"/>
              <w:rPr>
                <w:rFonts w:ascii="宋体"/>
                <w:szCs w:val="21"/>
              </w:rPr>
            </w:pPr>
            <w:bookmarkStart w:id="6" w:name="_Toc334609962"/>
            <w:bookmarkStart w:id="7" w:name="_Toc327254905"/>
            <w:bookmarkStart w:id="8" w:name="_Toc419886377"/>
            <w:bookmarkStart w:id="9" w:name="_Toc291581941"/>
            <w:r>
              <w:rPr>
                <w:rFonts w:hint="eastAsia" w:ascii="宋体" w:hAnsi="宋体"/>
                <w:szCs w:val="21"/>
              </w:rPr>
              <w:t>序号</w:t>
            </w:r>
            <w:bookmarkEnd w:id="6"/>
            <w:bookmarkEnd w:id="7"/>
            <w:bookmarkEnd w:id="8"/>
            <w:bookmarkEnd w:id="9"/>
          </w:p>
        </w:tc>
        <w:tc>
          <w:tcPr>
            <w:tcW w:w="1413" w:type="dxa"/>
            <w:tcBorders>
              <w:top w:val="single" w:color="auto" w:sz="4" w:space="0"/>
            </w:tcBorders>
            <w:vAlign w:val="center"/>
          </w:tcPr>
          <w:p>
            <w:pPr>
              <w:adjustRightInd w:val="0"/>
              <w:snapToGrid w:val="0"/>
              <w:spacing w:line="300" w:lineRule="auto"/>
              <w:jc w:val="center"/>
              <w:outlineLvl w:val="0"/>
              <w:rPr>
                <w:rFonts w:ascii="宋体"/>
                <w:szCs w:val="21"/>
              </w:rPr>
            </w:pPr>
            <w:r>
              <w:rPr>
                <w:rFonts w:hint="eastAsia" w:ascii="宋体" w:hAnsi="宋体"/>
                <w:szCs w:val="21"/>
              </w:rPr>
              <w:t>名称</w:t>
            </w:r>
          </w:p>
        </w:tc>
        <w:tc>
          <w:tcPr>
            <w:tcW w:w="2193" w:type="dxa"/>
            <w:tcBorders>
              <w:top w:val="single" w:color="auto" w:sz="4" w:space="0"/>
            </w:tcBorders>
            <w:vAlign w:val="center"/>
          </w:tcPr>
          <w:p>
            <w:pPr>
              <w:adjustRightInd w:val="0"/>
              <w:snapToGrid w:val="0"/>
              <w:spacing w:line="300" w:lineRule="auto"/>
              <w:jc w:val="center"/>
              <w:outlineLvl w:val="0"/>
              <w:rPr>
                <w:rFonts w:ascii="宋体"/>
                <w:szCs w:val="21"/>
              </w:rPr>
            </w:pPr>
            <w:bookmarkStart w:id="10" w:name="_Toc291581942"/>
            <w:bookmarkStart w:id="11" w:name="_Toc327254906"/>
            <w:bookmarkStart w:id="12" w:name="_Toc334609963"/>
            <w:bookmarkStart w:id="13" w:name="_Toc419886378"/>
            <w:bookmarkStart w:id="14" w:name="_Toc291581943"/>
            <w:bookmarkStart w:id="15" w:name="_Toc419886379"/>
            <w:bookmarkStart w:id="16" w:name="_Toc334609964"/>
            <w:bookmarkStart w:id="17" w:name="_Toc327254907"/>
            <w:r>
              <w:rPr>
                <w:rFonts w:hint="eastAsia" w:ascii="宋体" w:hAnsi="宋体"/>
                <w:szCs w:val="21"/>
              </w:rPr>
              <w:t>竞争性磋商文件要求</w:t>
            </w:r>
            <w:bookmarkEnd w:id="10"/>
            <w:bookmarkEnd w:id="11"/>
            <w:bookmarkEnd w:id="12"/>
            <w:bookmarkEnd w:id="13"/>
          </w:p>
        </w:tc>
        <w:tc>
          <w:tcPr>
            <w:tcW w:w="2379" w:type="dxa"/>
            <w:tcBorders>
              <w:top w:val="single" w:color="auto" w:sz="4" w:space="0"/>
            </w:tcBorders>
            <w:vAlign w:val="center"/>
          </w:tcPr>
          <w:p>
            <w:pPr>
              <w:adjustRightInd w:val="0"/>
              <w:snapToGrid w:val="0"/>
              <w:spacing w:line="300" w:lineRule="auto"/>
              <w:jc w:val="center"/>
              <w:outlineLvl w:val="0"/>
              <w:rPr>
                <w:rFonts w:ascii="宋体"/>
                <w:szCs w:val="21"/>
              </w:rPr>
            </w:pPr>
            <w:r>
              <w:rPr>
                <w:rFonts w:hint="eastAsia" w:ascii="宋体" w:hAnsi="宋体"/>
                <w:szCs w:val="21"/>
              </w:rPr>
              <w:t>响应文件具体响应</w:t>
            </w:r>
            <w:bookmarkEnd w:id="14"/>
            <w:bookmarkEnd w:id="15"/>
            <w:bookmarkEnd w:id="16"/>
            <w:bookmarkEnd w:id="17"/>
          </w:p>
        </w:tc>
        <w:tc>
          <w:tcPr>
            <w:tcW w:w="1571" w:type="dxa"/>
            <w:tcBorders>
              <w:top w:val="single" w:color="auto" w:sz="4" w:space="0"/>
            </w:tcBorders>
            <w:vAlign w:val="center"/>
          </w:tcPr>
          <w:p>
            <w:pPr>
              <w:adjustRightInd w:val="0"/>
              <w:snapToGrid w:val="0"/>
              <w:spacing w:line="300" w:lineRule="auto"/>
              <w:jc w:val="center"/>
              <w:outlineLvl w:val="0"/>
              <w:rPr>
                <w:rFonts w:ascii="宋体"/>
                <w:szCs w:val="21"/>
              </w:rPr>
            </w:pPr>
            <w:bookmarkStart w:id="18" w:name="_Toc327254908"/>
            <w:bookmarkStart w:id="19" w:name="_Toc334609965"/>
            <w:bookmarkStart w:id="20" w:name="_Toc419886380"/>
            <w:bookmarkStart w:id="21" w:name="_Toc291581944"/>
            <w:r>
              <w:rPr>
                <w:rFonts w:hint="eastAsia" w:ascii="宋体" w:hAnsi="宋体"/>
                <w:szCs w:val="21"/>
              </w:rPr>
              <w:t>响应</w:t>
            </w:r>
            <w:r>
              <w:rPr>
                <w:rFonts w:ascii="宋体" w:hAnsi="宋体"/>
                <w:szCs w:val="21"/>
              </w:rPr>
              <w:t>/</w:t>
            </w:r>
            <w:r>
              <w:rPr>
                <w:rFonts w:hint="eastAsia" w:ascii="宋体" w:hAnsi="宋体"/>
                <w:szCs w:val="21"/>
              </w:rPr>
              <w:t>偏离</w:t>
            </w:r>
            <w:bookmarkEnd w:id="18"/>
            <w:bookmarkEnd w:id="19"/>
            <w:bookmarkEnd w:id="20"/>
            <w:bookmarkEnd w:id="21"/>
          </w:p>
        </w:tc>
        <w:tc>
          <w:tcPr>
            <w:tcW w:w="1460" w:type="dxa"/>
            <w:tcBorders>
              <w:top w:val="single" w:color="auto" w:sz="4" w:space="0"/>
            </w:tcBorders>
            <w:vAlign w:val="center"/>
          </w:tcPr>
          <w:p>
            <w:pPr>
              <w:adjustRightInd w:val="0"/>
              <w:snapToGrid w:val="0"/>
              <w:spacing w:line="300" w:lineRule="auto"/>
              <w:jc w:val="center"/>
              <w:outlineLvl w:val="0"/>
              <w:rPr>
                <w:rFonts w:ascii="宋体"/>
                <w:szCs w:val="21"/>
              </w:rPr>
            </w:pPr>
            <w:bookmarkStart w:id="22" w:name="_Toc419886381"/>
            <w:bookmarkStart w:id="23" w:name="_Toc327254909"/>
            <w:bookmarkStart w:id="24" w:name="_Toc291581945"/>
            <w:bookmarkStart w:id="25" w:name="_Toc334609966"/>
            <w:r>
              <w:rPr>
                <w:rFonts w:hint="eastAsia" w:ascii="宋体" w:hAnsi="宋体"/>
                <w:szCs w:val="21"/>
              </w:rPr>
              <w:t>说明</w:t>
            </w:r>
            <w:bookmarkEnd w:id="22"/>
            <w:bookmarkEnd w:id="23"/>
            <w:bookmarkEnd w:id="24"/>
            <w:bookmarkEnd w:id="2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838" w:type="dxa"/>
            <w:vAlign w:val="center"/>
          </w:tcPr>
          <w:p>
            <w:pPr>
              <w:adjustRightInd w:val="0"/>
              <w:snapToGrid w:val="0"/>
              <w:spacing w:line="300" w:lineRule="auto"/>
              <w:jc w:val="center"/>
              <w:outlineLvl w:val="0"/>
              <w:rPr>
                <w:rFonts w:ascii="宋体" w:hAnsi="宋体"/>
                <w:szCs w:val="21"/>
              </w:rPr>
            </w:pPr>
            <w:bookmarkStart w:id="26" w:name="_Toc291581946"/>
            <w:bookmarkStart w:id="27" w:name="_Toc419886382"/>
            <w:bookmarkStart w:id="28" w:name="_Toc327254910"/>
            <w:bookmarkStart w:id="29" w:name="_Toc334609967"/>
            <w:r>
              <w:rPr>
                <w:rFonts w:ascii="宋体" w:hAnsi="宋体"/>
                <w:szCs w:val="21"/>
              </w:rPr>
              <w:t>1</w:t>
            </w:r>
            <w:bookmarkEnd w:id="26"/>
            <w:bookmarkEnd w:id="27"/>
            <w:bookmarkEnd w:id="28"/>
            <w:bookmarkEnd w:id="29"/>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30" w:name="_Toc419886383"/>
            <w:bookmarkStart w:id="31" w:name="_Toc327254911"/>
            <w:bookmarkStart w:id="32" w:name="_Toc334609968"/>
            <w:bookmarkStart w:id="33" w:name="_Toc291581947"/>
            <w:r>
              <w:rPr>
                <w:rFonts w:ascii="宋体" w:hAnsi="宋体"/>
                <w:szCs w:val="21"/>
              </w:rPr>
              <w:t>2</w:t>
            </w:r>
            <w:bookmarkEnd w:id="30"/>
            <w:bookmarkEnd w:id="31"/>
            <w:bookmarkEnd w:id="32"/>
            <w:bookmarkEnd w:id="33"/>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34" w:name="_Toc419886384"/>
            <w:bookmarkStart w:id="35" w:name="_Toc334609969"/>
            <w:bookmarkStart w:id="36" w:name="_Toc291581948"/>
            <w:bookmarkStart w:id="37" w:name="_Toc327254912"/>
            <w:r>
              <w:rPr>
                <w:rFonts w:ascii="宋体" w:hAnsi="宋体"/>
                <w:szCs w:val="21"/>
              </w:rPr>
              <w:t>3</w:t>
            </w:r>
            <w:bookmarkEnd w:id="34"/>
            <w:bookmarkEnd w:id="35"/>
            <w:bookmarkEnd w:id="36"/>
            <w:bookmarkEnd w:id="37"/>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38" w:name="_Toc327254913"/>
            <w:bookmarkStart w:id="39" w:name="_Toc419886385"/>
            <w:bookmarkStart w:id="40" w:name="_Toc334609970"/>
            <w:bookmarkStart w:id="41" w:name="_Toc291581949"/>
            <w:r>
              <w:rPr>
                <w:rFonts w:ascii="宋体" w:hAnsi="宋体"/>
                <w:szCs w:val="21"/>
              </w:rPr>
              <w:t>4</w:t>
            </w:r>
            <w:bookmarkEnd w:id="38"/>
            <w:bookmarkEnd w:id="39"/>
            <w:bookmarkEnd w:id="40"/>
            <w:bookmarkEnd w:id="41"/>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42" w:name="_Toc334609971"/>
            <w:bookmarkStart w:id="43" w:name="_Toc419886386"/>
            <w:bookmarkStart w:id="44" w:name="_Toc327254914"/>
            <w:bookmarkStart w:id="45" w:name="_Toc291581950"/>
            <w:r>
              <w:rPr>
                <w:rFonts w:ascii="宋体" w:hAnsi="宋体"/>
                <w:szCs w:val="21"/>
              </w:rPr>
              <w:t>5</w:t>
            </w:r>
            <w:bookmarkEnd w:id="42"/>
            <w:bookmarkEnd w:id="43"/>
            <w:bookmarkEnd w:id="44"/>
            <w:bookmarkEnd w:id="45"/>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838" w:type="dxa"/>
            <w:tcBorders>
              <w:bottom w:val="single" w:color="auto" w:sz="4" w:space="0"/>
            </w:tcBorders>
            <w:vAlign w:val="center"/>
          </w:tcPr>
          <w:p>
            <w:pPr>
              <w:adjustRightInd w:val="0"/>
              <w:snapToGrid w:val="0"/>
              <w:spacing w:line="300" w:lineRule="auto"/>
              <w:jc w:val="center"/>
              <w:outlineLvl w:val="0"/>
              <w:rPr>
                <w:rFonts w:ascii="宋体"/>
                <w:szCs w:val="21"/>
              </w:rPr>
            </w:pPr>
            <w:bookmarkStart w:id="46" w:name="_Toc291581951"/>
            <w:bookmarkStart w:id="47" w:name="_Toc327254915"/>
            <w:bookmarkStart w:id="48" w:name="_Toc334609972"/>
            <w:bookmarkStart w:id="49" w:name="_Toc419886387"/>
            <w:r>
              <w:rPr>
                <w:rFonts w:hint="eastAsia" w:ascii="宋体" w:hAnsi="宋体"/>
                <w:szCs w:val="21"/>
              </w:rPr>
              <w:t>…</w:t>
            </w:r>
            <w:bookmarkEnd w:id="46"/>
            <w:bookmarkEnd w:id="47"/>
            <w:bookmarkEnd w:id="48"/>
            <w:bookmarkEnd w:id="49"/>
          </w:p>
        </w:tc>
        <w:tc>
          <w:tcPr>
            <w:tcW w:w="1413" w:type="dxa"/>
            <w:tcBorders>
              <w:bottom w:val="single" w:color="auto" w:sz="4" w:space="0"/>
            </w:tcBorders>
            <w:vAlign w:val="center"/>
          </w:tcPr>
          <w:p>
            <w:pPr>
              <w:adjustRightInd w:val="0"/>
              <w:snapToGrid w:val="0"/>
              <w:spacing w:line="300" w:lineRule="auto"/>
              <w:jc w:val="center"/>
              <w:outlineLvl w:val="0"/>
              <w:rPr>
                <w:rFonts w:ascii="宋体"/>
                <w:szCs w:val="21"/>
              </w:rPr>
            </w:pPr>
          </w:p>
        </w:tc>
        <w:tc>
          <w:tcPr>
            <w:tcW w:w="2193" w:type="dxa"/>
            <w:tcBorders>
              <w:bottom w:val="single" w:color="auto" w:sz="4" w:space="0"/>
            </w:tcBorders>
            <w:vAlign w:val="center"/>
          </w:tcPr>
          <w:p>
            <w:pPr>
              <w:adjustRightInd w:val="0"/>
              <w:snapToGrid w:val="0"/>
              <w:spacing w:line="300" w:lineRule="auto"/>
              <w:jc w:val="center"/>
              <w:outlineLvl w:val="0"/>
              <w:rPr>
                <w:rFonts w:ascii="宋体"/>
                <w:szCs w:val="21"/>
              </w:rPr>
            </w:pPr>
          </w:p>
        </w:tc>
        <w:tc>
          <w:tcPr>
            <w:tcW w:w="2379" w:type="dxa"/>
            <w:tcBorders>
              <w:bottom w:val="single" w:color="auto" w:sz="4" w:space="0"/>
            </w:tcBorders>
            <w:vAlign w:val="center"/>
          </w:tcPr>
          <w:p>
            <w:pPr>
              <w:adjustRightInd w:val="0"/>
              <w:snapToGrid w:val="0"/>
              <w:spacing w:line="300" w:lineRule="auto"/>
              <w:jc w:val="center"/>
              <w:outlineLvl w:val="0"/>
              <w:rPr>
                <w:rFonts w:ascii="宋体"/>
                <w:szCs w:val="21"/>
              </w:rPr>
            </w:pPr>
          </w:p>
        </w:tc>
        <w:tc>
          <w:tcPr>
            <w:tcW w:w="1571" w:type="dxa"/>
            <w:tcBorders>
              <w:bottom w:val="single" w:color="auto" w:sz="4" w:space="0"/>
              <w:right w:val="single" w:color="auto" w:sz="4" w:space="0"/>
            </w:tcBorders>
            <w:vAlign w:val="center"/>
          </w:tcPr>
          <w:p>
            <w:pPr>
              <w:adjustRightInd w:val="0"/>
              <w:snapToGrid w:val="0"/>
              <w:spacing w:line="300" w:lineRule="auto"/>
              <w:jc w:val="center"/>
              <w:outlineLvl w:val="0"/>
              <w:rPr>
                <w:rFonts w:ascii="宋体"/>
                <w:szCs w:val="21"/>
              </w:rPr>
            </w:pPr>
          </w:p>
        </w:tc>
        <w:tc>
          <w:tcPr>
            <w:tcW w:w="1460" w:type="dxa"/>
            <w:tcBorders>
              <w:left w:val="single" w:color="auto" w:sz="4" w:space="0"/>
              <w:bottom w:val="single" w:color="auto" w:sz="4" w:space="0"/>
            </w:tcBorders>
            <w:vAlign w:val="center"/>
          </w:tcPr>
          <w:p>
            <w:pPr>
              <w:adjustRightInd w:val="0"/>
              <w:snapToGrid w:val="0"/>
              <w:spacing w:line="300" w:lineRule="auto"/>
              <w:jc w:val="center"/>
              <w:outlineLvl w:val="0"/>
              <w:rPr>
                <w:rFonts w:ascii="宋体"/>
                <w:szCs w:val="21"/>
              </w:rPr>
            </w:pPr>
          </w:p>
        </w:tc>
      </w:tr>
    </w:tbl>
    <w:p>
      <w:pPr>
        <w:pStyle w:val="10"/>
        <w:spacing w:line="500" w:lineRule="exact"/>
        <w:ind w:firstLine="0"/>
        <w:rPr>
          <w:rFonts w:hAnsi="宋体"/>
          <w:sz w:val="21"/>
          <w:szCs w:val="21"/>
        </w:rPr>
      </w:pPr>
      <w:r>
        <w:rPr>
          <w:rFonts w:hint="eastAsia" w:hAnsi="宋体"/>
          <w:sz w:val="21"/>
          <w:szCs w:val="21"/>
        </w:rPr>
        <w:t>说明：应对照竞争性磋商文件“第三章</w:t>
      </w:r>
      <w:r>
        <w:rPr>
          <w:rFonts w:hAnsi="宋体"/>
          <w:sz w:val="21"/>
          <w:szCs w:val="21"/>
        </w:rPr>
        <w:t xml:space="preserve"> </w:t>
      </w:r>
      <w:r>
        <w:rPr>
          <w:rFonts w:hint="eastAsia" w:hAnsi="宋体"/>
          <w:sz w:val="21"/>
          <w:szCs w:val="21"/>
        </w:rPr>
        <w:t>项目需求一览表”，逐条说明所提供的技术或服务已对项目需求做出了实质性的响应，并申明与项目需求的响应和偏离情况。</w:t>
      </w:r>
    </w:p>
    <w:p>
      <w:pPr>
        <w:pStyle w:val="12"/>
        <w:spacing w:line="300" w:lineRule="auto"/>
        <w:rPr>
          <w:rFonts w:hAnsi="宋体"/>
        </w:rPr>
      </w:pPr>
    </w:p>
    <w:p>
      <w:pPr>
        <w:pStyle w:val="12"/>
        <w:spacing w:line="300" w:lineRule="auto"/>
        <w:rPr>
          <w:rFonts w:hAnsi="宋体"/>
          <w:sz w:val="28"/>
          <w:szCs w:val="28"/>
        </w:rPr>
      </w:pPr>
    </w:p>
    <w:p>
      <w:pPr>
        <w:rPr>
          <w:rFonts w:hAnsi="宋体"/>
          <w:sz w:val="28"/>
          <w:szCs w:val="28"/>
        </w:rPr>
      </w:pPr>
    </w:p>
    <w:p>
      <w:pPr>
        <w:pStyle w:val="53"/>
        <w:rPr>
          <w:rFonts w:hAnsi="宋体"/>
          <w:sz w:val="28"/>
          <w:szCs w:val="28"/>
        </w:rPr>
      </w:pPr>
    </w:p>
    <w:p>
      <w:pPr>
        <w:pStyle w:val="53"/>
        <w:rPr>
          <w:rFonts w:hAnsi="宋体"/>
          <w:sz w:val="28"/>
          <w:szCs w:val="28"/>
        </w:rPr>
      </w:pPr>
    </w:p>
    <w:p>
      <w:pPr>
        <w:pStyle w:val="12"/>
        <w:spacing w:line="300" w:lineRule="auto"/>
        <w:rPr>
          <w:rFonts w:hAnsi="宋体"/>
          <w:sz w:val="28"/>
          <w:szCs w:val="28"/>
        </w:rPr>
      </w:pPr>
    </w:p>
    <w:p>
      <w:pPr>
        <w:pStyle w:val="12"/>
        <w:spacing w:line="360" w:lineRule="auto"/>
        <w:rPr>
          <w:rFonts w:hAnsi="宋体"/>
          <w:b/>
          <w:kern w:val="0"/>
        </w:rPr>
      </w:pPr>
      <w:r>
        <w:rPr>
          <w:rFonts w:hint="eastAsia" w:hAnsi="宋体"/>
        </w:rPr>
        <w:t>供应商名称（盖章）：</w:t>
      </w:r>
      <w:r>
        <w:rPr>
          <w:rFonts w:hAnsi="宋体"/>
          <w:u w:val="single"/>
        </w:rPr>
        <w:t xml:space="preserve">                              </w:t>
      </w:r>
    </w:p>
    <w:p>
      <w:pPr>
        <w:pStyle w:val="12"/>
        <w:spacing w:line="360" w:lineRule="auto"/>
        <w:rPr>
          <w:rFonts w:hAnsi="宋体"/>
          <w:u w:val="single"/>
        </w:rPr>
      </w:pPr>
      <w:r>
        <w:rPr>
          <w:rFonts w:hint="eastAsia" w:hAnsi="宋体"/>
          <w:bCs/>
          <w:szCs w:val="21"/>
        </w:rPr>
        <w:t>法定代表人或委托代理人签名</w:t>
      </w:r>
      <w:r>
        <w:rPr>
          <w:rFonts w:hint="eastAsia" w:hAnsi="宋体"/>
        </w:rPr>
        <w:t>：</w:t>
      </w:r>
      <w:r>
        <w:rPr>
          <w:rFonts w:hAnsi="宋体"/>
          <w:u w:val="single"/>
        </w:rPr>
        <w:t xml:space="preserve">              </w:t>
      </w:r>
    </w:p>
    <w:p>
      <w:pPr>
        <w:spacing w:line="360" w:lineRule="auto"/>
        <w:rPr>
          <w:rFonts w:ascii="宋体"/>
          <w:szCs w:val="21"/>
        </w:rPr>
      </w:pPr>
      <w:r>
        <w:rPr>
          <w:rFonts w:hint="eastAsia" w:hAnsi="宋体"/>
          <w:szCs w:val="21"/>
        </w:rPr>
        <w:t>日期：</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w:t>
      </w:r>
    </w:p>
    <w:p>
      <w:pPr>
        <w:adjustRightInd w:val="0"/>
        <w:snapToGrid w:val="0"/>
        <w:spacing w:line="500" w:lineRule="exact"/>
        <w:rPr>
          <w:rFonts w:ascii="宋体" w:cs="宋体"/>
          <w:sz w:val="28"/>
          <w:szCs w:val="28"/>
        </w:rPr>
      </w:pPr>
    </w:p>
    <w:p>
      <w:pPr>
        <w:pStyle w:val="53"/>
        <w:rPr>
          <w:rFonts w:ascii="宋体" w:cs="宋体"/>
          <w:sz w:val="28"/>
          <w:szCs w:val="28"/>
        </w:rPr>
      </w:pPr>
    </w:p>
    <w:p>
      <w:pPr>
        <w:pStyle w:val="53"/>
        <w:rPr>
          <w:rFonts w:ascii="宋体" w:cs="宋体"/>
          <w:sz w:val="28"/>
          <w:szCs w:val="28"/>
        </w:rPr>
      </w:pPr>
    </w:p>
    <w:p>
      <w:pPr>
        <w:pStyle w:val="53"/>
        <w:rPr>
          <w:rFonts w:ascii="宋体" w:cs="宋体"/>
          <w:sz w:val="28"/>
          <w:szCs w:val="28"/>
        </w:rPr>
      </w:pPr>
    </w:p>
    <w:p>
      <w:pPr>
        <w:pStyle w:val="53"/>
        <w:rPr>
          <w:rFonts w:ascii="宋体" w:cs="宋体"/>
          <w:sz w:val="28"/>
          <w:szCs w:val="28"/>
        </w:rPr>
      </w:pPr>
    </w:p>
    <w:p>
      <w:pPr>
        <w:pStyle w:val="53"/>
        <w:rPr>
          <w:rFonts w:ascii="宋体" w:cs="宋体"/>
          <w:sz w:val="28"/>
          <w:szCs w:val="28"/>
        </w:rPr>
      </w:pPr>
    </w:p>
    <w:p>
      <w:pPr>
        <w:pStyle w:val="53"/>
        <w:rPr>
          <w:rFonts w:ascii="宋体" w:cs="宋体"/>
          <w:sz w:val="28"/>
          <w:szCs w:val="28"/>
        </w:rPr>
      </w:pPr>
    </w:p>
    <w:p>
      <w:pPr>
        <w:pStyle w:val="53"/>
        <w:rPr>
          <w:rFonts w:ascii="宋体" w:cs="宋体"/>
          <w:sz w:val="28"/>
          <w:szCs w:val="28"/>
        </w:rPr>
      </w:pPr>
    </w:p>
    <w:p>
      <w:pPr>
        <w:pStyle w:val="53"/>
        <w:rPr>
          <w:rFonts w:ascii="宋体" w:cs="宋体"/>
          <w:sz w:val="28"/>
          <w:szCs w:val="28"/>
        </w:rPr>
      </w:pPr>
    </w:p>
    <w:p>
      <w:pPr>
        <w:pStyle w:val="53"/>
      </w:pPr>
    </w:p>
    <w:p>
      <w:pPr>
        <w:widowControl/>
        <w:spacing w:line="360" w:lineRule="auto"/>
        <w:jc w:val="center"/>
        <w:rPr>
          <w:rFonts w:ascii="宋体" w:cs="宋体"/>
          <w:b/>
          <w:sz w:val="28"/>
          <w:szCs w:val="28"/>
        </w:rPr>
      </w:pPr>
      <w:r>
        <w:rPr>
          <w:rFonts w:hint="eastAsia" w:ascii="宋体" w:hAnsi="宋体" w:cs="宋体"/>
          <w:b/>
          <w:bCs/>
          <w:sz w:val="28"/>
          <w:szCs w:val="28"/>
        </w:rPr>
        <w:t>项目实施人员一览表</w:t>
      </w:r>
      <w:r>
        <w:rPr>
          <w:rFonts w:hint="eastAsia" w:ascii="宋体" w:hAnsi="宋体" w:cs="宋体"/>
          <w:b/>
          <w:sz w:val="28"/>
          <w:szCs w:val="28"/>
        </w:rPr>
        <w:t>（格式）</w:t>
      </w:r>
    </w:p>
    <w:p>
      <w:pPr>
        <w:autoSpaceDE w:val="0"/>
        <w:autoSpaceDN w:val="0"/>
        <w:adjustRightInd w:val="0"/>
        <w:jc w:val="center"/>
        <w:rPr>
          <w:rFonts w:ascii="宋体" w:cs="宋体"/>
          <w:b/>
          <w:sz w:val="32"/>
          <w:szCs w:val="32"/>
        </w:rPr>
      </w:pPr>
    </w:p>
    <w:p>
      <w:pPr>
        <w:autoSpaceDE w:val="0"/>
        <w:autoSpaceDN w:val="0"/>
        <w:adjustRightInd w:val="0"/>
        <w:spacing w:line="360" w:lineRule="auto"/>
        <w:jc w:val="left"/>
        <w:rPr>
          <w:rFonts w:ascii="宋体" w:cs="宋体"/>
          <w:szCs w:val="21"/>
        </w:rPr>
      </w:pPr>
    </w:p>
    <w:tbl>
      <w:tblPr>
        <w:tblStyle w:val="22"/>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84"/>
        <w:gridCol w:w="2123"/>
        <w:gridCol w:w="243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sz w:val="24"/>
                <w:szCs w:val="20"/>
              </w:rPr>
            </w:pPr>
            <w:r>
              <w:rPr>
                <w:rFonts w:hint="eastAsia" w:ascii="宋体" w:hAnsi="宋体"/>
                <w:sz w:val="24"/>
                <w:szCs w:val="20"/>
              </w:rPr>
              <w:t>姓名</w:t>
            </w:r>
          </w:p>
        </w:tc>
        <w:tc>
          <w:tcPr>
            <w:tcW w:w="884" w:type="dxa"/>
            <w:vAlign w:val="center"/>
          </w:tcPr>
          <w:p>
            <w:pPr>
              <w:snapToGrid w:val="0"/>
              <w:spacing w:before="50" w:afterLines="50"/>
              <w:jc w:val="center"/>
              <w:rPr>
                <w:rFonts w:ascii="宋体"/>
                <w:sz w:val="24"/>
                <w:szCs w:val="20"/>
              </w:rPr>
            </w:pPr>
            <w:r>
              <w:rPr>
                <w:rFonts w:hint="eastAsia" w:ascii="宋体" w:hAnsi="宋体"/>
                <w:sz w:val="24"/>
                <w:szCs w:val="20"/>
              </w:rPr>
              <w:t>职务</w:t>
            </w:r>
          </w:p>
        </w:tc>
        <w:tc>
          <w:tcPr>
            <w:tcW w:w="2123" w:type="dxa"/>
            <w:vAlign w:val="center"/>
          </w:tcPr>
          <w:p>
            <w:pPr>
              <w:snapToGrid w:val="0"/>
              <w:spacing w:before="50" w:afterLines="50"/>
              <w:jc w:val="center"/>
              <w:rPr>
                <w:rFonts w:ascii="宋体"/>
                <w:sz w:val="24"/>
                <w:szCs w:val="20"/>
              </w:rPr>
            </w:pPr>
            <w:r>
              <w:rPr>
                <w:rFonts w:hint="eastAsia" w:ascii="宋体" w:hAnsi="宋体"/>
                <w:sz w:val="24"/>
                <w:szCs w:val="20"/>
              </w:rPr>
              <w:t>专业技术资格</w:t>
            </w:r>
          </w:p>
        </w:tc>
        <w:tc>
          <w:tcPr>
            <w:tcW w:w="2438" w:type="dxa"/>
            <w:vAlign w:val="center"/>
          </w:tcPr>
          <w:p>
            <w:pPr>
              <w:snapToGrid w:val="0"/>
              <w:spacing w:before="50" w:afterLines="50"/>
              <w:jc w:val="center"/>
              <w:rPr>
                <w:rFonts w:ascii="宋体"/>
                <w:sz w:val="24"/>
                <w:szCs w:val="20"/>
              </w:rPr>
            </w:pPr>
            <w:r>
              <w:rPr>
                <w:rFonts w:hint="eastAsia" w:ascii="宋体" w:hAnsi="宋体"/>
                <w:sz w:val="24"/>
                <w:szCs w:val="20"/>
              </w:rPr>
              <w:t>证书编号</w:t>
            </w:r>
          </w:p>
        </w:tc>
        <w:tc>
          <w:tcPr>
            <w:tcW w:w="2933" w:type="dxa"/>
            <w:vAlign w:val="center"/>
          </w:tcPr>
          <w:p>
            <w:pPr>
              <w:snapToGrid w:val="0"/>
              <w:spacing w:before="50" w:afterLines="50"/>
              <w:jc w:val="center"/>
              <w:rPr>
                <w:rFonts w:ascii="宋体"/>
                <w:sz w:val="24"/>
                <w:szCs w:val="20"/>
              </w:rPr>
            </w:pPr>
            <w:r>
              <w:rPr>
                <w:rFonts w:hint="eastAsia" w:ascii="宋体" w:hAnsi="宋体"/>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sz w:val="24"/>
                <w:szCs w:val="20"/>
              </w:rPr>
            </w:pPr>
          </w:p>
        </w:tc>
        <w:tc>
          <w:tcPr>
            <w:tcW w:w="884" w:type="dxa"/>
            <w:vAlign w:val="center"/>
          </w:tcPr>
          <w:p>
            <w:pPr>
              <w:snapToGrid w:val="0"/>
              <w:spacing w:before="50" w:afterLines="50"/>
              <w:jc w:val="center"/>
              <w:rPr>
                <w:rFonts w:ascii="宋体"/>
                <w:sz w:val="24"/>
                <w:szCs w:val="20"/>
              </w:rPr>
            </w:pPr>
          </w:p>
        </w:tc>
        <w:tc>
          <w:tcPr>
            <w:tcW w:w="2123" w:type="dxa"/>
            <w:vAlign w:val="center"/>
          </w:tcPr>
          <w:p>
            <w:pPr>
              <w:snapToGrid w:val="0"/>
              <w:spacing w:before="50" w:afterLines="50"/>
              <w:jc w:val="center"/>
              <w:rPr>
                <w:rFonts w:ascii="宋体"/>
                <w:sz w:val="24"/>
                <w:szCs w:val="20"/>
              </w:rPr>
            </w:pPr>
          </w:p>
        </w:tc>
        <w:tc>
          <w:tcPr>
            <w:tcW w:w="2438" w:type="dxa"/>
            <w:vAlign w:val="center"/>
          </w:tcPr>
          <w:p>
            <w:pPr>
              <w:snapToGrid w:val="0"/>
              <w:spacing w:before="50" w:afterLines="50"/>
              <w:jc w:val="center"/>
              <w:rPr>
                <w:rFonts w:ascii="宋体"/>
                <w:sz w:val="24"/>
                <w:szCs w:val="20"/>
              </w:rPr>
            </w:pPr>
          </w:p>
        </w:tc>
        <w:tc>
          <w:tcPr>
            <w:tcW w:w="2933" w:type="dxa"/>
            <w:vAlign w:val="center"/>
          </w:tcPr>
          <w:p>
            <w:pPr>
              <w:snapToGrid w:val="0"/>
              <w:spacing w:before="50" w:afterLines="50"/>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sz w:val="24"/>
                <w:szCs w:val="20"/>
              </w:rPr>
            </w:pPr>
          </w:p>
        </w:tc>
        <w:tc>
          <w:tcPr>
            <w:tcW w:w="884" w:type="dxa"/>
            <w:vAlign w:val="center"/>
          </w:tcPr>
          <w:p>
            <w:pPr>
              <w:snapToGrid w:val="0"/>
              <w:spacing w:before="50" w:afterLines="50"/>
              <w:jc w:val="center"/>
              <w:rPr>
                <w:rFonts w:ascii="宋体"/>
                <w:sz w:val="24"/>
                <w:szCs w:val="20"/>
              </w:rPr>
            </w:pPr>
          </w:p>
        </w:tc>
        <w:tc>
          <w:tcPr>
            <w:tcW w:w="2123" w:type="dxa"/>
            <w:vAlign w:val="center"/>
          </w:tcPr>
          <w:p>
            <w:pPr>
              <w:snapToGrid w:val="0"/>
              <w:spacing w:before="50" w:afterLines="50"/>
              <w:jc w:val="center"/>
              <w:rPr>
                <w:rFonts w:ascii="宋体"/>
                <w:sz w:val="24"/>
                <w:szCs w:val="20"/>
              </w:rPr>
            </w:pPr>
          </w:p>
        </w:tc>
        <w:tc>
          <w:tcPr>
            <w:tcW w:w="2438" w:type="dxa"/>
            <w:vAlign w:val="center"/>
          </w:tcPr>
          <w:p>
            <w:pPr>
              <w:snapToGrid w:val="0"/>
              <w:spacing w:before="50" w:afterLines="50"/>
              <w:jc w:val="center"/>
              <w:rPr>
                <w:rFonts w:ascii="宋体"/>
                <w:sz w:val="24"/>
                <w:szCs w:val="20"/>
              </w:rPr>
            </w:pPr>
          </w:p>
        </w:tc>
        <w:tc>
          <w:tcPr>
            <w:tcW w:w="2933" w:type="dxa"/>
            <w:vAlign w:val="center"/>
          </w:tcPr>
          <w:p>
            <w:pPr>
              <w:snapToGrid w:val="0"/>
              <w:spacing w:before="50" w:afterLines="50"/>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vAlign w:val="center"/>
          </w:tcPr>
          <w:p>
            <w:pPr>
              <w:snapToGrid w:val="0"/>
              <w:spacing w:before="50" w:afterLines="50"/>
              <w:jc w:val="center"/>
              <w:rPr>
                <w:rFonts w:ascii="宋体"/>
                <w:sz w:val="24"/>
                <w:szCs w:val="20"/>
              </w:rPr>
            </w:pPr>
          </w:p>
        </w:tc>
        <w:tc>
          <w:tcPr>
            <w:tcW w:w="884" w:type="dxa"/>
            <w:vAlign w:val="center"/>
          </w:tcPr>
          <w:p>
            <w:pPr>
              <w:snapToGrid w:val="0"/>
              <w:spacing w:before="50" w:afterLines="50"/>
              <w:jc w:val="center"/>
              <w:rPr>
                <w:rFonts w:ascii="宋体"/>
                <w:sz w:val="24"/>
                <w:szCs w:val="20"/>
              </w:rPr>
            </w:pPr>
          </w:p>
        </w:tc>
        <w:tc>
          <w:tcPr>
            <w:tcW w:w="2123" w:type="dxa"/>
            <w:vAlign w:val="center"/>
          </w:tcPr>
          <w:p>
            <w:pPr>
              <w:snapToGrid w:val="0"/>
              <w:spacing w:before="50" w:afterLines="50"/>
              <w:jc w:val="center"/>
              <w:rPr>
                <w:rFonts w:ascii="宋体"/>
                <w:sz w:val="24"/>
                <w:szCs w:val="20"/>
              </w:rPr>
            </w:pPr>
          </w:p>
        </w:tc>
        <w:tc>
          <w:tcPr>
            <w:tcW w:w="2438" w:type="dxa"/>
            <w:vAlign w:val="center"/>
          </w:tcPr>
          <w:p>
            <w:pPr>
              <w:snapToGrid w:val="0"/>
              <w:spacing w:before="50" w:afterLines="50"/>
              <w:jc w:val="center"/>
              <w:rPr>
                <w:rFonts w:ascii="宋体"/>
                <w:sz w:val="24"/>
                <w:szCs w:val="20"/>
              </w:rPr>
            </w:pPr>
          </w:p>
        </w:tc>
        <w:tc>
          <w:tcPr>
            <w:tcW w:w="2933" w:type="dxa"/>
            <w:vAlign w:val="center"/>
          </w:tcPr>
          <w:p>
            <w:pPr>
              <w:snapToGrid w:val="0"/>
              <w:spacing w:before="50" w:afterLines="50"/>
              <w:jc w:val="center"/>
              <w:rPr>
                <w:rFonts w:ascii="宋体"/>
                <w:sz w:val="24"/>
                <w:szCs w:val="20"/>
              </w:rPr>
            </w:pPr>
          </w:p>
        </w:tc>
      </w:tr>
    </w:tbl>
    <w:p>
      <w:pPr>
        <w:pStyle w:val="53"/>
      </w:pPr>
    </w:p>
    <w:p>
      <w:pPr>
        <w:autoSpaceDE w:val="0"/>
        <w:autoSpaceDN w:val="0"/>
        <w:spacing w:line="360" w:lineRule="auto"/>
        <w:ind w:firstLine="630" w:firstLineChars="300"/>
        <w:rPr>
          <w:rFonts w:ascii="宋体" w:cs="宋体"/>
          <w:kern w:val="0"/>
          <w:szCs w:val="21"/>
        </w:rPr>
      </w:pPr>
      <w:r>
        <w:rPr>
          <w:rFonts w:hint="eastAsia" w:ascii="宋体" w:hAnsi="宋体" w:cs="宋体"/>
          <w:kern w:val="0"/>
          <w:szCs w:val="21"/>
        </w:rPr>
        <w:t>注：以上表格如不能满足供应商单位实际情况要求，可自拟格式。</w:t>
      </w:r>
    </w:p>
    <w:p>
      <w:pPr>
        <w:pStyle w:val="53"/>
      </w:pPr>
    </w:p>
    <w:p>
      <w:pPr>
        <w:pStyle w:val="53"/>
      </w:pPr>
    </w:p>
    <w:p>
      <w:pPr>
        <w:pStyle w:val="53"/>
      </w:pPr>
    </w:p>
    <w:p>
      <w:pPr>
        <w:pStyle w:val="53"/>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21"/>
        <w:ind w:left="0" w:leftChars="0" w:firstLine="0" w:firstLineChars="0"/>
      </w:pPr>
    </w:p>
    <w:p>
      <w:pPr>
        <w:pStyle w:val="12"/>
        <w:spacing w:line="300" w:lineRule="auto"/>
        <w:rPr>
          <w:rFonts w:hAnsi="宋体" w:cs="宋体"/>
          <w:sz w:val="24"/>
        </w:rPr>
      </w:pPr>
    </w:p>
    <w:p>
      <w:pPr>
        <w:spacing w:line="360" w:lineRule="auto"/>
        <w:jc w:val="center"/>
        <w:outlineLvl w:val="0"/>
        <w:rPr>
          <w:rFonts w:ascii="宋体" w:cs="宋体"/>
          <w:b/>
          <w:sz w:val="32"/>
          <w:szCs w:val="32"/>
        </w:rPr>
      </w:pPr>
      <w:r>
        <w:rPr>
          <w:rFonts w:hint="eastAsia" w:ascii="宋体" w:hAnsi="宋体" w:cs="宋体"/>
          <w:b/>
          <w:sz w:val="32"/>
          <w:szCs w:val="32"/>
        </w:rPr>
        <w:t>第五章</w:t>
      </w:r>
      <w:r>
        <w:rPr>
          <w:rFonts w:ascii="宋体" w:hAnsi="宋体" w:cs="宋体"/>
          <w:b/>
          <w:sz w:val="32"/>
          <w:szCs w:val="32"/>
        </w:rPr>
        <w:t xml:space="preserve">  </w:t>
      </w:r>
      <w:r>
        <w:rPr>
          <w:rFonts w:hint="eastAsia" w:ascii="宋体" w:hAnsi="宋体" w:cs="宋体"/>
          <w:b/>
          <w:sz w:val="32"/>
          <w:szCs w:val="32"/>
        </w:rPr>
        <w:t>合同条款（格式）</w:t>
      </w:r>
    </w:p>
    <w:p>
      <w:pPr>
        <w:spacing w:line="720" w:lineRule="auto"/>
        <w:jc w:val="center"/>
        <w:rPr>
          <w:rFonts w:ascii="宋体" w:cs="宋体"/>
          <w:b/>
          <w:sz w:val="32"/>
          <w:szCs w:val="32"/>
        </w:rPr>
      </w:pPr>
      <w:r>
        <w:rPr>
          <w:rFonts w:ascii="宋体" w:hAnsi="宋体" w:cs="宋体"/>
          <w:b/>
          <w:sz w:val="36"/>
          <w:szCs w:val="36"/>
        </w:rPr>
        <w:t>****</w:t>
      </w:r>
      <w:r>
        <w:rPr>
          <w:rFonts w:hint="eastAsia" w:ascii="宋体" w:hAnsi="宋体" w:cs="宋体"/>
          <w:b/>
          <w:sz w:val="36"/>
          <w:szCs w:val="36"/>
        </w:rPr>
        <w:t>采购合同</w:t>
      </w:r>
    </w:p>
    <w:p>
      <w:pPr>
        <w:spacing w:line="400" w:lineRule="exact"/>
        <w:ind w:left="798"/>
        <w:rPr>
          <w:rFonts w:ascii="宋体" w:cs="宋体"/>
        </w:rPr>
      </w:pPr>
      <w:r>
        <w:rPr>
          <w:rFonts w:ascii="宋体" w:hAnsi="宋体" w:cs="宋体"/>
        </w:rPr>
        <w:t xml:space="preserve">             </w:t>
      </w:r>
      <w:r>
        <w:rPr>
          <w:rFonts w:ascii="宋体" w:hAnsi="宋体" w:cs="宋体"/>
          <w:sz w:val="22"/>
        </w:rPr>
        <w:t xml:space="preserve"> </w:t>
      </w:r>
      <w:r>
        <w:rPr>
          <w:rFonts w:hint="eastAsia" w:ascii="宋体" w:hAnsi="宋体" w:cs="宋体"/>
        </w:rPr>
        <w:t>合同编号：</w:t>
      </w:r>
    </w:p>
    <w:p>
      <w:pPr>
        <w:spacing w:line="400" w:lineRule="exact"/>
        <w:ind w:left="225" w:leftChars="107" w:firstLine="514" w:firstLineChars="245"/>
        <w:rPr>
          <w:rFonts w:ascii="宋体" w:cs="宋体"/>
        </w:rPr>
      </w:pPr>
      <w:r>
        <w:rPr>
          <w:rFonts w:hint="eastAsia" w:ascii="宋体" w:hAnsi="宋体" w:cs="宋体"/>
        </w:rPr>
        <w:t>采购人（甲方）：</w:t>
      </w:r>
      <w:r>
        <w:rPr>
          <w:rFonts w:ascii="宋体" w:hAnsi="宋体" w:cs="宋体"/>
        </w:rPr>
        <w:t xml:space="preserve">                            </w:t>
      </w:r>
      <w:r>
        <w:rPr>
          <w:rFonts w:hint="eastAsia" w:ascii="宋体" w:hAnsi="宋体" w:cs="宋体"/>
        </w:rPr>
        <w:t>采</w:t>
      </w:r>
      <w:r>
        <w:rPr>
          <w:rFonts w:ascii="宋体" w:hAnsi="宋体" w:cs="宋体"/>
        </w:rPr>
        <w:t xml:space="preserve"> </w:t>
      </w:r>
      <w:r>
        <w:rPr>
          <w:rFonts w:hint="eastAsia" w:ascii="宋体" w:hAnsi="宋体" w:cs="宋体"/>
        </w:rPr>
        <w:t>购</w:t>
      </w:r>
      <w:r>
        <w:rPr>
          <w:rFonts w:ascii="宋体" w:hAnsi="宋体" w:cs="宋体"/>
        </w:rPr>
        <w:t xml:space="preserve"> </w:t>
      </w:r>
      <w:r>
        <w:rPr>
          <w:rFonts w:hint="eastAsia" w:ascii="宋体" w:hAnsi="宋体" w:cs="宋体"/>
        </w:rPr>
        <w:t>计</w:t>
      </w:r>
      <w:r>
        <w:rPr>
          <w:rFonts w:ascii="宋体" w:hAnsi="宋体" w:cs="宋体"/>
        </w:rPr>
        <w:t xml:space="preserve"> </w:t>
      </w:r>
      <w:r>
        <w:rPr>
          <w:rFonts w:hint="eastAsia" w:ascii="宋体" w:hAnsi="宋体" w:cs="宋体"/>
        </w:rPr>
        <w:t>划</w:t>
      </w:r>
      <w:r>
        <w:rPr>
          <w:rFonts w:ascii="宋体" w:hAnsi="宋体" w:cs="宋体"/>
        </w:rPr>
        <w:t xml:space="preserve"> </w:t>
      </w:r>
      <w:r>
        <w:rPr>
          <w:rFonts w:hint="eastAsia" w:ascii="宋体" w:hAnsi="宋体" w:cs="宋体"/>
        </w:rPr>
        <w:t>号：</w:t>
      </w:r>
      <w:r>
        <w:rPr>
          <w:rFonts w:ascii="宋体" w:hAnsi="宋体" w:cs="宋体"/>
        </w:rPr>
        <w:t xml:space="preserve">                         </w:t>
      </w:r>
    </w:p>
    <w:p>
      <w:pPr>
        <w:spacing w:line="400" w:lineRule="exact"/>
        <w:ind w:left="225" w:leftChars="107" w:firstLine="514" w:firstLineChars="245"/>
        <w:rPr>
          <w:rFonts w:ascii="宋体" w:cs="宋体"/>
        </w:rPr>
      </w:pPr>
      <w:r>
        <w:rPr>
          <w:rFonts w:hint="eastAsia" w:ascii="宋体" w:hAnsi="宋体" w:cs="宋体"/>
        </w:rPr>
        <w:t>供应商（乙方）：</w:t>
      </w:r>
      <w:r>
        <w:rPr>
          <w:rFonts w:ascii="宋体" w:hAnsi="宋体" w:cs="宋体"/>
        </w:rPr>
        <w:t xml:space="preserve">                            </w:t>
      </w:r>
      <w:r>
        <w:rPr>
          <w:rFonts w:hint="eastAsia" w:ascii="宋体" w:hAnsi="宋体" w:cs="宋体"/>
        </w:rPr>
        <w:t>采购项目名称和编号：</w:t>
      </w:r>
      <w:r>
        <w:rPr>
          <w:rFonts w:ascii="宋体" w:hAnsi="宋体" w:cs="宋体"/>
        </w:rPr>
        <w:t xml:space="preserve">                       </w:t>
      </w:r>
    </w:p>
    <w:p>
      <w:pPr>
        <w:spacing w:line="400" w:lineRule="exact"/>
        <w:ind w:left="225" w:leftChars="107" w:firstLine="514" w:firstLineChars="245"/>
        <w:rPr>
          <w:rFonts w:ascii="宋体" w:cs="宋体"/>
        </w:rPr>
      </w:pPr>
      <w:r>
        <w:rPr>
          <w:rFonts w:hint="eastAsia" w:ascii="宋体" w:hAnsi="宋体" w:cs="宋体"/>
        </w:rPr>
        <w:t>签</w:t>
      </w:r>
      <w:r>
        <w:rPr>
          <w:rFonts w:ascii="宋体" w:hAnsi="宋体" w:cs="宋体"/>
        </w:rPr>
        <w:t xml:space="preserve">  </w:t>
      </w:r>
      <w:r>
        <w:rPr>
          <w:rFonts w:hint="eastAsia" w:ascii="宋体" w:hAnsi="宋体" w:cs="宋体"/>
        </w:rPr>
        <w:t>订</w:t>
      </w:r>
      <w:r>
        <w:rPr>
          <w:rFonts w:ascii="宋体" w:hAnsi="宋体" w:cs="宋体"/>
        </w:rPr>
        <w:t xml:space="preserve">  </w:t>
      </w:r>
      <w:r>
        <w:rPr>
          <w:rFonts w:hint="eastAsia" w:ascii="宋体" w:hAnsi="宋体" w:cs="宋体"/>
        </w:rPr>
        <w:t>地</w:t>
      </w:r>
      <w:r>
        <w:rPr>
          <w:rFonts w:ascii="宋体" w:hAnsi="宋体" w:cs="宋体"/>
        </w:rPr>
        <w:t xml:space="preserve">  </w:t>
      </w:r>
      <w:r>
        <w:rPr>
          <w:rFonts w:hint="eastAsia" w:ascii="宋体" w:hAnsi="宋体" w:cs="宋体"/>
        </w:rPr>
        <w:t>点：</w:t>
      </w:r>
      <w:r>
        <w:rPr>
          <w:rFonts w:ascii="宋体" w:hAnsi="宋体" w:cs="宋体"/>
        </w:rPr>
        <w:t xml:space="preserve">                            </w:t>
      </w:r>
      <w:r>
        <w:rPr>
          <w:rFonts w:hint="eastAsia" w:ascii="宋体" w:hAnsi="宋体" w:cs="宋体"/>
        </w:rPr>
        <w:t>签</w:t>
      </w:r>
      <w:r>
        <w:rPr>
          <w:rFonts w:ascii="宋体" w:hAnsi="宋体" w:cs="宋体"/>
        </w:rPr>
        <w:t xml:space="preserve"> </w:t>
      </w:r>
      <w:r>
        <w:rPr>
          <w:rFonts w:hint="eastAsia" w:ascii="宋体" w:hAnsi="宋体" w:cs="宋体"/>
        </w:rPr>
        <w:t>订</w:t>
      </w:r>
      <w:r>
        <w:rPr>
          <w:rFonts w:ascii="宋体" w:hAnsi="宋体" w:cs="宋体"/>
        </w:rPr>
        <w:t xml:space="preserve"> </w:t>
      </w:r>
      <w:r>
        <w:rPr>
          <w:rFonts w:hint="eastAsia" w:ascii="宋体" w:hAnsi="宋体" w:cs="宋体"/>
        </w:rPr>
        <w:t>时</w:t>
      </w:r>
      <w:r>
        <w:rPr>
          <w:rFonts w:ascii="宋体" w:hAnsi="宋体" w:cs="宋体"/>
        </w:rPr>
        <w:t xml:space="preserve"> </w:t>
      </w:r>
      <w:r>
        <w:rPr>
          <w:rFonts w:hint="eastAsia" w:ascii="宋体" w:hAnsi="宋体" w:cs="宋体"/>
        </w:rPr>
        <w:t>间：</w:t>
      </w:r>
      <w:r>
        <w:rPr>
          <w:rFonts w:ascii="宋体" w:hAnsi="宋体" w:cs="宋体"/>
        </w:rPr>
        <w:t xml:space="preserve">                       </w:t>
      </w:r>
    </w:p>
    <w:p>
      <w:pPr>
        <w:spacing w:line="400" w:lineRule="exact"/>
        <w:ind w:firstLine="420" w:firstLineChars="200"/>
        <w:rPr>
          <w:rFonts w:ascii="宋体" w:cs="宋体"/>
        </w:rPr>
      </w:pPr>
      <w:r>
        <w:rPr>
          <w:rFonts w:hint="eastAsia" w:ascii="宋体" w:hAnsi="宋体" w:cs="宋体"/>
        </w:rPr>
        <w:t>根据《中华人民共和国政府采购法》、《中华人民共和国合同法》等法律、法规规定，按照竞争性磋商文件（以下简称“磋商文件”）规定条款和成交供应商竞争性磋商响应文件（以下简称“响应文件”）及其承诺，甲乙双方签订本合同。</w:t>
      </w:r>
    </w:p>
    <w:p>
      <w:pPr>
        <w:spacing w:line="400" w:lineRule="exact"/>
        <w:ind w:firstLine="420" w:firstLineChars="200"/>
        <w:rPr>
          <w:rFonts w:ascii="宋体" w:cs="宋体"/>
        </w:rPr>
      </w:pPr>
      <w:r>
        <w:rPr>
          <w:rFonts w:hint="eastAsia" w:ascii="宋体" w:hAnsi="宋体" w:cs="宋体"/>
        </w:rPr>
        <w:t>第一条　合同标的</w:t>
      </w:r>
    </w:p>
    <w:p>
      <w:pPr>
        <w:spacing w:line="400" w:lineRule="exact"/>
        <w:ind w:firstLine="420" w:firstLineChars="200"/>
        <w:rPr>
          <w:rFonts w:ascii="宋体" w:cs="宋体"/>
        </w:rPr>
      </w:pPr>
      <w:r>
        <w:rPr>
          <w:rFonts w:ascii="宋体" w:hAnsi="宋体" w:cs="宋体"/>
        </w:rPr>
        <w:t>1</w:t>
      </w:r>
      <w:r>
        <w:rPr>
          <w:rFonts w:hint="eastAsia" w:ascii="宋体" w:hAnsi="宋体" w:cs="宋体"/>
        </w:rPr>
        <w:t>、供货一览表</w:t>
      </w:r>
    </w:p>
    <w:tbl>
      <w:tblPr>
        <w:tblStyle w:val="2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17"/>
        <w:gridCol w:w="868"/>
        <w:gridCol w:w="1228"/>
        <w:gridCol w:w="1182"/>
        <w:gridCol w:w="912"/>
        <w:gridCol w:w="825"/>
        <w:gridCol w:w="126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83" w:type="dxa"/>
            <w:vAlign w:val="center"/>
          </w:tcPr>
          <w:p>
            <w:pPr>
              <w:spacing w:line="440" w:lineRule="exact"/>
              <w:jc w:val="center"/>
              <w:rPr>
                <w:rFonts w:ascii="宋体" w:cs="宋体"/>
              </w:rPr>
            </w:pPr>
            <w:r>
              <w:rPr>
                <w:rFonts w:hint="eastAsia" w:ascii="宋体" w:hAnsi="宋体" w:cs="宋体"/>
              </w:rPr>
              <w:t>序号</w:t>
            </w:r>
          </w:p>
        </w:tc>
        <w:tc>
          <w:tcPr>
            <w:tcW w:w="917" w:type="dxa"/>
          </w:tcPr>
          <w:p>
            <w:pPr>
              <w:tabs>
                <w:tab w:val="left" w:pos="0"/>
              </w:tabs>
              <w:spacing w:line="440" w:lineRule="exact"/>
              <w:rPr>
                <w:rFonts w:ascii="宋体" w:cs="宋体"/>
              </w:rPr>
            </w:pPr>
            <w:r>
              <w:rPr>
                <w:rFonts w:hint="eastAsia" w:ascii="宋体" w:hAnsi="宋体" w:cs="宋体"/>
              </w:rPr>
              <w:t>产品名称</w:t>
            </w:r>
          </w:p>
        </w:tc>
        <w:tc>
          <w:tcPr>
            <w:tcW w:w="868" w:type="dxa"/>
            <w:vAlign w:val="center"/>
          </w:tcPr>
          <w:p>
            <w:pPr>
              <w:spacing w:line="440" w:lineRule="exact"/>
              <w:jc w:val="center"/>
              <w:rPr>
                <w:rFonts w:ascii="宋体" w:cs="宋体"/>
              </w:rPr>
            </w:pPr>
            <w:r>
              <w:rPr>
                <w:rFonts w:hint="eastAsia" w:ascii="宋体" w:hAnsi="宋体" w:cs="宋体"/>
              </w:rPr>
              <w:t>商标品牌</w:t>
            </w:r>
          </w:p>
        </w:tc>
        <w:tc>
          <w:tcPr>
            <w:tcW w:w="1228" w:type="dxa"/>
            <w:vAlign w:val="center"/>
          </w:tcPr>
          <w:p>
            <w:pPr>
              <w:spacing w:line="440" w:lineRule="exact"/>
              <w:jc w:val="center"/>
              <w:rPr>
                <w:rFonts w:ascii="宋体" w:cs="宋体"/>
              </w:rPr>
            </w:pPr>
            <w:r>
              <w:rPr>
                <w:rFonts w:hint="eastAsia" w:ascii="宋体" w:hAnsi="宋体" w:cs="宋体"/>
              </w:rPr>
              <w:t>规格型号</w:t>
            </w:r>
          </w:p>
        </w:tc>
        <w:tc>
          <w:tcPr>
            <w:tcW w:w="1182" w:type="dxa"/>
            <w:vAlign w:val="center"/>
          </w:tcPr>
          <w:p>
            <w:pPr>
              <w:spacing w:line="440" w:lineRule="exact"/>
              <w:jc w:val="center"/>
              <w:rPr>
                <w:rFonts w:ascii="宋体" w:cs="宋体"/>
              </w:rPr>
            </w:pPr>
            <w:r>
              <w:rPr>
                <w:rFonts w:hint="eastAsia" w:ascii="宋体" w:hAnsi="宋体" w:cs="宋体"/>
              </w:rPr>
              <w:t>生产厂家</w:t>
            </w:r>
          </w:p>
        </w:tc>
        <w:tc>
          <w:tcPr>
            <w:tcW w:w="912" w:type="dxa"/>
            <w:vAlign w:val="center"/>
          </w:tcPr>
          <w:p>
            <w:pPr>
              <w:spacing w:line="440" w:lineRule="exact"/>
              <w:jc w:val="center"/>
              <w:rPr>
                <w:rFonts w:ascii="宋体" w:cs="宋体"/>
              </w:rPr>
            </w:pPr>
            <w:r>
              <w:rPr>
                <w:rFonts w:hint="eastAsia" w:ascii="宋体" w:hAnsi="宋体" w:cs="宋体"/>
              </w:rPr>
              <w:t>数量</w:t>
            </w:r>
          </w:p>
        </w:tc>
        <w:tc>
          <w:tcPr>
            <w:tcW w:w="825" w:type="dxa"/>
            <w:vAlign w:val="center"/>
          </w:tcPr>
          <w:p>
            <w:pPr>
              <w:spacing w:line="440" w:lineRule="exact"/>
              <w:rPr>
                <w:rFonts w:ascii="宋体" w:cs="宋体"/>
              </w:rPr>
            </w:pPr>
            <w:r>
              <w:rPr>
                <w:rFonts w:hint="eastAsia" w:ascii="宋体" w:hAnsi="宋体" w:cs="宋体"/>
              </w:rPr>
              <w:t>单位</w:t>
            </w:r>
          </w:p>
        </w:tc>
        <w:tc>
          <w:tcPr>
            <w:tcW w:w="1260" w:type="dxa"/>
            <w:vAlign w:val="center"/>
          </w:tcPr>
          <w:p>
            <w:pPr>
              <w:spacing w:line="440" w:lineRule="exact"/>
              <w:jc w:val="center"/>
              <w:rPr>
                <w:rFonts w:ascii="宋体" w:cs="宋体"/>
              </w:rPr>
            </w:pPr>
            <w:r>
              <w:rPr>
                <w:rFonts w:hint="eastAsia" w:ascii="宋体" w:hAnsi="宋体" w:cs="宋体"/>
              </w:rPr>
              <w:t>单价（元）</w:t>
            </w:r>
          </w:p>
        </w:tc>
        <w:tc>
          <w:tcPr>
            <w:tcW w:w="1238" w:type="dxa"/>
            <w:vAlign w:val="center"/>
          </w:tcPr>
          <w:p>
            <w:pPr>
              <w:spacing w:line="440" w:lineRule="exact"/>
              <w:jc w:val="center"/>
              <w:rPr>
                <w:rFonts w:asci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83" w:type="dxa"/>
            <w:vAlign w:val="center"/>
          </w:tcPr>
          <w:p>
            <w:pPr>
              <w:spacing w:line="440" w:lineRule="exact"/>
              <w:rPr>
                <w:rFonts w:ascii="宋体" w:cs="宋体"/>
              </w:rPr>
            </w:pPr>
            <w:r>
              <w:rPr>
                <w:rFonts w:ascii="宋体" w:hAnsi="宋体" w:cs="宋体"/>
              </w:rPr>
              <w:t>1</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683" w:type="dxa"/>
            <w:vAlign w:val="center"/>
          </w:tcPr>
          <w:p>
            <w:pPr>
              <w:spacing w:line="440" w:lineRule="exact"/>
              <w:rPr>
                <w:rFonts w:ascii="宋体" w:cs="宋体"/>
              </w:rPr>
            </w:pPr>
            <w:r>
              <w:rPr>
                <w:rFonts w:ascii="宋体" w:hAnsi="宋体" w:cs="宋体"/>
              </w:rPr>
              <w:t>2</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83" w:type="dxa"/>
            <w:vAlign w:val="center"/>
          </w:tcPr>
          <w:p>
            <w:pPr>
              <w:spacing w:line="440" w:lineRule="exact"/>
              <w:rPr>
                <w:rFonts w:ascii="宋体" w:cs="宋体"/>
              </w:rPr>
            </w:pPr>
            <w:r>
              <w:rPr>
                <w:rFonts w:ascii="宋体" w:hAnsi="宋体" w:cs="宋体"/>
              </w:rPr>
              <w:t>3</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83" w:type="dxa"/>
            <w:vAlign w:val="center"/>
          </w:tcPr>
          <w:p>
            <w:pPr>
              <w:spacing w:line="440" w:lineRule="exact"/>
              <w:rPr>
                <w:rFonts w:ascii="宋体" w:cs="宋体"/>
              </w:rPr>
            </w:pPr>
            <w:r>
              <w:rPr>
                <w:rFonts w:ascii="宋体" w:hAnsi="宋体" w:cs="宋体"/>
              </w:rPr>
              <w:t>4</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13" w:type="dxa"/>
            <w:gridSpan w:val="9"/>
            <w:vAlign w:val="center"/>
          </w:tcPr>
          <w:p>
            <w:pPr>
              <w:spacing w:line="440" w:lineRule="exact"/>
              <w:ind w:left="225" w:leftChars="107" w:firstLine="514" w:firstLineChars="245"/>
              <w:rPr>
                <w:rFonts w:ascii="宋体" w:cs="宋体"/>
              </w:rPr>
            </w:pPr>
            <w:r>
              <w:rPr>
                <w:rFonts w:hint="eastAsia" w:ascii="宋体" w:hAnsi="宋体" w:cs="宋体"/>
              </w:rPr>
              <w:t>人民币合计金额（大写）</w:t>
            </w:r>
            <w:r>
              <w:rPr>
                <w:rFonts w:ascii="宋体" w:hAnsi="宋体" w:cs="宋体"/>
              </w:rPr>
              <w:t xml:space="preserve">                          </w:t>
            </w:r>
            <w:r>
              <w:rPr>
                <w:rFonts w:hint="eastAsia" w:ascii="宋体" w:hAnsi="宋体" w:cs="宋体"/>
              </w:rPr>
              <w:t>（小写）</w:t>
            </w:r>
            <w:r>
              <w:rPr>
                <w:rFonts w:ascii="宋体" w:hAnsi="宋体" w:cs="宋体"/>
              </w:rPr>
              <w:t xml:space="preserve">                 </w:t>
            </w:r>
          </w:p>
        </w:tc>
      </w:tr>
    </w:tbl>
    <w:p>
      <w:pPr>
        <w:spacing w:line="440" w:lineRule="exact"/>
        <w:ind w:firstLine="420" w:firstLineChars="200"/>
        <w:rPr>
          <w:rFonts w:ascii="宋体" w:cs="宋体"/>
        </w:rPr>
      </w:pPr>
      <w:r>
        <w:rPr>
          <w:rFonts w:ascii="宋体" w:hAnsi="宋体" w:cs="宋体"/>
        </w:rPr>
        <w:t>2</w:t>
      </w:r>
      <w:r>
        <w:rPr>
          <w:rFonts w:hint="eastAsia" w:ascii="宋体" w:hAnsi="宋体" w:cs="宋体"/>
        </w:rPr>
        <w:t>、合同合计金额包括货物价款，备件、专用工具、安装、调试、检验、技术培训及技术资料和包装、运输等全部费用。如磋商文件、响应文件对其另有规定的，从其规定。</w:t>
      </w:r>
    </w:p>
    <w:p>
      <w:pPr>
        <w:spacing w:line="440" w:lineRule="exact"/>
        <w:ind w:left="244" w:hanging="243" w:hangingChars="116"/>
        <w:rPr>
          <w:rFonts w:ascii="宋体" w:cs="宋体"/>
        </w:rPr>
      </w:pPr>
      <w:r>
        <w:rPr>
          <w:rFonts w:ascii="宋体" w:hAnsi="宋体" w:cs="宋体"/>
        </w:rPr>
        <w:t xml:space="preserve">    </w:t>
      </w:r>
      <w:r>
        <w:rPr>
          <w:rFonts w:hint="eastAsia" w:ascii="宋体" w:hAnsi="宋体" w:cs="宋体"/>
        </w:rPr>
        <w:t>第二条　质量保证</w:t>
      </w:r>
    </w:p>
    <w:p>
      <w:pPr>
        <w:spacing w:line="440" w:lineRule="exact"/>
        <w:rPr>
          <w:rFonts w:ascii="宋体" w:cs="宋体"/>
        </w:rPr>
      </w:pPr>
      <w:r>
        <w:rPr>
          <w:rFonts w:ascii="宋体" w:hAnsi="宋体" w:cs="宋体"/>
        </w:rPr>
        <w:t xml:space="preserve">    1</w:t>
      </w:r>
      <w:r>
        <w:rPr>
          <w:rFonts w:hint="eastAsia" w:ascii="宋体" w:hAnsi="宋体" w:cs="宋体"/>
        </w:rPr>
        <w:t>、乙方所提供的货物型号、技术规格、技术参数等质量必须与磋商文件、响应文件和承诺相一致。乙方提供的节能和环保产品必须是列入政府采购清单的产品。</w:t>
      </w:r>
    </w:p>
    <w:p>
      <w:pPr>
        <w:spacing w:line="440" w:lineRule="exact"/>
        <w:rPr>
          <w:rFonts w:ascii="宋体" w:cs="宋体"/>
        </w:rPr>
      </w:pPr>
      <w:r>
        <w:rPr>
          <w:rFonts w:ascii="宋体" w:hAnsi="宋体" w:cs="宋体"/>
        </w:rPr>
        <w:t xml:space="preserve">    2</w:t>
      </w:r>
      <w:r>
        <w:rPr>
          <w:rFonts w:hint="eastAsia" w:ascii="宋体" w:hAnsi="宋体" w:cs="宋体"/>
        </w:rPr>
        <w:t>、乙方所提供的货物必须是全新、未经使用的原装产品，且在正常安装、使用和保养条件下，其使用寿命期内各项指标均达到质量要求。</w:t>
      </w:r>
    </w:p>
    <w:p>
      <w:pPr>
        <w:spacing w:line="440" w:lineRule="exact"/>
        <w:ind w:firstLine="420" w:firstLineChars="200"/>
        <w:rPr>
          <w:rFonts w:ascii="宋体" w:cs="宋体"/>
        </w:rPr>
      </w:pPr>
      <w:r>
        <w:rPr>
          <w:rFonts w:hint="eastAsia" w:ascii="宋体" w:hAnsi="宋体" w:cs="宋体"/>
        </w:rPr>
        <w:t>第三条　权力保证</w:t>
      </w:r>
    </w:p>
    <w:p>
      <w:pPr>
        <w:spacing w:line="440" w:lineRule="exact"/>
        <w:ind w:firstLine="420" w:firstLineChars="200"/>
        <w:rPr>
          <w:rFonts w:ascii="宋体" w:cs="宋体"/>
        </w:rPr>
      </w:pPr>
      <w:r>
        <w:rPr>
          <w:rFonts w:ascii="宋体" w:hAnsi="宋体" w:cs="宋体"/>
        </w:rPr>
        <w:t>1</w:t>
      </w:r>
      <w:r>
        <w:rPr>
          <w:rFonts w:hint="eastAsia" w:ascii="宋体" w:hAnsi="宋体" w:cs="宋体"/>
        </w:rPr>
        <w:t>、乙方应保证所提供货物在使用时不会侵犯任何第三方的专利权、商标权、工业设计权或其他权利。</w:t>
      </w:r>
    </w:p>
    <w:p>
      <w:pPr>
        <w:spacing w:line="440" w:lineRule="exact"/>
        <w:rPr>
          <w:rFonts w:ascii="宋体" w:cs="宋体"/>
        </w:rPr>
      </w:pPr>
      <w:r>
        <w:rPr>
          <w:rFonts w:ascii="宋体" w:hAnsi="宋体" w:cs="宋体"/>
        </w:rPr>
        <w:t xml:space="preserve">    2</w:t>
      </w:r>
      <w:r>
        <w:rPr>
          <w:rFonts w:hint="eastAsia" w:ascii="宋体" w:hAnsi="宋体" w:cs="宋体"/>
        </w:rPr>
        <w:t>、乙方应按磋商文件规定的时间或响应文件承诺的时间向甲方提供使用货物的有关技术资料。</w:t>
      </w:r>
    </w:p>
    <w:p>
      <w:pPr>
        <w:spacing w:line="440" w:lineRule="exact"/>
        <w:ind w:firstLine="420" w:firstLineChars="200"/>
        <w:rPr>
          <w:rFonts w:ascii="宋体" w:cs="宋体"/>
        </w:rPr>
      </w:pPr>
      <w:r>
        <w:rPr>
          <w:rFonts w:ascii="宋体" w:hAnsi="宋体" w:cs="宋体"/>
        </w:rPr>
        <w:t>3</w:t>
      </w:r>
      <w:r>
        <w:rPr>
          <w:rFonts w:hint="eastAsia" w:ascii="宋体" w:hAnsi="宋体" w:cs="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rPr>
          <w:rFonts w:ascii="宋体" w:cs="宋体"/>
        </w:rPr>
      </w:pPr>
      <w:r>
        <w:rPr>
          <w:rFonts w:ascii="宋体" w:hAnsi="宋体" w:cs="宋体"/>
        </w:rPr>
        <w:t xml:space="preserve">    4</w:t>
      </w:r>
      <w:r>
        <w:rPr>
          <w:rFonts w:hint="eastAsia" w:ascii="宋体" w:hAnsi="宋体" w:cs="宋体"/>
        </w:rPr>
        <w:t>、乙方保证所交付的货物的所有权完全属于乙方且无任何抵押、质押、查封等产权瑕疵。</w:t>
      </w:r>
    </w:p>
    <w:p>
      <w:pPr>
        <w:spacing w:line="440" w:lineRule="exact"/>
        <w:ind w:left="244" w:hanging="243" w:hangingChars="116"/>
        <w:rPr>
          <w:rFonts w:ascii="宋体" w:cs="宋体"/>
        </w:rPr>
      </w:pPr>
      <w:r>
        <w:rPr>
          <w:rFonts w:ascii="宋体" w:hAnsi="宋体" w:cs="宋体"/>
        </w:rPr>
        <w:t xml:space="preserve">    </w:t>
      </w:r>
      <w:r>
        <w:rPr>
          <w:rFonts w:hint="eastAsia" w:ascii="宋体" w:hAnsi="宋体" w:cs="宋体"/>
        </w:rPr>
        <w:t>第四条　包装和运输</w:t>
      </w:r>
    </w:p>
    <w:p>
      <w:pPr>
        <w:spacing w:line="440" w:lineRule="exact"/>
        <w:rPr>
          <w:rFonts w:ascii="宋体" w:cs="宋体"/>
        </w:rPr>
      </w:pPr>
      <w:r>
        <w:rPr>
          <w:rFonts w:ascii="宋体" w:hAnsi="宋体" w:cs="宋体"/>
        </w:rPr>
        <w:t xml:space="preserve">    1</w:t>
      </w:r>
      <w:r>
        <w:rPr>
          <w:rFonts w:hint="eastAsia" w:ascii="宋体" w:hAnsi="宋体" w:cs="宋体"/>
        </w:rPr>
        <w:t>、乙方提供的货物均应按磋商文件、响应文件要求的包装材料、包装标准、包装方式进行包装，每一包装单元内应附详细的装箱单和质量合格证。</w:t>
      </w:r>
    </w:p>
    <w:p>
      <w:pPr>
        <w:spacing w:line="440" w:lineRule="exact"/>
        <w:rPr>
          <w:rFonts w:ascii="宋体" w:cs="宋体"/>
        </w:rPr>
      </w:pPr>
      <w:r>
        <w:rPr>
          <w:rFonts w:ascii="宋体" w:hAnsi="宋体" w:cs="宋体"/>
        </w:rPr>
        <w:t xml:space="preserve">    2</w:t>
      </w:r>
      <w:r>
        <w:rPr>
          <w:rFonts w:hint="eastAsia" w:ascii="宋体" w:hAnsi="宋体" w:cs="宋体"/>
        </w:rPr>
        <w:t>、货物的运输方式：</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3</w:t>
      </w:r>
      <w:r>
        <w:rPr>
          <w:rFonts w:hint="eastAsia" w:ascii="宋体" w:hAnsi="宋体" w:cs="宋体"/>
        </w:rPr>
        <w:t>、乙方负责货物运输，货物运输合理损耗及计算方法：</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w:t>
      </w:r>
      <w:r>
        <w:rPr>
          <w:rFonts w:hint="eastAsia" w:ascii="宋体" w:hAnsi="宋体" w:cs="宋体"/>
        </w:rPr>
        <w:t>第五条　交付和验收</w:t>
      </w:r>
    </w:p>
    <w:p>
      <w:pPr>
        <w:spacing w:line="440" w:lineRule="exact"/>
        <w:rPr>
          <w:rFonts w:ascii="宋体" w:cs="宋体"/>
        </w:rPr>
      </w:pPr>
      <w:r>
        <w:rPr>
          <w:rFonts w:ascii="宋体" w:hAnsi="宋体" w:cs="宋体"/>
        </w:rPr>
        <w:t xml:space="preserve">    1</w:t>
      </w:r>
      <w:r>
        <w:rPr>
          <w:rFonts w:hint="eastAsia" w:ascii="宋体" w:hAnsi="宋体" w:cs="宋体"/>
        </w:rPr>
        <w:t>、交付使用时间：</w:t>
      </w:r>
      <w:r>
        <w:rPr>
          <w:rFonts w:hint="eastAsia" w:ascii="宋体" w:hAnsi="宋体" w:cs="宋体"/>
          <w:u w:val="single"/>
        </w:rPr>
        <w:t>按乙方响应文件中所承诺的时间</w:t>
      </w:r>
      <w:r>
        <w:rPr>
          <w:rFonts w:hint="eastAsia" w:ascii="宋体" w:hAnsi="宋体" w:cs="宋体"/>
        </w:rPr>
        <w:t>、</w:t>
      </w:r>
      <w:r>
        <w:rPr>
          <w:rFonts w:hint="eastAsia" w:ascii="宋体" w:hAnsi="宋体" w:cs="宋体"/>
          <w:u w:val="single"/>
        </w:rPr>
        <w:t>地点：采购人指定地点</w:t>
      </w:r>
      <w:r>
        <w:rPr>
          <w:rFonts w:ascii="宋体" w:hAnsi="宋体" w:cs="宋体"/>
          <w:u w:val="single"/>
        </w:rPr>
        <w:t xml:space="preserve"> </w:t>
      </w:r>
      <w:r>
        <w:rPr>
          <w:rFonts w:hint="eastAsia" w:ascii="宋体" w:hAnsi="宋体" w:cs="宋体"/>
          <w:u w:val="single"/>
        </w:rPr>
        <w:t>。</w:t>
      </w:r>
    </w:p>
    <w:p>
      <w:pPr>
        <w:spacing w:line="440" w:lineRule="exact"/>
        <w:rPr>
          <w:rFonts w:ascii="宋体" w:cs="宋体"/>
        </w:rPr>
      </w:pPr>
      <w:r>
        <w:rPr>
          <w:rFonts w:ascii="宋体" w:hAnsi="宋体" w:cs="宋体"/>
        </w:rPr>
        <w:t xml:space="preserve">    2</w:t>
      </w:r>
      <w:r>
        <w:rPr>
          <w:rFonts w:hint="eastAsia" w:ascii="宋体" w:hAnsi="宋体" w:cs="宋体"/>
        </w:rPr>
        <w:t>、乙方提供不符合磋商文件、响应文件和本合同规定的货物，甲方有权拒绝接受。</w:t>
      </w:r>
    </w:p>
    <w:p>
      <w:pPr>
        <w:spacing w:line="440" w:lineRule="exact"/>
        <w:rPr>
          <w:rFonts w:ascii="宋体" w:cs="宋体"/>
        </w:rPr>
      </w:pPr>
      <w:r>
        <w:rPr>
          <w:rFonts w:ascii="宋体" w:hAnsi="宋体" w:cs="宋体"/>
        </w:rPr>
        <w:t xml:space="preserve">    3</w:t>
      </w:r>
      <w:r>
        <w:rPr>
          <w:rFonts w:hint="eastAsia" w:ascii="宋体" w:hAnsi="宋体" w:cs="宋体"/>
        </w:rPr>
        <w:t>、乙方应将所提供货物的装箱清单、用户手册、原厂保修卡、随机资料、工具和备品、备件等交付给甲方，如有缺失应及时补齐，否则视为逾期交货。</w:t>
      </w:r>
    </w:p>
    <w:p>
      <w:pPr>
        <w:spacing w:line="440" w:lineRule="exact"/>
        <w:rPr>
          <w:rFonts w:ascii="宋体" w:cs="宋体"/>
        </w:rPr>
      </w:pPr>
      <w:r>
        <w:rPr>
          <w:rFonts w:ascii="宋体" w:hAnsi="宋体" w:cs="宋体"/>
        </w:rPr>
        <w:t xml:space="preserve">    4</w:t>
      </w:r>
      <w:r>
        <w:rPr>
          <w:rFonts w:hint="eastAsia" w:ascii="宋体" w:hAnsi="宋体" w:cs="宋体"/>
        </w:rPr>
        <w:t>、甲方应当在到货（安装、调试完）后七个工作日内进行验收，逾期不验收的，乙方可视同验收合格。验收合格后由甲乙双方签署货物验收单并加盖采购人公章，甲乙双方各执一份。</w:t>
      </w:r>
    </w:p>
    <w:p>
      <w:pPr>
        <w:spacing w:line="440" w:lineRule="exact"/>
        <w:rPr>
          <w:rFonts w:ascii="宋体" w:cs="宋体"/>
        </w:rPr>
      </w:pPr>
      <w:r>
        <w:rPr>
          <w:rFonts w:ascii="宋体" w:hAnsi="宋体" w:cs="宋体"/>
        </w:rPr>
        <w:t xml:space="preserve">    5</w:t>
      </w:r>
      <w:r>
        <w:rPr>
          <w:rFonts w:hint="eastAsia" w:ascii="宋体" w:hAnsi="宋体" w:cs="宋体"/>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440" w:lineRule="exact"/>
        <w:rPr>
          <w:rFonts w:ascii="宋体" w:cs="宋体"/>
        </w:rPr>
      </w:pPr>
      <w:r>
        <w:rPr>
          <w:rFonts w:ascii="宋体" w:hAnsi="宋体" w:cs="宋体"/>
        </w:rPr>
        <w:t xml:space="preserve">    6</w:t>
      </w:r>
      <w:r>
        <w:rPr>
          <w:rFonts w:hint="eastAsia" w:ascii="宋体" w:hAnsi="宋体" w:cs="宋体"/>
        </w:rPr>
        <w:t>、甲方对验收有异议的，在验收后五个工作日内以书面形式向乙方提出，乙方应自收到甲方书面异议后</w:t>
      </w:r>
      <w:r>
        <w:rPr>
          <w:rFonts w:ascii="宋体" w:hAnsi="宋体" w:cs="宋体"/>
          <w:u w:val="single"/>
        </w:rPr>
        <w:t xml:space="preserve">     </w:t>
      </w:r>
      <w:r>
        <w:rPr>
          <w:rFonts w:hint="eastAsia" w:ascii="宋体" w:hAnsi="宋体" w:cs="宋体"/>
        </w:rPr>
        <w:t>日内及时予以解决。</w:t>
      </w:r>
    </w:p>
    <w:p>
      <w:pPr>
        <w:spacing w:line="440" w:lineRule="exact"/>
        <w:rPr>
          <w:rFonts w:ascii="宋体" w:cs="宋体"/>
        </w:rPr>
      </w:pPr>
      <w:r>
        <w:rPr>
          <w:rFonts w:ascii="宋体" w:hAnsi="宋体" w:cs="宋体"/>
        </w:rPr>
        <w:t xml:space="preserve">    </w:t>
      </w:r>
      <w:r>
        <w:rPr>
          <w:rFonts w:hint="eastAsia" w:ascii="宋体" w:hAnsi="宋体" w:cs="宋体"/>
        </w:rPr>
        <w:t>第六条　安装和培训</w:t>
      </w:r>
    </w:p>
    <w:p>
      <w:pPr>
        <w:spacing w:line="440" w:lineRule="exact"/>
        <w:rPr>
          <w:rFonts w:ascii="宋体" w:cs="宋体"/>
        </w:rPr>
      </w:pPr>
      <w:r>
        <w:rPr>
          <w:rFonts w:ascii="宋体" w:hAnsi="宋体" w:cs="宋体"/>
        </w:rPr>
        <w:t xml:space="preserve">    1</w:t>
      </w:r>
      <w:r>
        <w:rPr>
          <w:rFonts w:hint="eastAsia" w:ascii="宋体" w:hAnsi="宋体" w:cs="宋体"/>
        </w:rPr>
        <w:t>、甲方应提供必要安装条件（如场地、电源、水源等）。</w:t>
      </w:r>
    </w:p>
    <w:p>
      <w:pPr>
        <w:spacing w:line="440" w:lineRule="exact"/>
        <w:rPr>
          <w:rFonts w:ascii="宋体" w:cs="宋体"/>
          <w:u w:val="single"/>
        </w:rPr>
      </w:pPr>
      <w:r>
        <w:rPr>
          <w:rFonts w:ascii="宋体" w:hAnsi="宋体" w:cs="宋体"/>
        </w:rPr>
        <w:t xml:space="preserve">    2</w:t>
      </w:r>
      <w:r>
        <w:rPr>
          <w:rFonts w:hint="eastAsia" w:ascii="宋体" w:hAnsi="宋体" w:cs="宋体"/>
        </w:rPr>
        <w:t>、乙方负责甲方有关人员的培训。培训时间、地点</w:t>
      </w:r>
      <w:r>
        <w:rPr>
          <w:rFonts w:hint="eastAsia" w:ascii="宋体" w:hAnsi="宋体" w:cs="宋体"/>
          <w:u w:val="single"/>
        </w:rPr>
        <w:t>：由甲方根据情况合理安排</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w:t>
      </w:r>
      <w:r>
        <w:rPr>
          <w:rFonts w:hint="eastAsia" w:ascii="宋体" w:hAnsi="宋体" w:cs="宋体"/>
        </w:rPr>
        <w:t>第七条</w:t>
      </w:r>
      <w:r>
        <w:rPr>
          <w:rFonts w:ascii="宋体" w:hAnsi="宋体" w:cs="宋体"/>
        </w:rPr>
        <w:t xml:space="preserve">  </w:t>
      </w:r>
      <w:r>
        <w:rPr>
          <w:rFonts w:hint="eastAsia" w:ascii="宋体" w:hAnsi="宋体" w:cs="宋体"/>
        </w:rPr>
        <w:t>售后服务、保修期</w:t>
      </w:r>
    </w:p>
    <w:p>
      <w:pPr>
        <w:spacing w:line="440" w:lineRule="exact"/>
        <w:rPr>
          <w:rFonts w:ascii="宋体" w:cs="宋体"/>
        </w:rPr>
      </w:pPr>
      <w:r>
        <w:rPr>
          <w:rFonts w:ascii="宋体" w:hAnsi="宋体" w:cs="宋体"/>
        </w:rPr>
        <w:t xml:space="preserve">    1</w:t>
      </w:r>
      <w:r>
        <w:rPr>
          <w:rFonts w:hint="eastAsia" w:ascii="宋体" w:hAnsi="宋体" w:cs="宋体"/>
        </w:rPr>
        <w:t>、乙方应按照国家有关法律法规和“三包”规定以及磋商文件、响应文件和本合同所附的《服务承诺》，为甲方提供售后服务。</w:t>
      </w:r>
    </w:p>
    <w:p>
      <w:pPr>
        <w:spacing w:line="440" w:lineRule="exact"/>
        <w:rPr>
          <w:rFonts w:ascii="宋体" w:cs="宋体"/>
        </w:rPr>
      </w:pPr>
      <w:r>
        <w:rPr>
          <w:rFonts w:ascii="宋体" w:hAnsi="宋体" w:cs="宋体"/>
        </w:rPr>
        <w:t xml:space="preserve">    2</w:t>
      </w:r>
      <w:r>
        <w:rPr>
          <w:rFonts w:hint="eastAsia" w:ascii="宋体" w:hAnsi="宋体" w:cs="宋体"/>
        </w:rPr>
        <w:t>、货物保修期：</w:t>
      </w:r>
      <w:r>
        <w:rPr>
          <w:rFonts w:hint="eastAsia" w:ascii="宋体" w:hAnsi="宋体" w:cs="宋体"/>
          <w:u w:val="single"/>
        </w:rPr>
        <w:t>按响应文件的承诺</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3</w:t>
      </w:r>
      <w:r>
        <w:rPr>
          <w:rFonts w:hint="eastAsia" w:ascii="宋体" w:hAnsi="宋体" w:cs="宋体"/>
        </w:rPr>
        <w:t>、乙方提供的服务承诺和售后服务及保修期责任等其它具体约定事项。（见合同附件）</w:t>
      </w:r>
    </w:p>
    <w:p>
      <w:pPr>
        <w:spacing w:line="440" w:lineRule="exact"/>
        <w:rPr>
          <w:rFonts w:ascii="宋体" w:cs="宋体"/>
        </w:rPr>
      </w:pPr>
      <w:r>
        <w:rPr>
          <w:rFonts w:ascii="宋体" w:hAnsi="宋体" w:cs="宋体"/>
        </w:rPr>
        <w:t xml:space="preserve">    </w:t>
      </w:r>
      <w:r>
        <w:rPr>
          <w:rFonts w:hint="eastAsia" w:ascii="宋体" w:hAnsi="宋体" w:cs="宋体"/>
        </w:rPr>
        <w:t>第八条　付款方式和保证金</w:t>
      </w:r>
    </w:p>
    <w:p>
      <w:pPr>
        <w:spacing w:line="440" w:lineRule="exact"/>
        <w:rPr>
          <w:rFonts w:ascii="宋体" w:cs="宋体"/>
        </w:rPr>
      </w:pPr>
      <w:r>
        <w:rPr>
          <w:rFonts w:ascii="宋体" w:hAnsi="宋体" w:cs="宋体"/>
        </w:rPr>
        <w:t xml:space="preserve">    1</w:t>
      </w:r>
      <w:r>
        <w:rPr>
          <w:rFonts w:hint="eastAsia" w:ascii="宋体" w:hAnsi="宋体" w:cs="宋体"/>
        </w:rPr>
        <w:t>、当采购数量与实际使用数量不一致时，乙方应根据实际使用量供货，合同的最终结算金额按实际使用量乘以成交单价进行计算。</w:t>
      </w:r>
    </w:p>
    <w:p>
      <w:pPr>
        <w:spacing w:line="440" w:lineRule="exact"/>
        <w:rPr>
          <w:rFonts w:ascii="宋体" w:cs="宋体"/>
        </w:rPr>
      </w:pPr>
      <w:r>
        <w:rPr>
          <w:rFonts w:ascii="宋体" w:hAnsi="宋体" w:cs="宋体"/>
        </w:rPr>
        <w:t xml:space="preserve">    2</w:t>
      </w:r>
      <w:r>
        <w:rPr>
          <w:rFonts w:hint="eastAsia" w:ascii="宋体" w:hAnsi="宋体" w:cs="宋体"/>
        </w:rPr>
        <w:t>、资金性质：</w:t>
      </w:r>
      <w:r>
        <w:rPr>
          <w:rFonts w:ascii="宋体" w:hAnsi="宋体" w:cs="宋体"/>
          <w:u w:val="single"/>
        </w:rPr>
        <w:t xml:space="preserve">  </w:t>
      </w:r>
      <w:r>
        <w:rPr>
          <w:rFonts w:hint="eastAsia" w:ascii="宋体" w:hAnsi="宋体" w:cs="宋体"/>
          <w:u w:val="single"/>
        </w:rPr>
        <w:t>其他资金</w:t>
      </w:r>
      <w:r>
        <w:rPr>
          <w:rFonts w:ascii="宋体" w:hAnsi="宋体" w:cs="宋体"/>
          <w:u w:val="single"/>
        </w:rPr>
        <w:t xml:space="preserve">   </w:t>
      </w:r>
      <w:r>
        <w:rPr>
          <w:rFonts w:ascii="宋体" w:hAnsi="宋体" w:cs="宋体"/>
        </w:rPr>
        <w:t xml:space="preserve"> </w:t>
      </w:r>
      <w:r>
        <w:rPr>
          <w:rFonts w:hint="eastAsia" w:ascii="宋体" w:hAnsi="宋体" w:cs="宋体"/>
        </w:rPr>
        <w:t>。</w:t>
      </w:r>
    </w:p>
    <w:p>
      <w:pPr>
        <w:spacing w:line="440" w:lineRule="exact"/>
        <w:rPr>
          <w:rFonts w:ascii="宋体" w:cs="宋体"/>
        </w:rPr>
      </w:pPr>
      <w:r>
        <w:rPr>
          <w:rFonts w:ascii="宋体" w:hAnsi="宋体" w:cs="宋体"/>
        </w:rPr>
        <w:t xml:space="preserve">    3</w:t>
      </w:r>
      <w:r>
        <w:rPr>
          <w:rFonts w:hint="eastAsia" w:ascii="宋体" w:hAnsi="宋体" w:cs="宋体"/>
        </w:rPr>
        <w:t>、付款方式：</w:t>
      </w:r>
      <w:r>
        <w:rPr>
          <w:rFonts w:ascii="宋体" w:hAnsi="宋体" w:cs="宋体"/>
          <w:u w:val="single"/>
        </w:rPr>
        <w:t xml:space="preserve"> </w:t>
      </w:r>
      <w:r>
        <w:rPr>
          <w:rFonts w:hint="eastAsia" w:ascii="宋体" w:hAnsi="宋体" w:cs="宋体"/>
          <w:u w:val="single"/>
        </w:rPr>
        <w:t>双方协商并在合同中明确。</w:t>
      </w:r>
    </w:p>
    <w:p>
      <w:pPr>
        <w:spacing w:line="440" w:lineRule="exact"/>
        <w:rPr>
          <w:rFonts w:ascii="宋体" w:cs="宋体"/>
        </w:rPr>
      </w:pPr>
      <w:r>
        <w:rPr>
          <w:rFonts w:ascii="宋体" w:hAnsi="宋体" w:cs="宋体"/>
        </w:rPr>
        <w:t xml:space="preserve">    </w:t>
      </w:r>
      <w:r>
        <w:rPr>
          <w:rFonts w:hint="eastAsia" w:ascii="宋体" w:hAnsi="宋体" w:cs="宋体"/>
        </w:rPr>
        <w:t>第九条　履约保证金</w:t>
      </w:r>
    </w:p>
    <w:p>
      <w:pPr>
        <w:spacing w:line="440" w:lineRule="exact"/>
        <w:rPr>
          <w:rFonts w:ascii="宋体" w:cs="宋体"/>
        </w:rPr>
      </w:pPr>
      <w:r>
        <w:rPr>
          <w:rFonts w:ascii="宋体" w:hAnsi="宋体" w:cs="宋体"/>
        </w:rPr>
        <w:t xml:space="preserve">    </w:t>
      </w:r>
      <w:r>
        <w:rPr>
          <w:rFonts w:hint="eastAsia" w:ascii="宋体" w:hAnsi="宋体" w:cs="宋体"/>
        </w:rPr>
        <w:t>无。</w:t>
      </w:r>
    </w:p>
    <w:p>
      <w:pPr>
        <w:spacing w:line="440" w:lineRule="exact"/>
        <w:rPr>
          <w:rFonts w:ascii="宋体" w:cs="宋体"/>
        </w:rPr>
      </w:pPr>
      <w:r>
        <w:rPr>
          <w:rFonts w:ascii="宋体" w:hAnsi="宋体" w:cs="宋体"/>
        </w:rPr>
        <w:t xml:space="preserve">    </w:t>
      </w:r>
      <w:r>
        <w:rPr>
          <w:rFonts w:hint="eastAsia" w:ascii="宋体" w:hAnsi="宋体" w:cs="宋体"/>
        </w:rPr>
        <w:t>第十条</w:t>
      </w:r>
      <w:r>
        <w:rPr>
          <w:rFonts w:ascii="宋体" w:hAnsi="宋体" w:cs="宋体"/>
        </w:rPr>
        <w:t xml:space="preserve">  </w:t>
      </w:r>
      <w:r>
        <w:rPr>
          <w:rFonts w:hint="eastAsia" w:ascii="宋体" w:hAnsi="宋体" w:cs="宋体"/>
        </w:rPr>
        <w:t>税费</w:t>
      </w:r>
    </w:p>
    <w:p>
      <w:pPr>
        <w:spacing w:line="440" w:lineRule="exact"/>
        <w:rPr>
          <w:rFonts w:ascii="宋体" w:cs="宋体"/>
        </w:rPr>
      </w:pPr>
      <w:r>
        <w:rPr>
          <w:rFonts w:ascii="宋体" w:hAnsi="宋体" w:cs="宋体"/>
        </w:rPr>
        <w:t xml:space="preserve">    </w:t>
      </w:r>
      <w:r>
        <w:rPr>
          <w:rFonts w:hint="eastAsia" w:ascii="宋体" w:hAnsi="宋体" w:cs="宋体"/>
        </w:rPr>
        <w:t>本合同执行中相关的一切税费均由乙方负担。</w:t>
      </w:r>
    </w:p>
    <w:p>
      <w:pPr>
        <w:spacing w:line="440" w:lineRule="exact"/>
        <w:rPr>
          <w:rFonts w:ascii="宋体" w:cs="宋体"/>
        </w:rPr>
      </w:pPr>
      <w:r>
        <w:rPr>
          <w:rFonts w:ascii="宋体" w:hAnsi="宋体" w:cs="宋体"/>
        </w:rPr>
        <w:t xml:space="preserve">    </w:t>
      </w:r>
      <w:r>
        <w:rPr>
          <w:rFonts w:hint="eastAsia" w:ascii="宋体" w:hAnsi="宋体" w:cs="宋体"/>
        </w:rPr>
        <w:t>第十一条</w:t>
      </w:r>
      <w:r>
        <w:rPr>
          <w:rFonts w:ascii="宋体" w:hAnsi="宋体" w:cs="宋体"/>
        </w:rPr>
        <w:t xml:space="preserve">  </w:t>
      </w:r>
      <w:r>
        <w:rPr>
          <w:rFonts w:hint="eastAsia" w:ascii="宋体" w:hAnsi="宋体" w:cs="宋体"/>
        </w:rPr>
        <w:t>质量保证及售后服务</w:t>
      </w:r>
    </w:p>
    <w:p>
      <w:pPr>
        <w:spacing w:line="440" w:lineRule="exact"/>
        <w:rPr>
          <w:rFonts w:ascii="宋体" w:cs="宋体"/>
        </w:rPr>
      </w:pPr>
      <w:r>
        <w:rPr>
          <w:rFonts w:ascii="宋体" w:hAnsi="宋体" w:cs="宋体"/>
        </w:rPr>
        <w:t xml:space="preserve">    1</w:t>
      </w:r>
      <w:r>
        <w:rPr>
          <w:rFonts w:hint="eastAsia" w:ascii="宋体" w:hAnsi="宋体" w:cs="宋体"/>
        </w:rPr>
        <w:t>、乙方应按磋商文件规定及响应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spacing w:line="440" w:lineRule="exact"/>
        <w:rPr>
          <w:rFonts w:ascii="宋体" w:cs="宋体"/>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）更换：由乙方承担所发生的全部费用。</w:t>
      </w:r>
    </w:p>
    <w:p>
      <w:pPr>
        <w:spacing w:line="440" w:lineRule="exact"/>
        <w:rPr>
          <w:rFonts w:ascii="宋体" w:cs="宋体"/>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）贬值处理：由甲乙双方合议定价。</w:t>
      </w:r>
    </w:p>
    <w:p>
      <w:pPr>
        <w:spacing w:line="440" w:lineRule="exact"/>
        <w:rPr>
          <w:rFonts w:ascii="宋体" w:cs="宋体"/>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）退货处理：乙方应退还甲方支付的合同款，同时应承担该货物的直接费用（运输、保险、检验、货款利息及银行手续费等）。</w:t>
      </w:r>
    </w:p>
    <w:p>
      <w:pPr>
        <w:spacing w:line="440" w:lineRule="exact"/>
        <w:rPr>
          <w:rFonts w:ascii="宋体" w:cs="宋体"/>
        </w:rPr>
      </w:pPr>
      <w:r>
        <w:rPr>
          <w:rFonts w:ascii="宋体" w:hAnsi="宋体" w:cs="宋体"/>
        </w:rPr>
        <w:t xml:space="preserve">    2</w:t>
      </w:r>
      <w:r>
        <w:rPr>
          <w:rFonts w:hint="eastAsia" w:ascii="宋体" w:hAnsi="宋体" w:cs="宋体"/>
        </w:rPr>
        <w:t>、如在使用过程中发生质量问题，乙方在接到甲方通知后在</w:t>
      </w:r>
      <w:r>
        <w:rPr>
          <w:rFonts w:ascii="宋体" w:hAnsi="宋体" w:cs="宋体"/>
          <w:u w:val="single"/>
        </w:rPr>
        <w:t xml:space="preserve">    </w:t>
      </w:r>
      <w:r>
        <w:rPr>
          <w:rFonts w:hint="eastAsia" w:ascii="宋体" w:hAnsi="宋体" w:cs="宋体"/>
        </w:rPr>
        <w:t>小时内到达甲方现场。</w:t>
      </w:r>
    </w:p>
    <w:p>
      <w:pPr>
        <w:spacing w:line="440" w:lineRule="exact"/>
        <w:rPr>
          <w:rFonts w:ascii="宋体" w:cs="宋体"/>
        </w:rPr>
      </w:pPr>
      <w:r>
        <w:rPr>
          <w:rFonts w:ascii="宋体" w:hAnsi="宋体" w:cs="宋体"/>
        </w:rPr>
        <w:t xml:space="preserve">    3</w:t>
      </w:r>
      <w:r>
        <w:rPr>
          <w:rFonts w:hint="eastAsia" w:ascii="宋体" w:hAnsi="宋体" w:cs="宋体"/>
        </w:rPr>
        <w:t>、在质保期内，乙方应对货物出现的质量及安全问题负责处理解决并承担一切费用。</w:t>
      </w:r>
    </w:p>
    <w:p>
      <w:pPr>
        <w:spacing w:line="440" w:lineRule="exact"/>
        <w:rPr>
          <w:rFonts w:ascii="宋体" w:cs="宋体"/>
        </w:rPr>
      </w:pPr>
      <w:r>
        <w:rPr>
          <w:rFonts w:ascii="宋体" w:hAnsi="宋体" w:cs="宋体"/>
        </w:rPr>
        <w:t xml:space="preserve">    4</w:t>
      </w:r>
      <w:r>
        <w:rPr>
          <w:rFonts w:hint="eastAsia" w:ascii="宋体" w:hAnsi="宋体" w:cs="宋体"/>
        </w:rPr>
        <w:t>、产品质量保证期应当包括但不限于：质保期不少于</w:t>
      </w:r>
      <w:r>
        <w:rPr>
          <w:rFonts w:ascii="宋体" w:hAnsi="宋体" w:cs="宋体"/>
        </w:rPr>
        <w:t>1</w:t>
      </w:r>
      <w:r>
        <w:rPr>
          <w:rFonts w:hint="eastAsia" w:ascii="宋体" w:hAnsi="宋体" w:cs="宋体"/>
        </w:rPr>
        <w:t>年，质保期内，成交供应商负责对其提供的设备进行上门维修，不收取额外费用，所涉及的小件部分质保期内免费更换。</w:t>
      </w:r>
    </w:p>
    <w:p>
      <w:pPr>
        <w:spacing w:line="440" w:lineRule="exact"/>
        <w:rPr>
          <w:rFonts w:ascii="宋体" w:cs="宋体"/>
        </w:rPr>
      </w:pPr>
      <w:r>
        <w:rPr>
          <w:rFonts w:ascii="宋体" w:hAnsi="宋体" w:cs="宋体"/>
        </w:rPr>
        <w:t xml:space="preserve">    </w:t>
      </w:r>
      <w:r>
        <w:rPr>
          <w:rFonts w:hint="eastAsia" w:ascii="宋体" w:hAnsi="宋体" w:cs="宋体"/>
        </w:rPr>
        <w:t>第十二条</w:t>
      </w:r>
      <w:r>
        <w:rPr>
          <w:rFonts w:ascii="宋体" w:hAnsi="宋体" w:cs="宋体"/>
        </w:rPr>
        <w:t xml:space="preserve">  </w:t>
      </w:r>
      <w:r>
        <w:rPr>
          <w:rFonts w:hint="eastAsia" w:ascii="宋体" w:hAnsi="宋体" w:cs="宋体"/>
        </w:rPr>
        <w:t>调试和验收</w:t>
      </w:r>
    </w:p>
    <w:p>
      <w:pPr>
        <w:spacing w:line="440" w:lineRule="exact"/>
        <w:rPr>
          <w:rFonts w:ascii="宋体" w:cs="宋体"/>
        </w:rPr>
      </w:pPr>
      <w:r>
        <w:rPr>
          <w:rFonts w:ascii="宋体" w:hAnsi="宋体" w:cs="宋体"/>
        </w:rPr>
        <w:t xml:space="preserve">    1</w:t>
      </w:r>
      <w:r>
        <w:rPr>
          <w:rFonts w:hint="eastAsia" w:ascii="宋体" w:hAnsi="宋体" w:cs="宋体"/>
        </w:rPr>
        <w:t>、甲方对乙方提交的货物依据磋商文件上的技术规格要求和国家有关质量标准进行现场初步验收，外观、说明书符合磋商文件技术要求的，给予签收，初步验收不合格的不予签收。货到后，甲方应当在到货（安装、调试完）后七个工作日内进行验收。</w:t>
      </w:r>
    </w:p>
    <w:p>
      <w:pPr>
        <w:spacing w:line="440" w:lineRule="exact"/>
        <w:rPr>
          <w:rFonts w:ascii="宋体" w:cs="宋体"/>
        </w:rPr>
      </w:pPr>
      <w:r>
        <w:rPr>
          <w:rFonts w:ascii="宋体" w:hAnsi="宋体" w:cs="宋体"/>
        </w:rPr>
        <w:t xml:space="preserve">    2</w:t>
      </w:r>
      <w:r>
        <w:rPr>
          <w:rFonts w:hint="eastAsia" w:ascii="宋体" w:hAnsi="宋体" w:cs="宋体"/>
        </w:rPr>
        <w:t>、乙方交货前应对产品作出全面检查和对验收文件进行整理，并列出清单，作为甲方收货验收和使用的技术条件依据，检验的结果应随货物交甲方。</w:t>
      </w:r>
    </w:p>
    <w:p>
      <w:pPr>
        <w:spacing w:line="440" w:lineRule="exact"/>
        <w:rPr>
          <w:rFonts w:ascii="宋体" w:cs="宋体"/>
        </w:rPr>
      </w:pPr>
      <w:r>
        <w:rPr>
          <w:rFonts w:ascii="宋体" w:hAnsi="宋体" w:cs="宋体"/>
        </w:rPr>
        <w:t xml:space="preserve">    3</w:t>
      </w:r>
      <w:r>
        <w:rPr>
          <w:rFonts w:hint="eastAsia" w:ascii="宋体" w:hAnsi="宋体" w:cs="宋体"/>
        </w:rPr>
        <w:t>、甲方对乙方提供的货物在使用前进行调试时，乙方需负责安装并培训甲方的使用操作人员，并协助甲方一起调试，直到符合技术要求，甲方才做最终验收。</w:t>
      </w:r>
    </w:p>
    <w:p>
      <w:pPr>
        <w:spacing w:line="440" w:lineRule="exact"/>
        <w:rPr>
          <w:rFonts w:ascii="宋体" w:cs="宋体"/>
        </w:rPr>
      </w:pPr>
      <w:r>
        <w:rPr>
          <w:rFonts w:ascii="宋体" w:hAnsi="宋体" w:cs="宋体"/>
        </w:rPr>
        <w:t xml:space="preserve">    4</w:t>
      </w:r>
      <w:r>
        <w:rPr>
          <w:rFonts w:hint="eastAsia" w:ascii="宋体" w:hAnsi="宋体" w:cs="宋体"/>
        </w:rPr>
        <w:t>、对技术复杂的货物，甲方应请国家认可的专业检测机构参与初步验收及最终验收，并由其出具质量检测报告。</w:t>
      </w:r>
    </w:p>
    <w:p>
      <w:pPr>
        <w:spacing w:line="440" w:lineRule="exact"/>
        <w:rPr>
          <w:rFonts w:ascii="宋体" w:cs="宋体"/>
        </w:rPr>
      </w:pPr>
      <w:r>
        <w:rPr>
          <w:rFonts w:ascii="宋体" w:hAnsi="宋体" w:cs="宋体"/>
        </w:rPr>
        <w:t xml:space="preserve">    5</w:t>
      </w:r>
      <w:r>
        <w:rPr>
          <w:rFonts w:hint="eastAsia" w:ascii="宋体" w:hAnsi="宋体" w:cs="宋体"/>
        </w:rPr>
        <w:t>、验收时乙方必须在现场，验收完毕后作出验收结果报告；验收费用由乙方负责。</w:t>
      </w:r>
    </w:p>
    <w:p>
      <w:pPr>
        <w:spacing w:line="440" w:lineRule="exact"/>
        <w:rPr>
          <w:rFonts w:ascii="宋体" w:cs="宋体"/>
        </w:rPr>
      </w:pPr>
      <w:r>
        <w:rPr>
          <w:rFonts w:ascii="宋体" w:hAnsi="宋体" w:cs="宋体"/>
        </w:rPr>
        <w:t xml:space="preserve">    </w:t>
      </w:r>
      <w:r>
        <w:rPr>
          <w:rFonts w:hint="eastAsia" w:ascii="宋体" w:hAnsi="宋体" w:cs="宋体"/>
        </w:rPr>
        <w:t>第十三条</w:t>
      </w:r>
      <w:r>
        <w:rPr>
          <w:rFonts w:ascii="宋体" w:hAnsi="宋体" w:cs="宋体"/>
        </w:rPr>
        <w:t xml:space="preserve">  </w:t>
      </w:r>
      <w:r>
        <w:rPr>
          <w:rFonts w:hint="eastAsia" w:ascii="宋体" w:hAnsi="宋体" w:cs="宋体"/>
        </w:rPr>
        <w:t>货物包装、发运及运输</w:t>
      </w:r>
    </w:p>
    <w:p>
      <w:pPr>
        <w:spacing w:line="440" w:lineRule="exact"/>
        <w:rPr>
          <w:rFonts w:ascii="宋体" w:cs="宋体"/>
        </w:rPr>
      </w:pPr>
      <w:r>
        <w:rPr>
          <w:rFonts w:ascii="宋体" w:hAnsi="宋体" w:cs="宋体"/>
        </w:rPr>
        <w:t xml:space="preserve">    1</w:t>
      </w:r>
      <w:r>
        <w:rPr>
          <w:rFonts w:hint="eastAsia" w:ascii="宋体" w:hAnsi="宋体" w:cs="宋体"/>
        </w:rPr>
        <w:t>、乙方应在货物发运前对其进行满足运输距离、防潮、防震、防锈和防破损装卸等要求包装，以保证货物安全运达甲方指定地点。</w:t>
      </w:r>
    </w:p>
    <w:p>
      <w:pPr>
        <w:spacing w:line="440" w:lineRule="exact"/>
        <w:rPr>
          <w:rFonts w:ascii="宋体" w:cs="宋体"/>
        </w:rPr>
      </w:pPr>
      <w:r>
        <w:rPr>
          <w:rFonts w:ascii="宋体" w:hAnsi="宋体" w:cs="宋体"/>
        </w:rPr>
        <w:t xml:space="preserve">    2</w:t>
      </w:r>
      <w:r>
        <w:rPr>
          <w:rFonts w:hint="eastAsia" w:ascii="宋体" w:hAnsi="宋体" w:cs="宋体"/>
        </w:rPr>
        <w:t>、成交供应商应提供设备的随机附件、技术资料，可包括相应的安装配件、图纸、操作手册、维护手册、质量保证文件、服务指南、清单等一并附于货物内。</w:t>
      </w:r>
    </w:p>
    <w:p>
      <w:pPr>
        <w:spacing w:line="440" w:lineRule="exact"/>
        <w:rPr>
          <w:rFonts w:ascii="宋体" w:cs="宋体"/>
        </w:rPr>
      </w:pPr>
      <w:r>
        <w:rPr>
          <w:rFonts w:ascii="宋体" w:hAnsi="宋体" w:cs="宋体"/>
        </w:rPr>
        <w:t xml:space="preserve">    3</w:t>
      </w:r>
      <w:r>
        <w:rPr>
          <w:rFonts w:hint="eastAsia" w:ascii="宋体" w:hAnsi="宋体" w:cs="宋体"/>
        </w:rPr>
        <w:t>、乙方在货物发运手续办理完毕后二十四小时内或货到甲方四十八小时前通知甲方，以准备接货。</w:t>
      </w:r>
    </w:p>
    <w:p>
      <w:pPr>
        <w:spacing w:line="440" w:lineRule="exact"/>
        <w:rPr>
          <w:rFonts w:ascii="宋体" w:cs="宋体"/>
        </w:rPr>
      </w:pPr>
      <w:r>
        <w:rPr>
          <w:rFonts w:ascii="宋体" w:hAnsi="宋体" w:cs="宋体"/>
        </w:rPr>
        <w:t xml:space="preserve">    4</w:t>
      </w:r>
      <w:r>
        <w:rPr>
          <w:rFonts w:hint="eastAsia" w:ascii="宋体" w:hAnsi="宋体" w:cs="宋体"/>
        </w:rPr>
        <w:t>、货物在交付甲方前发生的风险均由乙方负责。</w:t>
      </w:r>
    </w:p>
    <w:p>
      <w:pPr>
        <w:spacing w:line="440" w:lineRule="exact"/>
        <w:rPr>
          <w:rFonts w:ascii="宋体" w:cs="宋体"/>
        </w:rPr>
      </w:pPr>
      <w:r>
        <w:rPr>
          <w:rFonts w:ascii="宋体" w:hAnsi="宋体" w:cs="宋体"/>
        </w:rPr>
        <w:t xml:space="preserve">    5</w:t>
      </w:r>
      <w:r>
        <w:rPr>
          <w:rFonts w:hint="eastAsia" w:ascii="宋体" w:hAnsi="宋体" w:cs="宋体"/>
        </w:rPr>
        <w:t>、货物在规定的交付期限内由乙方送达甲方指定的地点视为交付，乙方同时需通知甲方货物已送达。</w:t>
      </w:r>
    </w:p>
    <w:p>
      <w:pPr>
        <w:spacing w:line="440" w:lineRule="exact"/>
        <w:rPr>
          <w:rFonts w:ascii="宋体" w:cs="宋体"/>
        </w:rPr>
      </w:pPr>
      <w:r>
        <w:rPr>
          <w:rFonts w:ascii="宋体" w:hAnsi="宋体" w:cs="宋体"/>
        </w:rPr>
        <w:t xml:space="preserve">    </w:t>
      </w:r>
      <w:r>
        <w:rPr>
          <w:rFonts w:hint="eastAsia" w:ascii="宋体" w:hAnsi="宋体" w:cs="宋体"/>
        </w:rPr>
        <w:t>第十四条　</w:t>
      </w:r>
      <w:r>
        <w:rPr>
          <w:rFonts w:ascii="宋体" w:hAnsi="宋体" w:cs="宋体"/>
        </w:rPr>
        <w:t xml:space="preserve"> </w:t>
      </w:r>
      <w:r>
        <w:rPr>
          <w:rFonts w:hint="eastAsia" w:ascii="宋体" w:hAnsi="宋体" w:cs="宋体"/>
        </w:rPr>
        <w:t>违约责任</w:t>
      </w:r>
    </w:p>
    <w:p>
      <w:pPr>
        <w:spacing w:line="440" w:lineRule="exact"/>
        <w:rPr>
          <w:rFonts w:ascii="宋体" w:cs="宋体"/>
        </w:rPr>
      </w:pPr>
      <w:r>
        <w:rPr>
          <w:rFonts w:ascii="宋体" w:hAnsi="宋体" w:cs="宋体"/>
        </w:rPr>
        <w:t xml:space="preserve">    1</w:t>
      </w:r>
      <w:r>
        <w:rPr>
          <w:rFonts w:hint="eastAsia" w:ascii="宋体" w:hAnsi="宋体" w:cs="宋体"/>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rPr>
        <w:t xml:space="preserve"> 5%</w:t>
      </w:r>
      <w:r>
        <w:rPr>
          <w:rFonts w:hint="eastAsia" w:ascii="宋体" w:hAnsi="宋体" w:cs="宋体"/>
        </w:rPr>
        <w:t>违约金并赔偿甲方经济损失。</w:t>
      </w:r>
    </w:p>
    <w:p>
      <w:pPr>
        <w:spacing w:line="440" w:lineRule="exact"/>
        <w:rPr>
          <w:rFonts w:ascii="宋体" w:cs="宋体"/>
        </w:rPr>
      </w:pPr>
      <w:r>
        <w:rPr>
          <w:rFonts w:ascii="宋体" w:hAnsi="宋体" w:cs="宋体"/>
        </w:rPr>
        <w:t xml:space="preserve">    2</w:t>
      </w:r>
      <w:r>
        <w:rPr>
          <w:rFonts w:hint="eastAsia" w:ascii="宋体" w:hAnsi="宋体" w:cs="宋体"/>
        </w:rPr>
        <w:t>、乙方提供的货物如侵犯了第三方合法权益而引发的任何纠纷或诉讼，均由乙方负责交涉并承担全部责任。</w:t>
      </w:r>
    </w:p>
    <w:p>
      <w:pPr>
        <w:spacing w:line="440" w:lineRule="exact"/>
        <w:rPr>
          <w:rFonts w:ascii="宋体" w:cs="宋体"/>
        </w:rPr>
      </w:pPr>
      <w:r>
        <w:rPr>
          <w:rFonts w:ascii="宋体" w:hAnsi="宋体" w:cs="宋体"/>
        </w:rPr>
        <w:t xml:space="preserve">    3</w:t>
      </w:r>
      <w:r>
        <w:rPr>
          <w:rFonts w:hint="eastAsia" w:ascii="宋体" w:hAnsi="宋体" w:cs="宋体"/>
        </w:rPr>
        <w:t>、因包装、运输引起的货物损坏，按质量不合格处罚。</w:t>
      </w:r>
    </w:p>
    <w:p>
      <w:pPr>
        <w:spacing w:line="440" w:lineRule="exact"/>
        <w:rPr>
          <w:rFonts w:ascii="宋体" w:cs="宋体"/>
        </w:rPr>
      </w:pPr>
      <w:r>
        <w:rPr>
          <w:rFonts w:ascii="宋体" w:hAnsi="宋体" w:cs="宋体"/>
        </w:rPr>
        <w:t xml:space="preserve">    4</w:t>
      </w:r>
      <w:r>
        <w:rPr>
          <w:rFonts w:hint="eastAsia" w:ascii="宋体" w:hAnsi="宋体" w:cs="宋体"/>
        </w:rPr>
        <w:t>、甲方无故延期接收货物、乙方逾期交货的，每天向对方偿付违约货款额</w:t>
      </w:r>
      <w:r>
        <w:rPr>
          <w:rFonts w:ascii="宋体" w:hAnsi="宋体" w:cs="宋体"/>
        </w:rPr>
        <w:t>3</w:t>
      </w:r>
      <w:r>
        <w:rPr>
          <w:rFonts w:hint="eastAsia" w:ascii="宋体" w:hAnsi="宋体" w:cs="宋体"/>
        </w:rPr>
        <w:t>‰违约金，但违约金累计不得超过违约货款额</w:t>
      </w:r>
      <w:r>
        <w:rPr>
          <w:rFonts w:ascii="宋体" w:hAnsi="宋体" w:cs="宋体"/>
        </w:rPr>
        <w:t>5%</w:t>
      </w:r>
      <w:r>
        <w:rPr>
          <w:rFonts w:hint="eastAsia" w:ascii="宋体" w:hAnsi="宋体" w:cs="宋体"/>
        </w:rPr>
        <w:t>，超过</w:t>
      </w:r>
      <w:r>
        <w:rPr>
          <w:rFonts w:ascii="宋体" w:hAnsi="宋体" w:cs="宋体"/>
          <w:u w:val="single"/>
        </w:rPr>
        <w:t xml:space="preserve">   </w:t>
      </w:r>
      <w:r>
        <w:rPr>
          <w:rFonts w:hint="eastAsia" w:ascii="宋体" w:hAnsi="宋体" w:cs="宋体"/>
        </w:rPr>
        <w:t>天对方有权解除合同，违约方承担因此给对方造成经济损失；甲方延期付货款的，每天向乙方偿付延期货款额</w:t>
      </w:r>
      <w:r>
        <w:rPr>
          <w:rFonts w:ascii="宋体" w:hAnsi="宋体" w:cs="宋体"/>
        </w:rPr>
        <w:t>3</w:t>
      </w:r>
      <w:r>
        <w:rPr>
          <w:rFonts w:hint="eastAsia" w:ascii="宋体" w:hAnsi="宋体" w:cs="宋体"/>
        </w:rPr>
        <w:t>‰</w:t>
      </w:r>
      <w:r>
        <w:rPr>
          <w:rFonts w:ascii="宋体" w:hAnsi="宋体" w:cs="宋体"/>
        </w:rPr>
        <w:t xml:space="preserve"> </w:t>
      </w:r>
      <w:r>
        <w:rPr>
          <w:rFonts w:hint="eastAsia" w:ascii="宋体" w:hAnsi="宋体" w:cs="宋体"/>
        </w:rPr>
        <w:t>滞纳金，但滞纳金累计不得超过延期货款额</w:t>
      </w:r>
      <w:r>
        <w:rPr>
          <w:rFonts w:ascii="宋体" w:hAnsi="宋体" w:cs="宋体"/>
        </w:rPr>
        <w:t>5%</w:t>
      </w:r>
      <w:r>
        <w:rPr>
          <w:rFonts w:hint="eastAsia" w:ascii="宋体" w:hAnsi="宋体" w:cs="宋体"/>
        </w:rPr>
        <w:t>。</w:t>
      </w:r>
    </w:p>
    <w:p>
      <w:pPr>
        <w:spacing w:line="440" w:lineRule="exact"/>
        <w:rPr>
          <w:rFonts w:ascii="宋体" w:cs="宋体"/>
        </w:rPr>
      </w:pPr>
      <w:r>
        <w:rPr>
          <w:rFonts w:ascii="宋体" w:hAnsi="宋体" w:cs="宋体"/>
        </w:rPr>
        <w:t xml:space="preserve">    5</w:t>
      </w:r>
      <w:r>
        <w:rPr>
          <w:rFonts w:hint="eastAsia" w:ascii="宋体" w:hAnsi="宋体" w:cs="宋体"/>
        </w:rPr>
        <w:t>、乙方未按本合同和响应文件中规定的服务承诺提供服务的，乙方应按本合同合计金额</w:t>
      </w:r>
      <w:r>
        <w:rPr>
          <w:rFonts w:ascii="宋体" w:hAnsi="宋体" w:cs="宋体"/>
        </w:rPr>
        <w:t xml:space="preserve"> 5%</w:t>
      </w:r>
      <w:r>
        <w:rPr>
          <w:rFonts w:hint="eastAsia" w:ascii="宋体" w:hAnsi="宋体" w:cs="宋体"/>
        </w:rPr>
        <w:t>向甲方支付违约金，甲方有权解除合同。</w:t>
      </w:r>
    </w:p>
    <w:p>
      <w:pPr>
        <w:spacing w:line="440" w:lineRule="exact"/>
        <w:rPr>
          <w:rFonts w:ascii="宋体" w:cs="宋体"/>
        </w:rPr>
      </w:pPr>
      <w:r>
        <w:rPr>
          <w:rFonts w:ascii="宋体" w:hAnsi="宋体" w:cs="宋体"/>
        </w:rPr>
        <w:t xml:space="preserve">    6</w:t>
      </w:r>
      <w:r>
        <w:rPr>
          <w:rFonts w:hint="eastAsia" w:ascii="宋体" w:hAnsi="宋体" w:cs="宋体"/>
        </w:rPr>
        <w:t>、乙方提供的货物在质量保证期内，因设计、工艺或材料的缺陷和其它质量原因造成的问题，由乙方负责，费用从履约保证金中扣除，不足另补。</w:t>
      </w:r>
    </w:p>
    <w:p>
      <w:pPr>
        <w:spacing w:line="440" w:lineRule="exact"/>
        <w:ind w:firstLine="420" w:firstLineChars="200"/>
        <w:rPr>
          <w:rFonts w:ascii="宋体" w:cs="宋体"/>
        </w:rPr>
      </w:pPr>
      <w:r>
        <w:rPr>
          <w:rFonts w:ascii="宋体" w:hAnsi="宋体" w:cs="宋体"/>
        </w:rPr>
        <w:t>7</w:t>
      </w:r>
      <w:r>
        <w:rPr>
          <w:rFonts w:hint="eastAsia" w:ascii="宋体" w:hAnsi="宋体" w:cs="宋体"/>
        </w:rPr>
        <w:t>、其它违约行为按违约货款额</w:t>
      </w:r>
      <w:r>
        <w:rPr>
          <w:rFonts w:ascii="宋体" w:hAnsi="宋体" w:cs="宋体"/>
        </w:rPr>
        <w:t>5%</w:t>
      </w:r>
      <w:r>
        <w:rPr>
          <w:rFonts w:hint="eastAsia" w:ascii="宋体" w:hAnsi="宋体" w:cs="宋体"/>
        </w:rPr>
        <w:t>收取违约金。</w:t>
      </w:r>
    </w:p>
    <w:p>
      <w:pPr>
        <w:spacing w:line="440" w:lineRule="exact"/>
        <w:ind w:firstLine="420" w:firstLineChars="200"/>
        <w:rPr>
          <w:rFonts w:ascii="宋体" w:cs="宋体"/>
        </w:rPr>
      </w:pPr>
      <w:r>
        <w:rPr>
          <w:rFonts w:ascii="宋体" w:hAnsi="宋体" w:cs="宋体"/>
        </w:rPr>
        <w:t>8</w:t>
      </w:r>
      <w:r>
        <w:rPr>
          <w:rFonts w:hint="eastAsia" w:ascii="宋体" w:hAnsi="宋体" w:cs="宋体"/>
        </w:rPr>
        <w:t>、乙方支付的违约金不足以弥补甲方损失的，还应承担赔偿责任。</w:t>
      </w:r>
    </w:p>
    <w:p>
      <w:pPr>
        <w:spacing w:line="440" w:lineRule="exact"/>
        <w:rPr>
          <w:rFonts w:ascii="宋体" w:cs="宋体"/>
        </w:rPr>
      </w:pPr>
      <w:r>
        <w:rPr>
          <w:rFonts w:ascii="宋体" w:hAnsi="宋体" w:cs="宋体"/>
        </w:rPr>
        <w:t xml:space="preserve">    </w:t>
      </w:r>
      <w:r>
        <w:rPr>
          <w:rFonts w:hint="eastAsia" w:ascii="宋体" w:hAnsi="宋体" w:cs="宋体"/>
        </w:rPr>
        <w:t>第十五条</w:t>
      </w:r>
      <w:r>
        <w:rPr>
          <w:rFonts w:ascii="宋体" w:hAnsi="宋体" w:cs="宋体"/>
        </w:rPr>
        <w:t xml:space="preserve">  </w:t>
      </w:r>
      <w:r>
        <w:rPr>
          <w:rFonts w:hint="eastAsia" w:ascii="宋体" w:hAnsi="宋体" w:cs="宋体"/>
        </w:rPr>
        <w:t>不可抗力事件处理</w:t>
      </w:r>
    </w:p>
    <w:p>
      <w:pPr>
        <w:spacing w:line="440" w:lineRule="exact"/>
        <w:rPr>
          <w:rFonts w:ascii="宋体" w:cs="宋体"/>
        </w:rPr>
      </w:pPr>
      <w:r>
        <w:rPr>
          <w:rFonts w:ascii="宋体" w:hAnsi="宋体" w:cs="宋体"/>
        </w:rPr>
        <w:t xml:space="preserve">    1</w:t>
      </w:r>
      <w:r>
        <w:rPr>
          <w:rFonts w:hint="eastAsia" w:ascii="宋体" w:hAnsi="宋体" w:cs="宋体"/>
        </w:rPr>
        <w:t>、在合同有效期内，任何一方因不可抗力事件导致不能履行合同，则合同履行期可延长，其延长期与不可抗力影响期相同。</w:t>
      </w:r>
    </w:p>
    <w:p>
      <w:pPr>
        <w:spacing w:line="440" w:lineRule="exact"/>
        <w:rPr>
          <w:rFonts w:ascii="宋体" w:cs="宋体"/>
        </w:rPr>
      </w:pPr>
      <w:r>
        <w:rPr>
          <w:rFonts w:ascii="宋体" w:hAnsi="宋体" w:cs="宋体"/>
        </w:rPr>
        <w:t xml:space="preserve">    2</w:t>
      </w:r>
      <w:r>
        <w:rPr>
          <w:rFonts w:hint="eastAsia" w:ascii="宋体" w:hAnsi="宋体" w:cs="宋体"/>
        </w:rPr>
        <w:t>、不可抗力事件发生后，应立即通知对方，并寄送有关权威机构出具的证明。</w:t>
      </w:r>
    </w:p>
    <w:p>
      <w:pPr>
        <w:spacing w:line="440" w:lineRule="exact"/>
        <w:rPr>
          <w:rFonts w:ascii="宋体" w:cs="宋体"/>
        </w:rPr>
      </w:pPr>
      <w:r>
        <w:rPr>
          <w:rFonts w:ascii="宋体" w:hAnsi="宋体" w:cs="宋体"/>
        </w:rPr>
        <w:t xml:space="preserve">    3</w:t>
      </w:r>
      <w:r>
        <w:rPr>
          <w:rFonts w:hint="eastAsia" w:ascii="宋体" w:hAnsi="宋体" w:cs="宋体"/>
        </w:rPr>
        <w:t>、不可抗力事件延续一百二十天以上，双方应通过友好协商，确定是否继续履行合同。</w:t>
      </w:r>
    </w:p>
    <w:p>
      <w:pPr>
        <w:spacing w:line="440" w:lineRule="exact"/>
        <w:rPr>
          <w:rFonts w:ascii="宋体" w:cs="宋体"/>
        </w:rPr>
      </w:pPr>
      <w:r>
        <w:rPr>
          <w:rFonts w:ascii="宋体" w:hAnsi="宋体" w:cs="宋体"/>
        </w:rPr>
        <w:t xml:space="preserve">    </w:t>
      </w:r>
      <w:r>
        <w:rPr>
          <w:rFonts w:hint="eastAsia" w:ascii="宋体" w:hAnsi="宋体" w:cs="宋体"/>
        </w:rPr>
        <w:t>第十六条</w:t>
      </w:r>
      <w:r>
        <w:rPr>
          <w:rFonts w:ascii="宋体" w:hAnsi="宋体" w:cs="宋体"/>
        </w:rPr>
        <w:t xml:space="preserve">  </w:t>
      </w:r>
      <w:r>
        <w:rPr>
          <w:rFonts w:hint="eastAsia" w:ascii="宋体" w:hAnsi="宋体" w:cs="宋体"/>
        </w:rPr>
        <w:t>合同争议解决</w:t>
      </w:r>
    </w:p>
    <w:p>
      <w:pPr>
        <w:spacing w:line="440" w:lineRule="exact"/>
        <w:rPr>
          <w:rFonts w:ascii="宋体" w:cs="宋体"/>
        </w:rPr>
      </w:pPr>
      <w:r>
        <w:rPr>
          <w:rFonts w:ascii="宋体" w:hAnsi="宋体" w:cs="宋体"/>
        </w:rPr>
        <w:t xml:space="preserve">    1</w:t>
      </w:r>
      <w:r>
        <w:rPr>
          <w:rFonts w:hint="eastAsia" w:ascii="宋体" w:hAnsi="宋体" w:cs="宋体"/>
        </w:rPr>
        <w:t>、因货物质量问题发生争议的，应邀请国家认可的质量检测机构对货物质量进行鉴定。货物符合标准的，鉴定费由甲方承担；货物不符合标准的，鉴定费由乙方承担。</w:t>
      </w:r>
    </w:p>
    <w:p>
      <w:pPr>
        <w:spacing w:line="440" w:lineRule="exact"/>
        <w:rPr>
          <w:rFonts w:ascii="宋体" w:cs="宋体"/>
        </w:rPr>
      </w:pPr>
      <w:r>
        <w:rPr>
          <w:rFonts w:ascii="宋体" w:hAnsi="宋体" w:cs="宋体"/>
        </w:rPr>
        <w:t xml:space="preserve">    2</w:t>
      </w:r>
      <w:r>
        <w:rPr>
          <w:rFonts w:hint="eastAsia" w:ascii="宋体" w:hAnsi="宋体" w:cs="宋体"/>
        </w:rPr>
        <w:t>、因履行本合同引起的或与本合同有关的争议，甲乙双方应首先通过友好协商解决，如果协商不能解决，可向仲裁委员会申请仲裁或向人民法院提起诉讼。</w:t>
      </w:r>
    </w:p>
    <w:p>
      <w:pPr>
        <w:spacing w:line="440" w:lineRule="exact"/>
        <w:rPr>
          <w:rFonts w:ascii="宋体" w:cs="宋体"/>
        </w:rPr>
      </w:pPr>
      <w:r>
        <w:rPr>
          <w:rFonts w:ascii="宋体" w:hAnsi="宋体" w:cs="宋体"/>
        </w:rPr>
        <w:t xml:space="preserve">    3</w:t>
      </w:r>
      <w:r>
        <w:rPr>
          <w:rFonts w:hint="eastAsia" w:ascii="宋体" w:hAnsi="宋体" w:cs="宋体"/>
        </w:rPr>
        <w:t>、诉讼期间，本合同继续履行。</w:t>
      </w:r>
    </w:p>
    <w:p>
      <w:pPr>
        <w:spacing w:line="440" w:lineRule="exact"/>
        <w:rPr>
          <w:rFonts w:ascii="宋体" w:cs="宋体"/>
        </w:rPr>
      </w:pPr>
      <w:r>
        <w:rPr>
          <w:rFonts w:ascii="宋体" w:hAnsi="宋体" w:cs="宋体"/>
        </w:rPr>
        <w:t xml:space="preserve">    </w:t>
      </w:r>
      <w:r>
        <w:rPr>
          <w:rFonts w:hint="eastAsia" w:ascii="宋体" w:hAnsi="宋体" w:cs="宋体"/>
        </w:rPr>
        <w:t>第十七条</w:t>
      </w:r>
      <w:r>
        <w:rPr>
          <w:rFonts w:ascii="宋体" w:hAnsi="宋体" w:cs="宋体"/>
        </w:rPr>
        <w:t xml:space="preserve">  </w:t>
      </w:r>
      <w:r>
        <w:rPr>
          <w:rFonts w:hint="eastAsia" w:ascii="宋体" w:hAnsi="宋体" w:cs="宋体"/>
        </w:rPr>
        <w:t>诉讼</w:t>
      </w:r>
    </w:p>
    <w:p>
      <w:pPr>
        <w:spacing w:line="440" w:lineRule="exact"/>
        <w:rPr>
          <w:rFonts w:ascii="宋体" w:cs="宋体"/>
        </w:rPr>
      </w:pPr>
      <w:r>
        <w:rPr>
          <w:rFonts w:ascii="宋体" w:hAnsi="宋体" w:cs="宋体"/>
        </w:rPr>
        <w:t xml:space="preserve">    </w:t>
      </w:r>
      <w:r>
        <w:rPr>
          <w:rFonts w:hint="eastAsia" w:ascii="宋体" w:hAnsi="宋体" w:cs="宋体"/>
        </w:rPr>
        <w:t>双方在执行合同中所发生的一切争议，应通过协商解决。如果协商不能解决，可向仲裁委员会申请</w:t>
      </w:r>
    </w:p>
    <w:p>
      <w:pPr>
        <w:spacing w:line="440" w:lineRule="exact"/>
        <w:rPr>
          <w:rFonts w:ascii="宋体" w:cs="宋体"/>
        </w:rPr>
      </w:pPr>
      <w:r>
        <w:rPr>
          <w:rFonts w:hint="eastAsia" w:ascii="宋体" w:hAnsi="宋体" w:cs="宋体"/>
        </w:rPr>
        <w:t>仲裁或向人民法院提起诉讼。</w:t>
      </w:r>
    </w:p>
    <w:p>
      <w:pPr>
        <w:spacing w:line="440" w:lineRule="exact"/>
        <w:rPr>
          <w:rFonts w:ascii="宋体" w:cs="宋体"/>
        </w:rPr>
      </w:pPr>
      <w:r>
        <w:rPr>
          <w:rFonts w:ascii="宋体" w:hAnsi="宋体" w:cs="宋体"/>
        </w:rPr>
        <w:t xml:space="preserve">    </w:t>
      </w:r>
      <w:r>
        <w:rPr>
          <w:rFonts w:hint="eastAsia" w:ascii="宋体" w:hAnsi="宋体" w:cs="宋体"/>
        </w:rPr>
        <w:t>第十八条</w:t>
      </w:r>
      <w:r>
        <w:rPr>
          <w:rFonts w:ascii="宋体" w:hAnsi="宋体" w:cs="宋体"/>
        </w:rPr>
        <w:t xml:space="preserve">  </w:t>
      </w:r>
      <w:r>
        <w:rPr>
          <w:rFonts w:hint="eastAsia" w:ascii="宋体" w:hAnsi="宋体" w:cs="宋体"/>
        </w:rPr>
        <w:t>合同生效及其它</w:t>
      </w:r>
    </w:p>
    <w:p>
      <w:pPr>
        <w:spacing w:line="440" w:lineRule="exact"/>
        <w:rPr>
          <w:rFonts w:ascii="宋体" w:cs="宋体"/>
        </w:rPr>
      </w:pPr>
      <w:r>
        <w:rPr>
          <w:rFonts w:ascii="宋体" w:hAnsi="宋体" w:cs="宋体"/>
        </w:rPr>
        <w:t xml:space="preserve">    1</w:t>
      </w:r>
      <w:r>
        <w:rPr>
          <w:rFonts w:hint="eastAsia" w:ascii="宋体" w:hAnsi="宋体" w:cs="宋体"/>
        </w:rPr>
        <w:t>、合同经双方法定代</w:t>
      </w:r>
      <w:r>
        <w:rPr>
          <w:rFonts w:hint="eastAsia" w:ascii="宋体" w:hAnsi="宋体" w:cs="宋体"/>
          <w:szCs w:val="21"/>
        </w:rPr>
        <w:t>表人或</w:t>
      </w:r>
      <w:r>
        <w:rPr>
          <w:rFonts w:hint="eastAsia" w:ascii="宋体" w:hAnsi="宋体" w:cs="宋体"/>
        </w:rPr>
        <w:t>授权代表（委托代理人）签字并加盖单位公章后生效。</w:t>
      </w:r>
    </w:p>
    <w:p>
      <w:pPr>
        <w:spacing w:line="440" w:lineRule="exact"/>
        <w:rPr>
          <w:rFonts w:ascii="宋体" w:cs="宋体"/>
        </w:rPr>
      </w:pPr>
      <w:r>
        <w:rPr>
          <w:rFonts w:ascii="宋体" w:hAnsi="宋体" w:cs="宋体"/>
        </w:rPr>
        <w:t xml:space="preserve">    2</w:t>
      </w:r>
      <w:r>
        <w:rPr>
          <w:rFonts w:hint="eastAsia" w:ascii="宋体" w:hAnsi="宋体" w:cs="宋体"/>
        </w:rPr>
        <w:t>、合同执行中涉及采购资金和采购内容修改或补充的，须经同级政府采购监督管理科审批，并签书面补充协议报同级政府采购监督管理科备案，方可作为主合同不可分割的一部分。</w:t>
      </w:r>
    </w:p>
    <w:p>
      <w:pPr>
        <w:spacing w:line="440" w:lineRule="exact"/>
        <w:rPr>
          <w:rFonts w:ascii="宋体" w:cs="宋体"/>
        </w:rPr>
      </w:pPr>
      <w:r>
        <w:rPr>
          <w:rFonts w:ascii="宋体" w:hAnsi="宋体" w:cs="宋体"/>
        </w:rPr>
        <w:t xml:space="preserve">    3</w:t>
      </w:r>
      <w:r>
        <w:rPr>
          <w:rFonts w:hint="eastAsia" w:ascii="宋体" w:hAnsi="宋体" w:cs="宋体"/>
        </w:rPr>
        <w:t>、本合同未尽事宜，遵照《合同法》有关条文执行。</w:t>
      </w:r>
    </w:p>
    <w:p>
      <w:pPr>
        <w:spacing w:line="440" w:lineRule="exact"/>
        <w:rPr>
          <w:rFonts w:ascii="宋体" w:cs="宋体"/>
        </w:rPr>
      </w:pPr>
      <w:r>
        <w:rPr>
          <w:rFonts w:ascii="宋体" w:hAnsi="宋体" w:cs="宋体"/>
        </w:rPr>
        <w:t xml:space="preserve">    </w:t>
      </w:r>
      <w:r>
        <w:rPr>
          <w:rFonts w:hint="eastAsia" w:ascii="宋体" w:hAnsi="宋体" w:cs="宋体"/>
        </w:rPr>
        <w:t>第十九条　</w:t>
      </w:r>
      <w:r>
        <w:rPr>
          <w:rFonts w:ascii="宋体" w:hAnsi="宋体" w:cs="宋体"/>
        </w:rPr>
        <w:t xml:space="preserve"> </w:t>
      </w:r>
      <w:r>
        <w:rPr>
          <w:rFonts w:hint="eastAsia" w:ascii="宋体" w:hAnsi="宋体" w:cs="宋体"/>
        </w:rPr>
        <w:t>合同的变更、终止与转让</w:t>
      </w:r>
    </w:p>
    <w:p>
      <w:pPr>
        <w:spacing w:line="440" w:lineRule="exact"/>
        <w:ind w:firstLine="420" w:firstLineChars="200"/>
        <w:rPr>
          <w:rFonts w:ascii="宋体" w:cs="宋体"/>
        </w:rPr>
      </w:pPr>
      <w:r>
        <w:rPr>
          <w:rFonts w:ascii="宋体" w:hAnsi="宋体" w:cs="宋体"/>
        </w:rPr>
        <w:t>1</w:t>
      </w:r>
      <w:r>
        <w:rPr>
          <w:rFonts w:hint="eastAsia" w:ascii="宋体" w:hAnsi="宋体" w:cs="宋体"/>
        </w:rPr>
        <w:t>、除《中华人民共和国政府采购法》第五十条规定的情形外，本合同一经签订，甲乙双方不得擅自变更、中止或终止。</w:t>
      </w:r>
    </w:p>
    <w:p>
      <w:pPr>
        <w:spacing w:line="440" w:lineRule="exact"/>
        <w:ind w:firstLine="420" w:firstLineChars="200"/>
        <w:rPr>
          <w:rFonts w:ascii="宋体" w:cs="宋体"/>
        </w:rPr>
      </w:pPr>
      <w:r>
        <w:rPr>
          <w:rFonts w:ascii="宋体" w:hAnsi="宋体" w:cs="宋体"/>
        </w:rPr>
        <w:t>2</w:t>
      </w:r>
      <w:r>
        <w:rPr>
          <w:rFonts w:hint="eastAsia" w:ascii="宋体" w:hAnsi="宋体" w:cs="宋体"/>
        </w:rPr>
        <w:t>、乙方不得擅自转让（无进口资格的供应商委托进口货物除外）其应履行的合同义务。</w:t>
      </w:r>
    </w:p>
    <w:p>
      <w:pPr>
        <w:spacing w:line="440" w:lineRule="exact"/>
        <w:ind w:firstLine="420" w:firstLineChars="200"/>
        <w:rPr>
          <w:rFonts w:ascii="宋体" w:cs="宋体"/>
        </w:rPr>
      </w:pPr>
      <w:r>
        <w:rPr>
          <w:rFonts w:hint="eastAsia" w:ascii="宋体" w:hAnsi="宋体" w:cs="宋体"/>
        </w:rPr>
        <w:t>第二十条　</w:t>
      </w:r>
      <w:r>
        <w:rPr>
          <w:rFonts w:ascii="宋体" w:hAnsi="宋体" w:cs="宋体"/>
        </w:rPr>
        <w:t xml:space="preserve"> </w:t>
      </w:r>
      <w:r>
        <w:rPr>
          <w:rFonts w:hint="eastAsia" w:ascii="宋体" w:hAnsi="宋体" w:cs="宋体"/>
        </w:rPr>
        <w:t>签订本合同依据</w:t>
      </w:r>
    </w:p>
    <w:p>
      <w:pPr>
        <w:spacing w:line="440" w:lineRule="exact"/>
        <w:ind w:firstLine="420" w:firstLineChars="200"/>
        <w:rPr>
          <w:rFonts w:ascii="宋体" w:cs="宋体"/>
        </w:rPr>
      </w:pPr>
      <w:r>
        <w:rPr>
          <w:rFonts w:ascii="宋体" w:hAnsi="宋体" w:cs="宋体"/>
        </w:rPr>
        <w:t>1</w:t>
      </w:r>
      <w:r>
        <w:rPr>
          <w:rFonts w:hint="eastAsia" w:ascii="宋体" w:hAnsi="宋体" w:cs="宋体"/>
        </w:rPr>
        <w:t>、磋商文件；</w:t>
      </w:r>
    </w:p>
    <w:p>
      <w:pPr>
        <w:spacing w:line="440" w:lineRule="exact"/>
        <w:ind w:firstLine="420" w:firstLineChars="200"/>
        <w:rPr>
          <w:rFonts w:ascii="宋体" w:cs="宋体"/>
        </w:rPr>
      </w:pPr>
      <w:r>
        <w:rPr>
          <w:rFonts w:ascii="宋体" w:hAnsi="宋体" w:cs="宋体"/>
        </w:rPr>
        <w:t>2</w:t>
      </w:r>
      <w:r>
        <w:rPr>
          <w:rFonts w:hint="eastAsia" w:ascii="宋体" w:hAnsi="宋体" w:cs="宋体"/>
        </w:rPr>
        <w:t>、乙方提供的响应文件；</w:t>
      </w:r>
    </w:p>
    <w:p>
      <w:pPr>
        <w:spacing w:line="440" w:lineRule="exact"/>
        <w:ind w:firstLine="420" w:firstLineChars="200"/>
        <w:rPr>
          <w:rFonts w:ascii="宋体" w:cs="宋体"/>
        </w:rPr>
      </w:pPr>
      <w:r>
        <w:rPr>
          <w:rFonts w:ascii="宋体" w:hAnsi="宋体" w:cs="宋体"/>
        </w:rPr>
        <w:t>3</w:t>
      </w:r>
      <w:r>
        <w:rPr>
          <w:rFonts w:hint="eastAsia" w:ascii="宋体" w:hAnsi="宋体" w:cs="宋体"/>
        </w:rPr>
        <w:t>、谈判书；</w:t>
      </w:r>
      <w:r>
        <w:rPr>
          <w:rFonts w:ascii="宋体" w:hAnsi="宋体" w:cs="宋体"/>
        </w:rPr>
        <w:t xml:space="preserve"> </w:t>
      </w:r>
    </w:p>
    <w:p>
      <w:pPr>
        <w:spacing w:line="440" w:lineRule="exact"/>
        <w:ind w:firstLine="420" w:firstLineChars="200"/>
        <w:rPr>
          <w:rFonts w:ascii="宋体" w:cs="宋体"/>
        </w:rPr>
      </w:pPr>
      <w:r>
        <w:rPr>
          <w:rFonts w:ascii="宋体" w:hAnsi="宋体" w:cs="宋体"/>
        </w:rPr>
        <w:t>4</w:t>
      </w:r>
      <w:r>
        <w:rPr>
          <w:rFonts w:hint="eastAsia" w:ascii="宋体" w:hAnsi="宋体" w:cs="宋体"/>
        </w:rPr>
        <w:t>、成交通知书。</w:t>
      </w:r>
    </w:p>
    <w:p>
      <w:pPr>
        <w:spacing w:line="440" w:lineRule="exact"/>
        <w:ind w:firstLine="420" w:firstLineChars="200"/>
        <w:rPr>
          <w:rFonts w:ascii="宋体" w:cs="宋体"/>
        </w:rPr>
      </w:pPr>
      <w:r>
        <w:rPr>
          <w:rFonts w:hint="eastAsia" w:ascii="宋体" w:hAnsi="宋体" w:cs="宋体"/>
        </w:rPr>
        <w:t>第二十一条　本合同一式</w:t>
      </w:r>
      <w:r>
        <w:rPr>
          <w:rFonts w:hint="eastAsia" w:ascii="宋体" w:hAnsi="宋体" w:cs="宋体"/>
          <w:lang w:eastAsia="zh-CN"/>
        </w:rPr>
        <w:t>六</w:t>
      </w:r>
      <w:r>
        <w:rPr>
          <w:rFonts w:hint="eastAsia" w:ascii="宋体" w:hAnsi="宋体" w:cs="宋体"/>
        </w:rPr>
        <w:t>份，具有同等法律效力，同级政府采购监督管理部门、采购代理机构各一份，</w:t>
      </w:r>
      <w:r>
        <w:rPr>
          <w:rFonts w:hint="eastAsia" w:ascii="宋体" w:hAnsi="宋体" w:cs="宋体"/>
          <w:lang w:eastAsia="zh-CN"/>
        </w:rPr>
        <w:t>甲乙双方各两份</w:t>
      </w:r>
      <w:r>
        <w:rPr>
          <w:rFonts w:hint="eastAsia" w:ascii="宋体" w:hAnsi="宋体" w:cs="宋体"/>
        </w:rPr>
        <w:t>。</w:t>
      </w:r>
    </w:p>
    <w:p>
      <w:pPr>
        <w:spacing w:line="440" w:lineRule="exact"/>
        <w:ind w:firstLine="420" w:firstLineChars="200"/>
        <w:rPr>
          <w:rFonts w:ascii="宋体" w:cs="宋体"/>
        </w:rPr>
      </w:pPr>
      <w:r>
        <w:rPr>
          <w:rFonts w:hint="eastAsia" w:ascii="宋体" w:hAnsi="宋体" w:cs="宋体"/>
        </w:rPr>
        <w:t>本合同甲乙双方签字盖章后生效，自签订之日起七个工作日内，采购人或采购代理机构应当将合同副本报同级政府采购监督管理部门备案。</w:t>
      </w:r>
    </w:p>
    <w:p>
      <w:pPr>
        <w:pStyle w:val="36"/>
        <w:ind w:firstLine="480"/>
        <w:rPr>
          <w:rFonts w:hAnsi="宋体" w:cs="宋体"/>
          <w:szCs w:val="24"/>
        </w:rPr>
      </w:pPr>
    </w:p>
    <w:p>
      <w:pPr>
        <w:rPr>
          <w:rFonts w:ascii="宋体" w:cs="宋体"/>
        </w:rPr>
      </w:pPr>
    </w:p>
    <w:p>
      <w:pPr>
        <w:pStyle w:val="36"/>
        <w:ind w:firstLine="480"/>
        <w:rPr>
          <w:rFonts w:hAnsi="宋体" w:cs="宋体"/>
          <w:szCs w:val="24"/>
        </w:rPr>
      </w:pPr>
    </w:p>
    <w:p/>
    <w:tbl>
      <w:tblPr>
        <w:tblStyle w:val="2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4689" w:type="dxa"/>
            <w:vAlign w:val="center"/>
          </w:tcPr>
          <w:p>
            <w:pPr>
              <w:spacing w:line="400" w:lineRule="exact"/>
              <w:ind w:left="798"/>
              <w:rPr>
                <w:rFonts w:ascii="宋体" w:cs="宋体"/>
              </w:rPr>
            </w:pPr>
            <w:r>
              <w:rPr>
                <w:rFonts w:hint="eastAsia" w:ascii="宋体" w:hAnsi="宋体" w:cs="宋体"/>
              </w:rPr>
              <w:t>甲方（章）</w:t>
            </w:r>
            <w:r>
              <w:rPr>
                <w:rFonts w:ascii="宋体" w:hAnsi="宋体" w:cs="宋体"/>
              </w:rPr>
              <w:t xml:space="preserve">           </w:t>
            </w:r>
          </w:p>
          <w:p>
            <w:pPr>
              <w:spacing w:line="400" w:lineRule="exact"/>
              <w:ind w:left="798"/>
              <w:rPr>
                <w:rFonts w:ascii="宋体" w:cs="宋体"/>
              </w:rPr>
            </w:pPr>
          </w:p>
          <w:p>
            <w:pPr>
              <w:spacing w:line="400" w:lineRule="exact"/>
              <w:rPr>
                <w:rFonts w:ascii="宋体" w:cs="宋体"/>
              </w:rPr>
            </w:pPr>
          </w:p>
          <w:p>
            <w:pPr>
              <w:spacing w:line="400" w:lineRule="exact"/>
              <w:rPr>
                <w:rFonts w:ascii="宋体" w:cs="宋体"/>
              </w:rPr>
            </w:pPr>
          </w:p>
          <w:p>
            <w:pPr>
              <w:spacing w:line="400" w:lineRule="exact"/>
              <w:ind w:left="798"/>
              <w:rPr>
                <w:rFonts w:asci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c>
          <w:tcPr>
            <w:tcW w:w="4690" w:type="dxa"/>
            <w:vAlign w:val="center"/>
          </w:tcPr>
          <w:p>
            <w:pPr>
              <w:spacing w:line="400" w:lineRule="exact"/>
              <w:ind w:left="798"/>
              <w:rPr>
                <w:rFonts w:ascii="宋体" w:cs="宋体"/>
              </w:rPr>
            </w:pPr>
            <w:r>
              <w:rPr>
                <w:rFonts w:hint="eastAsia" w:ascii="宋体" w:hAnsi="宋体" w:cs="宋体"/>
              </w:rPr>
              <w:t>乙方（章）</w:t>
            </w:r>
            <w:r>
              <w:rPr>
                <w:rFonts w:ascii="宋体" w:hAnsi="宋体" w:cs="宋体"/>
              </w:rPr>
              <w:t xml:space="preserve">              </w:t>
            </w:r>
          </w:p>
          <w:p>
            <w:pPr>
              <w:spacing w:line="400" w:lineRule="exact"/>
              <w:ind w:left="798"/>
              <w:rPr>
                <w:rFonts w:ascii="宋体" w:cs="宋体"/>
              </w:rPr>
            </w:pPr>
          </w:p>
          <w:p>
            <w:pPr>
              <w:spacing w:line="400" w:lineRule="exact"/>
              <w:ind w:left="798"/>
              <w:rPr>
                <w:rFonts w:ascii="宋体" w:cs="宋体"/>
              </w:rPr>
            </w:pPr>
          </w:p>
          <w:p>
            <w:pPr>
              <w:spacing w:line="400" w:lineRule="exact"/>
              <w:rPr>
                <w:rFonts w:ascii="宋体" w:cs="宋体"/>
              </w:rPr>
            </w:pPr>
          </w:p>
          <w:p>
            <w:pPr>
              <w:spacing w:line="400" w:lineRule="exact"/>
              <w:ind w:left="798"/>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单位地址：</w:t>
            </w:r>
          </w:p>
        </w:tc>
        <w:tc>
          <w:tcPr>
            <w:tcW w:w="4690" w:type="dxa"/>
          </w:tcPr>
          <w:p>
            <w:pPr>
              <w:spacing w:line="400" w:lineRule="exact"/>
              <w:ind w:left="798"/>
              <w:rPr>
                <w:rFonts w:ascii="宋体" w:cs="宋体"/>
              </w:rPr>
            </w:pPr>
            <w:r>
              <w:rPr>
                <w:rFonts w:hint="eastAsia" w:ascii="宋体" w:hAnsi="宋体" w:cs="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szCs w:val="21"/>
              </w:rPr>
            </w:pPr>
            <w:r>
              <w:rPr>
                <w:rFonts w:hint="eastAsia" w:ascii="宋体" w:hAnsi="宋体" w:cs="宋体"/>
                <w:szCs w:val="21"/>
              </w:rPr>
              <w:t>法定代表人：</w:t>
            </w:r>
          </w:p>
        </w:tc>
        <w:tc>
          <w:tcPr>
            <w:tcW w:w="4690" w:type="dxa"/>
          </w:tcPr>
          <w:p>
            <w:pPr>
              <w:spacing w:line="400" w:lineRule="exact"/>
              <w:ind w:left="798"/>
              <w:rPr>
                <w:rFonts w:asci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委托代理人：</w:t>
            </w:r>
          </w:p>
        </w:tc>
        <w:tc>
          <w:tcPr>
            <w:tcW w:w="4690" w:type="dxa"/>
          </w:tcPr>
          <w:p>
            <w:pPr>
              <w:spacing w:line="400" w:lineRule="exact"/>
              <w:ind w:left="798"/>
              <w:rPr>
                <w:rFonts w:ascii="宋体" w:cs="宋体"/>
              </w:rPr>
            </w:pPr>
            <w:r>
              <w:rPr>
                <w:rFonts w:hint="eastAsia" w:ascii="宋体" w:hAnsi="宋体" w:cs="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电话：</w:t>
            </w:r>
          </w:p>
        </w:tc>
        <w:tc>
          <w:tcPr>
            <w:tcW w:w="4690" w:type="dxa"/>
          </w:tcPr>
          <w:p>
            <w:pPr>
              <w:spacing w:line="400" w:lineRule="exact"/>
              <w:ind w:left="798"/>
              <w:rPr>
                <w:rFonts w:ascii="宋体" w:cs="宋体"/>
              </w:rPr>
            </w:pPr>
            <w:r>
              <w:rPr>
                <w:rFonts w:hint="eastAsia" w:ascii="宋体"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电子邮箱：</w:t>
            </w:r>
          </w:p>
        </w:tc>
        <w:tc>
          <w:tcPr>
            <w:tcW w:w="4690" w:type="dxa"/>
          </w:tcPr>
          <w:p>
            <w:pPr>
              <w:spacing w:line="400" w:lineRule="exact"/>
              <w:ind w:left="798"/>
              <w:rPr>
                <w:rFonts w:ascii="宋体" w:cs="宋体"/>
              </w:rPr>
            </w:pPr>
            <w:r>
              <w:rPr>
                <w:rFonts w:hint="eastAsia" w:ascii="宋体" w:hAnsi="宋体" w:cs="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开户银行：</w:t>
            </w:r>
          </w:p>
        </w:tc>
        <w:tc>
          <w:tcPr>
            <w:tcW w:w="4690" w:type="dxa"/>
          </w:tcPr>
          <w:p>
            <w:pPr>
              <w:spacing w:line="400" w:lineRule="exact"/>
              <w:ind w:left="798"/>
              <w:rPr>
                <w:rFonts w:ascii="宋体" w:cs="宋体"/>
              </w:rPr>
            </w:pPr>
            <w:r>
              <w:rPr>
                <w:rFonts w:hint="eastAsia" w:ascii="宋体" w:hAnsi="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账号：</w:t>
            </w:r>
          </w:p>
        </w:tc>
        <w:tc>
          <w:tcPr>
            <w:tcW w:w="4690" w:type="dxa"/>
          </w:tcPr>
          <w:p>
            <w:pPr>
              <w:spacing w:line="400" w:lineRule="exact"/>
              <w:ind w:left="798"/>
              <w:rPr>
                <w:rFonts w:ascii="宋体" w:cs="宋体"/>
              </w:rPr>
            </w:pPr>
            <w:r>
              <w:rPr>
                <w:rFonts w:hint="eastAsia" w:ascii="宋体" w:hAnsi="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邮政编码：</w:t>
            </w:r>
          </w:p>
        </w:tc>
        <w:tc>
          <w:tcPr>
            <w:tcW w:w="4690" w:type="dxa"/>
          </w:tcPr>
          <w:p>
            <w:pPr>
              <w:spacing w:line="400" w:lineRule="exact"/>
              <w:ind w:left="798"/>
              <w:rPr>
                <w:rFonts w:ascii="宋体" w:cs="宋体"/>
              </w:rPr>
            </w:pPr>
            <w:r>
              <w:rPr>
                <w:rFonts w:hint="eastAsia" w:ascii="宋体" w:hAnsi="宋体" w:cs="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9379" w:type="dxa"/>
            <w:gridSpan w:val="2"/>
          </w:tcPr>
          <w:p>
            <w:pPr>
              <w:spacing w:line="400" w:lineRule="exact"/>
              <w:ind w:left="798"/>
              <w:rPr>
                <w:rFonts w:ascii="宋体" w:cs="宋体"/>
              </w:rPr>
            </w:pPr>
            <w:r>
              <w:rPr>
                <w:rFonts w:hint="eastAsia" w:ascii="宋体" w:hAnsi="宋体" w:cs="宋体"/>
              </w:rPr>
              <w:t>经办人：</w:t>
            </w:r>
          </w:p>
          <w:p>
            <w:pPr>
              <w:spacing w:line="400" w:lineRule="exact"/>
              <w:rPr>
                <w:rFonts w:ascii="宋体" w:cs="宋体"/>
              </w:rPr>
            </w:pPr>
          </w:p>
          <w:p>
            <w:pPr>
              <w:spacing w:line="400" w:lineRule="exact"/>
              <w:ind w:left="798"/>
              <w:rPr>
                <w:rFonts w:asci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spacing w:line="400" w:lineRule="exact"/>
        <w:rPr>
          <w:rFonts w:ascii="宋体" w:cs="宋体"/>
          <w:b/>
          <w:bCs/>
        </w:rPr>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21"/>
        <w:ind w:left="0" w:leftChars="0" w:firstLine="0" w:firstLineChars="0"/>
        <w:rPr>
          <w:rFonts w:ascii="宋体" w:cs="宋体"/>
          <w:b/>
          <w:bCs/>
        </w:rPr>
      </w:pPr>
    </w:p>
    <w:p>
      <w:pPr>
        <w:spacing w:line="400" w:lineRule="exact"/>
        <w:jc w:val="center"/>
        <w:rPr>
          <w:rFonts w:ascii="宋体" w:cs="宋体"/>
          <w:b/>
          <w:bCs/>
        </w:rPr>
      </w:pPr>
      <w:r>
        <w:rPr>
          <w:rFonts w:hint="eastAsia" w:ascii="宋体" w:hAnsi="宋体" w:cs="宋体"/>
          <w:b/>
          <w:bCs/>
        </w:rPr>
        <w:t>合</w:t>
      </w:r>
      <w:r>
        <w:rPr>
          <w:rFonts w:ascii="宋体" w:hAnsi="宋体" w:cs="宋体"/>
          <w:b/>
          <w:bCs/>
        </w:rPr>
        <w:t xml:space="preserve"> </w:t>
      </w:r>
      <w:r>
        <w:rPr>
          <w:rFonts w:hint="eastAsia" w:ascii="宋体" w:hAnsi="宋体" w:cs="宋体"/>
          <w:b/>
          <w:bCs/>
        </w:rPr>
        <w:t>同</w:t>
      </w:r>
      <w:r>
        <w:rPr>
          <w:rFonts w:ascii="宋体" w:hAnsi="宋体" w:cs="宋体"/>
          <w:b/>
          <w:bCs/>
        </w:rPr>
        <w:t xml:space="preserve"> </w:t>
      </w:r>
      <w:r>
        <w:rPr>
          <w:rFonts w:hint="eastAsia" w:ascii="宋体" w:hAnsi="宋体" w:cs="宋体"/>
          <w:b/>
          <w:bCs/>
        </w:rPr>
        <w:t>附</w:t>
      </w:r>
      <w:r>
        <w:rPr>
          <w:rFonts w:ascii="宋体" w:hAnsi="宋体" w:cs="宋体"/>
          <w:b/>
          <w:bCs/>
        </w:rPr>
        <w:t xml:space="preserve"> </w:t>
      </w:r>
      <w:r>
        <w:rPr>
          <w:rFonts w:hint="eastAsia" w:ascii="宋体" w:hAnsi="宋体" w:cs="宋体"/>
          <w:b/>
          <w:bCs/>
        </w:rPr>
        <w:t>件</w:t>
      </w:r>
    </w:p>
    <w:tbl>
      <w:tblPr>
        <w:tblStyle w:val="22"/>
        <w:tblW w:w="9291" w:type="dxa"/>
        <w:jc w:val="center"/>
        <w:tblLayout w:type="fixed"/>
        <w:tblCellMar>
          <w:top w:w="0" w:type="dxa"/>
          <w:left w:w="108" w:type="dxa"/>
          <w:bottom w:w="0" w:type="dxa"/>
          <w:right w:w="108" w:type="dxa"/>
        </w:tblCellMar>
      </w:tblPr>
      <w:tblGrid>
        <w:gridCol w:w="4505"/>
        <w:gridCol w:w="4786"/>
      </w:tblGrid>
      <w:tr>
        <w:tblPrEx>
          <w:tblCellMar>
            <w:top w:w="0" w:type="dxa"/>
            <w:left w:w="108" w:type="dxa"/>
            <w:bottom w:w="0" w:type="dxa"/>
            <w:right w:w="108" w:type="dxa"/>
          </w:tblCellMar>
        </w:tblPrEx>
        <w:trPr>
          <w:trHeight w:val="1856"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1</w:t>
            </w:r>
            <w:r>
              <w:rPr>
                <w:rFonts w:hint="eastAsia" w:ascii="宋体" w:hAnsi="宋体" w:cs="宋体"/>
              </w:rPr>
              <w:t>、供应商承诺具体事项：</w:t>
            </w:r>
          </w:p>
        </w:tc>
      </w:tr>
      <w:tr>
        <w:tblPrEx>
          <w:tblCellMar>
            <w:top w:w="0" w:type="dxa"/>
            <w:left w:w="108" w:type="dxa"/>
            <w:bottom w:w="0" w:type="dxa"/>
            <w:right w:w="108" w:type="dxa"/>
          </w:tblCellMar>
        </w:tblPrEx>
        <w:trPr>
          <w:trHeight w:val="1706"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2</w:t>
            </w:r>
            <w:r>
              <w:rPr>
                <w:rFonts w:hint="eastAsia" w:ascii="宋体" w:hAnsi="宋体" w:cs="宋体"/>
              </w:rPr>
              <w:t>、售后服务具体事项：</w:t>
            </w:r>
          </w:p>
        </w:tc>
      </w:tr>
      <w:tr>
        <w:tblPrEx>
          <w:tblCellMar>
            <w:top w:w="0" w:type="dxa"/>
            <w:left w:w="108" w:type="dxa"/>
            <w:bottom w:w="0" w:type="dxa"/>
            <w:right w:w="108" w:type="dxa"/>
          </w:tblCellMar>
        </w:tblPrEx>
        <w:trPr>
          <w:trHeight w:val="1773"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3</w:t>
            </w:r>
            <w:r>
              <w:rPr>
                <w:rFonts w:hint="eastAsia" w:ascii="宋体" w:hAnsi="宋体" w:cs="宋体"/>
              </w:rPr>
              <w:t>、保修期责任：</w:t>
            </w:r>
          </w:p>
        </w:tc>
      </w:tr>
      <w:tr>
        <w:tblPrEx>
          <w:tblCellMar>
            <w:top w:w="0" w:type="dxa"/>
            <w:left w:w="108" w:type="dxa"/>
            <w:bottom w:w="0" w:type="dxa"/>
            <w:right w:w="108" w:type="dxa"/>
          </w:tblCellMar>
        </w:tblPrEx>
        <w:trPr>
          <w:trHeight w:val="1839"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4</w:t>
            </w:r>
            <w:r>
              <w:rPr>
                <w:rFonts w:hint="eastAsia" w:ascii="宋体" w:hAnsi="宋体" w:cs="宋体"/>
              </w:rPr>
              <w:t>、其他具体事项：</w:t>
            </w:r>
          </w:p>
        </w:tc>
      </w:tr>
      <w:tr>
        <w:tblPrEx>
          <w:tblCellMar>
            <w:top w:w="0" w:type="dxa"/>
            <w:left w:w="108" w:type="dxa"/>
            <w:bottom w:w="0" w:type="dxa"/>
            <w:right w:w="108" w:type="dxa"/>
          </w:tblCellMar>
        </w:tblPrEx>
        <w:trPr>
          <w:trHeight w:val="3616" w:hRule="atLeast"/>
          <w:jc w:val="center"/>
        </w:trPr>
        <w:tc>
          <w:tcPr>
            <w:tcW w:w="4505" w:type="dxa"/>
            <w:tcBorders>
              <w:top w:val="single" w:color="auto" w:sz="4" w:space="0"/>
              <w:left w:val="single" w:color="auto" w:sz="4" w:space="0"/>
              <w:bottom w:val="single" w:color="auto" w:sz="4" w:space="0"/>
              <w:right w:val="single" w:color="auto" w:sz="4" w:space="0"/>
            </w:tcBorders>
          </w:tcPr>
          <w:p>
            <w:pPr>
              <w:spacing w:line="400" w:lineRule="exact"/>
              <w:ind w:left="798"/>
              <w:rPr>
                <w:rFonts w:ascii="宋体" w:cs="宋体"/>
              </w:rPr>
            </w:pPr>
            <w:r>
              <w:rPr>
                <w:rFonts w:hint="eastAsia" w:ascii="宋体" w:hAnsi="宋体" w:cs="宋体"/>
              </w:rPr>
              <w:t>甲方（章）</w:t>
            </w: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rPr>
                <w:rFonts w:ascii="宋体" w:cs="宋体"/>
              </w:rPr>
            </w:pPr>
          </w:p>
          <w:p>
            <w:pPr>
              <w:spacing w:line="400" w:lineRule="exact"/>
              <w:ind w:left="798"/>
              <w:rPr>
                <w:rFonts w:ascii="宋体" w:cs="宋体"/>
              </w:rPr>
            </w:pPr>
          </w:p>
          <w:p>
            <w:pPr>
              <w:spacing w:line="400" w:lineRule="exact"/>
              <w:ind w:left="798"/>
              <w:rPr>
                <w:rFonts w:ascii="宋体" w:cs="宋体"/>
              </w:rPr>
            </w:pPr>
            <w:r>
              <w:rPr>
                <w:rFonts w:ascii="宋体" w:hAnsi="宋体" w:cs="宋体"/>
              </w:rPr>
              <w:t xml:space="preserve">                     </w:t>
            </w:r>
          </w:p>
          <w:p>
            <w:pPr>
              <w:spacing w:line="400" w:lineRule="exact"/>
              <w:ind w:left="798"/>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p>
        </w:tc>
        <w:tc>
          <w:tcPr>
            <w:tcW w:w="4786" w:type="dxa"/>
            <w:tcBorders>
              <w:top w:val="single" w:color="auto" w:sz="4" w:space="0"/>
              <w:left w:val="single" w:color="auto" w:sz="4" w:space="0"/>
              <w:bottom w:val="single" w:color="auto" w:sz="4" w:space="0"/>
              <w:right w:val="single" w:color="auto" w:sz="4" w:space="0"/>
            </w:tcBorders>
          </w:tcPr>
          <w:p>
            <w:pPr>
              <w:spacing w:line="400" w:lineRule="exact"/>
              <w:ind w:left="798"/>
              <w:rPr>
                <w:rFonts w:ascii="宋体" w:cs="宋体"/>
              </w:rPr>
            </w:pPr>
            <w:r>
              <w:rPr>
                <w:rFonts w:hint="eastAsia" w:ascii="宋体" w:hAnsi="宋体" w:cs="宋体"/>
              </w:rPr>
              <w:t>乙方（章）</w:t>
            </w: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rPr>
                <w:rFonts w:ascii="宋体" w:cs="宋体"/>
              </w:rPr>
            </w:pPr>
          </w:p>
          <w:p>
            <w:pPr>
              <w:spacing w:line="400" w:lineRule="exact"/>
              <w:ind w:left="798"/>
              <w:rPr>
                <w:rFonts w:ascii="宋体" w:cs="宋体"/>
              </w:rPr>
            </w:pPr>
            <w:r>
              <w:rPr>
                <w:rFonts w:ascii="宋体" w:hAnsi="宋体" w:cs="宋体"/>
              </w:rPr>
              <w:t xml:space="preserve">                         </w:t>
            </w:r>
          </w:p>
          <w:p>
            <w:pPr>
              <w:spacing w:line="400" w:lineRule="exact"/>
              <w:ind w:left="798"/>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pStyle w:val="53"/>
        <w:rPr>
          <w:rFonts w:ascii="宋体" w:cs="宋体"/>
          <w:b/>
          <w:sz w:val="28"/>
          <w:szCs w:val="28"/>
        </w:rPr>
      </w:pPr>
      <w:r>
        <w:rPr>
          <w:rFonts w:hAnsi="宋体" w:cs="宋体"/>
        </w:rPr>
        <w:t xml:space="preserve">   </w:t>
      </w:r>
      <w:r>
        <w:rPr>
          <w:rFonts w:hint="eastAsia" w:hAnsi="宋体" w:cs="宋体"/>
        </w:rPr>
        <w:t>注：售后服务事项填不下时可另加附页</w:t>
      </w:r>
    </w:p>
    <w:p>
      <w:pPr>
        <w:pStyle w:val="53"/>
        <w:rPr>
          <w:rFonts w:ascii="宋体" w:cs="宋体"/>
          <w:b/>
          <w:sz w:val="28"/>
          <w:szCs w:val="28"/>
        </w:rPr>
      </w:pPr>
    </w:p>
    <w:p>
      <w:pPr>
        <w:pStyle w:val="53"/>
        <w:rPr>
          <w:rFonts w:ascii="宋体" w:cs="宋体"/>
          <w:b/>
          <w:sz w:val="28"/>
          <w:szCs w:val="28"/>
        </w:rPr>
      </w:pPr>
    </w:p>
    <w:p>
      <w:pPr>
        <w:pStyle w:val="53"/>
        <w:rPr>
          <w:rFonts w:ascii="宋体" w:cs="宋体"/>
          <w:b/>
          <w:sz w:val="28"/>
          <w:szCs w:val="28"/>
        </w:rPr>
      </w:pPr>
    </w:p>
    <w:p>
      <w:pPr>
        <w:pStyle w:val="53"/>
        <w:rPr>
          <w:rFonts w:ascii="宋体" w:cs="宋体"/>
          <w:b/>
          <w:sz w:val="28"/>
          <w:szCs w:val="28"/>
        </w:rPr>
      </w:pPr>
    </w:p>
    <w:p>
      <w:pPr>
        <w:pStyle w:val="53"/>
        <w:rPr>
          <w:rFonts w:ascii="宋体" w:cs="宋体"/>
          <w:b/>
          <w:sz w:val="28"/>
          <w:szCs w:val="28"/>
        </w:rPr>
      </w:pPr>
    </w:p>
    <w:p>
      <w:pPr>
        <w:pStyle w:val="52"/>
        <w:rPr>
          <w:rFonts w:ascii="宋体" w:cs="宋体"/>
          <w:b/>
          <w:color w:val="auto"/>
          <w:sz w:val="28"/>
          <w:szCs w:val="28"/>
        </w:rPr>
      </w:pPr>
    </w:p>
    <w:p>
      <w:pPr>
        <w:rPr>
          <w:rFonts w:ascii="宋体" w:cs="宋体"/>
        </w:rPr>
      </w:pPr>
    </w:p>
    <w:p>
      <w:pPr>
        <w:pStyle w:val="12"/>
        <w:rPr>
          <w:rFonts w:hAnsi="宋体" w:cs="宋体"/>
          <w:b/>
          <w:bCs/>
          <w:sz w:val="28"/>
          <w:szCs w:val="28"/>
        </w:rPr>
      </w:pPr>
      <w:bookmarkStart w:id="50" w:name="_Toc419886413"/>
    </w:p>
    <w:bookmarkEnd w:id="50"/>
    <w:p>
      <w:pPr>
        <w:numPr>
          <w:ilvl w:val="0"/>
          <w:numId w:val="22"/>
        </w:numPr>
        <w:spacing w:line="360" w:lineRule="auto"/>
        <w:ind w:left="620"/>
        <w:jc w:val="center"/>
        <w:outlineLvl w:val="0"/>
        <w:rPr>
          <w:rFonts w:ascii="宋体" w:cs="宋体"/>
          <w:b/>
          <w:sz w:val="32"/>
          <w:szCs w:val="32"/>
        </w:rPr>
      </w:pPr>
      <w:r>
        <w:rPr>
          <w:rFonts w:hint="eastAsia" w:ascii="宋体" w:hAnsi="宋体" w:cs="宋体"/>
          <w:b/>
          <w:sz w:val="32"/>
          <w:szCs w:val="32"/>
        </w:rPr>
        <w:t>评审办法</w:t>
      </w:r>
    </w:p>
    <w:p>
      <w:pPr>
        <w:pStyle w:val="53"/>
        <w:keepNext w:val="0"/>
        <w:keepLines w:val="0"/>
        <w:pageBreakBefore w:val="0"/>
        <w:widowControl w:val="0"/>
        <w:kinsoku/>
        <w:wordWrap/>
        <w:overflowPunct/>
        <w:topLinePunct w:val="0"/>
        <w:autoSpaceDE/>
        <w:autoSpaceDN/>
        <w:bidi w:val="0"/>
        <w:adjustRightInd/>
        <w:spacing w:line="380" w:lineRule="exact"/>
        <w:ind w:firstLine="440" w:firstLineChars="200"/>
        <w:textAlignment w:val="auto"/>
        <w:rPr>
          <w:rFonts w:ascii="宋体" w:cs="宋体"/>
          <w:bCs w:val="0"/>
          <w:spacing w:val="0"/>
          <w:sz w:val="22"/>
          <w:szCs w:val="22"/>
        </w:rPr>
      </w:pPr>
      <w:r>
        <w:rPr>
          <w:rFonts w:hint="eastAsia" w:ascii="宋体" w:hAnsi="宋体" w:cs="宋体"/>
          <w:bCs w:val="0"/>
          <w:spacing w:val="0"/>
          <w:sz w:val="22"/>
          <w:szCs w:val="22"/>
        </w:rPr>
        <w:t>磋商前，采购代理机构工作人员向磋商小组成员宣布和印发磋商纪律和磋商工作规则，并遵照执行。磋商小组成员签署《政府采购项目评审专家承诺书》。磋商小组成员对与自己有利害关系的磋商项目应当主动提出回避。</w:t>
      </w:r>
      <w:r>
        <w:rPr>
          <w:rFonts w:ascii="宋体" w:cs="宋体"/>
          <w:bCs w:val="0"/>
          <w:spacing w:val="0"/>
          <w:sz w:val="22"/>
          <w:szCs w:val="22"/>
        </w:rPr>
        <w:t> </w:t>
      </w:r>
    </w:p>
    <w:p>
      <w:pPr>
        <w:pStyle w:val="53"/>
        <w:keepNext w:val="0"/>
        <w:keepLines w:val="0"/>
        <w:pageBreakBefore w:val="0"/>
        <w:widowControl w:val="0"/>
        <w:kinsoku/>
        <w:wordWrap/>
        <w:overflowPunct/>
        <w:topLinePunct w:val="0"/>
        <w:autoSpaceDE/>
        <w:autoSpaceDN/>
        <w:bidi w:val="0"/>
        <w:adjustRightInd/>
        <w:spacing w:line="380" w:lineRule="exact"/>
        <w:ind w:firstLine="440" w:firstLineChars="200"/>
        <w:textAlignment w:val="auto"/>
        <w:rPr>
          <w:rFonts w:ascii="宋体" w:cs="宋体"/>
          <w:bCs w:val="0"/>
          <w:spacing w:val="0"/>
          <w:sz w:val="22"/>
          <w:szCs w:val="22"/>
        </w:rPr>
      </w:pPr>
      <w:r>
        <w:rPr>
          <w:rFonts w:hint="eastAsia" w:ascii="宋体" w:hAnsi="宋体" w:cs="宋体"/>
          <w:bCs w:val="0"/>
          <w:spacing w:val="0"/>
          <w:sz w:val="22"/>
          <w:szCs w:val="22"/>
        </w:rPr>
        <w:t>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w:t>
      </w:r>
      <w:r>
        <w:rPr>
          <w:rFonts w:ascii="宋体" w:cs="宋体"/>
          <w:bCs w:val="0"/>
          <w:spacing w:val="0"/>
          <w:sz w:val="22"/>
          <w:szCs w:val="22"/>
        </w:rPr>
        <w:t> </w:t>
      </w:r>
    </w:p>
    <w:p>
      <w:pPr>
        <w:pStyle w:val="53"/>
        <w:keepNext w:val="0"/>
        <w:keepLines w:val="0"/>
        <w:pageBreakBefore w:val="0"/>
        <w:widowControl w:val="0"/>
        <w:kinsoku/>
        <w:wordWrap/>
        <w:overflowPunct/>
        <w:topLinePunct w:val="0"/>
        <w:autoSpaceDE/>
        <w:autoSpaceDN/>
        <w:bidi w:val="0"/>
        <w:adjustRightInd/>
        <w:spacing w:line="380" w:lineRule="exact"/>
        <w:ind w:firstLine="440" w:firstLineChars="200"/>
        <w:textAlignment w:val="auto"/>
        <w:rPr>
          <w:rFonts w:ascii="宋体" w:cs="宋体"/>
          <w:sz w:val="22"/>
          <w:szCs w:val="22"/>
        </w:rPr>
      </w:pPr>
      <w:r>
        <w:rPr>
          <w:rFonts w:hint="eastAsia" w:ascii="宋体" w:hAnsi="宋体" w:cs="宋体"/>
          <w:bCs w:val="0"/>
          <w:spacing w:val="0"/>
          <w:sz w:val="22"/>
          <w:szCs w:val="22"/>
        </w:rPr>
        <w:t>采购代理机构指定专人负责对磋商过程和重要磋商内容进行记录，采购代理机构、采购人代表、磋商小组所有成员在记录上签字确认，并存档备查。</w:t>
      </w:r>
      <w:r>
        <w:rPr>
          <w:rFonts w:ascii="宋体" w:cs="宋体"/>
          <w:bCs w:val="0"/>
          <w:spacing w:val="0"/>
          <w:sz w:val="22"/>
          <w:szCs w:val="22"/>
        </w:rPr>
        <w:t> </w:t>
      </w:r>
    </w:p>
    <w:p>
      <w:pPr>
        <w:pStyle w:val="53"/>
        <w:keepNext w:val="0"/>
        <w:keepLines w:val="0"/>
        <w:pageBreakBefore w:val="0"/>
        <w:widowControl w:val="0"/>
        <w:kinsoku/>
        <w:wordWrap/>
        <w:overflowPunct/>
        <w:topLinePunct w:val="0"/>
        <w:autoSpaceDE/>
        <w:autoSpaceDN/>
        <w:bidi w:val="0"/>
        <w:adjustRightInd/>
        <w:spacing w:before="120" w:after="120" w:line="380" w:lineRule="exact"/>
        <w:textAlignment w:val="auto"/>
        <w:rPr>
          <w:rFonts w:ascii="宋体" w:cs="宋体"/>
          <w:b/>
          <w:sz w:val="22"/>
          <w:szCs w:val="22"/>
        </w:rPr>
      </w:pPr>
      <w:r>
        <w:rPr>
          <w:rFonts w:ascii="宋体" w:cs="宋体"/>
          <w:sz w:val="22"/>
          <w:szCs w:val="22"/>
        </w:rPr>
        <w:t> </w:t>
      </w:r>
      <w:r>
        <w:rPr>
          <w:rFonts w:hint="eastAsia" w:ascii="宋体" w:hAnsi="宋体" w:cs="宋体"/>
          <w:b/>
          <w:sz w:val="22"/>
          <w:szCs w:val="22"/>
        </w:rPr>
        <w:t>一、评标原则</w:t>
      </w:r>
    </w:p>
    <w:p>
      <w:pPr>
        <w:pStyle w:val="12"/>
        <w:keepNext w:val="0"/>
        <w:keepLines w:val="0"/>
        <w:pageBreakBefore w:val="0"/>
        <w:widowControl w:val="0"/>
        <w:kinsoku/>
        <w:wordWrap/>
        <w:overflowPunct/>
        <w:topLinePunct w:val="0"/>
        <w:autoSpaceDE/>
        <w:autoSpaceDN/>
        <w:bidi w:val="0"/>
        <w:adjustRightInd/>
        <w:snapToGrid w:val="0"/>
        <w:spacing w:before="120" w:after="120" w:line="380" w:lineRule="exact"/>
        <w:ind w:firstLine="440" w:firstLineChars="200"/>
        <w:textAlignment w:val="auto"/>
        <w:outlineLvl w:val="0"/>
        <w:rPr>
          <w:rFonts w:hAnsi="宋体" w:cs="宋体"/>
          <w:sz w:val="22"/>
          <w:szCs w:val="22"/>
        </w:rPr>
      </w:pPr>
      <w:r>
        <w:rPr>
          <w:rFonts w:hAnsi="宋体" w:cs="宋体"/>
          <w:sz w:val="22"/>
          <w:szCs w:val="22"/>
        </w:rPr>
        <w:t>(</w:t>
      </w:r>
      <w:r>
        <w:rPr>
          <w:rFonts w:hint="eastAsia" w:hAnsi="宋体" w:cs="宋体"/>
          <w:sz w:val="22"/>
          <w:szCs w:val="22"/>
        </w:rPr>
        <w:t>一</w:t>
      </w:r>
      <w:r>
        <w:rPr>
          <w:rFonts w:hAnsi="宋体" w:cs="宋体"/>
          <w:sz w:val="22"/>
          <w:szCs w:val="22"/>
        </w:rPr>
        <w:t>)</w:t>
      </w:r>
      <w:r>
        <w:rPr>
          <w:rFonts w:hint="eastAsia" w:hAnsi="宋体" w:cs="宋体"/>
          <w:sz w:val="22"/>
          <w:szCs w:val="22"/>
        </w:rPr>
        <w:t>评委组成：本招标采购项目的磋商小组由依法组成的评审专家、采购人代表组成，成员人数应当为三人或以上单数。其中，专家人数不得少于成员总数的三分之二。</w:t>
      </w:r>
    </w:p>
    <w:p>
      <w:pPr>
        <w:pStyle w:val="12"/>
        <w:keepNext w:val="0"/>
        <w:keepLines w:val="0"/>
        <w:pageBreakBefore w:val="0"/>
        <w:widowControl w:val="0"/>
        <w:kinsoku/>
        <w:wordWrap/>
        <w:overflowPunct/>
        <w:topLinePunct w:val="0"/>
        <w:autoSpaceDE/>
        <w:autoSpaceDN/>
        <w:bidi w:val="0"/>
        <w:adjustRightInd/>
        <w:snapToGrid w:val="0"/>
        <w:spacing w:before="120" w:after="120" w:line="380" w:lineRule="exact"/>
        <w:ind w:firstLine="440" w:firstLineChars="200"/>
        <w:textAlignment w:val="auto"/>
        <w:outlineLvl w:val="0"/>
        <w:rPr>
          <w:rFonts w:hAnsi="宋体" w:cs="宋体"/>
          <w:sz w:val="22"/>
          <w:szCs w:val="22"/>
        </w:rPr>
      </w:pPr>
      <w:r>
        <w:rPr>
          <w:rFonts w:hAnsi="宋体" w:cs="宋体"/>
          <w:sz w:val="22"/>
          <w:szCs w:val="22"/>
        </w:rPr>
        <w:t>(</w:t>
      </w:r>
      <w:r>
        <w:rPr>
          <w:rFonts w:hint="eastAsia" w:hAnsi="宋体" w:cs="宋体"/>
          <w:sz w:val="22"/>
          <w:szCs w:val="22"/>
        </w:rPr>
        <w:t>二</w:t>
      </w:r>
      <w:r>
        <w:rPr>
          <w:rFonts w:hAnsi="宋体" w:cs="宋体"/>
          <w:sz w:val="22"/>
          <w:szCs w:val="22"/>
        </w:rPr>
        <w:t>)</w:t>
      </w:r>
      <w:r>
        <w:rPr>
          <w:rFonts w:hint="eastAsia" w:hAnsi="宋体" w:cs="宋体"/>
          <w:sz w:val="22"/>
          <w:szCs w:val="22"/>
        </w:rPr>
        <w:t>评标依据：评委将以竞争性磋商文件及响应文件为评标依据，在资格、符合性审查合格后，对磋商报价、技术、售后服务、业绩等内容按百分制打分。</w:t>
      </w:r>
    </w:p>
    <w:p>
      <w:pPr>
        <w:pStyle w:val="12"/>
        <w:keepNext w:val="0"/>
        <w:keepLines w:val="0"/>
        <w:pageBreakBefore w:val="0"/>
        <w:widowControl w:val="0"/>
        <w:kinsoku/>
        <w:wordWrap/>
        <w:overflowPunct/>
        <w:topLinePunct w:val="0"/>
        <w:autoSpaceDE/>
        <w:autoSpaceDN/>
        <w:bidi w:val="0"/>
        <w:adjustRightInd/>
        <w:snapToGrid w:val="0"/>
        <w:spacing w:before="120" w:after="120" w:line="380" w:lineRule="exact"/>
        <w:ind w:firstLine="440" w:firstLineChars="200"/>
        <w:textAlignment w:val="auto"/>
        <w:outlineLvl w:val="0"/>
        <w:rPr>
          <w:rFonts w:hAnsi="宋体" w:cs="宋体"/>
          <w:sz w:val="22"/>
          <w:szCs w:val="22"/>
        </w:rPr>
      </w:pPr>
      <w:r>
        <w:rPr>
          <w:rFonts w:hint="eastAsia" w:hAnsi="宋体" w:cs="宋体"/>
          <w:sz w:val="22"/>
          <w:szCs w:val="22"/>
        </w:rPr>
        <w:t>（三）评标方式：以封闭方式进行。</w:t>
      </w:r>
    </w:p>
    <w:p>
      <w:pPr>
        <w:pStyle w:val="12"/>
        <w:keepNext w:val="0"/>
        <w:keepLines w:val="0"/>
        <w:pageBreakBefore w:val="0"/>
        <w:widowControl w:val="0"/>
        <w:kinsoku/>
        <w:wordWrap/>
        <w:overflowPunct/>
        <w:topLinePunct w:val="0"/>
        <w:autoSpaceDE/>
        <w:autoSpaceDN/>
        <w:bidi w:val="0"/>
        <w:adjustRightInd/>
        <w:snapToGrid w:val="0"/>
        <w:spacing w:before="120" w:after="120" w:line="380" w:lineRule="exact"/>
        <w:textAlignment w:val="auto"/>
        <w:outlineLvl w:val="0"/>
        <w:rPr>
          <w:rFonts w:hAnsi="宋体" w:cs="宋体"/>
          <w:b/>
          <w:sz w:val="22"/>
          <w:szCs w:val="22"/>
        </w:rPr>
      </w:pPr>
      <w:r>
        <w:rPr>
          <w:rFonts w:hint="eastAsia" w:hAnsi="宋体" w:cs="宋体"/>
          <w:b/>
          <w:sz w:val="22"/>
          <w:szCs w:val="22"/>
        </w:rPr>
        <w:t>二、评标方法</w:t>
      </w:r>
    </w:p>
    <w:p>
      <w:pPr>
        <w:pStyle w:val="12"/>
        <w:keepNext w:val="0"/>
        <w:keepLines w:val="0"/>
        <w:pageBreakBefore w:val="0"/>
        <w:widowControl w:val="0"/>
        <w:kinsoku/>
        <w:wordWrap/>
        <w:overflowPunct/>
        <w:topLinePunct w:val="0"/>
        <w:autoSpaceDE/>
        <w:autoSpaceDN/>
        <w:bidi w:val="0"/>
        <w:adjustRightInd/>
        <w:snapToGrid w:val="0"/>
        <w:spacing w:before="120" w:after="120" w:line="380" w:lineRule="exact"/>
        <w:ind w:firstLine="442" w:firstLineChars="200"/>
        <w:textAlignment w:val="auto"/>
        <w:outlineLvl w:val="0"/>
        <w:rPr>
          <w:rFonts w:hAnsi="宋体" w:cs="宋体"/>
          <w:b/>
          <w:sz w:val="22"/>
          <w:szCs w:val="22"/>
        </w:rPr>
      </w:pPr>
      <w:r>
        <w:rPr>
          <w:rFonts w:hint="eastAsia" w:hAnsi="宋体" w:cs="宋体"/>
          <w:b/>
          <w:sz w:val="22"/>
          <w:szCs w:val="22"/>
        </w:rPr>
        <w:t>（一）对进入详评的，采用百分制综合评分法。</w:t>
      </w:r>
    </w:p>
    <w:p>
      <w:pPr>
        <w:pStyle w:val="12"/>
        <w:keepNext w:val="0"/>
        <w:keepLines w:val="0"/>
        <w:pageBreakBefore w:val="0"/>
        <w:widowControl w:val="0"/>
        <w:kinsoku/>
        <w:wordWrap/>
        <w:overflowPunct/>
        <w:topLinePunct w:val="0"/>
        <w:autoSpaceDE/>
        <w:autoSpaceDN/>
        <w:bidi w:val="0"/>
        <w:adjustRightInd/>
        <w:snapToGrid w:val="0"/>
        <w:spacing w:before="120" w:after="120" w:line="380" w:lineRule="exact"/>
        <w:ind w:firstLine="442" w:firstLineChars="200"/>
        <w:textAlignment w:val="auto"/>
        <w:outlineLvl w:val="0"/>
        <w:rPr>
          <w:rFonts w:hAnsi="宋体" w:cs="宋体"/>
          <w:b/>
          <w:sz w:val="22"/>
          <w:szCs w:val="22"/>
        </w:rPr>
      </w:pPr>
      <w:r>
        <w:rPr>
          <w:rFonts w:hint="eastAsia" w:hAnsi="宋体" w:cs="宋体"/>
          <w:b/>
          <w:sz w:val="22"/>
          <w:szCs w:val="22"/>
        </w:rPr>
        <w:t>（二）计分办法（按四舍五入保留两位小数）：</w:t>
      </w:r>
    </w:p>
    <w:p>
      <w:pPr>
        <w:keepNext w:val="0"/>
        <w:keepLines w:val="0"/>
        <w:pageBreakBefore w:val="0"/>
        <w:widowControl w:val="0"/>
        <w:kinsoku/>
        <w:wordWrap/>
        <w:overflowPunct/>
        <w:topLinePunct w:val="0"/>
        <w:autoSpaceDE/>
        <w:autoSpaceDN/>
        <w:bidi w:val="0"/>
        <w:adjustRightInd/>
        <w:spacing w:line="380" w:lineRule="exact"/>
        <w:ind w:firstLine="420"/>
        <w:textAlignment w:val="auto"/>
        <w:rPr>
          <w:rFonts w:ascii="宋体" w:cs="宋体"/>
          <w:b/>
          <w:bCs/>
          <w:kern w:val="0"/>
          <w:sz w:val="22"/>
          <w:szCs w:val="22"/>
        </w:rPr>
      </w:pPr>
      <w:r>
        <w:rPr>
          <w:rFonts w:ascii="宋体" w:hAnsi="宋体" w:cs="宋体"/>
          <w:b/>
          <w:bCs/>
          <w:kern w:val="0"/>
          <w:sz w:val="22"/>
          <w:szCs w:val="22"/>
        </w:rPr>
        <w:t>1</w:t>
      </w:r>
      <w:r>
        <w:rPr>
          <w:rFonts w:hint="eastAsia" w:ascii="宋体" w:hAnsi="宋体" w:cs="宋体"/>
          <w:b/>
          <w:bCs/>
          <w:kern w:val="0"/>
          <w:sz w:val="22"/>
          <w:szCs w:val="22"/>
        </w:rPr>
        <w:t>、价格分………………………………………………………………………………</w:t>
      </w:r>
      <w:r>
        <w:rPr>
          <w:rFonts w:hint="eastAsia" w:ascii="宋体" w:hAnsi="宋体" w:cs="宋体"/>
          <w:b/>
          <w:bCs/>
          <w:kern w:val="0"/>
          <w:sz w:val="22"/>
          <w:szCs w:val="22"/>
          <w:lang w:val="en-US" w:eastAsia="zh-CN"/>
        </w:rPr>
        <w:t>30</w:t>
      </w:r>
      <w:r>
        <w:rPr>
          <w:rFonts w:hint="eastAsia" w:ascii="宋体" w:hAnsi="宋体" w:cs="宋体"/>
          <w:b/>
          <w:bCs/>
          <w:kern w:val="0"/>
          <w:sz w:val="22"/>
          <w:szCs w:val="22"/>
        </w:rPr>
        <w:t>分</w:t>
      </w:r>
    </w:p>
    <w:p>
      <w:pPr>
        <w:keepNext w:val="0"/>
        <w:keepLines w:val="0"/>
        <w:pageBreakBefore w:val="0"/>
        <w:widowControl w:val="0"/>
        <w:kinsoku/>
        <w:wordWrap/>
        <w:overflowPunct/>
        <w:topLinePunct w:val="0"/>
        <w:autoSpaceDE/>
        <w:autoSpaceDN/>
        <w:bidi w:val="0"/>
        <w:adjustRightInd/>
        <w:spacing w:line="38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1</w:t>
      </w:r>
      <w:r>
        <w:rPr>
          <w:rFonts w:hint="eastAsia" w:ascii="宋体" w:hAnsi="宋体" w:cs="宋体"/>
          <w:bCs/>
          <w:kern w:val="0"/>
          <w:sz w:val="22"/>
          <w:szCs w:val="22"/>
        </w:rPr>
        <w:t>）评标价为供应商的磋商报价进行政策性扣除后的价格，评标价只是作为评标时使用。最终成交人的成交金额＝成交人的最终报价。</w:t>
      </w:r>
    </w:p>
    <w:p>
      <w:pPr>
        <w:keepNext w:val="0"/>
        <w:keepLines w:val="0"/>
        <w:pageBreakBefore w:val="0"/>
        <w:widowControl w:val="0"/>
        <w:kinsoku/>
        <w:wordWrap/>
        <w:overflowPunct/>
        <w:topLinePunct w:val="0"/>
        <w:autoSpaceDE/>
        <w:autoSpaceDN/>
        <w:bidi w:val="0"/>
        <w:adjustRightInd/>
        <w:spacing w:line="38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2</w:t>
      </w:r>
      <w:r>
        <w:rPr>
          <w:rFonts w:hint="eastAsia" w:ascii="宋体" w:hAnsi="宋体" w:cs="宋体"/>
          <w:bCs/>
          <w:kern w:val="0"/>
          <w:sz w:val="22"/>
          <w:szCs w:val="22"/>
        </w:rPr>
        <w:t>）政策性扣除计算方法。</w:t>
      </w:r>
    </w:p>
    <w:p>
      <w:pPr>
        <w:keepNext w:val="0"/>
        <w:keepLines w:val="0"/>
        <w:pageBreakBefore w:val="0"/>
        <w:widowControl w:val="0"/>
        <w:kinsoku/>
        <w:wordWrap/>
        <w:overflowPunct/>
        <w:topLinePunct w:val="0"/>
        <w:autoSpaceDE/>
        <w:autoSpaceDN/>
        <w:bidi w:val="0"/>
        <w:adjustRightInd/>
        <w:spacing w:line="380" w:lineRule="exact"/>
        <w:ind w:firstLine="420"/>
        <w:textAlignment w:val="auto"/>
        <w:rPr>
          <w:rFonts w:ascii="宋体" w:cs="宋体"/>
          <w:bCs/>
          <w:kern w:val="0"/>
          <w:sz w:val="22"/>
          <w:szCs w:val="22"/>
        </w:rPr>
      </w:pPr>
      <w:r>
        <w:rPr>
          <w:rFonts w:hint="eastAsia" w:ascii="宋体" w:hAnsi="宋体" w:cs="宋体"/>
          <w:bCs/>
          <w:kern w:val="0"/>
          <w:sz w:val="22"/>
          <w:szCs w:val="22"/>
        </w:rPr>
        <w:t>供应商符合小型、微型企业或监狱企业条件的，其磋商报价将按相应比例进行扣除，用扣除后的价格参与评审（计算价格分）。</w:t>
      </w:r>
    </w:p>
    <w:p>
      <w:pPr>
        <w:keepNext w:val="0"/>
        <w:keepLines w:val="0"/>
        <w:pageBreakBefore w:val="0"/>
        <w:widowControl w:val="0"/>
        <w:kinsoku/>
        <w:wordWrap/>
        <w:overflowPunct/>
        <w:topLinePunct w:val="0"/>
        <w:autoSpaceDE/>
        <w:autoSpaceDN/>
        <w:bidi w:val="0"/>
        <w:adjustRightInd/>
        <w:spacing w:line="38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3</w:t>
      </w:r>
      <w:r>
        <w:rPr>
          <w:rFonts w:hint="eastAsia" w:ascii="宋体" w:hAnsi="宋体" w:cs="宋体"/>
          <w:bCs/>
          <w:kern w:val="0"/>
          <w:sz w:val="22"/>
          <w:szCs w:val="22"/>
        </w:rPr>
        <w:t>）按照《财政部、司法部关于政府采购支持监狱企业发展有关问题的通知》（财库〔</w:t>
      </w:r>
      <w:r>
        <w:rPr>
          <w:rFonts w:ascii="宋体" w:hAnsi="宋体" w:cs="宋体"/>
          <w:bCs/>
          <w:kern w:val="0"/>
          <w:sz w:val="22"/>
          <w:szCs w:val="22"/>
        </w:rPr>
        <w:t>2014</w:t>
      </w:r>
      <w:r>
        <w:rPr>
          <w:rFonts w:hint="eastAsia" w:ascii="宋体" w:hAnsi="宋体" w:cs="宋体"/>
          <w:bCs/>
          <w:kern w:val="0"/>
          <w:sz w:val="22"/>
          <w:szCs w:val="22"/>
        </w:rPr>
        <w:t>〕</w:t>
      </w:r>
      <w:r>
        <w:rPr>
          <w:rFonts w:ascii="宋体" w:hAnsi="宋体" w:cs="宋体"/>
          <w:bCs/>
          <w:kern w:val="0"/>
          <w:sz w:val="22"/>
          <w:szCs w:val="22"/>
        </w:rPr>
        <w:t>68</w:t>
      </w:r>
      <w:r>
        <w:rPr>
          <w:rFonts w:hint="eastAsia" w:ascii="宋体" w:hAnsi="宋体" w:cs="宋体"/>
          <w:bCs/>
          <w:kern w:val="0"/>
          <w:sz w:val="22"/>
          <w:szCs w:val="22"/>
        </w:rPr>
        <w:t>号）之规定，监狱企业视同小型、微型企业。</w:t>
      </w:r>
    </w:p>
    <w:p>
      <w:pPr>
        <w:keepNext w:val="0"/>
        <w:keepLines w:val="0"/>
        <w:pageBreakBefore w:val="0"/>
        <w:widowControl w:val="0"/>
        <w:kinsoku/>
        <w:wordWrap/>
        <w:overflowPunct/>
        <w:topLinePunct w:val="0"/>
        <w:autoSpaceDE/>
        <w:autoSpaceDN/>
        <w:bidi w:val="0"/>
        <w:adjustRightInd/>
        <w:spacing w:line="38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4</w:t>
      </w:r>
      <w:r>
        <w:rPr>
          <w:rFonts w:hint="eastAsia" w:ascii="宋体" w:hAnsi="宋体" w:cs="宋体"/>
          <w:bCs/>
          <w:kern w:val="0"/>
          <w:sz w:val="22"/>
          <w:szCs w:val="22"/>
        </w:rPr>
        <w:t>）按照《政府</w:t>
      </w:r>
      <w:r>
        <w:rPr>
          <w:rFonts w:hint="eastAsia" w:ascii="宋体" w:hAnsi="宋体" w:cs="宋体"/>
          <w:bCs/>
          <w:kern w:val="0"/>
          <w:sz w:val="22"/>
          <w:szCs w:val="22"/>
          <w:highlight w:val="none"/>
        </w:rPr>
        <w:t>采购促进中小企业发展暂行办法》（财库</w:t>
      </w:r>
      <w:r>
        <w:rPr>
          <w:rFonts w:ascii="宋体" w:hAnsi="宋体" w:cs="宋体"/>
          <w:bCs/>
          <w:kern w:val="0"/>
          <w:sz w:val="22"/>
          <w:szCs w:val="22"/>
          <w:highlight w:val="none"/>
        </w:rPr>
        <w:t>[2011]181</w:t>
      </w:r>
      <w:r>
        <w:rPr>
          <w:rFonts w:hint="eastAsia" w:ascii="宋体" w:hAnsi="宋体" w:cs="宋体"/>
          <w:bCs/>
          <w:kern w:val="0"/>
          <w:sz w:val="22"/>
          <w:szCs w:val="22"/>
          <w:highlight w:val="none"/>
        </w:rPr>
        <w:t>号）之规定，</w:t>
      </w:r>
      <w:r>
        <w:rPr>
          <w:rFonts w:hint="eastAsia" w:ascii="宋体" w:hAnsi="宋体" w:cs="宋体"/>
          <w:bCs/>
          <w:kern w:val="0"/>
          <w:sz w:val="22"/>
          <w:szCs w:val="22"/>
          <w:highlight w:val="none"/>
          <w:lang w:eastAsia="zh-CN"/>
        </w:rPr>
        <w:t>所投</w:t>
      </w:r>
      <w:r>
        <w:rPr>
          <w:rFonts w:hint="eastAsia" w:ascii="宋体" w:hAnsi="宋体" w:cs="宋体"/>
          <w:bCs/>
          <w:kern w:val="0"/>
          <w:sz w:val="22"/>
          <w:szCs w:val="22"/>
          <w:highlight w:val="none"/>
        </w:rPr>
        <w:t>产品被认定为小型和微型企业产品（</w:t>
      </w:r>
      <w:r>
        <w:rPr>
          <w:rFonts w:hint="eastAsia" w:ascii="宋体" w:hAnsi="宋体" w:cs="宋体"/>
          <w:b/>
          <w:sz w:val="22"/>
          <w:szCs w:val="22"/>
          <w:highlight w:val="none"/>
        </w:rPr>
        <w:t>以响应文件提供的符合规定的有关证明材料为准</w:t>
      </w:r>
      <w:r>
        <w:rPr>
          <w:rFonts w:hint="eastAsia" w:ascii="宋体" w:hAnsi="宋体" w:cs="宋体"/>
          <w:bCs/>
          <w:kern w:val="0"/>
          <w:sz w:val="22"/>
          <w:szCs w:val="22"/>
          <w:highlight w:val="none"/>
        </w:rPr>
        <w:t>），对小型和微型企业产品的价格给予</w:t>
      </w:r>
      <w:r>
        <w:rPr>
          <w:rFonts w:hint="eastAsia" w:ascii="宋体" w:hAnsi="宋体" w:cs="宋体"/>
          <w:bCs/>
          <w:kern w:val="0"/>
          <w:sz w:val="22"/>
          <w:szCs w:val="22"/>
          <w:highlight w:val="none"/>
          <w:lang w:val="en-US" w:eastAsia="zh-CN"/>
        </w:rPr>
        <w:t>10</w:t>
      </w:r>
      <w:r>
        <w:rPr>
          <w:rFonts w:ascii="宋体" w:hAnsi="宋体" w:cs="宋体"/>
          <w:bCs/>
          <w:kern w:val="0"/>
          <w:sz w:val="22"/>
          <w:szCs w:val="22"/>
          <w:highlight w:val="none"/>
        </w:rPr>
        <w:t>%</w:t>
      </w:r>
      <w:r>
        <w:rPr>
          <w:rFonts w:hint="eastAsia" w:ascii="宋体" w:hAnsi="宋体" w:cs="宋体"/>
          <w:bCs/>
          <w:kern w:val="0"/>
          <w:sz w:val="22"/>
          <w:szCs w:val="22"/>
          <w:highlight w:val="none"/>
        </w:rPr>
        <w:t>的扣除，扣除后的价格为评标价，即评标价</w:t>
      </w:r>
      <w:r>
        <w:rPr>
          <w:rFonts w:ascii="宋体" w:hAnsi="宋体" w:cs="宋体"/>
          <w:bCs/>
          <w:kern w:val="0"/>
          <w:sz w:val="22"/>
          <w:szCs w:val="22"/>
          <w:highlight w:val="none"/>
        </w:rPr>
        <w:t>=</w:t>
      </w:r>
      <w:r>
        <w:rPr>
          <w:rFonts w:hint="eastAsia" w:ascii="宋体" w:hAnsi="宋体" w:cs="宋体"/>
          <w:bCs/>
          <w:kern w:val="0"/>
          <w:sz w:val="22"/>
          <w:szCs w:val="22"/>
          <w:highlight w:val="none"/>
        </w:rPr>
        <w:t>最终报价×（</w:t>
      </w:r>
      <w:r>
        <w:rPr>
          <w:rFonts w:ascii="宋体" w:hAnsi="宋体" w:cs="宋体"/>
          <w:bCs/>
          <w:kern w:val="0"/>
          <w:sz w:val="22"/>
          <w:szCs w:val="22"/>
          <w:highlight w:val="none"/>
        </w:rPr>
        <w:t>1-</w:t>
      </w:r>
      <w:r>
        <w:rPr>
          <w:rFonts w:hint="eastAsia" w:ascii="宋体" w:hAnsi="宋体" w:cs="宋体"/>
          <w:bCs/>
          <w:kern w:val="0"/>
          <w:sz w:val="22"/>
          <w:szCs w:val="22"/>
          <w:highlight w:val="none"/>
          <w:lang w:val="en-US" w:eastAsia="zh-CN"/>
        </w:rPr>
        <w:t>10</w:t>
      </w:r>
      <w:r>
        <w:rPr>
          <w:rFonts w:ascii="宋体" w:hAnsi="宋体" w:cs="宋体"/>
          <w:bCs/>
          <w:kern w:val="0"/>
          <w:sz w:val="22"/>
          <w:szCs w:val="22"/>
          <w:highlight w:val="none"/>
        </w:rPr>
        <w:t>%</w:t>
      </w:r>
      <w:r>
        <w:rPr>
          <w:rFonts w:hint="eastAsia" w:ascii="宋体" w:hAnsi="宋体" w:cs="宋体"/>
          <w:bCs/>
          <w:kern w:val="0"/>
          <w:sz w:val="22"/>
          <w:szCs w:val="22"/>
          <w:highlight w:val="none"/>
        </w:rPr>
        <w:t>）；</w:t>
      </w:r>
      <w:r>
        <w:rPr>
          <w:rFonts w:hint="eastAsia" w:ascii="宋体" w:hAnsi="宋体" w:cs="宋体"/>
          <w:bCs/>
          <w:kern w:val="0"/>
          <w:sz w:val="22"/>
          <w:szCs w:val="22"/>
        </w:rPr>
        <w:t>除上述情况外，评标价</w:t>
      </w:r>
      <w:r>
        <w:rPr>
          <w:rFonts w:ascii="宋体" w:hAnsi="宋体" w:cs="宋体"/>
          <w:bCs/>
          <w:kern w:val="0"/>
          <w:sz w:val="22"/>
          <w:szCs w:val="22"/>
        </w:rPr>
        <w:t>=</w:t>
      </w:r>
      <w:r>
        <w:rPr>
          <w:rFonts w:hint="eastAsia" w:ascii="宋体" w:hAnsi="宋体" w:cs="宋体"/>
          <w:bCs/>
          <w:kern w:val="0"/>
          <w:sz w:val="22"/>
          <w:szCs w:val="22"/>
        </w:rPr>
        <w:t>最终报价。</w:t>
      </w:r>
    </w:p>
    <w:p>
      <w:pPr>
        <w:keepNext w:val="0"/>
        <w:keepLines w:val="0"/>
        <w:pageBreakBefore w:val="0"/>
        <w:widowControl w:val="0"/>
        <w:kinsoku/>
        <w:wordWrap/>
        <w:overflowPunct/>
        <w:topLinePunct w:val="0"/>
        <w:autoSpaceDE/>
        <w:autoSpaceDN/>
        <w:bidi w:val="0"/>
        <w:adjustRightInd/>
        <w:spacing w:line="38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5</w:t>
      </w:r>
      <w:r>
        <w:rPr>
          <w:rFonts w:hint="eastAsia" w:ascii="宋体" w:hAnsi="宋体" w:cs="宋体"/>
          <w:bCs/>
          <w:kern w:val="0"/>
          <w:sz w:val="22"/>
          <w:szCs w:val="22"/>
        </w:rPr>
        <w:t>）以进入综合评分环节的最低的评标价为基准价，基准价报价得分为</w:t>
      </w:r>
      <w:r>
        <w:rPr>
          <w:rFonts w:hint="eastAsia" w:ascii="宋体" w:hAnsi="宋体" w:cs="宋体"/>
          <w:bCs/>
          <w:kern w:val="0"/>
          <w:sz w:val="22"/>
          <w:szCs w:val="22"/>
          <w:lang w:val="en-US" w:eastAsia="zh-CN"/>
        </w:rPr>
        <w:t>3</w:t>
      </w:r>
      <w:r>
        <w:rPr>
          <w:rFonts w:ascii="宋体" w:hAnsi="宋体" w:cs="宋体"/>
          <w:bCs/>
          <w:kern w:val="0"/>
          <w:sz w:val="22"/>
          <w:szCs w:val="22"/>
        </w:rPr>
        <w:t>0</w:t>
      </w:r>
      <w:r>
        <w:rPr>
          <w:rFonts w:hint="eastAsia" w:ascii="宋体" w:hAnsi="宋体" w:cs="宋体"/>
          <w:bCs/>
          <w:kern w:val="0"/>
          <w:sz w:val="22"/>
          <w:szCs w:val="22"/>
        </w:rPr>
        <w:t>分。</w:t>
      </w:r>
    </w:p>
    <w:p>
      <w:pPr>
        <w:keepNext w:val="0"/>
        <w:keepLines w:val="0"/>
        <w:pageBreakBefore w:val="0"/>
        <w:widowControl w:val="0"/>
        <w:kinsoku/>
        <w:wordWrap/>
        <w:overflowPunct/>
        <w:topLinePunct w:val="0"/>
        <w:autoSpaceDE/>
        <w:autoSpaceDN/>
        <w:bidi w:val="0"/>
        <w:adjustRightInd/>
        <w:spacing w:line="38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6</w:t>
      </w:r>
      <w:r>
        <w:rPr>
          <w:rFonts w:hint="eastAsia" w:ascii="宋体" w:hAnsi="宋体" w:cs="宋体"/>
          <w:bCs/>
          <w:kern w:val="0"/>
          <w:sz w:val="22"/>
          <w:szCs w:val="22"/>
        </w:rPr>
        <w:t>）价格分计算公式：</w:t>
      </w:r>
    </w:p>
    <w:p>
      <w:pPr>
        <w:keepNext w:val="0"/>
        <w:keepLines w:val="0"/>
        <w:pageBreakBefore w:val="0"/>
        <w:widowControl w:val="0"/>
        <w:kinsoku/>
        <w:wordWrap/>
        <w:overflowPunct/>
        <w:topLinePunct w:val="0"/>
        <w:autoSpaceDE/>
        <w:autoSpaceDN/>
        <w:bidi w:val="0"/>
        <w:adjustRightInd/>
        <w:spacing w:line="380" w:lineRule="exact"/>
        <w:ind w:firstLine="420"/>
        <w:textAlignment w:val="auto"/>
        <w:rPr>
          <w:rFonts w:ascii="宋体" w:cs="宋体"/>
          <w:bCs/>
          <w:kern w:val="0"/>
          <w:sz w:val="22"/>
          <w:szCs w:val="22"/>
        </w:rPr>
      </w:pPr>
      <w:r>
        <w:rPr>
          <w:rFonts w:hint="eastAsia" w:ascii="宋体" w:hAnsi="宋体" w:cs="宋体"/>
          <w:bCs/>
          <w:kern w:val="0"/>
          <w:sz w:val="22"/>
          <w:szCs w:val="22"/>
        </w:rPr>
        <w:t>某供应商价格分</w:t>
      </w:r>
      <w:r>
        <w:rPr>
          <w:rFonts w:ascii="宋体" w:hAnsi="宋体" w:cs="宋体"/>
          <w:bCs/>
          <w:kern w:val="0"/>
          <w:sz w:val="22"/>
          <w:szCs w:val="22"/>
        </w:rPr>
        <w:t>=</w:t>
      </w:r>
      <w:r>
        <w:rPr>
          <w:rFonts w:hint="eastAsia" w:ascii="宋体" w:hAnsi="宋体" w:cs="宋体"/>
          <w:bCs/>
          <w:kern w:val="0"/>
          <w:sz w:val="22"/>
          <w:szCs w:val="22"/>
        </w:rPr>
        <w:t>基准价</w:t>
      </w:r>
      <w:r>
        <w:rPr>
          <w:rFonts w:ascii="宋体" w:hAnsi="宋体" w:cs="宋体"/>
          <w:bCs/>
          <w:kern w:val="0"/>
          <w:sz w:val="22"/>
          <w:szCs w:val="22"/>
        </w:rPr>
        <w:t>/</w:t>
      </w:r>
      <w:r>
        <w:rPr>
          <w:rFonts w:hint="eastAsia" w:ascii="宋体" w:hAnsi="宋体" w:cs="宋体"/>
          <w:bCs/>
          <w:kern w:val="0"/>
          <w:sz w:val="22"/>
          <w:szCs w:val="22"/>
        </w:rPr>
        <w:t>某供应商评标价金额×</w:t>
      </w:r>
      <w:r>
        <w:rPr>
          <w:rFonts w:hint="eastAsia" w:ascii="宋体" w:hAnsi="宋体" w:cs="宋体"/>
          <w:bCs/>
          <w:kern w:val="0"/>
          <w:sz w:val="22"/>
          <w:szCs w:val="22"/>
          <w:lang w:val="en-US" w:eastAsia="zh-CN"/>
        </w:rPr>
        <w:t>3</w:t>
      </w:r>
      <w:r>
        <w:rPr>
          <w:rFonts w:ascii="宋体" w:hAnsi="宋体" w:cs="宋体"/>
          <w:bCs/>
          <w:kern w:val="0"/>
          <w:sz w:val="22"/>
          <w:szCs w:val="22"/>
        </w:rPr>
        <w:t>0</w:t>
      </w:r>
      <w:r>
        <w:rPr>
          <w:rFonts w:hint="eastAsia" w:ascii="宋体" w:hAnsi="宋体" w:cs="宋体"/>
          <w:bCs/>
          <w:kern w:val="0"/>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42" w:firstLineChars="200"/>
        <w:jc w:val="left"/>
        <w:textAlignment w:val="auto"/>
        <w:rPr>
          <w:rFonts w:ascii="宋体" w:cs="宋体"/>
          <w:b/>
          <w:bCs/>
          <w:sz w:val="22"/>
          <w:szCs w:val="22"/>
        </w:rPr>
      </w:pPr>
      <w:r>
        <w:rPr>
          <w:rFonts w:hint="eastAsia" w:ascii="宋体" w:hAnsi="宋体"/>
          <w:b/>
          <w:bCs/>
          <w:color w:val="000000"/>
          <w:sz w:val="22"/>
          <w:szCs w:val="22"/>
          <w:lang w:val="en-US" w:eastAsia="zh-CN"/>
        </w:rPr>
        <w:t>2</w:t>
      </w:r>
      <w:r>
        <w:rPr>
          <w:rFonts w:hint="eastAsia" w:ascii="宋体" w:hAnsi="宋体" w:cs="宋体"/>
          <w:b/>
          <w:bCs/>
          <w:sz w:val="22"/>
          <w:szCs w:val="22"/>
          <w:lang w:val="en-US" w:eastAsia="zh-CN"/>
        </w:rPr>
        <w:t>、</w:t>
      </w:r>
      <w:r>
        <w:rPr>
          <w:rFonts w:hint="eastAsia" w:ascii="宋体" w:hAnsi="宋体" w:cs="宋体"/>
          <w:b/>
          <w:bCs/>
          <w:sz w:val="22"/>
          <w:szCs w:val="22"/>
        </w:rPr>
        <w:t>技术分…………………………………………………………………………………</w:t>
      </w:r>
      <w:r>
        <w:rPr>
          <w:rFonts w:hint="eastAsia" w:ascii="宋体" w:hAnsi="宋体" w:cs="宋体"/>
          <w:b/>
          <w:bCs/>
          <w:sz w:val="22"/>
          <w:szCs w:val="22"/>
          <w:lang w:val="en-US" w:eastAsia="zh-CN"/>
        </w:rPr>
        <w:t>31</w:t>
      </w:r>
      <w:r>
        <w:rPr>
          <w:rFonts w:hint="eastAsia" w:ascii="宋体" w:hAnsi="宋体" w:cs="宋体"/>
          <w:b/>
          <w:bCs/>
          <w:sz w:val="22"/>
          <w:szCs w:val="22"/>
        </w:rPr>
        <w:t>分</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（1）规格及技术性能（满分19分）</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①全部满足磋商文件要求的得10分；非“★”号指标不满足每条扣1分，扣完为止；</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②供应商提供的系统（专业版病理、临床决策支持知识库、传染病上报）拥有自主研发知识</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产权，提供产品软件著作权的，每一项得2分，满分6分。</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③为了保证产品的成熟度和稳定性，所标产品生产厂商软件研发实力需通过CMMI 5认证，</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满足得3分。（提供相关证明材料加盖公章）</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（2）技术方案分（满分12分）</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由评委根据各供应商的项目技术方案内容对采购要求的响应程度，在相应等级内独立打分。</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40" w:firstLineChars="200"/>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一档（4分）：评定范围为：提供了项目技术方案，方案功能模块说明不明确。技术方案对本项目针对性不强，稍微满足项目要求。</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二档（8分）：评定范围为：提供了项目技术方案，详细描述了各模块的功能以及实现的技</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术方案，完全满足项目要求。</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200"/>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三档（12分）：评定范围为：提供了项目技术方案，对用户需求理解透彻，方案针对性强，</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cs="宋体"/>
          <w:b w:val="0"/>
          <w:bCs w:val="0"/>
          <w:sz w:val="22"/>
          <w:szCs w:val="22"/>
          <w:lang w:eastAsia="zh-CN"/>
        </w:rPr>
      </w:pPr>
      <w:r>
        <w:rPr>
          <w:rFonts w:hint="eastAsia" w:ascii="宋体" w:hAnsi="宋体" w:cs="宋体"/>
          <w:b w:val="0"/>
          <w:bCs w:val="0"/>
          <w:sz w:val="22"/>
          <w:szCs w:val="22"/>
          <w:lang w:eastAsia="zh-CN"/>
        </w:rPr>
        <w:t>详细描述各模块的功能及实现技术方案，对项目建设总体框架的设计和描述先进、合理、完整、可行。技术方案可行且具有较高的科学性、先进性、可靠性、成熟性、合理性和扩展性。</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42" w:firstLineChars="200"/>
        <w:jc w:val="left"/>
        <w:textAlignment w:val="auto"/>
        <w:rPr>
          <w:rFonts w:hint="eastAsia" w:ascii="宋体" w:hAnsi="宋体" w:cs="宋体"/>
          <w:b/>
          <w:bCs/>
          <w:sz w:val="22"/>
          <w:szCs w:val="22"/>
        </w:rPr>
      </w:pPr>
      <w:r>
        <w:rPr>
          <w:rFonts w:hint="eastAsia" w:ascii="宋体" w:hAnsi="宋体" w:cs="宋体"/>
          <w:b/>
          <w:bCs/>
          <w:sz w:val="22"/>
          <w:szCs w:val="22"/>
          <w:lang w:val="en-US" w:eastAsia="zh-CN"/>
        </w:rPr>
        <w:t>3、</w:t>
      </w:r>
      <w:r>
        <w:rPr>
          <w:rFonts w:hint="eastAsia" w:ascii="宋体" w:hAnsi="宋体" w:cs="宋体"/>
          <w:b/>
          <w:bCs/>
          <w:sz w:val="22"/>
          <w:szCs w:val="22"/>
          <w:lang w:eastAsia="zh-CN"/>
        </w:rPr>
        <w:t>售后服务</w:t>
      </w:r>
      <w:r>
        <w:rPr>
          <w:rFonts w:hint="eastAsia" w:ascii="宋体" w:hAnsi="宋体" w:cs="宋体"/>
          <w:b/>
          <w:bCs/>
          <w:sz w:val="22"/>
          <w:szCs w:val="22"/>
        </w:rPr>
        <w:t>分…………………………………………………………………………</w:t>
      </w:r>
      <w:r>
        <w:rPr>
          <w:rFonts w:hint="eastAsia" w:ascii="宋体" w:hAnsi="宋体" w:cs="宋体"/>
          <w:b/>
          <w:bCs/>
          <w:sz w:val="22"/>
          <w:szCs w:val="22"/>
          <w:lang w:val="en-US" w:eastAsia="zh-CN"/>
        </w:rPr>
        <w:t>22</w:t>
      </w:r>
      <w:r>
        <w:rPr>
          <w:rFonts w:hint="eastAsia" w:ascii="宋体" w:hAnsi="宋体" w:cs="宋体"/>
          <w:b/>
          <w:bCs/>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int="eastAsia" w:ascii="宋体" w:hAnsi="宋体" w:cs="宋体"/>
          <w:b w:val="0"/>
          <w:bCs w:val="0"/>
          <w:sz w:val="22"/>
          <w:szCs w:val="22"/>
        </w:rPr>
      </w:pPr>
      <w:r>
        <w:rPr>
          <w:rFonts w:hint="eastAsia" w:ascii="宋体" w:hAnsi="宋体" w:cs="宋体"/>
          <w:b w:val="0"/>
          <w:bCs w:val="0"/>
          <w:sz w:val="22"/>
          <w:szCs w:val="22"/>
        </w:rPr>
        <w:t>（1）由磋商小组在打分前就各供应商的售后服务方案综合评定各供应商所属档次及分值，达不到一档要求的不得分。（满分12分）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int="eastAsia" w:ascii="宋体" w:hAnsi="宋体" w:cs="宋体"/>
          <w:b w:val="0"/>
          <w:bCs w:val="0"/>
          <w:sz w:val="22"/>
          <w:szCs w:val="22"/>
        </w:rPr>
      </w:pPr>
      <w:r>
        <w:rPr>
          <w:rFonts w:hint="eastAsia" w:ascii="宋体" w:hAnsi="宋体" w:cs="宋体"/>
          <w:b w:val="0"/>
          <w:bCs w:val="0"/>
          <w:sz w:val="22"/>
          <w:szCs w:val="22"/>
        </w:rPr>
        <w:t>一档（4分）</w:t>
      </w:r>
      <w:r>
        <w:rPr>
          <w:rFonts w:hint="eastAsia" w:ascii="宋体" w:hAnsi="宋体" w:cs="宋体"/>
          <w:b w:val="0"/>
          <w:bCs w:val="0"/>
          <w:sz w:val="22"/>
          <w:szCs w:val="22"/>
          <w:lang w:eastAsia="zh-CN"/>
        </w:rPr>
        <w:t>：</w:t>
      </w:r>
      <w:r>
        <w:rPr>
          <w:rFonts w:hint="eastAsia" w:ascii="宋体" w:hAnsi="宋体" w:cs="宋体"/>
          <w:b w:val="0"/>
          <w:bCs w:val="0"/>
          <w:sz w:val="22"/>
          <w:szCs w:val="22"/>
        </w:rPr>
        <w:t>售后服务方案全面、可行满足采购文件要求的。</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int="eastAsia" w:ascii="宋体" w:hAnsi="宋体" w:cs="宋体"/>
          <w:b w:val="0"/>
          <w:bCs w:val="0"/>
          <w:sz w:val="22"/>
          <w:szCs w:val="22"/>
        </w:rPr>
      </w:pPr>
      <w:r>
        <w:rPr>
          <w:rFonts w:hint="eastAsia" w:ascii="宋体" w:hAnsi="宋体" w:cs="宋体"/>
          <w:b w:val="0"/>
          <w:bCs w:val="0"/>
          <w:sz w:val="22"/>
          <w:szCs w:val="22"/>
        </w:rPr>
        <w:t>二档（8分）</w:t>
      </w:r>
      <w:r>
        <w:rPr>
          <w:rFonts w:hint="eastAsia" w:ascii="宋体" w:hAnsi="宋体" w:cs="宋体"/>
          <w:b w:val="0"/>
          <w:bCs w:val="0"/>
          <w:sz w:val="22"/>
          <w:szCs w:val="22"/>
          <w:lang w:eastAsia="zh-CN"/>
        </w:rPr>
        <w:t>：</w:t>
      </w:r>
      <w:r>
        <w:rPr>
          <w:rFonts w:hint="eastAsia" w:ascii="宋体" w:hAnsi="宋体" w:cs="宋体"/>
          <w:b w:val="0"/>
          <w:bCs w:val="0"/>
          <w:sz w:val="22"/>
          <w:szCs w:val="22"/>
        </w:rPr>
        <w:t>售后服务方案比较合理、可行，保障响应措施较有力，满足采购文件中售后服务及培训全部要求。</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int="eastAsia" w:ascii="宋体" w:hAnsi="宋体" w:cs="宋体"/>
          <w:b w:val="0"/>
          <w:bCs w:val="0"/>
          <w:sz w:val="22"/>
          <w:szCs w:val="22"/>
        </w:rPr>
      </w:pPr>
      <w:r>
        <w:rPr>
          <w:rFonts w:hint="eastAsia" w:ascii="宋体" w:hAnsi="宋体" w:cs="宋体"/>
          <w:b w:val="0"/>
          <w:bCs w:val="0"/>
          <w:sz w:val="22"/>
          <w:szCs w:val="22"/>
        </w:rPr>
        <w:t>三档（12分）：售后服务方案细致、合理、可行，描述清晰、到位；保障响应措施有力，服务经验丰富，并提供7×24售后服务热线，响应时间短，快捷、迅速，满足采购文件中售后服务及培训全部要求。</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int="eastAsia" w:ascii="宋体" w:hAnsi="宋体" w:cs="宋体"/>
          <w:b w:val="0"/>
          <w:bCs w:val="0"/>
          <w:sz w:val="22"/>
          <w:szCs w:val="22"/>
        </w:rPr>
      </w:pPr>
      <w:r>
        <w:rPr>
          <w:rFonts w:hint="eastAsia" w:ascii="宋体" w:hAnsi="宋体" w:cs="宋体"/>
          <w:b w:val="0"/>
          <w:bCs w:val="0"/>
          <w:sz w:val="22"/>
          <w:szCs w:val="22"/>
        </w:rPr>
        <w:t>（2）实施服务保障（满分10分）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int="eastAsia" w:ascii="宋体" w:hAnsi="宋体" w:cs="宋体"/>
          <w:b w:val="0"/>
          <w:bCs w:val="0"/>
          <w:sz w:val="22"/>
          <w:szCs w:val="22"/>
        </w:rPr>
      </w:pPr>
      <w:r>
        <w:rPr>
          <w:rFonts w:hint="eastAsia" w:ascii="宋体" w:hAnsi="宋体" w:cs="宋体"/>
          <w:b w:val="0"/>
          <w:bCs w:val="0"/>
          <w:sz w:val="22"/>
          <w:szCs w:val="22"/>
        </w:rPr>
        <w:t>①供应商或所标产品生产厂家在册员工中有获得Oracle OCA认证及Oracle OCP认证的，得4分。（提供证书复印件及单位为其缴纳的近三个月的社保证明复印件，并加盖供应商公章，否则不得分。）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int="eastAsia" w:ascii="宋体" w:hAnsi="宋体" w:cs="宋体"/>
          <w:b w:val="0"/>
          <w:bCs w:val="0"/>
          <w:sz w:val="22"/>
          <w:szCs w:val="22"/>
        </w:rPr>
      </w:pPr>
      <w:r>
        <w:rPr>
          <w:rFonts w:hint="eastAsia" w:ascii="宋体" w:hAnsi="宋体" w:cs="宋体"/>
          <w:b w:val="0"/>
          <w:bCs w:val="0"/>
          <w:sz w:val="22"/>
          <w:szCs w:val="22"/>
        </w:rPr>
        <w:t>②拟投入的本项目项目实施人员中拥有高级软件工程师、高级物联网技术工程师、系统分析师、高级信息系统集成管理师等相关证书的，每具备1项证书的得1.5分，满分6分。（提供证书复印件及单位为其缴纳的近三个月的社保证明复印件，并加盖供应商公章，否则不得分。）</w:t>
      </w:r>
    </w:p>
    <w:p>
      <w:pPr>
        <w:keepNext w:val="0"/>
        <w:keepLines w:val="0"/>
        <w:pageBreakBefore w:val="0"/>
        <w:widowControl w:val="0"/>
        <w:kinsoku/>
        <w:wordWrap/>
        <w:overflowPunct/>
        <w:topLinePunct w:val="0"/>
        <w:autoSpaceDE/>
        <w:autoSpaceDN/>
        <w:bidi w:val="0"/>
        <w:adjustRightInd/>
        <w:spacing w:line="400" w:lineRule="exact"/>
        <w:ind w:firstLine="442" w:firstLineChars="200"/>
        <w:jc w:val="left"/>
        <w:textAlignment w:val="auto"/>
        <w:rPr>
          <w:rFonts w:ascii="宋体" w:cs="宋体"/>
          <w:b/>
          <w:bCs/>
          <w:sz w:val="22"/>
          <w:szCs w:val="22"/>
        </w:rPr>
      </w:pPr>
      <w:r>
        <w:rPr>
          <w:rFonts w:ascii="宋体" w:hAnsi="宋体" w:cs="宋体"/>
          <w:b/>
          <w:bCs/>
          <w:sz w:val="22"/>
          <w:szCs w:val="22"/>
        </w:rPr>
        <w:t>4</w:t>
      </w:r>
      <w:r>
        <w:rPr>
          <w:rFonts w:hint="eastAsia" w:ascii="宋体" w:hAnsi="宋体" w:cs="宋体"/>
          <w:b/>
          <w:bCs/>
          <w:sz w:val="22"/>
          <w:szCs w:val="22"/>
        </w:rPr>
        <w:t>、</w:t>
      </w:r>
      <w:r>
        <w:rPr>
          <w:rFonts w:hint="eastAsia" w:ascii="宋体" w:hAnsi="宋体" w:cs="宋体"/>
          <w:b/>
          <w:bCs/>
          <w:sz w:val="22"/>
          <w:szCs w:val="22"/>
          <w:lang w:eastAsia="zh-CN"/>
        </w:rPr>
        <w:t>企业荣誉与</w:t>
      </w:r>
      <w:r>
        <w:rPr>
          <w:rFonts w:hint="eastAsia" w:ascii="宋体" w:hAnsi="宋体" w:cs="宋体"/>
          <w:b/>
          <w:bCs/>
          <w:sz w:val="22"/>
          <w:szCs w:val="22"/>
        </w:rPr>
        <w:t>业绩分…………………………………………………………………</w:t>
      </w:r>
      <w:r>
        <w:rPr>
          <w:rFonts w:hint="eastAsia" w:ascii="宋体" w:hAnsi="宋体" w:cs="宋体"/>
          <w:b/>
          <w:bCs/>
          <w:sz w:val="22"/>
          <w:szCs w:val="22"/>
          <w:lang w:val="en-US" w:eastAsia="zh-CN"/>
        </w:rPr>
        <w:t>17</w:t>
      </w:r>
      <w:r>
        <w:rPr>
          <w:rFonts w:hint="eastAsia" w:ascii="宋体" w:hAnsi="宋体" w:cs="宋体"/>
          <w:b/>
          <w:bCs/>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（1）供应商具有有关部门颁发的高新技术企业证书、AAA级信用等级证书、AAA级质量服务信誉证书、AAA级重合同守信用证书、AAA级资信等级证书、AAA级诚信经营示范单位证书的，提供1项得1分，满分6分。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（2）供应商通过ISO9001国际质量体系认证的，提供相关证书得1分。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int="eastAsia" w:ascii="宋体" w:hAnsi="宋体" w:cs="宋体"/>
          <w:sz w:val="22"/>
          <w:szCs w:val="22"/>
        </w:rPr>
      </w:pPr>
      <w:r>
        <w:rPr>
          <w:rFonts w:hint="eastAsia" w:ascii="宋体" w:hAnsi="宋体" w:cs="宋体"/>
          <w:sz w:val="22"/>
          <w:szCs w:val="22"/>
        </w:rPr>
        <w:t>（3）2018年起，供应商拥有同类项目销售业绩的。每提供一个得2分，满分10分。（提供合同复印件加盖公章）</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总得分</w:t>
      </w:r>
      <w:r>
        <w:rPr>
          <w:rFonts w:ascii="宋体" w:hAnsi="宋体" w:cs="宋体"/>
          <w:sz w:val="22"/>
          <w:szCs w:val="22"/>
        </w:rPr>
        <w:t>= 1+2+3+4</w:t>
      </w:r>
      <w:r>
        <w:rPr>
          <w:rFonts w:hint="eastAsia" w:ascii="宋体" w:hAnsi="宋体" w:cs="宋体"/>
          <w:sz w:val="22"/>
          <w:szCs w:val="22"/>
        </w:rPr>
        <w:t>。</w:t>
      </w:r>
    </w:p>
    <w:p>
      <w:pPr>
        <w:keepNext w:val="0"/>
        <w:keepLines w:val="0"/>
        <w:pageBreakBefore w:val="0"/>
        <w:widowControl w:val="0"/>
        <w:tabs>
          <w:tab w:val="left" w:pos="3255"/>
        </w:tabs>
        <w:kinsoku/>
        <w:wordWrap/>
        <w:overflowPunct/>
        <w:topLinePunct w:val="0"/>
        <w:autoSpaceDE/>
        <w:autoSpaceDN/>
        <w:bidi w:val="0"/>
        <w:adjustRightInd/>
        <w:spacing w:line="380" w:lineRule="exact"/>
        <w:ind w:firstLine="442" w:firstLineChars="200"/>
        <w:textAlignment w:val="auto"/>
        <w:outlineLvl w:val="0"/>
        <w:rPr>
          <w:rFonts w:ascii="宋体" w:cs="宋体"/>
          <w:sz w:val="22"/>
          <w:szCs w:val="22"/>
        </w:rPr>
      </w:pPr>
      <w:r>
        <w:rPr>
          <w:rFonts w:hint="eastAsia" w:ascii="宋体" w:hAnsi="宋体" w:cs="宋体"/>
          <w:b/>
          <w:sz w:val="22"/>
          <w:szCs w:val="22"/>
        </w:rPr>
        <w:t>三、确定成交供应商</w:t>
      </w:r>
    </w:p>
    <w:p>
      <w:pPr>
        <w:keepNext w:val="0"/>
        <w:keepLines w:val="0"/>
        <w:pageBreakBefore w:val="0"/>
        <w:widowControl w:val="0"/>
        <w:kinsoku/>
        <w:wordWrap/>
        <w:overflowPunct/>
        <w:topLinePunct w:val="0"/>
        <w:autoSpaceDE/>
        <w:autoSpaceDN/>
        <w:bidi w:val="0"/>
        <w:adjustRightInd/>
        <w:spacing w:line="380" w:lineRule="exact"/>
        <w:ind w:firstLine="440" w:firstLineChars="200"/>
        <w:textAlignment w:val="auto"/>
        <w:rPr>
          <w:rFonts w:ascii="宋体" w:cs="宋体"/>
          <w:sz w:val="22"/>
          <w:szCs w:val="22"/>
        </w:rPr>
      </w:pPr>
      <w:r>
        <w:rPr>
          <w:rFonts w:hint="eastAsia" w:ascii="宋体" w:hAnsi="宋体" w:cs="宋体"/>
          <w:sz w:val="22"/>
          <w:szCs w:val="22"/>
        </w:rPr>
        <w:t>磋商小组将通过磋商、澄清，在满足竞争性磋商文件全部条款的基础上，磋商小组按照实质性响应供应商的最终得分由高到低排列供应商顺序，磋商小组按排列顺序推荐成交供应商。根据得分由高到低排列次序（得分相同时，以磋商报价由低到高顺序排列；得分相同且磋商报价相同的，按实施方案优劣顺序排列）并推荐三名成交候选供应商。采购单位应当确定评审委员会推荐排名第一的成交候选供应商为成交人。排名第一的成交候选供应商放弃成交的、因不可抗力提出不能履行合同，采购单位可以确定排名第二的成交候选供应商为成交人。排名第二的成交候选人因前款规定的同样原因不能签订合同的，采购单位可以确定排名第三的成交候选供应商为成交人。采购人也可以决定重新采购。</w:t>
      </w:r>
    </w:p>
    <w:p>
      <w:pPr>
        <w:pStyle w:val="53"/>
      </w:pPr>
    </w:p>
    <w:p>
      <w:pPr>
        <w:spacing w:line="360" w:lineRule="auto"/>
        <w:ind w:firstLine="440" w:firstLineChars="200"/>
        <w:rPr>
          <w:rFonts w:ascii="宋体" w:cs="宋体"/>
          <w:sz w:val="22"/>
          <w:szCs w:val="22"/>
        </w:rPr>
      </w:pPr>
    </w:p>
    <w:sectPr>
      <w:footerReference r:id="rId7" w:type="first"/>
      <w:footerReference r:id="rId6" w:type="default"/>
      <w:pgSz w:w="11906" w:h="16838"/>
      <w:pgMar w:top="1304" w:right="1361" w:bottom="1247" w:left="1361" w:header="680" w:footer="68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仿宋简体">
    <w:altName w:val="微软雅黑"/>
    <w:panose1 w:val="00000000000000000000"/>
    <w:charset w:val="86"/>
    <w:family w:val="auto"/>
    <w:pitch w:val="default"/>
    <w:sig w:usb0="00000000" w:usb1="00000000" w:usb2="00000010" w:usb3="00000000" w:csb0="00040000" w:csb1="00000000"/>
  </w:font>
  <w:font w:name="DengXian">
    <w:altName w:val="宋体"/>
    <w:panose1 w:val="02010600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2049" o:spid="_x0000_s204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16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rPr>
        <w:rFonts w:hint="eastAsia" w:eastAsia="宋体"/>
        <w:lang w:eastAsia="zh-CN"/>
      </w:rPr>
    </w:pPr>
    <w:r>
      <w:rPr>
        <w:rFonts w:hint="eastAsia" w:hAnsi="宋体"/>
        <w:szCs w:val="21"/>
      </w:rPr>
      <w:t>北京诚佳信工程管理有限公司</w:t>
    </w:r>
    <w:r>
      <w:rPr>
        <w:rFonts w:hAnsi="宋体"/>
        <w:szCs w:val="21"/>
      </w:rPr>
      <w:t xml:space="preserve">                                     </w:t>
    </w:r>
    <w:r>
      <w:rPr>
        <w:rFonts w:hint="eastAsia" w:hAnsi="宋体"/>
        <w:color w:val="000000"/>
        <w:szCs w:val="21"/>
        <w:lang w:eastAsia="zh-CN"/>
      </w:rPr>
      <w:t>电子病历应用水平分级评价四级建设项目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jc w:val="both"/>
      <w:rPr>
        <w:rFonts w:ascii="方正仿宋简体" w:eastAsia="方正仿宋简体"/>
      </w:rPr>
    </w:pPr>
    <w:r>
      <w:rPr>
        <w:rFonts w:hint="eastAsia" w:hAnsi="宋体"/>
        <w:szCs w:val="21"/>
      </w:rPr>
      <w:t>北京诚佳信工程管理有限公司</w:t>
    </w:r>
    <w:r>
      <w:rPr>
        <w:rFonts w:hAnsi="宋体"/>
        <w:szCs w:val="21"/>
      </w:rPr>
      <w:t xml:space="preserve">                                     </w:t>
    </w:r>
    <w:r>
      <w:rPr>
        <w:rFonts w:hint="eastAsia" w:hAnsi="宋体"/>
        <w:color w:val="000000"/>
        <w:szCs w:val="21"/>
        <w:lang w:eastAsia="zh-CN"/>
      </w:rPr>
      <w:t>电子病历应用水平分级评价四级建设项目</w:t>
    </w:r>
    <w:r>
      <w:rPr>
        <w:rFonts w:hAnsi="宋体"/>
        <w:color w:val="00000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66998"/>
    <w:multiLevelType w:val="multilevel"/>
    <w:tmpl w:val="80266998"/>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1">
    <w:nsid w:val="837B33BA"/>
    <w:multiLevelType w:val="multilevel"/>
    <w:tmpl w:val="837B33BA"/>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2">
    <w:nsid w:val="84481BD6"/>
    <w:multiLevelType w:val="multilevel"/>
    <w:tmpl w:val="84481BD6"/>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3">
    <w:nsid w:val="89A73843"/>
    <w:multiLevelType w:val="multilevel"/>
    <w:tmpl w:val="89A73843"/>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4">
    <w:nsid w:val="8F6F7119"/>
    <w:multiLevelType w:val="singleLevel"/>
    <w:tmpl w:val="8F6F7119"/>
    <w:lvl w:ilvl="0" w:tentative="0">
      <w:start w:val="13"/>
      <w:numFmt w:val="chineseCounting"/>
      <w:suff w:val="nothing"/>
      <w:lvlText w:val="%1、"/>
      <w:lvlJc w:val="left"/>
      <w:rPr>
        <w:rFonts w:hint="eastAsia"/>
      </w:rPr>
    </w:lvl>
  </w:abstractNum>
  <w:abstractNum w:abstractNumId="5">
    <w:nsid w:val="BCE4791C"/>
    <w:multiLevelType w:val="multilevel"/>
    <w:tmpl w:val="BCE4791C"/>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6">
    <w:nsid w:val="E497D9C4"/>
    <w:multiLevelType w:val="multilevel"/>
    <w:tmpl w:val="E497D9C4"/>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7">
    <w:nsid w:val="E8D7DB97"/>
    <w:multiLevelType w:val="multilevel"/>
    <w:tmpl w:val="E8D7DB97"/>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8">
    <w:nsid w:val="EAE248BC"/>
    <w:multiLevelType w:val="singleLevel"/>
    <w:tmpl w:val="EAE248BC"/>
    <w:lvl w:ilvl="0" w:tentative="0">
      <w:start w:val="3"/>
      <w:numFmt w:val="chineseCounting"/>
      <w:suff w:val="space"/>
      <w:lvlText w:val="第%1章"/>
      <w:lvlJc w:val="left"/>
      <w:rPr>
        <w:rFonts w:hint="eastAsia" w:cs="Times New Roman"/>
      </w:rPr>
    </w:lvl>
  </w:abstractNum>
  <w:abstractNum w:abstractNumId="9">
    <w:nsid w:val="F92A42A2"/>
    <w:multiLevelType w:val="multilevel"/>
    <w:tmpl w:val="F92A42A2"/>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FC161830"/>
    <w:multiLevelType w:val="multilevel"/>
    <w:tmpl w:val="FC161830"/>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11">
    <w:nsid w:val="0AA85AFD"/>
    <w:multiLevelType w:val="multilevel"/>
    <w:tmpl w:val="0AA85AFD"/>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12">
    <w:nsid w:val="0DEB5A21"/>
    <w:multiLevelType w:val="multilevel"/>
    <w:tmpl w:val="0DEB5A21"/>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13">
    <w:nsid w:val="0E00091B"/>
    <w:multiLevelType w:val="singleLevel"/>
    <w:tmpl w:val="0E00091B"/>
    <w:lvl w:ilvl="0" w:tentative="0">
      <w:start w:val="1"/>
      <w:numFmt w:val="chineseCounting"/>
      <w:suff w:val="nothing"/>
      <w:lvlText w:val="%1、"/>
      <w:lvlJc w:val="left"/>
      <w:rPr>
        <w:rFonts w:hint="eastAsia"/>
      </w:rPr>
    </w:lvl>
  </w:abstractNum>
  <w:abstractNum w:abstractNumId="14">
    <w:nsid w:val="137E651E"/>
    <w:multiLevelType w:val="multilevel"/>
    <w:tmpl w:val="137E651E"/>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15">
    <w:nsid w:val="30C2C8AB"/>
    <w:multiLevelType w:val="singleLevel"/>
    <w:tmpl w:val="30C2C8AB"/>
    <w:lvl w:ilvl="0" w:tentative="0">
      <w:start w:val="1"/>
      <w:numFmt w:val="decimal"/>
      <w:suff w:val="nothing"/>
      <w:lvlText w:val="%1、"/>
      <w:lvlJc w:val="left"/>
    </w:lvl>
  </w:abstractNum>
  <w:abstractNum w:abstractNumId="16">
    <w:nsid w:val="41146BA0"/>
    <w:multiLevelType w:val="singleLevel"/>
    <w:tmpl w:val="41146BA0"/>
    <w:lvl w:ilvl="0" w:tentative="0">
      <w:start w:val="1"/>
      <w:numFmt w:val="decimal"/>
      <w:lvlText w:val="%1."/>
      <w:lvlJc w:val="left"/>
      <w:pPr>
        <w:tabs>
          <w:tab w:val="left" w:pos="312"/>
        </w:tabs>
      </w:pPr>
    </w:lvl>
  </w:abstractNum>
  <w:abstractNum w:abstractNumId="17">
    <w:nsid w:val="4B1141E6"/>
    <w:multiLevelType w:val="multilevel"/>
    <w:tmpl w:val="4B1141E6"/>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18">
    <w:nsid w:val="5A45B0DF"/>
    <w:multiLevelType w:val="singleLevel"/>
    <w:tmpl w:val="5A45B0DF"/>
    <w:lvl w:ilvl="0" w:tentative="0">
      <w:start w:val="6"/>
      <w:numFmt w:val="chineseCounting"/>
      <w:suff w:val="space"/>
      <w:lvlText w:val="第%1章"/>
      <w:lvlJc w:val="left"/>
      <w:rPr>
        <w:rFonts w:cs="Times New Roman"/>
      </w:rPr>
    </w:lvl>
  </w:abstractNum>
  <w:abstractNum w:abstractNumId="19">
    <w:nsid w:val="63A48A87"/>
    <w:multiLevelType w:val="singleLevel"/>
    <w:tmpl w:val="63A48A87"/>
    <w:lvl w:ilvl="0" w:tentative="0">
      <w:start w:val="1"/>
      <w:numFmt w:val="decimal"/>
      <w:suff w:val="nothing"/>
      <w:lvlText w:val="%1、"/>
      <w:lvlJc w:val="left"/>
      <w:rPr>
        <w:rFonts w:cs="Times New Roman"/>
      </w:rPr>
    </w:lvl>
  </w:abstractNum>
  <w:abstractNum w:abstractNumId="20">
    <w:nsid w:val="669AE917"/>
    <w:multiLevelType w:val="multilevel"/>
    <w:tmpl w:val="669AE917"/>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21">
    <w:nsid w:val="7B6EC6B2"/>
    <w:multiLevelType w:val="multilevel"/>
    <w:tmpl w:val="7B6EC6B2"/>
    <w:lvl w:ilvl="0" w:tentative="0">
      <w:start w:val="1"/>
      <w:numFmt w:val="decimal"/>
      <w:lvlText w:val="%1）"/>
      <w:lvlJc w:val="left"/>
      <w:pPr>
        <w:ind w:left="780" w:hanging="390"/>
      </w:pPr>
      <w:rPr>
        <w:rFonts w:hint="eastAsia" w:cs="Times New Roman"/>
        <w:i w:val="0"/>
        <w:iCs w:val="0"/>
        <w:caps w:val="0"/>
        <w:smallCaps w:val="0"/>
        <w:strike w:val="0"/>
        <w:dstrike w:val="0"/>
        <w:vanish w:val="0"/>
        <w:color w:val="000000"/>
        <w:spacing w:val="0"/>
        <w:position w:val="0"/>
        <w:u w:val="none"/>
        <w:vertAlign w:val="baseline"/>
      </w:rPr>
    </w:lvl>
    <w:lvl w:ilvl="1" w:tentative="0">
      <w:start w:val="3"/>
      <w:numFmt w:val="japaneseCounting"/>
      <w:lvlText w:val="%2、"/>
      <w:lvlJc w:val="left"/>
      <w:pPr>
        <w:ind w:left="1530" w:hanging="72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num w:numId="1">
    <w:abstractNumId w:val="9"/>
  </w:num>
  <w:num w:numId="2">
    <w:abstractNumId w:val="19"/>
  </w:num>
  <w:num w:numId="3">
    <w:abstractNumId w:val="8"/>
  </w:num>
  <w:num w:numId="4">
    <w:abstractNumId w:val="21"/>
  </w:num>
  <w:num w:numId="5">
    <w:abstractNumId w:val="3"/>
  </w:num>
  <w:num w:numId="6">
    <w:abstractNumId w:val="10"/>
  </w:num>
  <w:num w:numId="7">
    <w:abstractNumId w:val="0"/>
  </w:num>
  <w:num w:numId="8">
    <w:abstractNumId w:val="7"/>
  </w:num>
  <w:num w:numId="9">
    <w:abstractNumId w:val="1"/>
  </w:num>
  <w:num w:numId="10">
    <w:abstractNumId w:val="11"/>
  </w:num>
  <w:num w:numId="11">
    <w:abstractNumId w:val="14"/>
  </w:num>
  <w:num w:numId="12">
    <w:abstractNumId w:val="12"/>
  </w:num>
  <w:num w:numId="13">
    <w:abstractNumId w:val="17"/>
  </w:num>
  <w:num w:numId="14">
    <w:abstractNumId w:val="5"/>
  </w:num>
  <w:num w:numId="15">
    <w:abstractNumId w:val="6"/>
  </w:num>
  <w:num w:numId="16">
    <w:abstractNumId w:val="20"/>
  </w:num>
  <w:num w:numId="17">
    <w:abstractNumId w:val="2"/>
  </w:num>
  <w:num w:numId="18">
    <w:abstractNumId w:val="16"/>
  </w:num>
  <w:num w:numId="19">
    <w:abstractNumId w:val="13"/>
  </w:num>
  <w:num w:numId="20">
    <w:abstractNumId w:val="4"/>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64F"/>
    <w:rsid w:val="00022C35"/>
    <w:rsid w:val="0005528C"/>
    <w:rsid w:val="00093490"/>
    <w:rsid w:val="000F34ED"/>
    <w:rsid w:val="0016664F"/>
    <w:rsid w:val="001A068E"/>
    <w:rsid w:val="001A3E82"/>
    <w:rsid w:val="001C0EDF"/>
    <w:rsid w:val="00240109"/>
    <w:rsid w:val="00297AB7"/>
    <w:rsid w:val="002B32C6"/>
    <w:rsid w:val="002E4CF9"/>
    <w:rsid w:val="002F6562"/>
    <w:rsid w:val="0030305D"/>
    <w:rsid w:val="003452E9"/>
    <w:rsid w:val="003C68FB"/>
    <w:rsid w:val="003F5D0A"/>
    <w:rsid w:val="003F6F9B"/>
    <w:rsid w:val="0042130E"/>
    <w:rsid w:val="00431AC7"/>
    <w:rsid w:val="004A50C6"/>
    <w:rsid w:val="004A5D79"/>
    <w:rsid w:val="004D4D02"/>
    <w:rsid w:val="004F2ED7"/>
    <w:rsid w:val="00566CE2"/>
    <w:rsid w:val="005E7DBA"/>
    <w:rsid w:val="00693361"/>
    <w:rsid w:val="006A3923"/>
    <w:rsid w:val="00765A10"/>
    <w:rsid w:val="0083229A"/>
    <w:rsid w:val="008415F5"/>
    <w:rsid w:val="008F4338"/>
    <w:rsid w:val="00A96068"/>
    <w:rsid w:val="00AB1FE3"/>
    <w:rsid w:val="00B36271"/>
    <w:rsid w:val="00B411B2"/>
    <w:rsid w:val="00B65851"/>
    <w:rsid w:val="00BE78ED"/>
    <w:rsid w:val="00C4071E"/>
    <w:rsid w:val="00C47A68"/>
    <w:rsid w:val="00C72E09"/>
    <w:rsid w:val="00C81124"/>
    <w:rsid w:val="00CB2049"/>
    <w:rsid w:val="00CE7BDA"/>
    <w:rsid w:val="00D51BF5"/>
    <w:rsid w:val="00D76141"/>
    <w:rsid w:val="00D8205C"/>
    <w:rsid w:val="00D8428B"/>
    <w:rsid w:val="00E52D24"/>
    <w:rsid w:val="00EE6186"/>
    <w:rsid w:val="00F046B6"/>
    <w:rsid w:val="0110519D"/>
    <w:rsid w:val="012F2F44"/>
    <w:rsid w:val="0147480B"/>
    <w:rsid w:val="01623F4D"/>
    <w:rsid w:val="01704D41"/>
    <w:rsid w:val="01754763"/>
    <w:rsid w:val="01A175E2"/>
    <w:rsid w:val="01B25F42"/>
    <w:rsid w:val="01B75D5F"/>
    <w:rsid w:val="01F75A1C"/>
    <w:rsid w:val="02131D21"/>
    <w:rsid w:val="02225D5E"/>
    <w:rsid w:val="02397B35"/>
    <w:rsid w:val="02626480"/>
    <w:rsid w:val="02663AE5"/>
    <w:rsid w:val="028D13A6"/>
    <w:rsid w:val="029E10AD"/>
    <w:rsid w:val="02C03106"/>
    <w:rsid w:val="02CB003D"/>
    <w:rsid w:val="02CB5183"/>
    <w:rsid w:val="02D00980"/>
    <w:rsid w:val="0311042A"/>
    <w:rsid w:val="03172968"/>
    <w:rsid w:val="032132EB"/>
    <w:rsid w:val="03383BA3"/>
    <w:rsid w:val="034600BE"/>
    <w:rsid w:val="034E2D08"/>
    <w:rsid w:val="036F3405"/>
    <w:rsid w:val="03896990"/>
    <w:rsid w:val="038B105D"/>
    <w:rsid w:val="038E2C81"/>
    <w:rsid w:val="03CA43AC"/>
    <w:rsid w:val="03CA5AE5"/>
    <w:rsid w:val="03FF169F"/>
    <w:rsid w:val="04274349"/>
    <w:rsid w:val="042A126F"/>
    <w:rsid w:val="042C774F"/>
    <w:rsid w:val="04374124"/>
    <w:rsid w:val="044058A8"/>
    <w:rsid w:val="04482D0D"/>
    <w:rsid w:val="04712829"/>
    <w:rsid w:val="04AD79D6"/>
    <w:rsid w:val="04BA54B2"/>
    <w:rsid w:val="04D85083"/>
    <w:rsid w:val="05410AD6"/>
    <w:rsid w:val="05425BA0"/>
    <w:rsid w:val="055357D6"/>
    <w:rsid w:val="05573B09"/>
    <w:rsid w:val="0557787E"/>
    <w:rsid w:val="05631B75"/>
    <w:rsid w:val="056C0D36"/>
    <w:rsid w:val="057A1C93"/>
    <w:rsid w:val="058451D6"/>
    <w:rsid w:val="05994075"/>
    <w:rsid w:val="05BA1222"/>
    <w:rsid w:val="05C4444D"/>
    <w:rsid w:val="05C722E1"/>
    <w:rsid w:val="05CE1996"/>
    <w:rsid w:val="05E82600"/>
    <w:rsid w:val="05F261F6"/>
    <w:rsid w:val="05FD54B0"/>
    <w:rsid w:val="061B5749"/>
    <w:rsid w:val="062C626C"/>
    <w:rsid w:val="062E34B7"/>
    <w:rsid w:val="066F0F99"/>
    <w:rsid w:val="0679682F"/>
    <w:rsid w:val="0682100A"/>
    <w:rsid w:val="06981DAA"/>
    <w:rsid w:val="06A33E42"/>
    <w:rsid w:val="06A56770"/>
    <w:rsid w:val="06B80C52"/>
    <w:rsid w:val="06C03D4B"/>
    <w:rsid w:val="06D72C19"/>
    <w:rsid w:val="06DC17CB"/>
    <w:rsid w:val="06F35F8C"/>
    <w:rsid w:val="0702457D"/>
    <w:rsid w:val="075B1DB4"/>
    <w:rsid w:val="07B32405"/>
    <w:rsid w:val="07C24F9D"/>
    <w:rsid w:val="07F60FFC"/>
    <w:rsid w:val="081319A3"/>
    <w:rsid w:val="08245355"/>
    <w:rsid w:val="083066C5"/>
    <w:rsid w:val="084D3048"/>
    <w:rsid w:val="088325F0"/>
    <w:rsid w:val="088457B8"/>
    <w:rsid w:val="088E4C5D"/>
    <w:rsid w:val="088F5907"/>
    <w:rsid w:val="08BB3316"/>
    <w:rsid w:val="08E050EE"/>
    <w:rsid w:val="08E22BB8"/>
    <w:rsid w:val="08EA49F2"/>
    <w:rsid w:val="08FE3695"/>
    <w:rsid w:val="090512A6"/>
    <w:rsid w:val="09357DF4"/>
    <w:rsid w:val="095A3CFE"/>
    <w:rsid w:val="0965210C"/>
    <w:rsid w:val="097771B7"/>
    <w:rsid w:val="09870E24"/>
    <w:rsid w:val="09B23A63"/>
    <w:rsid w:val="09B67AC4"/>
    <w:rsid w:val="09BF5FDE"/>
    <w:rsid w:val="09F16945"/>
    <w:rsid w:val="09F44375"/>
    <w:rsid w:val="09F92704"/>
    <w:rsid w:val="0A072AE8"/>
    <w:rsid w:val="0A1173DC"/>
    <w:rsid w:val="0A161E26"/>
    <w:rsid w:val="0A395B16"/>
    <w:rsid w:val="0A400B38"/>
    <w:rsid w:val="0A41730B"/>
    <w:rsid w:val="0A5A008E"/>
    <w:rsid w:val="0A6379FD"/>
    <w:rsid w:val="0A9C7E6E"/>
    <w:rsid w:val="0AA50986"/>
    <w:rsid w:val="0AB17D53"/>
    <w:rsid w:val="0AB86F25"/>
    <w:rsid w:val="0AF434DA"/>
    <w:rsid w:val="0B045DAB"/>
    <w:rsid w:val="0B0E1FF0"/>
    <w:rsid w:val="0B395CF5"/>
    <w:rsid w:val="0B47713A"/>
    <w:rsid w:val="0B4B097A"/>
    <w:rsid w:val="0B512EF5"/>
    <w:rsid w:val="0B5A1FA9"/>
    <w:rsid w:val="0B917EF6"/>
    <w:rsid w:val="0BCA4F32"/>
    <w:rsid w:val="0BD456F6"/>
    <w:rsid w:val="0BD717D4"/>
    <w:rsid w:val="0BDA66BB"/>
    <w:rsid w:val="0BE12CFA"/>
    <w:rsid w:val="0BF268B7"/>
    <w:rsid w:val="0C061C38"/>
    <w:rsid w:val="0C0631B8"/>
    <w:rsid w:val="0C1213AD"/>
    <w:rsid w:val="0C6849CC"/>
    <w:rsid w:val="0C860A6B"/>
    <w:rsid w:val="0C87191C"/>
    <w:rsid w:val="0C8D5D45"/>
    <w:rsid w:val="0C994DC2"/>
    <w:rsid w:val="0CA9252D"/>
    <w:rsid w:val="0CB23434"/>
    <w:rsid w:val="0CBD224C"/>
    <w:rsid w:val="0CBE69A4"/>
    <w:rsid w:val="0CDA141B"/>
    <w:rsid w:val="0D197B56"/>
    <w:rsid w:val="0D440B78"/>
    <w:rsid w:val="0D58027A"/>
    <w:rsid w:val="0D747EA9"/>
    <w:rsid w:val="0D7540DF"/>
    <w:rsid w:val="0D926CC7"/>
    <w:rsid w:val="0D9E61C6"/>
    <w:rsid w:val="0DA720BE"/>
    <w:rsid w:val="0DA85E1E"/>
    <w:rsid w:val="0DB22548"/>
    <w:rsid w:val="0DD928FD"/>
    <w:rsid w:val="0DDC124F"/>
    <w:rsid w:val="0DDC637F"/>
    <w:rsid w:val="0DEB16A5"/>
    <w:rsid w:val="0DF7610C"/>
    <w:rsid w:val="0DFF3CA8"/>
    <w:rsid w:val="0E050B11"/>
    <w:rsid w:val="0E0C4456"/>
    <w:rsid w:val="0E373342"/>
    <w:rsid w:val="0E7C1BD1"/>
    <w:rsid w:val="0EAC47EC"/>
    <w:rsid w:val="0ECB6F9E"/>
    <w:rsid w:val="0EE2421F"/>
    <w:rsid w:val="0F331DB8"/>
    <w:rsid w:val="0F3D0F15"/>
    <w:rsid w:val="0F50368A"/>
    <w:rsid w:val="0F621646"/>
    <w:rsid w:val="0FB25D37"/>
    <w:rsid w:val="0FC146F2"/>
    <w:rsid w:val="0FC84F62"/>
    <w:rsid w:val="0FD81549"/>
    <w:rsid w:val="0FD91284"/>
    <w:rsid w:val="0FE32C55"/>
    <w:rsid w:val="0FE46F4E"/>
    <w:rsid w:val="0FF27A74"/>
    <w:rsid w:val="100F3740"/>
    <w:rsid w:val="102D0E4C"/>
    <w:rsid w:val="104A520E"/>
    <w:rsid w:val="1079397D"/>
    <w:rsid w:val="107A06C8"/>
    <w:rsid w:val="108E79D5"/>
    <w:rsid w:val="109E4A74"/>
    <w:rsid w:val="10A62985"/>
    <w:rsid w:val="10C234F8"/>
    <w:rsid w:val="10E02D49"/>
    <w:rsid w:val="1115735E"/>
    <w:rsid w:val="11207823"/>
    <w:rsid w:val="11257CA0"/>
    <w:rsid w:val="11281260"/>
    <w:rsid w:val="114170C1"/>
    <w:rsid w:val="11596DF8"/>
    <w:rsid w:val="115A77F6"/>
    <w:rsid w:val="117B3978"/>
    <w:rsid w:val="11806E56"/>
    <w:rsid w:val="118839F6"/>
    <w:rsid w:val="125C4633"/>
    <w:rsid w:val="12764EF7"/>
    <w:rsid w:val="12B25982"/>
    <w:rsid w:val="12E01629"/>
    <w:rsid w:val="12EB5B9F"/>
    <w:rsid w:val="12EF097F"/>
    <w:rsid w:val="130F3EA8"/>
    <w:rsid w:val="132E21F4"/>
    <w:rsid w:val="13354BFD"/>
    <w:rsid w:val="135A5C59"/>
    <w:rsid w:val="1394706C"/>
    <w:rsid w:val="13993653"/>
    <w:rsid w:val="13C73D3B"/>
    <w:rsid w:val="13E72EEC"/>
    <w:rsid w:val="13E7450D"/>
    <w:rsid w:val="13F5719C"/>
    <w:rsid w:val="1415628F"/>
    <w:rsid w:val="148C2563"/>
    <w:rsid w:val="148D7F06"/>
    <w:rsid w:val="149A2C1F"/>
    <w:rsid w:val="14AE7A20"/>
    <w:rsid w:val="14C053FE"/>
    <w:rsid w:val="14EC6ED5"/>
    <w:rsid w:val="14F458EE"/>
    <w:rsid w:val="14FD6949"/>
    <w:rsid w:val="151535AC"/>
    <w:rsid w:val="152C0477"/>
    <w:rsid w:val="152F478D"/>
    <w:rsid w:val="156C371A"/>
    <w:rsid w:val="15B469DA"/>
    <w:rsid w:val="15CB7848"/>
    <w:rsid w:val="15DF4348"/>
    <w:rsid w:val="15E15906"/>
    <w:rsid w:val="15E65FCB"/>
    <w:rsid w:val="15EC1CE4"/>
    <w:rsid w:val="16015494"/>
    <w:rsid w:val="160A130D"/>
    <w:rsid w:val="161371FF"/>
    <w:rsid w:val="16140C18"/>
    <w:rsid w:val="161E1867"/>
    <w:rsid w:val="16442164"/>
    <w:rsid w:val="164B4D4B"/>
    <w:rsid w:val="166141B0"/>
    <w:rsid w:val="1676680D"/>
    <w:rsid w:val="16795A36"/>
    <w:rsid w:val="167A5B68"/>
    <w:rsid w:val="169E1311"/>
    <w:rsid w:val="16C04BBE"/>
    <w:rsid w:val="16C56F69"/>
    <w:rsid w:val="16C94D9A"/>
    <w:rsid w:val="16E91C9C"/>
    <w:rsid w:val="16FF7DDA"/>
    <w:rsid w:val="17683EB6"/>
    <w:rsid w:val="176F0098"/>
    <w:rsid w:val="178F5CCF"/>
    <w:rsid w:val="17933543"/>
    <w:rsid w:val="179A7016"/>
    <w:rsid w:val="17B70314"/>
    <w:rsid w:val="17E87F5D"/>
    <w:rsid w:val="17FD6356"/>
    <w:rsid w:val="18136F85"/>
    <w:rsid w:val="184D0A73"/>
    <w:rsid w:val="186B6ABF"/>
    <w:rsid w:val="186F2AA0"/>
    <w:rsid w:val="187612B8"/>
    <w:rsid w:val="18781632"/>
    <w:rsid w:val="187C0577"/>
    <w:rsid w:val="188164DA"/>
    <w:rsid w:val="188E681F"/>
    <w:rsid w:val="18C36D14"/>
    <w:rsid w:val="18CA0980"/>
    <w:rsid w:val="18E111E4"/>
    <w:rsid w:val="18E23503"/>
    <w:rsid w:val="18EB1844"/>
    <w:rsid w:val="18EE5602"/>
    <w:rsid w:val="18FB3581"/>
    <w:rsid w:val="190B09AF"/>
    <w:rsid w:val="190B3F81"/>
    <w:rsid w:val="192B2076"/>
    <w:rsid w:val="1973183A"/>
    <w:rsid w:val="199D2F3C"/>
    <w:rsid w:val="19B40DC7"/>
    <w:rsid w:val="19DA1892"/>
    <w:rsid w:val="19E23577"/>
    <w:rsid w:val="19E759C9"/>
    <w:rsid w:val="19EE29CD"/>
    <w:rsid w:val="19EE7156"/>
    <w:rsid w:val="19FA2E80"/>
    <w:rsid w:val="1A2A2DCD"/>
    <w:rsid w:val="1A7D648A"/>
    <w:rsid w:val="1A935107"/>
    <w:rsid w:val="1AB55CBC"/>
    <w:rsid w:val="1AB8398B"/>
    <w:rsid w:val="1AF37E2C"/>
    <w:rsid w:val="1B23345C"/>
    <w:rsid w:val="1B326B7F"/>
    <w:rsid w:val="1B36442D"/>
    <w:rsid w:val="1B4A03C6"/>
    <w:rsid w:val="1B511E92"/>
    <w:rsid w:val="1B6706BA"/>
    <w:rsid w:val="1B8006A5"/>
    <w:rsid w:val="1B920570"/>
    <w:rsid w:val="1BC56DE1"/>
    <w:rsid w:val="1C0408E2"/>
    <w:rsid w:val="1C0C4708"/>
    <w:rsid w:val="1C571EF5"/>
    <w:rsid w:val="1C5A532C"/>
    <w:rsid w:val="1C6156B4"/>
    <w:rsid w:val="1CAE0BA5"/>
    <w:rsid w:val="1CC5303A"/>
    <w:rsid w:val="1CD056E7"/>
    <w:rsid w:val="1CF0358B"/>
    <w:rsid w:val="1CF16184"/>
    <w:rsid w:val="1CFB3437"/>
    <w:rsid w:val="1CFD5E33"/>
    <w:rsid w:val="1D0E519B"/>
    <w:rsid w:val="1D3736B1"/>
    <w:rsid w:val="1D435D75"/>
    <w:rsid w:val="1D4530D8"/>
    <w:rsid w:val="1D453645"/>
    <w:rsid w:val="1D497F20"/>
    <w:rsid w:val="1D4C3874"/>
    <w:rsid w:val="1D6E7F9F"/>
    <w:rsid w:val="1D724671"/>
    <w:rsid w:val="1D863E97"/>
    <w:rsid w:val="1DA950F0"/>
    <w:rsid w:val="1DB64BC9"/>
    <w:rsid w:val="1DB870AC"/>
    <w:rsid w:val="1DBC086D"/>
    <w:rsid w:val="1DD44660"/>
    <w:rsid w:val="1DFD2797"/>
    <w:rsid w:val="1E167D66"/>
    <w:rsid w:val="1E17143A"/>
    <w:rsid w:val="1E3913EA"/>
    <w:rsid w:val="1E4404DA"/>
    <w:rsid w:val="1E512C2D"/>
    <w:rsid w:val="1E5B32FA"/>
    <w:rsid w:val="1E5E3D0A"/>
    <w:rsid w:val="1EC159B0"/>
    <w:rsid w:val="1F26315B"/>
    <w:rsid w:val="1F507832"/>
    <w:rsid w:val="1F544682"/>
    <w:rsid w:val="1F7635AC"/>
    <w:rsid w:val="1F972A92"/>
    <w:rsid w:val="1FA15F69"/>
    <w:rsid w:val="1FA43C59"/>
    <w:rsid w:val="1FAF6109"/>
    <w:rsid w:val="1FCD7609"/>
    <w:rsid w:val="1FD624D8"/>
    <w:rsid w:val="1FDB041A"/>
    <w:rsid w:val="20096DCB"/>
    <w:rsid w:val="20404FA9"/>
    <w:rsid w:val="206012FC"/>
    <w:rsid w:val="2076438F"/>
    <w:rsid w:val="209759CD"/>
    <w:rsid w:val="20C906C4"/>
    <w:rsid w:val="20D05C8C"/>
    <w:rsid w:val="20FD1A06"/>
    <w:rsid w:val="213437E3"/>
    <w:rsid w:val="21465EC3"/>
    <w:rsid w:val="21783268"/>
    <w:rsid w:val="21AF157E"/>
    <w:rsid w:val="21CD3A53"/>
    <w:rsid w:val="21D50D4D"/>
    <w:rsid w:val="21DB0E54"/>
    <w:rsid w:val="21E163E6"/>
    <w:rsid w:val="22065F69"/>
    <w:rsid w:val="2207299A"/>
    <w:rsid w:val="22446DBB"/>
    <w:rsid w:val="224A5A30"/>
    <w:rsid w:val="225646AF"/>
    <w:rsid w:val="226245C0"/>
    <w:rsid w:val="226305A2"/>
    <w:rsid w:val="226E1996"/>
    <w:rsid w:val="22716F10"/>
    <w:rsid w:val="2274656C"/>
    <w:rsid w:val="22A654BA"/>
    <w:rsid w:val="22AF0E82"/>
    <w:rsid w:val="22DF502F"/>
    <w:rsid w:val="22EC7498"/>
    <w:rsid w:val="22FA4B26"/>
    <w:rsid w:val="22FB2BF1"/>
    <w:rsid w:val="23893BC1"/>
    <w:rsid w:val="238C42A7"/>
    <w:rsid w:val="23BB51AE"/>
    <w:rsid w:val="23C3232A"/>
    <w:rsid w:val="23CA13CA"/>
    <w:rsid w:val="23CE424A"/>
    <w:rsid w:val="23FB477F"/>
    <w:rsid w:val="23FC3928"/>
    <w:rsid w:val="23FC460B"/>
    <w:rsid w:val="24044446"/>
    <w:rsid w:val="240751F2"/>
    <w:rsid w:val="24091F03"/>
    <w:rsid w:val="240B4C9E"/>
    <w:rsid w:val="245145FC"/>
    <w:rsid w:val="248034DC"/>
    <w:rsid w:val="24D40D42"/>
    <w:rsid w:val="24F00FD4"/>
    <w:rsid w:val="25015BC7"/>
    <w:rsid w:val="25281EB8"/>
    <w:rsid w:val="252A0F7A"/>
    <w:rsid w:val="253F7584"/>
    <w:rsid w:val="256520D2"/>
    <w:rsid w:val="256B6333"/>
    <w:rsid w:val="258B7A6C"/>
    <w:rsid w:val="25CC4C6F"/>
    <w:rsid w:val="25D05C21"/>
    <w:rsid w:val="25E96DD7"/>
    <w:rsid w:val="25ED50A7"/>
    <w:rsid w:val="25F50BB4"/>
    <w:rsid w:val="25FD06E9"/>
    <w:rsid w:val="26011DE8"/>
    <w:rsid w:val="26150D6E"/>
    <w:rsid w:val="26161BBC"/>
    <w:rsid w:val="26280FB0"/>
    <w:rsid w:val="2660574F"/>
    <w:rsid w:val="268F61BB"/>
    <w:rsid w:val="2693350A"/>
    <w:rsid w:val="26A51365"/>
    <w:rsid w:val="26B53EAF"/>
    <w:rsid w:val="26B56444"/>
    <w:rsid w:val="26B76972"/>
    <w:rsid w:val="26CA2803"/>
    <w:rsid w:val="26D41E01"/>
    <w:rsid w:val="26E03F01"/>
    <w:rsid w:val="26F1468D"/>
    <w:rsid w:val="27102FDB"/>
    <w:rsid w:val="27115C62"/>
    <w:rsid w:val="274555B9"/>
    <w:rsid w:val="27473445"/>
    <w:rsid w:val="274A341E"/>
    <w:rsid w:val="27513287"/>
    <w:rsid w:val="27BC7B0A"/>
    <w:rsid w:val="27C879B2"/>
    <w:rsid w:val="27CD02B0"/>
    <w:rsid w:val="27F86A09"/>
    <w:rsid w:val="27FE791E"/>
    <w:rsid w:val="281C1A10"/>
    <w:rsid w:val="282943ED"/>
    <w:rsid w:val="283E6E49"/>
    <w:rsid w:val="28421F54"/>
    <w:rsid w:val="28453098"/>
    <w:rsid w:val="28532F26"/>
    <w:rsid w:val="285A2327"/>
    <w:rsid w:val="286B1C63"/>
    <w:rsid w:val="289558E3"/>
    <w:rsid w:val="28C9073A"/>
    <w:rsid w:val="28DA047F"/>
    <w:rsid w:val="28DD2C13"/>
    <w:rsid w:val="28E571F1"/>
    <w:rsid w:val="28E821F2"/>
    <w:rsid w:val="28FC2F03"/>
    <w:rsid w:val="28FC396E"/>
    <w:rsid w:val="291024ED"/>
    <w:rsid w:val="291246EF"/>
    <w:rsid w:val="294812FF"/>
    <w:rsid w:val="294D4D2C"/>
    <w:rsid w:val="29722C5A"/>
    <w:rsid w:val="298A2B25"/>
    <w:rsid w:val="29AE6E35"/>
    <w:rsid w:val="29BB2B80"/>
    <w:rsid w:val="29E05498"/>
    <w:rsid w:val="2A0F6727"/>
    <w:rsid w:val="2A1C483E"/>
    <w:rsid w:val="2A1F436F"/>
    <w:rsid w:val="2A2162D5"/>
    <w:rsid w:val="2A53022F"/>
    <w:rsid w:val="2A7B5BBF"/>
    <w:rsid w:val="2A964F18"/>
    <w:rsid w:val="2AAD1BCB"/>
    <w:rsid w:val="2ADF2948"/>
    <w:rsid w:val="2AE635D5"/>
    <w:rsid w:val="2B1D4715"/>
    <w:rsid w:val="2B476D81"/>
    <w:rsid w:val="2B502CFF"/>
    <w:rsid w:val="2B750B4C"/>
    <w:rsid w:val="2B9D1810"/>
    <w:rsid w:val="2BAA3BEE"/>
    <w:rsid w:val="2BD128AB"/>
    <w:rsid w:val="2BE67DB3"/>
    <w:rsid w:val="2BEC6818"/>
    <w:rsid w:val="2BEF73E8"/>
    <w:rsid w:val="2BFA0CDA"/>
    <w:rsid w:val="2C2066B5"/>
    <w:rsid w:val="2C404CEB"/>
    <w:rsid w:val="2C52775C"/>
    <w:rsid w:val="2CE322F0"/>
    <w:rsid w:val="2CF71973"/>
    <w:rsid w:val="2D0128A1"/>
    <w:rsid w:val="2D092E97"/>
    <w:rsid w:val="2D315BEF"/>
    <w:rsid w:val="2D38436E"/>
    <w:rsid w:val="2D3A298F"/>
    <w:rsid w:val="2D444E56"/>
    <w:rsid w:val="2D4B6EB2"/>
    <w:rsid w:val="2D4F077A"/>
    <w:rsid w:val="2DAF0FC2"/>
    <w:rsid w:val="2DBE6C04"/>
    <w:rsid w:val="2DD5312B"/>
    <w:rsid w:val="2DE96679"/>
    <w:rsid w:val="2DFA27CA"/>
    <w:rsid w:val="2E36372F"/>
    <w:rsid w:val="2E492B9E"/>
    <w:rsid w:val="2E5168AE"/>
    <w:rsid w:val="2E752195"/>
    <w:rsid w:val="2E7C4ACC"/>
    <w:rsid w:val="2E7F5A45"/>
    <w:rsid w:val="2EA702DB"/>
    <w:rsid w:val="2EB7173C"/>
    <w:rsid w:val="2EDA5F58"/>
    <w:rsid w:val="2EDF7A56"/>
    <w:rsid w:val="2EEB2021"/>
    <w:rsid w:val="2F0267C1"/>
    <w:rsid w:val="2F9155A1"/>
    <w:rsid w:val="2FE20826"/>
    <w:rsid w:val="2FFF1BA6"/>
    <w:rsid w:val="30081742"/>
    <w:rsid w:val="302D28B9"/>
    <w:rsid w:val="303D32EB"/>
    <w:rsid w:val="3042773E"/>
    <w:rsid w:val="30530050"/>
    <w:rsid w:val="306A6206"/>
    <w:rsid w:val="30861C58"/>
    <w:rsid w:val="30882497"/>
    <w:rsid w:val="308F3794"/>
    <w:rsid w:val="3092084E"/>
    <w:rsid w:val="309C3532"/>
    <w:rsid w:val="30B032B6"/>
    <w:rsid w:val="30D44D14"/>
    <w:rsid w:val="30D60606"/>
    <w:rsid w:val="30E02D04"/>
    <w:rsid w:val="30E03D59"/>
    <w:rsid w:val="30E51263"/>
    <w:rsid w:val="30F90631"/>
    <w:rsid w:val="30FE4EAA"/>
    <w:rsid w:val="31003BDA"/>
    <w:rsid w:val="310F3303"/>
    <w:rsid w:val="31106182"/>
    <w:rsid w:val="312666C7"/>
    <w:rsid w:val="314E1AC7"/>
    <w:rsid w:val="317B732E"/>
    <w:rsid w:val="318C6957"/>
    <w:rsid w:val="31EB2707"/>
    <w:rsid w:val="31F24214"/>
    <w:rsid w:val="32091B32"/>
    <w:rsid w:val="323D1BC7"/>
    <w:rsid w:val="32497C2C"/>
    <w:rsid w:val="324E2471"/>
    <w:rsid w:val="32590D3F"/>
    <w:rsid w:val="325A0DC6"/>
    <w:rsid w:val="32700E53"/>
    <w:rsid w:val="32A94C78"/>
    <w:rsid w:val="32AB5FAA"/>
    <w:rsid w:val="32B03A98"/>
    <w:rsid w:val="32BC044B"/>
    <w:rsid w:val="32C112E3"/>
    <w:rsid w:val="32F41877"/>
    <w:rsid w:val="331C6B68"/>
    <w:rsid w:val="332D1C27"/>
    <w:rsid w:val="334F1C01"/>
    <w:rsid w:val="33550AEB"/>
    <w:rsid w:val="33571316"/>
    <w:rsid w:val="335A593D"/>
    <w:rsid w:val="337C19DF"/>
    <w:rsid w:val="337E7333"/>
    <w:rsid w:val="33BC0BFC"/>
    <w:rsid w:val="33CB5C26"/>
    <w:rsid w:val="33ED69C3"/>
    <w:rsid w:val="33FA1879"/>
    <w:rsid w:val="34233D3B"/>
    <w:rsid w:val="344239FD"/>
    <w:rsid w:val="34661938"/>
    <w:rsid w:val="34703BF4"/>
    <w:rsid w:val="347D3CDC"/>
    <w:rsid w:val="348014EB"/>
    <w:rsid w:val="34D256B2"/>
    <w:rsid w:val="34E9592F"/>
    <w:rsid w:val="34F10E99"/>
    <w:rsid w:val="351706FC"/>
    <w:rsid w:val="351D6D79"/>
    <w:rsid w:val="35270CE3"/>
    <w:rsid w:val="35363AAC"/>
    <w:rsid w:val="357D71CA"/>
    <w:rsid w:val="359578F1"/>
    <w:rsid w:val="35C803ED"/>
    <w:rsid w:val="35CE3DC9"/>
    <w:rsid w:val="360F1ABA"/>
    <w:rsid w:val="361C36A4"/>
    <w:rsid w:val="362E4AC4"/>
    <w:rsid w:val="363A28E7"/>
    <w:rsid w:val="364F161B"/>
    <w:rsid w:val="365978B3"/>
    <w:rsid w:val="365E766A"/>
    <w:rsid w:val="366F26ED"/>
    <w:rsid w:val="367D6F3F"/>
    <w:rsid w:val="36A51D36"/>
    <w:rsid w:val="36A54D32"/>
    <w:rsid w:val="36BD66EA"/>
    <w:rsid w:val="36C13CD3"/>
    <w:rsid w:val="36CF578A"/>
    <w:rsid w:val="36D75AB8"/>
    <w:rsid w:val="36ED3193"/>
    <w:rsid w:val="371A6424"/>
    <w:rsid w:val="372F12FB"/>
    <w:rsid w:val="379878CD"/>
    <w:rsid w:val="37AC654E"/>
    <w:rsid w:val="37B1055B"/>
    <w:rsid w:val="37C969B3"/>
    <w:rsid w:val="37F14A0F"/>
    <w:rsid w:val="38076A14"/>
    <w:rsid w:val="38316A5C"/>
    <w:rsid w:val="383B1C91"/>
    <w:rsid w:val="383B229D"/>
    <w:rsid w:val="38681407"/>
    <w:rsid w:val="387A1259"/>
    <w:rsid w:val="38900B6B"/>
    <w:rsid w:val="3891616C"/>
    <w:rsid w:val="389A0227"/>
    <w:rsid w:val="38A41099"/>
    <w:rsid w:val="38AD6D79"/>
    <w:rsid w:val="38EC0F0B"/>
    <w:rsid w:val="38FA4B4F"/>
    <w:rsid w:val="3904478C"/>
    <w:rsid w:val="390F133E"/>
    <w:rsid w:val="390F3723"/>
    <w:rsid w:val="39273C8C"/>
    <w:rsid w:val="39284937"/>
    <w:rsid w:val="39375407"/>
    <w:rsid w:val="39484436"/>
    <w:rsid w:val="395D1055"/>
    <w:rsid w:val="39631618"/>
    <w:rsid w:val="396D5A2F"/>
    <w:rsid w:val="397E13EF"/>
    <w:rsid w:val="398F6021"/>
    <w:rsid w:val="39A37D8B"/>
    <w:rsid w:val="39B41DEF"/>
    <w:rsid w:val="39B511DC"/>
    <w:rsid w:val="39B77AE7"/>
    <w:rsid w:val="39BC1274"/>
    <w:rsid w:val="39EB57A7"/>
    <w:rsid w:val="39FC1093"/>
    <w:rsid w:val="3A0B4574"/>
    <w:rsid w:val="3A362881"/>
    <w:rsid w:val="3A4A151E"/>
    <w:rsid w:val="3A4C0203"/>
    <w:rsid w:val="3A733B7C"/>
    <w:rsid w:val="3A873F01"/>
    <w:rsid w:val="3AA30DB3"/>
    <w:rsid w:val="3AD24B3D"/>
    <w:rsid w:val="3AD54083"/>
    <w:rsid w:val="3AFE35A7"/>
    <w:rsid w:val="3B135D2A"/>
    <w:rsid w:val="3B361656"/>
    <w:rsid w:val="3B477937"/>
    <w:rsid w:val="3BE12129"/>
    <w:rsid w:val="3BFF189C"/>
    <w:rsid w:val="3C105439"/>
    <w:rsid w:val="3C1A3223"/>
    <w:rsid w:val="3C3516A3"/>
    <w:rsid w:val="3C506CF8"/>
    <w:rsid w:val="3C517B46"/>
    <w:rsid w:val="3C7401B5"/>
    <w:rsid w:val="3C96474F"/>
    <w:rsid w:val="3CB55EA8"/>
    <w:rsid w:val="3CC727F3"/>
    <w:rsid w:val="3CCB1038"/>
    <w:rsid w:val="3CD0405E"/>
    <w:rsid w:val="3CDB11CC"/>
    <w:rsid w:val="3CF32666"/>
    <w:rsid w:val="3CF4603A"/>
    <w:rsid w:val="3D117BCE"/>
    <w:rsid w:val="3D132B62"/>
    <w:rsid w:val="3D3A318F"/>
    <w:rsid w:val="3D3D6CF6"/>
    <w:rsid w:val="3D4011DC"/>
    <w:rsid w:val="3D426EA5"/>
    <w:rsid w:val="3D84219A"/>
    <w:rsid w:val="3D887662"/>
    <w:rsid w:val="3D945A3E"/>
    <w:rsid w:val="3DE010E9"/>
    <w:rsid w:val="3DED6080"/>
    <w:rsid w:val="3DF32332"/>
    <w:rsid w:val="3DF73C99"/>
    <w:rsid w:val="3E3906C9"/>
    <w:rsid w:val="3E3C0BA1"/>
    <w:rsid w:val="3E3E1017"/>
    <w:rsid w:val="3E472331"/>
    <w:rsid w:val="3E4C2FA7"/>
    <w:rsid w:val="3E6D2DC1"/>
    <w:rsid w:val="3E8E6C3E"/>
    <w:rsid w:val="3EA1143A"/>
    <w:rsid w:val="3EC036CD"/>
    <w:rsid w:val="3ED358E6"/>
    <w:rsid w:val="3EEB6F00"/>
    <w:rsid w:val="3F3D47D3"/>
    <w:rsid w:val="3F5175EB"/>
    <w:rsid w:val="3F74724C"/>
    <w:rsid w:val="3FB20EFE"/>
    <w:rsid w:val="3FB77D44"/>
    <w:rsid w:val="3FC86CEC"/>
    <w:rsid w:val="3FE93997"/>
    <w:rsid w:val="3FF97FA9"/>
    <w:rsid w:val="400145E4"/>
    <w:rsid w:val="40242BEE"/>
    <w:rsid w:val="4033024A"/>
    <w:rsid w:val="40427B5D"/>
    <w:rsid w:val="405126E0"/>
    <w:rsid w:val="40546A7A"/>
    <w:rsid w:val="40AB28DD"/>
    <w:rsid w:val="40B944D0"/>
    <w:rsid w:val="40DB0732"/>
    <w:rsid w:val="40FB25A0"/>
    <w:rsid w:val="41416D50"/>
    <w:rsid w:val="41476553"/>
    <w:rsid w:val="416D6116"/>
    <w:rsid w:val="418222AD"/>
    <w:rsid w:val="418C790F"/>
    <w:rsid w:val="41906368"/>
    <w:rsid w:val="41A50A2B"/>
    <w:rsid w:val="41B10AD5"/>
    <w:rsid w:val="41EC7DFF"/>
    <w:rsid w:val="41ED6356"/>
    <w:rsid w:val="42023BF1"/>
    <w:rsid w:val="42024295"/>
    <w:rsid w:val="4226460F"/>
    <w:rsid w:val="42481526"/>
    <w:rsid w:val="42734CC4"/>
    <w:rsid w:val="4284761B"/>
    <w:rsid w:val="4292214E"/>
    <w:rsid w:val="42930266"/>
    <w:rsid w:val="42C20766"/>
    <w:rsid w:val="42C22F8B"/>
    <w:rsid w:val="42E042B0"/>
    <w:rsid w:val="42F37B03"/>
    <w:rsid w:val="43422C34"/>
    <w:rsid w:val="435E3E03"/>
    <w:rsid w:val="437A4D26"/>
    <w:rsid w:val="43925511"/>
    <w:rsid w:val="439E7315"/>
    <w:rsid w:val="43C6656C"/>
    <w:rsid w:val="43D573A8"/>
    <w:rsid w:val="43DF5846"/>
    <w:rsid w:val="43E2108B"/>
    <w:rsid w:val="43E97638"/>
    <w:rsid w:val="44060DDB"/>
    <w:rsid w:val="440B46FC"/>
    <w:rsid w:val="440C62DB"/>
    <w:rsid w:val="442175FD"/>
    <w:rsid w:val="44427E8D"/>
    <w:rsid w:val="44487D16"/>
    <w:rsid w:val="445C096D"/>
    <w:rsid w:val="44663D88"/>
    <w:rsid w:val="446E0FCF"/>
    <w:rsid w:val="44716E2F"/>
    <w:rsid w:val="447B010B"/>
    <w:rsid w:val="448A1E86"/>
    <w:rsid w:val="45122F5A"/>
    <w:rsid w:val="453F5F67"/>
    <w:rsid w:val="45537F6B"/>
    <w:rsid w:val="456340A7"/>
    <w:rsid w:val="4575254F"/>
    <w:rsid w:val="458F6C2C"/>
    <w:rsid w:val="45AF0FAD"/>
    <w:rsid w:val="45EC515D"/>
    <w:rsid w:val="45F92ACE"/>
    <w:rsid w:val="461C5ED4"/>
    <w:rsid w:val="46525B3B"/>
    <w:rsid w:val="465A6C64"/>
    <w:rsid w:val="46AC5F46"/>
    <w:rsid w:val="46ED4E28"/>
    <w:rsid w:val="47082B64"/>
    <w:rsid w:val="470C7AB4"/>
    <w:rsid w:val="470E70BA"/>
    <w:rsid w:val="472349E0"/>
    <w:rsid w:val="47453FC9"/>
    <w:rsid w:val="476E1521"/>
    <w:rsid w:val="47720A52"/>
    <w:rsid w:val="4772538E"/>
    <w:rsid w:val="47872F18"/>
    <w:rsid w:val="478A7782"/>
    <w:rsid w:val="484A0941"/>
    <w:rsid w:val="48A1693F"/>
    <w:rsid w:val="48BC0299"/>
    <w:rsid w:val="48E03E0D"/>
    <w:rsid w:val="48F900D7"/>
    <w:rsid w:val="48FF2FB9"/>
    <w:rsid w:val="49114DE5"/>
    <w:rsid w:val="4927704A"/>
    <w:rsid w:val="492E4629"/>
    <w:rsid w:val="49952FFC"/>
    <w:rsid w:val="499942E4"/>
    <w:rsid w:val="49A744A7"/>
    <w:rsid w:val="49BA52BD"/>
    <w:rsid w:val="49E41375"/>
    <w:rsid w:val="49F47B85"/>
    <w:rsid w:val="49F5666E"/>
    <w:rsid w:val="4A2852F1"/>
    <w:rsid w:val="4A6E04EF"/>
    <w:rsid w:val="4A9F227B"/>
    <w:rsid w:val="4AA67B0D"/>
    <w:rsid w:val="4AB20F11"/>
    <w:rsid w:val="4AE146B0"/>
    <w:rsid w:val="4AE67D0E"/>
    <w:rsid w:val="4B0C4FC7"/>
    <w:rsid w:val="4B2E32B3"/>
    <w:rsid w:val="4B441F1C"/>
    <w:rsid w:val="4B56296C"/>
    <w:rsid w:val="4B6104A1"/>
    <w:rsid w:val="4B8A028D"/>
    <w:rsid w:val="4B980E28"/>
    <w:rsid w:val="4BCE4115"/>
    <w:rsid w:val="4BE72BD1"/>
    <w:rsid w:val="4BEB39D0"/>
    <w:rsid w:val="4BFA3990"/>
    <w:rsid w:val="4BFD1FF6"/>
    <w:rsid w:val="4C045E20"/>
    <w:rsid w:val="4C147298"/>
    <w:rsid w:val="4C261C46"/>
    <w:rsid w:val="4C4E16A9"/>
    <w:rsid w:val="4C532F31"/>
    <w:rsid w:val="4C841208"/>
    <w:rsid w:val="4CB25650"/>
    <w:rsid w:val="4CBA4F8B"/>
    <w:rsid w:val="4CBE0739"/>
    <w:rsid w:val="4CD62347"/>
    <w:rsid w:val="4CFB05CD"/>
    <w:rsid w:val="4D007C48"/>
    <w:rsid w:val="4D100150"/>
    <w:rsid w:val="4D261BA6"/>
    <w:rsid w:val="4D3C23A2"/>
    <w:rsid w:val="4D56570F"/>
    <w:rsid w:val="4D6539AB"/>
    <w:rsid w:val="4D7C4C20"/>
    <w:rsid w:val="4DAE3403"/>
    <w:rsid w:val="4DD2219D"/>
    <w:rsid w:val="4DDD0317"/>
    <w:rsid w:val="4E0A45F8"/>
    <w:rsid w:val="4E0B440D"/>
    <w:rsid w:val="4E2A4F3B"/>
    <w:rsid w:val="4E423B7F"/>
    <w:rsid w:val="4E593196"/>
    <w:rsid w:val="4E937495"/>
    <w:rsid w:val="4EDC7F65"/>
    <w:rsid w:val="4EE51174"/>
    <w:rsid w:val="4F065A13"/>
    <w:rsid w:val="4F1F2E94"/>
    <w:rsid w:val="4F2E2853"/>
    <w:rsid w:val="4F5C5EF1"/>
    <w:rsid w:val="4F6437B5"/>
    <w:rsid w:val="4F76289D"/>
    <w:rsid w:val="4F9B0185"/>
    <w:rsid w:val="4FA6291C"/>
    <w:rsid w:val="4FCD5AF5"/>
    <w:rsid w:val="4FD9394C"/>
    <w:rsid w:val="4FE06326"/>
    <w:rsid w:val="4FF37436"/>
    <w:rsid w:val="50151277"/>
    <w:rsid w:val="50153C0A"/>
    <w:rsid w:val="503846B7"/>
    <w:rsid w:val="5043613C"/>
    <w:rsid w:val="504C7CBA"/>
    <w:rsid w:val="50756CD2"/>
    <w:rsid w:val="50780306"/>
    <w:rsid w:val="509969BF"/>
    <w:rsid w:val="50D668CD"/>
    <w:rsid w:val="510C5947"/>
    <w:rsid w:val="510D29D6"/>
    <w:rsid w:val="5112638B"/>
    <w:rsid w:val="511B4889"/>
    <w:rsid w:val="516321AC"/>
    <w:rsid w:val="518C5FE0"/>
    <w:rsid w:val="51AC1B52"/>
    <w:rsid w:val="51B53B5D"/>
    <w:rsid w:val="51C154CA"/>
    <w:rsid w:val="520E5497"/>
    <w:rsid w:val="520F4C71"/>
    <w:rsid w:val="52272C1B"/>
    <w:rsid w:val="52306AB4"/>
    <w:rsid w:val="52447391"/>
    <w:rsid w:val="525374E7"/>
    <w:rsid w:val="527619BA"/>
    <w:rsid w:val="52863988"/>
    <w:rsid w:val="52A53080"/>
    <w:rsid w:val="52B2211D"/>
    <w:rsid w:val="52C90C56"/>
    <w:rsid w:val="52FF1047"/>
    <w:rsid w:val="53165304"/>
    <w:rsid w:val="53197C70"/>
    <w:rsid w:val="53336F17"/>
    <w:rsid w:val="53425AD0"/>
    <w:rsid w:val="53543DCC"/>
    <w:rsid w:val="535F4076"/>
    <w:rsid w:val="53806176"/>
    <w:rsid w:val="539F081D"/>
    <w:rsid w:val="53A30056"/>
    <w:rsid w:val="53A573D6"/>
    <w:rsid w:val="53C21998"/>
    <w:rsid w:val="53D26AB7"/>
    <w:rsid w:val="53F14BF1"/>
    <w:rsid w:val="542D6231"/>
    <w:rsid w:val="543734BE"/>
    <w:rsid w:val="549E3BC4"/>
    <w:rsid w:val="54AC0263"/>
    <w:rsid w:val="54E72C51"/>
    <w:rsid w:val="54F20EF0"/>
    <w:rsid w:val="54F52132"/>
    <w:rsid w:val="550F29F4"/>
    <w:rsid w:val="55541593"/>
    <w:rsid w:val="55872DA2"/>
    <w:rsid w:val="55921A7D"/>
    <w:rsid w:val="559268A6"/>
    <w:rsid w:val="55A20ECE"/>
    <w:rsid w:val="55D33AD1"/>
    <w:rsid w:val="55DB11C3"/>
    <w:rsid w:val="55FA33AF"/>
    <w:rsid w:val="560015FD"/>
    <w:rsid w:val="56147FEF"/>
    <w:rsid w:val="56301C28"/>
    <w:rsid w:val="56436324"/>
    <w:rsid w:val="56731723"/>
    <w:rsid w:val="567B7833"/>
    <w:rsid w:val="56E34303"/>
    <w:rsid w:val="57057979"/>
    <w:rsid w:val="57164FB2"/>
    <w:rsid w:val="571D3BAB"/>
    <w:rsid w:val="57354D63"/>
    <w:rsid w:val="575A5797"/>
    <w:rsid w:val="575B5A8B"/>
    <w:rsid w:val="577C48E4"/>
    <w:rsid w:val="577E6336"/>
    <w:rsid w:val="57A83E27"/>
    <w:rsid w:val="57CD4C7E"/>
    <w:rsid w:val="580A7ABB"/>
    <w:rsid w:val="58226C0A"/>
    <w:rsid w:val="586273C2"/>
    <w:rsid w:val="58833CEF"/>
    <w:rsid w:val="589756F8"/>
    <w:rsid w:val="58BE1EA8"/>
    <w:rsid w:val="58C037BE"/>
    <w:rsid w:val="58D01557"/>
    <w:rsid w:val="58D5315C"/>
    <w:rsid w:val="58DE36F9"/>
    <w:rsid w:val="58F35B9A"/>
    <w:rsid w:val="591E10ED"/>
    <w:rsid w:val="592B4004"/>
    <w:rsid w:val="593C034C"/>
    <w:rsid w:val="59543B75"/>
    <w:rsid w:val="59653598"/>
    <w:rsid w:val="59693262"/>
    <w:rsid w:val="59A855A7"/>
    <w:rsid w:val="59D230F5"/>
    <w:rsid w:val="59DE31D4"/>
    <w:rsid w:val="59E2062E"/>
    <w:rsid w:val="5A20238A"/>
    <w:rsid w:val="5A426376"/>
    <w:rsid w:val="5A5A296C"/>
    <w:rsid w:val="5A6C47C5"/>
    <w:rsid w:val="5A7F7D46"/>
    <w:rsid w:val="5A957A2C"/>
    <w:rsid w:val="5A964927"/>
    <w:rsid w:val="5A9B27F8"/>
    <w:rsid w:val="5AC94BC7"/>
    <w:rsid w:val="5ACA5E32"/>
    <w:rsid w:val="5AF21FBD"/>
    <w:rsid w:val="5B1066B5"/>
    <w:rsid w:val="5B5B754D"/>
    <w:rsid w:val="5B6D328F"/>
    <w:rsid w:val="5BA11C54"/>
    <w:rsid w:val="5BAB2126"/>
    <w:rsid w:val="5BAB24FB"/>
    <w:rsid w:val="5BFB3144"/>
    <w:rsid w:val="5C2515FF"/>
    <w:rsid w:val="5C30104B"/>
    <w:rsid w:val="5C3B647C"/>
    <w:rsid w:val="5C3D574A"/>
    <w:rsid w:val="5C4B6BDA"/>
    <w:rsid w:val="5C755A08"/>
    <w:rsid w:val="5D131A39"/>
    <w:rsid w:val="5D202C76"/>
    <w:rsid w:val="5D7D78A4"/>
    <w:rsid w:val="5D9619F5"/>
    <w:rsid w:val="5DA454A3"/>
    <w:rsid w:val="5DAD3376"/>
    <w:rsid w:val="5DAF32D3"/>
    <w:rsid w:val="5DC27E0F"/>
    <w:rsid w:val="5DC327AB"/>
    <w:rsid w:val="5DE65811"/>
    <w:rsid w:val="5DF0617C"/>
    <w:rsid w:val="5DF83909"/>
    <w:rsid w:val="5E207CEE"/>
    <w:rsid w:val="5E275D85"/>
    <w:rsid w:val="5E444ABD"/>
    <w:rsid w:val="5E501C18"/>
    <w:rsid w:val="5E7739EB"/>
    <w:rsid w:val="5E7874CD"/>
    <w:rsid w:val="5E917B2E"/>
    <w:rsid w:val="5E9D3EC6"/>
    <w:rsid w:val="5EB75D66"/>
    <w:rsid w:val="5ECD74CB"/>
    <w:rsid w:val="5EE47551"/>
    <w:rsid w:val="5EE9368A"/>
    <w:rsid w:val="5F1B6707"/>
    <w:rsid w:val="5F3C211D"/>
    <w:rsid w:val="5F4B184C"/>
    <w:rsid w:val="5F5A0B9B"/>
    <w:rsid w:val="5F5B1EA2"/>
    <w:rsid w:val="5F654315"/>
    <w:rsid w:val="5F800F83"/>
    <w:rsid w:val="5FB139C9"/>
    <w:rsid w:val="5FC27AD3"/>
    <w:rsid w:val="5FC35C6A"/>
    <w:rsid w:val="5FF612FA"/>
    <w:rsid w:val="5FF82840"/>
    <w:rsid w:val="600565EC"/>
    <w:rsid w:val="6065366B"/>
    <w:rsid w:val="606C7BC7"/>
    <w:rsid w:val="60712222"/>
    <w:rsid w:val="60882DF9"/>
    <w:rsid w:val="60A43A1E"/>
    <w:rsid w:val="60DA2DC7"/>
    <w:rsid w:val="60FB208D"/>
    <w:rsid w:val="610C2931"/>
    <w:rsid w:val="61326AAC"/>
    <w:rsid w:val="61653CEF"/>
    <w:rsid w:val="61743B80"/>
    <w:rsid w:val="61884921"/>
    <w:rsid w:val="61A720D0"/>
    <w:rsid w:val="61AD3C10"/>
    <w:rsid w:val="61BB3C3F"/>
    <w:rsid w:val="61BF5C55"/>
    <w:rsid w:val="61C02AAE"/>
    <w:rsid w:val="61CE032E"/>
    <w:rsid w:val="61ED5A95"/>
    <w:rsid w:val="620007D9"/>
    <w:rsid w:val="62520784"/>
    <w:rsid w:val="626C1A8D"/>
    <w:rsid w:val="62CF58F2"/>
    <w:rsid w:val="62F529F5"/>
    <w:rsid w:val="6332468E"/>
    <w:rsid w:val="63531D46"/>
    <w:rsid w:val="639655C5"/>
    <w:rsid w:val="63A30D67"/>
    <w:rsid w:val="63A377BD"/>
    <w:rsid w:val="63A53454"/>
    <w:rsid w:val="63C12337"/>
    <w:rsid w:val="63D53DE1"/>
    <w:rsid w:val="6434734B"/>
    <w:rsid w:val="643E42AD"/>
    <w:rsid w:val="645C5534"/>
    <w:rsid w:val="646742DB"/>
    <w:rsid w:val="64BA545E"/>
    <w:rsid w:val="64BD7806"/>
    <w:rsid w:val="64DA52AF"/>
    <w:rsid w:val="65011700"/>
    <w:rsid w:val="6507405D"/>
    <w:rsid w:val="65103F31"/>
    <w:rsid w:val="65210259"/>
    <w:rsid w:val="652338FE"/>
    <w:rsid w:val="652B333F"/>
    <w:rsid w:val="653648E0"/>
    <w:rsid w:val="65393274"/>
    <w:rsid w:val="653F0A0E"/>
    <w:rsid w:val="65463634"/>
    <w:rsid w:val="65465D72"/>
    <w:rsid w:val="65603ED3"/>
    <w:rsid w:val="65617979"/>
    <w:rsid w:val="656F2A84"/>
    <w:rsid w:val="65774840"/>
    <w:rsid w:val="657D35CB"/>
    <w:rsid w:val="659D0F95"/>
    <w:rsid w:val="65B04E72"/>
    <w:rsid w:val="660F6E6E"/>
    <w:rsid w:val="6617586E"/>
    <w:rsid w:val="6621051D"/>
    <w:rsid w:val="662F6217"/>
    <w:rsid w:val="66384918"/>
    <w:rsid w:val="667A6011"/>
    <w:rsid w:val="667C55D8"/>
    <w:rsid w:val="66B34B1F"/>
    <w:rsid w:val="66CA5E53"/>
    <w:rsid w:val="66CD7804"/>
    <w:rsid w:val="66DD5232"/>
    <w:rsid w:val="66EF2E01"/>
    <w:rsid w:val="66F01D3B"/>
    <w:rsid w:val="66F560FB"/>
    <w:rsid w:val="66F877D9"/>
    <w:rsid w:val="670E0757"/>
    <w:rsid w:val="67264744"/>
    <w:rsid w:val="673F2377"/>
    <w:rsid w:val="678633A7"/>
    <w:rsid w:val="67BB6C26"/>
    <w:rsid w:val="67CA0D68"/>
    <w:rsid w:val="67CD293A"/>
    <w:rsid w:val="67DE6377"/>
    <w:rsid w:val="681D10BC"/>
    <w:rsid w:val="683D2D8B"/>
    <w:rsid w:val="687F4BD8"/>
    <w:rsid w:val="68887DDC"/>
    <w:rsid w:val="68BA773F"/>
    <w:rsid w:val="690B328B"/>
    <w:rsid w:val="691D42E7"/>
    <w:rsid w:val="69371BAD"/>
    <w:rsid w:val="6947196D"/>
    <w:rsid w:val="69530C46"/>
    <w:rsid w:val="6969282B"/>
    <w:rsid w:val="69C92C5B"/>
    <w:rsid w:val="69CB3671"/>
    <w:rsid w:val="69D35478"/>
    <w:rsid w:val="69D77C4E"/>
    <w:rsid w:val="69F13935"/>
    <w:rsid w:val="69F35841"/>
    <w:rsid w:val="6A162EA1"/>
    <w:rsid w:val="6A330C9B"/>
    <w:rsid w:val="6A515392"/>
    <w:rsid w:val="6A6A5A41"/>
    <w:rsid w:val="6A7102EE"/>
    <w:rsid w:val="6AA764E3"/>
    <w:rsid w:val="6AA80D43"/>
    <w:rsid w:val="6ACE12AF"/>
    <w:rsid w:val="6B131D6E"/>
    <w:rsid w:val="6B291139"/>
    <w:rsid w:val="6B6E5265"/>
    <w:rsid w:val="6B89791C"/>
    <w:rsid w:val="6B952004"/>
    <w:rsid w:val="6BBD768C"/>
    <w:rsid w:val="6BD84B56"/>
    <w:rsid w:val="6C166F1A"/>
    <w:rsid w:val="6C202211"/>
    <w:rsid w:val="6C202B79"/>
    <w:rsid w:val="6C271409"/>
    <w:rsid w:val="6C285FD9"/>
    <w:rsid w:val="6C33589E"/>
    <w:rsid w:val="6C411D07"/>
    <w:rsid w:val="6C5A6B76"/>
    <w:rsid w:val="6C701997"/>
    <w:rsid w:val="6CC31122"/>
    <w:rsid w:val="6CD83801"/>
    <w:rsid w:val="6CDB1801"/>
    <w:rsid w:val="6CF7202D"/>
    <w:rsid w:val="6D3100DD"/>
    <w:rsid w:val="6D387297"/>
    <w:rsid w:val="6D771FC2"/>
    <w:rsid w:val="6DA214CD"/>
    <w:rsid w:val="6DB32C57"/>
    <w:rsid w:val="6DBD7F22"/>
    <w:rsid w:val="6DCE57F6"/>
    <w:rsid w:val="6DFE0B8C"/>
    <w:rsid w:val="6E000DAD"/>
    <w:rsid w:val="6E2234C5"/>
    <w:rsid w:val="6E34017F"/>
    <w:rsid w:val="6E351D84"/>
    <w:rsid w:val="6E473E92"/>
    <w:rsid w:val="6E582FB6"/>
    <w:rsid w:val="6E6704AF"/>
    <w:rsid w:val="6E910CDA"/>
    <w:rsid w:val="6E962B0B"/>
    <w:rsid w:val="6E9665B2"/>
    <w:rsid w:val="6EBE2130"/>
    <w:rsid w:val="6ED00513"/>
    <w:rsid w:val="6F1543E1"/>
    <w:rsid w:val="6F156FAA"/>
    <w:rsid w:val="6F4B31D7"/>
    <w:rsid w:val="6F4D3304"/>
    <w:rsid w:val="6F5E01FD"/>
    <w:rsid w:val="6F642745"/>
    <w:rsid w:val="6FDA0E50"/>
    <w:rsid w:val="6FEE6A66"/>
    <w:rsid w:val="700372DF"/>
    <w:rsid w:val="704E2232"/>
    <w:rsid w:val="7062416D"/>
    <w:rsid w:val="707922DF"/>
    <w:rsid w:val="70AF7D6D"/>
    <w:rsid w:val="70BC5072"/>
    <w:rsid w:val="70DF1978"/>
    <w:rsid w:val="70E033C6"/>
    <w:rsid w:val="70E40AEA"/>
    <w:rsid w:val="70F63181"/>
    <w:rsid w:val="710320C7"/>
    <w:rsid w:val="711C4727"/>
    <w:rsid w:val="712B0926"/>
    <w:rsid w:val="714A6289"/>
    <w:rsid w:val="719306A8"/>
    <w:rsid w:val="71A01A79"/>
    <w:rsid w:val="71C25B44"/>
    <w:rsid w:val="71F92285"/>
    <w:rsid w:val="71FE498B"/>
    <w:rsid w:val="720A278E"/>
    <w:rsid w:val="720E4FD8"/>
    <w:rsid w:val="72226BB5"/>
    <w:rsid w:val="7231517E"/>
    <w:rsid w:val="72476D26"/>
    <w:rsid w:val="726558BC"/>
    <w:rsid w:val="72737B96"/>
    <w:rsid w:val="728A1BDC"/>
    <w:rsid w:val="72AB7817"/>
    <w:rsid w:val="72B83265"/>
    <w:rsid w:val="72E765E1"/>
    <w:rsid w:val="72E9028D"/>
    <w:rsid w:val="731B2B26"/>
    <w:rsid w:val="732752CB"/>
    <w:rsid w:val="73443C99"/>
    <w:rsid w:val="735A6820"/>
    <w:rsid w:val="736A025C"/>
    <w:rsid w:val="73737331"/>
    <w:rsid w:val="73762E97"/>
    <w:rsid w:val="73783067"/>
    <w:rsid w:val="73814156"/>
    <w:rsid w:val="73A71EB3"/>
    <w:rsid w:val="73B72094"/>
    <w:rsid w:val="73DF4077"/>
    <w:rsid w:val="7401233B"/>
    <w:rsid w:val="741A7632"/>
    <w:rsid w:val="742B256D"/>
    <w:rsid w:val="743A36D8"/>
    <w:rsid w:val="743E2A77"/>
    <w:rsid w:val="74572506"/>
    <w:rsid w:val="746A4F6C"/>
    <w:rsid w:val="747B06C5"/>
    <w:rsid w:val="74860451"/>
    <w:rsid w:val="74AA020F"/>
    <w:rsid w:val="74AB4E82"/>
    <w:rsid w:val="74B27205"/>
    <w:rsid w:val="74BF7D8F"/>
    <w:rsid w:val="75092D18"/>
    <w:rsid w:val="750935B9"/>
    <w:rsid w:val="75756EB8"/>
    <w:rsid w:val="757B3073"/>
    <w:rsid w:val="75830B38"/>
    <w:rsid w:val="75A5544C"/>
    <w:rsid w:val="75BB49E4"/>
    <w:rsid w:val="75BB4CCB"/>
    <w:rsid w:val="75CC4656"/>
    <w:rsid w:val="75E77586"/>
    <w:rsid w:val="75E87A2A"/>
    <w:rsid w:val="75FE72F1"/>
    <w:rsid w:val="76300087"/>
    <w:rsid w:val="763A6074"/>
    <w:rsid w:val="7654262B"/>
    <w:rsid w:val="76550474"/>
    <w:rsid w:val="76607D1C"/>
    <w:rsid w:val="766E204C"/>
    <w:rsid w:val="768B24C7"/>
    <w:rsid w:val="76A11138"/>
    <w:rsid w:val="76A86406"/>
    <w:rsid w:val="76B65E52"/>
    <w:rsid w:val="76C70B2A"/>
    <w:rsid w:val="76C74063"/>
    <w:rsid w:val="77096CB0"/>
    <w:rsid w:val="771C1D2E"/>
    <w:rsid w:val="772C4B05"/>
    <w:rsid w:val="77313314"/>
    <w:rsid w:val="773C1181"/>
    <w:rsid w:val="775F2903"/>
    <w:rsid w:val="7766524D"/>
    <w:rsid w:val="77AC59C6"/>
    <w:rsid w:val="77B4399E"/>
    <w:rsid w:val="77C2229E"/>
    <w:rsid w:val="77D359B3"/>
    <w:rsid w:val="77F603FD"/>
    <w:rsid w:val="78164C16"/>
    <w:rsid w:val="78381665"/>
    <w:rsid w:val="7870461F"/>
    <w:rsid w:val="78773C61"/>
    <w:rsid w:val="789A30FE"/>
    <w:rsid w:val="78B136EC"/>
    <w:rsid w:val="78B807C5"/>
    <w:rsid w:val="79103659"/>
    <w:rsid w:val="79204AA6"/>
    <w:rsid w:val="793E6587"/>
    <w:rsid w:val="794224B2"/>
    <w:rsid w:val="795B7D29"/>
    <w:rsid w:val="797A00FB"/>
    <w:rsid w:val="79A5238C"/>
    <w:rsid w:val="79CE4A97"/>
    <w:rsid w:val="79D836FC"/>
    <w:rsid w:val="79F15F5B"/>
    <w:rsid w:val="79FA2ADE"/>
    <w:rsid w:val="7A1C6C5A"/>
    <w:rsid w:val="7A247CA7"/>
    <w:rsid w:val="7AB560E6"/>
    <w:rsid w:val="7ABC106F"/>
    <w:rsid w:val="7ACE6E1E"/>
    <w:rsid w:val="7AD507BF"/>
    <w:rsid w:val="7AE67951"/>
    <w:rsid w:val="7B043941"/>
    <w:rsid w:val="7B183F87"/>
    <w:rsid w:val="7B1E2F29"/>
    <w:rsid w:val="7B1F17D5"/>
    <w:rsid w:val="7B2B415B"/>
    <w:rsid w:val="7B637783"/>
    <w:rsid w:val="7B6D2FB8"/>
    <w:rsid w:val="7B712D89"/>
    <w:rsid w:val="7B7470B0"/>
    <w:rsid w:val="7B782C65"/>
    <w:rsid w:val="7B8970CA"/>
    <w:rsid w:val="7BAC42CC"/>
    <w:rsid w:val="7BCC342D"/>
    <w:rsid w:val="7BCC4D80"/>
    <w:rsid w:val="7BDC5F69"/>
    <w:rsid w:val="7BF74162"/>
    <w:rsid w:val="7BFD6A55"/>
    <w:rsid w:val="7C0347CD"/>
    <w:rsid w:val="7C0C552E"/>
    <w:rsid w:val="7C2A1CA0"/>
    <w:rsid w:val="7C2C3BFD"/>
    <w:rsid w:val="7C3F5AE8"/>
    <w:rsid w:val="7C472D36"/>
    <w:rsid w:val="7C5728C1"/>
    <w:rsid w:val="7C6006B5"/>
    <w:rsid w:val="7C986388"/>
    <w:rsid w:val="7CAC4E1D"/>
    <w:rsid w:val="7CCF4EA0"/>
    <w:rsid w:val="7CE829DC"/>
    <w:rsid w:val="7D193106"/>
    <w:rsid w:val="7D37602A"/>
    <w:rsid w:val="7D533585"/>
    <w:rsid w:val="7D5516B7"/>
    <w:rsid w:val="7D5D75DF"/>
    <w:rsid w:val="7D6B45EC"/>
    <w:rsid w:val="7D727D2E"/>
    <w:rsid w:val="7D78140C"/>
    <w:rsid w:val="7DA74ACF"/>
    <w:rsid w:val="7DC934FA"/>
    <w:rsid w:val="7DD0151C"/>
    <w:rsid w:val="7DFA2684"/>
    <w:rsid w:val="7DFE3E60"/>
    <w:rsid w:val="7E055050"/>
    <w:rsid w:val="7E0F7477"/>
    <w:rsid w:val="7E50302A"/>
    <w:rsid w:val="7E642079"/>
    <w:rsid w:val="7E655BDA"/>
    <w:rsid w:val="7E6C63F2"/>
    <w:rsid w:val="7E776246"/>
    <w:rsid w:val="7EA47EDA"/>
    <w:rsid w:val="7EB56895"/>
    <w:rsid w:val="7EBC0134"/>
    <w:rsid w:val="7EDD7157"/>
    <w:rsid w:val="7EF84772"/>
    <w:rsid w:val="7EF95165"/>
    <w:rsid w:val="7F050CCC"/>
    <w:rsid w:val="7FA63F04"/>
    <w:rsid w:val="7FB22BF7"/>
    <w:rsid w:val="7FD03D9E"/>
    <w:rsid w:val="7FDD7A0D"/>
    <w:rsid w:val="7FFD70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7"/>
    <w:qFormat/>
    <w:uiPriority w:val="99"/>
    <w:pPr>
      <w:keepNext/>
      <w:outlineLvl w:val="0"/>
    </w:pPr>
    <w:rPr>
      <w:b/>
    </w:rPr>
  </w:style>
  <w:style w:type="paragraph" w:styleId="4">
    <w:name w:val="heading 2"/>
    <w:basedOn w:val="1"/>
    <w:next w:val="1"/>
    <w:semiHidden/>
    <w:unhideWhenUsed/>
    <w:qFormat/>
    <w:locked/>
    <w:uiPriority w:val="0"/>
    <w:pPr>
      <w:keepNext/>
      <w:keepLines/>
      <w:numPr>
        <w:ilvl w:val="1"/>
        <w:numId w:val="1"/>
      </w:numPr>
      <w:snapToGrid/>
      <w:spacing w:beforeLines="0" w:beforeAutospacing="0" w:afterLines="0" w:afterAutospacing="0" w:line="413" w:lineRule="auto"/>
      <w:outlineLvl w:val="1"/>
    </w:pPr>
    <w:rPr>
      <w:rFonts w:ascii="Arial" w:hAnsi="Arial" w:eastAsia="仿宋"/>
      <w:b/>
      <w:sz w:val="32"/>
      <w:szCs w:val="22"/>
    </w:rPr>
  </w:style>
  <w:style w:type="paragraph" w:styleId="5">
    <w:name w:val="heading 3"/>
    <w:basedOn w:val="1"/>
    <w:next w:val="1"/>
    <w:link w:val="38"/>
    <w:qFormat/>
    <w:uiPriority w:val="99"/>
    <w:pPr>
      <w:keepNext/>
      <w:keepLines/>
      <w:spacing w:before="260" w:after="260" w:line="416" w:lineRule="auto"/>
      <w:outlineLvl w:val="2"/>
    </w:pPr>
    <w:rPr>
      <w:b/>
      <w:bCs/>
      <w:sz w:val="32"/>
      <w:szCs w:val="32"/>
    </w:rPr>
  </w:style>
  <w:style w:type="paragraph" w:styleId="6">
    <w:name w:val="heading 4"/>
    <w:basedOn w:val="1"/>
    <w:next w:val="1"/>
    <w:link w:val="39"/>
    <w:qFormat/>
    <w:uiPriority w:val="99"/>
    <w:pPr>
      <w:keepNext/>
      <w:keepLines/>
      <w:tabs>
        <w:tab w:val="left" w:pos="864"/>
      </w:tabs>
      <w:outlineLvl w:val="3"/>
    </w:pPr>
    <w:rPr>
      <w:rFonts w:ascii="Arial" w:hAnsi="Arial" w:eastAsia="黑体"/>
      <w:b/>
      <w:sz w:val="28"/>
      <w:szCs w:val="28"/>
    </w:rPr>
  </w:style>
  <w:style w:type="character" w:default="1" w:styleId="24">
    <w:name w:val="Default Paragraph Font"/>
    <w:semiHidden/>
    <w:qFormat/>
    <w:uiPriority w:val="99"/>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99"/>
    <w:pPr>
      <w:widowControl/>
      <w:overflowPunct w:val="0"/>
      <w:autoSpaceDE w:val="0"/>
      <w:autoSpaceDN w:val="0"/>
      <w:adjustRightInd w:val="0"/>
      <w:spacing w:after="220" w:line="180" w:lineRule="atLeast"/>
      <w:textAlignment w:val="baseline"/>
    </w:pPr>
    <w:rPr>
      <w:rFonts w:ascii="Arial" w:hAnsi="Arial"/>
      <w:spacing w:val="-5"/>
      <w:kern w:val="0"/>
      <w:sz w:val="20"/>
    </w:rPr>
  </w:style>
  <w:style w:type="paragraph" w:styleId="7">
    <w:name w:val="Normal Indent"/>
    <w:basedOn w:val="1"/>
    <w:qFormat/>
    <w:locked/>
    <w:uiPriority w:val="0"/>
    <w:pPr>
      <w:spacing w:line="360" w:lineRule="auto"/>
      <w:ind w:firstLine="0"/>
    </w:pPr>
    <w:rPr>
      <w:rFonts w:ascii="宋体" w:hAnsi="宋体" w:eastAsia="宋体" w:cs="Times New Roman"/>
    </w:rPr>
  </w:style>
  <w:style w:type="paragraph" w:styleId="8">
    <w:name w:val="annotation text"/>
    <w:basedOn w:val="1"/>
    <w:link w:val="40"/>
    <w:qFormat/>
    <w:uiPriority w:val="99"/>
    <w:pPr>
      <w:jc w:val="left"/>
    </w:pPr>
  </w:style>
  <w:style w:type="paragraph" w:styleId="9">
    <w:name w:val="Body Text 3"/>
    <w:basedOn w:val="1"/>
    <w:link w:val="41"/>
    <w:qFormat/>
    <w:uiPriority w:val="99"/>
    <w:pPr>
      <w:spacing w:line="500" w:lineRule="exact"/>
    </w:pPr>
    <w:rPr>
      <w:b/>
      <w:bCs/>
      <w:sz w:val="24"/>
    </w:rPr>
  </w:style>
  <w:style w:type="paragraph" w:styleId="10">
    <w:name w:val="Body Text Indent"/>
    <w:basedOn w:val="1"/>
    <w:next w:val="11"/>
    <w:link w:val="43"/>
    <w:qFormat/>
    <w:uiPriority w:val="99"/>
    <w:pPr>
      <w:spacing w:line="200" w:lineRule="exact"/>
      <w:ind w:firstLine="301"/>
    </w:pPr>
    <w:rPr>
      <w:rFonts w:ascii="宋体" w:hAnsi="Courier New"/>
      <w:spacing w:val="-4"/>
      <w:sz w:val="18"/>
      <w:szCs w:val="20"/>
    </w:rPr>
  </w:style>
  <w:style w:type="paragraph" w:customStyle="1" w:styleId="11">
    <w:name w:val="目录 42"/>
    <w:next w:val="1"/>
    <w:qFormat/>
    <w:uiPriority w:val="99"/>
    <w:pPr>
      <w:wordWrap w:val="0"/>
      <w:ind w:left="850"/>
      <w:jc w:val="both"/>
    </w:pPr>
    <w:rPr>
      <w:rFonts w:ascii="Times New Roman" w:hAnsi="Times New Roman" w:eastAsia="宋体" w:cs="Times New Roman"/>
      <w:kern w:val="0"/>
      <w:sz w:val="21"/>
      <w:szCs w:val="20"/>
      <w:lang w:val="en-US" w:eastAsia="zh-CN" w:bidi="ar-SA"/>
    </w:rPr>
  </w:style>
  <w:style w:type="paragraph" w:styleId="12">
    <w:name w:val="Plain Text"/>
    <w:basedOn w:val="1"/>
    <w:next w:val="1"/>
    <w:link w:val="44"/>
    <w:qFormat/>
    <w:uiPriority w:val="99"/>
    <w:rPr>
      <w:rFonts w:ascii="宋体" w:hAnsi="Courier New"/>
      <w:szCs w:val="20"/>
    </w:rPr>
  </w:style>
  <w:style w:type="paragraph" w:styleId="13">
    <w:name w:val="endnote text"/>
    <w:basedOn w:val="1"/>
    <w:link w:val="45"/>
    <w:qFormat/>
    <w:uiPriority w:val="99"/>
    <w:pPr>
      <w:snapToGrid w:val="0"/>
      <w:jc w:val="left"/>
    </w:pPr>
  </w:style>
  <w:style w:type="paragraph" w:styleId="14">
    <w:name w:val="Balloon Text"/>
    <w:basedOn w:val="1"/>
    <w:link w:val="46"/>
    <w:qFormat/>
    <w:uiPriority w:val="99"/>
    <w:rPr>
      <w:sz w:val="18"/>
      <w:szCs w:val="18"/>
    </w:rPr>
  </w:style>
  <w:style w:type="paragraph" w:styleId="15">
    <w:name w:val="footer"/>
    <w:basedOn w:val="1"/>
    <w:next w:val="1"/>
    <w:link w:val="47"/>
    <w:qFormat/>
    <w:uiPriority w:val="99"/>
    <w:pPr>
      <w:tabs>
        <w:tab w:val="center" w:pos="4153"/>
        <w:tab w:val="right" w:pos="8306"/>
      </w:tabs>
      <w:snapToGrid w:val="0"/>
      <w:jc w:val="left"/>
    </w:pPr>
    <w:rPr>
      <w:rFonts w:ascii="宋体" w:hAnsi="Courier New"/>
      <w:sz w:val="18"/>
      <w:szCs w:val="20"/>
    </w:rPr>
  </w:style>
  <w:style w:type="paragraph" w:styleId="16">
    <w:name w:val="header"/>
    <w:basedOn w:val="1"/>
    <w:link w:val="48"/>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17">
    <w:name w:val="toc 1"/>
    <w:basedOn w:val="1"/>
    <w:next w:val="1"/>
    <w:qFormat/>
    <w:uiPriority w:val="99"/>
    <w:pPr>
      <w:tabs>
        <w:tab w:val="right" w:leader="dot" w:pos="9628"/>
      </w:tabs>
      <w:spacing w:line="640" w:lineRule="exact"/>
    </w:pPr>
    <w:rPr>
      <w:rFonts w:ascii="宋体" w:hAnsi="宋体" w:eastAsia="黑体"/>
      <w:b/>
      <w:color w:val="FF0000"/>
      <w:sz w:val="32"/>
      <w:szCs w:val="32"/>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Title"/>
    <w:basedOn w:val="1"/>
    <w:link w:val="49"/>
    <w:qFormat/>
    <w:uiPriority w:val="99"/>
    <w:pPr>
      <w:spacing w:before="240" w:after="60"/>
      <w:jc w:val="center"/>
      <w:outlineLvl w:val="0"/>
    </w:pPr>
    <w:rPr>
      <w:rFonts w:ascii="Arial" w:hAnsi="Arial"/>
      <w:b/>
      <w:bCs/>
      <w:sz w:val="32"/>
      <w:szCs w:val="32"/>
    </w:rPr>
  </w:style>
  <w:style w:type="paragraph" w:styleId="20">
    <w:name w:val="annotation subject"/>
    <w:basedOn w:val="8"/>
    <w:next w:val="8"/>
    <w:link w:val="50"/>
    <w:qFormat/>
    <w:uiPriority w:val="99"/>
    <w:rPr>
      <w:b/>
      <w:bCs/>
    </w:rPr>
  </w:style>
  <w:style w:type="paragraph" w:styleId="21">
    <w:name w:val="Body Text First Indent 2"/>
    <w:basedOn w:val="10"/>
    <w:link w:val="51"/>
    <w:qFormat/>
    <w:uiPriority w:val="99"/>
    <w:pPr>
      <w:widowControl/>
      <w:spacing w:line="360" w:lineRule="auto"/>
      <w:ind w:left="-358" w:leftChars="-128" w:firstLine="560" w:firstLineChars="200"/>
      <w:jc w:val="left"/>
    </w:pPr>
    <w:rPr>
      <w:rFonts w:ascii="Times New Roman" w:hAnsi="Times New Roman"/>
      <w:sz w:val="28"/>
    </w:rPr>
  </w:style>
  <w:style w:type="table" w:styleId="23">
    <w:name w:val="Table Grid"/>
    <w:basedOn w:val="2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ndnote reference"/>
    <w:basedOn w:val="24"/>
    <w:qFormat/>
    <w:uiPriority w:val="99"/>
    <w:rPr>
      <w:rFonts w:cs="Times New Roman"/>
      <w:vertAlign w:val="superscript"/>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333333"/>
      <w:u w:val="none"/>
    </w:rPr>
  </w:style>
  <w:style w:type="character" w:styleId="28">
    <w:name w:val="Emphasis"/>
    <w:basedOn w:val="24"/>
    <w:qFormat/>
    <w:uiPriority w:val="99"/>
    <w:rPr>
      <w:rFonts w:cs="Times New Roman"/>
    </w:rPr>
  </w:style>
  <w:style w:type="character" w:styleId="29">
    <w:name w:val="HTML Definition"/>
    <w:basedOn w:val="24"/>
    <w:qFormat/>
    <w:uiPriority w:val="99"/>
    <w:rPr>
      <w:rFonts w:cs="Times New Roman"/>
    </w:rPr>
  </w:style>
  <w:style w:type="character" w:styleId="30">
    <w:name w:val="HTML Acronym"/>
    <w:basedOn w:val="24"/>
    <w:qFormat/>
    <w:uiPriority w:val="99"/>
    <w:rPr>
      <w:rFonts w:cs="Times New Roman"/>
    </w:rPr>
  </w:style>
  <w:style w:type="character" w:styleId="31">
    <w:name w:val="HTML Variable"/>
    <w:basedOn w:val="24"/>
    <w:qFormat/>
    <w:uiPriority w:val="99"/>
    <w:rPr>
      <w:rFonts w:cs="Times New Roman"/>
    </w:rPr>
  </w:style>
  <w:style w:type="character" w:styleId="32">
    <w:name w:val="Hyperlink"/>
    <w:basedOn w:val="24"/>
    <w:qFormat/>
    <w:uiPriority w:val="99"/>
    <w:rPr>
      <w:rFonts w:cs="Times New Roman"/>
      <w:color w:val="0000FF"/>
      <w:u w:val="single"/>
    </w:rPr>
  </w:style>
  <w:style w:type="character" w:styleId="33">
    <w:name w:val="HTML Code"/>
    <w:basedOn w:val="24"/>
    <w:qFormat/>
    <w:uiPriority w:val="99"/>
    <w:rPr>
      <w:rFonts w:ascii="Courier New" w:hAnsi="Courier New" w:cs="Times New Roman"/>
      <w:color w:val="505050"/>
      <w:sz w:val="24"/>
      <w:szCs w:val="24"/>
    </w:rPr>
  </w:style>
  <w:style w:type="character" w:styleId="34">
    <w:name w:val="annotation reference"/>
    <w:basedOn w:val="24"/>
    <w:qFormat/>
    <w:uiPriority w:val="99"/>
    <w:rPr>
      <w:rFonts w:cs="Times New Roman"/>
      <w:sz w:val="21"/>
      <w:szCs w:val="21"/>
    </w:rPr>
  </w:style>
  <w:style w:type="character" w:styleId="35">
    <w:name w:val="HTML Cite"/>
    <w:basedOn w:val="24"/>
    <w:qFormat/>
    <w:uiPriority w:val="99"/>
    <w:rPr>
      <w:rFonts w:cs="Times New Roman"/>
    </w:rPr>
  </w:style>
  <w:style w:type="paragraph" w:customStyle="1" w:styleId="36">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37">
    <w:name w:val="Heading 1 Char"/>
    <w:basedOn w:val="24"/>
    <w:link w:val="3"/>
    <w:qFormat/>
    <w:locked/>
    <w:uiPriority w:val="99"/>
    <w:rPr>
      <w:rFonts w:ascii="Calibri" w:hAnsi="Calibri" w:cs="Times New Roman"/>
      <w:b/>
      <w:bCs/>
      <w:kern w:val="44"/>
      <w:sz w:val="44"/>
      <w:szCs w:val="44"/>
    </w:rPr>
  </w:style>
  <w:style w:type="character" w:customStyle="1" w:styleId="38">
    <w:name w:val="Heading 3 Char"/>
    <w:basedOn w:val="24"/>
    <w:link w:val="5"/>
    <w:semiHidden/>
    <w:qFormat/>
    <w:locked/>
    <w:uiPriority w:val="99"/>
    <w:rPr>
      <w:rFonts w:ascii="Calibri" w:hAnsi="Calibri" w:eastAsia="宋体" w:cs="Times New Roman"/>
      <w:b/>
      <w:bCs/>
      <w:kern w:val="2"/>
      <w:sz w:val="32"/>
      <w:szCs w:val="32"/>
    </w:rPr>
  </w:style>
  <w:style w:type="character" w:customStyle="1" w:styleId="39">
    <w:name w:val="Heading 4 Char"/>
    <w:basedOn w:val="24"/>
    <w:link w:val="6"/>
    <w:semiHidden/>
    <w:qFormat/>
    <w:locked/>
    <w:uiPriority w:val="99"/>
    <w:rPr>
      <w:rFonts w:ascii="Cambria" w:hAnsi="Cambria" w:eastAsia="宋体" w:cs="Times New Roman"/>
      <w:b/>
      <w:bCs/>
      <w:sz w:val="28"/>
      <w:szCs w:val="28"/>
    </w:rPr>
  </w:style>
  <w:style w:type="character" w:customStyle="1" w:styleId="40">
    <w:name w:val="Comment Text Char"/>
    <w:basedOn w:val="24"/>
    <w:link w:val="8"/>
    <w:qFormat/>
    <w:locked/>
    <w:uiPriority w:val="99"/>
    <w:rPr>
      <w:rFonts w:ascii="Calibri" w:hAnsi="Calibri" w:eastAsia="宋体" w:cs="Times New Roman"/>
      <w:kern w:val="2"/>
      <w:sz w:val="24"/>
      <w:szCs w:val="24"/>
    </w:rPr>
  </w:style>
  <w:style w:type="character" w:customStyle="1" w:styleId="41">
    <w:name w:val="Body Text 3 Char"/>
    <w:basedOn w:val="24"/>
    <w:link w:val="9"/>
    <w:semiHidden/>
    <w:qFormat/>
    <w:locked/>
    <w:uiPriority w:val="99"/>
    <w:rPr>
      <w:rFonts w:ascii="Calibri" w:hAnsi="Calibri" w:cs="Times New Roman"/>
      <w:sz w:val="16"/>
      <w:szCs w:val="16"/>
    </w:rPr>
  </w:style>
  <w:style w:type="character" w:customStyle="1" w:styleId="42">
    <w:name w:val="Body Text Char"/>
    <w:basedOn w:val="24"/>
    <w:link w:val="2"/>
    <w:semiHidden/>
    <w:qFormat/>
    <w:locked/>
    <w:uiPriority w:val="99"/>
    <w:rPr>
      <w:rFonts w:ascii="Calibri" w:hAnsi="Calibri" w:cs="Times New Roman"/>
      <w:sz w:val="24"/>
      <w:szCs w:val="24"/>
    </w:rPr>
  </w:style>
  <w:style w:type="character" w:customStyle="1" w:styleId="43">
    <w:name w:val="Body Text Indent Char"/>
    <w:basedOn w:val="24"/>
    <w:link w:val="10"/>
    <w:semiHidden/>
    <w:qFormat/>
    <w:locked/>
    <w:uiPriority w:val="99"/>
    <w:rPr>
      <w:rFonts w:ascii="Calibri" w:hAnsi="Calibri" w:cs="Times New Roman"/>
      <w:sz w:val="24"/>
      <w:szCs w:val="24"/>
    </w:rPr>
  </w:style>
  <w:style w:type="character" w:customStyle="1" w:styleId="44">
    <w:name w:val="Plain Text Char"/>
    <w:basedOn w:val="24"/>
    <w:link w:val="12"/>
    <w:qFormat/>
    <w:locked/>
    <w:uiPriority w:val="99"/>
    <w:rPr>
      <w:rFonts w:ascii="宋体" w:hAnsi="Courier New" w:eastAsia="宋体" w:cs="Times New Roman"/>
      <w:kern w:val="2"/>
      <w:sz w:val="21"/>
    </w:rPr>
  </w:style>
  <w:style w:type="character" w:customStyle="1" w:styleId="45">
    <w:name w:val="Endnote Text Char"/>
    <w:basedOn w:val="24"/>
    <w:link w:val="13"/>
    <w:qFormat/>
    <w:locked/>
    <w:uiPriority w:val="99"/>
    <w:rPr>
      <w:rFonts w:ascii="Calibri" w:hAnsi="Calibri" w:eastAsia="宋体" w:cs="Times New Roman"/>
      <w:kern w:val="2"/>
      <w:sz w:val="24"/>
      <w:szCs w:val="24"/>
    </w:rPr>
  </w:style>
  <w:style w:type="character" w:customStyle="1" w:styleId="46">
    <w:name w:val="Balloon Text Char"/>
    <w:basedOn w:val="24"/>
    <w:link w:val="14"/>
    <w:qFormat/>
    <w:locked/>
    <w:uiPriority w:val="99"/>
    <w:rPr>
      <w:rFonts w:ascii="Calibri" w:hAnsi="Calibri" w:eastAsia="宋体" w:cs="Times New Roman"/>
      <w:kern w:val="2"/>
      <w:sz w:val="18"/>
      <w:szCs w:val="18"/>
    </w:rPr>
  </w:style>
  <w:style w:type="character" w:customStyle="1" w:styleId="47">
    <w:name w:val="Footer Char"/>
    <w:basedOn w:val="24"/>
    <w:link w:val="15"/>
    <w:semiHidden/>
    <w:qFormat/>
    <w:locked/>
    <w:uiPriority w:val="99"/>
    <w:rPr>
      <w:rFonts w:ascii="Calibri" w:hAnsi="Calibri" w:cs="Times New Roman"/>
      <w:sz w:val="18"/>
      <w:szCs w:val="18"/>
    </w:rPr>
  </w:style>
  <w:style w:type="character" w:customStyle="1" w:styleId="48">
    <w:name w:val="Header Char"/>
    <w:basedOn w:val="24"/>
    <w:link w:val="16"/>
    <w:semiHidden/>
    <w:qFormat/>
    <w:locked/>
    <w:uiPriority w:val="99"/>
    <w:rPr>
      <w:rFonts w:ascii="Calibri" w:hAnsi="Calibri" w:cs="Times New Roman"/>
      <w:sz w:val="18"/>
      <w:szCs w:val="18"/>
    </w:rPr>
  </w:style>
  <w:style w:type="character" w:customStyle="1" w:styleId="49">
    <w:name w:val="Title Char"/>
    <w:basedOn w:val="24"/>
    <w:link w:val="19"/>
    <w:qFormat/>
    <w:locked/>
    <w:uiPriority w:val="99"/>
    <w:rPr>
      <w:rFonts w:ascii="Cambria" w:hAnsi="Cambria" w:cs="Times New Roman"/>
      <w:b/>
      <w:bCs/>
      <w:sz w:val="32"/>
      <w:szCs w:val="32"/>
    </w:rPr>
  </w:style>
  <w:style w:type="character" w:customStyle="1" w:styleId="50">
    <w:name w:val="Comment Subject Char"/>
    <w:basedOn w:val="40"/>
    <w:link w:val="20"/>
    <w:qFormat/>
    <w:locked/>
    <w:uiPriority w:val="99"/>
    <w:rPr>
      <w:b/>
      <w:bCs/>
    </w:rPr>
  </w:style>
  <w:style w:type="character" w:customStyle="1" w:styleId="51">
    <w:name w:val="Body Text First Indent 2 Char"/>
    <w:basedOn w:val="43"/>
    <w:link w:val="21"/>
    <w:semiHidden/>
    <w:qFormat/>
    <w:locked/>
    <w:uiPriority w:val="99"/>
  </w:style>
  <w:style w:type="paragraph" w:customStyle="1" w:styleId="5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3">
    <w:name w:val="表格文字"/>
    <w:basedOn w:val="1"/>
    <w:qFormat/>
    <w:uiPriority w:val="99"/>
    <w:pPr>
      <w:spacing w:before="25" w:after="25"/>
      <w:jc w:val="left"/>
    </w:pPr>
    <w:rPr>
      <w:bCs/>
      <w:spacing w:val="10"/>
      <w:kern w:val="0"/>
      <w:sz w:val="24"/>
    </w:rPr>
  </w:style>
  <w:style w:type="paragraph" w:customStyle="1" w:styleId="54">
    <w:name w:val="正文-2字符首行缩进"/>
    <w:basedOn w:val="1"/>
    <w:qFormat/>
    <w:uiPriority w:val="99"/>
    <w:pPr>
      <w:spacing w:line="360" w:lineRule="auto"/>
      <w:ind w:firstLine="200" w:firstLineChars="200"/>
    </w:pPr>
    <w:rPr>
      <w:rFonts w:ascii="仿宋_GB2312" w:eastAsia="仿宋_GB2312"/>
      <w:kern w:val="0"/>
      <w:sz w:val="28"/>
      <w:szCs w:val="22"/>
    </w:rPr>
  </w:style>
  <w:style w:type="paragraph" w:customStyle="1" w:styleId="55">
    <w:name w:val="_Style 4"/>
    <w:basedOn w:val="1"/>
    <w:qFormat/>
    <w:uiPriority w:val="99"/>
    <w:pPr>
      <w:ind w:firstLine="420" w:firstLineChars="200"/>
    </w:pPr>
    <w:rPr>
      <w:szCs w:val="22"/>
    </w:rPr>
  </w:style>
  <w:style w:type="paragraph" w:customStyle="1" w:styleId="56">
    <w:name w:val="gb"/>
    <w:basedOn w:val="1"/>
    <w:qFormat/>
    <w:uiPriority w:val="99"/>
    <w:pPr>
      <w:widowControl/>
      <w:spacing w:before="100" w:beforeAutospacing="1" w:after="100" w:afterAutospacing="1"/>
      <w:jc w:val="left"/>
    </w:pPr>
    <w:rPr>
      <w:rFonts w:ascii="宋体" w:hAnsi="宋体" w:cs="宋体"/>
      <w:kern w:val="0"/>
      <w:sz w:val="24"/>
    </w:rPr>
  </w:style>
  <w:style w:type="paragraph" w:customStyle="1" w:styleId="57">
    <w:name w:val="纯文本1"/>
    <w:basedOn w:val="1"/>
    <w:qFormat/>
    <w:uiPriority w:val="99"/>
    <w:pPr>
      <w:adjustRightInd w:val="0"/>
      <w:textAlignment w:val="baseline"/>
    </w:pPr>
    <w:rPr>
      <w:rFonts w:ascii="宋体" w:hAnsi="Courier New"/>
      <w:szCs w:val="20"/>
    </w:rPr>
  </w:style>
  <w:style w:type="character" w:customStyle="1" w:styleId="58">
    <w:name w:val="font41"/>
    <w:basedOn w:val="24"/>
    <w:qFormat/>
    <w:uiPriority w:val="99"/>
    <w:rPr>
      <w:rFonts w:ascii="微软雅黑" w:hAnsi="微软雅黑" w:eastAsia="微软雅黑" w:cs="微软雅黑"/>
      <w:color w:val="000000"/>
      <w:sz w:val="22"/>
      <w:szCs w:val="22"/>
      <w:u w:val="none"/>
    </w:rPr>
  </w:style>
  <w:style w:type="character" w:customStyle="1" w:styleId="59">
    <w:name w:val="font51"/>
    <w:basedOn w:val="24"/>
    <w:qFormat/>
    <w:uiPriority w:val="99"/>
    <w:rPr>
      <w:rFonts w:ascii="微软雅黑" w:hAnsi="微软雅黑" w:eastAsia="微软雅黑" w:cs="微软雅黑"/>
      <w:b/>
      <w:color w:val="000000"/>
      <w:sz w:val="22"/>
      <w:szCs w:val="22"/>
      <w:u w:val="none"/>
    </w:rPr>
  </w:style>
  <w:style w:type="character" w:customStyle="1" w:styleId="60">
    <w:name w:val="font61"/>
    <w:basedOn w:val="24"/>
    <w:qFormat/>
    <w:uiPriority w:val="99"/>
    <w:rPr>
      <w:rFonts w:ascii="宋体" w:hAnsi="宋体" w:eastAsia="宋体" w:cs="宋体"/>
      <w:color w:val="000000"/>
      <w:sz w:val="22"/>
      <w:szCs w:val="22"/>
      <w:u w:val="none"/>
    </w:rPr>
  </w:style>
  <w:style w:type="character" w:customStyle="1" w:styleId="61">
    <w:name w:val="font91"/>
    <w:basedOn w:val="24"/>
    <w:qFormat/>
    <w:uiPriority w:val="99"/>
    <w:rPr>
      <w:rFonts w:ascii="微软雅黑" w:hAnsi="微软雅黑" w:eastAsia="微软雅黑" w:cs="微软雅黑"/>
      <w:color w:val="000000"/>
      <w:sz w:val="22"/>
      <w:szCs w:val="22"/>
      <w:u w:val="none"/>
    </w:rPr>
  </w:style>
  <w:style w:type="paragraph" w:customStyle="1" w:styleId="62">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63">
    <w:name w:val="默认段落字体 Para Char Char Char Char Char Char Char Char Char1 Char Char Char Char"/>
    <w:basedOn w:val="1"/>
    <w:qFormat/>
    <w:uiPriority w:val="99"/>
    <w:rPr>
      <w:rFonts w:ascii="Tahoma" w:hAnsi="Tahoma"/>
      <w:sz w:val="24"/>
      <w:szCs w:val="20"/>
    </w:rPr>
  </w:style>
  <w:style w:type="character" w:customStyle="1" w:styleId="64">
    <w:name w:val="font31"/>
    <w:basedOn w:val="24"/>
    <w:qFormat/>
    <w:uiPriority w:val="99"/>
    <w:rPr>
      <w:rFonts w:ascii="微软雅黑" w:hAnsi="微软雅黑" w:eastAsia="微软雅黑" w:cs="微软雅黑"/>
      <w:b/>
      <w:color w:val="000000"/>
      <w:sz w:val="22"/>
      <w:szCs w:val="22"/>
      <w:u w:val="none"/>
    </w:rPr>
  </w:style>
  <w:style w:type="character" w:customStyle="1" w:styleId="65">
    <w:name w:val="font101"/>
    <w:basedOn w:val="24"/>
    <w:qFormat/>
    <w:uiPriority w:val="99"/>
    <w:rPr>
      <w:rFonts w:ascii="宋体" w:hAnsi="宋体" w:eastAsia="宋体" w:cs="宋体"/>
      <w:color w:val="000000"/>
      <w:sz w:val="22"/>
      <w:szCs w:val="22"/>
      <w:u w:val="none"/>
    </w:rPr>
  </w:style>
  <w:style w:type="character" w:customStyle="1" w:styleId="66">
    <w:name w:val="font21"/>
    <w:basedOn w:val="24"/>
    <w:qFormat/>
    <w:uiPriority w:val="99"/>
    <w:rPr>
      <w:rFonts w:ascii="微软雅黑" w:hAnsi="微软雅黑" w:eastAsia="微软雅黑" w:cs="微软雅黑"/>
      <w:color w:val="000000"/>
      <w:sz w:val="22"/>
      <w:szCs w:val="22"/>
      <w:u w:val="none"/>
    </w:rPr>
  </w:style>
  <w:style w:type="character" w:customStyle="1" w:styleId="67">
    <w:name w:val="font81"/>
    <w:basedOn w:val="24"/>
    <w:qFormat/>
    <w:uiPriority w:val="99"/>
    <w:rPr>
      <w:rFonts w:ascii="微软雅黑" w:hAnsi="微软雅黑" w:eastAsia="微软雅黑" w:cs="微软雅黑"/>
      <w:color w:val="333333"/>
      <w:sz w:val="20"/>
      <w:szCs w:val="20"/>
      <w:u w:val="none"/>
    </w:rPr>
  </w:style>
  <w:style w:type="paragraph" w:customStyle="1" w:styleId="68">
    <w:name w:val="纯文本2"/>
    <w:basedOn w:val="1"/>
    <w:qFormat/>
    <w:uiPriority w:val="99"/>
    <w:pPr>
      <w:adjustRightInd w:val="0"/>
      <w:jc w:val="left"/>
      <w:textAlignment w:val="baseline"/>
    </w:pPr>
    <w:rPr>
      <w:rFonts w:ascii="宋体" w:hAnsi="Courier New"/>
      <w:szCs w:val="20"/>
    </w:rPr>
  </w:style>
  <w:style w:type="paragraph" w:styleId="69">
    <w:name w:val="List Paragraph"/>
    <w:basedOn w:val="1"/>
    <w:qFormat/>
    <w:uiPriority w:val="99"/>
    <w:pPr>
      <w:ind w:firstLine="420" w:firstLineChars="200"/>
    </w:pPr>
  </w:style>
  <w:style w:type="character" w:customStyle="1" w:styleId="70">
    <w:name w:val="case31"/>
    <w:qFormat/>
    <w:uiPriority w:val="99"/>
    <w:rPr>
      <w:spacing w:val="390"/>
      <w:sz w:val="21"/>
    </w:rPr>
  </w:style>
  <w:style w:type="character" w:customStyle="1" w:styleId="71">
    <w:name w:val="font01"/>
    <w:qFormat/>
    <w:uiPriority w:val="99"/>
    <w:rPr>
      <w:rFonts w:ascii="宋体" w:hAnsi="宋体" w:eastAsia="宋体"/>
      <w:color w:val="000000"/>
      <w:sz w:val="18"/>
      <w:u w:val="none"/>
    </w:rPr>
  </w:style>
  <w:style w:type="character" w:customStyle="1" w:styleId="72">
    <w:name w:val="￥正文 Char"/>
    <w:link w:val="73"/>
    <w:qFormat/>
    <w:locked/>
    <w:uiPriority w:val="99"/>
    <w:rPr>
      <w:rFonts w:ascii="Calibri" w:hAnsi="Calibri"/>
      <w:kern w:val="2"/>
      <w:sz w:val="24"/>
      <w:lang w:eastAsia="en-US"/>
    </w:rPr>
  </w:style>
  <w:style w:type="paragraph" w:customStyle="1" w:styleId="73">
    <w:name w:val="￥正文"/>
    <w:basedOn w:val="1"/>
    <w:link w:val="72"/>
    <w:qFormat/>
    <w:uiPriority w:val="99"/>
    <w:pPr>
      <w:spacing w:line="360" w:lineRule="auto"/>
      <w:ind w:firstLine="200" w:firstLineChars="200"/>
    </w:pPr>
    <w:rPr>
      <w:sz w:val="24"/>
      <w:szCs w:val="20"/>
      <w:lang w:eastAsia="en-US"/>
    </w:rPr>
  </w:style>
  <w:style w:type="paragraph" w:customStyle="1" w:styleId="74">
    <w:name w:val="正文缩进2格"/>
    <w:basedOn w:val="1"/>
    <w:qFormat/>
    <w:uiPriority w:val="99"/>
    <w:pPr>
      <w:widowControl/>
      <w:spacing w:line="600" w:lineRule="exact"/>
      <w:ind w:firstLine="639" w:firstLineChars="206"/>
    </w:pPr>
    <w:rPr>
      <w:rFonts w:ascii="仿宋_GB2312" w:hAnsi="宋体" w:eastAsia="仿宋_GB2312"/>
      <w:kern w:val="0"/>
      <w:sz w:val="31"/>
      <w:szCs w:val="20"/>
    </w:rPr>
  </w:style>
  <w:style w:type="paragraph" w:customStyle="1" w:styleId="75">
    <w:name w:val="1"/>
    <w:basedOn w:val="1"/>
    <w:next w:val="12"/>
    <w:qFormat/>
    <w:uiPriority w:val="99"/>
    <w:rPr>
      <w:rFonts w:ascii="宋体" w:hAnsi="Courier New"/>
      <w:szCs w:val="20"/>
    </w:rPr>
  </w:style>
  <w:style w:type="paragraph" w:customStyle="1" w:styleId="7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7"/>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37</Pages>
  <Words>4148</Words>
  <Characters>23645</Characters>
  <Lines>0</Lines>
  <Paragraphs>0</Paragraphs>
  <TotalTime>51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阿爆</cp:lastModifiedBy>
  <cp:lastPrinted>2019-07-10T06:59:00Z</cp:lastPrinted>
  <dcterms:modified xsi:type="dcterms:W3CDTF">2020-11-11T08:21:12Z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